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16636D">
      <w:pPr>
        <w:rPr>
          <w:rFonts w:hint="eastAsia" w:ascii="宋体" w:hAnsi="宋体" w:eastAsia="宋体" w:cs="宋体"/>
          <w:color w:val="auto"/>
          <w:highlight w:val="none"/>
        </w:rPr>
      </w:pPr>
      <w:bookmarkStart w:id="0" w:name="_Toc217446030"/>
      <w:bookmarkStart w:id="1" w:name="_Toc183682338"/>
    </w:p>
    <w:p w14:paraId="62B834E8">
      <w:pPr>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1621790" cy="1066800"/>
            <wp:effectExtent l="0" t="0" r="0" b="0"/>
            <wp:docPr id="14161287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28754"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1790" cy="1066800"/>
                    </a:xfrm>
                    <a:prstGeom prst="rect">
                      <a:avLst/>
                    </a:prstGeom>
                    <a:noFill/>
                    <a:ln>
                      <a:noFill/>
                    </a:ln>
                  </pic:spPr>
                </pic:pic>
              </a:graphicData>
            </a:graphic>
          </wp:inline>
        </w:drawing>
      </w:r>
    </w:p>
    <w:p w14:paraId="402C67A0">
      <w:pPr>
        <w:rPr>
          <w:rFonts w:hint="eastAsia" w:ascii="宋体" w:hAnsi="宋体" w:eastAsia="宋体" w:cs="宋体"/>
          <w:color w:val="auto"/>
          <w:highlight w:val="none"/>
        </w:rPr>
      </w:pPr>
    </w:p>
    <w:p w14:paraId="69ADE7AD">
      <w:pPr>
        <w:rPr>
          <w:rFonts w:hint="eastAsia" w:ascii="宋体" w:hAnsi="宋体" w:eastAsia="宋体" w:cs="宋体"/>
          <w:color w:val="auto"/>
          <w:highlight w:val="none"/>
        </w:rPr>
      </w:pPr>
    </w:p>
    <w:p w14:paraId="3DEF2CFF">
      <w:pPr>
        <w:rPr>
          <w:rFonts w:hint="eastAsia" w:ascii="宋体" w:hAnsi="宋体" w:eastAsia="宋体" w:cs="宋体"/>
          <w:color w:val="auto"/>
          <w:highlight w:val="none"/>
        </w:rPr>
      </w:pPr>
    </w:p>
    <w:p w14:paraId="02CE7FA7">
      <w:pPr>
        <w:rPr>
          <w:rFonts w:hint="eastAsia" w:ascii="宋体" w:hAnsi="宋体" w:eastAsia="宋体" w:cs="宋体"/>
          <w:color w:val="auto"/>
          <w:highlight w:val="none"/>
        </w:rPr>
      </w:pPr>
    </w:p>
    <w:p w14:paraId="202A6DC7">
      <w:pPr>
        <w:spacing w:after="12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42DB05DC">
      <w:pPr>
        <w:rPr>
          <w:rFonts w:hint="eastAsia" w:ascii="宋体" w:hAnsi="宋体" w:eastAsia="宋体" w:cs="宋体"/>
          <w:color w:val="auto"/>
          <w:sz w:val="48"/>
          <w:szCs w:val="48"/>
          <w:highlight w:val="none"/>
        </w:rPr>
      </w:pPr>
    </w:p>
    <w:p w14:paraId="38F1E5B6">
      <w:pPr>
        <w:ind w:left="269" w:leftChars="12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lang w:eastAsia="zh-CN"/>
        </w:rPr>
        <w:t>梧州市临床病理诊断中心项目施工</w:t>
      </w:r>
      <w:r>
        <w:rPr>
          <w:rFonts w:hint="eastAsia" w:ascii="宋体" w:hAnsi="宋体" w:eastAsia="宋体" w:cs="宋体"/>
          <w:color w:val="auto"/>
          <w:sz w:val="36"/>
          <w:szCs w:val="36"/>
          <w:highlight w:val="none"/>
        </w:rPr>
        <w:t xml:space="preserve"> </w:t>
      </w:r>
    </w:p>
    <w:p w14:paraId="0B323D5A">
      <w:pPr>
        <w:rPr>
          <w:rFonts w:hint="eastAsia" w:ascii="宋体" w:hAnsi="宋体" w:eastAsia="宋体" w:cs="宋体"/>
          <w:color w:val="auto"/>
          <w:sz w:val="36"/>
          <w:szCs w:val="36"/>
          <w:highlight w:val="none"/>
        </w:rPr>
      </w:pPr>
    </w:p>
    <w:p w14:paraId="0AA8D4E8">
      <w:pPr>
        <w:ind w:firstLine="1080" w:firstLineChars="3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项目编号：WZZC2025-C2-990139-ZJGJ</w:t>
      </w:r>
    </w:p>
    <w:p w14:paraId="69897B0E">
      <w:pPr>
        <w:ind w:firstLine="630" w:firstLineChars="300"/>
        <w:rPr>
          <w:rFonts w:hint="eastAsia" w:ascii="宋体" w:hAnsi="宋体" w:eastAsia="宋体" w:cs="宋体"/>
          <w:color w:val="auto"/>
          <w:highlight w:val="none"/>
        </w:rPr>
      </w:pPr>
    </w:p>
    <w:p w14:paraId="73072A6B">
      <w:pPr>
        <w:ind w:firstLine="520" w:firstLineChars="100"/>
        <w:rPr>
          <w:rFonts w:hint="eastAsia" w:ascii="宋体" w:hAnsi="宋体" w:eastAsia="宋体" w:cs="宋体"/>
          <w:color w:val="auto"/>
          <w:sz w:val="52"/>
          <w:szCs w:val="52"/>
          <w:highlight w:val="none"/>
        </w:rPr>
      </w:pPr>
    </w:p>
    <w:p w14:paraId="36B2AA86">
      <w:pPr>
        <w:ind w:firstLine="480" w:firstLineChars="100"/>
        <w:rPr>
          <w:rFonts w:hint="eastAsia" w:ascii="宋体" w:hAnsi="宋体" w:eastAsia="宋体" w:cs="宋体"/>
          <w:color w:val="auto"/>
          <w:sz w:val="48"/>
          <w:szCs w:val="48"/>
          <w:highlight w:val="none"/>
        </w:rPr>
      </w:pPr>
    </w:p>
    <w:p w14:paraId="646B3C92">
      <w:pPr>
        <w:ind w:firstLine="480" w:firstLineChars="100"/>
        <w:rPr>
          <w:rFonts w:hint="eastAsia" w:ascii="宋体" w:hAnsi="宋体" w:eastAsia="宋体" w:cs="宋体"/>
          <w:color w:val="auto"/>
          <w:sz w:val="48"/>
          <w:szCs w:val="48"/>
          <w:highlight w:val="none"/>
        </w:rPr>
      </w:pPr>
    </w:p>
    <w:p w14:paraId="3E721E9E">
      <w:pPr>
        <w:ind w:firstLine="480" w:firstLineChars="100"/>
        <w:rPr>
          <w:rFonts w:hint="eastAsia" w:ascii="宋体" w:hAnsi="宋体" w:eastAsia="宋体" w:cs="宋体"/>
          <w:color w:val="auto"/>
          <w:sz w:val="48"/>
          <w:szCs w:val="48"/>
          <w:highlight w:val="none"/>
        </w:rPr>
      </w:pPr>
    </w:p>
    <w:p w14:paraId="650438BE">
      <w:pPr>
        <w:ind w:firstLine="1800" w:firstLineChars="50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采购单位：</w:t>
      </w:r>
      <w:r>
        <w:rPr>
          <w:rFonts w:hint="eastAsia" w:ascii="宋体" w:hAnsi="宋体" w:eastAsia="宋体" w:cs="宋体"/>
          <w:color w:val="auto"/>
          <w:sz w:val="36"/>
          <w:szCs w:val="36"/>
          <w:highlight w:val="none"/>
          <w:lang w:eastAsia="zh-CN"/>
        </w:rPr>
        <w:t>梧州市工人医院</w:t>
      </w:r>
    </w:p>
    <w:p w14:paraId="570FB85D">
      <w:pPr>
        <w:ind w:firstLine="720" w:firstLineChars="200"/>
        <w:rPr>
          <w:rFonts w:hint="eastAsia" w:ascii="宋体" w:hAnsi="宋体" w:eastAsia="宋体" w:cs="宋体"/>
          <w:color w:val="auto"/>
          <w:sz w:val="36"/>
          <w:szCs w:val="36"/>
          <w:highlight w:val="none"/>
        </w:rPr>
      </w:pPr>
    </w:p>
    <w:p w14:paraId="1B0A8D11">
      <w:pPr>
        <w:ind w:firstLine="1800" w:firstLineChars="500"/>
        <w:rPr>
          <w:rFonts w:hint="eastAsia" w:ascii="宋体" w:hAnsi="宋体" w:eastAsia="宋体" w:cs="宋体"/>
          <w:color w:val="auto"/>
          <w:sz w:val="36"/>
          <w:szCs w:val="36"/>
          <w:highlight w:val="none"/>
        </w:rPr>
      </w:pPr>
    </w:p>
    <w:p w14:paraId="385BEE69">
      <w:pPr>
        <w:ind w:firstLine="1800" w:firstLineChars="500"/>
        <w:rPr>
          <w:rFonts w:hint="eastAsia" w:ascii="宋体" w:hAnsi="宋体" w:eastAsia="宋体" w:cs="宋体"/>
          <w:color w:val="auto"/>
          <w:sz w:val="36"/>
          <w:szCs w:val="36"/>
          <w:highlight w:val="none"/>
        </w:rPr>
      </w:pPr>
    </w:p>
    <w:p w14:paraId="051E9618">
      <w:pPr>
        <w:ind w:firstLine="1080" w:firstLineChars="3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采购代理机构：中经国际招标集团有限公司</w:t>
      </w:r>
    </w:p>
    <w:p w14:paraId="3DFDBAFF">
      <w:pPr>
        <w:jc w:val="center"/>
        <w:rPr>
          <w:rFonts w:hint="eastAsia" w:ascii="宋体" w:hAnsi="宋体" w:eastAsia="宋体" w:cs="宋体"/>
          <w:color w:val="auto"/>
          <w:sz w:val="36"/>
          <w:szCs w:val="36"/>
          <w:highlight w:val="none"/>
        </w:rPr>
      </w:pPr>
      <w:r>
        <w:rPr>
          <w:rFonts w:hint="eastAsia" w:ascii="宋体" w:hAnsi="宋体" w:eastAsia="宋体" w:cs="宋体"/>
          <w:color w:val="auto"/>
          <w:spacing w:val="-8"/>
          <w:sz w:val="36"/>
          <w:szCs w:val="36"/>
          <w:highlight w:val="none"/>
        </w:rPr>
        <w:t xml:space="preserve">    </w:t>
      </w:r>
      <w:r>
        <w:rPr>
          <w:rFonts w:hint="eastAsia" w:ascii="宋体" w:hAnsi="宋体" w:eastAsia="宋体" w:cs="宋体"/>
          <w:color w:val="auto"/>
          <w:sz w:val="36"/>
          <w:szCs w:val="36"/>
          <w:highlight w:val="none"/>
        </w:rPr>
        <w:t>202</w:t>
      </w:r>
      <w:r>
        <w:rPr>
          <w:rFonts w:hint="eastAsia" w:ascii="宋体" w:hAnsi="宋体" w:eastAsia="宋体" w:cs="宋体"/>
          <w:color w:val="auto"/>
          <w:sz w:val="36"/>
          <w:szCs w:val="36"/>
          <w:highlight w:val="none"/>
          <w:lang w:val="en-US" w:eastAsia="zh-CN"/>
        </w:rPr>
        <w:t>5</w:t>
      </w:r>
      <w:r>
        <w:rPr>
          <w:rFonts w:hint="eastAsia" w:ascii="宋体" w:hAnsi="宋体" w:eastAsia="宋体" w:cs="宋体"/>
          <w:color w:val="auto"/>
          <w:sz w:val="36"/>
          <w:szCs w:val="36"/>
          <w:highlight w:val="none"/>
        </w:rPr>
        <w:t>年</w:t>
      </w:r>
      <w:r>
        <w:rPr>
          <w:rFonts w:hint="eastAsia" w:ascii="宋体" w:hAnsi="宋体" w:eastAsia="宋体" w:cs="宋体"/>
          <w:color w:val="auto"/>
          <w:sz w:val="36"/>
          <w:szCs w:val="36"/>
          <w:highlight w:val="none"/>
          <w:lang w:val="en-US" w:eastAsia="zh-CN"/>
        </w:rPr>
        <w:t>6</w:t>
      </w:r>
      <w:r>
        <w:rPr>
          <w:rFonts w:hint="eastAsia" w:ascii="宋体" w:hAnsi="宋体" w:eastAsia="宋体" w:cs="宋体"/>
          <w:color w:val="auto"/>
          <w:sz w:val="36"/>
          <w:szCs w:val="36"/>
          <w:highlight w:val="none"/>
        </w:rPr>
        <w:t>月</w:t>
      </w:r>
    </w:p>
    <w:p w14:paraId="2A4E6B7A">
      <w:pPr>
        <w:ind w:right="-178"/>
        <w:jc w:val="center"/>
        <w:rPr>
          <w:rFonts w:hint="eastAsia" w:ascii="宋体" w:hAnsi="宋体" w:eastAsia="宋体" w:cs="宋体"/>
          <w:color w:val="auto"/>
          <w:sz w:val="36"/>
          <w:szCs w:val="36"/>
          <w:highlight w:val="none"/>
        </w:rPr>
      </w:pPr>
    </w:p>
    <w:p w14:paraId="2E9C172A">
      <w:pPr>
        <w:ind w:right="-178"/>
        <w:jc w:val="center"/>
        <w:rPr>
          <w:rFonts w:hint="eastAsia" w:ascii="宋体" w:hAnsi="宋体" w:eastAsia="宋体" w:cs="宋体"/>
          <w:color w:val="auto"/>
          <w:sz w:val="32"/>
          <w:highlight w:val="none"/>
        </w:rPr>
      </w:pPr>
    </w:p>
    <w:p w14:paraId="5F128010">
      <w:pPr>
        <w:ind w:right="-178"/>
        <w:jc w:val="center"/>
        <w:rPr>
          <w:rFonts w:hint="eastAsia" w:ascii="宋体" w:hAnsi="宋体" w:eastAsia="宋体" w:cs="宋体"/>
          <w:color w:val="auto"/>
          <w:sz w:val="32"/>
          <w:highlight w:val="none"/>
        </w:rPr>
      </w:pPr>
    </w:p>
    <w:p w14:paraId="2DF98A6B">
      <w:pPr>
        <w:ind w:right="-178"/>
        <w:jc w:val="center"/>
        <w:rPr>
          <w:rFonts w:hint="eastAsia" w:ascii="宋体" w:hAnsi="宋体" w:eastAsia="宋体" w:cs="宋体"/>
          <w:color w:val="auto"/>
          <w:sz w:val="32"/>
          <w:highlight w:val="none"/>
        </w:rPr>
      </w:pPr>
    </w:p>
    <w:p w14:paraId="65BFC68A">
      <w:pPr>
        <w:ind w:firstLine="321" w:firstLineChars="100"/>
        <w:jc w:val="center"/>
        <w:rPr>
          <w:rFonts w:hint="eastAsia" w:ascii="宋体" w:hAnsi="宋体" w:eastAsia="宋体" w:cs="宋体"/>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284" w:gutter="0"/>
          <w:pgNumType w:start="0"/>
          <w:cols w:space="720" w:num="1"/>
          <w:titlePg/>
          <w:docGrid w:linePitch="312" w:charSpace="0"/>
        </w:sectPr>
      </w:pPr>
    </w:p>
    <w:p w14:paraId="5D97F7B4">
      <w:pPr>
        <w:rPr>
          <w:rFonts w:hint="eastAsia" w:ascii="宋体" w:hAnsi="宋体" w:eastAsia="宋体" w:cs="宋体"/>
          <w:color w:val="auto"/>
          <w:sz w:val="32"/>
          <w:szCs w:val="32"/>
          <w:highlight w:val="none"/>
        </w:rPr>
      </w:pPr>
    </w:p>
    <w:p w14:paraId="5DBC92DF">
      <w:pPr>
        <w:pStyle w:val="29"/>
        <w:snapToGrid w:val="0"/>
        <w:spacing w:before="120" w:after="120" w:line="320" w:lineRule="exact"/>
        <w:jc w:val="center"/>
        <w:outlineLvl w:val="0"/>
        <w:rPr>
          <w:rFonts w:hint="eastAsia" w:ascii="宋体" w:hAnsi="宋体" w:eastAsia="宋体" w:cs="宋体"/>
          <w:color w:val="auto"/>
          <w:sz w:val="32"/>
          <w:szCs w:val="32"/>
          <w:highlight w:val="none"/>
        </w:rPr>
      </w:pPr>
      <w:bookmarkStart w:id="2" w:name="_Toc89186348"/>
      <w:bookmarkStart w:id="3" w:name="_Toc503889276"/>
      <w:bookmarkStart w:id="4" w:name="_Toc483235754"/>
      <w:bookmarkStart w:id="5" w:name="_Toc23183402"/>
      <w:bookmarkStart w:id="6" w:name="_Toc405"/>
      <w:r>
        <w:rPr>
          <w:rFonts w:hint="eastAsia" w:ascii="宋体" w:hAnsi="宋体" w:eastAsia="宋体" w:cs="宋体"/>
          <w:color w:val="auto"/>
          <w:sz w:val="32"/>
          <w:szCs w:val="32"/>
          <w:highlight w:val="none"/>
        </w:rPr>
        <w:t>目    录</w:t>
      </w:r>
      <w:bookmarkEnd w:id="2"/>
      <w:bookmarkEnd w:id="3"/>
      <w:bookmarkEnd w:id="4"/>
      <w:bookmarkEnd w:id="5"/>
      <w:bookmarkEnd w:id="6"/>
    </w:p>
    <w:p w14:paraId="179C0ED9">
      <w:pPr>
        <w:pStyle w:val="37"/>
        <w:tabs>
          <w:tab w:val="right" w:leader="dot" w:pos="9070"/>
          <w:tab w:val="clear" w:pos="8398"/>
        </w:tabs>
        <w:ind w:firstLine="281"/>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"_Toc15990"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_Toc15990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66A23E">
      <w:pPr>
        <w:pStyle w:val="37"/>
        <w:tabs>
          <w:tab w:val="right" w:leader="dot" w:pos="9070"/>
          <w:tab w:val="clear" w:pos="8398"/>
        </w:tabs>
        <w:ind w:firstLine="241"/>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"_Toc23049"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_Toc23049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AAC66B6">
      <w:pPr>
        <w:pStyle w:val="37"/>
        <w:tabs>
          <w:tab w:val="right" w:leader="dot" w:pos="9070"/>
          <w:tab w:val="clear" w:pos="8398"/>
        </w:tabs>
        <w:ind w:firstLine="241"/>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"_Toc31457"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第三章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9A65C6">
      <w:pPr>
        <w:pStyle w:val="37"/>
        <w:tabs>
          <w:tab w:val="right" w:leader="dot" w:pos="9070"/>
          <w:tab w:val="clear" w:pos="8398"/>
        </w:tabs>
        <w:ind w:firstLine="241"/>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"_Toc16147"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第四章  评审方法及标准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cs="宋体"/>
          <w:color w:val="auto"/>
          <w:highlight w:val="none"/>
          <w:lang w:val="en-US" w:eastAsia="zh-CN"/>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D8BF37">
      <w:pPr>
        <w:pStyle w:val="37"/>
        <w:tabs>
          <w:tab w:val="right" w:leader="dot" w:pos="9070"/>
          <w:tab w:val="clear" w:pos="8398"/>
        </w:tabs>
        <w:ind w:firstLine="241"/>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"_Toc14843"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第五章  合同主要条款格式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_Toc14843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FE33CC">
      <w:pPr>
        <w:pStyle w:val="37"/>
        <w:tabs>
          <w:tab w:val="right" w:leader="dot" w:pos="9070"/>
          <w:tab w:val="clear" w:pos="8398"/>
        </w:tabs>
        <w:ind w:firstLine="241"/>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"_Toc8554"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第六章  响应文件格式</w:t>
      </w:r>
      <w:r>
        <w:rPr>
          <w:rFonts w:hint="eastAsia" w:ascii="宋体" w:hAnsi="宋体" w:eastAsia="宋体" w:cs="宋体"/>
          <w:color w:val="auto"/>
          <w:highlight w:val="none"/>
        </w:rPr>
        <w:tab/>
      </w:r>
      <w:r>
        <w:rPr>
          <w:rFonts w:hint="eastAsia" w:cs="宋体"/>
          <w:color w:val="auto"/>
          <w:highlight w:val="none"/>
          <w:lang w:val="en-US" w:eastAsia="zh-CN"/>
        </w:rPr>
        <w:t>5</w:t>
      </w:r>
      <w:r>
        <w:rPr>
          <w:rFonts w:hint="eastAsia" w:ascii="宋体" w:hAnsi="宋体" w:eastAsia="宋体" w:cs="宋体"/>
          <w:color w:val="auto"/>
          <w:highlight w:val="none"/>
        </w:rPr>
        <w:fldChar w:fldCharType="end"/>
      </w:r>
      <w:r>
        <w:rPr>
          <w:rFonts w:hint="eastAsia" w:cs="宋体"/>
          <w:color w:val="auto"/>
          <w:highlight w:val="none"/>
          <w:lang w:val="en-US" w:eastAsia="zh-CN"/>
        </w:rPr>
        <w:t>1</w:t>
      </w:r>
    </w:p>
    <w:p w14:paraId="5E16A005">
      <w:pPr>
        <w:pStyle w:val="37"/>
        <w:ind w:firstLine="241"/>
        <w:rPr>
          <w:rFonts w:hint="eastAsia" w:ascii="宋体" w:hAnsi="宋体" w:eastAsia="宋体" w:cs="宋体"/>
          <w:color w:val="auto"/>
          <w:sz w:val="28"/>
          <w:szCs w:val="28"/>
          <w:highlight w:val="none"/>
        </w:rPr>
        <w:sectPr>
          <w:headerReference r:id="rId7" w:type="first"/>
          <w:type w:val="nextColumn"/>
          <w:pgSz w:w="11906" w:h="16838"/>
          <w:pgMar w:top="1418" w:right="1418" w:bottom="1246" w:left="1418" w:header="851" w:footer="284" w:gutter="0"/>
          <w:pgNumType w:start="0"/>
          <w:cols w:space="720" w:num="1"/>
          <w:titlePg/>
          <w:docGrid w:linePitch="312" w:charSpace="0"/>
        </w:sectPr>
      </w:pPr>
      <w:r>
        <w:rPr>
          <w:rFonts w:hint="eastAsia" w:ascii="宋体" w:hAnsi="宋体" w:eastAsia="宋体" w:cs="宋体"/>
          <w:color w:val="auto"/>
          <w:szCs w:val="28"/>
          <w:highlight w:val="none"/>
        </w:rPr>
        <w:fldChar w:fldCharType="end"/>
      </w:r>
      <w:bookmarkStart w:id="243" w:name="_GoBack"/>
      <w:bookmarkEnd w:id="243"/>
    </w:p>
    <w:p w14:paraId="7AC0945B">
      <w:pPr>
        <w:pStyle w:val="29"/>
        <w:snapToGrid w:val="0"/>
        <w:spacing w:before="120" w:after="120" w:line="320" w:lineRule="exact"/>
        <w:jc w:val="center"/>
        <w:outlineLvl w:val="0"/>
        <w:rPr>
          <w:rFonts w:hint="eastAsia" w:ascii="宋体" w:hAnsi="宋体" w:eastAsia="宋体" w:cs="宋体"/>
          <w:color w:val="auto"/>
          <w:sz w:val="32"/>
          <w:szCs w:val="32"/>
          <w:highlight w:val="none"/>
        </w:rPr>
      </w:pPr>
      <w:bookmarkStart w:id="7" w:name="_Toc254970630"/>
      <w:bookmarkStart w:id="8" w:name="_Toc254970489"/>
      <w:bookmarkStart w:id="9" w:name="_Toc15990"/>
      <w:bookmarkStart w:id="10" w:name="_Toc89186349"/>
      <w:r>
        <w:rPr>
          <w:rFonts w:hint="eastAsia" w:ascii="宋体" w:hAnsi="宋体" w:eastAsia="宋体" w:cs="宋体"/>
          <w:color w:val="auto"/>
          <w:sz w:val="32"/>
          <w:szCs w:val="32"/>
          <w:highlight w:val="none"/>
        </w:rPr>
        <w:t xml:space="preserve">第一章  </w:t>
      </w:r>
      <w:bookmarkEnd w:id="7"/>
      <w:bookmarkEnd w:id="8"/>
      <w:r>
        <w:rPr>
          <w:rFonts w:hint="eastAsia" w:ascii="宋体" w:hAnsi="宋体" w:eastAsia="宋体" w:cs="宋体"/>
          <w:color w:val="auto"/>
          <w:sz w:val="32"/>
          <w:szCs w:val="32"/>
          <w:highlight w:val="none"/>
        </w:rPr>
        <w:t>竞争性磋商公告</w:t>
      </w:r>
      <w:bookmarkEnd w:id="9"/>
      <w:bookmarkEnd w:id="10"/>
    </w:p>
    <w:p w14:paraId="38995EE0">
      <w:pPr>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中经国际招标集团有限公司关于</w:t>
      </w:r>
      <w:r>
        <w:rPr>
          <w:rFonts w:hint="eastAsia" w:ascii="宋体" w:hAnsi="宋体" w:eastAsia="宋体" w:cs="宋体"/>
          <w:color w:val="auto"/>
          <w:kern w:val="0"/>
          <w:sz w:val="24"/>
          <w:highlight w:val="none"/>
          <w:lang w:eastAsia="zh-CN"/>
        </w:rPr>
        <w:t>梧州市临床病理诊断中心项目施工</w:t>
      </w:r>
      <w:r>
        <w:rPr>
          <w:rFonts w:hint="eastAsia" w:ascii="宋体" w:hAnsi="宋体" w:eastAsia="宋体" w:cs="宋体"/>
          <w:color w:val="auto"/>
          <w:kern w:val="0"/>
          <w:sz w:val="24"/>
          <w:highlight w:val="none"/>
        </w:rPr>
        <w:t>(WZZC2025-C2-990139-ZJGJ)</w:t>
      </w:r>
    </w:p>
    <w:p w14:paraId="60A7AB39">
      <w:pPr>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竞争性磋商公告</w:t>
      </w:r>
    </w:p>
    <w:p w14:paraId="19C7FAA1">
      <w:pPr>
        <w:spacing w:line="312" w:lineRule="auto"/>
        <w:ind w:firstLine="420" w:firstLineChars="200"/>
        <w:jc w:val="left"/>
        <w:rPr>
          <w:rFonts w:hint="eastAsia" w:ascii="宋体" w:hAnsi="宋体" w:eastAsia="宋体" w:cs="宋体"/>
          <w:color w:val="auto"/>
          <w:kern w:val="0"/>
          <w:szCs w:val="21"/>
          <w:highlight w:val="none"/>
        </w:rPr>
      </w:pPr>
    </w:p>
    <w:p w14:paraId="2A226D61">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项目概况：</w:t>
      </w:r>
      <w:r>
        <w:rPr>
          <w:rFonts w:hint="eastAsia" w:ascii="宋体" w:hAnsi="宋体" w:eastAsia="宋体" w:cs="宋体"/>
          <w:color w:val="auto"/>
          <w:szCs w:val="21"/>
          <w:highlight w:val="none"/>
          <w:lang w:eastAsia="zh-CN"/>
        </w:rPr>
        <w:t>梧州市临床病理诊断中心项目施工</w:t>
      </w:r>
      <w:r>
        <w:rPr>
          <w:rFonts w:hint="eastAsia" w:ascii="宋体" w:hAnsi="宋体" w:eastAsia="宋体" w:cs="宋体"/>
          <w:color w:val="auto"/>
          <w:kern w:val="0"/>
          <w:szCs w:val="21"/>
          <w:highlight w:val="none"/>
        </w:rPr>
        <w:t>项目的潜在供应商应</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广西</w:t>
      </w:r>
      <w:r>
        <w:rPr>
          <w:rFonts w:hint="eastAsia" w:ascii="宋体" w:hAnsi="宋体" w:eastAsia="宋体" w:cs="宋体"/>
          <w:color w:val="auto"/>
          <w:szCs w:val="21"/>
          <w:highlight w:val="none"/>
        </w:rPr>
        <w:t>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"https://www.zcygov.cn/）获取采购文件，并于2024年" </w:instrText>
      </w:r>
      <w:r>
        <w:rPr>
          <w:rFonts w:hint="eastAsia" w:ascii="宋体" w:hAnsi="宋体" w:eastAsia="宋体" w:cs="宋体"/>
          <w:color w:val="auto"/>
          <w:highlight w:val="none"/>
        </w:rPr>
        <w:fldChar w:fldCharType="separate"/>
      </w:r>
      <w:r>
        <w:rPr>
          <w:rStyle w:val="63"/>
          <w:rFonts w:hint="eastAsia" w:ascii="宋体" w:hAnsi="宋体" w:eastAsia="宋体" w:cs="宋体"/>
          <w:color w:val="auto"/>
          <w:szCs w:val="21"/>
          <w:highlight w:val="none"/>
          <w:lang w:eastAsia="zh-CN"/>
        </w:rPr>
        <w:t>https://www.gcy.zfcg.gxzf.gov.cn/</w:t>
      </w:r>
      <w:r>
        <w:rPr>
          <w:rStyle w:val="63"/>
          <w:rFonts w:hint="eastAsia" w:ascii="宋体" w:hAnsi="宋体" w:eastAsia="宋体" w:cs="宋体"/>
          <w:color w:val="auto"/>
          <w:szCs w:val="21"/>
          <w:highlight w:val="none"/>
        </w:rPr>
        <w:t>）获取采购文件，并于202</w:t>
      </w:r>
      <w:r>
        <w:rPr>
          <w:rStyle w:val="63"/>
          <w:rFonts w:hint="eastAsia" w:ascii="宋体" w:hAnsi="宋体" w:eastAsia="宋体" w:cs="宋体"/>
          <w:color w:val="auto"/>
          <w:szCs w:val="21"/>
          <w:highlight w:val="none"/>
          <w:lang w:val="en-US" w:eastAsia="zh-CN"/>
        </w:rPr>
        <w:t>5</w:t>
      </w:r>
      <w:r>
        <w:rPr>
          <w:rStyle w:val="63"/>
          <w:rFonts w:hint="eastAsia" w:ascii="宋体" w:hAnsi="宋体" w:eastAsia="宋体" w:cs="宋体"/>
          <w:color w:val="auto"/>
          <w:szCs w:val="21"/>
          <w:highlight w:val="none"/>
        </w:rPr>
        <w:t>年</w:t>
      </w:r>
      <w:r>
        <w:rPr>
          <w:rStyle w:val="63"/>
          <w:rFonts w:hint="eastAsia" w:ascii="宋体" w:hAnsi="宋体" w:eastAsia="宋体" w:cs="宋体"/>
          <w:color w:val="auto"/>
          <w:szCs w:val="21"/>
          <w:highlight w:val="none"/>
        </w:rPr>
        <w:fldChar w:fldCharType="end"/>
      </w:r>
      <w:r>
        <w:rPr>
          <w:rStyle w:val="63"/>
          <w:rFonts w:hint="eastAsia" w:ascii="宋体" w:hAnsi="宋体" w:eastAsia="宋体" w:cs="宋体"/>
          <w:color w:val="auto"/>
          <w:szCs w:val="21"/>
          <w:highlight w:val="none"/>
          <w:lang w:val="en-US" w:eastAsia="zh-CN"/>
        </w:rPr>
        <w:t xml:space="preserve"> </w:t>
      </w:r>
      <w:r>
        <w:rPr>
          <w:rStyle w:val="63"/>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 月 </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xml:space="preserve"> 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0分（北京时间）前提交响应文件。</w:t>
      </w:r>
    </w:p>
    <w:p w14:paraId="6406C005">
      <w:pPr>
        <w:spacing w:line="312" w:lineRule="auto"/>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一、项目基本情况</w:t>
      </w:r>
    </w:p>
    <w:p w14:paraId="2BA0BAA8">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项目编号：WZZC2025-C2-990139-ZJGJ</w:t>
      </w:r>
    </w:p>
    <w:p w14:paraId="184903D1">
      <w:pPr>
        <w:spacing w:line="312"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eastAsia="宋体" w:cs="宋体"/>
          <w:color w:val="auto"/>
          <w:szCs w:val="21"/>
          <w:highlight w:val="none"/>
          <w:lang w:eastAsia="zh-CN"/>
        </w:rPr>
        <w:t>梧州市临床病理诊断中心项目施工</w:t>
      </w:r>
    </w:p>
    <w:p w14:paraId="5480F194">
      <w:pPr>
        <w:spacing w:line="312" w:lineRule="auto"/>
        <w:ind w:firstLine="420" w:firstLineChars="200"/>
        <w:jc w:val="left"/>
        <w:rPr>
          <w:rFonts w:hint="eastAsia" w:ascii="宋体" w:hAnsi="宋体" w:eastAsia="宋体" w:cs="宋体"/>
          <w:color w:val="auto"/>
          <w:kern w:val="0"/>
          <w:szCs w:val="21"/>
          <w:highlight w:val="none"/>
        </w:rPr>
      </w:pPr>
      <w:bookmarkStart w:id="11" w:name="_Hlk77608065"/>
      <w:r>
        <w:rPr>
          <w:rFonts w:hint="eastAsia" w:ascii="宋体" w:hAnsi="宋体" w:eastAsia="宋体" w:cs="宋体"/>
          <w:color w:val="auto"/>
          <w:kern w:val="0"/>
          <w:szCs w:val="21"/>
          <w:highlight w:val="none"/>
        </w:rPr>
        <w:t xml:space="preserve">采购方式： 竞争性磋商 </w:t>
      </w:r>
    </w:p>
    <w:p w14:paraId="1C290C13">
      <w:pPr>
        <w:spacing w:line="312"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预算总金额：</w:t>
      </w:r>
      <w:r>
        <w:rPr>
          <w:rFonts w:hint="eastAsia" w:ascii="宋体" w:hAnsi="宋体" w:eastAsia="宋体" w:cs="宋体"/>
          <w:color w:val="auto"/>
          <w:kern w:val="0"/>
          <w:szCs w:val="21"/>
          <w:highlight w:val="none"/>
          <w:lang w:eastAsia="zh-CN"/>
        </w:rPr>
        <w:t>2481191 .49</w:t>
      </w:r>
      <w:r>
        <w:rPr>
          <w:rFonts w:hint="eastAsia" w:ascii="宋体" w:hAnsi="宋体" w:eastAsia="宋体" w:cs="宋体"/>
          <w:color w:val="auto"/>
          <w:kern w:val="0"/>
          <w:szCs w:val="21"/>
          <w:highlight w:val="none"/>
          <w:lang w:val="en-US" w:eastAsia="zh-CN"/>
        </w:rPr>
        <w:t>元</w:t>
      </w:r>
    </w:p>
    <w:p w14:paraId="607DDF9C">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14:paraId="0BB3DF00">
      <w:pPr>
        <w:spacing w:line="312" w:lineRule="auto"/>
        <w:ind w:firstLine="735" w:firstLineChars="35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标项名称：</w:t>
      </w:r>
      <w:r>
        <w:rPr>
          <w:rFonts w:hint="eastAsia" w:ascii="宋体" w:hAnsi="宋体" w:eastAsia="宋体" w:cs="宋体"/>
          <w:color w:val="auto"/>
          <w:szCs w:val="21"/>
          <w:highlight w:val="none"/>
          <w:lang w:eastAsia="zh-CN"/>
        </w:rPr>
        <w:t>梧州市临床病理诊断中心项目施工</w:t>
      </w:r>
    </w:p>
    <w:p w14:paraId="7FF65C1A">
      <w:pPr>
        <w:spacing w:line="312" w:lineRule="auto"/>
        <w:ind w:firstLine="735" w:firstLineChars="3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数量：1项</w:t>
      </w:r>
    </w:p>
    <w:p w14:paraId="26926E7A">
      <w:pPr>
        <w:spacing w:line="312" w:lineRule="auto"/>
        <w:ind w:firstLine="735" w:firstLineChars="35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w:t>
      </w:r>
      <w:r>
        <w:rPr>
          <w:rFonts w:hint="eastAsia" w:ascii="宋体" w:hAnsi="宋体" w:eastAsia="宋体" w:cs="宋体"/>
          <w:color w:val="auto"/>
          <w:kern w:val="0"/>
          <w:szCs w:val="21"/>
          <w:highlight w:val="none"/>
          <w:lang w:eastAsia="zh-CN"/>
        </w:rPr>
        <w:t>2481191 .49</w:t>
      </w:r>
      <w:r>
        <w:rPr>
          <w:rFonts w:hint="eastAsia" w:ascii="宋体" w:hAnsi="宋体" w:eastAsia="宋体" w:cs="宋体"/>
          <w:color w:val="auto"/>
          <w:kern w:val="0"/>
          <w:szCs w:val="21"/>
          <w:highlight w:val="none"/>
          <w:lang w:val="en-US" w:eastAsia="zh-CN"/>
        </w:rPr>
        <w:t>元</w:t>
      </w:r>
    </w:p>
    <w:p w14:paraId="61FAB08C">
      <w:pPr>
        <w:spacing w:line="312" w:lineRule="auto"/>
        <w:ind w:firstLine="735" w:firstLineChars="3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简要规格描述或项目基本概况介绍、用途：</w:t>
      </w:r>
      <w:r>
        <w:rPr>
          <w:rFonts w:hint="eastAsia" w:ascii="宋体" w:hAnsi="宋体" w:eastAsia="宋体" w:cs="宋体"/>
          <w:color w:val="auto"/>
          <w:kern w:val="0"/>
          <w:szCs w:val="21"/>
          <w:highlight w:val="none"/>
          <w:lang w:eastAsia="zh-CN"/>
        </w:rPr>
        <w:t>梧州市临床病理诊断中心项目施工</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项，</w:t>
      </w:r>
      <w:r>
        <w:rPr>
          <w:rFonts w:hint="eastAsia" w:ascii="宋体" w:hAnsi="宋体" w:eastAsia="宋体" w:cs="宋体"/>
          <w:color w:val="auto"/>
          <w:kern w:val="0"/>
          <w:szCs w:val="21"/>
          <w:highlight w:val="none"/>
          <w:lang w:val="en-US" w:eastAsia="zh-CN"/>
        </w:rPr>
        <w:t>本项目为</w:t>
      </w:r>
      <w:r>
        <w:rPr>
          <w:rFonts w:hint="eastAsia" w:ascii="宋体" w:hAnsi="宋体" w:eastAsia="宋体" w:cs="宋体"/>
          <w:color w:val="auto"/>
          <w:kern w:val="0"/>
          <w:szCs w:val="21"/>
          <w:highlight w:val="none"/>
        </w:rPr>
        <w:t>梧州市临床病理诊断中心中座第三、四层二次装修改造工程，第三、四层原功能为呼吸内科、病房，现第三层改造为病理科，第四层改造为病理诊断、办公区。三层、四层层高3.4m。详见工程量清单、图纸。</w:t>
      </w:r>
    </w:p>
    <w:p w14:paraId="695DFB6E">
      <w:pPr>
        <w:spacing w:line="312" w:lineRule="auto"/>
        <w:ind w:firstLine="735" w:firstLineChars="3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最高限价（如有）：</w:t>
      </w:r>
      <w:r>
        <w:rPr>
          <w:rFonts w:hint="eastAsia" w:ascii="宋体" w:hAnsi="宋体" w:eastAsia="宋体" w:cs="宋体"/>
          <w:color w:val="auto"/>
          <w:kern w:val="0"/>
          <w:szCs w:val="21"/>
          <w:highlight w:val="none"/>
          <w:lang w:eastAsia="zh-CN"/>
        </w:rPr>
        <w:t>2481191 .49</w:t>
      </w:r>
      <w:r>
        <w:rPr>
          <w:rFonts w:hint="eastAsia" w:ascii="宋体" w:hAnsi="宋体" w:eastAsia="宋体" w:cs="宋体"/>
          <w:color w:val="auto"/>
          <w:kern w:val="0"/>
          <w:szCs w:val="21"/>
          <w:highlight w:val="none"/>
        </w:rPr>
        <w:t>元</w:t>
      </w:r>
    </w:p>
    <w:p w14:paraId="55C21DBC">
      <w:pPr>
        <w:spacing w:line="312" w:lineRule="auto"/>
        <w:ind w:firstLine="735" w:firstLineChars="35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合同履约期限：</w:t>
      </w:r>
      <w:r>
        <w:rPr>
          <w:rFonts w:hint="eastAsia" w:ascii="宋体" w:hAnsi="宋体" w:eastAsia="宋体" w:cs="宋体"/>
          <w:color w:val="auto"/>
          <w:kern w:val="0"/>
          <w:szCs w:val="21"/>
          <w:highlight w:val="none"/>
          <w:lang w:eastAsia="zh-CN"/>
        </w:rPr>
        <w:t>自合同签订之日起90个日历日内完工</w:t>
      </w:r>
    </w:p>
    <w:p w14:paraId="0EE1C538">
      <w:pPr>
        <w:spacing w:line="312" w:lineRule="auto"/>
        <w:ind w:firstLine="735" w:firstLineChars="3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w:t>
      </w:r>
      <w:r>
        <w:rPr>
          <w:rFonts w:hint="eastAsia" w:ascii="宋体" w:hAnsi="宋体" w:eastAsia="宋体" w:cs="宋体"/>
          <w:color w:val="auto"/>
          <w:szCs w:val="21"/>
          <w:highlight w:val="none"/>
        </w:rPr>
        <w:t>否</w:t>
      </w:r>
      <w:r>
        <w:rPr>
          <w:rFonts w:hint="eastAsia" w:ascii="宋体" w:hAnsi="宋体" w:eastAsia="宋体" w:cs="宋体"/>
          <w:color w:val="auto"/>
          <w:kern w:val="0"/>
          <w:szCs w:val="21"/>
          <w:highlight w:val="none"/>
        </w:rPr>
        <w:t>）接受联合体。</w:t>
      </w:r>
    </w:p>
    <w:bookmarkEnd w:id="11"/>
    <w:p w14:paraId="1F32A127">
      <w:pPr>
        <w:spacing w:line="312" w:lineRule="auto"/>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二、申请人的资格要求</w:t>
      </w:r>
    </w:p>
    <w:p w14:paraId="0E7D5EF9">
      <w:pPr>
        <w:spacing w:line="312" w:lineRule="auto"/>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1.满足《中华人民共和国政府采购法》第二十二条规定；</w:t>
      </w:r>
    </w:p>
    <w:p w14:paraId="5944951E">
      <w:pPr>
        <w:spacing w:line="312" w:lineRule="auto"/>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2.落实政府采购政策需满足的资格要求：本项目为</w:t>
      </w:r>
      <w:r>
        <w:rPr>
          <w:rFonts w:hint="eastAsia" w:ascii="宋体" w:hAnsi="宋体" w:eastAsia="宋体" w:cs="宋体"/>
          <w:b w:val="0"/>
          <w:bCs w:val="0"/>
          <w:color w:val="auto"/>
          <w:kern w:val="0"/>
          <w:sz w:val="21"/>
          <w:szCs w:val="21"/>
          <w:highlight w:val="none"/>
          <w:lang w:eastAsia="zh-CN"/>
        </w:rPr>
        <w:t>不</w:t>
      </w:r>
      <w:r>
        <w:rPr>
          <w:rFonts w:hint="eastAsia" w:ascii="宋体" w:hAnsi="宋体" w:eastAsia="宋体" w:cs="宋体"/>
          <w:b w:val="0"/>
          <w:bCs w:val="0"/>
          <w:color w:val="auto"/>
          <w:kern w:val="0"/>
          <w:sz w:val="21"/>
          <w:szCs w:val="21"/>
          <w:highlight w:val="none"/>
        </w:rPr>
        <w:t>专门面向中小企业采购的项目</w:t>
      </w:r>
    </w:p>
    <w:p w14:paraId="6F97DE9F">
      <w:pPr>
        <w:spacing w:line="312" w:lineRule="auto"/>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鉴于本次病理中心项目属于特殊医疗装修工程，其建设标准需严格遵循医疗行业规范及卫生安全标准，施工工艺复杂、技术要求高。目前中小企业在同类特殊医疗装修项目经验积累相对不足，过往承接的同类项目数量有限，在项目执行能力、技术保障水平及应对复杂工程问题的能力方面存在一定局限性。为确保项目高质量、高效率完成，保障病理中心投入使用后的安全性与专业性，</w:t>
      </w:r>
      <w:r>
        <w:rPr>
          <w:rFonts w:hint="eastAsia" w:ascii="宋体" w:hAnsi="宋体" w:eastAsia="宋体" w:cs="宋体"/>
          <w:b w:val="0"/>
          <w:bCs w:val="0"/>
          <w:color w:val="auto"/>
          <w:kern w:val="0"/>
          <w:sz w:val="21"/>
          <w:szCs w:val="21"/>
          <w:highlight w:val="none"/>
          <w:lang w:eastAsia="zh-CN"/>
        </w:rPr>
        <w:t>允许</w:t>
      </w:r>
      <w:r>
        <w:rPr>
          <w:rFonts w:hint="eastAsia" w:ascii="宋体" w:hAnsi="宋体" w:eastAsia="宋体" w:cs="宋体"/>
          <w:b w:val="0"/>
          <w:bCs w:val="0"/>
          <w:color w:val="auto"/>
          <w:kern w:val="0"/>
          <w:sz w:val="21"/>
          <w:szCs w:val="21"/>
          <w:highlight w:val="none"/>
        </w:rPr>
        <w:t>具备丰富同类项目经验的大型企业参与，保障项目建设效果达到预期标准。</w:t>
      </w:r>
    </w:p>
    <w:p w14:paraId="63140AA6">
      <w:pPr>
        <w:numPr>
          <w:ilvl w:val="0"/>
          <w:numId w:val="2"/>
        </w:numPr>
        <w:spacing w:line="312" w:lineRule="auto"/>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本项目的特定资格要求：</w:t>
      </w:r>
    </w:p>
    <w:p w14:paraId="17208C36">
      <w:pPr>
        <w:numPr>
          <w:ilvl w:val="0"/>
          <w:numId w:val="3"/>
        </w:numPr>
        <w:spacing w:line="312" w:lineRule="auto"/>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建筑装修装饰工程专业承包</w:t>
      </w:r>
      <w:r>
        <w:rPr>
          <w:rFonts w:hint="eastAsia" w:ascii="宋体" w:hAnsi="宋体" w:eastAsia="宋体" w:cs="宋体"/>
          <w:b w:val="0"/>
          <w:bCs w:val="0"/>
          <w:color w:val="auto"/>
          <w:kern w:val="0"/>
          <w:sz w:val="21"/>
          <w:szCs w:val="21"/>
          <w:highlight w:val="none"/>
          <w:lang w:val="en-US" w:eastAsia="zh-CN"/>
        </w:rPr>
        <w:t>二</w:t>
      </w:r>
      <w:r>
        <w:rPr>
          <w:rFonts w:hint="eastAsia" w:ascii="宋体" w:hAnsi="宋体" w:eastAsia="宋体" w:cs="宋体"/>
          <w:b w:val="0"/>
          <w:bCs w:val="0"/>
          <w:color w:val="auto"/>
          <w:kern w:val="0"/>
          <w:sz w:val="21"/>
          <w:szCs w:val="21"/>
          <w:highlight w:val="none"/>
        </w:rPr>
        <w:t>级（或以上）资质的服务商，并在人员、设备、资金等方面具有相应的施工能力。</w:t>
      </w:r>
    </w:p>
    <w:p w14:paraId="5771B565">
      <w:pPr>
        <w:numPr>
          <w:numId w:val="0"/>
        </w:numPr>
        <w:spacing w:line="312" w:lineRule="auto"/>
        <w:ind w:firstLine="420" w:firstLineChars="20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 xml:space="preserve">其中，拟派本项目的项目经理须具备建筑工程专业二级以上（含二级）注册建造师执业资格，具有有效的安全生产考核合格证书（B类），项目专职安全生产管理人员：具备有效专职安全员安全生产考核合格证书（C类）,本项目不接受有在建、已中标未开工或已列为其他项目中标候选人第一名的建造师作为项目经理； </w:t>
      </w:r>
    </w:p>
    <w:p w14:paraId="1F37B87E">
      <w:pPr>
        <w:spacing w:line="312"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（3）业绩要求：无。</w:t>
      </w:r>
    </w:p>
    <w:p w14:paraId="3B6E190D">
      <w:pPr>
        <w:spacing w:line="312"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17A73C31">
      <w:pPr>
        <w:spacing w:line="312"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（5）未被列入失信被执行人、重大税收违法失信主体、政府采购严重违法失信行为记录名单。</w:t>
      </w:r>
    </w:p>
    <w:p w14:paraId="64393E61">
      <w:pPr>
        <w:spacing w:line="312" w:lineRule="auto"/>
        <w:ind w:firstLine="420" w:firstLineChars="200"/>
        <w:jc w:val="left"/>
        <w:rPr>
          <w:rFonts w:hint="eastAsia" w:ascii="宋体" w:hAnsi="宋体" w:eastAsia="宋体" w:cs="宋体"/>
          <w:color w:val="auto"/>
          <w:kern w:val="0"/>
          <w:sz w:val="21"/>
          <w:szCs w:val="21"/>
          <w:highlight w:val="none"/>
        </w:rPr>
      </w:pPr>
      <w:bookmarkStart w:id="12" w:name="_Hlk132732817"/>
      <w:r>
        <w:rPr>
          <w:rFonts w:hint="eastAsia" w:ascii="宋体" w:hAnsi="宋体" w:eastAsia="宋体" w:cs="宋体"/>
          <w:color w:val="auto"/>
          <w:sz w:val="21"/>
          <w:szCs w:val="21"/>
          <w:highlight w:val="none"/>
        </w:rPr>
        <w:t>（6）</w:t>
      </w:r>
      <w:r>
        <w:rPr>
          <w:rFonts w:hint="eastAsia" w:ascii="宋体" w:hAnsi="宋体" w:eastAsia="宋体" w:cs="宋体"/>
          <w:color w:val="auto"/>
          <w:kern w:val="0"/>
          <w:sz w:val="21"/>
          <w:szCs w:val="21"/>
          <w:highlight w:val="none"/>
        </w:rPr>
        <w:t>本项目不允许分包。</w:t>
      </w:r>
    </w:p>
    <w:p w14:paraId="174A5332">
      <w:pPr>
        <w:spacing w:line="312"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（7）本项目不接受联合体。</w:t>
      </w:r>
      <w:bookmarkEnd w:id="12"/>
    </w:p>
    <w:p w14:paraId="2663C52D">
      <w:pPr>
        <w:spacing w:line="312"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Cs w:val="21"/>
          <w:highlight w:val="none"/>
        </w:rPr>
        <w:t>按照磋商公告规定获得采购文件。</w:t>
      </w:r>
    </w:p>
    <w:p w14:paraId="0585778C">
      <w:pPr>
        <w:spacing w:line="312" w:lineRule="auto"/>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三、获取采购文件</w:t>
      </w:r>
    </w:p>
    <w:p w14:paraId="7C235E40">
      <w:pPr>
        <w:spacing w:line="312"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u w:val="single"/>
        </w:rPr>
        <w:t>202</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年</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u w:val="single"/>
        </w:rPr>
        <w:t xml:space="preserve"> 月 </w:t>
      </w:r>
      <w:r>
        <w:rPr>
          <w:rFonts w:hint="eastAsia" w:ascii="宋体" w:hAnsi="宋体" w:cs="宋体"/>
          <w:color w:val="auto"/>
          <w:highlight w:val="none"/>
          <w:u w:val="single"/>
          <w:lang w:val="en-US" w:eastAsia="zh-CN"/>
        </w:rPr>
        <w:t>24</w:t>
      </w:r>
      <w:r>
        <w:rPr>
          <w:rFonts w:hint="eastAsia" w:ascii="宋体" w:hAnsi="宋体" w:eastAsia="宋体" w:cs="宋体"/>
          <w:color w:val="auto"/>
          <w:highlight w:val="none"/>
          <w:u w:val="single"/>
        </w:rPr>
        <w:t>日起至202</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 xml:space="preserve">年 </w:t>
      </w:r>
      <w:r>
        <w:rPr>
          <w:rFonts w:hint="eastAsia" w:ascii="宋体" w:hAnsi="宋体" w:cs="宋体"/>
          <w:color w:val="auto"/>
          <w:highlight w:val="none"/>
          <w:u w:val="single"/>
          <w:lang w:val="en-US" w:eastAsia="zh-CN"/>
        </w:rPr>
        <w:t>7</w:t>
      </w:r>
      <w:r>
        <w:rPr>
          <w:rFonts w:hint="eastAsia" w:ascii="宋体" w:hAnsi="宋体" w:eastAsia="宋体" w:cs="宋体"/>
          <w:color w:val="auto"/>
          <w:highlight w:val="none"/>
          <w:u w:val="single"/>
        </w:rPr>
        <w:t xml:space="preserve">月 </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u w:val="single"/>
        </w:rPr>
        <w:t>日</w:t>
      </w:r>
      <w:r>
        <w:rPr>
          <w:rFonts w:hint="eastAsia" w:ascii="宋体" w:hAnsi="宋体" w:eastAsia="宋体" w:cs="宋体"/>
          <w:color w:val="auto"/>
          <w:highlight w:val="none"/>
        </w:rPr>
        <w:t>。</w:t>
      </w:r>
    </w:p>
    <w:p w14:paraId="6E29CA1D">
      <w:pPr>
        <w:spacing w:line="312" w:lineRule="auto"/>
        <w:ind w:firstLine="420" w:firstLineChars="200"/>
        <w:jc w:val="left"/>
        <w:rPr>
          <w:rFonts w:hint="eastAsia" w:ascii="宋体" w:hAnsi="宋体" w:eastAsia="宋体" w:cs="宋体"/>
          <w:color w:val="auto"/>
          <w:highlight w:val="none"/>
        </w:rPr>
      </w:pPr>
      <w:bookmarkStart w:id="13" w:name="_Hlk46137393"/>
      <w:r>
        <w:rPr>
          <w:rFonts w:hint="eastAsia" w:ascii="宋体" w:hAnsi="宋体" w:eastAsia="宋体" w:cs="宋体"/>
          <w:color w:val="auto"/>
          <w:highlight w:val="none"/>
        </w:rPr>
        <w:t>地点（网址）</w:t>
      </w:r>
      <w:bookmarkEnd w:id="13"/>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广西</w:t>
      </w:r>
      <w:r>
        <w:rPr>
          <w:rFonts w:hint="eastAsia" w:ascii="宋体" w:hAnsi="宋体" w:eastAsia="宋体" w:cs="宋体"/>
          <w:color w:val="auto"/>
          <w:highlight w:val="none"/>
        </w:rPr>
        <w:t xml:space="preserve">政府采购云平台 </w:t>
      </w:r>
      <w:r>
        <w:rPr>
          <w:rFonts w:hint="eastAsia" w:ascii="宋体" w:hAnsi="宋体" w:eastAsia="宋体" w:cs="宋体"/>
          <w:color w:val="auto"/>
          <w:szCs w:val="21"/>
          <w:highlight w:val="none"/>
        </w:rPr>
        <w:t>（</w:t>
      </w:r>
      <w:r>
        <w:rPr>
          <w:rFonts w:hint="eastAsia" w:ascii="宋体" w:hAnsi="宋体" w:eastAsia="宋体" w:cs="宋体"/>
          <w:b w:val="0"/>
          <w:bCs w:val="0"/>
          <w:color w:val="auto"/>
          <w:kern w:val="0"/>
          <w:sz w:val="22"/>
          <w:szCs w:val="22"/>
          <w:highlight w:val="none"/>
        </w:rPr>
        <w:t>https://www.gcy.zfcg.gxzf.gov.cn/</w:t>
      </w:r>
      <w:r>
        <w:rPr>
          <w:rFonts w:hint="eastAsia" w:ascii="宋体" w:hAnsi="宋体" w:eastAsia="宋体" w:cs="宋体"/>
          <w:color w:val="auto"/>
          <w:szCs w:val="21"/>
          <w:highlight w:val="none"/>
        </w:rPr>
        <w:t>）</w:t>
      </w:r>
    </w:p>
    <w:p w14:paraId="08BD180D">
      <w:pPr>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方式：供应商登录政府采购云平台</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在线申请获取采购文件（进入“项目采购”应用，在获取采购文件菜单中选择项目，申请获取采购文件）</w:t>
      </w:r>
    </w:p>
    <w:p w14:paraId="0DF7B03A">
      <w:pPr>
        <w:spacing w:line="312"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售价（元）：0</w:t>
      </w:r>
    </w:p>
    <w:p w14:paraId="6C66394C">
      <w:pPr>
        <w:spacing w:line="312" w:lineRule="auto"/>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四、响应文件提交</w:t>
      </w:r>
    </w:p>
    <w:p w14:paraId="39B584F5">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u w:val="single"/>
        </w:rPr>
        <w:t>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 xml:space="preserve">年 </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月 </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u w:val="single"/>
        </w:rPr>
        <w:t xml:space="preserve"> 日</w:t>
      </w:r>
      <w:r>
        <w:rPr>
          <w:rFonts w:hint="eastAsia" w:ascii="宋体" w:hAnsi="宋体" w:eastAsia="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rPr>
        <w:t>（北京时间）</w:t>
      </w:r>
    </w:p>
    <w:p w14:paraId="4AB49F65">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地点（网址）：登录</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广西</w:t>
      </w:r>
      <w:r>
        <w:rPr>
          <w:rFonts w:hint="eastAsia" w:ascii="宋体" w:hAnsi="宋体" w:eastAsia="宋体" w:cs="宋体"/>
          <w:color w:val="auto"/>
          <w:kern w:val="0"/>
          <w:szCs w:val="21"/>
          <w:highlight w:val="none"/>
        </w:rPr>
        <w:t>政府采购云平台”（https://www.gcy.zfcg.gxzf.gov.cn/）</w:t>
      </w:r>
      <w:r>
        <w:rPr>
          <w:rFonts w:hint="eastAsia" w:ascii="宋体" w:hAnsi="宋体" w:eastAsia="宋体" w:cs="宋体"/>
          <w:color w:val="auto"/>
          <w:kern w:val="0"/>
          <w:szCs w:val="21"/>
          <w:highlight w:val="none"/>
          <w:lang w:eastAsia="zh-CN"/>
        </w:rPr>
        <w:t>上传加密投标响应文件。</w:t>
      </w:r>
    </w:p>
    <w:p w14:paraId="1B269678">
      <w:pPr>
        <w:spacing w:line="312" w:lineRule="auto"/>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五、开启</w:t>
      </w:r>
    </w:p>
    <w:p w14:paraId="70342E71">
      <w:pPr>
        <w:spacing w:line="312" w:lineRule="auto"/>
        <w:ind w:firstLine="44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 w:val="22"/>
          <w:szCs w:val="22"/>
          <w:highlight w:val="none"/>
        </w:rPr>
        <w:t>开启时间：</w:t>
      </w:r>
      <w:r>
        <w:rPr>
          <w:rFonts w:hint="eastAsia" w:ascii="宋体" w:hAnsi="宋体" w:eastAsia="宋体" w:cs="宋体"/>
          <w:color w:val="auto"/>
          <w:kern w:val="0"/>
          <w:szCs w:val="21"/>
          <w:highlight w:val="none"/>
          <w:u w:val="single"/>
        </w:rPr>
        <w:t>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u w:val="single"/>
        </w:rPr>
        <w:t xml:space="preserve">月 </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日</w:t>
      </w:r>
      <w:r>
        <w:rPr>
          <w:rFonts w:hint="eastAsia" w:ascii="宋体" w:hAnsi="宋体" w:eastAsia="宋体" w:cs="宋体"/>
          <w:color w:val="auto"/>
          <w:kern w:val="0"/>
          <w:szCs w:val="21"/>
          <w:highlight w:val="none"/>
          <w:u w:val="single"/>
          <w:lang w:val="en-US" w:eastAsia="zh-CN"/>
        </w:rPr>
        <w:t>9</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rPr>
        <w:t>0</w:t>
      </w:r>
      <w:r>
        <w:rPr>
          <w:rFonts w:hint="eastAsia" w:ascii="宋体" w:hAnsi="宋体" w:eastAsia="宋体" w:cs="宋体"/>
          <w:color w:val="auto"/>
          <w:kern w:val="0"/>
          <w:szCs w:val="21"/>
          <w:highlight w:val="none"/>
        </w:rPr>
        <w:t>（北京时间）</w:t>
      </w:r>
    </w:p>
    <w:p w14:paraId="7CC81761">
      <w:pPr>
        <w:spacing w:line="312" w:lineRule="auto"/>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地点：</w:t>
      </w:r>
      <w:r>
        <w:rPr>
          <w:rFonts w:hint="eastAsia" w:ascii="宋体" w:hAnsi="宋体" w:eastAsia="宋体" w:cs="宋体"/>
          <w:b w:val="0"/>
          <w:bCs w:val="0"/>
          <w:color w:val="auto"/>
          <w:kern w:val="0"/>
          <w:sz w:val="22"/>
          <w:szCs w:val="22"/>
          <w:highlight w:val="none"/>
        </w:rPr>
        <w:t>在</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广西</w:t>
      </w:r>
      <w:r>
        <w:rPr>
          <w:rFonts w:hint="eastAsia" w:ascii="宋体" w:hAnsi="宋体" w:eastAsia="宋体" w:cs="宋体"/>
          <w:b w:val="0"/>
          <w:bCs w:val="0"/>
          <w:color w:val="auto"/>
          <w:kern w:val="0"/>
          <w:sz w:val="22"/>
          <w:szCs w:val="22"/>
          <w:highlight w:val="none"/>
        </w:rPr>
        <w:t>政府采购云平台”（https://www.gcy.zfcg.gxzf.gov.cn/）线上解密开启投标</w:t>
      </w:r>
      <w:r>
        <w:rPr>
          <w:rFonts w:hint="eastAsia" w:ascii="宋体" w:hAnsi="宋体" w:eastAsia="宋体" w:cs="宋体"/>
          <w:b w:val="0"/>
          <w:bCs w:val="0"/>
          <w:color w:val="auto"/>
          <w:kern w:val="0"/>
          <w:sz w:val="22"/>
          <w:szCs w:val="22"/>
          <w:highlight w:val="none"/>
          <w:lang w:eastAsia="zh-CN"/>
        </w:rPr>
        <w:t>响应</w:t>
      </w:r>
      <w:r>
        <w:rPr>
          <w:rFonts w:hint="eastAsia" w:ascii="宋体" w:hAnsi="宋体" w:eastAsia="宋体" w:cs="宋体"/>
          <w:b w:val="0"/>
          <w:bCs w:val="0"/>
          <w:color w:val="auto"/>
          <w:kern w:val="0"/>
          <w:sz w:val="22"/>
          <w:szCs w:val="22"/>
          <w:highlight w:val="none"/>
        </w:rPr>
        <w:t>文件</w:t>
      </w:r>
      <w:r>
        <w:rPr>
          <w:rFonts w:hint="eastAsia" w:ascii="宋体" w:hAnsi="宋体" w:eastAsia="宋体" w:cs="宋体"/>
          <w:b w:val="0"/>
          <w:bCs w:val="0"/>
          <w:color w:val="auto"/>
          <w:kern w:val="0"/>
          <w:sz w:val="22"/>
          <w:szCs w:val="22"/>
          <w:highlight w:val="none"/>
          <w:lang w:eastAsia="zh-CN"/>
        </w:rPr>
        <w:t>，解密时间为</w:t>
      </w:r>
      <w:r>
        <w:rPr>
          <w:rFonts w:hint="eastAsia" w:ascii="宋体" w:hAnsi="宋体" w:eastAsia="宋体" w:cs="宋体"/>
          <w:b w:val="0"/>
          <w:bCs w:val="0"/>
          <w:color w:val="auto"/>
          <w:kern w:val="0"/>
          <w:sz w:val="22"/>
          <w:szCs w:val="22"/>
          <w:highlight w:val="none"/>
          <w:lang w:val="en-US" w:eastAsia="zh-CN"/>
        </w:rPr>
        <w:t>30分钟，请各潜在供应商合理安排时间</w:t>
      </w:r>
      <w:r>
        <w:rPr>
          <w:rFonts w:hint="eastAsia" w:ascii="宋体" w:hAnsi="宋体" w:eastAsia="宋体" w:cs="宋体"/>
          <w:b w:val="0"/>
          <w:bCs w:val="0"/>
          <w:color w:val="auto"/>
          <w:kern w:val="0"/>
          <w:sz w:val="22"/>
          <w:szCs w:val="22"/>
          <w:highlight w:val="none"/>
        </w:rPr>
        <w:t>。</w:t>
      </w:r>
    </w:p>
    <w:p w14:paraId="110B2C5F">
      <w:pPr>
        <w:spacing w:line="312" w:lineRule="auto"/>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六、公告期限</w:t>
      </w:r>
    </w:p>
    <w:p w14:paraId="24CDFF4A">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41DA31A6">
      <w:pPr>
        <w:spacing w:line="312" w:lineRule="auto"/>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七、其他补充事宜</w:t>
      </w:r>
    </w:p>
    <w:p w14:paraId="6A77AE0D">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1.公告发布媒体：</w:t>
      </w:r>
      <w:r>
        <w:rPr>
          <w:rFonts w:hint="eastAsia" w:ascii="宋体" w:hAnsi="宋体" w:eastAsia="宋体" w:cs="宋体"/>
          <w:color w:val="auto"/>
          <w:kern w:val="0"/>
          <w:szCs w:val="21"/>
          <w:highlight w:val="none"/>
          <w:lang w:val="en-US" w:eastAsia="zh-CN"/>
        </w:rPr>
        <w:t>中国政府采购网、</w:t>
      </w:r>
      <w:r>
        <w:rPr>
          <w:rFonts w:hint="eastAsia" w:ascii="宋体" w:hAnsi="宋体" w:eastAsia="宋体" w:cs="宋体"/>
          <w:color w:val="auto"/>
          <w:kern w:val="0"/>
          <w:szCs w:val="21"/>
          <w:highlight w:val="none"/>
        </w:rPr>
        <w:t>广西壮族自治区政府采购网、梧州市政府采购网</w:t>
      </w:r>
    </w:p>
    <w:p w14:paraId="25316D3E">
      <w:pPr>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.注意事项：</w:t>
      </w:r>
    </w:p>
    <w:p w14:paraId="4FEC402A">
      <w:pPr>
        <w:spacing w:line="276" w:lineRule="auto"/>
        <w:ind w:firstLine="420" w:firstLineChars="200"/>
        <w:rPr>
          <w:rFonts w:hint="eastAsia" w:ascii="宋体" w:hAnsi="宋体" w:eastAsia="宋体" w:cs="宋体"/>
          <w:color w:val="auto"/>
          <w:szCs w:val="21"/>
          <w:highlight w:val="none"/>
        </w:rPr>
      </w:pPr>
      <w:bookmarkStart w:id="14" w:name="_Hlk49778118"/>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未进行网上注册并办理数字证书（CA认证）的供应商将无法参与本项目政府采购活动，潜在供应商应当在响应截止时间前，完成政府采购云平台上的CA数字证书办理及响应文件的提交。完成CA数字证书办理预计7日左右，建议各供应商抓紧时间办理。</w:t>
      </w:r>
    </w:p>
    <w:p w14:paraId="22DFB31E">
      <w:pPr>
        <w:spacing w:line="27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38624AD9">
      <w:pPr>
        <w:spacing w:line="276"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（3）若对项目采购电子交易系统操作有疑问，可登录“</w:t>
      </w:r>
      <w:r>
        <w:rPr>
          <w:rFonts w:hint="eastAsia" w:ascii="宋体" w:hAnsi="宋体" w:cs="宋体"/>
          <w:color w:val="auto"/>
          <w:kern w:val="0"/>
          <w:szCs w:val="21"/>
          <w:highlight w:val="none"/>
          <w:lang w:val="en-US" w:eastAsia="zh-CN"/>
        </w:rPr>
        <w:t>广西</w:t>
      </w:r>
      <w:r>
        <w:rPr>
          <w:rFonts w:hint="eastAsia" w:ascii="宋体" w:hAnsi="宋体" w:eastAsia="宋体" w:cs="宋体"/>
          <w:color w:val="auto"/>
          <w:kern w:val="0"/>
          <w:szCs w:val="21"/>
          <w:highlight w:val="none"/>
        </w:rPr>
        <w:t>政府采购云平台”平台（</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），点击右侧咨询小采获取采小蜜智能服务管家帮助或点击右侧帮助文档查看供应商指南或拨打政府采购云平台服务热线95763获取热线服务帮助。</w:t>
      </w:r>
    </w:p>
    <w:bookmarkEnd w:id="14"/>
    <w:p w14:paraId="5FF3EE1D">
      <w:pPr>
        <w:spacing w:line="276" w:lineRule="auto"/>
        <w:ind w:firstLine="442" w:firstLineChars="200"/>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八、对本次采购提出询问，请按以下方式联系</w:t>
      </w:r>
    </w:p>
    <w:p w14:paraId="2B0DA65E">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69874E95">
      <w:pPr>
        <w:spacing w:line="312" w:lineRule="auto"/>
        <w:ind w:firstLine="420" w:firstLineChars="200"/>
        <w:jc w:val="left"/>
        <w:rPr>
          <w:rFonts w:hint="eastAsia" w:ascii="宋体" w:hAnsi="宋体" w:eastAsia="宋体" w:cs="宋体"/>
          <w:color w:val="auto"/>
          <w:kern w:val="0"/>
          <w:szCs w:val="21"/>
          <w:highlight w:val="none"/>
          <w:u w:val="single"/>
          <w:lang w:eastAsia="zh-CN"/>
        </w:rPr>
      </w:pPr>
      <w:bookmarkStart w:id="15" w:name="_Hlk19048373"/>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lang w:eastAsia="zh-CN"/>
        </w:rPr>
        <w:t>梧州市工人医院</w:t>
      </w:r>
    </w:p>
    <w:p w14:paraId="3B906AE2">
      <w:pPr>
        <w:spacing w:line="312" w:lineRule="auto"/>
        <w:ind w:firstLine="420" w:firstLineChars="200"/>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lang w:eastAsia="zh-CN"/>
        </w:rPr>
        <w:t>梧州市万秀区高地路南三巷1号</w:t>
      </w:r>
    </w:p>
    <w:p w14:paraId="6411E794">
      <w:pPr>
        <w:spacing w:line="312" w:lineRule="auto"/>
        <w:ind w:firstLine="420" w:firstLineChars="200"/>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u w:val="single"/>
          <w:lang w:val="en-US" w:eastAsia="zh-CN"/>
        </w:rPr>
        <w:t>叶工</w:t>
      </w:r>
    </w:p>
    <w:p w14:paraId="3FC70AAA">
      <w:pPr>
        <w:spacing w:line="312" w:lineRule="auto"/>
        <w:ind w:firstLine="420" w:firstLineChars="200"/>
        <w:jc w:val="left"/>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项目联系方式：</w:t>
      </w:r>
      <w:r>
        <w:rPr>
          <w:rFonts w:hint="eastAsia" w:ascii="宋体" w:hAnsi="宋体" w:eastAsia="宋体" w:cs="宋体"/>
          <w:color w:val="auto"/>
          <w:kern w:val="0"/>
          <w:szCs w:val="21"/>
          <w:highlight w:val="none"/>
          <w:u w:val="single"/>
          <w:lang w:eastAsia="zh-CN"/>
        </w:rPr>
        <w:t>0774-2030686</w:t>
      </w:r>
    </w:p>
    <w:p w14:paraId="79A0C197">
      <w:pPr>
        <w:spacing w:line="312"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6F4D8C89">
      <w:pPr>
        <w:spacing w:line="312"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single"/>
        </w:rPr>
        <w:t>中经国际招标集团有限公司</w:t>
      </w:r>
    </w:p>
    <w:p w14:paraId="440CF86A">
      <w:pPr>
        <w:spacing w:line="312"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szCs w:val="21"/>
          <w:highlight w:val="none"/>
        </w:rPr>
        <w:t>地址：</w:t>
      </w:r>
      <w:bookmarkStart w:id="16" w:name="_Hlk43199749"/>
      <w:r>
        <w:rPr>
          <w:rFonts w:hint="eastAsia" w:ascii="宋体" w:hAnsi="宋体" w:eastAsia="宋体" w:cs="宋体"/>
          <w:color w:val="auto"/>
          <w:highlight w:val="none"/>
          <w:u w:val="single"/>
        </w:rPr>
        <w:t>广西梧州市长洲区新兴二路125号梧州日报社8楼</w:t>
      </w:r>
    </w:p>
    <w:bookmarkEnd w:id="15"/>
    <w:bookmarkEnd w:id="16"/>
    <w:p w14:paraId="22CC75EB">
      <w:pPr>
        <w:spacing w:line="312" w:lineRule="auto"/>
        <w:ind w:firstLine="420" w:firstLineChars="200"/>
        <w:jc w:val="left"/>
        <w:rPr>
          <w:rFonts w:hint="eastAsia" w:ascii="宋体" w:hAnsi="宋体" w:eastAsia="宋体" w:cs="宋体"/>
          <w:color w:val="auto"/>
          <w:kern w:val="0"/>
          <w:szCs w:val="21"/>
          <w:highlight w:val="none"/>
          <w:u w:val="single"/>
          <w:lang w:eastAsia="zh-CN"/>
        </w:rPr>
      </w:pPr>
      <w:bookmarkStart w:id="17" w:name="_Toc254970631"/>
      <w:bookmarkStart w:id="18" w:name="_Toc254970490"/>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u w:val="single"/>
          <w:lang w:eastAsia="zh-CN"/>
        </w:rPr>
        <w:t>黄小姐</w:t>
      </w:r>
    </w:p>
    <w:p w14:paraId="11596106">
      <w:pPr>
        <w:spacing w:line="312" w:lineRule="auto"/>
        <w:ind w:right="4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项目联系方式：</w:t>
      </w:r>
      <w:r>
        <w:rPr>
          <w:rFonts w:hint="eastAsia" w:ascii="宋体" w:hAnsi="宋体" w:eastAsia="宋体" w:cs="宋体"/>
          <w:color w:val="auto"/>
          <w:kern w:val="0"/>
          <w:szCs w:val="21"/>
          <w:highlight w:val="none"/>
          <w:u w:val="single"/>
        </w:rPr>
        <w:t>0774-3819193</w:t>
      </w:r>
    </w:p>
    <w:p w14:paraId="250A84A1">
      <w:pPr>
        <w:spacing w:line="312" w:lineRule="auto"/>
        <w:ind w:firstLine="442" w:firstLineChars="200"/>
        <w:jc w:val="right"/>
        <w:rPr>
          <w:rFonts w:hint="eastAsia" w:ascii="宋体" w:hAnsi="宋体" w:eastAsia="宋体" w:cs="宋体"/>
          <w:b/>
          <w:bCs/>
          <w:color w:val="auto"/>
          <w:kern w:val="0"/>
          <w:sz w:val="22"/>
          <w:szCs w:val="22"/>
          <w:highlight w:val="none"/>
        </w:rPr>
      </w:pPr>
    </w:p>
    <w:p w14:paraId="594E2B24">
      <w:pPr>
        <w:spacing w:line="312" w:lineRule="auto"/>
        <w:ind w:firstLine="420" w:firstLineChars="200"/>
        <w:jc w:val="right"/>
        <w:rPr>
          <w:rFonts w:hint="eastAsia" w:ascii="宋体" w:hAnsi="宋体" w:eastAsia="宋体" w:cs="宋体"/>
          <w:color w:val="auto"/>
          <w:kern w:val="0"/>
          <w:szCs w:val="21"/>
          <w:highlight w:val="none"/>
        </w:rPr>
      </w:pPr>
    </w:p>
    <w:p w14:paraId="27B7206B">
      <w:pPr>
        <w:spacing w:line="312"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中经国际招标集团有限公司</w:t>
      </w:r>
    </w:p>
    <w:p w14:paraId="7A557DB2">
      <w:pPr>
        <w:spacing w:line="312"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 xml:space="preserve">年 </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月</w:t>
      </w:r>
      <w:bookmarkEnd w:id="17"/>
      <w:bookmarkEnd w:id="18"/>
      <w:bookmarkStart w:id="19" w:name="_Toc89186350"/>
      <w:bookmarkStart w:id="20" w:name="_Hlk89187818"/>
      <w:r>
        <w:rPr>
          <w:rFonts w:hint="eastAsia" w:ascii="宋体" w:hAnsi="宋体" w:cs="宋体"/>
          <w:color w:val="auto"/>
          <w:kern w:val="0"/>
          <w:szCs w:val="21"/>
          <w:highlight w:val="none"/>
          <w:lang w:val="en-US" w:eastAsia="zh-CN"/>
        </w:rPr>
        <w:t>24</w:t>
      </w:r>
      <w:r>
        <w:rPr>
          <w:rFonts w:hint="eastAsia" w:ascii="宋体" w:hAnsi="宋体" w:eastAsia="宋体" w:cs="宋体"/>
          <w:color w:val="auto"/>
          <w:kern w:val="0"/>
          <w:szCs w:val="21"/>
          <w:highlight w:val="none"/>
        </w:rPr>
        <w:t xml:space="preserve"> 日</w:t>
      </w:r>
    </w:p>
    <w:p w14:paraId="108001C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6A144398">
      <w:pPr>
        <w:pStyle w:val="29"/>
        <w:snapToGrid w:val="0"/>
        <w:spacing w:before="120" w:after="120" w:line="320" w:lineRule="exact"/>
        <w:jc w:val="center"/>
        <w:outlineLvl w:val="0"/>
        <w:rPr>
          <w:rFonts w:hint="eastAsia" w:ascii="宋体" w:hAnsi="宋体" w:eastAsia="宋体" w:cs="宋体"/>
          <w:color w:val="auto"/>
          <w:sz w:val="28"/>
          <w:szCs w:val="28"/>
          <w:highlight w:val="none"/>
        </w:rPr>
      </w:pPr>
      <w:bookmarkStart w:id="21" w:name="_Toc23049"/>
      <w:r>
        <w:rPr>
          <w:rFonts w:hint="eastAsia" w:ascii="宋体" w:hAnsi="宋体" w:eastAsia="宋体" w:cs="宋体"/>
          <w:color w:val="auto"/>
          <w:sz w:val="32"/>
          <w:szCs w:val="32"/>
          <w:highlight w:val="none"/>
        </w:rPr>
        <w:t>第二章  采购需求</w:t>
      </w:r>
      <w:bookmarkEnd w:id="19"/>
      <w:bookmarkEnd w:id="21"/>
    </w:p>
    <w:p w14:paraId="402147B8">
      <w:pPr>
        <w:spacing w:line="312" w:lineRule="auto"/>
        <w:ind w:firstLine="562" w:firstLineChars="200"/>
        <w:jc w:val="left"/>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一、工程量清单</w:t>
      </w:r>
    </w:p>
    <w:p w14:paraId="2765151F">
      <w:pPr>
        <w:spacing w:line="312" w:lineRule="auto"/>
        <w:ind w:firstLine="420" w:firstLineChars="200"/>
        <w:jc w:val="left"/>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工程量清单详见本采购文件附件。</w:t>
      </w:r>
    </w:p>
    <w:p w14:paraId="1063B2CB">
      <w:pPr>
        <w:spacing w:line="312" w:lineRule="auto"/>
        <w:ind w:firstLine="562" w:firstLineChars="200"/>
        <w:jc w:val="left"/>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二、图纸</w:t>
      </w:r>
    </w:p>
    <w:p w14:paraId="683D0E33">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图纸详见本采购文件附件。</w:t>
      </w:r>
    </w:p>
    <w:p w14:paraId="6BA71FD4">
      <w:pPr>
        <w:spacing w:line="312" w:lineRule="auto"/>
        <w:ind w:firstLine="562" w:firstLineChars="200"/>
        <w:jc w:val="left"/>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三、技术要求</w:t>
      </w:r>
    </w:p>
    <w:p w14:paraId="7B187C70">
      <w:pPr>
        <w:keepNext w:val="0"/>
        <w:keepLines w:val="0"/>
        <w:pageBreakBefore w:val="0"/>
        <w:widowControl w:val="0"/>
        <w:kinsoku/>
        <w:wordWrap/>
        <w:overflowPunct/>
        <w:topLinePunct w:val="0"/>
        <w:autoSpaceDE/>
        <w:autoSpaceDN/>
        <w:bidi w:val="0"/>
        <w:adjustRightInd/>
        <w:snapToGrid/>
        <w:spacing w:line="312" w:lineRule="auto"/>
        <w:ind w:left="420" w:leftChars="200" w:firstLine="0" w:firstLineChars="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1、项目概况：</w:t>
      </w:r>
      <w:r>
        <w:rPr>
          <w:rFonts w:hint="eastAsia" w:ascii="宋体" w:hAnsi="宋体" w:eastAsia="宋体" w:cs="宋体"/>
          <w:bCs/>
          <w:color w:val="auto"/>
          <w:kern w:val="0"/>
          <w:szCs w:val="21"/>
          <w:highlight w:val="none"/>
          <w:lang w:val="en-US" w:eastAsia="zh-CN"/>
        </w:rPr>
        <w:t>本项目为</w:t>
      </w:r>
      <w:r>
        <w:rPr>
          <w:rFonts w:hint="eastAsia" w:ascii="宋体" w:hAnsi="宋体" w:eastAsia="宋体" w:cs="宋体"/>
          <w:bCs/>
          <w:color w:val="auto"/>
          <w:kern w:val="0"/>
          <w:szCs w:val="21"/>
          <w:highlight w:val="none"/>
        </w:rPr>
        <w:t>梧州市临床病理诊断中心中座第三、四层二次装修改造工程，第三、四层原功能为呼吸内科、病房，现第三层改造为病理科，第四层改造为病理诊断、办公区。三层、四层层高3.4m。</w:t>
      </w:r>
    </w:p>
    <w:p w14:paraId="00276A43">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2、建设地点：梧州市工人医院北山院区。</w:t>
      </w:r>
    </w:p>
    <w:p w14:paraId="5214DF1F">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3、建设范围：</w:t>
      </w:r>
      <w:r>
        <w:rPr>
          <w:rFonts w:hint="eastAsia" w:ascii="宋体" w:hAnsi="宋体" w:eastAsia="宋体" w:cs="宋体"/>
          <w:bCs/>
          <w:color w:val="auto"/>
          <w:kern w:val="0"/>
          <w:szCs w:val="21"/>
          <w:highlight w:val="none"/>
          <w:lang w:eastAsia="zh-CN"/>
        </w:rPr>
        <w:t>梧州市临床病理诊断中心项目施工</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项，详见工程量清单、图纸。</w:t>
      </w:r>
    </w:p>
    <w:p w14:paraId="0217ECEF">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4、最高限价：</w:t>
      </w:r>
      <w:r>
        <w:rPr>
          <w:rFonts w:hint="eastAsia" w:ascii="宋体" w:hAnsi="宋体" w:eastAsia="宋体" w:cs="宋体"/>
          <w:bCs/>
          <w:color w:val="auto"/>
          <w:kern w:val="0"/>
          <w:szCs w:val="21"/>
          <w:highlight w:val="none"/>
          <w:lang w:eastAsia="zh-CN"/>
        </w:rPr>
        <w:t>2481191 .49</w:t>
      </w:r>
      <w:r>
        <w:rPr>
          <w:rFonts w:hint="eastAsia" w:ascii="宋体" w:hAnsi="宋体" w:eastAsia="宋体" w:cs="宋体"/>
          <w:bCs/>
          <w:color w:val="auto"/>
          <w:kern w:val="0"/>
          <w:szCs w:val="21"/>
          <w:highlight w:val="none"/>
        </w:rPr>
        <w:t>元</w:t>
      </w:r>
    </w:p>
    <w:p w14:paraId="5F2AC539">
      <w:pPr>
        <w:spacing w:line="312" w:lineRule="auto"/>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5、工期要求：</w:t>
      </w:r>
      <w:r>
        <w:rPr>
          <w:rFonts w:hint="eastAsia" w:ascii="宋体" w:hAnsi="宋体" w:eastAsia="宋体" w:cs="宋体"/>
          <w:bCs/>
          <w:color w:val="auto"/>
          <w:kern w:val="0"/>
          <w:szCs w:val="21"/>
          <w:highlight w:val="none"/>
          <w:lang w:eastAsia="zh-CN"/>
        </w:rPr>
        <w:t>自合同签订之日起90个日历日内完工</w:t>
      </w:r>
    </w:p>
    <w:p w14:paraId="22D0A4A6">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6、质量要求：达到国家施工验收规范合格标准。</w:t>
      </w:r>
    </w:p>
    <w:p w14:paraId="77048AB2">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7、其他要求：无</w:t>
      </w:r>
    </w:p>
    <w:p w14:paraId="42383F09">
      <w:pPr>
        <w:spacing w:line="312" w:lineRule="auto"/>
        <w:ind w:firstLine="562" w:firstLineChars="200"/>
        <w:jc w:val="left"/>
        <w:outlineLvl w:val="1"/>
        <w:rPr>
          <w:rFonts w:hint="eastAsia" w:ascii="宋体" w:hAnsi="宋体" w:eastAsia="宋体" w:cs="宋体"/>
          <w:b/>
          <w:color w:val="auto"/>
          <w:kern w:val="0"/>
          <w:sz w:val="28"/>
          <w:szCs w:val="28"/>
          <w:highlight w:val="none"/>
        </w:rPr>
      </w:pPr>
      <w:bookmarkStart w:id="22" w:name="_Hlk101188646"/>
      <w:r>
        <w:rPr>
          <w:rFonts w:hint="eastAsia" w:ascii="宋体" w:hAnsi="宋体" w:eastAsia="宋体" w:cs="宋体"/>
          <w:b/>
          <w:color w:val="auto"/>
          <w:kern w:val="0"/>
          <w:sz w:val="28"/>
          <w:szCs w:val="28"/>
          <w:highlight w:val="none"/>
        </w:rPr>
        <w:t>四、商务要求</w:t>
      </w:r>
    </w:p>
    <w:p w14:paraId="780C6398">
      <w:pPr>
        <w:spacing w:line="312" w:lineRule="auto"/>
        <w:ind w:firstLine="420" w:firstLineChars="200"/>
        <w:jc w:val="left"/>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1、工期要求：</w:t>
      </w:r>
      <w:r>
        <w:rPr>
          <w:rFonts w:hint="eastAsia" w:ascii="宋体" w:hAnsi="宋体" w:eastAsia="宋体" w:cs="宋体"/>
          <w:bCs/>
          <w:color w:val="auto"/>
          <w:kern w:val="0"/>
          <w:szCs w:val="21"/>
          <w:highlight w:val="none"/>
          <w:lang w:eastAsia="zh-CN"/>
        </w:rPr>
        <w:t>自合同签订之日起90个日历日内完工</w:t>
      </w:r>
    </w:p>
    <w:p w14:paraId="6213E75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2、增值税计税方法：一般计税法。</w:t>
      </w:r>
    </w:p>
    <w:p w14:paraId="2DA80002">
      <w:pPr>
        <w:pStyle w:val="29"/>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3、付款条件：</w:t>
      </w:r>
    </w:p>
    <w:p w14:paraId="469837FE">
      <w:pPr>
        <w:pStyle w:val="29"/>
        <w:spacing w:line="4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1.预付款：无。</w:t>
      </w:r>
    </w:p>
    <w:p w14:paraId="57694A58">
      <w:pPr>
        <w:pStyle w:val="29"/>
        <w:spacing w:line="4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工程进度款：原则上按月支付，原图纸范围内工程按工程款支付证书核定当期(上月20日至当月19日)已完成工程量的80%支付，工程增加、变更部分进度款支付限额为已完成工程量的80%;当合同内工程进度款支付至合同价款(扣除安全文明施工费、建安劳保费、材料和工程设备暂估价金额)的80%后，发包人停止拨付工程款。</w:t>
      </w:r>
    </w:p>
    <w:p w14:paraId="319D0A8D">
      <w:pPr>
        <w:pStyle w:val="29"/>
        <w:spacing w:line="4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3.工程结算：工程竣工并通过验收后，支付至累计完成</w:t>
      </w:r>
      <w:r>
        <w:rPr>
          <w:rFonts w:hint="eastAsia" w:ascii="宋体" w:hAnsi="宋体" w:eastAsia="宋体" w:cs="宋体"/>
          <w:bCs/>
          <w:color w:val="auto"/>
          <w:kern w:val="0"/>
          <w:highlight w:val="none"/>
          <w:lang w:eastAsia="zh-CN"/>
        </w:rPr>
        <w:t>原</w:t>
      </w:r>
      <w:r>
        <w:rPr>
          <w:rFonts w:hint="eastAsia" w:ascii="宋体" w:hAnsi="宋体" w:eastAsia="宋体" w:cs="宋体"/>
          <w:bCs/>
          <w:color w:val="auto"/>
          <w:kern w:val="0"/>
          <w:highlight w:val="none"/>
        </w:rPr>
        <w:t>工程量价款的80%。结算经委托第三方造价咨询审定后，支付至结算总价的97%,剩余3%作为质量保证金。</w:t>
      </w:r>
    </w:p>
    <w:p w14:paraId="36369254">
      <w:pPr>
        <w:pStyle w:val="29"/>
        <w:spacing w:line="4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4.质量保证金：缺陷责任期(2年)满且无质量问题后，采购人在14日内无息返还剩余款项。</w:t>
      </w:r>
    </w:p>
    <w:p w14:paraId="01EB3BA4">
      <w:pPr>
        <w:pStyle w:val="29"/>
        <w:spacing w:line="460" w:lineRule="exact"/>
        <w:ind w:firstLine="420" w:firstLineChars="200"/>
        <w:rPr>
          <w:rFonts w:hint="eastAsia" w:ascii="宋体" w:hAnsi="宋体" w:eastAsia="宋体" w:cs="宋体"/>
          <w:color w:val="auto"/>
          <w:sz w:val="24"/>
          <w:highlight w:val="none"/>
        </w:rPr>
      </w:pPr>
      <w:r>
        <w:rPr>
          <w:rFonts w:hint="eastAsia" w:ascii="宋体" w:hAnsi="宋体" w:eastAsia="宋体" w:cs="宋体"/>
          <w:bCs/>
          <w:color w:val="auto"/>
          <w:kern w:val="0"/>
          <w:highlight w:val="none"/>
        </w:rPr>
        <w:t>5.发票要求：供应商每次请款需开具等额增值税专用发票，采购人收到发票后10个工作日内付款。</w:t>
      </w:r>
    </w:p>
    <w:p w14:paraId="0DC9AFA2">
      <w:pPr>
        <w:spacing w:line="312"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rPr>
        <w:t>承包方式：单价固定，按实际完成工程量结算。</w:t>
      </w:r>
    </w:p>
    <w:p w14:paraId="0A222776">
      <w:pPr>
        <w:spacing w:line="312" w:lineRule="auto"/>
        <w:ind w:firstLine="420" w:firstLineChars="200"/>
        <w:jc w:val="left"/>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7.验收标准：按国家现行与本项目相应的施工竣工验收规范之“合格”标准，以及按照医疗规范相关验收标准验收。</w:t>
      </w:r>
    </w:p>
    <w:p w14:paraId="06B56E15">
      <w:pPr>
        <w:spacing w:line="312" w:lineRule="auto"/>
        <w:ind w:firstLine="562" w:firstLineChars="200"/>
        <w:jc w:val="left"/>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五、本项目标的所属行业</w:t>
      </w:r>
    </w:p>
    <w:p w14:paraId="671ECBAB">
      <w:pPr>
        <w:spacing w:line="312" w:lineRule="auto"/>
        <w:ind w:firstLine="420" w:firstLineChars="200"/>
        <w:jc w:val="left"/>
        <w:rPr>
          <w:rFonts w:hint="eastAsia" w:ascii="宋体" w:hAnsi="宋体" w:eastAsia="宋体" w:cs="宋体"/>
          <w:bCs/>
          <w:color w:val="auto"/>
          <w:kern w:val="0"/>
          <w:szCs w:val="21"/>
          <w:highlight w:val="none"/>
        </w:rPr>
      </w:pPr>
      <w:bookmarkStart w:id="23" w:name="_Hlk74905748"/>
      <w:r>
        <w:rPr>
          <w:rFonts w:hint="eastAsia" w:ascii="宋体" w:hAnsi="宋体" w:eastAsia="宋体" w:cs="宋体"/>
          <w:bCs/>
          <w:color w:val="auto"/>
          <w:kern w:val="0"/>
          <w:szCs w:val="21"/>
          <w:highlight w:val="none"/>
        </w:rPr>
        <w:t>本项目所属行业建筑业</w:t>
      </w:r>
      <w:bookmarkEnd w:id="23"/>
      <w:r>
        <w:rPr>
          <w:rFonts w:hint="eastAsia" w:ascii="宋体" w:hAnsi="宋体" w:eastAsia="宋体" w:cs="宋体"/>
          <w:bCs/>
          <w:color w:val="auto"/>
          <w:kern w:val="0"/>
          <w:szCs w:val="21"/>
          <w:highlight w:val="none"/>
        </w:rPr>
        <w:t>。</w:t>
      </w:r>
    </w:p>
    <w:p w14:paraId="2A321772">
      <w:pPr>
        <w:widowControl/>
        <w:jc w:val="left"/>
        <w:rPr>
          <w:rFonts w:hint="eastAsia" w:ascii="宋体" w:hAnsi="宋体" w:eastAsia="宋体" w:cs="宋体"/>
          <w:color w:val="auto"/>
          <w:sz w:val="28"/>
          <w:szCs w:val="28"/>
          <w:highlight w:val="none"/>
        </w:rPr>
      </w:pPr>
      <w:bookmarkStart w:id="24" w:name="_Hlk133572867"/>
      <w:r>
        <w:rPr>
          <w:rFonts w:hint="eastAsia" w:ascii="宋体" w:hAnsi="宋体" w:eastAsia="宋体" w:cs="宋体"/>
          <w:color w:val="auto"/>
          <w:sz w:val="28"/>
          <w:szCs w:val="28"/>
          <w:highlight w:val="none"/>
        </w:rPr>
        <w:br w:type="page"/>
      </w:r>
    </w:p>
    <w:p w14:paraId="4A1452E4">
      <w:pPr>
        <w:spacing w:line="528"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w:t>
      </w:r>
    </w:p>
    <w:p w14:paraId="6240B00F">
      <w:pPr>
        <w:spacing w:line="528" w:lineRule="exact"/>
        <w:ind w:firstLine="280" w:firstLineChar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中小微企业划型标准</w:t>
      </w:r>
    </w:p>
    <w:tbl>
      <w:tblPr>
        <w:tblStyle w:val="56"/>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10BB40E">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763BB5A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6B06105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4D8F18C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0ED91C1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6443BDF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05F464D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微型</w:t>
            </w:r>
          </w:p>
        </w:tc>
      </w:tr>
      <w:tr w14:paraId="0AB7EEF1">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377453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381940E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E20ED7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3891B3A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4220BD8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50≤Y＜500</w:t>
            </w:r>
          </w:p>
        </w:tc>
        <w:tc>
          <w:tcPr>
            <w:tcW w:w="1009" w:type="dxa"/>
            <w:tcBorders>
              <w:top w:val="nil"/>
              <w:left w:val="nil"/>
              <w:bottom w:val="single" w:color="auto" w:sz="4" w:space="0"/>
              <w:right w:val="single" w:color="auto" w:sz="4" w:space="0"/>
            </w:tcBorders>
            <w:vAlign w:val="center"/>
          </w:tcPr>
          <w:p w14:paraId="1E9DD60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5608FCF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4770F1B">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c>
          <w:tcPr>
            <w:tcW w:w="1701" w:type="dxa"/>
            <w:tcBorders>
              <w:top w:val="nil"/>
              <w:left w:val="nil"/>
              <w:bottom w:val="single" w:color="auto" w:sz="4" w:space="0"/>
              <w:right w:val="single" w:color="auto" w:sz="4" w:space="0"/>
            </w:tcBorders>
            <w:vAlign w:val="center"/>
          </w:tcPr>
          <w:p w14:paraId="311B27B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D90470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7A16E02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90DF33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1009" w:type="dxa"/>
            <w:tcBorders>
              <w:top w:val="nil"/>
              <w:left w:val="nil"/>
              <w:bottom w:val="single" w:color="auto" w:sz="4" w:space="0"/>
              <w:right w:val="single" w:color="auto" w:sz="4" w:space="0"/>
            </w:tcBorders>
            <w:vAlign w:val="center"/>
          </w:tcPr>
          <w:p w14:paraId="2604433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39F0962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8069C20">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473B562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768F3D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3D6535E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177575B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2A96773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75A61F2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96BA92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2D27C67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E97E6A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4F43302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5CAD53D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46826FB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3968EC1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229DBBC">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6717AAA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70E12B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6ADD37F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7F811C6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18D6799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Z＜300</w:t>
            </w:r>
          </w:p>
        </w:tc>
      </w:tr>
      <w:tr w14:paraId="48C4B0E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1877AD5">
            <w:pPr>
              <w:widowControl/>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00C70E3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2670FE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6AF9C35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20≤X＜200</w:t>
            </w:r>
          </w:p>
        </w:tc>
        <w:tc>
          <w:tcPr>
            <w:tcW w:w="1570" w:type="dxa"/>
            <w:tcBorders>
              <w:top w:val="nil"/>
              <w:left w:val="nil"/>
              <w:bottom w:val="single" w:color="auto" w:sz="4" w:space="0"/>
              <w:right w:val="single" w:color="auto" w:sz="4" w:space="0"/>
            </w:tcBorders>
            <w:vAlign w:val="center"/>
          </w:tcPr>
          <w:p w14:paraId="5906C11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5≤X＜20</w:t>
            </w:r>
          </w:p>
        </w:tc>
        <w:tc>
          <w:tcPr>
            <w:tcW w:w="1009" w:type="dxa"/>
            <w:tcBorders>
              <w:top w:val="nil"/>
              <w:left w:val="nil"/>
              <w:bottom w:val="single" w:color="auto" w:sz="4" w:space="0"/>
              <w:right w:val="single" w:color="auto" w:sz="4" w:space="0"/>
            </w:tcBorders>
            <w:vAlign w:val="center"/>
          </w:tcPr>
          <w:p w14:paraId="7E020A6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X＜5</w:t>
            </w:r>
          </w:p>
        </w:tc>
      </w:tr>
      <w:tr w14:paraId="3F26FD9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D6DC543">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665FA0B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8E052E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726DE44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5FD60B7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7F0DD18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w:t>
            </w:r>
          </w:p>
        </w:tc>
      </w:tr>
      <w:tr w14:paraId="51D49F0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0F1F30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125966D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643CE8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019D094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50≤X＜300</w:t>
            </w:r>
          </w:p>
        </w:tc>
        <w:tc>
          <w:tcPr>
            <w:tcW w:w="1570" w:type="dxa"/>
            <w:tcBorders>
              <w:top w:val="nil"/>
              <w:left w:val="nil"/>
              <w:bottom w:val="single" w:color="auto" w:sz="4" w:space="0"/>
              <w:right w:val="single" w:color="auto" w:sz="4" w:space="0"/>
            </w:tcBorders>
            <w:vAlign w:val="center"/>
          </w:tcPr>
          <w:p w14:paraId="2D7FDD0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10≤X＜50</w:t>
            </w:r>
          </w:p>
        </w:tc>
        <w:tc>
          <w:tcPr>
            <w:tcW w:w="1009" w:type="dxa"/>
            <w:tcBorders>
              <w:top w:val="nil"/>
              <w:left w:val="nil"/>
              <w:bottom w:val="single" w:color="auto" w:sz="4" w:space="0"/>
              <w:right w:val="single" w:color="auto" w:sz="4" w:space="0"/>
            </w:tcBorders>
            <w:vAlign w:val="center"/>
          </w:tcPr>
          <w:p w14:paraId="6C8D171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7D93328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492BB45">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4E51A31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97401B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317D6F1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6F73275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100≤Y＜500</w:t>
            </w:r>
          </w:p>
        </w:tc>
        <w:tc>
          <w:tcPr>
            <w:tcW w:w="1009" w:type="dxa"/>
            <w:tcBorders>
              <w:top w:val="nil"/>
              <w:left w:val="nil"/>
              <w:bottom w:val="single" w:color="auto" w:sz="4" w:space="0"/>
              <w:right w:val="single" w:color="auto" w:sz="4" w:space="0"/>
            </w:tcBorders>
            <w:vAlign w:val="center"/>
          </w:tcPr>
          <w:p w14:paraId="18BA550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3CA92CF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7A412B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1C18BEE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AD13D7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2A6A851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4BC5B86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1009" w:type="dxa"/>
            <w:tcBorders>
              <w:top w:val="nil"/>
              <w:left w:val="nil"/>
              <w:bottom w:val="single" w:color="auto" w:sz="4" w:space="0"/>
              <w:right w:val="single" w:color="auto" w:sz="4" w:space="0"/>
            </w:tcBorders>
            <w:vAlign w:val="center"/>
          </w:tcPr>
          <w:p w14:paraId="7228092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0303BE3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7828959">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31ED79F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14D196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06743B4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604996A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711E1DA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w:t>
            </w:r>
          </w:p>
        </w:tc>
      </w:tr>
      <w:tr w14:paraId="47EAE0F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4A55B8F">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70C7F87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B6AEF4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25C9164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w:t>
            </w:r>
          </w:p>
        </w:tc>
        <w:tc>
          <w:tcPr>
            <w:tcW w:w="1570" w:type="dxa"/>
            <w:tcBorders>
              <w:top w:val="nil"/>
              <w:left w:val="nil"/>
              <w:bottom w:val="single" w:color="auto" w:sz="4" w:space="0"/>
              <w:right w:val="single" w:color="auto" w:sz="4" w:space="0"/>
            </w:tcBorders>
            <w:vAlign w:val="center"/>
          </w:tcPr>
          <w:p w14:paraId="425595C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20≤X＜100</w:t>
            </w:r>
          </w:p>
        </w:tc>
        <w:tc>
          <w:tcPr>
            <w:tcW w:w="1009" w:type="dxa"/>
            <w:tcBorders>
              <w:top w:val="nil"/>
              <w:left w:val="nil"/>
              <w:bottom w:val="single" w:color="auto" w:sz="4" w:space="0"/>
              <w:right w:val="single" w:color="auto" w:sz="4" w:space="0"/>
            </w:tcBorders>
            <w:vAlign w:val="center"/>
          </w:tcPr>
          <w:p w14:paraId="486D767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0A266D3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6B25EE3">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567BB21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077314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1EB295B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60F2F3A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55529FB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56DCB5C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6465BD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6BE4EDE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7E789E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33A4964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6E3F2A1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1009" w:type="dxa"/>
            <w:tcBorders>
              <w:top w:val="nil"/>
              <w:left w:val="nil"/>
              <w:bottom w:val="single" w:color="auto" w:sz="4" w:space="0"/>
              <w:right w:val="single" w:color="auto" w:sz="4" w:space="0"/>
            </w:tcBorders>
            <w:vAlign w:val="center"/>
          </w:tcPr>
          <w:p w14:paraId="5C62888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1C2E0C1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2584E86">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1E5DA0F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C9B59A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469D36F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76CFEEC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4A8FD31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5632BE0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80367E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18355E1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E87F3D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06E26AB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2CD52E3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738D9AE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3049F11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708F579">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085AF04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603156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48572DA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3CA440B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78FDAF6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1D30B8E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9B2935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1B04081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601966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17F6E27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0725B0C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47DC7E5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53D66DA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EA9EE52">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72DB812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C47C7A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0D1F19F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7198E36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5ADA80A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5E8E869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CE77BA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4D99106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441AA9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2022FDC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7B68C0F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47BB474A">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1E3C372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E2BD431">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09D801E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897932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70AD1F4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4FA1941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13CB489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747BF25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458D9D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70E7A84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2FA3D5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068C38A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2E3762C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39EC42B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11BC609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87CAA2A">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1F35936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1571E37">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17333DD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0DA1AF1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50≤Y＜1000</w:t>
            </w:r>
          </w:p>
        </w:tc>
        <w:tc>
          <w:tcPr>
            <w:tcW w:w="1009" w:type="dxa"/>
            <w:tcBorders>
              <w:top w:val="nil"/>
              <w:left w:val="nil"/>
              <w:bottom w:val="single" w:color="auto" w:sz="4" w:space="0"/>
              <w:right w:val="single" w:color="auto" w:sz="4" w:space="0"/>
            </w:tcBorders>
            <w:vAlign w:val="center"/>
          </w:tcPr>
          <w:p w14:paraId="226B378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3DF8660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970171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711E269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EA2E6D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206988D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59C5873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38F37D2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3B3DFDD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4C9554A">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0941E20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34B7A4E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288CC3D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12EE3C3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379ECB4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w:t>
            </w:r>
          </w:p>
        </w:tc>
      </w:tr>
      <w:tr w14:paraId="7BF73E4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094036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6EE75CC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414CDB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3FC70091">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7AC28ACE">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009" w:type="dxa"/>
            <w:tcBorders>
              <w:top w:val="nil"/>
              <w:left w:val="nil"/>
              <w:bottom w:val="single" w:color="auto" w:sz="4" w:space="0"/>
              <w:right w:val="single" w:color="auto" w:sz="4" w:space="0"/>
            </w:tcBorders>
            <w:vAlign w:val="center"/>
          </w:tcPr>
          <w:p w14:paraId="16ECBCC3">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36E857B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DA77191">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27DDA616">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CE6721C">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4C4C782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6B68315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7E5C3E8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w:t>
            </w:r>
          </w:p>
        </w:tc>
      </w:tr>
      <w:tr w14:paraId="19132B0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EA8B39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4DB6B86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2708A10">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77B24C1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7E0DBB2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33CD62C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2C0365F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EDAA5C7">
            <w:pPr>
              <w:widowControl/>
              <w:jc w:val="left"/>
              <w:rPr>
                <w:rFonts w:hint="eastAsia" w:ascii="宋体" w:hAnsi="宋体" w:eastAsia="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59AEAE8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3C03F98">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4A21682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4BEBDE9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07DA99E9">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53E7A31A">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24EF3037">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11E3A14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7E2B10B">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15DA91B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673D8A32">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38CA439F">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bl>
    <w:p w14:paraId="5EB21C64">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bookmarkEnd w:id="20"/>
      <w:bookmarkEnd w:id="22"/>
      <w:bookmarkEnd w:id="24"/>
      <w:bookmarkStart w:id="25" w:name="_Toc89186351"/>
    </w:p>
    <w:p w14:paraId="0471EED4">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ADBAFDC">
      <w:pPr>
        <w:pStyle w:val="29"/>
        <w:snapToGrid w:val="0"/>
        <w:spacing w:before="120" w:after="120" w:line="320" w:lineRule="exact"/>
        <w:jc w:val="center"/>
        <w:outlineLvl w:val="0"/>
        <w:rPr>
          <w:rFonts w:hint="eastAsia" w:ascii="宋体" w:hAnsi="宋体" w:eastAsia="宋体" w:cs="宋体"/>
          <w:color w:val="auto"/>
          <w:sz w:val="32"/>
          <w:szCs w:val="32"/>
          <w:highlight w:val="none"/>
        </w:rPr>
      </w:pPr>
      <w:bookmarkStart w:id="26" w:name="_Toc31457"/>
      <w:r>
        <w:rPr>
          <w:rFonts w:hint="eastAsia" w:ascii="宋体" w:hAnsi="宋体" w:eastAsia="宋体" w:cs="宋体"/>
          <w:color w:val="auto"/>
          <w:sz w:val="32"/>
          <w:szCs w:val="32"/>
          <w:highlight w:val="none"/>
        </w:rPr>
        <w:t>第三章  供应商须知</w:t>
      </w:r>
      <w:bookmarkEnd w:id="25"/>
      <w:bookmarkEnd w:id="26"/>
      <w:bookmarkStart w:id="27" w:name="_投标人须知前附表"/>
      <w:bookmarkEnd w:id="27"/>
    </w:p>
    <w:p w14:paraId="3D13116D">
      <w:pPr>
        <w:pStyle w:val="29"/>
        <w:snapToGrid w:val="0"/>
        <w:spacing w:before="120" w:after="120" w:line="320" w:lineRule="exact"/>
        <w:jc w:val="center"/>
        <w:outlineLvl w:val="1"/>
        <w:rPr>
          <w:rFonts w:hint="eastAsia" w:ascii="宋体" w:hAnsi="宋体" w:eastAsia="宋体" w:cs="宋体"/>
          <w:b/>
          <w:bCs/>
          <w:color w:val="auto"/>
          <w:sz w:val="24"/>
          <w:szCs w:val="24"/>
          <w:highlight w:val="none"/>
        </w:rPr>
      </w:pPr>
      <w:bookmarkStart w:id="28" w:name="_Hlk89187839"/>
      <w:r>
        <w:rPr>
          <w:rFonts w:hint="eastAsia" w:ascii="宋体" w:hAnsi="宋体" w:eastAsia="宋体" w:cs="宋体"/>
          <w:b/>
          <w:bCs/>
          <w:color w:val="auto"/>
          <w:sz w:val="24"/>
          <w:szCs w:val="24"/>
          <w:highlight w:val="none"/>
        </w:rPr>
        <w:t>供应商须知前附表</w:t>
      </w:r>
    </w:p>
    <w:bookmarkEnd w:id="28"/>
    <w:tbl>
      <w:tblPr>
        <w:tblStyle w:val="5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38"/>
        <w:gridCol w:w="1189"/>
        <w:gridCol w:w="6795"/>
      </w:tblGrid>
      <w:tr w14:paraId="1FAEF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354" w:type="dxa"/>
            <w:tcBorders>
              <w:top w:val="single" w:color="auto" w:sz="4" w:space="0"/>
              <w:left w:val="single" w:color="auto" w:sz="4" w:space="0"/>
              <w:bottom w:val="single" w:color="auto" w:sz="4" w:space="0"/>
              <w:right w:val="single" w:color="auto" w:sz="4" w:space="0"/>
            </w:tcBorders>
            <w:vAlign w:val="center"/>
          </w:tcPr>
          <w:p w14:paraId="6C8E145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204" w:type="dxa"/>
            <w:tcBorders>
              <w:top w:val="single" w:color="auto" w:sz="4" w:space="0"/>
              <w:left w:val="single" w:color="auto" w:sz="4" w:space="0"/>
              <w:bottom w:val="single" w:color="auto" w:sz="4" w:space="0"/>
              <w:right w:val="single" w:color="auto" w:sz="4" w:space="0"/>
            </w:tcBorders>
            <w:vAlign w:val="center"/>
          </w:tcPr>
          <w:p w14:paraId="1566B38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要点</w:t>
            </w:r>
          </w:p>
        </w:tc>
        <w:tc>
          <w:tcPr>
            <w:tcW w:w="6905" w:type="dxa"/>
            <w:tcBorders>
              <w:top w:val="single" w:color="auto" w:sz="4" w:space="0"/>
              <w:left w:val="single" w:color="auto" w:sz="4" w:space="0"/>
              <w:bottom w:val="single" w:color="auto" w:sz="4" w:space="0"/>
              <w:right w:val="single" w:color="auto" w:sz="4" w:space="0"/>
            </w:tcBorders>
            <w:vAlign w:val="center"/>
          </w:tcPr>
          <w:p w14:paraId="60583D5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2A8C0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02CBB897">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1.3.1</w:t>
            </w:r>
          </w:p>
        </w:tc>
        <w:tc>
          <w:tcPr>
            <w:tcW w:w="1204" w:type="dxa"/>
            <w:tcBorders>
              <w:top w:val="single" w:color="auto" w:sz="4" w:space="0"/>
              <w:left w:val="single" w:color="auto" w:sz="4" w:space="0"/>
              <w:bottom w:val="single" w:color="auto" w:sz="4" w:space="0"/>
              <w:right w:val="single" w:color="auto" w:sz="4" w:space="0"/>
            </w:tcBorders>
            <w:vAlign w:val="center"/>
          </w:tcPr>
          <w:p w14:paraId="2B62D771">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项目基本信息</w:t>
            </w:r>
          </w:p>
        </w:tc>
        <w:tc>
          <w:tcPr>
            <w:tcW w:w="6905" w:type="dxa"/>
            <w:tcBorders>
              <w:top w:val="single" w:color="auto" w:sz="4" w:space="0"/>
              <w:left w:val="single" w:color="auto" w:sz="4" w:space="0"/>
              <w:bottom w:val="single" w:color="auto" w:sz="4" w:space="0"/>
              <w:right w:val="single" w:color="auto" w:sz="4" w:space="0"/>
            </w:tcBorders>
            <w:vAlign w:val="center"/>
          </w:tcPr>
          <w:p w14:paraId="0DD86312">
            <w:pPr>
              <w:spacing w:line="30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梧州市临床病理诊断中心项目施工</w:t>
            </w:r>
          </w:p>
          <w:p w14:paraId="33E472F5">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项目编号：WZZC2025-C2-990139-ZJGJ</w:t>
            </w:r>
          </w:p>
        </w:tc>
      </w:tr>
      <w:tr w14:paraId="38B0D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14:paraId="204DAD03">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1.3.1</w:t>
            </w:r>
          </w:p>
        </w:tc>
        <w:tc>
          <w:tcPr>
            <w:tcW w:w="1204" w:type="dxa"/>
            <w:tcBorders>
              <w:top w:val="single" w:color="auto" w:sz="4" w:space="0"/>
              <w:left w:val="single" w:color="auto" w:sz="4" w:space="0"/>
              <w:bottom w:val="single" w:color="auto" w:sz="4" w:space="0"/>
              <w:right w:val="single" w:color="auto" w:sz="4" w:space="0"/>
            </w:tcBorders>
            <w:shd w:val="clear" w:color="auto" w:fill="auto"/>
            <w:vAlign w:val="center"/>
          </w:tcPr>
          <w:p w14:paraId="40C87CE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建设地点、建设范围、工期及质量要求</w:t>
            </w:r>
          </w:p>
        </w:tc>
        <w:tc>
          <w:tcPr>
            <w:tcW w:w="6905" w:type="dxa"/>
            <w:tcBorders>
              <w:top w:val="single" w:color="auto" w:sz="4" w:space="0"/>
              <w:left w:val="single" w:color="auto" w:sz="4" w:space="0"/>
              <w:bottom w:val="single" w:color="auto" w:sz="4" w:space="0"/>
              <w:right w:val="single" w:color="auto" w:sz="4" w:space="0"/>
            </w:tcBorders>
            <w:shd w:val="clear" w:color="auto" w:fill="auto"/>
            <w:vAlign w:val="center"/>
          </w:tcPr>
          <w:p w14:paraId="203E6A26">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r>
              <w:rPr>
                <w:rFonts w:hint="eastAsia" w:ascii="宋体" w:hAnsi="宋体" w:eastAsia="宋体" w:cs="宋体"/>
                <w:bCs/>
                <w:color w:val="auto"/>
                <w:kern w:val="0"/>
                <w:szCs w:val="21"/>
                <w:highlight w:val="none"/>
              </w:rPr>
              <w:t>梧州市工人医院北山院区</w:t>
            </w:r>
          </w:p>
          <w:p w14:paraId="3566CE26">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建设范围：</w:t>
            </w:r>
            <w:r>
              <w:rPr>
                <w:rFonts w:hint="eastAsia" w:ascii="宋体" w:hAnsi="宋体" w:eastAsia="宋体" w:cs="宋体"/>
                <w:color w:val="auto"/>
                <w:szCs w:val="21"/>
                <w:highlight w:val="none"/>
                <w:lang w:eastAsia="zh-CN"/>
              </w:rPr>
              <w:t>梧州市临床病理诊断中心项目施工</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项，详见工程量清单、图纸。</w:t>
            </w:r>
          </w:p>
          <w:p w14:paraId="05086394">
            <w:pPr>
              <w:spacing w:line="3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资金来源：</w:t>
            </w:r>
            <w:r>
              <w:rPr>
                <w:rFonts w:hint="eastAsia" w:ascii="宋体" w:hAnsi="宋体" w:eastAsia="宋体" w:cs="宋体"/>
                <w:color w:val="auto"/>
                <w:szCs w:val="21"/>
                <w:highlight w:val="none"/>
                <w:lang w:val="en-US" w:eastAsia="zh-CN"/>
              </w:rPr>
              <w:t>事业单位收入</w:t>
            </w:r>
          </w:p>
          <w:p w14:paraId="12A8383F">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工期要求：</w:t>
            </w:r>
            <w:r>
              <w:rPr>
                <w:rFonts w:hint="eastAsia" w:ascii="宋体" w:hAnsi="宋体" w:eastAsia="宋体" w:cs="宋体"/>
                <w:color w:val="auto"/>
                <w:szCs w:val="21"/>
                <w:highlight w:val="none"/>
                <w:lang w:eastAsia="zh-CN"/>
              </w:rPr>
              <w:t>自合同签订之日起90个日历日内完工</w:t>
            </w:r>
            <w:r>
              <w:rPr>
                <w:rFonts w:hint="eastAsia" w:ascii="宋体" w:hAnsi="宋体" w:eastAsia="宋体" w:cs="宋体"/>
                <w:color w:val="auto"/>
                <w:szCs w:val="21"/>
                <w:highlight w:val="none"/>
              </w:rPr>
              <w:t>，</w:t>
            </w:r>
          </w:p>
          <w:p w14:paraId="7497E9F2">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年 </w:t>
            </w:r>
            <w:r>
              <w:rPr>
                <w:rFonts w:hint="eastAsia" w:ascii="宋体" w:hAnsi="宋体" w:eastAsia="宋体" w:cs="宋体"/>
                <w:color w:val="auto"/>
                <w:szCs w:val="21"/>
                <w:highlight w:val="none"/>
                <w:u w:val="single"/>
                <w:lang w:val="en-US" w:eastAsia="zh-CN"/>
              </w:rPr>
              <w:t>7</w:t>
            </w:r>
            <w:r>
              <w:rPr>
                <w:rFonts w:hint="eastAsia" w:ascii="宋体" w:hAnsi="宋体" w:eastAsia="宋体" w:cs="宋体"/>
                <w:color w:val="auto"/>
                <w:szCs w:val="21"/>
                <w:highlight w:val="none"/>
                <w:u w:val="single"/>
              </w:rPr>
              <w:t xml:space="preserve">月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 日</w:t>
            </w: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年 </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rPr>
              <w:t xml:space="preserve">月 </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rPr>
              <w:t xml:space="preserve"> 日</w:t>
            </w:r>
            <w:r>
              <w:rPr>
                <w:rFonts w:hint="eastAsia" w:ascii="宋体" w:hAnsi="宋体" w:eastAsia="宋体" w:cs="宋体"/>
                <w:color w:val="auto"/>
                <w:szCs w:val="21"/>
                <w:highlight w:val="none"/>
                <w:u w:val="single"/>
              </w:rPr>
              <w:t>（具体以发包人书面通知为准）</w:t>
            </w:r>
          </w:p>
          <w:p w14:paraId="16F204F4">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质量要求：达到国家施工验收规范合格标准。</w:t>
            </w:r>
          </w:p>
          <w:p w14:paraId="46AC712E">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其他要求：无</w:t>
            </w:r>
          </w:p>
        </w:tc>
      </w:tr>
      <w:tr w14:paraId="33CD5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13F26ABC">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1.3.1</w:t>
            </w:r>
          </w:p>
          <w:p w14:paraId="604C38AC">
            <w:pPr>
              <w:spacing w:line="300" w:lineRule="exact"/>
              <w:jc w:val="center"/>
              <w:rPr>
                <w:rFonts w:hint="eastAsia" w:ascii="宋体" w:hAnsi="宋体" w:eastAsia="宋体" w:cs="宋体"/>
                <w:color w:val="auto"/>
                <w:szCs w:val="21"/>
                <w:highlight w:val="none"/>
              </w:rPr>
            </w:pPr>
          </w:p>
        </w:tc>
        <w:tc>
          <w:tcPr>
            <w:tcW w:w="1204" w:type="dxa"/>
            <w:tcBorders>
              <w:top w:val="single" w:color="auto" w:sz="4" w:space="0"/>
              <w:left w:val="single" w:color="auto" w:sz="4" w:space="0"/>
              <w:bottom w:val="single" w:color="auto" w:sz="4" w:space="0"/>
              <w:right w:val="single" w:color="auto" w:sz="4" w:space="0"/>
            </w:tcBorders>
            <w:vAlign w:val="center"/>
          </w:tcPr>
          <w:p w14:paraId="7B51D095">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增值税计税方法</w:t>
            </w:r>
          </w:p>
        </w:tc>
        <w:tc>
          <w:tcPr>
            <w:tcW w:w="6905" w:type="dxa"/>
            <w:tcBorders>
              <w:top w:val="single" w:color="auto" w:sz="4" w:space="0"/>
              <w:left w:val="single" w:color="auto" w:sz="4" w:space="0"/>
              <w:bottom w:val="single" w:color="auto" w:sz="4" w:space="0"/>
              <w:right w:val="single" w:color="auto" w:sz="4" w:space="0"/>
            </w:tcBorders>
            <w:vAlign w:val="center"/>
          </w:tcPr>
          <w:p w14:paraId="7668E1E2">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本工程增值税计税方法：</w:t>
            </w:r>
            <w:r>
              <w:rPr>
                <w:rFonts w:hint="eastAsia" w:ascii="宋体" w:hAnsi="宋体" w:eastAsia="宋体" w:cs="宋体"/>
                <w:color w:val="auto"/>
                <w:szCs w:val="21"/>
                <w:highlight w:val="none"/>
              </w:rPr>
              <w:sym w:font="Wingdings 2" w:char="F052"/>
            </w:r>
            <w:r>
              <w:rPr>
                <w:rFonts w:hint="eastAsia" w:ascii="宋体" w:hAnsi="宋体" w:eastAsia="宋体" w:cs="宋体"/>
                <w:color w:val="auto"/>
                <w:highlight w:val="none"/>
              </w:rPr>
              <w:t>一般计税法</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sym w:font="Wingdings 2" w:char="F0A3"/>
            </w:r>
            <w:r>
              <w:rPr>
                <w:rFonts w:hint="eastAsia" w:ascii="宋体" w:hAnsi="宋体" w:eastAsia="宋体" w:cs="宋体"/>
                <w:color w:val="auto"/>
                <w:highlight w:val="none"/>
              </w:rPr>
              <w:t>简易计税法</w:t>
            </w:r>
          </w:p>
          <w:p w14:paraId="6772DC58">
            <w:pPr>
              <w:spacing w:line="3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注：根据《关于全面推开营业税改征增值税试点的通知》（财税〔2016〕36号）、《关于建筑服务等营改增试点政策的通知》（财税〔2017〕58号）等国家、自治区现行有关文件规定。</w:t>
            </w:r>
          </w:p>
        </w:tc>
      </w:tr>
      <w:tr w14:paraId="33309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6AB75669">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1.3.2</w:t>
            </w:r>
          </w:p>
        </w:tc>
        <w:tc>
          <w:tcPr>
            <w:tcW w:w="1204" w:type="dxa"/>
            <w:tcBorders>
              <w:top w:val="single" w:color="auto" w:sz="4" w:space="0"/>
              <w:left w:val="single" w:color="auto" w:sz="4" w:space="0"/>
              <w:bottom w:val="single" w:color="auto" w:sz="4" w:space="0"/>
              <w:right w:val="single" w:color="auto" w:sz="4" w:space="0"/>
            </w:tcBorders>
            <w:vAlign w:val="center"/>
          </w:tcPr>
          <w:p w14:paraId="6698D5A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w:t>
            </w:r>
          </w:p>
        </w:tc>
        <w:tc>
          <w:tcPr>
            <w:tcW w:w="6905" w:type="dxa"/>
            <w:tcBorders>
              <w:top w:val="single" w:color="auto" w:sz="4" w:space="0"/>
              <w:left w:val="single" w:color="auto" w:sz="4" w:space="0"/>
              <w:bottom w:val="single" w:color="auto" w:sz="4" w:space="0"/>
              <w:right w:val="single" w:color="auto" w:sz="4" w:space="0"/>
            </w:tcBorders>
            <w:vAlign w:val="center"/>
          </w:tcPr>
          <w:p w14:paraId="2520BA72">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w:t>
            </w:r>
          </w:p>
        </w:tc>
      </w:tr>
      <w:tr w14:paraId="51316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42DA09A8">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w:t>
            </w:r>
          </w:p>
        </w:tc>
        <w:tc>
          <w:tcPr>
            <w:tcW w:w="1204" w:type="dxa"/>
            <w:tcBorders>
              <w:top w:val="single" w:color="auto" w:sz="4" w:space="0"/>
              <w:left w:val="single" w:color="auto" w:sz="4" w:space="0"/>
              <w:bottom w:val="single" w:color="auto" w:sz="4" w:space="0"/>
              <w:right w:val="single" w:color="auto" w:sz="4" w:space="0"/>
            </w:tcBorders>
            <w:vAlign w:val="center"/>
          </w:tcPr>
          <w:p w14:paraId="70858969">
            <w:pPr>
              <w:spacing w:line="3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促进中小企业发展措施</w:t>
            </w:r>
          </w:p>
        </w:tc>
        <w:tc>
          <w:tcPr>
            <w:tcW w:w="6905" w:type="dxa"/>
            <w:tcBorders>
              <w:top w:val="single" w:color="auto" w:sz="4" w:space="0"/>
              <w:left w:val="single" w:color="auto" w:sz="4" w:space="0"/>
              <w:bottom w:val="single" w:color="auto" w:sz="4" w:space="0"/>
              <w:right w:val="single" w:color="auto" w:sz="4" w:space="0"/>
            </w:tcBorders>
            <w:vAlign w:val="center"/>
          </w:tcPr>
          <w:p w14:paraId="0CF2AE98">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w:t>
            </w:r>
            <w:r>
              <w:rPr>
                <w:rFonts w:hint="eastAsia" w:ascii="宋体" w:hAnsi="宋体" w:eastAsia="宋体" w:cs="宋体"/>
                <w:color w:val="auto"/>
                <w:szCs w:val="21"/>
                <w:highlight w:val="none"/>
                <w:lang w:eastAsia="zh-CN"/>
              </w:rPr>
              <w:t>不</w:t>
            </w:r>
            <w:r>
              <w:rPr>
                <w:rFonts w:hint="eastAsia" w:ascii="宋体" w:hAnsi="宋体" w:eastAsia="宋体" w:cs="宋体"/>
                <w:color w:val="auto"/>
                <w:szCs w:val="21"/>
                <w:highlight w:val="none"/>
              </w:rPr>
              <w:t>专门面向中小企业采购的项目</w:t>
            </w:r>
          </w:p>
          <w:p w14:paraId="0C1A1439">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本次病理中心项目属于特殊医疗装修工程，其建设标准需严格遵循医疗行业规范及卫生安全标准，施工工艺复杂、技术要求高。目前中小企业在同类特殊医疗装修项目经验积累相对不足，过往承接的同类项目数量有限，在项目执行能力、技术保障水平及应对复杂工程问题的能力方面存在一定局限性。为确保项目高质量、高效率完成，保障病理中心投入使用后的安全性与专业性，</w:t>
            </w:r>
            <w:r>
              <w:rPr>
                <w:rFonts w:hint="eastAsia" w:ascii="宋体" w:hAnsi="宋体" w:eastAsia="宋体" w:cs="宋体"/>
                <w:color w:val="auto"/>
                <w:szCs w:val="21"/>
                <w:highlight w:val="none"/>
                <w:lang w:eastAsia="zh-CN"/>
              </w:rPr>
              <w:t>允许</w:t>
            </w:r>
            <w:r>
              <w:rPr>
                <w:rFonts w:hint="eastAsia" w:ascii="宋体" w:hAnsi="宋体" w:eastAsia="宋体" w:cs="宋体"/>
                <w:color w:val="auto"/>
                <w:szCs w:val="21"/>
                <w:highlight w:val="none"/>
              </w:rPr>
              <w:t>具备丰富同类项目经验的大型企业参与，保障项目建设效果达到预期标准。</w:t>
            </w:r>
          </w:p>
        </w:tc>
      </w:tr>
      <w:tr w14:paraId="61D7C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7861A286">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1.5.1</w:t>
            </w:r>
          </w:p>
        </w:tc>
        <w:tc>
          <w:tcPr>
            <w:tcW w:w="1204" w:type="dxa"/>
            <w:tcBorders>
              <w:top w:val="single" w:color="auto" w:sz="4" w:space="0"/>
              <w:left w:val="single" w:color="auto" w:sz="4" w:space="0"/>
              <w:bottom w:val="single" w:color="auto" w:sz="4" w:space="0"/>
              <w:right w:val="single" w:color="auto" w:sz="4" w:space="0"/>
            </w:tcBorders>
            <w:vAlign w:val="center"/>
          </w:tcPr>
          <w:p w14:paraId="5B1DF27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供应商资格条件</w:t>
            </w:r>
          </w:p>
        </w:tc>
        <w:tc>
          <w:tcPr>
            <w:tcW w:w="6905" w:type="dxa"/>
            <w:tcBorders>
              <w:top w:val="single" w:color="auto" w:sz="4" w:space="0"/>
              <w:left w:val="single" w:color="auto" w:sz="4" w:space="0"/>
              <w:bottom w:val="single" w:color="auto" w:sz="4" w:space="0"/>
              <w:right w:val="single" w:color="auto" w:sz="4" w:space="0"/>
            </w:tcBorders>
            <w:vAlign w:val="center"/>
          </w:tcPr>
          <w:p w14:paraId="39FB8ED7">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详见磋商公告。</w:t>
            </w:r>
          </w:p>
        </w:tc>
      </w:tr>
      <w:tr w14:paraId="06065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001DCD8F">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1.5.1</w:t>
            </w:r>
          </w:p>
        </w:tc>
        <w:tc>
          <w:tcPr>
            <w:tcW w:w="1204" w:type="dxa"/>
            <w:tcBorders>
              <w:top w:val="single" w:color="auto" w:sz="4" w:space="0"/>
              <w:left w:val="single" w:color="auto" w:sz="4" w:space="0"/>
              <w:bottom w:val="single" w:color="auto" w:sz="4" w:space="0"/>
              <w:right w:val="single" w:color="auto" w:sz="4" w:space="0"/>
            </w:tcBorders>
            <w:vAlign w:val="center"/>
          </w:tcPr>
          <w:p w14:paraId="5E9F397C">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供应商不得存在的情形</w:t>
            </w:r>
          </w:p>
        </w:tc>
        <w:tc>
          <w:tcPr>
            <w:tcW w:w="6905" w:type="dxa"/>
            <w:tcBorders>
              <w:top w:val="single" w:color="auto" w:sz="4" w:space="0"/>
              <w:left w:val="single" w:color="auto" w:sz="4" w:space="0"/>
              <w:bottom w:val="single" w:color="auto" w:sz="4" w:space="0"/>
              <w:right w:val="single" w:color="auto" w:sz="4" w:space="0"/>
            </w:tcBorders>
            <w:vAlign w:val="center"/>
          </w:tcPr>
          <w:p w14:paraId="753F4A73">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（1）与采购人存在利害关系可能影响采购公正性的法人、其他组织；</w:t>
            </w:r>
          </w:p>
          <w:p w14:paraId="023801A6">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（2）为本标段前期准备提供设计或咨询服务的，但设计施工总承包的除外；</w:t>
            </w:r>
          </w:p>
          <w:p w14:paraId="6CFFDF3C">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（3）为本标段的监理人；</w:t>
            </w:r>
          </w:p>
          <w:p w14:paraId="2074F4E4">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（4）为本标段的代建人；</w:t>
            </w:r>
          </w:p>
          <w:p w14:paraId="5AD02564">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（5）为本标段提供采购代理服务的；</w:t>
            </w:r>
          </w:p>
          <w:p w14:paraId="154E1E19">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（6）与本标段的监理人或代建人或采购代理机构同为一个法定代表人的；</w:t>
            </w:r>
          </w:p>
          <w:p w14:paraId="7171BF2F">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（7）与本标段的监理人或代建人或采购代理机构相互控股或参股的；</w:t>
            </w:r>
          </w:p>
          <w:p w14:paraId="535212E0">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（8）与本标段的监理人或代建人或采购代理机构相互任职或工作的；</w:t>
            </w:r>
          </w:p>
          <w:p w14:paraId="67771A4F">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（9）吊销或暂扣营业执照、安全生产许可证期间；</w:t>
            </w:r>
          </w:p>
          <w:p w14:paraId="5D6A906B">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（10）在本行政区域被暂停或取消投标资格的；</w:t>
            </w:r>
          </w:p>
          <w:p w14:paraId="347FF8DE">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（11）财产被接管或基本账户被冻结的；</w:t>
            </w:r>
          </w:p>
          <w:p w14:paraId="02C534B2">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（12）有骗取中标或严重违约或工程质量安全问题，在本行政区域正处在停业整顿或暂停投标期间的；</w:t>
            </w:r>
          </w:p>
          <w:p w14:paraId="38A276F8">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（13）被责令停业的。</w:t>
            </w:r>
          </w:p>
        </w:tc>
      </w:tr>
      <w:tr w14:paraId="336B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354" w:type="dxa"/>
            <w:tcBorders>
              <w:top w:val="single" w:color="auto" w:sz="4" w:space="0"/>
              <w:left w:val="single" w:color="auto" w:sz="4" w:space="0"/>
              <w:bottom w:val="single" w:color="auto" w:sz="4" w:space="0"/>
              <w:right w:val="single" w:color="auto" w:sz="4" w:space="0"/>
            </w:tcBorders>
            <w:vAlign w:val="center"/>
          </w:tcPr>
          <w:p w14:paraId="66CAE773">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1.5.3</w:t>
            </w:r>
          </w:p>
        </w:tc>
        <w:tc>
          <w:tcPr>
            <w:tcW w:w="1204" w:type="dxa"/>
            <w:tcBorders>
              <w:top w:val="single" w:color="auto" w:sz="4" w:space="0"/>
              <w:left w:val="single" w:color="auto" w:sz="4" w:space="0"/>
              <w:bottom w:val="single" w:color="auto" w:sz="4" w:space="0"/>
              <w:right w:val="single" w:color="auto" w:sz="4" w:space="0"/>
            </w:tcBorders>
            <w:vAlign w:val="center"/>
          </w:tcPr>
          <w:p w14:paraId="6E346110">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w:t>
            </w:r>
          </w:p>
        </w:tc>
        <w:tc>
          <w:tcPr>
            <w:tcW w:w="6905" w:type="dxa"/>
            <w:tcBorders>
              <w:top w:val="single" w:color="auto" w:sz="4" w:space="0"/>
              <w:left w:val="single" w:color="auto" w:sz="4" w:space="0"/>
              <w:bottom w:val="single" w:color="auto" w:sz="4" w:space="0"/>
              <w:right w:val="single" w:color="auto" w:sz="4" w:space="0"/>
            </w:tcBorders>
            <w:vAlign w:val="center"/>
          </w:tcPr>
          <w:p w14:paraId="3DA889DB">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是否接受联合体详见磋商公告</w:t>
            </w:r>
          </w:p>
        </w:tc>
      </w:tr>
      <w:tr w14:paraId="57319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1ACA94B1">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1.6</w:t>
            </w:r>
          </w:p>
        </w:tc>
        <w:tc>
          <w:tcPr>
            <w:tcW w:w="1204" w:type="dxa"/>
            <w:tcBorders>
              <w:top w:val="single" w:color="auto" w:sz="4" w:space="0"/>
              <w:left w:val="single" w:color="auto" w:sz="4" w:space="0"/>
              <w:bottom w:val="single" w:color="auto" w:sz="4" w:space="0"/>
              <w:right w:val="single" w:color="auto" w:sz="4" w:space="0"/>
            </w:tcBorders>
            <w:vAlign w:val="center"/>
          </w:tcPr>
          <w:p w14:paraId="641F471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w:t>
            </w:r>
          </w:p>
        </w:tc>
        <w:tc>
          <w:tcPr>
            <w:tcW w:w="6905" w:type="dxa"/>
            <w:tcBorders>
              <w:top w:val="single" w:color="auto" w:sz="4" w:space="0"/>
              <w:left w:val="single" w:color="auto" w:sz="4" w:space="0"/>
              <w:bottom w:val="single" w:color="auto" w:sz="4" w:space="0"/>
              <w:right w:val="single" w:color="auto" w:sz="4" w:space="0"/>
            </w:tcBorders>
            <w:vAlign w:val="center"/>
          </w:tcPr>
          <w:p w14:paraId="498C1403">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2" w:char="F052"/>
            </w:r>
            <w:r>
              <w:rPr>
                <w:rFonts w:hint="eastAsia" w:ascii="宋体" w:hAnsi="宋体" w:eastAsia="宋体" w:cs="宋体"/>
                <w:color w:val="auto"/>
                <w:szCs w:val="21"/>
                <w:highlight w:val="none"/>
              </w:rPr>
              <w:t>否   □是</w:t>
            </w:r>
          </w:p>
          <w:p w14:paraId="55158888">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踏勘时间：</w:t>
            </w:r>
            <w:r>
              <w:rPr>
                <w:rFonts w:hint="eastAsia" w:ascii="宋体" w:hAnsi="宋体" w:eastAsia="宋体" w:cs="宋体"/>
                <w:color w:val="auto"/>
                <w:szCs w:val="21"/>
                <w:highlight w:val="none"/>
                <w:u w:val="single"/>
              </w:rPr>
              <w:t xml:space="preserve">  /  </w:t>
            </w:r>
          </w:p>
          <w:p w14:paraId="4736624D">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踏勘地点：</w:t>
            </w:r>
            <w:r>
              <w:rPr>
                <w:rFonts w:hint="eastAsia" w:ascii="宋体" w:hAnsi="宋体" w:eastAsia="宋体" w:cs="宋体"/>
                <w:color w:val="auto"/>
                <w:szCs w:val="21"/>
                <w:highlight w:val="none"/>
                <w:u w:val="single"/>
              </w:rPr>
              <w:t xml:space="preserve">  /  </w:t>
            </w:r>
          </w:p>
          <w:p w14:paraId="5ECB2235">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踏勘要求：</w:t>
            </w:r>
            <w:r>
              <w:rPr>
                <w:rFonts w:hint="eastAsia" w:ascii="宋体" w:hAnsi="宋体" w:eastAsia="宋体" w:cs="宋体"/>
                <w:color w:val="auto"/>
                <w:szCs w:val="21"/>
                <w:highlight w:val="none"/>
                <w:u w:val="single"/>
              </w:rPr>
              <w:t xml:space="preserve">  /  </w:t>
            </w:r>
          </w:p>
        </w:tc>
      </w:tr>
      <w:tr w14:paraId="7EE23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6BB83D0C">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1.7.1</w:t>
            </w:r>
          </w:p>
        </w:tc>
        <w:tc>
          <w:tcPr>
            <w:tcW w:w="1204" w:type="dxa"/>
            <w:tcBorders>
              <w:top w:val="single" w:color="auto" w:sz="4" w:space="0"/>
              <w:left w:val="single" w:color="auto" w:sz="4" w:space="0"/>
              <w:bottom w:val="single" w:color="auto" w:sz="4" w:space="0"/>
              <w:right w:val="single" w:color="auto" w:sz="4" w:space="0"/>
            </w:tcBorders>
            <w:vAlign w:val="center"/>
          </w:tcPr>
          <w:p w14:paraId="6121C43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转包</w:t>
            </w:r>
          </w:p>
        </w:tc>
        <w:tc>
          <w:tcPr>
            <w:tcW w:w="6905" w:type="dxa"/>
            <w:tcBorders>
              <w:top w:val="single" w:color="auto" w:sz="4" w:space="0"/>
              <w:left w:val="single" w:color="auto" w:sz="4" w:space="0"/>
              <w:bottom w:val="single" w:color="auto" w:sz="4" w:space="0"/>
              <w:right w:val="single" w:color="auto" w:sz="4" w:space="0"/>
            </w:tcBorders>
            <w:vAlign w:val="center"/>
          </w:tcPr>
          <w:p w14:paraId="36FCBAB4">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本项目不允许转包。</w:t>
            </w:r>
          </w:p>
        </w:tc>
      </w:tr>
      <w:tr w14:paraId="2FE58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61BE20A4">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1.7.2</w:t>
            </w:r>
          </w:p>
        </w:tc>
        <w:tc>
          <w:tcPr>
            <w:tcW w:w="1204" w:type="dxa"/>
            <w:tcBorders>
              <w:top w:val="single" w:color="auto" w:sz="4" w:space="0"/>
              <w:left w:val="single" w:color="auto" w:sz="4" w:space="0"/>
              <w:bottom w:val="single" w:color="auto" w:sz="4" w:space="0"/>
              <w:right w:val="single" w:color="auto" w:sz="4" w:space="0"/>
            </w:tcBorders>
            <w:vAlign w:val="center"/>
          </w:tcPr>
          <w:p w14:paraId="2BCF2D61">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6905" w:type="dxa"/>
            <w:tcBorders>
              <w:top w:val="single" w:color="auto" w:sz="4" w:space="0"/>
              <w:left w:val="single" w:color="auto" w:sz="4" w:space="0"/>
              <w:bottom w:val="single" w:color="auto" w:sz="4" w:space="0"/>
              <w:right w:val="single" w:color="auto" w:sz="4" w:space="0"/>
            </w:tcBorders>
            <w:vAlign w:val="center"/>
          </w:tcPr>
          <w:p w14:paraId="54A0FA8D">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是否接受分包详见磋商公告</w:t>
            </w:r>
          </w:p>
        </w:tc>
      </w:tr>
      <w:tr w14:paraId="38F22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0B7A362C">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2.3</w:t>
            </w:r>
          </w:p>
        </w:tc>
        <w:tc>
          <w:tcPr>
            <w:tcW w:w="1204" w:type="dxa"/>
            <w:tcBorders>
              <w:top w:val="single" w:color="auto" w:sz="4" w:space="0"/>
              <w:left w:val="single" w:color="auto" w:sz="4" w:space="0"/>
              <w:bottom w:val="single" w:color="auto" w:sz="4" w:space="0"/>
              <w:right w:val="single" w:color="auto" w:sz="4" w:space="0"/>
            </w:tcBorders>
            <w:vAlign w:val="center"/>
          </w:tcPr>
          <w:p w14:paraId="2D8C1D9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采购文件澄清、修改</w:t>
            </w:r>
          </w:p>
        </w:tc>
        <w:tc>
          <w:tcPr>
            <w:tcW w:w="6905" w:type="dxa"/>
            <w:tcBorders>
              <w:top w:val="single" w:color="auto" w:sz="4" w:space="0"/>
              <w:left w:val="single" w:color="auto" w:sz="4" w:space="0"/>
              <w:bottom w:val="single" w:color="auto" w:sz="4" w:space="0"/>
              <w:right w:val="single" w:color="auto" w:sz="4" w:space="0"/>
            </w:tcBorders>
            <w:vAlign w:val="center"/>
          </w:tcPr>
          <w:p w14:paraId="5CBBAC65">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在磋商公告发布媒介发布。</w:t>
            </w:r>
          </w:p>
        </w:tc>
      </w:tr>
      <w:tr w14:paraId="21F5D7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652D54D0">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w:t>
            </w:r>
          </w:p>
        </w:tc>
        <w:tc>
          <w:tcPr>
            <w:tcW w:w="1204" w:type="dxa"/>
            <w:tcBorders>
              <w:top w:val="single" w:color="auto" w:sz="4" w:space="0"/>
              <w:left w:val="single" w:color="auto" w:sz="4" w:space="0"/>
              <w:bottom w:val="single" w:color="auto" w:sz="4" w:space="0"/>
              <w:right w:val="single" w:color="auto" w:sz="4" w:space="0"/>
            </w:tcBorders>
            <w:vAlign w:val="center"/>
          </w:tcPr>
          <w:p w14:paraId="7F0A44B2">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确认收到澄清、修改发布的方式</w:t>
            </w:r>
          </w:p>
        </w:tc>
        <w:tc>
          <w:tcPr>
            <w:tcW w:w="6905" w:type="dxa"/>
            <w:tcBorders>
              <w:top w:val="single" w:color="auto" w:sz="4" w:space="0"/>
              <w:left w:val="single" w:color="auto" w:sz="4" w:space="0"/>
              <w:bottom w:val="single" w:color="auto" w:sz="4" w:space="0"/>
              <w:right w:val="single" w:color="auto" w:sz="4" w:space="0"/>
            </w:tcBorders>
            <w:vAlign w:val="center"/>
          </w:tcPr>
          <w:p w14:paraId="4553E1BE">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澄清、修改文件自磋商公告发布媒体发布之日起，视为供应商已收到该澄清、修改。供应商未及时关注磋商公告发布媒体造成的损失，由供应商自行负责。</w:t>
            </w:r>
          </w:p>
        </w:tc>
      </w:tr>
      <w:tr w14:paraId="110C1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02EBA946">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3.4.1</w:t>
            </w:r>
          </w:p>
        </w:tc>
        <w:tc>
          <w:tcPr>
            <w:tcW w:w="1204" w:type="dxa"/>
            <w:tcBorders>
              <w:top w:val="single" w:color="auto" w:sz="4" w:space="0"/>
              <w:left w:val="single" w:color="auto" w:sz="4" w:space="0"/>
              <w:bottom w:val="single" w:color="auto" w:sz="4" w:space="0"/>
              <w:right w:val="single" w:color="auto" w:sz="4" w:space="0"/>
            </w:tcBorders>
            <w:vAlign w:val="center"/>
          </w:tcPr>
          <w:p w14:paraId="270A722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响应有效期</w:t>
            </w:r>
          </w:p>
        </w:tc>
        <w:tc>
          <w:tcPr>
            <w:tcW w:w="6905" w:type="dxa"/>
            <w:tcBorders>
              <w:top w:val="single" w:color="auto" w:sz="4" w:space="0"/>
              <w:left w:val="single" w:color="auto" w:sz="4" w:space="0"/>
              <w:bottom w:val="single" w:color="auto" w:sz="4" w:space="0"/>
              <w:right w:val="single" w:color="auto" w:sz="4" w:space="0"/>
            </w:tcBorders>
            <w:vAlign w:val="center"/>
          </w:tcPr>
          <w:p w14:paraId="54DF5A42">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响应截止之日起90天。</w:t>
            </w:r>
          </w:p>
        </w:tc>
      </w:tr>
      <w:tr w14:paraId="6DC9E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79DCE795">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w:t>
            </w:r>
          </w:p>
        </w:tc>
        <w:tc>
          <w:tcPr>
            <w:tcW w:w="1204" w:type="dxa"/>
            <w:tcBorders>
              <w:top w:val="single" w:color="auto" w:sz="4" w:space="0"/>
              <w:left w:val="single" w:color="auto" w:sz="4" w:space="0"/>
              <w:bottom w:val="single" w:color="auto" w:sz="4" w:space="0"/>
              <w:right w:val="single" w:color="auto" w:sz="4" w:space="0"/>
            </w:tcBorders>
            <w:vAlign w:val="center"/>
          </w:tcPr>
          <w:p w14:paraId="7117D9A2">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905" w:type="dxa"/>
            <w:tcBorders>
              <w:top w:val="single" w:color="auto" w:sz="4" w:space="0"/>
              <w:left w:val="single" w:color="auto" w:sz="4" w:space="0"/>
              <w:bottom w:val="single" w:color="auto" w:sz="4" w:space="0"/>
              <w:right w:val="single" w:color="auto" w:sz="4" w:space="0"/>
            </w:tcBorders>
            <w:vAlign w:val="center"/>
          </w:tcPr>
          <w:p w14:paraId="513EF8F1">
            <w:pPr>
              <w:spacing w:line="3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无须提交</w:t>
            </w:r>
          </w:p>
        </w:tc>
      </w:tr>
      <w:tr w14:paraId="3AA87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7B0C1F12">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w:t>
            </w:r>
          </w:p>
        </w:tc>
        <w:tc>
          <w:tcPr>
            <w:tcW w:w="1204" w:type="dxa"/>
            <w:tcBorders>
              <w:top w:val="single" w:color="auto" w:sz="4" w:space="0"/>
              <w:left w:val="single" w:color="auto" w:sz="4" w:space="0"/>
              <w:bottom w:val="single" w:color="auto" w:sz="4" w:space="0"/>
              <w:right w:val="single" w:color="auto" w:sz="4" w:space="0"/>
            </w:tcBorders>
            <w:vAlign w:val="center"/>
          </w:tcPr>
          <w:p w14:paraId="2B00CAE2">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响应文件的编制</w:t>
            </w:r>
          </w:p>
        </w:tc>
        <w:tc>
          <w:tcPr>
            <w:tcW w:w="6905" w:type="dxa"/>
            <w:tcBorders>
              <w:top w:val="single" w:color="auto" w:sz="4" w:space="0"/>
              <w:left w:val="single" w:color="auto" w:sz="4" w:space="0"/>
              <w:bottom w:val="single" w:color="auto" w:sz="4" w:space="0"/>
              <w:right w:val="single" w:color="auto" w:sz="4" w:space="0"/>
            </w:tcBorders>
            <w:vAlign w:val="center"/>
          </w:tcPr>
          <w:p w14:paraId="402DFBD4">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响应文件应按第六章响应文件格式分别编制并使用下载的</w:t>
            </w:r>
            <w:r>
              <w:rPr>
                <w:rFonts w:hint="eastAsia" w:ascii="宋体" w:hAnsi="宋体" w:eastAsia="宋体" w:cs="宋体"/>
                <w:color w:val="auto"/>
                <w:szCs w:val="21"/>
                <w:highlight w:val="none"/>
                <w:lang w:val="en-US" w:eastAsia="zh-CN"/>
              </w:rPr>
              <w:t>广西</w:t>
            </w:r>
            <w:r>
              <w:rPr>
                <w:rFonts w:hint="eastAsia" w:ascii="宋体" w:hAnsi="宋体" w:eastAsia="宋体" w:cs="宋体"/>
                <w:color w:val="auto"/>
                <w:szCs w:val="21"/>
                <w:highlight w:val="none"/>
              </w:rPr>
              <w:t>政府采购云平台投标客户端上传。</w:t>
            </w:r>
          </w:p>
        </w:tc>
      </w:tr>
      <w:tr w14:paraId="31A8F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5E1E9159">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3.7</w:t>
            </w:r>
          </w:p>
        </w:tc>
        <w:tc>
          <w:tcPr>
            <w:tcW w:w="1204" w:type="dxa"/>
            <w:tcBorders>
              <w:top w:val="single" w:color="auto" w:sz="4" w:space="0"/>
              <w:left w:val="single" w:color="auto" w:sz="4" w:space="0"/>
              <w:bottom w:val="single" w:color="auto" w:sz="4" w:space="0"/>
              <w:right w:val="single" w:color="auto" w:sz="4" w:space="0"/>
            </w:tcBorders>
            <w:vAlign w:val="center"/>
          </w:tcPr>
          <w:p w14:paraId="30B7E67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响应文件递交截止时间及截标时间</w:t>
            </w:r>
          </w:p>
        </w:tc>
        <w:tc>
          <w:tcPr>
            <w:tcW w:w="6905" w:type="dxa"/>
            <w:tcBorders>
              <w:top w:val="single" w:color="auto" w:sz="4" w:space="0"/>
              <w:left w:val="single" w:color="auto" w:sz="4" w:space="0"/>
              <w:bottom w:val="single" w:color="auto" w:sz="4" w:space="0"/>
              <w:right w:val="single" w:color="auto" w:sz="4" w:space="0"/>
            </w:tcBorders>
            <w:vAlign w:val="center"/>
          </w:tcPr>
          <w:p w14:paraId="424D763C">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见磋商公告要求</w:t>
            </w:r>
            <w:r>
              <w:rPr>
                <w:rFonts w:hint="eastAsia" w:ascii="宋体" w:hAnsi="宋体" w:eastAsia="宋体" w:cs="宋体"/>
                <w:color w:val="auto"/>
                <w:szCs w:val="21"/>
                <w:highlight w:val="none"/>
              </w:rPr>
              <w:t>。</w:t>
            </w:r>
          </w:p>
        </w:tc>
      </w:tr>
      <w:tr w14:paraId="35663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258DB206">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w:t>
            </w:r>
          </w:p>
        </w:tc>
        <w:tc>
          <w:tcPr>
            <w:tcW w:w="1204" w:type="dxa"/>
            <w:tcBorders>
              <w:top w:val="single" w:color="auto" w:sz="4" w:space="0"/>
              <w:left w:val="single" w:color="auto" w:sz="4" w:space="0"/>
              <w:bottom w:val="single" w:color="auto" w:sz="4" w:space="0"/>
              <w:right w:val="single" w:color="auto" w:sz="4" w:space="0"/>
            </w:tcBorders>
            <w:vAlign w:val="center"/>
          </w:tcPr>
          <w:p w14:paraId="68008201">
            <w:pPr>
              <w:spacing w:line="300" w:lineRule="exact"/>
              <w:jc w:val="center"/>
              <w:rPr>
                <w:rFonts w:hint="eastAsia" w:ascii="宋体" w:hAnsi="宋体" w:eastAsia="宋体" w:cs="宋体"/>
                <w:color w:val="auto"/>
                <w:szCs w:val="20"/>
                <w:highlight w:val="none"/>
              </w:rPr>
            </w:pPr>
            <w:r>
              <w:rPr>
                <w:rFonts w:hint="eastAsia" w:ascii="宋体" w:hAnsi="宋体" w:eastAsia="宋体" w:cs="宋体"/>
                <w:color w:val="auto"/>
                <w:szCs w:val="21"/>
                <w:highlight w:val="none"/>
              </w:rPr>
              <w:t>备份响应文件</w:t>
            </w:r>
          </w:p>
        </w:tc>
        <w:tc>
          <w:tcPr>
            <w:tcW w:w="6905" w:type="dxa"/>
            <w:tcBorders>
              <w:top w:val="single" w:color="auto" w:sz="4" w:space="0"/>
              <w:left w:val="single" w:color="auto" w:sz="4" w:space="0"/>
              <w:bottom w:val="single" w:color="auto" w:sz="4" w:space="0"/>
              <w:right w:val="single" w:color="auto" w:sz="4" w:space="0"/>
            </w:tcBorders>
            <w:vAlign w:val="center"/>
          </w:tcPr>
          <w:p w14:paraId="5722BDA2">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 w:val="22"/>
                <w:szCs w:val="22"/>
                <w:highlight w:val="none"/>
              </w:rPr>
              <w:sym w:font="Wingdings 2" w:char="F052"/>
            </w:r>
            <w:r>
              <w:rPr>
                <w:rFonts w:hint="eastAsia" w:ascii="宋体" w:hAnsi="宋体" w:eastAsia="宋体" w:cs="宋体"/>
                <w:color w:val="auto"/>
                <w:szCs w:val="21"/>
                <w:highlight w:val="none"/>
              </w:rPr>
              <w:t>接受   □不接受备份响应文件</w:t>
            </w:r>
          </w:p>
          <w:p w14:paraId="46FF5E88">
            <w:pPr>
              <w:rPr>
                <w:rFonts w:hint="eastAsia" w:ascii="宋体" w:hAnsi="宋体" w:eastAsia="宋体" w:cs="宋体"/>
                <w:color w:val="auto"/>
                <w:szCs w:val="21"/>
                <w:highlight w:val="none"/>
              </w:rPr>
            </w:pPr>
            <w:r>
              <w:rPr>
                <w:rFonts w:hint="eastAsia" w:ascii="宋体" w:hAnsi="宋体" w:eastAsia="宋体" w:cs="宋体"/>
                <w:color w:val="auto"/>
                <w:highlight w:val="none"/>
              </w:rPr>
              <w:t>以政府采购云平台系统自动生成的备份文件为依据，当项目允许接受备份响应文件时，供应商才可以按规定上传备份响应文件。</w:t>
            </w:r>
          </w:p>
        </w:tc>
      </w:tr>
      <w:tr w14:paraId="7B39B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6B1B21DE">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4.3</w:t>
            </w:r>
          </w:p>
        </w:tc>
        <w:tc>
          <w:tcPr>
            <w:tcW w:w="1204" w:type="dxa"/>
            <w:tcBorders>
              <w:top w:val="single" w:color="auto" w:sz="4" w:space="0"/>
              <w:left w:val="single" w:color="auto" w:sz="4" w:space="0"/>
              <w:bottom w:val="single" w:color="auto" w:sz="4" w:space="0"/>
              <w:right w:val="single" w:color="auto" w:sz="4" w:space="0"/>
            </w:tcBorders>
            <w:vAlign w:val="center"/>
          </w:tcPr>
          <w:p w14:paraId="3B54F970">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0"/>
                <w:highlight w:val="none"/>
              </w:rPr>
              <w:t>演示</w:t>
            </w:r>
          </w:p>
        </w:tc>
        <w:tc>
          <w:tcPr>
            <w:tcW w:w="6905" w:type="dxa"/>
            <w:tcBorders>
              <w:top w:val="single" w:color="auto" w:sz="4" w:space="0"/>
              <w:left w:val="single" w:color="auto" w:sz="4" w:space="0"/>
              <w:bottom w:val="single" w:color="auto" w:sz="4" w:space="0"/>
              <w:right w:val="single" w:color="auto" w:sz="4" w:space="0"/>
            </w:tcBorders>
            <w:vAlign w:val="center"/>
          </w:tcPr>
          <w:p w14:paraId="501FDBAE">
            <w:pPr>
              <w:spacing w:line="276" w:lineRule="auto"/>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sym w:font="Wingdings 2" w:char="F052"/>
            </w:r>
            <w:r>
              <w:rPr>
                <w:rFonts w:hint="eastAsia" w:ascii="宋体" w:hAnsi="宋体" w:eastAsia="宋体" w:cs="宋体"/>
                <w:color w:val="auto"/>
                <w:szCs w:val="21"/>
                <w:highlight w:val="none"/>
              </w:rPr>
              <w:t>否   □是</w:t>
            </w:r>
          </w:p>
          <w:p w14:paraId="74FB247C">
            <w:pP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演示内容：</w:t>
            </w:r>
            <w:r>
              <w:rPr>
                <w:rFonts w:hint="eastAsia" w:ascii="宋体" w:hAnsi="宋体" w:eastAsia="宋体" w:cs="宋体"/>
                <w:color w:val="auto"/>
                <w:szCs w:val="21"/>
                <w:highlight w:val="none"/>
                <w:u w:val="single"/>
              </w:rPr>
              <w:t xml:space="preserve">  /  </w:t>
            </w:r>
          </w:p>
          <w:p w14:paraId="5A140533">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演示形式：</w:t>
            </w:r>
            <w:r>
              <w:rPr>
                <w:rFonts w:hint="eastAsia" w:ascii="宋体" w:hAnsi="宋体" w:eastAsia="宋体" w:cs="宋体"/>
                <w:color w:val="auto"/>
                <w:szCs w:val="21"/>
                <w:highlight w:val="none"/>
                <w:u w:val="single"/>
              </w:rPr>
              <w:t xml:space="preserve">  /  </w:t>
            </w:r>
          </w:p>
        </w:tc>
      </w:tr>
      <w:tr w14:paraId="48885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046BA25A">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4.4</w:t>
            </w:r>
          </w:p>
        </w:tc>
        <w:tc>
          <w:tcPr>
            <w:tcW w:w="1204" w:type="dxa"/>
            <w:tcBorders>
              <w:top w:val="single" w:color="auto" w:sz="4" w:space="0"/>
              <w:left w:val="single" w:color="auto" w:sz="4" w:space="0"/>
              <w:bottom w:val="single" w:color="auto" w:sz="4" w:space="0"/>
              <w:right w:val="single" w:color="auto" w:sz="4" w:space="0"/>
            </w:tcBorders>
            <w:vAlign w:val="center"/>
          </w:tcPr>
          <w:p w14:paraId="6E6D9A25">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0"/>
                <w:highlight w:val="none"/>
              </w:rPr>
              <w:t>样品</w:t>
            </w:r>
          </w:p>
        </w:tc>
        <w:tc>
          <w:tcPr>
            <w:tcW w:w="6905" w:type="dxa"/>
            <w:tcBorders>
              <w:top w:val="single" w:color="auto" w:sz="4" w:space="0"/>
              <w:left w:val="single" w:color="auto" w:sz="4" w:space="0"/>
              <w:bottom w:val="single" w:color="auto" w:sz="4" w:space="0"/>
              <w:right w:val="single" w:color="auto" w:sz="4" w:space="0"/>
            </w:tcBorders>
            <w:vAlign w:val="center"/>
          </w:tcPr>
          <w:p w14:paraId="6BEEE235">
            <w:pPr>
              <w:spacing w:line="276" w:lineRule="auto"/>
              <w:rPr>
                <w:rFonts w:hint="eastAsia" w:ascii="宋体" w:hAnsi="宋体" w:eastAsia="宋体" w:cs="宋体"/>
                <w:color w:val="auto"/>
                <w:szCs w:val="21"/>
                <w:highlight w:val="none"/>
              </w:rPr>
            </w:pPr>
            <w:r>
              <w:rPr>
                <w:rFonts w:hint="eastAsia" w:ascii="宋体" w:hAnsi="宋体" w:eastAsia="宋体" w:cs="宋体"/>
                <w:color w:val="auto"/>
                <w:sz w:val="24"/>
                <w:highlight w:val="none"/>
              </w:rPr>
              <w:sym w:font="Wingdings 2" w:char="F052"/>
            </w:r>
            <w:r>
              <w:rPr>
                <w:rFonts w:hint="eastAsia" w:ascii="宋体" w:hAnsi="宋体" w:eastAsia="宋体" w:cs="宋体"/>
                <w:color w:val="auto"/>
                <w:szCs w:val="21"/>
                <w:highlight w:val="none"/>
              </w:rPr>
              <w:t>否   □是</w:t>
            </w:r>
          </w:p>
          <w:p w14:paraId="4E380FE6">
            <w:pP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样品制作的标准和要求：</w:t>
            </w:r>
            <w:r>
              <w:rPr>
                <w:rFonts w:hint="eastAsia" w:ascii="宋体" w:hAnsi="宋体" w:eastAsia="宋体" w:cs="宋体"/>
                <w:color w:val="auto"/>
                <w:szCs w:val="21"/>
                <w:highlight w:val="none"/>
                <w:u w:val="single"/>
              </w:rPr>
              <w:t xml:space="preserve">  /  </w:t>
            </w:r>
          </w:p>
          <w:p w14:paraId="71230DFB">
            <w:pP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样品检测机构的要求：</w:t>
            </w:r>
            <w:r>
              <w:rPr>
                <w:rFonts w:hint="eastAsia" w:ascii="宋体" w:hAnsi="宋体" w:eastAsia="宋体" w:cs="宋体"/>
                <w:color w:val="auto"/>
                <w:szCs w:val="21"/>
                <w:highlight w:val="none"/>
                <w:u w:val="single"/>
              </w:rPr>
              <w:t xml:space="preserve">  /  </w:t>
            </w:r>
          </w:p>
          <w:p w14:paraId="4232CDA5">
            <w:pP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检测内容：</w:t>
            </w:r>
            <w:r>
              <w:rPr>
                <w:rFonts w:hint="eastAsia" w:ascii="宋体" w:hAnsi="宋体" w:eastAsia="宋体" w:cs="宋体"/>
                <w:color w:val="auto"/>
                <w:szCs w:val="21"/>
                <w:highlight w:val="none"/>
                <w:u w:val="single"/>
              </w:rPr>
              <w:t xml:space="preserve">  /  </w:t>
            </w:r>
          </w:p>
          <w:p w14:paraId="42E1837A">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样品递交方式：</w:t>
            </w:r>
            <w:r>
              <w:rPr>
                <w:rFonts w:hint="eastAsia" w:ascii="宋体" w:hAnsi="宋体" w:eastAsia="宋体" w:cs="宋体"/>
                <w:color w:val="auto"/>
                <w:szCs w:val="21"/>
                <w:highlight w:val="none"/>
                <w:u w:val="single"/>
              </w:rPr>
              <w:t xml:space="preserve">  /  </w:t>
            </w:r>
          </w:p>
        </w:tc>
      </w:tr>
      <w:tr w14:paraId="63533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51DEB69C">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6.5.1</w:t>
            </w:r>
          </w:p>
        </w:tc>
        <w:tc>
          <w:tcPr>
            <w:tcW w:w="1204" w:type="dxa"/>
            <w:tcBorders>
              <w:top w:val="single" w:color="auto" w:sz="4" w:space="0"/>
              <w:left w:val="single" w:color="auto" w:sz="4" w:space="0"/>
              <w:bottom w:val="single" w:color="auto" w:sz="4" w:space="0"/>
              <w:right w:val="single" w:color="auto" w:sz="4" w:space="0"/>
            </w:tcBorders>
            <w:vAlign w:val="center"/>
          </w:tcPr>
          <w:p w14:paraId="07F0FD40">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结果公告</w:t>
            </w:r>
          </w:p>
        </w:tc>
        <w:tc>
          <w:tcPr>
            <w:tcW w:w="6905" w:type="dxa"/>
            <w:tcBorders>
              <w:top w:val="single" w:color="auto" w:sz="4" w:space="0"/>
              <w:left w:val="single" w:color="auto" w:sz="4" w:space="0"/>
              <w:bottom w:val="single" w:color="auto" w:sz="4" w:space="0"/>
              <w:right w:val="single" w:color="auto" w:sz="4" w:space="0"/>
            </w:tcBorders>
            <w:vAlign w:val="center"/>
          </w:tcPr>
          <w:p w14:paraId="0911B047">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采购代理机构在采购人依法确认成交供应商后2个工作日内在磋商公告发布的媒体上发布结果公告。</w:t>
            </w:r>
          </w:p>
        </w:tc>
      </w:tr>
      <w:tr w14:paraId="69FD1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2C02C6B3">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6.5.2</w:t>
            </w:r>
          </w:p>
        </w:tc>
        <w:tc>
          <w:tcPr>
            <w:tcW w:w="1204" w:type="dxa"/>
            <w:tcBorders>
              <w:top w:val="single" w:color="auto" w:sz="4" w:space="0"/>
              <w:left w:val="single" w:color="auto" w:sz="4" w:space="0"/>
              <w:bottom w:val="single" w:color="auto" w:sz="4" w:space="0"/>
              <w:right w:val="single" w:color="auto" w:sz="4" w:space="0"/>
            </w:tcBorders>
            <w:vAlign w:val="center"/>
          </w:tcPr>
          <w:p w14:paraId="1FB6EC9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成交通知书</w:t>
            </w:r>
          </w:p>
        </w:tc>
        <w:tc>
          <w:tcPr>
            <w:tcW w:w="6905" w:type="dxa"/>
            <w:tcBorders>
              <w:top w:val="single" w:color="auto" w:sz="4" w:space="0"/>
              <w:left w:val="single" w:color="auto" w:sz="4" w:space="0"/>
              <w:bottom w:val="single" w:color="auto" w:sz="4" w:space="0"/>
              <w:right w:val="single" w:color="auto" w:sz="4" w:space="0"/>
            </w:tcBorders>
            <w:vAlign w:val="center"/>
          </w:tcPr>
          <w:p w14:paraId="553185E3">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采购代理机构通过“</w:t>
            </w:r>
            <w:r>
              <w:rPr>
                <w:rFonts w:hint="eastAsia" w:ascii="宋体" w:hAnsi="宋体" w:eastAsia="宋体" w:cs="宋体"/>
                <w:color w:val="auto"/>
                <w:szCs w:val="21"/>
                <w:highlight w:val="none"/>
                <w:lang w:val="en-US" w:eastAsia="zh-CN"/>
              </w:rPr>
              <w:t>广西</w:t>
            </w:r>
            <w:r>
              <w:rPr>
                <w:rFonts w:hint="eastAsia" w:ascii="宋体" w:hAnsi="宋体" w:eastAsia="宋体" w:cs="宋体"/>
                <w:color w:val="auto"/>
                <w:szCs w:val="21"/>
                <w:highlight w:val="none"/>
              </w:rPr>
              <w:t>政府采购云平台”平台发出成交通知书。</w:t>
            </w:r>
          </w:p>
          <w:p w14:paraId="7F5A4E32">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成交通知书在“</w:t>
            </w:r>
            <w:r>
              <w:rPr>
                <w:rFonts w:hint="eastAsia" w:ascii="宋体" w:hAnsi="宋体" w:eastAsia="宋体" w:cs="宋体"/>
                <w:color w:val="auto"/>
                <w:szCs w:val="21"/>
                <w:highlight w:val="none"/>
                <w:lang w:val="en-US" w:eastAsia="zh-CN"/>
              </w:rPr>
              <w:t>广西</w:t>
            </w:r>
            <w:r>
              <w:rPr>
                <w:rFonts w:hint="eastAsia" w:ascii="宋体" w:hAnsi="宋体" w:eastAsia="宋体" w:cs="宋体"/>
                <w:color w:val="auto"/>
                <w:szCs w:val="21"/>
                <w:highlight w:val="none"/>
              </w:rPr>
              <w:t>政府采购云平台”平台推送之日起，视为成交供应商已收到，成交供应商自行承担未及时查收的后果。</w:t>
            </w:r>
          </w:p>
        </w:tc>
      </w:tr>
      <w:tr w14:paraId="303C1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354" w:type="dxa"/>
            <w:tcBorders>
              <w:top w:val="single" w:color="auto" w:sz="4" w:space="0"/>
              <w:left w:val="single" w:color="auto" w:sz="4" w:space="0"/>
              <w:bottom w:val="single" w:color="auto" w:sz="4" w:space="0"/>
              <w:right w:val="single" w:color="auto" w:sz="4" w:space="0"/>
            </w:tcBorders>
            <w:vAlign w:val="center"/>
          </w:tcPr>
          <w:p w14:paraId="1B80FE35">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7.2</w:t>
            </w:r>
          </w:p>
        </w:tc>
        <w:tc>
          <w:tcPr>
            <w:tcW w:w="1204" w:type="dxa"/>
            <w:tcBorders>
              <w:top w:val="single" w:color="auto" w:sz="4" w:space="0"/>
              <w:left w:val="single" w:color="auto" w:sz="4" w:space="0"/>
              <w:bottom w:val="single" w:color="auto" w:sz="4" w:space="0"/>
              <w:right w:val="single" w:color="auto" w:sz="4" w:space="0"/>
            </w:tcBorders>
            <w:vAlign w:val="center"/>
          </w:tcPr>
          <w:p w14:paraId="400F7FE5">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w:t>
            </w:r>
          </w:p>
        </w:tc>
        <w:tc>
          <w:tcPr>
            <w:tcW w:w="6905" w:type="dxa"/>
            <w:tcBorders>
              <w:top w:val="single" w:color="auto" w:sz="4" w:space="0"/>
              <w:left w:val="single" w:color="auto" w:sz="4" w:space="0"/>
              <w:bottom w:val="single" w:color="auto" w:sz="4" w:space="0"/>
              <w:right w:val="single" w:color="auto" w:sz="4" w:space="0"/>
            </w:tcBorders>
            <w:vAlign w:val="center"/>
          </w:tcPr>
          <w:p w14:paraId="12431A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采购人应当自成交通知书发出之日起15日内，按照采购文件和成交供应商响应文件的规定，与成交供应商签订书面合同。</w:t>
            </w:r>
          </w:p>
        </w:tc>
      </w:tr>
      <w:tr w14:paraId="6D12D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54" w:type="dxa"/>
            <w:tcBorders>
              <w:top w:val="single" w:color="auto" w:sz="4" w:space="0"/>
              <w:left w:val="single" w:color="auto" w:sz="4" w:space="0"/>
              <w:bottom w:val="single" w:color="auto" w:sz="4" w:space="0"/>
              <w:right w:val="single" w:color="auto" w:sz="4" w:space="0"/>
            </w:tcBorders>
            <w:vAlign w:val="center"/>
          </w:tcPr>
          <w:p w14:paraId="45F5AD84">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w:t>
            </w:r>
          </w:p>
        </w:tc>
        <w:tc>
          <w:tcPr>
            <w:tcW w:w="1204" w:type="dxa"/>
            <w:tcBorders>
              <w:top w:val="single" w:color="auto" w:sz="4" w:space="0"/>
              <w:left w:val="single" w:color="auto" w:sz="4" w:space="0"/>
              <w:bottom w:val="single" w:color="auto" w:sz="4" w:space="0"/>
              <w:right w:val="single" w:color="auto" w:sz="4" w:space="0"/>
            </w:tcBorders>
            <w:vAlign w:val="center"/>
          </w:tcPr>
          <w:p w14:paraId="708C7BB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w:t>
            </w:r>
          </w:p>
        </w:tc>
        <w:tc>
          <w:tcPr>
            <w:tcW w:w="6905" w:type="dxa"/>
            <w:tcBorders>
              <w:top w:val="single" w:color="auto" w:sz="4" w:space="0"/>
              <w:left w:val="single" w:color="auto" w:sz="4" w:space="0"/>
              <w:bottom w:val="single" w:color="auto" w:sz="4" w:space="0"/>
              <w:right w:val="single" w:color="auto" w:sz="4" w:space="0"/>
            </w:tcBorders>
            <w:vAlign w:val="center"/>
          </w:tcPr>
          <w:p w14:paraId="769576B2">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认为采购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725C4AB8">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不接受传真、移动通信、政府采购云平台等方式送达的质疑材料，供应商可通过现场或邮寄方式递交书面质疑材料。供应商应于质疑有效期内将质疑函原件递交或邮寄至磋商公告中采购代理机构信息中的联系人。</w:t>
            </w:r>
          </w:p>
        </w:tc>
      </w:tr>
      <w:tr w14:paraId="3CDD7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45ACA5F1">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9.1</w:t>
            </w:r>
          </w:p>
        </w:tc>
        <w:tc>
          <w:tcPr>
            <w:tcW w:w="1204" w:type="dxa"/>
            <w:tcBorders>
              <w:top w:val="single" w:color="auto" w:sz="4" w:space="0"/>
              <w:left w:val="single" w:color="auto" w:sz="4" w:space="0"/>
              <w:bottom w:val="single" w:color="auto" w:sz="4" w:space="0"/>
              <w:right w:val="single" w:color="auto" w:sz="4" w:space="0"/>
            </w:tcBorders>
            <w:vAlign w:val="center"/>
          </w:tcPr>
          <w:p w14:paraId="41A5F4A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0"/>
                <w:highlight w:val="none"/>
              </w:rPr>
              <w:t>代理服务费</w:t>
            </w:r>
          </w:p>
        </w:tc>
        <w:tc>
          <w:tcPr>
            <w:tcW w:w="6905" w:type="dxa"/>
            <w:tcBorders>
              <w:top w:val="single" w:color="auto" w:sz="4" w:space="0"/>
              <w:left w:val="single" w:color="auto" w:sz="4" w:space="0"/>
              <w:bottom w:val="single" w:color="auto" w:sz="4" w:space="0"/>
              <w:right w:val="single" w:color="auto" w:sz="4" w:space="0"/>
            </w:tcBorders>
            <w:vAlign w:val="center"/>
          </w:tcPr>
          <w:p w14:paraId="1AE83F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代理服务费</w:t>
            </w:r>
          </w:p>
          <w:p w14:paraId="0A97DD7C">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采购代理机构向成交供应商收取代理服务费。本项目代理服务费按照《招标代理服务费管理暂行办法》 (计价格﹝2002﹞1980号)、《国家发展改革委关于降低部分建设项目收费标准规范收费行为等有关问题的通知》(发改价格﹝2011﹞534号)的规定采用差额定率累进法计算。</w:t>
            </w:r>
          </w:p>
          <w:p w14:paraId="0BECC633">
            <w:pPr>
              <w:spacing w:line="300" w:lineRule="exact"/>
              <w:jc w:val="left"/>
              <w:rPr>
                <w:rFonts w:hint="eastAsia" w:ascii="宋体" w:hAnsi="宋体" w:eastAsia="宋体" w:cs="宋体"/>
                <w:color w:val="auto"/>
                <w:kern w:val="0"/>
                <w:szCs w:val="21"/>
                <w:highlight w:val="none"/>
              </w:rPr>
            </w:pP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lang w:val="en-US" w:eastAsia="zh-CN"/>
              </w:rPr>
              <w:t>.</w:t>
            </w:r>
            <w:r>
              <w:rPr>
                <w:rFonts w:hint="eastAsia" w:ascii="宋体" w:hAnsi="宋体" w:eastAsia="宋体" w:cs="宋体"/>
                <w:color w:val="auto"/>
                <w:highlight w:val="none"/>
              </w:rPr>
              <w:t>采购代理</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费收取银行账户信息以中标事项告知书为准。</w:t>
            </w:r>
          </w:p>
        </w:tc>
      </w:tr>
      <w:tr w14:paraId="189DA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101337EA">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9.3</w:t>
            </w:r>
          </w:p>
        </w:tc>
        <w:tc>
          <w:tcPr>
            <w:tcW w:w="1204" w:type="dxa"/>
            <w:tcBorders>
              <w:top w:val="single" w:color="auto" w:sz="4" w:space="0"/>
              <w:left w:val="single" w:color="auto" w:sz="4" w:space="0"/>
              <w:bottom w:val="single" w:color="auto" w:sz="4" w:space="0"/>
              <w:right w:val="single" w:color="auto" w:sz="4" w:space="0"/>
            </w:tcBorders>
            <w:vAlign w:val="center"/>
          </w:tcPr>
          <w:p w14:paraId="2DA8841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05" w:type="dxa"/>
            <w:tcBorders>
              <w:top w:val="single" w:color="auto" w:sz="4" w:space="0"/>
              <w:left w:val="single" w:color="auto" w:sz="4" w:space="0"/>
              <w:bottom w:val="single" w:color="auto" w:sz="4" w:space="0"/>
              <w:right w:val="single" w:color="auto" w:sz="4" w:space="0"/>
            </w:tcBorders>
            <w:vAlign w:val="center"/>
          </w:tcPr>
          <w:p w14:paraId="74F1586B">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不需要提交。</w:t>
            </w:r>
          </w:p>
        </w:tc>
      </w:tr>
      <w:tr w14:paraId="25B70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53BA37CD">
            <w:pPr>
              <w:spacing w:line="300" w:lineRule="exact"/>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9.3</w:t>
            </w:r>
          </w:p>
        </w:tc>
        <w:tc>
          <w:tcPr>
            <w:tcW w:w="1204" w:type="dxa"/>
            <w:tcBorders>
              <w:top w:val="single" w:color="auto" w:sz="4" w:space="0"/>
              <w:left w:val="single" w:color="auto" w:sz="4" w:space="0"/>
              <w:bottom w:val="single" w:color="auto" w:sz="4" w:space="0"/>
              <w:right w:val="single" w:color="auto" w:sz="4" w:space="0"/>
            </w:tcBorders>
            <w:vAlign w:val="center"/>
          </w:tcPr>
          <w:p w14:paraId="44BFCCD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905" w:type="dxa"/>
            <w:tcBorders>
              <w:top w:val="single" w:color="auto" w:sz="4" w:space="0"/>
              <w:left w:val="single" w:color="auto" w:sz="4" w:space="0"/>
              <w:bottom w:val="single" w:color="auto" w:sz="4" w:space="0"/>
              <w:right w:val="single" w:color="auto" w:sz="4" w:space="0"/>
            </w:tcBorders>
            <w:vAlign w:val="center"/>
          </w:tcPr>
          <w:p w14:paraId="7EC7F2AB">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highlight w:val="none"/>
              </w:rPr>
              <w:t>按广西壮族自治区人力资源和社会保障厅等8部门《关于印发广西壮族自治区工程建设领域农民工工资专用帐户管理暂行办法实施细则的通知》（桂人社规[2022]5号）执行，承包人在合同签订之日起30日内，自主选择在自治区行政区域内依法设立或设有分支机构的银行开立专用帐户。办理得施工许可证后，按照《关于印发广西壮族自治区工程建设领域农民工工资保证金规定实施办法的通知》桂人社规[2021]16号）缴存保证金，也可以使用银行保函。工程竣工验收结算经审定后，按照规定程序，将农民工工资保证金没有使用或剩余的金额退还给承包人。</w:t>
            </w:r>
          </w:p>
        </w:tc>
      </w:tr>
      <w:tr w14:paraId="0EB33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54" w:type="dxa"/>
            <w:tcBorders>
              <w:top w:val="single" w:color="auto" w:sz="4" w:space="0"/>
              <w:left w:val="single" w:color="auto" w:sz="4" w:space="0"/>
              <w:bottom w:val="single" w:color="auto" w:sz="4" w:space="0"/>
              <w:right w:val="single" w:color="auto" w:sz="4" w:space="0"/>
            </w:tcBorders>
            <w:vAlign w:val="center"/>
          </w:tcPr>
          <w:p w14:paraId="52B2851B">
            <w:pPr>
              <w:spacing w:line="3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9.3</w:t>
            </w:r>
          </w:p>
        </w:tc>
        <w:tc>
          <w:tcPr>
            <w:tcW w:w="1204" w:type="dxa"/>
            <w:tcBorders>
              <w:top w:val="single" w:color="auto" w:sz="4" w:space="0"/>
              <w:left w:val="single" w:color="auto" w:sz="4" w:space="0"/>
              <w:bottom w:val="single" w:color="auto" w:sz="4" w:space="0"/>
              <w:right w:val="single" w:color="auto" w:sz="4" w:space="0"/>
            </w:tcBorders>
            <w:vAlign w:val="center"/>
          </w:tcPr>
          <w:p w14:paraId="5ACA81E2">
            <w:pPr>
              <w:jc w:val="center"/>
              <w:rPr>
                <w:rFonts w:hint="eastAsia" w:ascii="宋体" w:hAnsi="宋体" w:eastAsia="宋体" w:cs="宋体"/>
                <w:color w:val="auto"/>
                <w:szCs w:val="21"/>
                <w:highlight w:val="none"/>
              </w:rPr>
            </w:pPr>
            <w:r>
              <w:rPr>
                <w:rFonts w:hint="eastAsia" w:ascii="宋体" w:hAnsi="宋体" w:eastAsia="宋体" w:cs="宋体"/>
                <w:color w:val="auto"/>
                <w:szCs w:val="20"/>
                <w:highlight w:val="none"/>
              </w:rPr>
              <w:t>其他事项</w:t>
            </w:r>
          </w:p>
        </w:tc>
        <w:tc>
          <w:tcPr>
            <w:tcW w:w="6905" w:type="dxa"/>
            <w:tcBorders>
              <w:top w:val="single" w:color="auto" w:sz="4" w:space="0"/>
              <w:left w:val="single" w:color="auto" w:sz="4" w:space="0"/>
              <w:bottom w:val="single" w:color="auto" w:sz="4" w:space="0"/>
              <w:right w:val="single" w:color="auto" w:sz="4" w:space="0"/>
            </w:tcBorders>
            <w:vAlign w:val="center"/>
          </w:tcPr>
          <w:p w14:paraId="1E96C5E5">
            <w:pPr>
              <w:spacing w:line="3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本文件中内容如有前后不一致，以在采购文件先出现的为准。</w:t>
            </w:r>
          </w:p>
        </w:tc>
      </w:tr>
    </w:tbl>
    <w:p w14:paraId="706C08AE">
      <w:pPr>
        <w:widowControl/>
        <w:jc w:val="left"/>
        <w:rPr>
          <w:rFonts w:hint="eastAsia" w:ascii="宋体" w:hAnsi="宋体" w:eastAsia="宋体" w:cs="宋体"/>
          <w:b/>
          <w:bCs/>
          <w:color w:val="auto"/>
          <w:kern w:val="0"/>
          <w:szCs w:val="21"/>
          <w:highlight w:val="none"/>
        </w:rPr>
      </w:pPr>
      <w:bookmarkStart w:id="29" w:name="_Hlk89188603"/>
      <w:r>
        <w:rPr>
          <w:rFonts w:hint="eastAsia" w:ascii="宋体" w:hAnsi="宋体" w:eastAsia="宋体" w:cs="宋体"/>
          <w:b/>
          <w:bCs/>
          <w:color w:val="auto"/>
          <w:kern w:val="0"/>
          <w:szCs w:val="21"/>
          <w:highlight w:val="none"/>
        </w:rPr>
        <w:br w:type="page"/>
      </w:r>
    </w:p>
    <w:p w14:paraId="5BEB8F4F">
      <w:pPr>
        <w:spacing w:before="120" w:line="320" w:lineRule="atLeast"/>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1．总则</w:t>
      </w:r>
    </w:p>
    <w:p w14:paraId="5473F877">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30" w:name="_Toc254970668"/>
      <w:bookmarkStart w:id="31" w:name="_Toc254970527"/>
      <w:r>
        <w:rPr>
          <w:rFonts w:hint="eastAsia" w:ascii="宋体" w:hAnsi="宋体" w:eastAsia="宋体" w:cs="宋体"/>
          <w:b/>
          <w:bCs/>
          <w:color w:val="auto"/>
          <w:kern w:val="0"/>
          <w:szCs w:val="21"/>
          <w:highlight w:val="none"/>
        </w:rPr>
        <w:t>1.1适用范围</w:t>
      </w:r>
      <w:bookmarkEnd w:id="30"/>
      <w:bookmarkEnd w:id="31"/>
    </w:p>
    <w:p w14:paraId="4565C38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本采购文件适用于供应商须知前附表所述项目的政府采购活动。</w:t>
      </w:r>
    </w:p>
    <w:p w14:paraId="713B738F">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32" w:name="_Toc254970669"/>
      <w:bookmarkStart w:id="33" w:name="_Toc254970528"/>
      <w:r>
        <w:rPr>
          <w:rFonts w:hint="eastAsia" w:ascii="宋体" w:hAnsi="宋体" w:eastAsia="宋体" w:cs="宋体"/>
          <w:b/>
          <w:bCs/>
          <w:color w:val="auto"/>
          <w:kern w:val="0"/>
          <w:szCs w:val="21"/>
          <w:highlight w:val="none"/>
        </w:rPr>
        <w:t>1.2定义</w:t>
      </w:r>
      <w:bookmarkEnd w:id="32"/>
      <w:bookmarkEnd w:id="33"/>
    </w:p>
    <w:p w14:paraId="3896EDD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1.2.1“采购人”系指依法进行政府采购的国家机关、事业单位、团体组织。</w:t>
      </w:r>
    </w:p>
    <w:p w14:paraId="1E7EE53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1.2.2“供应商”系</w:t>
      </w:r>
      <w:r>
        <w:rPr>
          <w:rFonts w:hint="eastAsia" w:ascii="宋体" w:hAnsi="宋体" w:eastAsia="宋体" w:cs="宋体"/>
          <w:color w:val="auto"/>
          <w:highlight w:val="none"/>
        </w:rPr>
        <w:t>指响应招标、参加响应竞争的法人、其他组织或者自然人</w:t>
      </w:r>
      <w:r>
        <w:rPr>
          <w:rFonts w:hint="eastAsia" w:ascii="宋体" w:hAnsi="宋体" w:eastAsia="宋体" w:cs="宋体"/>
          <w:color w:val="auto"/>
          <w:szCs w:val="21"/>
          <w:highlight w:val="none"/>
        </w:rPr>
        <w:t>。</w:t>
      </w:r>
    </w:p>
    <w:p w14:paraId="0B15A4CC">
      <w:pPr>
        <w:spacing w:before="12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399D862">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 </w:t>
      </w:r>
    </w:p>
    <w:p w14:paraId="7090BCA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1.2.6本项目的技术商务要求重要性分为“▲”（如有）、“#”（如有）和一般无标识指标。▲代表实质性要求指标，</w:t>
      </w:r>
      <w:r>
        <w:rPr>
          <w:rFonts w:hint="eastAsia" w:ascii="宋体" w:hAnsi="宋体" w:eastAsia="宋体" w:cs="宋体"/>
          <w:b/>
          <w:bCs/>
          <w:color w:val="auto"/>
          <w:szCs w:val="21"/>
          <w:highlight w:val="none"/>
        </w:rPr>
        <w:t>不满足该指标项将导致响应被否决</w:t>
      </w:r>
      <w:r>
        <w:rPr>
          <w:rFonts w:hint="eastAsia" w:ascii="宋体" w:hAnsi="宋体" w:eastAsia="宋体" w:cs="宋体"/>
          <w:color w:val="auto"/>
          <w:szCs w:val="21"/>
          <w:highlight w:val="none"/>
        </w:rPr>
        <w:t>，#代表重要指标，无标识则表示一般指标项。</w:t>
      </w:r>
    </w:p>
    <w:p w14:paraId="29813CD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1.2.7 本采购文件出现多种选项的条款，以“</w:t>
      </w:r>
      <w:r>
        <w:rPr>
          <w:rFonts w:hint="eastAsia" w:ascii="宋体" w:hAnsi="宋体" w:eastAsia="宋体" w:cs="宋体"/>
          <w:color w:val="auto"/>
          <w:highlight w:val="none"/>
        </w:rPr>
        <w:sym w:font="Wingdings 2" w:char="F052"/>
      </w:r>
      <w:r>
        <w:rPr>
          <w:rFonts w:hint="eastAsia" w:ascii="宋体" w:hAnsi="宋体" w:eastAsia="宋体" w:cs="宋体"/>
          <w:color w:val="auto"/>
          <w:szCs w:val="21"/>
          <w:highlight w:val="none"/>
        </w:rPr>
        <w:t>”表示本条款所选择的方式。</w:t>
      </w:r>
    </w:p>
    <w:p w14:paraId="16BE628F">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1.2.8 “电子交易平台”是指以数据电文形式在线完成采购活动的信息平台，本采购文件中也称“政府采购云平台”。</w:t>
      </w:r>
    </w:p>
    <w:p w14:paraId="5204CC00">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1.3项目信息</w:t>
      </w:r>
    </w:p>
    <w:p w14:paraId="6BDEE41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1.3.1项目名称及编号：详见</w:t>
      </w:r>
      <w:bookmarkStart w:id="34" w:name="_Hlk89176704"/>
      <w:r>
        <w:rPr>
          <w:rFonts w:hint="eastAsia" w:ascii="宋体" w:hAnsi="宋体" w:eastAsia="宋体" w:cs="宋体"/>
          <w:color w:val="auto"/>
          <w:szCs w:val="21"/>
          <w:highlight w:val="none"/>
        </w:rPr>
        <w:t>供应商须知前附表</w:t>
      </w:r>
      <w:bookmarkEnd w:id="34"/>
    </w:p>
    <w:p w14:paraId="563D12B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1.3.2采购方式：详见供应商须知前附表</w:t>
      </w:r>
    </w:p>
    <w:p w14:paraId="193628A9">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35" w:name="_Hlk132812137"/>
      <w:r>
        <w:rPr>
          <w:rFonts w:hint="eastAsia" w:ascii="宋体" w:hAnsi="宋体" w:eastAsia="宋体" w:cs="宋体"/>
          <w:b/>
          <w:bCs/>
          <w:color w:val="auto"/>
          <w:kern w:val="0"/>
          <w:szCs w:val="21"/>
          <w:highlight w:val="none"/>
        </w:rPr>
        <w:t>1.4促进中小企业发展政策</w:t>
      </w:r>
    </w:p>
    <w:p w14:paraId="2DAA7AB0">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3C79021E">
      <w:pPr>
        <w:spacing w:before="120" w:line="320" w:lineRule="atLeast"/>
        <w:ind w:left="2" w:leftChars="1" w:firstLine="420" w:firstLineChars="200"/>
        <w:rPr>
          <w:rFonts w:hint="eastAsia" w:ascii="宋体" w:hAnsi="宋体" w:eastAsia="宋体" w:cs="宋体"/>
          <w:color w:val="auto"/>
          <w:szCs w:val="21"/>
          <w:highlight w:val="none"/>
        </w:rPr>
      </w:pPr>
      <w:bookmarkStart w:id="36" w:name="_Hlk92205820"/>
      <w:r>
        <w:rPr>
          <w:rFonts w:hint="eastAsia" w:ascii="宋体" w:hAnsi="宋体" w:eastAsia="宋体" w:cs="宋体"/>
          <w:color w:val="auto"/>
          <w:szCs w:val="21"/>
          <w:highlight w:val="none"/>
        </w:rPr>
        <w:t>根据《政府采购促进中小企业发展管理办法》（财库[2020]46号）第九条、《广西壮族自治区财政厅关于进一步发挥政府采购政策功能促进企业发展的通知》（桂财采[2022]30号）、以及《广西壮族自治区财政厅 广西壮族自治区工业和信息化厅转发财政部工业和信息化部政府采购促进中小企业发展管理办法的通知》（桂财采[2021]70号）规定，价格扣除比例在第四章评审方法及标准中规定，对小型企业和微型企业同等对待，不作区分。</w:t>
      </w:r>
    </w:p>
    <w:p w14:paraId="3156FC61">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1.4.2中小企业定义</w:t>
      </w:r>
    </w:p>
    <w:p w14:paraId="1ED8E97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7A2BCA2A">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1.4.2.2供应商提供的货物、工程或者服务符合下列情形的，享受本款规定的促进中小企业发展政策：</w:t>
      </w:r>
    </w:p>
    <w:p w14:paraId="707FC6E7">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在货物采购项目中，货物由中小企业制造，即货物由中小企业生产且使用该中小企业商号或者注册商标；</w:t>
      </w:r>
    </w:p>
    <w:p w14:paraId="7968BCCC">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在工程采购项目中，工程由中小企业承建，即工程施工单位为中小企业；</w:t>
      </w:r>
    </w:p>
    <w:p w14:paraId="4EE9EBC7">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在服务采购项目中，服务由中小企业承接，即提供服务的人员为中小企业依照《中华人民共和国劳动合同法》订立劳动合同的从业人员。</w:t>
      </w:r>
    </w:p>
    <w:p w14:paraId="3FE6530A">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在货物采购项目中，供应商提供的货物既有中小企业制造货物，也有大型企业制造货物的，不享受本款规定的促进中小企业发展政策。</w:t>
      </w:r>
    </w:p>
    <w:p w14:paraId="5AFB04E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1.4.2.3本项目标的所属行业在第二章采购需求中规定。供应商根据中小企业划分标准（《关于印发中小企业划型标准规定的通知》（工信部联企业〔2011〕300号）判断是否为中小企业。（见附件）</w:t>
      </w:r>
    </w:p>
    <w:p w14:paraId="6DBCF39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符合条件的货物制造商、工程施工单位、服务承接单位为中小企业的，应按采购文件规定在响应文件中提供声明函。</w:t>
      </w:r>
    </w:p>
    <w:p w14:paraId="7CDF798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1.4.2.4视同中小企业情形</w:t>
      </w:r>
    </w:p>
    <w:p w14:paraId="412F22B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（1）符合中小企业划分标准的个体工商户，视同中小企业。</w:t>
      </w:r>
    </w:p>
    <w:p w14:paraId="658E7E6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（2）以联合体形式参加政府采购活动，联合体各方均为中小企业的，联合体视同中小企业。其中，联合体各方均为小微企业的，联合体视同小微企业。</w:t>
      </w:r>
    </w:p>
    <w:p w14:paraId="2E03E1F3">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32FF9D2D">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符合条件的货物制造商、工程施工单位、服务承接单位为监狱企业或残疾人福利性单位的，应按采购文件规定在响应文件中提供相关证明文件。</w:t>
      </w:r>
      <w:bookmarkEnd w:id="35"/>
      <w:bookmarkEnd w:id="36"/>
    </w:p>
    <w:p w14:paraId="00EF22BB">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1.5供应商资格要求</w:t>
      </w:r>
    </w:p>
    <w:p w14:paraId="4364470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1.5.1供应商资格要求：详见供应商须知前附表</w:t>
      </w:r>
    </w:p>
    <w:p w14:paraId="4739FE92">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1.5.2按照磋商公告的规定获得采购文件。</w:t>
      </w:r>
    </w:p>
    <w:p w14:paraId="01B6CCC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1.5.3本项目是否接受联合体响应，见“供应商须知前附表”规定。</w:t>
      </w:r>
    </w:p>
    <w:p w14:paraId="0C7161A8">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如接受联合体响应，联合体响应要求如下： </w:t>
      </w:r>
    </w:p>
    <w:p w14:paraId="6CAAFE0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（1）供应商可以组成一个响应联合体，以一个供应商的身份共同参加响应。联合体响应的，须提供《联合体协议书》（格式后附）</w:t>
      </w:r>
    </w:p>
    <w:p w14:paraId="75BEDAE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52B477C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0EFD84A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（4）以联合体形式参加政府采购活动的，联合体各方不得再单独参加或者与其他供应商另外组成联合体参加同一合同项下的政府采购活动。</w:t>
      </w:r>
    </w:p>
    <w:p w14:paraId="61DD274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（5）联合体中有同类资质的供应商按照联合体分工承担相同工作的，应当按照资质等级较低的供应商确定资质等级。</w:t>
      </w:r>
    </w:p>
    <w:p w14:paraId="58DC6E0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（6）联合体响应业绩、履约能力按照联合体各方其中较高的一方认定并计算（采购文件其他章节另有规定的除外）。</w:t>
      </w:r>
    </w:p>
    <w:p w14:paraId="7D8B921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（7）供应商为联合体的，可以由联合体中的一方或者多方共同交纳磋商保证金，其交纳的保证金对联合体各方均具有约束力。</w:t>
      </w:r>
    </w:p>
    <w:p w14:paraId="19FF21F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（8）联合体各方均应按照采购文件的规定提交资格证明文件。</w:t>
      </w:r>
    </w:p>
    <w:p w14:paraId="61267C29">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37" w:name="_Toc254970672"/>
      <w:bookmarkStart w:id="38" w:name="_Toc254970531"/>
      <w:r>
        <w:rPr>
          <w:rFonts w:hint="eastAsia" w:ascii="宋体" w:hAnsi="宋体" w:eastAsia="宋体" w:cs="宋体"/>
          <w:b/>
          <w:bCs/>
          <w:color w:val="auto"/>
          <w:kern w:val="0"/>
          <w:szCs w:val="21"/>
          <w:highlight w:val="none"/>
        </w:rPr>
        <w:t>1.6现场踏勘及响应费用</w:t>
      </w:r>
      <w:bookmarkEnd w:id="37"/>
      <w:bookmarkEnd w:id="38"/>
    </w:p>
    <w:p w14:paraId="5102F39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1.6.1前附表如规定现场踏勘的，供应商应按规定时间地点参加踏勘。</w:t>
      </w:r>
    </w:p>
    <w:p w14:paraId="77427E8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1.6.2供应商均应自行承担所有与响应有关的全部费用（采购文件有相关的规定除外）。</w:t>
      </w:r>
    </w:p>
    <w:p w14:paraId="54A31F7B">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1.7转包与分包</w:t>
      </w:r>
    </w:p>
    <w:p w14:paraId="3550812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1.7.1如采购文件其他地方无特别规定，本项目不允许转包。</w:t>
      </w:r>
    </w:p>
    <w:p w14:paraId="7D10018D">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489A503A">
      <w:pPr>
        <w:spacing w:before="120" w:line="276" w:lineRule="auto"/>
        <w:ind w:firstLine="422" w:firstLineChars="200"/>
        <w:outlineLvl w:val="2"/>
        <w:rPr>
          <w:rFonts w:hint="eastAsia" w:ascii="宋体" w:hAnsi="宋体" w:eastAsia="宋体" w:cs="宋体"/>
          <w:b/>
          <w:bCs/>
          <w:color w:val="auto"/>
          <w:kern w:val="0"/>
          <w:szCs w:val="21"/>
          <w:highlight w:val="none"/>
        </w:rPr>
      </w:pPr>
      <w:bookmarkStart w:id="39" w:name="_Toc254970673"/>
      <w:bookmarkStart w:id="40" w:name="_Toc254970532"/>
      <w:r>
        <w:rPr>
          <w:rFonts w:hint="eastAsia" w:ascii="宋体" w:hAnsi="宋体" w:eastAsia="宋体" w:cs="宋体"/>
          <w:b/>
          <w:bCs/>
          <w:color w:val="auto"/>
          <w:kern w:val="0"/>
          <w:szCs w:val="21"/>
          <w:highlight w:val="none"/>
        </w:rPr>
        <w:t>1.8特别说明</w:t>
      </w:r>
      <w:bookmarkEnd w:id="39"/>
      <w:bookmarkEnd w:id="40"/>
    </w:p>
    <w:p w14:paraId="46E2CE34">
      <w:pPr>
        <w:spacing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供应商应保证其提供的联系方式（电话、传真、电子邮件）有效，以保证往来函件（澄清、修改等）能及时通知供应商，并能及时反馈，否则采购人及代理机构不承担由此引起的一切后果。</w:t>
      </w:r>
    </w:p>
    <w:p w14:paraId="6E8ED75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1.8.2供应商应仔细阅读采购文件的所有内容，按照采购文件的要求提交响应文件，并对所提供的全部资料的真实性承担法律责任。</w:t>
      </w:r>
    </w:p>
    <w:p w14:paraId="45B2F41F">
      <w:pPr>
        <w:spacing w:before="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1.8.3供应商在响应活动中提供任何虚假材料，将报监管部门查处； </w:t>
      </w:r>
    </w:p>
    <w:p w14:paraId="44350D04">
      <w:pPr>
        <w:spacing w:before="120" w:line="320" w:lineRule="atLeast"/>
        <w:ind w:left="2" w:leftChars="1" w:firstLine="422" w:firstLineChars="200"/>
        <w:outlineLvl w:val="1"/>
        <w:rPr>
          <w:rFonts w:hint="eastAsia" w:ascii="宋体" w:hAnsi="宋体" w:eastAsia="宋体" w:cs="宋体"/>
          <w:b/>
          <w:bCs/>
          <w:color w:val="auto"/>
          <w:kern w:val="0"/>
          <w:szCs w:val="21"/>
          <w:highlight w:val="none"/>
        </w:rPr>
      </w:pPr>
      <w:bookmarkStart w:id="41" w:name="_Toc254970675"/>
      <w:bookmarkStart w:id="42" w:name="_Toc254970534"/>
      <w:r>
        <w:rPr>
          <w:rFonts w:hint="eastAsia" w:ascii="宋体" w:hAnsi="宋体" w:eastAsia="宋体" w:cs="宋体"/>
          <w:b/>
          <w:bCs/>
          <w:color w:val="auto"/>
          <w:kern w:val="0"/>
          <w:szCs w:val="21"/>
          <w:highlight w:val="none"/>
        </w:rPr>
        <w:t>2．采购文件</w:t>
      </w:r>
      <w:bookmarkEnd w:id="41"/>
      <w:bookmarkEnd w:id="42"/>
    </w:p>
    <w:p w14:paraId="1C40CB17">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2.1采购文件的构成</w:t>
      </w:r>
    </w:p>
    <w:p w14:paraId="31A97EA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磋商公告</w:t>
      </w:r>
    </w:p>
    <w:p w14:paraId="6D5FEB36">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042AFFAF">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供应商须知</w:t>
      </w:r>
    </w:p>
    <w:p w14:paraId="6020A5E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评审方法及标准</w:t>
      </w:r>
    </w:p>
    <w:p w14:paraId="7A3ED736">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合同主要条款格式</w:t>
      </w:r>
    </w:p>
    <w:p w14:paraId="619A0D0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响应文件格式</w:t>
      </w:r>
    </w:p>
    <w:p w14:paraId="2C60401E">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2.2供应商的风险</w:t>
      </w:r>
    </w:p>
    <w:p w14:paraId="048AB4E7">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供应商没有按照采购文件要求提供全部资料，或者供应商没有对采购文件在各方面作出实质性响应是供应商的风险，并可能导致其响应被否决。</w:t>
      </w:r>
    </w:p>
    <w:p w14:paraId="3BCFD724">
      <w:pPr>
        <w:spacing w:before="120" w:line="320" w:lineRule="atLeast"/>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rPr>
        <w:t>2.3采购文件的澄清与修改</w:t>
      </w:r>
    </w:p>
    <w:p w14:paraId="64479ED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2.3.1任何已获得采购文件的潜在供应商，均可以书面形式要求采购代理机构作出书面解释、澄清。</w:t>
      </w:r>
    </w:p>
    <w:p w14:paraId="3C8B3677">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2.3.2采购人、采购代理机构可以对已发出的采购文件进行必要的澄清或者修改，澄清或者修改的内容可能影响响应文件编制的，采购人、采购代理机构应当在提交首次响应文件截止时间至少5日前，</w:t>
      </w:r>
      <w:bookmarkStart w:id="43" w:name="_Hlk133590520"/>
      <w:r>
        <w:rPr>
          <w:rFonts w:hint="eastAsia" w:ascii="宋体" w:hAnsi="宋体" w:eastAsia="宋体" w:cs="宋体"/>
          <w:color w:val="auto"/>
          <w:szCs w:val="21"/>
          <w:highlight w:val="none"/>
        </w:rPr>
        <w:t>在供应商须知前附表规定的方式</w:t>
      </w:r>
      <w:bookmarkEnd w:id="43"/>
      <w:r>
        <w:rPr>
          <w:rFonts w:hint="eastAsia" w:ascii="宋体" w:hAnsi="宋体" w:eastAsia="宋体" w:cs="宋体"/>
          <w:color w:val="auto"/>
          <w:szCs w:val="21"/>
          <w:highlight w:val="none"/>
        </w:rPr>
        <w:t>通知所有获取采购文件的潜在供应商；不足5日的，采购人、采购代理机构应当顺延提交首次响应文件截止时间。</w:t>
      </w:r>
    </w:p>
    <w:p w14:paraId="6AA7AF9F">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475B127F">
      <w:pPr>
        <w:spacing w:before="120" w:line="320" w:lineRule="atLeast"/>
        <w:ind w:left="2" w:leftChars="1" w:firstLine="422" w:firstLineChars="200"/>
        <w:outlineLvl w:val="1"/>
        <w:rPr>
          <w:rFonts w:hint="eastAsia" w:ascii="宋体" w:hAnsi="宋体" w:eastAsia="宋体" w:cs="宋体"/>
          <w:b/>
          <w:bCs/>
          <w:color w:val="auto"/>
          <w:kern w:val="0"/>
          <w:szCs w:val="21"/>
          <w:highlight w:val="none"/>
        </w:rPr>
      </w:pPr>
      <w:bookmarkStart w:id="44" w:name="_Toc254970676"/>
      <w:bookmarkStart w:id="45" w:name="_Toc254970535"/>
      <w:r>
        <w:rPr>
          <w:rFonts w:hint="eastAsia" w:ascii="宋体" w:hAnsi="宋体" w:eastAsia="宋体" w:cs="宋体"/>
          <w:b/>
          <w:bCs/>
          <w:color w:val="auto"/>
          <w:kern w:val="0"/>
          <w:szCs w:val="21"/>
          <w:highlight w:val="none"/>
        </w:rPr>
        <w:t>3．响应文件</w:t>
      </w:r>
      <w:bookmarkEnd w:id="44"/>
      <w:bookmarkEnd w:id="45"/>
    </w:p>
    <w:p w14:paraId="5150BB97">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46" w:name="_Toc254970536"/>
      <w:bookmarkStart w:id="47" w:name="_Toc254970677"/>
      <w:r>
        <w:rPr>
          <w:rFonts w:hint="eastAsia" w:ascii="宋体" w:hAnsi="宋体" w:eastAsia="宋体" w:cs="宋体"/>
          <w:b/>
          <w:bCs/>
          <w:color w:val="auto"/>
          <w:kern w:val="0"/>
          <w:szCs w:val="21"/>
          <w:highlight w:val="none"/>
        </w:rPr>
        <w:t>3.1响应文件的组成</w:t>
      </w:r>
      <w:bookmarkEnd w:id="46"/>
      <w:bookmarkEnd w:id="47"/>
    </w:p>
    <w:p w14:paraId="73B07A0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响应文件由第六章“响应文件格式”规定的内容和供应商所作的一切有效补充、修改和承诺等文件组成。</w:t>
      </w:r>
    </w:p>
    <w:p w14:paraId="3ACD09CC">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48" w:name="_Toc254970678"/>
      <w:bookmarkStart w:id="49" w:name="_Toc254970537"/>
      <w:r>
        <w:rPr>
          <w:rFonts w:hint="eastAsia" w:ascii="宋体" w:hAnsi="宋体" w:eastAsia="宋体" w:cs="宋体"/>
          <w:b/>
          <w:color w:val="auto"/>
          <w:szCs w:val="21"/>
          <w:highlight w:val="none"/>
        </w:rPr>
        <w:t>3.2</w:t>
      </w:r>
      <w:r>
        <w:rPr>
          <w:rFonts w:hint="eastAsia" w:ascii="宋体" w:hAnsi="宋体" w:eastAsia="宋体" w:cs="宋体"/>
          <w:b/>
          <w:bCs/>
          <w:color w:val="auto"/>
          <w:kern w:val="0"/>
          <w:szCs w:val="21"/>
          <w:highlight w:val="none"/>
        </w:rPr>
        <w:t>响应文件的语言及计量</w:t>
      </w:r>
      <w:bookmarkEnd w:id="48"/>
      <w:bookmarkEnd w:id="49"/>
    </w:p>
    <w:p w14:paraId="16C27348">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7E96AE7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3.2.2计量单位采购文件已有明确规定的，响应使用采购文件规定的计量单位；采购文件没有规定的，应采用中华人民共和国法定计量单位。</w:t>
      </w:r>
    </w:p>
    <w:p w14:paraId="7644CE4E">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50" w:name="_Toc254970679"/>
      <w:bookmarkStart w:id="51" w:name="_Toc254970538"/>
      <w:r>
        <w:rPr>
          <w:rFonts w:hint="eastAsia" w:ascii="宋体" w:hAnsi="宋体" w:eastAsia="宋体" w:cs="宋体"/>
          <w:b/>
          <w:bCs/>
          <w:color w:val="auto"/>
          <w:kern w:val="0"/>
          <w:szCs w:val="21"/>
          <w:highlight w:val="none"/>
        </w:rPr>
        <w:t>3.3响应报价</w:t>
      </w:r>
      <w:bookmarkEnd w:id="50"/>
      <w:bookmarkEnd w:id="51"/>
    </w:p>
    <w:p w14:paraId="2B021E1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3.3.1响应报价应按采购文件中相关附表格式填写。</w:t>
      </w:r>
    </w:p>
    <w:p w14:paraId="79ABB27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3.3.2响应文件只允许有一个报价，有选择的或有条件的报价将不予接受。</w:t>
      </w:r>
    </w:p>
    <w:p w14:paraId="40847757">
      <w:pPr>
        <w:suppressAutoHyphens/>
        <w:spacing w:before="120" w:line="320" w:lineRule="atLeas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3.3.3对于本文件中未列明，而供应商认为必需的费用也需列入响应报价。在合同实施时，采购人将不予支付成交供应商没有列入的项目费用，并认为此项目的费用已包括在响应报价中。</w:t>
      </w:r>
    </w:p>
    <w:p w14:paraId="714F0887">
      <w:pPr>
        <w:suppressAutoHyphens/>
        <w:spacing w:before="120" w:line="320" w:lineRule="atLeast"/>
        <w:ind w:firstLine="420" w:firstLineChars="200"/>
        <w:rPr>
          <w:rFonts w:hint="eastAsia" w:ascii="宋体" w:hAnsi="宋体" w:eastAsia="宋体" w:cs="宋体"/>
          <w:b/>
          <w:bCs/>
          <w:color w:val="auto"/>
          <w:kern w:val="1"/>
          <w:szCs w:val="21"/>
          <w:highlight w:val="none"/>
        </w:rPr>
      </w:pPr>
      <w:r>
        <w:rPr>
          <w:rFonts w:hint="eastAsia" w:ascii="宋体" w:hAnsi="宋体" w:eastAsia="宋体" w:cs="宋体"/>
          <w:color w:val="auto"/>
          <w:kern w:val="1"/>
          <w:szCs w:val="21"/>
          <w:highlight w:val="none"/>
        </w:rPr>
        <w:t>3.3.4采购人不接受供应商给予的赠品、回扣或者与采购无关的其他商品、服务。</w:t>
      </w:r>
    </w:p>
    <w:p w14:paraId="29275894">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3.4响应有效期</w:t>
      </w:r>
    </w:p>
    <w:p w14:paraId="3C4801A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3.4.1如采购文件其他地方无特别规定，响应有效期则为响应截止之日起90天。在响应有效期内响应文件应保持有效。</w:t>
      </w:r>
      <w:r>
        <w:rPr>
          <w:rFonts w:hint="eastAsia" w:ascii="宋体" w:hAnsi="宋体" w:eastAsia="宋体" w:cs="宋体"/>
          <w:b/>
          <w:bCs/>
          <w:color w:val="auto"/>
          <w:szCs w:val="21"/>
          <w:highlight w:val="none"/>
        </w:rPr>
        <w:t>有效期不足的响应文件将被否决</w:t>
      </w:r>
      <w:r>
        <w:rPr>
          <w:rFonts w:hint="eastAsia" w:ascii="宋体" w:hAnsi="宋体" w:eastAsia="宋体" w:cs="宋体"/>
          <w:color w:val="auto"/>
          <w:szCs w:val="21"/>
          <w:highlight w:val="none"/>
        </w:rPr>
        <w:t>。</w:t>
      </w:r>
    </w:p>
    <w:p w14:paraId="29ED0AE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3.4.2在特殊情况下，采购人可与供应商协商延长响应文件的有效期，这种要求和答复均以书面形式进行。</w:t>
      </w:r>
    </w:p>
    <w:p w14:paraId="79547446">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2CC44BDC">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52" w:name="_Toc254970541"/>
      <w:bookmarkStart w:id="53" w:name="_Toc254970682"/>
      <w:r>
        <w:rPr>
          <w:rFonts w:hint="eastAsia" w:ascii="宋体" w:hAnsi="宋体" w:eastAsia="宋体" w:cs="宋体"/>
          <w:b/>
          <w:bCs/>
          <w:color w:val="auto"/>
          <w:kern w:val="0"/>
          <w:szCs w:val="21"/>
          <w:highlight w:val="none"/>
        </w:rPr>
        <w:t>3.5磋商保证金</w:t>
      </w:r>
      <w:bookmarkEnd w:id="52"/>
      <w:bookmarkEnd w:id="53"/>
    </w:p>
    <w:p w14:paraId="7641609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3.5.1供应商须按须知前附表规定提交磋商保证金，</w:t>
      </w:r>
      <w:r>
        <w:rPr>
          <w:rFonts w:hint="eastAsia" w:ascii="宋体" w:hAnsi="宋体" w:eastAsia="宋体" w:cs="宋体"/>
          <w:b/>
          <w:bCs/>
          <w:color w:val="auto"/>
          <w:szCs w:val="21"/>
          <w:highlight w:val="none"/>
        </w:rPr>
        <w:t>否则其响应将被否决</w:t>
      </w:r>
      <w:r>
        <w:rPr>
          <w:rFonts w:hint="eastAsia" w:ascii="宋体" w:hAnsi="宋体" w:eastAsia="宋体" w:cs="宋体"/>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27E9B00D">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3.5.2磋商保证金币种应与响应报价币种相同。</w:t>
      </w:r>
    </w:p>
    <w:p w14:paraId="18782DE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3.5.3未成交供应商的磋商保证金在成交通知书发出后4个工作日内退还。成交供应商的磋商保证金在合同签订后4个工作日内退还（办理退还手续时需要向采购代理机构提供两份合同复印件）。</w:t>
      </w:r>
    </w:p>
    <w:p w14:paraId="70C865CF">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3.5.4供应商有下列情形之一的，磋商保证金将不予退还：</w:t>
      </w:r>
    </w:p>
    <w:p w14:paraId="04F66B86">
      <w:pPr>
        <w:numPr>
          <w:ilvl w:val="0"/>
          <w:numId w:val="4"/>
        </w:numPr>
        <w:spacing w:before="120" w:line="3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供应商在响应有效期内撤销响应文件的；</w:t>
      </w:r>
    </w:p>
    <w:p w14:paraId="2598A4DE">
      <w:pPr>
        <w:numPr>
          <w:ilvl w:val="0"/>
          <w:numId w:val="4"/>
        </w:numPr>
        <w:spacing w:before="120" w:line="3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供应商在响应过程中弄虚作假，提供虚假材料的；</w:t>
      </w:r>
    </w:p>
    <w:p w14:paraId="088525EF">
      <w:pPr>
        <w:numPr>
          <w:ilvl w:val="0"/>
          <w:numId w:val="4"/>
        </w:numPr>
        <w:spacing w:before="120" w:line="3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成交供应商无正当理由不与采购人签订合同的；</w:t>
      </w:r>
    </w:p>
    <w:p w14:paraId="1203ED00">
      <w:pPr>
        <w:numPr>
          <w:ilvl w:val="0"/>
          <w:numId w:val="4"/>
        </w:numPr>
        <w:spacing w:before="120" w:line="3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将成交项目转让给他人或者在响应文件中未说明且未经采购人同意，将成交项目分包给他人的；</w:t>
      </w:r>
    </w:p>
    <w:p w14:paraId="55B8FACD">
      <w:pPr>
        <w:numPr>
          <w:ilvl w:val="0"/>
          <w:numId w:val="4"/>
        </w:numPr>
        <w:spacing w:before="120" w:line="3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供应商与采购人、其他供应商或者采购代理机构恶意串通的；</w:t>
      </w:r>
    </w:p>
    <w:p w14:paraId="4225939B">
      <w:pPr>
        <w:numPr>
          <w:ilvl w:val="0"/>
          <w:numId w:val="4"/>
        </w:numPr>
        <w:spacing w:before="120" w:line="3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拒绝履行合同义务的；</w:t>
      </w:r>
    </w:p>
    <w:p w14:paraId="35375D54">
      <w:pPr>
        <w:numPr>
          <w:ilvl w:val="0"/>
          <w:numId w:val="4"/>
        </w:numPr>
        <w:spacing w:before="120" w:line="32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其他严重扰乱招投标程序的。</w:t>
      </w:r>
    </w:p>
    <w:p w14:paraId="47A9AA7A">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54" w:name="_Toc254970542"/>
      <w:bookmarkStart w:id="55" w:name="_Toc254970683"/>
      <w:r>
        <w:rPr>
          <w:rFonts w:hint="eastAsia" w:ascii="宋体" w:hAnsi="宋体" w:eastAsia="宋体" w:cs="宋体"/>
          <w:b/>
          <w:bCs/>
          <w:color w:val="auto"/>
          <w:kern w:val="0"/>
          <w:szCs w:val="21"/>
          <w:highlight w:val="none"/>
        </w:rPr>
        <w:t>3.6响应文件的</w:t>
      </w:r>
      <w:bookmarkEnd w:id="54"/>
      <w:bookmarkEnd w:id="55"/>
      <w:r>
        <w:rPr>
          <w:rFonts w:hint="eastAsia" w:ascii="宋体" w:hAnsi="宋体" w:eastAsia="宋体" w:cs="宋体"/>
          <w:b/>
          <w:bCs/>
          <w:color w:val="auto"/>
          <w:kern w:val="0"/>
          <w:szCs w:val="21"/>
          <w:highlight w:val="none"/>
        </w:rPr>
        <w:t>编制要求</w:t>
      </w:r>
    </w:p>
    <w:p w14:paraId="786C7B1D">
      <w:pPr>
        <w:spacing w:before="120" w:line="320" w:lineRule="atLeast"/>
        <w:ind w:firstLine="420" w:firstLineChars="200"/>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3.6.1</w:t>
      </w:r>
      <w:r>
        <w:rPr>
          <w:rFonts w:hint="eastAsia" w:ascii="宋体" w:hAnsi="宋体" w:eastAsia="宋体" w:cs="宋体"/>
          <w:color w:val="auto"/>
          <w:szCs w:val="21"/>
          <w:highlight w:val="none"/>
        </w:rPr>
        <w:t>供应商应先安装“政府采购云平台投标客户端” （请自行前往“政府采购云平台”平台进行下载），通过账号密码或CA登录客户端制作响应文件。</w:t>
      </w:r>
    </w:p>
    <w:p w14:paraId="6E56952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供应商应按本采购文件规定的格式和顺序编制响应文件并进行关联定位，以便评审委员会在评审时，点击评分项可直接定位到该评分项内容。如对采购文件的某项要求，供应商的响应文件未能关联定位提供相应的内容与其对应，则评审委员会在评审时如做出对供应商不利的评审由供应商自行承担。响应文件如内容不完整、编排混乱导致响应文件被误读、漏读，或者在按采购文件规定的部位查找不到相关内容的，由供应商自行承担。</w:t>
      </w:r>
    </w:p>
    <w:p w14:paraId="6F707C7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 投标人的响应文件未按照采购文件要求签署、盖章的，</w:t>
      </w:r>
      <w:r>
        <w:rPr>
          <w:rFonts w:hint="eastAsia" w:ascii="宋体" w:hAnsi="宋体" w:eastAsia="宋体" w:cs="宋体"/>
          <w:b/>
          <w:bCs/>
          <w:color w:val="auto"/>
          <w:szCs w:val="21"/>
          <w:highlight w:val="none"/>
        </w:rPr>
        <w:t>其响应无效</w:t>
      </w:r>
      <w:r>
        <w:rPr>
          <w:rFonts w:hint="eastAsia" w:ascii="宋体" w:hAnsi="宋体" w:eastAsia="宋体" w:cs="宋体"/>
          <w:color w:val="auto"/>
          <w:szCs w:val="21"/>
          <w:highlight w:val="none"/>
        </w:rPr>
        <w:t>。</w:t>
      </w:r>
    </w:p>
    <w:p w14:paraId="560A516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3.6.4为确保网上操作合法、有效和安全，供应商应当在响应截止时间前完成在政府采购云平台的身份认证，确保在电子投标过程中能够对相关数据电文进行加密和使用电子签名。</w:t>
      </w:r>
    </w:p>
    <w:p w14:paraId="54D697B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3.6.5响应文件中标注的供应商名称应与主体资格证明（如营业执照、事业单位法人证书、执业许可证、个体工商户营业执照、自然人身份证等）和公章/电子签章一致，</w:t>
      </w:r>
      <w:r>
        <w:rPr>
          <w:rFonts w:hint="eastAsia" w:ascii="宋体" w:hAnsi="宋体" w:eastAsia="宋体" w:cs="宋体"/>
          <w:b/>
          <w:bCs/>
          <w:color w:val="auto"/>
          <w:szCs w:val="21"/>
          <w:highlight w:val="none"/>
        </w:rPr>
        <w:t>否则作无效响应处理。</w:t>
      </w:r>
    </w:p>
    <w:p w14:paraId="395A7566">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3.7响应文件的递交、修改和撤回</w:t>
      </w:r>
    </w:p>
    <w:p w14:paraId="71B05DBF">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3.7.1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政府采购云平台”。 </w:t>
      </w:r>
    </w:p>
    <w:p w14:paraId="0DD7870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3.7.2未在规定时间内提交或者未按照采购文件要求签章、加密的电子响应文件，“政府采购云平台”平台将拒收。 </w:t>
      </w:r>
    </w:p>
    <w:p w14:paraId="7BAC8A1E">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政府采购云平台”平台将拒收。</w:t>
      </w:r>
    </w:p>
    <w:p w14:paraId="2D15C7FA">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3.7.4在响应截止时间前，除供应商补充、修改或者撤回响应文件外，任何单位和个人不得解密或提取响应文件。</w:t>
      </w:r>
    </w:p>
    <w:p w14:paraId="0D66AF5A">
      <w:pPr>
        <w:spacing w:before="120" w:line="320" w:lineRule="atLeast"/>
        <w:ind w:left="2" w:leftChars="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3.7.5在响应截止时间止提交电子版响应文件的供应商不足3家时，电子版响应文件由代理机构在“政府采购云平台”平台操作退回，除此之外采购人和采购代理机构对已提交的响应文件概不退回。</w:t>
      </w:r>
    </w:p>
    <w:p w14:paraId="7B75D63A">
      <w:pPr>
        <w:spacing w:before="120" w:line="320" w:lineRule="atLeast"/>
        <w:ind w:left="2" w:leftChars="1" w:firstLine="420" w:firstLineChars="200"/>
        <w:rPr>
          <w:rFonts w:hint="eastAsia" w:ascii="宋体" w:hAnsi="宋体" w:eastAsia="宋体" w:cs="宋体"/>
          <w:color w:val="auto"/>
          <w:szCs w:val="21"/>
          <w:highlight w:val="none"/>
        </w:rPr>
      </w:pPr>
      <w:bookmarkStart w:id="56" w:name="_Hlk93046827"/>
      <w:r>
        <w:rPr>
          <w:rFonts w:hint="eastAsia" w:ascii="宋体" w:hAnsi="宋体" w:eastAsia="宋体" w:cs="宋体"/>
          <w:color w:val="auto"/>
          <w:szCs w:val="21"/>
          <w:highlight w:val="none"/>
        </w:rPr>
        <w:t>3.7.6</w:t>
      </w:r>
      <w:bookmarkEnd w:id="56"/>
      <w:r>
        <w:rPr>
          <w:rFonts w:hint="eastAsia" w:ascii="宋体" w:hAnsi="宋体" w:eastAsia="宋体" w:cs="宋体"/>
          <w:color w:val="auto"/>
          <w:szCs w:val="21"/>
          <w:highlight w:val="none"/>
        </w:rPr>
        <w:t>采购文件未允许同一供应商提交两个或以上不同的响应文件，但存在同一供应商提交两个或以上不同的响应文件的，其响应无效。供应商在同一响应文件中对某项技术、商务要求提供有选择性的响应参数或方案等同于提交两个或以上不同的响应文件。</w:t>
      </w:r>
    </w:p>
    <w:p w14:paraId="6C16CFB6">
      <w:pPr>
        <w:spacing w:before="120" w:line="320" w:lineRule="atLeast"/>
        <w:ind w:left="2" w:leftChars="1"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4．截标</w:t>
      </w:r>
    </w:p>
    <w:p w14:paraId="6B9924CD">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4.1截标准备</w:t>
      </w:r>
    </w:p>
    <w:p w14:paraId="4CE42C3D">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本项目响应截止时间及地点见“供应商须知前附表”规定。</w:t>
      </w:r>
    </w:p>
    <w:p w14:paraId="0DD11958">
      <w:pPr>
        <w:autoSpaceDE w:val="0"/>
        <w:autoSpaceDN w:val="0"/>
        <w:adjustRightInd w:val="0"/>
        <w:spacing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项目没有现场递交响应文件及现场截标环节。采购代理机构将按照采购文件规定的时间通过“政府采购云平台”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3971017B">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如供应商成功解密响应文件，但未在“政府采购云平台”电子开标大厅参加截标的，视同认可截标过程和结果，由此产生的后果由供应商自行负责。 </w:t>
      </w:r>
    </w:p>
    <w:p w14:paraId="441C78B5">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4.2截标程序</w:t>
      </w:r>
    </w:p>
    <w:p w14:paraId="5D178B67">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4.2.1供应商登录政府采购云平台进入开标大厅签到。</w:t>
      </w:r>
    </w:p>
    <w:p w14:paraId="11666F2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解密电子响应文件。“政府采购云平台”平台按截标时间自动提取所有响应文件。采购代理机构在“政府采购云平台”平台向各供应商发出电子加密响应文件开始解密通知，由供应商平台设置时间内自行进行响应文件解密。供应商须使用加密时所用的CA锁准时登录到“政府采购云平台”平台电子开标大厅签到并对电子响应文件解密。截标后供应商未及时进行解密的，代理机构可通知供应商。</w:t>
      </w:r>
      <w:bookmarkStart w:id="57" w:name="_Hlk106639817"/>
      <w:r>
        <w:rPr>
          <w:rFonts w:hint="eastAsia" w:ascii="宋体" w:hAnsi="宋体" w:eastAsia="宋体" w:cs="宋体"/>
          <w:color w:val="auto"/>
          <w:highlight w:val="none"/>
        </w:rPr>
        <w:t>通知后供应商仍未在上述规定时间内解密响应文件</w:t>
      </w:r>
      <w:bookmarkEnd w:id="57"/>
      <w:r>
        <w:rPr>
          <w:rFonts w:hint="eastAsia" w:ascii="宋体" w:hAnsi="宋体" w:eastAsia="宋体" w:cs="宋体"/>
          <w:color w:val="auto"/>
          <w:szCs w:val="21"/>
          <w:highlight w:val="none"/>
        </w:rPr>
        <w:t>，或者供应商没预留联系方式或预留联系方式无效导致代理机构无法联系到供应商进行解密的，均视为无效响应。</w:t>
      </w:r>
    </w:p>
    <w:p w14:paraId="4347CC4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bookmarkStart w:id="58" w:name="_Hlk106637968"/>
      <w:r>
        <w:rPr>
          <w:rFonts w:hint="eastAsia" w:ascii="宋体" w:hAnsi="宋体" w:eastAsia="宋体" w:cs="宋体"/>
          <w:color w:val="auto"/>
          <w:szCs w:val="21"/>
          <w:highlight w:val="none"/>
        </w:rPr>
        <w:t>“政府采购云平台”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8"/>
    <w:p w14:paraId="05C4A3E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4.2.4解密异常情况处理：详见本章9.2电子交易活动的中止。</w:t>
      </w:r>
    </w:p>
    <w:p w14:paraId="227CA01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4.2.5截标结束。</w:t>
      </w:r>
    </w:p>
    <w:p w14:paraId="7B32CDE1">
      <w:pPr>
        <w:spacing w:before="120" w:line="320" w:lineRule="atLeas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特别说明</w:t>
      </w:r>
      <w:r>
        <w:rPr>
          <w:rFonts w:hint="eastAsia" w:ascii="宋体" w:hAnsi="宋体" w:eastAsia="宋体" w:cs="宋体"/>
          <w:color w:val="auto"/>
          <w:szCs w:val="21"/>
          <w:highlight w:val="none"/>
        </w:rPr>
        <w:t>：如遇“政府采购云平台”平台电子化截标或评审程序调整的，按调整后的程序执行。</w:t>
      </w:r>
    </w:p>
    <w:p w14:paraId="0982BBBC">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4.3演示</w:t>
      </w:r>
    </w:p>
    <w:p w14:paraId="117892A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4.3.1“供应商须知前附表”规定在截标会议结束后进行演示的，供应商应按规定进行演示。</w:t>
      </w:r>
    </w:p>
    <w:p w14:paraId="2129E672">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4.3.2未按规定时间进行演示可能引起的演示分数被计为0分或响应无效等后果由供应商自行承担。</w:t>
      </w:r>
    </w:p>
    <w:p w14:paraId="16F8D5F8">
      <w:pPr>
        <w:spacing w:before="120" w:line="320" w:lineRule="atLeast"/>
        <w:ind w:firstLine="422" w:firstLineChars="200"/>
        <w:outlineLvl w:val="2"/>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4.4样品</w:t>
      </w:r>
    </w:p>
    <w:p w14:paraId="3B492966">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4.4.1“供应商须知前附表”规定递交样品的，供应商应按前附表规定递交样品，递交样品时应附样品递交表（格式见第六章）。</w:t>
      </w:r>
    </w:p>
    <w:p w14:paraId="42BD7AB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4.4.2未按规定时间递交样品可能引起的样品分数被计为0分或响应无效等后果由供应商自行承担。</w:t>
      </w:r>
    </w:p>
    <w:p w14:paraId="52F8037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4.4.3样品封存或退还的说明请见第六章响应文件格式所附样品递交表。</w:t>
      </w:r>
    </w:p>
    <w:p w14:paraId="5AB2D4C9">
      <w:pPr>
        <w:spacing w:before="120" w:line="320" w:lineRule="atLeast"/>
        <w:ind w:left="2" w:leftChars="1"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5．资格审查</w:t>
      </w:r>
    </w:p>
    <w:p w14:paraId="0D81BBD6">
      <w:pPr>
        <w:spacing w:before="120" w:line="320" w:lineRule="atLeast"/>
        <w:ind w:left="2" w:leftChars="1" w:firstLine="420" w:firstLineChars="200"/>
        <w:outlineLvl w:val="2"/>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5.1截标</w:t>
      </w:r>
      <w:r>
        <w:rPr>
          <w:rFonts w:hint="eastAsia" w:ascii="宋体" w:hAnsi="宋体" w:eastAsia="宋体" w:cs="宋体"/>
          <w:bCs/>
          <w:color w:val="auto"/>
          <w:szCs w:val="21"/>
          <w:highlight w:val="none"/>
        </w:rPr>
        <w:t>后，磋商小组通过电子交易平台对供应商的资格进行审查。资格审查</w:t>
      </w:r>
      <w:r>
        <w:rPr>
          <w:rFonts w:hint="eastAsia" w:ascii="宋体" w:hAnsi="宋体" w:eastAsia="宋体" w:cs="宋体"/>
          <w:bCs/>
          <w:color w:val="auto"/>
          <w:kern w:val="0"/>
          <w:szCs w:val="21"/>
          <w:highlight w:val="none"/>
        </w:rPr>
        <w:t>是根据法律法规和采购文件的规定，对供应商的基本资格条件、特定资格条件进行审查。</w:t>
      </w:r>
    </w:p>
    <w:p w14:paraId="2615AE23">
      <w:pPr>
        <w:spacing w:before="120" w:line="320" w:lineRule="atLeast"/>
        <w:ind w:left="2" w:leftChars="1" w:firstLine="420" w:firstLineChars="200"/>
        <w:outlineLvl w:val="2"/>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5.2资格审查标准在第四章评审方法及标准中规定，符合资格审查标准要求的供应商即为资格审查合格。</w:t>
      </w:r>
    </w:p>
    <w:p w14:paraId="682D9BEE">
      <w:pPr>
        <w:spacing w:before="120" w:line="276" w:lineRule="auto"/>
        <w:ind w:left="2" w:leftChars="1" w:firstLine="420" w:firstLineChars="200"/>
        <w:outlineLvl w:val="2"/>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5.3供应商有下列情形之一的，资格审查不合格，作无效响应处理：</w:t>
      </w:r>
    </w:p>
    <w:p w14:paraId="620B5F09">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5.3.1不具备采购文件中规定的资格要求或资格条件的； </w:t>
      </w:r>
      <w:r>
        <w:rPr>
          <w:rFonts w:hint="eastAsia" w:ascii="宋体" w:hAnsi="宋体" w:eastAsia="宋体" w:cs="宋体"/>
          <w:color w:val="auto"/>
          <w:highlight w:val="none"/>
        </w:rPr>
        <w:t>（注：其中信用查询规则见“供应商须知前附表”，“政府采购云平台”平台已与“信用中国”平台做接口，可直接在线查询）</w:t>
      </w:r>
    </w:p>
    <w:p w14:paraId="5320543E">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5.3.2响应文件缺少任何一项资格证明文件或不符合第四章评审方法及标准中资格审查标准规定的评审内容的。</w:t>
      </w:r>
    </w:p>
    <w:p w14:paraId="157949ED">
      <w:pPr>
        <w:spacing w:before="120" w:line="320" w:lineRule="atLeast"/>
        <w:ind w:left="2" w:leftChars="1"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6．评审</w:t>
      </w:r>
    </w:p>
    <w:p w14:paraId="5D1E8FF1">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6.1组建磋商小组</w:t>
      </w:r>
    </w:p>
    <w:p w14:paraId="4F0F6CD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0D746FD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7E78C97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1DC78AE3">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6.1.4本项目评审过程实行全程网上留痕及录音、录像监控，供应商在评审过程中所进行的试图影响评审结果的不公正活动，可能导致其响应按无效处理。</w:t>
      </w:r>
    </w:p>
    <w:p w14:paraId="3C507A8E">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6.2评审方法及依据</w:t>
      </w:r>
    </w:p>
    <w:p w14:paraId="364D6FCF">
      <w:pPr>
        <w:spacing w:before="120" w:line="320" w:lineRule="atLeas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6.2.1本项目采用第四章评审方法及标准规定的方法进行评审。</w:t>
      </w:r>
    </w:p>
    <w:p w14:paraId="3F39D267">
      <w:pPr>
        <w:suppressAutoHyphens/>
        <w:spacing w:before="120" w:line="320" w:lineRule="atLeas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6.2.2磋商小组</w:t>
      </w:r>
      <w:r>
        <w:rPr>
          <w:rFonts w:hint="eastAsia" w:ascii="宋体" w:hAnsi="宋体" w:eastAsia="宋体" w:cs="宋体"/>
          <w:color w:val="auto"/>
          <w:highlight w:val="none"/>
        </w:rPr>
        <w:t>以采购文件、补充文件、响应文件、澄清及答复为评审依据，</w:t>
      </w:r>
      <w:r>
        <w:rPr>
          <w:rFonts w:hint="eastAsia" w:ascii="宋体" w:hAnsi="宋体" w:eastAsia="宋体" w:cs="宋体"/>
          <w:bCs/>
          <w:color w:val="auto"/>
          <w:kern w:val="0"/>
          <w:szCs w:val="21"/>
          <w:highlight w:val="none"/>
        </w:rPr>
        <w:t>第四章评审方法及标准没有规定的评审方法、标准及因素，不得作为评审依据。</w:t>
      </w:r>
    </w:p>
    <w:p w14:paraId="4E1D634A">
      <w:pPr>
        <w:spacing w:before="120" w:line="320" w:lineRule="atLeast"/>
        <w:ind w:firstLine="422" w:firstLineChars="200"/>
        <w:outlineLvl w:val="2"/>
        <w:rPr>
          <w:rFonts w:hint="eastAsia" w:ascii="宋体" w:hAnsi="宋体" w:eastAsia="宋体" w:cs="宋体"/>
          <w:b/>
          <w:bCs/>
          <w:color w:val="auto"/>
          <w:kern w:val="0"/>
          <w:szCs w:val="21"/>
          <w:highlight w:val="none"/>
        </w:rPr>
      </w:pPr>
      <w:bookmarkStart w:id="59" w:name="_Toc254970546"/>
      <w:bookmarkStart w:id="60" w:name="_Toc254970687"/>
      <w:r>
        <w:rPr>
          <w:rFonts w:hint="eastAsia" w:ascii="宋体" w:hAnsi="宋体" w:eastAsia="宋体" w:cs="宋体"/>
          <w:b/>
          <w:bCs/>
          <w:color w:val="auto"/>
          <w:kern w:val="0"/>
          <w:szCs w:val="21"/>
          <w:highlight w:val="none"/>
        </w:rPr>
        <w:t>6.3评审程序</w:t>
      </w:r>
    </w:p>
    <w:p w14:paraId="626E42CA">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w:t>
      </w:r>
      <w:bookmarkStart w:id="61" w:name="_Hlk19175507"/>
      <w:bookmarkStart w:id="62" w:name="_Hlk80956880"/>
      <w:r>
        <w:rPr>
          <w:rFonts w:hint="eastAsia" w:ascii="宋体" w:hAnsi="宋体" w:eastAsia="宋体" w:cs="宋体"/>
          <w:color w:val="auto"/>
          <w:highlight w:val="none"/>
        </w:rPr>
        <w:t>3.1符合性审查</w:t>
      </w:r>
    </w:p>
    <w:p w14:paraId="6CA067A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1"/>
          <w:szCs w:val="21"/>
          <w:highlight w:val="none"/>
        </w:rPr>
        <w:t>资格审查结束后，</w:t>
      </w:r>
      <w:r>
        <w:rPr>
          <w:rFonts w:hint="eastAsia" w:ascii="宋体" w:hAnsi="宋体" w:eastAsia="宋体" w:cs="宋体"/>
          <w:color w:val="auto"/>
          <w:highlight w:val="none"/>
        </w:rPr>
        <w:t>磋商小组对通过资格审查的供应商的响应文件报价、商务资信、技术等方面实质性内容进行符合性审查，</w:t>
      </w:r>
      <w:r>
        <w:rPr>
          <w:rFonts w:hint="eastAsia" w:ascii="宋体" w:hAnsi="宋体" w:eastAsia="宋体" w:cs="宋体"/>
          <w:color w:val="auto"/>
          <w:szCs w:val="21"/>
          <w:highlight w:val="none"/>
        </w:rPr>
        <w:t>符合性审查标准详见第四章评审方法及标准。</w:t>
      </w:r>
    </w:p>
    <w:bookmarkEnd w:id="61"/>
    <w:bookmarkEnd w:id="62"/>
    <w:p w14:paraId="64B6DEF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6.3.2</w:t>
      </w:r>
      <w:r>
        <w:rPr>
          <w:rFonts w:hint="eastAsia" w:ascii="宋体" w:hAnsi="宋体" w:eastAsia="宋体" w:cs="宋体"/>
          <w:color w:val="auto"/>
          <w:highlight w:val="none"/>
        </w:rPr>
        <w:t>强制性</w:t>
      </w:r>
      <w:r>
        <w:rPr>
          <w:rFonts w:hint="eastAsia" w:ascii="宋体" w:hAnsi="宋体" w:eastAsia="宋体" w:cs="宋体"/>
          <w:color w:val="auto"/>
          <w:szCs w:val="21"/>
          <w:highlight w:val="none"/>
        </w:rPr>
        <w:t>采购要求</w:t>
      </w:r>
    </w:p>
    <w:p w14:paraId="5AB0D892">
      <w:pPr>
        <w:suppressAutoHyphens/>
        <w:spacing w:before="120" w:line="320" w:lineRule="atLeast"/>
        <w:ind w:firstLine="422" w:firstLineChars="201"/>
        <w:rPr>
          <w:rFonts w:hint="eastAsia" w:ascii="宋体" w:hAnsi="宋体" w:eastAsia="宋体" w:cs="宋体"/>
          <w:color w:val="auto"/>
          <w:szCs w:val="21"/>
          <w:highlight w:val="none"/>
        </w:rPr>
      </w:pPr>
      <w:bookmarkStart w:id="63" w:name="_Hlk47714684"/>
      <w:r>
        <w:rPr>
          <w:rFonts w:hint="eastAsia" w:ascii="宋体" w:hAnsi="宋体" w:eastAsia="宋体" w:cs="宋体"/>
          <w:color w:val="auto"/>
          <w:szCs w:val="21"/>
          <w:highlight w:val="none"/>
        </w:rPr>
        <w:t>（1）</w:t>
      </w:r>
      <w:bookmarkEnd w:id="63"/>
      <w:r>
        <w:rPr>
          <w:rFonts w:hint="eastAsia" w:ascii="宋体" w:hAnsi="宋体" w:eastAsia="宋体" w:cs="宋体"/>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7F02C42B">
      <w:pPr>
        <w:spacing w:before="120" w:line="320" w:lineRule="atLeast"/>
        <w:ind w:firstLine="420" w:firstLineChars="200"/>
        <w:rPr>
          <w:rFonts w:hint="eastAsia" w:ascii="宋体" w:hAnsi="宋体" w:eastAsia="宋体" w:cs="宋体"/>
          <w:color w:val="auto"/>
          <w:szCs w:val="21"/>
          <w:highlight w:val="none"/>
        </w:rPr>
      </w:pPr>
      <w:bookmarkStart w:id="64" w:name="_Hlk19176155"/>
      <w:r>
        <w:rPr>
          <w:rFonts w:hint="eastAsia" w:ascii="宋体" w:hAnsi="宋体" w:eastAsia="宋体" w:cs="宋体"/>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4B3D89A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36BF463F">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6.3.3澄清、说明或补正</w:t>
      </w:r>
    </w:p>
    <w:p w14:paraId="6C81BDED">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响应文件中含义不明确、同类问题表述不一致或者有明显文字和计算错误的内容，磋商小组应在“政府采购云平台”平台发布电子澄清函，要求供应商在平台设置的时间内作出必要的澄清、说明或者补正。供应商在“政府采购云平台”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0537074C">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1F9823AC">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6.3.4报价修正</w:t>
      </w:r>
    </w:p>
    <w:p w14:paraId="0A281E9C">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（1）报价出现前后不一致的，按照下列规定修正：</w:t>
      </w:r>
    </w:p>
    <w:p w14:paraId="69794183">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①响应文件中开标一览表（报价表）内容与响应文件中相应内容不一致的，以开标一览表（报价表）为准；</w:t>
      </w:r>
    </w:p>
    <w:p w14:paraId="3125CF7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②大写金额和小写金额不一致的，以大写金额为准；</w:t>
      </w:r>
    </w:p>
    <w:p w14:paraId="7356583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③单价金额小数点或者百分比有明显错位的，以开标一览表的总价为准，并修改单价；</w:t>
      </w:r>
    </w:p>
    <w:p w14:paraId="120AA517">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④总价金额与按单价汇总金额不一致的，以单价金额计算结果为准。</w:t>
      </w:r>
    </w:p>
    <w:p w14:paraId="36DDC6E2">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同时出现两种以上不一致的，按照上述①-④顺序修正。修正后的报价按照上述“6.3.3澄清、说明或补正”的规定经供应商确认后产生约束力，供应商不确认的，其响应无效。</w:t>
      </w:r>
    </w:p>
    <w:p w14:paraId="7542AC5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（2）经供应商确认修正后的最后报价若超过采购预算金额或者最高限价，其响应文件作无效响应处理。</w:t>
      </w:r>
    </w:p>
    <w:p w14:paraId="1BF50962">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（3）经供应商确认修正后的最后报价作为签订合同的依据，并以此报价计算价格分。</w:t>
      </w:r>
    </w:p>
    <w:p w14:paraId="6368251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（4）如磋商过程中有多轮报价的，磋商小组在每一轮报价均应按上述规则修正报价。</w:t>
      </w:r>
    </w:p>
    <w:p w14:paraId="36D32C5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6.3.5相同品牌认定（仅适用于货物采购项目）</w:t>
      </w:r>
    </w:p>
    <w:p w14:paraId="345EEBA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（1）单一产品采购项目，</w:t>
      </w:r>
      <w:r>
        <w:rPr>
          <w:rFonts w:hint="eastAsia" w:ascii="宋体" w:hAnsi="宋体" w:eastAsia="宋体" w:cs="宋体"/>
          <w:color w:val="auto"/>
          <w:highlight w:val="none"/>
        </w:rPr>
        <w:t>不同供应商提供的产品品牌相同时，按以下规定确定</w:t>
      </w:r>
      <w:r>
        <w:rPr>
          <w:rFonts w:hint="eastAsia" w:ascii="宋体" w:hAnsi="宋体" w:eastAsia="宋体" w:cs="宋体"/>
          <w:bCs/>
          <w:color w:val="auto"/>
          <w:kern w:val="0"/>
          <w:szCs w:val="21"/>
          <w:highlight w:val="none"/>
        </w:rPr>
        <w:t>相同品牌的响应有效性</w:t>
      </w:r>
      <w:r>
        <w:rPr>
          <w:rFonts w:hint="eastAsia" w:ascii="宋体" w:hAnsi="宋体" w:eastAsia="宋体" w:cs="宋体"/>
          <w:color w:val="auto"/>
          <w:highlight w:val="none"/>
        </w:rPr>
        <w:t>。</w:t>
      </w:r>
    </w:p>
    <w:bookmarkEnd w:id="64"/>
    <w:p w14:paraId="745F36B3">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4B8A066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（2）非单一产品采购项目，采购人应当确定核心产品，并在采购文件中载明。不同供应商提供的核心产品品牌相同的，按上述规定处理。核心产品在第二章采购需求规定。</w:t>
      </w:r>
    </w:p>
    <w:bookmarkEnd w:id="59"/>
    <w:bookmarkEnd w:id="60"/>
    <w:p w14:paraId="577EEE52">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6.3.6磋商</w:t>
      </w:r>
    </w:p>
    <w:p w14:paraId="0F03353E">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6973D77">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6A65D1D0">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对采购文件作出的实质性变动是采购文件的有效组成部分，由磋商小组通过政府采购云平台以书面形式同时通知所有参加磋商的供应商。</w:t>
      </w:r>
    </w:p>
    <w:p w14:paraId="75854835">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必须按照采购文件的变动情况和磋商小组的要求重新提交响应文件，并在政府采购云平台在线编辑或上传PDF格式，使用电子签章后提交至磋商小组。参加磋商的供应商未在规定时间内重新提交响应文件的，视同退出磋商。</w:t>
      </w:r>
    </w:p>
    <w:p w14:paraId="6109067A">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（4）供应商的法定代表人或其授权代表无须到现场参加磋商，提问及回答/响应均通过政府采购云平台进行。磋商过程中使用的电子签章应为供应商上传响应文件的同一签章。</w:t>
      </w:r>
    </w:p>
    <w:p w14:paraId="3D2924A0">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6.3.7最后报价</w:t>
      </w:r>
    </w:p>
    <w:p w14:paraId="14ECB344">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371EBDBF">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05238E8">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最后报价是供应商响应文件的有效组成部分。</w:t>
      </w:r>
    </w:p>
    <w:p w14:paraId="6579B4F9">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（2）最后报价要求通过政府采购云平台发出，供应商需在政府采购云平台设置的时间内报价，最后报价不得超过采购预算金额且具有唯一性，否则否决其响应。</w:t>
      </w:r>
    </w:p>
    <w:p w14:paraId="45D4816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采购文件或磋商过程中明确供应商应提供技术服务及其它服务的（如检测费、验收发生的费用），相应费用也应包括在最后报价中。最后报价不允许采用汇总后优惠、打折的形式，否则其报价无效并作无效响应处理。</w:t>
      </w:r>
    </w:p>
    <w:p w14:paraId="7ED7F74A">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已提交响应文件的供应商，在提交最后报价之前，可以根据磋商情况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6A977DF4">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注：“市场竞争不充分的科研项目、需要扶持的科技</w:t>
      </w:r>
      <w:r>
        <w:rPr>
          <w:rFonts w:hint="eastAsia" w:ascii="宋体" w:hAnsi="宋体" w:eastAsia="宋体" w:cs="宋体"/>
          <w:color w:val="auto"/>
          <w:szCs w:val="21"/>
          <w:highlight w:val="none"/>
        </w:rPr>
        <w:t>成果转化项目、政府购买服务项目（含政府和社会资本合作项目），提交最后报价的供应商可以为2家。</w:t>
      </w:r>
    </w:p>
    <w:p w14:paraId="16AB8F97">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6.3.8串通投标认定</w:t>
      </w:r>
    </w:p>
    <w:p w14:paraId="5FA10C29">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磋商小组须根据以下规定认定供应商是否有</w:t>
      </w:r>
      <w:r>
        <w:rPr>
          <w:rFonts w:hint="eastAsia" w:ascii="宋体" w:hAnsi="宋体" w:eastAsia="宋体" w:cs="宋体"/>
          <w:bCs/>
          <w:color w:val="auto"/>
          <w:kern w:val="0"/>
          <w:szCs w:val="21"/>
          <w:highlight w:val="none"/>
        </w:rPr>
        <w:t>串通投标的行为</w:t>
      </w:r>
      <w:r>
        <w:rPr>
          <w:rFonts w:hint="eastAsia" w:ascii="宋体" w:hAnsi="宋体" w:eastAsia="宋体" w:cs="宋体"/>
          <w:color w:val="auto"/>
          <w:highlight w:val="none"/>
        </w:rPr>
        <w:t>。</w:t>
      </w:r>
    </w:p>
    <w:p w14:paraId="66017623">
      <w:pPr>
        <w:spacing w:before="120" w:line="320" w:lineRule="atLeast"/>
        <w:ind w:firstLine="420" w:firstLineChars="200"/>
        <w:rPr>
          <w:rFonts w:hint="eastAsia" w:ascii="宋体" w:hAnsi="宋体" w:eastAsia="宋体" w:cs="宋体"/>
          <w:color w:val="auto"/>
          <w:szCs w:val="21"/>
          <w:highlight w:val="none"/>
        </w:rPr>
      </w:pPr>
      <w:bookmarkStart w:id="65" w:name="_Hlk19122026"/>
      <w:r>
        <w:rPr>
          <w:rFonts w:hint="eastAsia" w:ascii="宋体" w:hAnsi="宋体" w:eastAsia="宋体" w:cs="宋体"/>
          <w:color w:val="auto"/>
          <w:szCs w:val="21"/>
          <w:highlight w:val="none"/>
        </w:rPr>
        <w:t>（1）</w:t>
      </w:r>
      <w:bookmarkEnd w:id="65"/>
      <w:r>
        <w:rPr>
          <w:rFonts w:hint="eastAsia" w:ascii="宋体" w:hAnsi="宋体" w:eastAsia="宋体" w:cs="宋体"/>
          <w:color w:val="auto"/>
          <w:szCs w:val="21"/>
          <w:highlight w:val="none"/>
        </w:rPr>
        <w:t>根据《关于防治政府采购招标中串通投标行为的通知》（桂财采[2016]42号）规定，出现下述情况的，相关供应商的投标作无效投标处理。</w:t>
      </w:r>
    </w:p>
    <w:p w14:paraId="31564A6F">
      <w:pPr>
        <w:spacing w:before="120" w:line="320" w:lineRule="atLeast"/>
        <w:ind w:firstLine="420" w:firstLineChars="200"/>
        <w:rPr>
          <w:rFonts w:hint="eastAsia" w:ascii="宋体" w:hAnsi="宋体" w:eastAsia="宋体" w:cs="宋体"/>
          <w:color w:val="auto"/>
          <w:szCs w:val="21"/>
          <w:highlight w:val="none"/>
        </w:rPr>
      </w:pPr>
      <w:bookmarkStart w:id="66" w:name="_Hlk19122039"/>
      <w:r>
        <w:rPr>
          <w:rFonts w:hint="eastAsia" w:ascii="宋体" w:hAnsi="宋体" w:eastAsia="宋体" w:cs="宋体"/>
          <w:color w:val="auto"/>
          <w:szCs w:val="21"/>
          <w:highlight w:val="none"/>
        </w:rPr>
        <w:t>①单位负责人为同一人或者存在直接控股、管理关系，参加同一合同项下政府采购活动的不同供应商。</w:t>
      </w:r>
    </w:p>
    <w:p w14:paraId="2BC93FD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②授权给供应商后参加同一合同项（分标、分包）投标的生产厂商。</w:t>
      </w:r>
    </w:p>
    <w:p w14:paraId="1E6E819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③视为或被认定为串通投标的相关供应商。</w:t>
      </w:r>
    </w:p>
    <w:bookmarkEnd w:id="66"/>
    <w:p w14:paraId="5F9CCA87">
      <w:pPr>
        <w:spacing w:before="120" w:line="320" w:lineRule="atLeast"/>
        <w:ind w:firstLine="420" w:firstLineChars="200"/>
        <w:rPr>
          <w:rFonts w:hint="eastAsia" w:ascii="宋体" w:hAnsi="宋体" w:eastAsia="宋体" w:cs="宋体"/>
          <w:color w:val="auto"/>
          <w:szCs w:val="21"/>
          <w:highlight w:val="none"/>
        </w:rPr>
      </w:pPr>
      <w:bookmarkStart w:id="67" w:name="_Hlk19122058"/>
      <w:r>
        <w:rPr>
          <w:rFonts w:hint="eastAsia" w:ascii="宋体" w:hAnsi="宋体" w:eastAsia="宋体" w:cs="宋体"/>
          <w:color w:val="auto"/>
          <w:szCs w:val="21"/>
          <w:highlight w:val="none"/>
        </w:rPr>
        <w:t>（2）</w:t>
      </w:r>
      <w:bookmarkEnd w:id="67"/>
      <w:r>
        <w:rPr>
          <w:rFonts w:hint="eastAsia" w:ascii="宋体" w:hAnsi="宋体" w:eastAsia="宋体" w:cs="宋体"/>
          <w:color w:val="auto"/>
          <w:szCs w:val="21"/>
          <w:highlight w:val="none"/>
        </w:rPr>
        <w:t>根据《关于防治政府采购招标中串通投标行为的通知》（桂财采[2016]42号）规定，有下列情形之一的视为供应商相互串通投标，响应文件将被视为无效。</w:t>
      </w:r>
    </w:p>
    <w:p w14:paraId="5E10A52F">
      <w:pPr>
        <w:spacing w:before="120" w:line="320" w:lineRule="atLeast"/>
        <w:ind w:firstLine="420" w:firstLineChars="200"/>
        <w:rPr>
          <w:rFonts w:hint="eastAsia" w:ascii="宋体" w:hAnsi="宋体" w:eastAsia="宋体" w:cs="宋体"/>
          <w:color w:val="auto"/>
          <w:szCs w:val="21"/>
          <w:highlight w:val="none"/>
        </w:rPr>
      </w:pPr>
      <w:bookmarkStart w:id="68" w:name="_Hlk19122048"/>
      <w:r>
        <w:rPr>
          <w:rFonts w:hint="eastAsia" w:ascii="宋体" w:hAnsi="宋体" w:eastAsia="宋体" w:cs="宋体"/>
          <w:color w:val="auto"/>
          <w:szCs w:val="21"/>
          <w:highlight w:val="none"/>
        </w:rPr>
        <w:t>①不同供应商的响应文件由同一单位或者个人编制；或不同供应商报名的IP地址一致的；</w:t>
      </w:r>
    </w:p>
    <w:p w14:paraId="56E9E15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②不同供应商委托同一单位或者个人办理投标事宜；</w:t>
      </w:r>
    </w:p>
    <w:p w14:paraId="5CCB184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③不同的供应商的响应文件载明的项目管理员为同一个人；</w:t>
      </w:r>
    </w:p>
    <w:p w14:paraId="7C35D794">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④不同供应商的响应文件异常一致或投标报价呈规律性差异；</w:t>
      </w:r>
    </w:p>
    <w:p w14:paraId="05333CE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⑤不同供应商的响应文件相互混装；</w:t>
      </w:r>
    </w:p>
    <w:p w14:paraId="505573D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⑥不同供应商的保证金从同一单位或者个人账户转出。</w:t>
      </w:r>
    </w:p>
    <w:bookmarkEnd w:id="68"/>
    <w:p w14:paraId="48E364CD">
      <w:pPr>
        <w:spacing w:before="120" w:line="320" w:lineRule="atLeast"/>
        <w:ind w:firstLine="420" w:firstLineChars="200"/>
        <w:rPr>
          <w:rFonts w:hint="eastAsia" w:ascii="宋体" w:hAnsi="宋体" w:eastAsia="宋体" w:cs="宋体"/>
          <w:color w:val="auto"/>
          <w:szCs w:val="21"/>
          <w:highlight w:val="none"/>
        </w:rPr>
      </w:pPr>
      <w:bookmarkStart w:id="69" w:name="_Hlk19122102"/>
      <w:r>
        <w:rPr>
          <w:rFonts w:hint="eastAsia" w:ascii="宋体" w:hAnsi="宋体" w:eastAsia="宋体" w:cs="宋体"/>
          <w:color w:val="auto"/>
          <w:szCs w:val="21"/>
          <w:highlight w:val="none"/>
        </w:rPr>
        <w:t>（3）</w:t>
      </w:r>
      <w:bookmarkEnd w:id="69"/>
      <w:r>
        <w:rPr>
          <w:rFonts w:hint="eastAsia" w:ascii="宋体" w:hAnsi="宋体" w:eastAsia="宋体" w:cs="宋体"/>
          <w:color w:val="auto"/>
          <w:szCs w:val="21"/>
          <w:highlight w:val="none"/>
        </w:rPr>
        <w:t>根据《关于防治政府采购招标中串通投标行为的通知》（桂财采[2016]42号）规定，供应商有下列情形之一的，属于恶意串通行为，响应文件将被视为无效。</w:t>
      </w:r>
    </w:p>
    <w:p w14:paraId="3814DB79">
      <w:pPr>
        <w:spacing w:before="120" w:line="320" w:lineRule="atLeast"/>
        <w:ind w:firstLine="420" w:firstLineChars="200"/>
        <w:rPr>
          <w:rFonts w:hint="eastAsia" w:ascii="宋体" w:hAnsi="宋体" w:eastAsia="宋体" w:cs="宋体"/>
          <w:color w:val="auto"/>
          <w:szCs w:val="21"/>
          <w:highlight w:val="none"/>
        </w:rPr>
      </w:pPr>
      <w:bookmarkStart w:id="70" w:name="_Hlk19122095"/>
      <w:r>
        <w:rPr>
          <w:rFonts w:hint="eastAsia" w:ascii="宋体" w:hAnsi="宋体" w:eastAsia="宋体" w:cs="宋体"/>
          <w:color w:val="auto"/>
          <w:szCs w:val="21"/>
          <w:highlight w:val="none"/>
        </w:rPr>
        <w:t>①供应商直接或者间接从采购人或者采购代理机构处获得其他供应商的相关信息并修改其响应文件或者响应文件；</w:t>
      </w:r>
    </w:p>
    <w:p w14:paraId="658293E2">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②供应商按照采购人或者采购代理机构的授意撤换、修改响应文件或者响应文件;；</w:t>
      </w:r>
    </w:p>
    <w:p w14:paraId="444D7527">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③供应商之间协商报价、技术方案等响应文件或者响应文件的实质性内容；</w:t>
      </w:r>
    </w:p>
    <w:p w14:paraId="4A43999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④属于同一集团、协会、商会等组织成员的供应商按照该组织要求协同参加政府采购活动；</w:t>
      </w:r>
    </w:p>
    <w:p w14:paraId="3C46408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14:paraId="6E3F940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⑥供应商之间商定部分供应商放弃参加政府采购活动或者放弃中标；</w:t>
      </w:r>
    </w:p>
    <w:p w14:paraId="13FC661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⑦供应商与采购人或者采购代理机构之间、供应商相互之间，为谋求特定供应商中标或者排斥其他供应商的其他串通行为。</w:t>
      </w:r>
    </w:p>
    <w:bookmarkEnd w:id="70"/>
    <w:p w14:paraId="6B8D609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6.3.9响应无效认定</w:t>
      </w:r>
    </w:p>
    <w:p w14:paraId="30A5EA9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（1）在评审过程中如发现下列情形之一的，响应文件将被视为无效：</w:t>
      </w:r>
    </w:p>
    <w:p w14:paraId="01994ECE">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①响应文件存在法律、法规及监督部门有关文件规定的无效情形。</w:t>
      </w:r>
    </w:p>
    <w:p w14:paraId="01C2633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②响应文件存在采购文件规定的无效情形。</w:t>
      </w:r>
    </w:p>
    <w:p w14:paraId="4C41B0E8">
      <w:pPr>
        <w:spacing w:before="120" w:line="320" w:lineRule="atLeast"/>
        <w:ind w:firstLine="420" w:firstLineChars="200"/>
        <w:rPr>
          <w:rFonts w:hint="eastAsia" w:ascii="宋体" w:hAnsi="宋体" w:eastAsia="宋体" w:cs="宋体"/>
          <w:color w:val="auto"/>
          <w:szCs w:val="21"/>
          <w:highlight w:val="none"/>
        </w:rPr>
      </w:pPr>
      <w:bookmarkStart w:id="71" w:name="_Hlk19113313"/>
      <w:r>
        <w:rPr>
          <w:rFonts w:hint="eastAsia" w:ascii="宋体" w:hAnsi="宋体" w:eastAsia="宋体" w:cs="宋体"/>
          <w:color w:val="auto"/>
          <w:szCs w:val="21"/>
          <w:highlight w:val="none"/>
        </w:rPr>
        <w:t>（2）根据财库《关于促进政府采购公平竞争优化营商环境的通知》（〔2019〕38号）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71"/>
    <w:p w14:paraId="39193C9C">
      <w:pPr>
        <w:spacing w:before="120" w:line="320" w:lineRule="atLeast"/>
        <w:ind w:firstLine="420" w:firstLineChars="200"/>
        <w:rPr>
          <w:rFonts w:hint="eastAsia" w:ascii="宋体" w:hAnsi="宋体" w:eastAsia="宋体" w:cs="宋体"/>
          <w:color w:val="auto"/>
          <w:szCs w:val="21"/>
          <w:highlight w:val="none"/>
        </w:rPr>
      </w:pPr>
      <w:bookmarkStart w:id="72" w:name="_Hlk19113363"/>
      <w:r>
        <w:rPr>
          <w:rFonts w:hint="eastAsia" w:ascii="宋体" w:hAnsi="宋体" w:eastAsia="宋体" w:cs="宋体"/>
          <w:color w:val="auto"/>
          <w:szCs w:val="21"/>
          <w:highlight w:val="none"/>
        </w:rPr>
        <w:t>6.3.10比较与评价</w:t>
      </w:r>
    </w:p>
    <w:p w14:paraId="564A054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（1）磋商小组按采购文件中规定的评审方法和标准，对提交最后报价的供应商的响应文件和最后报价进行综合评分。</w:t>
      </w:r>
    </w:p>
    <w:p w14:paraId="4EB32637">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（2）磋商小组各成员独立对每个有效供应商的响应文件进行评价、打分。评价打分有误的应及时进行修正。评分标准如有客观分定义，磋商小组所有成员的客观分评分分值应当一致。</w:t>
      </w:r>
    </w:p>
    <w:p w14:paraId="3E10C41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（3）磋商小组按综合评分由高到低的排列顺序推荐综合评分排名第一的为第一成交候选人。若成交候选人综合评分相同的，按最后报价由低到高顺序排列；综合评分且最后报价相同的</w:t>
      </w:r>
      <w:r>
        <w:rPr>
          <w:rFonts w:hint="eastAsia" w:ascii="宋体" w:hAnsi="宋体" w:eastAsia="宋体" w:cs="宋体"/>
          <w:color w:val="auto"/>
          <w:highlight w:val="none"/>
        </w:rPr>
        <w:t>并列</w:t>
      </w:r>
      <w:r>
        <w:rPr>
          <w:rFonts w:hint="eastAsia" w:ascii="宋体" w:hAnsi="宋体" w:eastAsia="宋体" w:cs="宋体"/>
          <w:color w:val="auto"/>
          <w:szCs w:val="21"/>
          <w:highlight w:val="none"/>
        </w:rPr>
        <w:t>；成交候选人并列的，按技术部分评分由高到低顺序排列，若综合评分、最后报价、技术部分评分均相同的，按商务资信部分评分由高到低顺序排列。若综合评分、最后报价、技术部分评分、商务资信部分评分均相同的，由采购人自行决定。</w:t>
      </w:r>
    </w:p>
    <w:p w14:paraId="035B2222">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（4）磋商小组根据评审记录及评审结果编写评审报告，磋商小组成员均应当在评审报告上签字，对自己的评审意见承担法律责任。</w:t>
      </w:r>
      <w:r>
        <w:rPr>
          <w:rFonts w:hint="eastAsia" w:ascii="宋体" w:hAnsi="宋体" w:eastAsia="宋体" w:cs="宋体"/>
          <w:color w:val="auto"/>
          <w:highlight w:val="none"/>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453C867B">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资格性检查认定错误、分值汇总计算错误、分项评分超出评分标准范围、客观分评分不一致、经磋商小组一致认定评分畸高、畸低。</w:t>
      </w:r>
    </w:p>
    <w:bookmarkEnd w:id="72"/>
    <w:p w14:paraId="31FE9B15">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6.4确定成交供应商</w:t>
      </w:r>
    </w:p>
    <w:p w14:paraId="233DFE15">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6.4.1采购代理机构在评审结束后2个工作日内将评审报告送采购人，采购人在5个工作日内按照评审报告中推荐的成交候选供应商顺序确定成交供应商。</w:t>
      </w:r>
    </w:p>
    <w:p w14:paraId="3D666D61">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6.4.2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79B0B525">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6.5结果公告</w:t>
      </w:r>
    </w:p>
    <w:p w14:paraId="7D9B7CA9">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6.5.1自成交供应商确定后2个工作日内，采购代理机构按照供应商须知</w:t>
      </w:r>
      <w:r>
        <w:rPr>
          <w:rFonts w:hint="eastAsia" w:ascii="宋体" w:hAnsi="宋体" w:eastAsia="宋体" w:cs="宋体"/>
          <w:color w:val="auto"/>
          <w:kern w:val="0"/>
          <w:szCs w:val="21"/>
          <w:highlight w:val="none"/>
        </w:rPr>
        <w:t>前附表的规定公告</w:t>
      </w:r>
      <w:r>
        <w:rPr>
          <w:rFonts w:hint="eastAsia" w:ascii="宋体" w:hAnsi="宋体" w:eastAsia="宋体" w:cs="宋体"/>
          <w:color w:val="auto"/>
          <w:szCs w:val="21"/>
          <w:highlight w:val="none"/>
        </w:rPr>
        <w:t>成交结果。</w:t>
      </w:r>
    </w:p>
    <w:p w14:paraId="5BCC24AF">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6.5.2在发布结果公告的同时，采购代理机构以供应商须知前附表规定的形式向成交供应商发出成交通知书。成交通知书发出后，采购人改变成交结果，或者成交供应商放弃成交，应当承担相应的法律责任。</w:t>
      </w:r>
    </w:p>
    <w:p w14:paraId="0D876A0E">
      <w:pPr>
        <w:suppressAutoHyphens/>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6.6废标</w:t>
      </w:r>
    </w:p>
    <w:p w14:paraId="2CEB0754">
      <w:pPr>
        <w:spacing w:before="120" w:line="320" w:lineRule="atLeas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6.6.1出现下列情形之一，将导致项目废标： </w:t>
      </w:r>
    </w:p>
    <w:p w14:paraId="6D31D2D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rPr>
        <w:t>（1</w:t>
      </w:r>
      <w:r>
        <w:rPr>
          <w:rFonts w:hint="eastAsia" w:ascii="宋体" w:hAnsi="宋体" w:eastAsia="宋体" w:cs="宋体"/>
          <w:color w:val="auto"/>
          <w:szCs w:val="21"/>
          <w:highlight w:val="none"/>
        </w:rPr>
        <w:t>）符合专业条件的供应商或者对采购文件做实质性响应的供应商不足三家；</w:t>
      </w:r>
    </w:p>
    <w:p w14:paraId="1CC06C7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14:paraId="443EE59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（3）供应商的报价均超过了采购预算，采购人不能支付的；</w:t>
      </w:r>
    </w:p>
    <w:p w14:paraId="01205FF9">
      <w:pPr>
        <w:spacing w:before="120" w:line="32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因发生重大变故或采购任务取消的。</w:t>
      </w:r>
    </w:p>
    <w:p w14:paraId="0724A3C8">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rPr>
        <w:t>6.6.2废标后</w:t>
      </w:r>
      <w:r>
        <w:rPr>
          <w:rFonts w:hint="eastAsia" w:ascii="宋体" w:hAnsi="宋体" w:eastAsia="宋体" w:cs="宋体"/>
          <w:color w:val="auto"/>
          <w:szCs w:val="21"/>
          <w:highlight w:val="none"/>
        </w:rPr>
        <w:t>采购</w:t>
      </w:r>
      <w:r>
        <w:rPr>
          <w:rFonts w:hint="eastAsia" w:ascii="宋体" w:hAnsi="宋体" w:eastAsia="宋体" w:cs="宋体"/>
          <w:color w:val="auto"/>
          <w:kern w:val="1"/>
          <w:szCs w:val="21"/>
          <w:highlight w:val="none"/>
        </w:rPr>
        <w:t>代理机构将发布废标公告通知供应商。</w:t>
      </w:r>
    </w:p>
    <w:p w14:paraId="602A1C84">
      <w:pPr>
        <w:spacing w:before="120" w:line="320" w:lineRule="atLeast"/>
        <w:ind w:left="2" w:leftChars="1"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7．合同</w:t>
      </w:r>
    </w:p>
    <w:p w14:paraId="2495009E">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7.1合同授予标准</w:t>
      </w:r>
    </w:p>
    <w:p w14:paraId="16DABDF3">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 ，应在成交通知书发出前或签订合同前及时书面告知采购人，未主动告知，给采购人造成损失的，采购人有权取消其成交资格并没收磋商保证金。</w:t>
      </w:r>
    </w:p>
    <w:p w14:paraId="03D6FEA8">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7.2签订合同</w:t>
      </w:r>
    </w:p>
    <w:p w14:paraId="0D7EA96E">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7.2.1如采购文件无特别规定，成交供应商按采购文件确定的事项签订政府采购合同。</w:t>
      </w:r>
    </w:p>
    <w:p w14:paraId="7EDB12E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513B13E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7.2.3如成交供应商不按成交通知书的规定签订合同，其磋商保证金将不予退还，并报由同级政府采购监督管理部门处理。</w:t>
      </w:r>
    </w:p>
    <w:p w14:paraId="0ED161C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7.2.4成交供应商拒绝与采购人签订合同的，采购人可以按照评审报告推荐的成交候选人名单排序，确定下一候选人为成交供应商，也可以重新开展政府采购活动。 </w:t>
      </w:r>
    </w:p>
    <w:p w14:paraId="1E767FF7">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7.3合同公告</w:t>
      </w:r>
    </w:p>
    <w:p w14:paraId="44428C1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7.3.1如采购文件无特殊规定，成交供应商应在签订合同后1个工作日内，将政府采购合同副本送采购代理机构存档。</w:t>
      </w:r>
    </w:p>
    <w:p w14:paraId="4CBD9F2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5FA25C36">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7.4 履行合同</w:t>
      </w:r>
    </w:p>
    <w:p w14:paraId="1E19F971">
      <w:pPr>
        <w:spacing w:before="120" w:line="320" w:lineRule="atLeast"/>
        <w:ind w:firstLine="420" w:firstLineChars="200"/>
        <w:rPr>
          <w:rFonts w:hint="eastAsia" w:ascii="宋体" w:hAnsi="宋体" w:eastAsia="宋体" w:cs="宋体"/>
          <w:color w:val="auto"/>
          <w:szCs w:val="21"/>
          <w:highlight w:val="none"/>
        </w:rPr>
      </w:pPr>
      <w:bookmarkStart w:id="73" w:name="_Toc308164814"/>
      <w:bookmarkStart w:id="74" w:name="_Toc217446070"/>
      <w:r>
        <w:rPr>
          <w:rFonts w:hint="eastAsia" w:ascii="宋体" w:hAnsi="宋体" w:eastAsia="宋体" w:cs="宋体"/>
          <w:color w:val="auto"/>
          <w:szCs w:val="21"/>
          <w:highlight w:val="none"/>
        </w:rPr>
        <w:t>7.4.1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4A515617">
      <w:pPr>
        <w:spacing w:before="120" w:line="320" w:lineRule="atLeast"/>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7.5履约验收</w:t>
      </w:r>
      <w:bookmarkEnd w:id="73"/>
      <w:bookmarkEnd w:id="74"/>
    </w:p>
    <w:p w14:paraId="41682E9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7.5.1采购人可以根据政府采购项目具体情况自行组织验收，或者委托政府采购代理机构、国家认可的质量检测机构开展采购项目履约验收工作。</w:t>
      </w:r>
    </w:p>
    <w:p w14:paraId="3078A9C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7BD856F6">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6C32146F">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459BCA60">
      <w:pPr>
        <w:spacing w:before="120" w:line="320" w:lineRule="atLeast"/>
        <w:ind w:left="2" w:leftChars="1" w:firstLine="422" w:firstLineChars="200"/>
        <w:outlineLvl w:val="1"/>
        <w:rPr>
          <w:rFonts w:hint="eastAsia" w:ascii="宋体" w:hAnsi="宋体" w:eastAsia="宋体" w:cs="宋体"/>
          <w:b/>
          <w:bCs/>
          <w:color w:val="auto"/>
          <w:kern w:val="0"/>
          <w:szCs w:val="21"/>
          <w:highlight w:val="none"/>
        </w:rPr>
      </w:pPr>
      <w:bookmarkStart w:id="75" w:name="_Toc254970533"/>
      <w:bookmarkStart w:id="76" w:name="_Toc254970674"/>
      <w:r>
        <w:rPr>
          <w:rFonts w:hint="eastAsia" w:ascii="宋体" w:hAnsi="宋体" w:eastAsia="宋体" w:cs="宋体"/>
          <w:b/>
          <w:bCs/>
          <w:color w:val="auto"/>
          <w:kern w:val="0"/>
          <w:szCs w:val="21"/>
          <w:highlight w:val="none"/>
        </w:rPr>
        <w:t>8．质疑和投诉</w:t>
      </w:r>
      <w:bookmarkEnd w:id="75"/>
      <w:bookmarkEnd w:id="76"/>
    </w:p>
    <w:p w14:paraId="148CDFF0">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8.1质疑</w:t>
      </w:r>
    </w:p>
    <w:p w14:paraId="0B44BBD1">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8.1.1质疑内容、时限</w:t>
      </w:r>
    </w:p>
    <w:p w14:paraId="79C58FBB">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（1）供应商对政府采购活动有疑问的，可以向采购人或采购代理机构提出询问。采购人或者采购代理机构应当在3个工作日内对供应商依法提出的询问作出答复。</w:t>
      </w:r>
    </w:p>
    <w:p w14:paraId="2AE2F4E2">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422EB448">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8.1.2质疑形式</w:t>
      </w:r>
    </w:p>
    <w:p w14:paraId="00AAA34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0A908D1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8.1.3</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供应商提出质疑应当提交质疑函和必要的证明材料。质疑函应当包括下列内容：</w:t>
      </w:r>
    </w:p>
    <w:p w14:paraId="7F5BEF48">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供应商的姓名或者名称、地址、邮编、联系人及联系电话；</w:t>
      </w:r>
    </w:p>
    <w:p w14:paraId="36772B4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质疑项目的名称、编号；</w:t>
      </w:r>
    </w:p>
    <w:p w14:paraId="3D587D9F">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具体、明确的质疑事项和与质疑事项相关的请求；</w:t>
      </w:r>
    </w:p>
    <w:p w14:paraId="32A24127">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事实依据；</w:t>
      </w:r>
    </w:p>
    <w:p w14:paraId="3E11AC32">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必要的法律依据；</w:t>
      </w:r>
    </w:p>
    <w:p w14:paraId="3BAFF52C">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提出质疑的日期。</w:t>
      </w:r>
    </w:p>
    <w:p w14:paraId="74330970">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供应商为自然人的，应当由本人签字；供应商为法人或者其他组织的，应当由法定代表人、主要负责人，或者其授权代表签字或者盖章，并加盖公章。 </w:t>
      </w:r>
    </w:p>
    <w:p w14:paraId="48E73657">
      <w:pPr>
        <w:spacing w:before="120" w:line="320" w:lineRule="atLeast"/>
        <w:ind w:firstLine="422" w:firstLineChars="200"/>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8.2投诉</w:t>
      </w:r>
    </w:p>
    <w:p w14:paraId="38443013">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73F7E0DA">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8.2.2投诉书应使用财政部发布的政府采购供应投诉书范本，并应按照“投诉书制作说明”进行编写。</w:t>
      </w:r>
    </w:p>
    <w:p w14:paraId="617D6DD6">
      <w:pPr>
        <w:spacing w:before="120" w:line="320" w:lineRule="atLeast"/>
        <w:ind w:left="2" w:leftChars="1"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9．其他事项</w:t>
      </w:r>
    </w:p>
    <w:p w14:paraId="70A8A4F5">
      <w:pPr>
        <w:spacing w:before="120" w:line="3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9.1代理服务收费由采购代理机构向成交供应商收取。签订合同前，成交供应商应向采购代理机构一次付清代理服务费。</w:t>
      </w:r>
    </w:p>
    <w:p w14:paraId="0DFC7147">
      <w:pPr>
        <w:pStyle w:val="391"/>
        <w:keepNext w:val="0"/>
        <w:keepLines w:val="0"/>
        <w:spacing w:before="0" w:after="0" w:line="360" w:lineRule="auto"/>
        <w:ind w:left="420" w:leftChars="200"/>
        <w:rPr>
          <w:rFonts w:hint="eastAsia" w:ascii="宋体" w:hAnsi="宋体" w:eastAsia="宋体" w:cs="宋体"/>
          <w:color w:val="auto"/>
          <w:szCs w:val="21"/>
          <w:highlight w:val="none"/>
        </w:rPr>
      </w:pPr>
      <w:r>
        <w:rPr>
          <w:rFonts w:hint="eastAsia" w:ascii="宋体" w:hAnsi="宋体" w:eastAsia="宋体" w:cs="宋体"/>
          <w:b w:val="0"/>
          <w:color w:val="auto"/>
          <w:sz w:val="21"/>
          <w:szCs w:val="21"/>
          <w:highlight w:val="none"/>
          <w:lang w:val="en-US" w:eastAsia="zh-CN"/>
        </w:rPr>
        <w:t>9.2</w:t>
      </w:r>
      <w:r>
        <w:rPr>
          <w:rFonts w:hint="eastAsia" w:ascii="宋体" w:hAnsi="宋体" w:eastAsia="宋体" w:cs="宋体"/>
          <w:b w:val="0"/>
          <w:color w:val="auto"/>
          <w:sz w:val="21"/>
          <w:szCs w:val="21"/>
          <w:highlight w:val="none"/>
        </w:rPr>
        <w:t>代理服务收费标准：</w:t>
      </w:r>
    </w:p>
    <w:tbl>
      <w:tblPr>
        <w:tblStyle w:val="5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31A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37FA6EF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5F0B4D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vAlign w:val="center"/>
          </w:tcPr>
          <w:p w14:paraId="5635BF14">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vAlign w:val="center"/>
          </w:tcPr>
          <w:p w14:paraId="7B8B37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vAlign w:val="center"/>
          </w:tcPr>
          <w:p w14:paraId="570ED99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36C9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21A2FC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vAlign w:val="top"/>
          </w:tcPr>
          <w:p w14:paraId="355DCA4E">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1.5%                </w:t>
            </w:r>
          </w:p>
        </w:tc>
        <w:tc>
          <w:tcPr>
            <w:tcW w:w="1687" w:type="dxa"/>
            <w:vAlign w:val="top"/>
          </w:tcPr>
          <w:p w14:paraId="1A86723C">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659" w:type="dxa"/>
            <w:vAlign w:val="top"/>
          </w:tcPr>
          <w:p w14:paraId="10E09E6D">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1.0% </w:t>
            </w:r>
          </w:p>
        </w:tc>
      </w:tr>
      <w:tr w14:paraId="2628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6984D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vAlign w:val="top"/>
          </w:tcPr>
          <w:p w14:paraId="1F3D61B0">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                 </w:t>
            </w:r>
          </w:p>
        </w:tc>
        <w:tc>
          <w:tcPr>
            <w:tcW w:w="1687" w:type="dxa"/>
            <w:vAlign w:val="top"/>
          </w:tcPr>
          <w:p w14:paraId="465C3DFC">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0.8%</w:t>
            </w:r>
          </w:p>
        </w:tc>
        <w:tc>
          <w:tcPr>
            <w:tcW w:w="1659" w:type="dxa"/>
            <w:vAlign w:val="top"/>
          </w:tcPr>
          <w:p w14:paraId="123EEF14">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0.7% </w:t>
            </w:r>
          </w:p>
        </w:tc>
      </w:tr>
      <w:tr w14:paraId="3242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677421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vAlign w:val="top"/>
          </w:tcPr>
          <w:p w14:paraId="21F63887">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0.8%                </w:t>
            </w:r>
          </w:p>
        </w:tc>
        <w:tc>
          <w:tcPr>
            <w:tcW w:w="1687" w:type="dxa"/>
            <w:vAlign w:val="top"/>
          </w:tcPr>
          <w:p w14:paraId="67DD48FB">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0.45%</w:t>
            </w:r>
          </w:p>
        </w:tc>
        <w:tc>
          <w:tcPr>
            <w:tcW w:w="1659" w:type="dxa"/>
            <w:vAlign w:val="top"/>
          </w:tcPr>
          <w:p w14:paraId="0CA079B1">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0.55%</w:t>
            </w:r>
          </w:p>
        </w:tc>
      </w:tr>
      <w:tr w14:paraId="3EE9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340399E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vAlign w:val="top"/>
          </w:tcPr>
          <w:p w14:paraId="747406EB">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0.5%                </w:t>
            </w:r>
          </w:p>
        </w:tc>
        <w:tc>
          <w:tcPr>
            <w:tcW w:w="1687" w:type="dxa"/>
            <w:vAlign w:val="top"/>
          </w:tcPr>
          <w:p w14:paraId="44FC5050">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0.25%</w:t>
            </w:r>
          </w:p>
        </w:tc>
        <w:tc>
          <w:tcPr>
            <w:tcW w:w="1659" w:type="dxa"/>
            <w:vAlign w:val="top"/>
          </w:tcPr>
          <w:p w14:paraId="55E5A456">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0.35% </w:t>
            </w:r>
          </w:p>
        </w:tc>
      </w:tr>
      <w:tr w14:paraId="628B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055DC64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vAlign w:val="top"/>
          </w:tcPr>
          <w:p w14:paraId="718646DD">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0.25%                 </w:t>
            </w:r>
          </w:p>
        </w:tc>
        <w:tc>
          <w:tcPr>
            <w:tcW w:w="1687" w:type="dxa"/>
            <w:vAlign w:val="top"/>
          </w:tcPr>
          <w:p w14:paraId="041D0046">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0.1%</w:t>
            </w:r>
          </w:p>
        </w:tc>
        <w:tc>
          <w:tcPr>
            <w:tcW w:w="1659" w:type="dxa"/>
            <w:vAlign w:val="top"/>
          </w:tcPr>
          <w:p w14:paraId="4DDFD2C5">
            <w:pPr>
              <w:spacing w:line="360" w:lineRule="auto"/>
              <w:ind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0.2%</w:t>
            </w:r>
          </w:p>
        </w:tc>
      </w:tr>
      <w:tr w14:paraId="2928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BB6F4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vAlign w:val="top"/>
          </w:tcPr>
          <w:p w14:paraId="3F6999A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vAlign w:val="top"/>
          </w:tcPr>
          <w:p w14:paraId="0499848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vAlign w:val="top"/>
          </w:tcPr>
          <w:p w14:paraId="1A70C7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32FA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16BA51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vAlign w:val="top"/>
          </w:tcPr>
          <w:p w14:paraId="0B80EC2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vAlign w:val="top"/>
          </w:tcPr>
          <w:p w14:paraId="2FC18A7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vAlign w:val="top"/>
          </w:tcPr>
          <w:p w14:paraId="4F82EEF5">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1E7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1A1FDBF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vAlign w:val="top"/>
          </w:tcPr>
          <w:p w14:paraId="2D5E26F8">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vAlign w:val="top"/>
          </w:tcPr>
          <w:p w14:paraId="6E5BA0C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vAlign w:val="top"/>
          </w:tcPr>
          <w:p w14:paraId="1C81A442">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2BD8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71581EC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vAlign w:val="top"/>
          </w:tcPr>
          <w:p w14:paraId="182277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vAlign w:val="top"/>
          </w:tcPr>
          <w:p w14:paraId="3A7755E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vAlign w:val="top"/>
          </w:tcPr>
          <w:p w14:paraId="0573A3EF">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13CE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top"/>
          </w:tcPr>
          <w:p w14:paraId="53F6154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vAlign w:val="top"/>
          </w:tcPr>
          <w:p w14:paraId="3EF1C3D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vAlign w:val="top"/>
          </w:tcPr>
          <w:p w14:paraId="18372EF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vAlign w:val="top"/>
          </w:tcPr>
          <w:p w14:paraId="2568A7E7">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64DA33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467796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53FA0E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23D31D83">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电子交易活动的中止。采购过程中出现以下情形，导致电子交易平台无法正常运行，或者无法保证电子交易的公平、公正和安全时，采购机构可中止电子交易活动：</w:t>
      </w:r>
    </w:p>
    <w:p w14:paraId="3C4BF31C">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（1）电子交易平台发生故障而无法登录访问的； </w:t>
      </w:r>
    </w:p>
    <w:p w14:paraId="354F67ED">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3C0CA85F">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7D99A04E">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（4）病毒发作导致不能进行正常操作的； </w:t>
      </w:r>
    </w:p>
    <w:p w14:paraId="2C68547B">
      <w:pPr>
        <w:spacing w:before="120"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3611B9FF">
      <w:pPr>
        <w:tabs>
          <w:tab w:val="left" w:pos="4820"/>
        </w:tabs>
        <w:spacing w:before="1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31588E05">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9.3本项目的其他事项详见供应商须知前附表。</w:t>
      </w:r>
    </w:p>
    <w:p w14:paraId="3A54FC41">
      <w:pPr>
        <w:spacing w:before="120" w:line="320" w:lineRule="atLeast"/>
        <w:ind w:left="2" w:leftChars="1"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10．其他说明</w:t>
      </w:r>
    </w:p>
    <w:p w14:paraId="24E32057">
      <w:pPr>
        <w:spacing w:before="120" w:line="320" w:lineRule="atLeast"/>
        <w:ind w:left="2" w:leftChars="1"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10.1其余</w:t>
      </w:r>
      <w:r>
        <w:rPr>
          <w:rFonts w:hint="eastAsia" w:ascii="宋体" w:hAnsi="宋体" w:eastAsia="宋体" w:cs="宋体"/>
          <w:color w:val="auto"/>
          <w:kern w:val="0"/>
          <w:szCs w:val="21"/>
          <w:highlight w:val="none"/>
        </w:rPr>
        <w:t>未尽事宜按《中华人民共和国政府采购法》、《中华人民共和国政府采购法实施条例》的相关规定执行。</w:t>
      </w:r>
    </w:p>
    <w:p w14:paraId="276D223E">
      <w:pPr>
        <w:spacing w:before="120" w:line="320" w:lineRule="atLeas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10.2本采购文件</w:t>
      </w:r>
      <w:r>
        <w:rPr>
          <w:rFonts w:hint="eastAsia" w:ascii="宋体" w:hAnsi="宋体" w:eastAsia="宋体" w:cs="宋体"/>
          <w:color w:val="auto"/>
          <w:highlight w:val="none"/>
        </w:rPr>
        <w:t>是根据国家有关法律及有关政策、法规和参照国际惯例编制，解释权属采购代理机构。</w:t>
      </w:r>
      <w:bookmarkEnd w:id="29"/>
      <w:bookmarkStart w:id="77" w:name="_Toc89186352"/>
      <w:bookmarkStart w:id="78" w:name="_Toc254970690"/>
      <w:bookmarkStart w:id="79" w:name="_Toc254970549"/>
    </w:p>
    <w:p w14:paraId="2177DF96">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1DDD8A7">
      <w:pPr>
        <w:pStyle w:val="29"/>
        <w:snapToGrid w:val="0"/>
        <w:spacing w:before="120" w:after="120" w:line="320" w:lineRule="exact"/>
        <w:jc w:val="center"/>
        <w:outlineLvl w:val="0"/>
        <w:rPr>
          <w:rFonts w:hint="eastAsia" w:ascii="宋体" w:hAnsi="宋体" w:eastAsia="宋体" w:cs="宋体"/>
          <w:color w:val="auto"/>
          <w:sz w:val="32"/>
          <w:szCs w:val="32"/>
          <w:highlight w:val="none"/>
        </w:rPr>
      </w:pPr>
      <w:bookmarkStart w:id="80" w:name="_Toc16147"/>
      <w:r>
        <w:rPr>
          <w:rFonts w:hint="eastAsia" w:ascii="宋体" w:hAnsi="宋体" w:eastAsia="宋体" w:cs="宋体"/>
          <w:color w:val="auto"/>
          <w:sz w:val="32"/>
          <w:szCs w:val="32"/>
          <w:highlight w:val="none"/>
        </w:rPr>
        <w:t>第四章  评审方法及标准</w:t>
      </w:r>
      <w:bookmarkEnd w:id="77"/>
      <w:bookmarkEnd w:id="80"/>
    </w:p>
    <w:p w14:paraId="25C6EB66">
      <w:pPr>
        <w:spacing w:before="120" w:line="320" w:lineRule="atLeast"/>
        <w:ind w:firstLine="413" w:firstLineChars="196"/>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1.评审方法</w:t>
      </w:r>
    </w:p>
    <w:p w14:paraId="5FA8E174">
      <w:pPr>
        <w:suppressAutoHyphens/>
        <w:spacing w:before="120" w:line="320" w:lineRule="atLeas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bCs/>
          <w:color w:val="auto"/>
          <w:kern w:val="1"/>
          <w:szCs w:val="21"/>
          <w:highlight w:val="none"/>
        </w:rPr>
        <w:t>综合评分法</w:t>
      </w:r>
      <w:r>
        <w:rPr>
          <w:rFonts w:hint="eastAsia" w:ascii="宋体" w:hAnsi="宋体" w:eastAsia="宋体" w:cs="宋体"/>
          <w:color w:val="auto"/>
          <w:szCs w:val="21"/>
          <w:highlight w:val="none"/>
        </w:rPr>
        <w:t>进行评审</w:t>
      </w:r>
      <w:r>
        <w:rPr>
          <w:rFonts w:hint="eastAsia" w:ascii="宋体" w:hAnsi="宋体" w:eastAsia="宋体" w:cs="宋体"/>
          <w:bCs/>
          <w:color w:val="auto"/>
          <w:kern w:val="1"/>
          <w:szCs w:val="21"/>
          <w:highlight w:val="none"/>
        </w:rPr>
        <w:t>。</w:t>
      </w:r>
      <w:r>
        <w:rPr>
          <w:rFonts w:hint="eastAsia" w:ascii="宋体" w:hAnsi="宋体" w:eastAsia="宋体" w:cs="宋体"/>
          <w:color w:val="auto"/>
          <w:szCs w:val="21"/>
          <w:highlight w:val="none"/>
        </w:rPr>
        <w:t>综合评分法，是指响应文件满足采购文件全部实质性要求且按照评审因素的量化指标评审得分最高的供应商为成交候选人的评审方法。</w:t>
      </w:r>
    </w:p>
    <w:p w14:paraId="14EF0077">
      <w:pPr>
        <w:suppressAutoHyphens/>
        <w:spacing w:before="120" w:line="320" w:lineRule="atLeast"/>
        <w:ind w:firstLine="420" w:firstLineChars="20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本项目评审的其他详细规定在第三章供应商须知中规定。</w:t>
      </w:r>
    </w:p>
    <w:p w14:paraId="254FFD16">
      <w:pPr>
        <w:spacing w:before="120" w:line="320" w:lineRule="atLeast"/>
        <w:ind w:firstLine="413" w:firstLineChars="196"/>
        <w:outlineLvl w:val="1"/>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2.资格审查标准</w:t>
      </w:r>
      <w:r>
        <w:rPr>
          <w:rFonts w:hint="eastAsia" w:ascii="宋体" w:hAnsi="宋体" w:eastAsia="宋体" w:cs="宋体"/>
          <w:b/>
          <w:bCs/>
          <w:color w:val="auto"/>
          <w:kern w:val="0"/>
          <w:szCs w:val="21"/>
          <w:highlight w:val="none"/>
        </w:rPr>
        <w:t>（不满足任何一项审查内容要求，资格审查即为不合格）</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17"/>
        <w:gridCol w:w="1310"/>
        <w:gridCol w:w="5602"/>
      </w:tblGrid>
      <w:tr w14:paraId="70C4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Align w:val="center"/>
          </w:tcPr>
          <w:p w14:paraId="78467895">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2727" w:type="dxa"/>
            <w:gridSpan w:val="2"/>
            <w:vAlign w:val="center"/>
          </w:tcPr>
          <w:p w14:paraId="2F5E6E50">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审查内容</w:t>
            </w:r>
          </w:p>
        </w:tc>
        <w:tc>
          <w:tcPr>
            <w:tcW w:w="0" w:type="auto"/>
            <w:vAlign w:val="center"/>
          </w:tcPr>
          <w:p w14:paraId="54A11E98">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tc>
      </w:tr>
      <w:tr w14:paraId="6F69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restart"/>
            <w:vAlign w:val="center"/>
          </w:tcPr>
          <w:p w14:paraId="3507C85F">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供应商应符合的基本资格要求</w:t>
            </w:r>
          </w:p>
        </w:tc>
        <w:tc>
          <w:tcPr>
            <w:tcW w:w="2727" w:type="dxa"/>
            <w:gridSpan w:val="2"/>
            <w:vAlign w:val="center"/>
          </w:tcPr>
          <w:p w14:paraId="0E45E4E9">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tc>
        <w:tc>
          <w:tcPr>
            <w:tcW w:w="0" w:type="auto"/>
            <w:vAlign w:val="center"/>
          </w:tcPr>
          <w:p w14:paraId="79C26285">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审查供应商为法人或者其他组织的，提供营业执照等证明文件（如营业执照或者事业单位法人证书或者执业许可证等），供应商为自然人的，提供身份证扫描件。</w:t>
            </w:r>
          </w:p>
        </w:tc>
      </w:tr>
      <w:tr w14:paraId="4701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20D2E0AF">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0303D06B">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具有良好的商业信誉和健全的财务会计制度</w:t>
            </w:r>
          </w:p>
        </w:tc>
        <w:tc>
          <w:tcPr>
            <w:tcW w:w="0" w:type="auto"/>
            <w:vAlign w:val="center"/>
          </w:tcPr>
          <w:p w14:paraId="71F5A3AB">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①审查商业信誉声明。须提供，格式见第六章响应文件格式“响应声明书”。</w:t>
            </w:r>
          </w:p>
          <w:p w14:paraId="42C1A856">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②审查202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年度财务状况报告（表）扫描件或银行出具的资信证明扫描件。</w:t>
            </w:r>
            <w:r>
              <w:rPr>
                <w:rFonts w:hint="eastAsia" w:ascii="宋体" w:hAnsi="宋体" w:eastAsia="宋体" w:cs="宋体"/>
                <w:color w:val="auto"/>
                <w:highlight w:val="none"/>
              </w:rPr>
              <w:t>对于从取得营业执照时间起到响应文件递交截止时间为止不足1年的供应商，只需提交</w:t>
            </w:r>
            <w:r>
              <w:rPr>
                <w:rFonts w:hint="eastAsia" w:ascii="宋体" w:hAnsi="宋体" w:eastAsia="宋体" w:cs="宋体"/>
                <w:color w:val="auto"/>
                <w:szCs w:val="21"/>
                <w:highlight w:val="none"/>
              </w:rPr>
              <w:t>响应文件递交截止时间前一个月的财务状况报告（表）扫描件。</w:t>
            </w:r>
          </w:p>
        </w:tc>
      </w:tr>
      <w:tr w14:paraId="43E6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10A5052B">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54ED78D2">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（3）具有履行合同所必需的设备和专业技术能力</w:t>
            </w:r>
          </w:p>
        </w:tc>
        <w:tc>
          <w:tcPr>
            <w:tcW w:w="0" w:type="auto"/>
            <w:vAlign w:val="center"/>
          </w:tcPr>
          <w:p w14:paraId="59F6E759">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审查书面声明。须提供，格式见第六章响应文件格式“响应声明书”。</w:t>
            </w:r>
          </w:p>
        </w:tc>
      </w:tr>
      <w:tr w14:paraId="1FF0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6CEE7672">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74B3D127">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（4）有依法缴纳税收和社会保障金的良好记录</w:t>
            </w:r>
          </w:p>
        </w:tc>
        <w:tc>
          <w:tcPr>
            <w:tcW w:w="0" w:type="auto"/>
            <w:vAlign w:val="center"/>
          </w:tcPr>
          <w:p w14:paraId="3353E4AC">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①审查响应截止时间前6个月内，</w:t>
            </w:r>
            <w:r>
              <w:rPr>
                <w:rFonts w:hint="eastAsia" w:ascii="宋体" w:hAnsi="宋体" w:eastAsia="宋体" w:cs="宋体"/>
                <w:color w:val="auto"/>
                <w:highlight w:val="none"/>
              </w:rPr>
              <w:t>供应商任意1个月</w:t>
            </w:r>
            <w:r>
              <w:rPr>
                <w:rFonts w:hint="eastAsia" w:ascii="宋体" w:hAnsi="宋体" w:eastAsia="宋体" w:cs="宋体"/>
                <w:color w:val="auto"/>
                <w:szCs w:val="21"/>
                <w:highlight w:val="none"/>
              </w:rPr>
              <w:t>依法缴纳税费证明扫描件加盖供应商电子签章。</w:t>
            </w:r>
          </w:p>
          <w:p w14:paraId="5098924E">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②审查响应截止时间前6个月内，</w:t>
            </w:r>
            <w:r>
              <w:rPr>
                <w:rFonts w:hint="eastAsia" w:ascii="宋体" w:hAnsi="宋体" w:eastAsia="宋体" w:cs="宋体"/>
                <w:color w:val="auto"/>
                <w:highlight w:val="none"/>
              </w:rPr>
              <w:t>供应商任意1个月</w:t>
            </w:r>
            <w:r>
              <w:rPr>
                <w:rFonts w:hint="eastAsia" w:ascii="宋体" w:hAnsi="宋体" w:eastAsia="宋体" w:cs="宋体"/>
                <w:color w:val="auto"/>
                <w:szCs w:val="21"/>
                <w:highlight w:val="none"/>
              </w:rPr>
              <w:t>的社保缴费证明记录扫描件加盖供应商电子签章。</w:t>
            </w:r>
          </w:p>
          <w:p w14:paraId="19A8F6A2">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供应商成立不足1个月的，无须提供缴纳税费证明及社保缴费证明加盖供应商电子签章。</w:t>
            </w:r>
          </w:p>
          <w:p w14:paraId="7F07DE6C">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依法免税或不需要缴纳社会保障资金的供应商，须提供相应文件证明其依法免税或不需要缴纳社会保障资金。</w:t>
            </w:r>
          </w:p>
        </w:tc>
      </w:tr>
      <w:tr w14:paraId="7214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11C92EBF">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094C3556">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（5）参加政府采购活动前三年内，在经营活动中没有重大违法记录及不良信用记录</w:t>
            </w:r>
          </w:p>
        </w:tc>
        <w:tc>
          <w:tcPr>
            <w:tcW w:w="0" w:type="auto"/>
            <w:vAlign w:val="center"/>
          </w:tcPr>
          <w:p w14:paraId="29717CB1">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审查无重大违法记录声明。须提供，格式见第六章响应文件格式“响应声明书”。 </w:t>
            </w:r>
          </w:p>
        </w:tc>
      </w:tr>
      <w:tr w14:paraId="06B6E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355E052E">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2CFB6C6E">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（6）具备法律、行政法规规定的其他要求</w:t>
            </w:r>
          </w:p>
        </w:tc>
        <w:tc>
          <w:tcPr>
            <w:tcW w:w="0" w:type="auto"/>
            <w:shd w:val="clear" w:color="auto" w:fill="auto"/>
            <w:vAlign w:val="center"/>
          </w:tcPr>
          <w:p w14:paraId="0547D8D8">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2679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Align w:val="center"/>
          </w:tcPr>
          <w:p w14:paraId="7D3CA59D">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采购政策</w:t>
            </w:r>
          </w:p>
        </w:tc>
        <w:tc>
          <w:tcPr>
            <w:tcW w:w="2727" w:type="dxa"/>
            <w:gridSpan w:val="2"/>
            <w:vAlign w:val="center"/>
          </w:tcPr>
          <w:p w14:paraId="3206F36B">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落实政府采购政策需满足的资格要求</w:t>
            </w:r>
          </w:p>
        </w:tc>
        <w:tc>
          <w:tcPr>
            <w:tcW w:w="0" w:type="auto"/>
            <w:shd w:val="clear" w:color="auto" w:fill="auto"/>
            <w:vAlign w:val="center"/>
          </w:tcPr>
          <w:p w14:paraId="7381F78D">
            <w:pPr>
              <w:spacing w:line="2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无</w:t>
            </w:r>
          </w:p>
        </w:tc>
      </w:tr>
      <w:tr w14:paraId="438D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restart"/>
            <w:vAlign w:val="center"/>
          </w:tcPr>
          <w:p w14:paraId="4CDB9D77">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供应商应符合的</w:t>
            </w:r>
            <w:r>
              <w:rPr>
                <w:rFonts w:hint="eastAsia" w:ascii="宋体" w:hAnsi="宋体" w:eastAsia="宋体" w:cs="宋体"/>
                <w:color w:val="auto"/>
                <w:szCs w:val="21"/>
                <w:highlight w:val="none"/>
              </w:rPr>
              <w:t>特定资格条件</w:t>
            </w:r>
          </w:p>
        </w:tc>
        <w:tc>
          <w:tcPr>
            <w:tcW w:w="2727" w:type="dxa"/>
            <w:gridSpan w:val="2"/>
            <w:vAlign w:val="center"/>
          </w:tcPr>
          <w:p w14:paraId="03641403">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（1）资质要求</w:t>
            </w:r>
          </w:p>
        </w:tc>
        <w:tc>
          <w:tcPr>
            <w:tcW w:w="0" w:type="auto"/>
            <w:vAlign w:val="center"/>
          </w:tcPr>
          <w:p w14:paraId="03AB08C0">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须符合“磋商公告”要求。</w:t>
            </w:r>
          </w:p>
        </w:tc>
      </w:tr>
      <w:tr w14:paraId="3EE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7AD808E3">
            <w:pPr>
              <w:spacing w:line="240" w:lineRule="exact"/>
              <w:jc w:val="center"/>
              <w:rPr>
                <w:rFonts w:hint="eastAsia" w:ascii="宋体" w:hAnsi="宋体" w:eastAsia="宋体" w:cs="宋体"/>
                <w:color w:val="auto"/>
                <w:szCs w:val="21"/>
                <w:highlight w:val="none"/>
              </w:rPr>
            </w:pPr>
          </w:p>
        </w:tc>
        <w:tc>
          <w:tcPr>
            <w:tcW w:w="1417" w:type="dxa"/>
            <w:vMerge w:val="restart"/>
            <w:vAlign w:val="center"/>
          </w:tcPr>
          <w:p w14:paraId="4B031BBD">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（2）人员要求</w:t>
            </w:r>
          </w:p>
        </w:tc>
        <w:tc>
          <w:tcPr>
            <w:tcW w:w="1310" w:type="dxa"/>
            <w:vAlign w:val="center"/>
          </w:tcPr>
          <w:p w14:paraId="0EA0019D">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0" w:type="auto"/>
            <w:vAlign w:val="center"/>
          </w:tcPr>
          <w:p w14:paraId="7FD6A74B">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须符合“磋商公告”要求。须提供在响应文件递交截止时间前6个月内任意1个月在现任职单位依法缴纳社会保险的证明材料扫描件。</w:t>
            </w:r>
          </w:p>
        </w:tc>
      </w:tr>
      <w:tr w14:paraId="7536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64DCB430">
            <w:pPr>
              <w:spacing w:line="240" w:lineRule="exact"/>
              <w:jc w:val="center"/>
              <w:rPr>
                <w:rFonts w:hint="eastAsia" w:ascii="宋体" w:hAnsi="宋体" w:eastAsia="宋体" w:cs="宋体"/>
                <w:color w:val="auto"/>
                <w:szCs w:val="21"/>
                <w:highlight w:val="none"/>
              </w:rPr>
            </w:pPr>
          </w:p>
        </w:tc>
        <w:tc>
          <w:tcPr>
            <w:tcW w:w="1417" w:type="dxa"/>
            <w:vMerge w:val="continue"/>
          </w:tcPr>
          <w:p w14:paraId="5691977D">
            <w:pPr>
              <w:spacing w:line="240" w:lineRule="exact"/>
              <w:jc w:val="left"/>
              <w:rPr>
                <w:rFonts w:hint="eastAsia" w:ascii="宋体" w:hAnsi="宋体" w:eastAsia="宋体" w:cs="宋体"/>
                <w:color w:val="auto"/>
                <w:szCs w:val="21"/>
                <w:highlight w:val="none"/>
              </w:rPr>
            </w:pPr>
          </w:p>
        </w:tc>
        <w:tc>
          <w:tcPr>
            <w:tcW w:w="1310" w:type="dxa"/>
            <w:vAlign w:val="center"/>
          </w:tcPr>
          <w:p w14:paraId="335971C9">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0" w:type="auto"/>
            <w:vAlign w:val="center"/>
          </w:tcPr>
          <w:p w14:paraId="5F39E652">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须符合“磋商公告”要求。须提供在响应文件递交截止时间前6个月内任意1个月在现任职单位依法缴纳社会保险的证明材料扫描件。</w:t>
            </w:r>
          </w:p>
        </w:tc>
      </w:tr>
      <w:tr w14:paraId="34C5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58B0256B">
            <w:pPr>
              <w:spacing w:line="240" w:lineRule="exact"/>
              <w:jc w:val="center"/>
              <w:rPr>
                <w:rFonts w:hint="eastAsia" w:ascii="宋体" w:hAnsi="宋体" w:eastAsia="宋体" w:cs="宋体"/>
                <w:color w:val="auto"/>
                <w:szCs w:val="21"/>
                <w:highlight w:val="none"/>
              </w:rPr>
            </w:pPr>
          </w:p>
        </w:tc>
        <w:tc>
          <w:tcPr>
            <w:tcW w:w="1417" w:type="dxa"/>
            <w:vMerge w:val="continue"/>
          </w:tcPr>
          <w:p w14:paraId="76704DCF">
            <w:pPr>
              <w:spacing w:line="240" w:lineRule="exact"/>
              <w:jc w:val="left"/>
              <w:rPr>
                <w:rFonts w:hint="eastAsia" w:ascii="宋体" w:hAnsi="宋体" w:eastAsia="宋体" w:cs="宋体"/>
                <w:color w:val="auto"/>
                <w:szCs w:val="21"/>
                <w:highlight w:val="none"/>
              </w:rPr>
            </w:pPr>
          </w:p>
        </w:tc>
        <w:tc>
          <w:tcPr>
            <w:tcW w:w="1310" w:type="dxa"/>
            <w:vAlign w:val="center"/>
          </w:tcPr>
          <w:p w14:paraId="22C04554">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w:t>
            </w:r>
          </w:p>
        </w:tc>
        <w:tc>
          <w:tcPr>
            <w:tcW w:w="0" w:type="auto"/>
            <w:vAlign w:val="center"/>
          </w:tcPr>
          <w:p w14:paraId="3D29956F">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须符合“磋商公告”要求。须提供在响应文件递交截止时间前6个月内任意1个月在现任职单位依法缴纳社会保险的证明材料扫描件。</w:t>
            </w:r>
          </w:p>
        </w:tc>
      </w:tr>
      <w:tr w14:paraId="7400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496E96EB">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3EF8DE3C">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（3）业绩要求</w:t>
            </w:r>
          </w:p>
        </w:tc>
        <w:tc>
          <w:tcPr>
            <w:tcW w:w="0" w:type="auto"/>
            <w:vAlign w:val="center"/>
          </w:tcPr>
          <w:p w14:paraId="3135BE35">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须符合“磋商公告”要求。</w:t>
            </w:r>
          </w:p>
        </w:tc>
      </w:tr>
      <w:tr w14:paraId="137E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49EEFF8E">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3F33A728">
            <w:pPr>
              <w:spacing w:line="24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（4）供应商不得参加响应的情形</w:t>
            </w:r>
          </w:p>
        </w:tc>
        <w:tc>
          <w:tcPr>
            <w:tcW w:w="0" w:type="auto"/>
            <w:vAlign w:val="center"/>
          </w:tcPr>
          <w:p w14:paraId="24E25EB1">
            <w:pPr>
              <w:spacing w:line="2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A118A95">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须提供，格式见第六章响应文件格式“供应商直接控股股东、管理关系信息表”。</w:t>
            </w:r>
          </w:p>
        </w:tc>
      </w:tr>
      <w:tr w14:paraId="7549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173275DC">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60FCA349">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（5）诚信要求</w:t>
            </w:r>
          </w:p>
        </w:tc>
        <w:tc>
          <w:tcPr>
            <w:tcW w:w="0" w:type="auto"/>
          </w:tcPr>
          <w:p w14:paraId="575EC291">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未被列入失信被执行人、</w:t>
            </w:r>
            <w:r>
              <w:rPr>
                <w:rFonts w:hint="eastAsia" w:ascii="宋体" w:hAnsi="宋体" w:eastAsia="宋体" w:cs="宋体"/>
                <w:color w:val="auto"/>
                <w:kern w:val="0"/>
                <w:szCs w:val="21"/>
                <w:highlight w:val="none"/>
              </w:rPr>
              <w:t>重大税收违法失信主体</w:t>
            </w:r>
            <w:r>
              <w:rPr>
                <w:rFonts w:hint="eastAsia" w:ascii="宋体" w:hAnsi="宋体" w:eastAsia="宋体" w:cs="宋体"/>
                <w:color w:val="auto"/>
                <w:szCs w:val="21"/>
                <w:highlight w:val="none"/>
              </w:rPr>
              <w:t>、政府采购严重违法失信行为记录名单。</w:t>
            </w:r>
          </w:p>
        </w:tc>
      </w:tr>
      <w:tr w14:paraId="439B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6FE29E95">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7E9A6F39">
            <w:pPr>
              <w:rPr>
                <w:rFonts w:hint="eastAsia" w:ascii="宋体" w:hAnsi="宋体" w:eastAsia="宋体" w:cs="宋体"/>
                <w:color w:val="auto"/>
                <w:highlight w:val="none"/>
              </w:rPr>
            </w:pPr>
            <w:r>
              <w:rPr>
                <w:rFonts w:hint="eastAsia" w:ascii="宋体" w:hAnsi="宋体" w:eastAsia="宋体" w:cs="宋体"/>
                <w:color w:val="auto"/>
                <w:highlight w:val="none"/>
              </w:rPr>
              <w:t>（6）分包</w:t>
            </w:r>
          </w:p>
        </w:tc>
        <w:tc>
          <w:tcPr>
            <w:tcW w:w="0" w:type="auto"/>
            <w:vAlign w:val="center"/>
          </w:tcPr>
          <w:p w14:paraId="79A63AC5">
            <w:pPr>
              <w:rPr>
                <w:rFonts w:hint="eastAsia" w:ascii="宋体" w:hAnsi="宋体" w:eastAsia="宋体" w:cs="宋体"/>
                <w:color w:val="auto"/>
                <w:highlight w:val="none"/>
              </w:rPr>
            </w:pPr>
            <w:r>
              <w:rPr>
                <w:rFonts w:hint="eastAsia" w:ascii="宋体" w:hAnsi="宋体" w:eastAsia="宋体" w:cs="宋体"/>
                <w:color w:val="auto"/>
                <w:highlight w:val="none"/>
              </w:rPr>
              <w:t>须符合“</w:t>
            </w:r>
            <w:r>
              <w:rPr>
                <w:rFonts w:hint="eastAsia" w:ascii="宋体" w:hAnsi="宋体" w:eastAsia="宋体" w:cs="宋体"/>
                <w:color w:val="auto"/>
                <w:szCs w:val="21"/>
                <w:highlight w:val="none"/>
              </w:rPr>
              <w:t>磋商公告</w:t>
            </w:r>
            <w:r>
              <w:rPr>
                <w:rFonts w:hint="eastAsia" w:ascii="宋体" w:hAnsi="宋体" w:eastAsia="宋体" w:cs="宋体"/>
                <w:color w:val="auto"/>
                <w:highlight w:val="none"/>
              </w:rPr>
              <w:t>”的要求</w:t>
            </w:r>
          </w:p>
        </w:tc>
      </w:tr>
      <w:tr w14:paraId="6D82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5A3AEE6C">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06AEBFAF">
            <w:pPr>
              <w:rPr>
                <w:rFonts w:hint="eastAsia" w:ascii="宋体" w:hAnsi="宋体" w:eastAsia="宋体" w:cs="宋体"/>
                <w:color w:val="auto"/>
                <w:highlight w:val="none"/>
              </w:rPr>
            </w:pPr>
            <w:r>
              <w:rPr>
                <w:rFonts w:hint="eastAsia" w:ascii="宋体" w:hAnsi="宋体" w:eastAsia="宋体" w:cs="宋体"/>
                <w:color w:val="auto"/>
                <w:highlight w:val="none"/>
              </w:rPr>
              <w:t>（7）联合体</w:t>
            </w:r>
          </w:p>
        </w:tc>
        <w:tc>
          <w:tcPr>
            <w:tcW w:w="0" w:type="auto"/>
            <w:vAlign w:val="center"/>
          </w:tcPr>
          <w:p w14:paraId="6B50F0A1">
            <w:pPr>
              <w:rPr>
                <w:rFonts w:hint="eastAsia" w:ascii="宋体" w:hAnsi="宋体" w:eastAsia="宋体" w:cs="宋体"/>
                <w:color w:val="auto"/>
                <w:highlight w:val="none"/>
              </w:rPr>
            </w:pPr>
            <w:r>
              <w:rPr>
                <w:rFonts w:hint="eastAsia" w:ascii="宋体" w:hAnsi="宋体" w:eastAsia="宋体" w:cs="宋体"/>
                <w:color w:val="auto"/>
                <w:highlight w:val="none"/>
              </w:rPr>
              <w:t>须符合“</w:t>
            </w:r>
            <w:r>
              <w:rPr>
                <w:rFonts w:hint="eastAsia" w:ascii="宋体" w:hAnsi="宋体" w:eastAsia="宋体" w:cs="宋体"/>
                <w:color w:val="auto"/>
                <w:szCs w:val="21"/>
                <w:highlight w:val="none"/>
              </w:rPr>
              <w:t>磋商公告</w:t>
            </w:r>
            <w:r>
              <w:rPr>
                <w:rFonts w:hint="eastAsia" w:ascii="宋体" w:hAnsi="宋体" w:eastAsia="宋体" w:cs="宋体"/>
                <w:color w:val="auto"/>
                <w:highlight w:val="none"/>
              </w:rPr>
              <w:t>”的要求</w:t>
            </w:r>
          </w:p>
        </w:tc>
      </w:tr>
      <w:tr w14:paraId="08A4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1" w:type="dxa"/>
            <w:vMerge w:val="continue"/>
            <w:vAlign w:val="center"/>
          </w:tcPr>
          <w:p w14:paraId="5ABD1C3F">
            <w:pPr>
              <w:spacing w:line="240" w:lineRule="exact"/>
              <w:jc w:val="center"/>
              <w:rPr>
                <w:rFonts w:hint="eastAsia" w:ascii="宋体" w:hAnsi="宋体" w:eastAsia="宋体" w:cs="宋体"/>
                <w:color w:val="auto"/>
                <w:szCs w:val="21"/>
                <w:highlight w:val="none"/>
              </w:rPr>
            </w:pPr>
          </w:p>
        </w:tc>
        <w:tc>
          <w:tcPr>
            <w:tcW w:w="2727" w:type="dxa"/>
            <w:gridSpan w:val="2"/>
            <w:vAlign w:val="center"/>
          </w:tcPr>
          <w:p w14:paraId="46BB69D7">
            <w:pPr>
              <w:spacing w:line="2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（8）其他要求</w:t>
            </w:r>
          </w:p>
        </w:tc>
        <w:tc>
          <w:tcPr>
            <w:tcW w:w="0" w:type="auto"/>
            <w:vAlign w:val="center"/>
          </w:tcPr>
          <w:p w14:paraId="6E764A99">
            <w:pPr>
              <w:spacing w:line="312"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按照磋商公告规定获得采购文件。</w:t>
            </w:r>
          </w:p>
        </w:tc>
      </w:tr>
    </w:tbl>
    <w:p w14:paraId="00027516">
      <w:pPr>
        <w:spacing w:before="120" w:line="320" w:lineRule="atLeast"/>
        <w:ind w:firstLine="413" w:firstLineChars="196"/>
        <w:outlineLvl w:val="1"/>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3.符合性审查标准（不满足任何一项审查内容要求，符合性审查即为不合格）</w:t>
      </w:r>
    </w:p>
    <w:bookmarkEnd w:id="78"/>
    <w:bookmarkEnd w:id="79"/>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655"/>
        <w:gridCol w:w="5686"/>
      </w:tblGrid>
      <w:tr w14:paraId="74E8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01" w:type="dxa"/>
            <w:vAlign w:val="center"/>
          </w:tcPr>
          <w:p w14:paraId="21645EAF">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审查因素</w:t>
            </w:r>
          </w:p>
        </w:tc>
        <w:tc>
          <w:tcPr>
            <w:tcW w:w="2693" w:type="dxa"/>
            <w:vAlign w:val="center"/>
          </w:tcPr>
          <w:p w14:paraId="2D81E1FB">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审查内容</w:t>
            </w:r>
          </w:p>
        </w:tc>
        <w:tc>
          <w:tcPr>
            <w:tcW w:w="5777" w:type="dxa"/>
            <w:vAlign w:val="center"/>
          </w:tcPr>
          <w:p w14:paraId="7878B02F">
            <w:pPr>
              <w:spacing w:line="2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tc>
      </w:tr>
      <w:tr w14:paraId="49B4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01" w:type="dxa"/>
            <w:vMerge w:val="restart"/>
            <w:vAlign w:val="center"/>
          </w:tcPr>
          <w:p w14:paraId="35A9CBB2">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商务资信</w:t>
            </w:r>
          </w:p>
        </w:tc>
        <w:tc>
          <w:tcPr>
            <w:tcW w:w="2693" w:type="dxa"/>
            <w:vAlign w:val="center"/>
          </w:tcPr>
          <w:p w14:paraId="7FFA828F">
            <w:pPr>
              <w:spacing w:line="240" w:lineRule="exact"/>
              <w:rPr>
                <w:rFonts w:hint="eastAsia" w:ascii="宋体" w:hAnsi="宋体" w:eastAsia="宋体" w:cs="宋体"/>
                <w:color w:val="auto"/>
                <w:highlight w:val="none"/>
              </w:rPr>
            </w:pPr>
            <w:r>
              <w:rPr>
                <w:rFonts w:hint="eastAsia" w:ascii="宋体" w:hAnsi="宋体" w:eastAsia="宋体" w:cs="宋体"/>
                <w:color w:val="auto"/>
                <w:highlight w:val="none"/>
              </w:rPr>
              <w:t>法定代表人身份证明及授权委托书</w:t>
            </w:r>
          </w:p>
        </w:tc>
        <w:tc>
          <w:tcPr>
            <w:tcW w:w="5777" w:type="dxa"/>
            <w:vAlign w:val="center"/>
          </w:tcPr>
          <w:p w14:paraId="47C7BEA4">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授权代表参加响应时审查</w:t>
            </w:r>
            <w:r>
              <w:rPr>
                <w:rFonts w:hint="eastAsia" w:ascii="宋体" w:hAnsi="宋体" w:eastAsia="宋体" w:cs="宋体"/>
                <w:color w:val="auto"/>
                <w:highlight w:val="none"/>
              </w:rPr>
              <w:t>：</w:t>
            </w:r>
            <w:r>
              <w:rPr>
                <w:rFonts w:hint="eastAsia" w:ascii="宋体" w:hAnsi="宋体" w:eastAsia="宋体" w:cs="宋体"/>
                <w:color w:val="auto"/>
                <w:szCs w:val="21"/>
                <w:highlight w:val="none"/>
              </w:rPr>
              <w:t xml:space="preserve">法定代表人授权委托书及附件 </w:t>
            </w:r>
          </w:p>
          <w:p w14:paraId="3D19534E">
            <w:pPr>
              <w:spacing w:line="2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法定代表人直接参加响应时审查</w:t>
            </w:r>
            <w:r>
              <w:rPr>
                <w:rFonts w:hint="eastAsia" w:ascii="宋体" w:hAnsi="宋体" w:eastAsia="宋体" w:cs="宋体"/>
                <w:color w:val="auto"/>
                <w:highlight w:val="none"/>
              </w:rPr>
              <w:t>：</w:t>
            </w:r>
            <w:r>
              <w:rPr>
                <w:rFonts w:hint="eastAsia" w:ascii="宋体" w:hAnsi="宋体" w:eastAsia="宋体" w:cs="宋体"/>
                <w:color w:val="auto"/>
                <w:szCs w:val="21"/>
                <w:highlight w:val="none"/>
              </w:rPr>
              <w:t>法定代表人身份证明及附件格式及附件见第六章响应文件格式要求</w:t>
            </w:r>
          </w:p>
        </w:tc>
      </w:tr>
      <w:tr w14:paraId="75B0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0C1E6D33">
            <w:pPr>
              <w:spacing w:line="240" w:lineRule="exact"/>
              <w:jc w:val="center"/>
              <w:rPr>
                <w:rFonts w:hint="eastAsia" w:ascii="宋体" w:hAnsi="宋体" w:eastAsia="宋体" w:cs="宋体"/>
                <w:color w:val="auto"/>
                <w:kern w:val="0"/>
                <w:szCs w:val="21"/>
                <w:highlight w:val="none"/>
              </w:rPr>
            </w:pPr>
          </w:p>
        </w:tc>
        <w:tc>
          <w:tcPr>
            <w:tcW w:w="2693" w:type="dxa"/>
            <w:vAlign w:val="center"/>
          </w:tcPr>
          <w:p w14:paraId="21E23F01">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实质性条款响应</w:t>
            </w:r>
          </w:p>
        </w:tc>
        <w:tc>
          <w:tcPr>
            <w:tcW w:w="5777" w:type="dxa"/>
            <w:vAlign w:val="center"/>
          </w:tcPr>
          <w:p w14:paraId="03B9B03E">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采购文件实质性要求响应均无负偏离</w:t>
            </w:r>
          </w:p>
        </w:tc>
      </w:tr>
      <w:tr w14:paraId="52A2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01" w:type="dxa"/>
            <w:vMerge w:val="continue"/>
            <w:vAlign w:val="center"/>
          </w:tcPr>
          <w:p w14:paraId="669C58EC">
            <w:pPr>
              <w:spacing w:line="240" w:lineRule="exact"/>
              <w:jc w:val="center"/>
              <w:rPr>
                <w:rFonts w:hint="eastAsia" w:ascii="宋体" w:hAnsi="宋体" w:eastAsia="宋体" w:cs="宋体"/>
                <w:color w:val="auto"/>
                <w:kern w:val="0"/>
                <w:szCs w:val="21"/>
                <w:highlight w:val="none"/>
              </w:rPr>
            </w:pPr>
          </w:p>
        </w:tc>
        <w:tc>
          <w:tcPr>
            <w:tcW w:w="2693" w:type="dxa"/>
            <w:vAlign w:val="center"/>
          </w:tcPr>
          <w:p w14:paraId="258F8D3A">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串通投标</w:t>
            </w:r>
          </w:p>
        </w:tc>
        <w:tc>
          <w:tcPr>
            <w:tcW w:w="5777" w:type="dxa"/>
            <w:vAlign w:val="center"/>
          </w:tcPr>
          <w:p w14:paraId="1684740A">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不属于供应商须知正文第6.3.8规定的串通投标情形，见第六章响应文件格式要求</w:t>
            </w:r>
          </w:p>
        </w:tc>
      </w:tr>
      <w:tr w14:paraId="5E59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restart"/>
            <w:vAlign w:val="center"/>
          </w:tcPr>
          <w:p w14:paraId="349535C6">
            <w:pPr>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w:t>
            </w:r>
          </w:p>
        </w:tc>
        <w:tc>
          <w:tcPr>
            <w:tcW w:w="2693" w:type="dxa"/>
            <w:vAlign w:val="center"/>
          </w:tcPr>
          <w:p w14:paraId="0A9CFE83">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工期</w:t>
            </w:r>
          </w:p>
        </w:tc>
        <w:tc>
          <w:tcPr>
            <w:tcW w:w="5777" w:type="dxa"/>
            <w:vAlign w:val="center"/>
          </w:tcPr>
          <w:p w14:paraId="3ACF6F68">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满足采购文件规定</w:t>
            </w:r>
          </w:p>
        </w:tc>
      </w:tr>
      <w:tr w14:paraId="6EB8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02F12327">
            <w:pPr>
              <w:spacing w:line="240" w:lineRule="exact"/>
              <w:jc w:val="center"/>
              <w:rPr>
                <w:rFonts w:hint="eastAsia" w:ascii="宋体" w:hAnsi="宋体" w:eastAsia="宋体" w:cs="宋体"/>
                <w:color w:val="auto"/>
                <w:kern w:val="0"/>
                <w:szCs w:val="21"/>
                <w:highlight w:val="none"/>
              </w:rPr>
            </w:pPr>
          </w:p>
        </w:tc>
        <w:tc>
          <w:tcPr>
            <w:tcW w:w="2693" w:type="dxa"/>
            <w:vAlign w:val="center"/>
          </w:tcPr>
          <w:p w14:paraId="50CBE0A0">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工程质量</w:t>
            </w:r>
          </w:p>
        </w:tc>
        <w:tc>
          <w:tcPr>
            <w:tcW w:w="5777" w:type="dxa"/>
            <w:vAlign w:val="center"/>
          </w:tcPr>
          <w:p w14:paraId="70EB8DE5">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满足采购文件规定</w:t>
            </w:r>
          </w:p>
        </w:tc>
      </w:tr>
      <w:tr w14:paraId="2D3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1B4D3402">
            <w:pPr>
              <w:spacing w:line="240" w:lineRule="exact"/>
              <w:jc w:val="center"/>
              <w:rPr>
                <w:rFonts w:hint="eastAsia" w:ascii="宋体" w:hAnsi="宋体" w:eastAsia="宋体" w:cs="宋体"/>
                <w:color w:val="auto"/>
                <w:kern w:val="0"/>
                <w:szCs w:val="21"/>
                <w:highlight w:val="none"/>
              </w:rPr>
            </w:pPr>
          </w:p>
        </w:tc>
        <w:tc>
          <w:tcPr>
            <w:tcW w:w="2693" w:type="dxa"/>
            <w:vAlign w:val="center"/>
          </w:tcPr>
          <w:p w14:paraId="517F66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响应有效期</w:t>
            </w:r>
          </w:p>
        </w:tc>
        <w:tc>
          <w:tcPr>
            <w:tcW w:w="5777" w:type="dxa"/>
            <w:vAlign w:val="center"/>
          </w:tcPr>
          <w:p w14:paraId="344FAA8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满足采购文件规定</w:t>
            </w:r>
          </w:p>
        </w:tc>
      </w:tr>
      <w:tr w14:paraId="379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2239F21A">
            <w:pPr>
              <w:spacing w:line="240" w:lineRule="exact"/>
              <w:jc w:val="center"/>
              <w:rPr>
                <w:rFonts w:hint="eastAsia" w:ascii="宋体" w:hAnsi="宋体" w:eastAsia="宋体" w:cs="宋体"/>
                <w:color w:val="auto"/>
                <w:kern w:val="0"/>
                <w:szCs w:val="21"/>
                <w:highlight w:val="none"/>
              </w:rPr>
            </w:pPr>
          </w:p>
        </w:tc>
        <w:tc>
          <w:tcPr>
            <w:tcW w:w="2693" w:type="dxa"/>
            <w:vAlign w:val="center"/>
          </w:tcPr>
          <w:p w14:paraId="4F934E6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技术标准和要求</w:t>
            </w:r>
          </w:p>
        </w:tc>
        <w:tc>
          <w:tcPr>
            <w:tcW w:w="5777" w:type="dxa"/>
            <w:vAlign w:val="center"/>
          </w:tcPr>
          <w:p w14:paraId="18845B4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满足采购文件规定</w:t>
            </w:r>
          </w:p>
        </w:tc>
      </w:tr>
      <w:tr w14:paraId="722A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0C63330E">
            <w:pPr>
              <w:spacing w:line="240" w:lineRule="exact"/>
              <w:jc w:val="center"/>
              <w:rPr>
                <w:rFonts w:hint="eastAsia" w:ascii="宋体" w:hAnsi="宋体" w:eastAsia="宋体" w:cs="宋体"/>
                <w:color w:val="auto"/>
                <w:kern w:val="0"/>
                <w:szCs w:val="21"/>
                <w:highlight w:val="none"/>
              </w:rPr>
            </w:pPr>
          </w:p>
        </w:tc>
        <w:tc>
          <w:tcPr>
            <w:tcW w:w="2693" w:type="dxa"/>
            <w:vAlign w:val="center"/>
          </w:tcPr>
          <w:p w14:paraId="7DA86A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分包计划（如有）</w:t>
            </w:r>
          </w:p>
        </w:tc>
        <w:tc>
          <w:tcPr>
            <w:tcW w:w="5777" w:type="dxa"/>
            <w:vAlign w:val="center"/>
          </w:tcPr>
          <w:p w14:paraId="3CCD38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满足采购文件规定</w:t>
            </w:r>
          </w:p>
        </w:tc>
      </w:tr>
      <w:tr w14:paraId="4FAC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01" w:type="dxa"/>
            <w:vMerge w:val="continue"/>
            <w:vAlign w:val="center"/>
          </w:tcPr>
          <w:p w14:paraId="3CD825C8">
            <w:pPr>
              <w:spacing w:line="240" w:lineRule="exact"/>
              <w:jc w:val="center"/>
              <w:rPr>
                <w:rFonts w:hint="eastAsia" w:ascii="宋体" w:hAnsi="宋体" w:eastAsia="宋体" w:cs="宋体"/>
                <w:color w:val="auto"/>
                <w:kern w:val="0"/>
                <w:szCs w:val="21"/>
                <w:highlight w:val="none"/>
              </w:rPr>
            </w:pPr>
          </w:p>
        </w:tc>
        <w:tc>
          <w:tcPr>
            <w:tcW w:w="2693" w:type="dxa"/>
            <w:vAlign w:val="center"/>
          </w:tcPr>
          <w:p w14:paraId="0FB855A4">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已标价工程量清单</w:t>
            </w:r>
          </w:p>
        </w:tc>
        <w:tc>
          <w:tcPr>
            <w:tcW w:w="5777" w:type="dxa"/>
            <w:vAlign w:val="center"/>
          </w:tcPr>
          <w:p w14:paraId="55D8F8E2">
            <w:pPr>
              <w:spacing w:line="24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w:t>
            </w:r>
            <w:r>
              <w:rPr>
                <w:rFonts w:hint="eastAsia" w:ascii="宋体" w:hAnsi="宋体" w:eastAsia="宋体" w:cs="宋体"/>
                <w:color w:val="auto"/>
                <w:szCs w:val="21"/>
                <w:highlight w:val="none"/>
              </w:rPr>
              <w:t>第二章“工程量清单”及 “图纸”</w:t>
            </w:r>
            <w:r>
              <w:rPr>
                <w:rFonts w:hint="eastAsia" w:ascii="宋体" w:hAnsi="宋体" w:eastAsia="宋体" w:cs="宋体"/>
                <w:color w:val="auto"/>
                <w:szCs w:val="21"/>
                <w:highlight w:val="none"/>
                <w:lang w:val="zh-CN"/>
              </w:rPr>
              <w:t>给出的范围、数量及编制要求</w:t>
            </w:r>
          </w:p>
        </w:tc>
      </w:tr>
      <w:tr w14:paraId="7734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restart"/>
            <w:vAlign w:val="center"/>
          </w:tcPr>
          <w:p w14:paraId="0A411F0A">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报价</w:t>
            </w:r>
          </w:p>
        </w:tc>
        <w:tc>
          <w:tcPr>
            <w:tcW w:w="2693" w:type="dxa"/>
            <w:vAlign w:val="center"/>
          </w:tcPr>
          <w:p w14:paraId="7BA93B96">
            <w:pPr>
              <w:rPr>
                <w:rFonts w:hint="eastAsia" w:ascii="宋体" w:hAnsi="宋体" w:eastAsia="宋体" w:cs="宋体"/>
                <w:color w:val="auto"/>
                <w:highlight w:val="none"/>
              </w:rPr>
            </w:pPr>
            <w:r>
              <w:rPr>
                <w:rFonts w:hint="eastAsia" w:ascii="宋体" w:hAnsi="宋体" w:eastAsia="宋体" w:cs="宋体"/>
                <w:color w:val="auto"/>
                <w:highlight w:val="none"/>
              </w:rPr>
              <w:t>有效报价</w:t>
            </w:r>
          </w:p>
        </w:tc>
        <w:tc>
          <w:tcPr>
            <w:tcW w:w="5777" w:type="dxa"/>
            <w:vAlign w:val="center"/>
          </w:tcPr>
          <w:p w14:paraId="6F4E061D">
            <w:pPr>
              <w:rPr>
                <w:rFonts w:hint="eastAsia" w:ascii="宋体" w:hAnsi="宋体" w:eastAsia="宋体" w:cs="宋体"/>
                <w:color w:val="auto"/>
                <w:highlight w:val="none"/>
              </w:rPr>
            </w:pPr>
            <w:r>
              <w:rPr>
                <w:rFonts w:hint="eastAsia" w:ascii="宋体" w:hAnsi="宋体" w:eastAsia="宋体" w:cs="宋体"/>
                <w:color w:val="auto"/>
                <w:highlight w:val="none"/>
              </w:rPr>
              <w:t>最后报价未超出采购预算金额（包括分项预算），也未超出最高限价（如有）</w:t>
            </w:r>
          </w:p>
        </w:tc>
      </w:tr>
      <w:tr w14:paraId="4384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01" w:type="dxa"/>
            <w:vMerge w:val="continue"/>
            <w:vAlign w:val="center"/>
          </w:tcPr>
          <w:p w14:paraId="43865187">
            <w:pPr>
              <w:spacing w:line="240" w:lineRule="exact"/>
              <w:jc w:val="center"/>
              <w:rPr>
                <w:rFonts w:hint="eastAsia" w:ascii="宋体" w:hAnsi="宋体" w:eastAsia="宋体" w:cs="宋体"/>
                <w:color w:val="auto"/>
                <w:szCs w:val="21"/>
                <w:highlight w:val="none"/>
              </w:rPr>
            </w:pPr>
          </w:p>
        </w:tc>
        <w:tc>
          <w:tcPr>
            <w:tcW w:w="2693" w:type="dxa"/>
            <w:vAlign w:val="center"/>
          </w:tcPr>
          <w:p w14:paraId="4D02C2B1">
            <w:pPr>
              <w:rPr>
                <w:rFonts w:hint="eastAsia" w:ascii="宋体" w:hAnsi="宋体" w:eastAsia="宋体" w:cs="宋体"/>
                <w:color w:val="auto"/>
                <w:highlight w:val="none"/>
              </w:rPr>
            </w:pPr>
            <w:r>
              <w:rPr>
                <w:rFonts w:hint="eastAsia" w:ascii="宋体" w:hAnsi="宋体" w:eastAsia="宋体" w:cs="宋体"/>
                <w:color w:val="auto"/>
                <w:highlight w:val="none"/>
              </w:rPr>
              <w:t>漏项报价</w:t>
            </w:r>
          </w:p>
        </w:tc>
        <w:tc>
          <w:tcPr>
            <w:tcW w:w="5777" w:type="dxa"/>
            <w:vAlign w:val="center"/>
          </w:tcPr>
          <w:p w14:paraId="05635610">
            <w:pPr>
              <w:rPr>
                <w:rFonts w:hint="eastAsia" w:ascii="宋体" w:hAnsi="宋体" w:eastAsia="宋体" w:cs="宋体"/>
                <w:color w:val="auto"/>
                <w:highlight w:val="none"/>
              </w:rPr>
            </w:pPr>
            <w:r>
              <w:rPr>
                <w:rFonts w:hint="eastAsia" w:ascii="宋体" w:hAnsi="宋体" w:eastAsia="宋体" w:cs="宋体"/>
                <w:color w:val="auto"/>
                <w:highlight w:val="none"/>
              </w:rPr>
              <w:t>未就所投分标进行报价或者存在漏项报价；</w:t>
            </w:r>
          </w:p>
        </w:tc>
      </w:tr>
      <w:tr w14:paraId="7637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vAlign w:val="center"/>
          </w:tcPr>
          <w:p w14:paraId="3BF0C906">
            <w:pPr>
              <w:spacing w:line="240" w:lineRule="exact"/>
              <w:jc w:val="center"/>
              <w:rPr>
                <w:rFonts w:hint="eastAsia" w:ascii="宋体" w:hAnsi="宋体" w:eastAsia="宋体" w:cs="宋体"/>
                <w:color w:val="auto"/>
                <w:szCs w:val="21"/>
                <w:highlight w:val="none"/>
              </w:rPr>
            </w:pPr>
          </w:p>
        </w:tc>
        <w:tc>
          <w:tcPr>
            <w:tcW w:w="2693" w:type="dxa"/>
            <w:vAlign w:val="center"/>
          </w:tcPr>
          <w:p w14:paraId="4E3CCCAB">
            <w:pPr>
              <w:rPr>
                <w:rFonts w:hint="eastAsia" w:ascii="宋体" w:hAnsi="宋体" w:eastAsia="宋体" w:cs="宋体"/>
                <w:color w:val="auto"/>
                <w:highlight w:val="none"/>
              </w:rPr>
            </w:pPr>
            <w:r>
              <w:rPr>
                <w:rFonts w:hint="eastAsia" w:ascii="宋体" w:hAnsi="宋体" w:eastAsia="宋体" w:cs="宋体"/>
                <w:color w:val="auto"/>
                <w:highlight w:val="none"/>
              </w:rPr>
              <w:t>响应报价唯一性</w:t>
            </w:r>
          </w:p>
        </w:tc>
        <w:tc>
          <w:tcPr>
            <w:tcW w:w="5777" w:type="dxa"/>
            <w:vAlign w:val="center"/>
          </w:tcPr>
          <w:p w14:paraId="1D5B5D2C">
            <w:pPr>
              <w:rPr>
                <w:rFonts w:hint="eastAsia" w:ascii="宋体" w:hAnsi="宋体" w:eastAsia="宋体" w:cs="宋体"/>
                <w:color w:val="auto"/>
                <w:highlight w:val="none"/>
              </w:rPr>
            </w:pPr>
            <w:r>
              <w:rPr>
                <w:rFonts w:hint="eastAsia" w:ascii="宋体" w:hAnsi="宋体" w:eastAsia="宋体" w:cs="宋体"/>
                <w:color w:val="auto"/>
                <w:highlight w:val="none"/>
              </w:rPr>
              <w:t>不存在有选择、有条件的最后报价（采购文件允许有备选方案或者其他约定的除外）</w:t>
            </w:r>
          </w:p>
        </w:tc>
      </w:tr>
      <w:tr w14:paraId="1183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01" w:type="dxa"/>
            <w:vMerge w:val="continue"/>
            <w:vAlign w:val="center"/>
          </w:tcPr>
          <w:p w14:paraId="70942A3F">
            <w:pPr>
              <w:spacing w:line="240" w:lineRule="exact"/>
              <w:jc w:val="center"/>
              <w:rPr>
                <w:rFonts w:hint="eastAsia" w:ascii="宋体" w:hAnsi="宋体" w:eastAsia="宋体" w:cs="宋体"/>
                <w:color w:val="auto"/>
                <w:szCs w:val="21"/>
                <w:highlight w:val="none"/>
              </w:rPr>
            </w:pPr>
          </w:p>
        </w:tc>
        <w:tc>
          <w:tcPr>
            <w:tcW w:w="2693" w:type="dxa"/>
            <w:vAlign w:val="center"/>
          </w:tcPr>
          <w:p w14:paraId="361DE89B">
            <w:pPr>
              <w:rPr>
                <w:rFonts w:hint="eastAsia" w:ascii="宋体" w:hAnsi="宋体" w:eastAsia="宋体" w:cs="宋体"/>
                <w:color w:val="auto"/>
                <w:highlight w:val="none"/>
              </w:rPr>
            </w:pPr>
            <w:r>
              <w:rPr>
                <w:rFonts w:hint="eastAsia" w:ascii="宋体" w:hAnsi="宋体" w:eastAsia="宋体" w:cs="宋体"/>
                <w:color w:val="auto"/>
                <w:highlight w:val="none"/>
              </w:rPr>
              <w:t>响应有效期</w:t>
            </w:r>
          </w:p>
        </w:tc>
        <w:tc>
          <w:tcPr>
            <w:tcW w:w="5777" w:type="dxa"/>
            <w:vAlign w:val="center"/>
          </w:tcPr>
          <w:p w14:paraId="47B49A0D">
            <w:pPr>
              <w:rPr>
                <w:rFonts w:hint="eastAsia" w:ascii="宋体" w:hAnsi="宋体" w:eastAsia="宋体" w:cs="宋体"/>
                <w:color w:val="auto"/>
                <w:highlight w:val="none"/>
              </w:rPr>
            </w:pPr>
            <w:r>
              <w:rPr>
                <w:rFonts w:hint="eastAsia" w:ascii="宋体" w:hAnsi="宋体" w:eastAsia="宋体" w:cs="宋体"/>
                <w:color w:val="auto"/>
                <w:highlight w:val="none"/>
              </w:rPr>
              <w:t>满足采购文件规定</w:t>
            </w:r>
          </w:p>
        </w:tc>
      </w:tr>
    </w:tbl>
    <w:p w14:paraId="1E4A3CC4">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br w:type="page"/>
      </w:r>
    </w:p>
    <w:p w14:paraId="0CAC8C53">
      <w:pPr>
        <w:numPr>
          <w:ilvl w:val="0"/>
          <w:numId w:val="5"/>
        </w:numPr>
        <w:spacing w:before="120" w:line="320" w:lineRule="atLeast"/>
        <w:ind w:firstLine="551" w:firstLineChars="196"/>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评审标准</w:t>
      </w:r>
    </w:p>
    <w:p w14:paraId="3FCBF939">
      <w:pPr>
        <w:pStyle w:val="37"/>
        <w:rPr>
          <w:rFonts w:hint="eastAsia" w:ascii="宋体" w:hAnsi="宋体" w:eastAsia="宋体" w:cs="宋体"/>
          <w:color w:val="auto"/>
          <w:highlight w:val="none"/>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805"/>
        <w:gridCol w:w="5547"/>
        <w:gridCol w:w="698"/>
        <w:gridCol w:w="664"/>
      </w:tblGrid>
      <w:tr w14:paraId="16CF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0" w:type="pct"/>
            <w:vAlign w:val="center"/>
          </w:tcPr>
          <w:p w14:paraId="59A8D18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57" w:type="pct"/>
            <w:vAlign w:val="center"/>
          </w:tcPr>
          <w:p w14:paraId="2308FCE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类型</w:t>
            </w:r>
          </w:p>
        </w:tc>
        <w:tc>
          <w:tcPr>
            <w:tcW w:w="2941" w:type="pct"/>
            <w:vAlign w:val="center"/>
          </w:tcPr>
          <w:p w14:paraId="7A47568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c>
          <w:tcPr>
            <w:tcW w:w="370" w:type="pct"/>
            <w:vAlign w:val="center"/>
          </w:tcPr>
          <w:p w14:paraId="7826080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分值权重</w:t>
            </w:r>
          </w:p>
        </w:tc>
        <w:tc>
          <w:tcPr>
            <w:tcW w:w="352" w:type="pct"/>
            <w:vAlign w:val="center"/>
          </w:tcPr>
          <w:p w14:paraId="1EECDD9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tc>
      </w:tr>
      <w:tr w14:paraId="04C4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80" w:type="pct"/>
            <w:vAlign w:val="center"/>
          </w:tcPr>
          <w:p w14:paraId="67DDF3D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957" w:type="pct"/>
            <w:vAlign w:val="center"/>
          </w:tcPr>
          <w:p w14:paraId="64DC8B0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报价分</w:t>
            </w:r>
          </w:p>
          <w:p w14:paraId="220C6B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（满分30分）</w:t>
            </w:r>
          </w:p>
        </w:tc>
        <w:tc>
          <w:tcPr>
            <w:tcW w:w="2941" w:type="pct"/>
            <w:vAlign w:val="center"/>
          </w:tcPr>
          <w:p w14:paraId="7179B70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以满足磋商文件要求且最后响应价格最低的磋商报价为评审基准价，其价格分为满分。其他供应商的价格分统一按照下列公式计算：磋商报价得分=（评审基准价/磋商报价）×30。</w:t>
            </w:r>
          </w:p>
        </w:tc>
        <w:tc>
          <w:tcPr>
            <w:tcW w:w="370" w:type="pct"/>
            <w:vAlign w:val="center"/>
          </w:tcPr>
          <w:p w14:paraId="7AD6E15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352" w:type="pct"/>
            <w:vAlign w:val="center"/>
          </w:tcPr>
          <w:p w14:paraId="2A9ECD1E">
            <w:pPr>
              <w:rPr>
                <w:rFonts w:hint="eastAsia" w:ascii="宋体" w:hAnsi="宋体" w:eastAsia="宋体" w:cs="宋体"/>
                <w:color w:val="auto"/>
                <w:szCs w:val="21"/>
                <w:highlight w:val="none"/>
              </w:rPr>
            </w:pPr>
          </w:p>
        </w:tc>
      </w:tr>
    </w:tbl>
    <w:p w14:paraId="3878F8A0">
      <w:pPr>
        <w:ind w:firstLine="480" w:firstLineChars="200"/>
        <w:rPr>
          <w:rFonts w:hint="eastAsia" w:ascii="宋体" w:hAnsi="宋体" w:eastAsia="宋体" w:cs="宋体"/>
          <w:color w:val="auto"/>
          <w:sz w:val="24"/>
          <w:szCs w:val="24"/>
          <w:highlight w:val="none"/>
        </w:rPr>
      </w:pPr>
    </w:p>
    <w:p w14:paraId="5D872635">
      <w:pPr>
        <w:ind w:firstLine="480" w:firstLineChars="200"/>
        <w:rPr>
          <w:rFonts w:hint="eastAsia" w:ascii="宋体" w:hAnsi="宋体" w:eastAsia="宋体" w:cs="宋体"/>
          <w:color w:val="auto"/>
          <w:sz w:val="24"/>
          <w:szCs w:val="24"/>
          <w:highlight w:val="none"/>
        </w:rPr>
      </w:pPr>
    </w:p>
    <w:p w14:paraId="52D7CD92">
      <w:pPr>
        <w:ind w:firstLine="480" w:firstLineChars="200"/>
        <w:rPr>
          <w:rFonts w:hint="eastAsia" w:ascii="宋体" w:hAnsi="宋体" w:eastAsia="宋体" w:cs="宋体"/>
          <w:color w:val="auto"/>
          <w:sz w:val="24"/>
          <w:szCs w:val="24"/>
          <w:highlight w:val="none"/>
          <w:lang w:val="en-US" w:eastAsia="zh-CN"/>
        </w:rPr>
      </w:pPr>
    </w:p>
    <w:p w14:paraId="1EFBEF08">
      <w:pPr>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2.技术标评分标准…………………………………… （满分65）</w:t>
      </w:r>
    </w:p>
    <w:tbl>
      <w:tblPr>
        <w:tblStyle w:val="56"/>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065"/>
        <w:gridCol w:w="1290"/>
        <w:gridCol w:w="6481"/>
      </w:tblGrid>
      <w:tr w14:paraId="6CFB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63" w:type="dxa"/>
            <w:vMerge w:val="restart"/>
            <w:noWrap w:val="0"/>
            <w:vAlign w:val="center"/>
          </w:tcPr>
          <w:p w14:paraId="742C8004">
            <w:pPr>
              <w:rPr>
                <w:rFonts w:hint="eastAsia" w:ascii="宋体" w:hAnsi="宋体" w:eastAsia="宋体" w:cs="宋体"/>
                <w:color w:val="auto"/>
                <w:highlight w:val="none"/>
              </w:rPr>
            </w:pPr>
            <w:r>
              <w:rPr>
                <w:rFonts w:hint="eastAsia" w:ascii="宋体" w:hAnsi="宋体" w:eastAsia="宋体" w:cs="宋体"/>
                <w:color w:val="auto"/>
                <w:highlight w:val="none"/>
              </w:rPr>
              <w:t>技术标评分标准（满分65）</w:t>
            </w:r>
          </w:p>
        </w:tc>
        <w:tc>
          <w:tcPr>
            <w:tcW w:w="1065" w:type="dxa"/>
            <w:vMerge w:val="restart"/>
            <w:noWrap w:val="0"/>
            <w:vAlign w:val="center"/>
          </w:tcPr>
          <w:p w14:paraId="77B2F540">
            <w:pPr>
              <w:rPr>
                <w:rFonts w:hint="eastAsia" w:ascii="宋体" w:hAnsi="宋体" w:eastAsia="宋体" w:cs="宋体"/>
                <w:color w:val="auto"/>
                <w:highlight w:val="none"/>
              </w:rPr>
            </w:pPr>
            <w:r>
              <w:rPr>
                <w:rFonts w:hint="eastAsia" w:ascii="宋体" w:hAnsi="宋体" w:eastAsia="宋体" w:cs="宋体"/>
                <w:color w:val="auto"/>
                <w:highlight w:val="none"/>
              </w:rPr>
              <w:t>项目管理机构配备分（15）</w:t>
            </w:r>
          </w:p>
        </w:tc>
        <w:tc>
          <w:tcPr>
            <w:tcW w:w="1290" w:type="dxa"/>
            <w:tcBorders>
              <w:bottom w:val="single" w:color="auto" w:sz="4" w:space="0"/>
            </w:tcBorders>
            <w:noWrap w:val="0"/>
            <w:vAlign w:val="center"/>
          </w:tcPr>
          <w:p w14:paraId="2BA472E1">
            <w:pPr>
              <w:rPr>
                <w:rFonts w:hint="eastAsia" w:ascii="宋体" w:hAnsi="宋体" w:eastAsia="宋体" w:cs="宋体"/>
                <w:color w:val="auto"/>
                <w:highlight w:val="none"/>
              </w:rPr>
            </w:pPr>
            <w:r>
              <w:rPr>
                <w:rFonts w:hint="eastAsia" w:ascii="宋体" w:hAnsi="宋体" w:eastAsia="宋体" w:cs="宋体"/>
                <w:color w:val="auto"/>
                <w:highlight w:val="none"/>
              </w:rPr>
              <w:t>主要负责人员分（0~12分）</w:t>
            </w:r>
          </w:p>
        </w:tc>
        <w:tc>
          <w:tcPr>
            <w:tcW w:w="6481" w:type="dxa"/>
            <w:tcBorders>
              <w:bottom w:val="single" w:color="auto" w:sz="4" w:space="0"/>
            </w:tcBorders>
            <w:noWrap w:val="0"/>
            <w:vAlign w:val="center"/>
          </w:tcPr>
          <w:p w14:paraId="5A8E7295">
            <w:pPr>
              <w:rPr>
                <w:rFonts w:hint="eastAsia" w:ascii="宋体" w:hAnsi="宋体" w:eastAsia="宋体" w:cs="宋体"/>
                <w:color w:val="auto"/>
                <w:highlight w:val="none"/>
              </w:rPr>
            </w:pPr>
            <w:r>
              <w:rPr>
                <w:rFonts w:hint="eastAsia" w:ascii="宋体" w:hAnsi="宋体" w:eastAsia="宋体" w:cs="宋体"/>
                <w:color w:val="auto"/>
                <w:highlight w:val="none"/>
              </w:rPr>
              <w:t>1.供应商拟投入的项目经理具有建筑工程相关专业副高级(或以上)职称的，得6分;</w:t>
            </w:r>
          </w:p>
          <w:p w14:paraId="41ECEDAF">
            <w:pPr>
              <w:rPr>
                <w:rFonts w:hint="eastAsia" w:ascii="宋体" w:hAnsi="宋体" w:eastAsia="宋体" w:cs="宋体"/>
                <w:color w:val="auto"/>
                <w:highlight w:val="none"/>
              </w:rPr>
            </w:pPr>
            <w:r>
              <w:rPr>
                <w:rFonts w:hint="eastAsia" w:ascii="宋体" w:hAnsi="宋体" w:eastAsia="宋体" w:cs="宋体"/>
                <w:color w:val="auto"/>
                <w:highlight w:val="none"/>
              </w:rPr>
              <w:t>2.供应商拟投入的技术负责人有建筑工程相关专业副高级(或以上)工程师职称的，得6分;</w:t>
            </w:r>
          </w:p>
          <w:p w14:paraId="367BEED1">
            <w:pPr>
              <w:rPr>
                <w:rFonts w:hint="eastAsia" w:ascii="宋体" w:hAnsi="宋体" w:eastAsia="宋体" w:cs="宋体"/>
                <w:color w:val="auto"/>
                <w:highlight w:val="none"/>
              </w:rPr>
            </w:pPr>
            <w:r>
              <w:rPr>
                <w:rFonts w:hint="eastAsia" w:ascii="宋体" w:hAnsi="宋体" w:eastAsia="宋体" w:cs="宋体"/>
                <w:color w:val="auto"/>
                <w:highlight w:val="none"/>
              </w:rPr>
              <w:t>（以上人员须提供职称证扫描件以及提供供应商为其缴纳自响应文件提交截止时间前半年内任意一个月（或以上）的社会保险缴纳证明并加盖供应商CA公章（如为新入职员工，社会保障资金凭证据实提供，已退休未满65岁的不用提供社保，但应附退休证明文件的扫描件，且相关证书现职单位与供应商一致，否则不予计分。）</w:t>
            </w:r>
          </w:p>
        </w:tc>
      </w:tr>
      <w:tr w14:paraId="41CD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963" w:type="dxa"/>
            <w:vMerge w:val="continue"/>
            <w:noWrap w:val="0"/>
            <w:vAlign w:val="center"/>
          </w:tcPr>
          <w:p w14:paraId="199E2491">
            <w:pPr>
              <w:rPr>
                <w:rFonts w:hint="eastAsia" w:ascii="宋体" w:hAnsi="宋体" w:eastAsia="宋体" w:cs="宋体"/>
                <w:color w:val="auto"/>
                <w:highlight w:val="none"/>
              </w:rPr>
            </w:pPr>
          </w:p>
        </w:tc>
        <w:tc>
          <w:tcPr>
            <w:tcW w:w="1065" w:type="dxa"/>
            <w:vMerge w:val="continue"/>
            <w:tcBorders>
              <w:bottom w:val="single" w:color="auto" w:sz="4" w:space="0"/>
            </w:tcBorders>
            <w:noWrap w:val="0"/>
            <w:vAlign w:val="center"/>
          </w:tcPr>
          <w:p w14:paraId="5E49940E">
            <w:pPr>
              <w:rPr>
                <w:rFonts w:hint="eastAsia" w:ascii="宋体" w:hAnsi="宋体" w:eastAsia="宋体" w:cs="宋体"/>
                <w:color w:val="auto"/>
                <w:highlight w:val="none"/>
              </w:rPr>
            </w:pPr>
          </w:p>
        </w:tc>
        <w:tc>
          <w:tcPr>
            <w:tcW w:w="1179" w:type="dxa"/>
            <w:tcBorders>
              <w:bottom w:val="single" w:color="auto" w:sz="4" w:space="0"/>
            </w:tcBorders>
            <w:noWrap w:val="0"/>
            <w:vAlign w:val="center"/>
          </w:tcPr>
          <w:p w14:paraId="6B9D961C">
            <w:pPr>
              <w:rPr>
                <w:rFonts w:hint="eastAsia" w:ascii="宋体" w:hAnsi="宋体" w:eastAsia="宋体" w:cs="宋体"/>
                <w:color w:val="auto"/>
                <w:highlight w:val="none"/>
              </w:rPr>
            </w:pPr>
            <w:r>
              <w:rPr>
                <w:rFonts w:hint="eastAsia" w:ascii="宋体" w:hAnsi="宋体" w:eastAsia="宋体" w:cs="宋体"/>
                <w:color w:val="auto"/>
                <w:highlight w:val="none"/>
              </w:rPr>
              <w:t>其他人员分（0~3分）</w:t>
            </w:r>
          </w:p>
        </w:tc>
        <w:tc>
          <w:tcPr>
            <w:tcW w:w="6481" w:type="dxa"/>
            <w:tcBorders>
              <w:bottom w:val="single" w:color="auto" w:sz="4" w:space="0"/>
            </w:tcBorders>
            <w:noWrap w:val="0"/>
            <w:vAlign w:val="center"/>
          </w:tcPr>
          <w:p w14:paraId="58B4330A">
            <w:pPr>
              <w:rPr>
                <w:rFonts w:hint="eastAsia" w:ascii="宋体" w:hAnsi="宋体" w:eastAsia="宋体" w:cs="宋体"/>
                <w:color w:val="auto"/>
                <w:highlight w:val="none"/>
              </w:rPr>
            </w:pPr>
            <w:r>
              <w:rPr>
                <w:rFonts w:hint="eastAsia" w:ascii="宋体" w:hAnsi="宋体" w:eastAsia="宋体" w:cs="宋体"/>
                <w:color w:val="auto"/>
                <w:highlight w:val="none"/>
              </w:rPr>
              <w:t>1.拟派驻本项目的施工员，具有省级或省级以上建设行政主管部门颁发的岗位职业培训合格证书，得1分；</w:t>
            </w:r>
          </w:p>
          <w:p w14:paraId="3A0B7F27">
            <w:pPr>
              <w:rPr>
                <w:rFonts w:hint="eastAsia" w:ascii="宋体" w:hAnsi="宋体" w:eastAsia="宋体" w:cs="宋体"/>
                <w:color w:val="auto"/>
                <w:highlight w:val="none"/>
              </w:rPr>
            </w:pPr>
            <w:r>
              <w:rPr>
                <w:rFonts w:hint="eastAsia" w:ascii="宋体" w:hAnsi="宋体" w:eastAsia="宋体" w:cs="宋体"/>
                <w:color w:val="auto"/>
                <w:highlight w:val="none"/>
              </w:rPr>
              <w:t>2.拟派驻本项目的质量员，具有省级或省级以上建设行政主管部门颁发的岗位职业培训合格证书，得1分；</w:t>
            </w:r>
          </w:p>
          <w:p w14:paraId="6EE40861">
            <w:pPr>
              <w:rPr>
                <w:rFonts w:hint="eastAsia" w:ascii="宋体" w:hAnsi="宋体" w:eastAsia="宋体" w:cs="宋体"/>
                <w:color w:val="auto"/>
                <w:highlight w:val="none"/>
              </w:rPr>
            </w:pPr>
            <w:r>
              <w:rPr>
                <w:rFonts w:hint="eastAsia" w:ascii="宋体" w:hAnsi="宋体" w:eastAsia="宋体" w:cs="宋体"/>
                <w:color w:val="auto"/>
                <w:highlight w:val="none"/>
              </w:rPr>
              <w:t>3.拟派驻本项目的材料员，具有省级或省级以上建设行政主管部门颁发的岗位职业培训合格证书，得1分；（以上人员须提供岗位证书扫描件以及提供供应商为其缴纳自响应文件提交截止时间前半年内任意一个月（或以上）的社会保险缴纳证明并加盖供应商CA公章（如为新入职员工，社会保障资金凭证据实提供，已退休未满65岁的不用提供社保，但应附退休证明文件的扫描件，且相关证书现职单位与供应商一致，否则不予计分。）</w:t>
            </w:r>
          </w:p>
        </w:tc>
      </w:tr>
      <w:tr w14:paraId="3878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63" w:type="dxa"/>
            <w:vMerge w:val="continue"/>
            <w:noWrap w:val="0"/>
            <w:vAlign w:val="center"/>
          </w:tcPr>
          <w:p w14:paraId="4024F453">
            <w:pPr>
              <w:rPr>
                <w:rFonts w:hint="eastAsia" w:ascii="宋体" w:hAnsi="宋体" w:eastAsia="宋体" w:cs="宋体"/>
                <w:color w:val="auto"/>
                <w:highlight w:val="none"/>
              </w:rPr>
            </w:pPr>
          </w:p>
        </w:tc>
        <w:tc>
          <w:tcPr>
            <w:tcW w:w="1065" w:type="dxa"/>
            <w:vMerge w:val="restart"/>
            <w:tcBorders>
              <w:bottom w:val="single" w:color="auto" w:sz="4" w:space="0"/>
            </w:tcBorders>
            <w:noWrap w:val="0"/>
            <w:vAlign w:val="center"/>
          </w:tcPr>
          <w:p w14:paraId="772685CC">
            <w:pPr>
              <w:rPr>
                <w:rFonts w:hint="eastAsia" w:ascii="宋体" w:hAnsi="宋体" w:eastAsia="宋体" w:cs="宋体"/>
                <w:color w:val="auto"/>
                <w:highlight w:val="none"/>
              </w:rPr>
            </w:pPr>
            <w:r>
              <w:rPr>
                <w:rFonts w:hint="eastAsia" w:ascii="宋体" w:hAnsi="宋体" w:eastAsia="宋体" w:cs="宋体"/>
                <w:color w:val="auto"/>
                <w:highlight w:val="none"/>
              </w:rPr>
              <w:t>施工组织设计分（50分）</w:t>
            </w:r>
          </w:p>
        </w:tc>
        <w:tc>
          <w:tcPr>
            <w:tcW w:w="1290" w:type="dxa"/>
            <w:noWrap w:val="0"/>
            <w:vAlign w:val="center"/>
          </w:tcPr>
          <w:p w14:paraId="6473C1D2">
            <w:pPr>
              <w:rPr>
                <w:rFonts w:hint="eastAsia" w:ascii="宋体" w:hAnsi="宋体" w:eastAsia="宋体" w:cs="宋体"/>
                <w:color w:val="auto"/>
                <w:highlight w:val="none"/>
              </w:rPr>
            </w:pPr>
            <w:r>
              <w:rPr>
                <w:rFonts w:hint="eastAsia" w:ascii="宋体" w:hAnsi="宋体" w:eastAsia="宋体" w:cs="宋体"/>
                <w:color w:val="auto"/>
                <w:highlight w:val="none"/>
              </w:rPr>
              <w:t>主要施工方法（0~10分）</w:t>
            </w:r>
          </w:p>
        </w:tc>
        <w:tc>
          <w:tcPr>
            <w:tcW w:w="6481" w:type="dxa"/>
            <w:tcBorders>
              <w:bottom w:val="single" w:color="auto" w:sz="4" w:space="0"/>
            </w:tcBorders>
            <w:noWrap w:val="0"/>
            <w:vAlign w:val="center"/>
          </w:tcPr>
          <w:p w14:paraId="7BE2F7C0">
            <w:pPr>
              <w:rPr>
                <w:rFonts w:hint="eastAsia" w:ascii="宋体" w:hAnsi="宋体" w:eastAsia="宋体" w:cs="宋体"/>
                <w:color w:val="auto"/>
                <w:highlight w:val="none"/>
              </w:rPr>
            </w:pPr>
            <w:r>
              <w:rPr>
                <w:rFonts w:hint="eastAsia" w:ascii="宋体" w:hAnsi="宋体" w:eastAsia="宋体" w:cs="宋体"/>
                <w:color w:val="auto"/>
                <w:highlight w:val="none"/>
              </w:rPr>
              <w:t>各主要分部施工方法符合项目实际，须有详尽的施工技术方案，工艺先进、方法科学合理、可行，能指导具体施工并确保安全。</w:t>
            </w:r>
          </w:p>
          <w:p w14:paraId="3AD00BF8">
            <w:pPr>
              <w:rPr>
                <w:rFonts w:hint="eastAsia" w:ascii="宋体" w:hAnsi="宋体" w:eastAsia="宋体" w:cs="宋体"/>
                <w:color w:val="auto"/>
                <w:highlight w:val="none"/>
              </w:rPr>
            </w:pPr>
            <w:r>
              <w:rPr>
                <w:rFonts w:hint="eastAsia" w:ascii="宋体" w:hAnsi="宋体" w:eastAsia="宋体" w:cs="宋体"/>
                <w:color w:val="auto"/>
                <w:highlight w:val="none"/>
              </w:rPr>
              <w:t>优(10分):各主要分部施工方法符合项目实际，须有详尽的施工技术方案，工艺先进、方法科学合理、可行，能知道具体施工并确保安全。</w:t>
            </w:r>
          </w:p>
          <w:p w14:paraId="4994BF2C">
            <w:pPr>
              <w:rPr>
                <w:rFonts w:hint="eastAsia" w:ascii="宋体" w:hAnsi="宋体" w:eastAsia="宋体" w:cs="宋体"/>
                <w:color w:val="auto"/>
                <w:highlight w:val="none"/>
              </w:rPr>
            </w:pPr>
            <w:r>
              <w:rPr>
                <w:rFonts w:hint="eastAsia" w:ascii="宋体" w:hAnsi="宋体" w:eastAsia="宋体" w:cs="宋体"/>
                <w:color w:val="auto"/>
                <w:highlight w:val="none"/>
              </w:rPr>
              <w:t>良(7分):各主要分部施工方法符合项目实际，施工技术方案齐全，工艺成熟、方法合理、可行，能指导具体施工并确保安全。</w:t>
            </w:r>
          </w:p>
          <w:p w14:paraId="0A1D8FE1">
            <w:pPr>
              <w:rPr>
                <w:rFonts w:hint="eastAsia" w:ascii="宋体" w:hAnsi="宋体" w:eastAsia="宋体" w:cs="宋体"/>
                <w:color w:val="auto"/>
                <w:highlight w:val="none"/>
              </w:rPr>
            </w:pPr>
            <w:r>
              <w:rPr>
                <w:rFonts w:hint="eastAsia" w:ascii="宋体" w:hAnsi="宋体" w:eastAsia="宋体" w:cs="宋体"/>
                <w:color w:val="auto"/>
                <w:highlight w:val="none"/>
              </w:rPr>
              <w:t>中(3分): 各主要分部施工方法基本符合项目实际，施工技术方案基本齐全，方法基本合理、基本可行，基本能指导具体施工并确保安全。</w:t>
            </w:r>
          </w:p>
          <w:p w14:paraId="148DC243">
            <w:pPr>
              <w:rPr>
                <w:rFonts w:hint="eastAsia" w:ascii="宋体" w:hAnsi="宋体" w:eastAsia="宋体" w:cs="宋体"/>
                <w:color w:val="auto"/>
                <w:highlight w:val="none"/>
              </w:rPr>
            </w:pPr>
            <w:r>
              <w:rPr>
                <w:rFonts w:hint="eastAsia" w:ascii="宋体" w:hAnsi="宋体" w:eastAsia="宋体" w:cs="宋体"/>
                <w:color w:val="auto"/>
                <w:highlight w:val="none"/>
              </w:rPr>
              <w:t>差(0分):各主要分部施工方法针对性差，施工技术方案差，工艺落后、方法不合理，不能指导具体施工和确保安全。</w:t>
            </w:r>
          </w:p>
        </w:tc>
      </w:tr>
      <w:tr w14:paraId="5F40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3" w:type="dxa"/>
            <w:vMerge w:val="continue"/>
            <w:noWrap w:val="0"/>
            <w:vAlign w:val="center"/>
          </w:tcPr>
          <w:p w14:paraId="74DBD020">
            <w:pPr>
              <w:rPr>
                <w:rFonts w:hint="eastAsia" w:ascii="宋体" w:hAnsi="宋体" w:eastAsia="宋体" w:cs="宋体"/>
                <w:color w:val="auto"/>
                <w:highlight w:val="none"/>
              </w:rPr>
            </w:pPr>
          </w:p>
        </w:tc>
        <w:tc>
          <w:tcPr>
            <w:tcW w:w="1065" w:type="dxa"/>
            <w:vMerge w:val="continue"/>
            <w:noWrap w:val="0"/>
            <w:vAlign w:val="center"/>
          </w:tcPr>
          <w:p w14:paraId="1AB2213A">
            <w:pPr>
              <w:rPr>
                <w:rFonts w:hint="eastAsia" w:ascii="宋体" w:hAnsi="宋体" w:eastAsia="宋体" w:cs="宋体"/>
                <w:color w:val="auto"/>
                <w:highlight w:val="none"/>
              </w:rPr>
            </w:pPr>
          </w:p>
        </w:tc>
        <w:tc>
          <w:tcPr>
            <w:tcW w:w="1290" w:type="dxa"/>
            <w:noWrap w:val="0"/>
            <w:vAlign w:val="center"/>
          </w:tcPr>
          <w:p w14:paraId="466AA4F3">
            <w:pPr>
              <w:rPr>
                <w:rFonts w:hint="eastAsia" w:ascii="宋体" w:hAnsi="宋体" w:eastAsia="宋体" w:cs="宋体"/>
                <w:color w:val="auto"/>
                <w:highlight w:val="none"/>
              </w:rPr>
            </w:pPr>
            <w:r>
              <w:rPr>
                <w:rFonts w:hint="eastAsia" w:ascii="宋体" w:hAnsi="宋体" w:eastAsia="宋体" w:cs="宋体"/>
                <w:color w:val="auto"/>
                <w:highlight w:val="none"/>
              </w:rPr>
              <w:t>拟投入的主要物资计划（0~5分）</w:t>
            </w:r>
          </w:p>
        </w:tc>
        <w:tc>
          <w:tcPr>
            <w:tcW w:w="6481" w:type="dxa"/>
            <w:noWrap w:val="0"/>
            <w:vAlign w:val="center"/>
          </w:tcPr>
          <w:p w14:paraId="4002AAF3">
            <w:pPr>
              <w:rPr>
                <w:rFonts w:hint="eastAsia" w:ascii="宋体" w:hAnsi="宋体" w:eastAsia="宋体" w:cs="宋体"/>
                <w:color w:val="auto"/>
                <w:highlight w:val="none"/>
              </w:rPr>
            </w:pPr>
            <w:r>
              <w:rPr>
                <w:rFonts w:hint="eastAsia" w:ascii="宋体" w:hAnsi="宋体" w:eastAsia="宋体" w:cs="宋体"/>
                <w:color w:val="auto"/>
                <w:highlight w:val="none"/>
              </w:rPr>
              <w:t>投入的施工材料有详细的组织计划且计划周密，数量、选型配置、进场时间安排合理，满足施工需要。</w:t>
            </w:r>
          </w:p>
          <w:p w14:paraId="4ACAB361">
            <w:pPr>
              <w:rPr>
                <w:rFonts w:hint="eastAsia" w:ascii="宋体" w:hAnsi="宋体" w:eastAsia="宋体" w:cs="宋体"/>
                <w:color w:val="auto"/>
                <w:highlight w:val="none"/>
              </w:rPr>
            </w:pPr>
            <w:r>
              <w:rPr>
                <w:rFonts w:hint="eastAsia" w:ascii="宋体" w:hAnsi="宋体" w:eastAsia="宋体" w:cs="宋体"/>
                <w:color w:val="auto"/>
                <w:highlight w:val="none"/>
              </w:rPr>
              <w:t xml:space="preserve">优（5分）：投入的施工材料有详细的组织计划且计划周密，投入计划与进度计划呼应，较好满足施工需要，调配投入计划合理、准确。 </w:t>
            </w:r>
          </w:p>
          <w:p w14:paraId="64E5B59D">
            <w:pPr>
              <w:rPr>
                <w:rFonts w:hint="eastAsia" w:ascii="宋体" w:hAnsi="宋体" w:eastAsia="宋体" w:cs="宋体"/>
                <w:color w:val="auto"/>
                <w:highlight w:val="none"/>
              </w:rPr>
            </w:pPr>
            <w:r>
              <w:rPr>
                <w:rFonts w:hint="eastAsia" w:ascii="宋体" w:hAnsi="宋体" w:eastAsia="宋体" w:cs="宋体"/>
                <w:color w:val="auto"/>
                <w:highlight w:val="none"/>
              </w:rPr>
              <w:t xml:space="preserve">良（3分）：投入的施工材料有详细的组织计划，投入计划与进度计划呼应，基本满足施工需要，调配投入计划基本合理、准确。 </w:t>
            </w:r>
          </w:p>
          <w:p w14:paraId="5BB3E513">
            <w:pPr>
              <w:rPr>
                <w:rFonts w:hint="eastAsia" w:ascii="宋体" w:hAnsi="宋体" w:eastAsia="宋体" w:cs="宋体"/>
                <w:color w:val="auto"/>
                <w:highlight w:val="none"/>
              </w:rPr>
            </w:pPr>
            <w:r>
              <w:rPr>
                <w:rFonts w:hint="eastAsia" w:ascii="宋体" w:hAnsi="宋体" w:eastAsia="宋体" w:cs="宋体"/>
                <w:color w:val="auto"/>
                <w:highlight w:val="none"/>
              </w:rPr>
              <w:t xml:space="preserve">中（1分）：投入的施工材料有组织计划，投入计划与进度计划呼应，基本满足施工需要，调配投入计划基本合理。 </w:t>
            </w:r>
          </w:p>
          <w:p w14:paraId="3144C26B">
            <w:pPr>
              <w:rPr>
                <w:rFonts w:hint="eastAsia" w:ascii="宋体" w:hAnsi="宋体" w:eastAsia="宋体" w:cs="宋体"/>
                <w:color w:val="auto"/>
                <w:highlight w:val="none"/>
              </w:rPr>
            </w:pPr>
            <w:r>
              <w:rPr>
                <w:rFonts w:hint="eastAsia" w:ascii="宋体" w:hAnsi="宋体" w:eastAsia="宋体" w:cs="宋体"/>
                <w:color w:val="auto"/>
                <w:highlight w:val="none"/>
              </w:rPr>
              <w:t>差（0分）：投入的施工材料的组织计划差，投入计划与进度计划不呼应，不能满足施工需要。</w:t>
            </w:r>
          </w:p>
        </w:tc>
      </w:tr>
      <w:tr w14:paraId="476B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63" w:type="dxa"/>
            <w:vMerge w:val="continue"/>
            <w:noWrap w:val="0"/>
            <w:vAlign w:val="center"/>
          </w:tcPr>
          <w:p w14:paraId="7FF30CBD">
            <w:pPr>
              <w:rPr>
                <w:rFonts w:hint="eastAsia" w:ascii="宋体" w:hAnsi="宋体" w:eastAsia="宋体" w:cs="宋体"/>
                <w:color w:val="auto"/>
                <w:highlight w:val="none"/>
              </w:rPr>
            </w:pPr>
          </w:p>
        </w:tc>
        <w:tc>
          <w:tcPr>
            <w:tcW w:w="1065" w:type="dxa"/>
            <w:vMerge w:val="continue"/>
            <w:noWrap w:val="0"/>
            <w:vAlign w:val="center"/>
          </w:tcPr>
          <w:p w14:paraId="1B59A21B">
            <w:pPr>
              <w:rPr>
                <w:rFonts w:hint="eastAsia" w:ascii="宋体" w:hAnsi="宋体" w:eastAsia="宋体" w:cs="宋体"/>
                <w:color w:val="auto"/>
                <w:highlight w:val="none"/>
              </w:rPr>
            </w:pPr>
          </w:p>
        </w:tc>
        <w:tc>
          <w:tcPr>
            <w:tcW w:w="1290" w:type="dxa"/>
            <w:noWrap w:val="0"/>
            <w:vAlign w:val="center"/>
          </w:tcPr>
          <w:p w14:paraId="2A0C08BE">
            <w:pPr>
              <w:rPr>
                <w:rFonts w:hint="eastAsia" w:ascii="宋体" w:hAnsi="宋体" w:eastAsia="宋体" w:cs="宋体"/>
                <w:color w:val="auto"/>
                <w:highlight w:val="none"/>
              </w:rPr>
            </w:pPr>
            <w:r>
              <w:rPr>
                <w:rFonts w:hint="eastAsia" w:ascii="宋体" w:hAnsi="宋体" w:eastAsia="宋体" w:cs="宋体"/>
                <w:color w:val="auto"/>
                <w:highlight w:val="none"/>
              </w:rPr>
              <w:t>拟投入的主要施工机械、设备计划（0~5分）</w:t>
            </w:r>
          </w:p>
        </w:tc>
        <w:tc>
          <w:tcPr>
            <w:tcW w:w="6481" w:type="dxa"/>
            <w:noWrap w:val="0"/>
            <w:vAlign w:val="center"/>
          </w:tcPr>
          <w:p w14:paraId="6358C70D">
            <w:pPr>
              <w:rPr>
                <w:rFonts w:hint="eastAsia" w:ascii="宋体" w:hAnsi="宋体" w:eastAsia="宋体" w:cs="宋体"/>
                <w:color w:val="auto"/>
                <w:highlight w:val="none"/>
              </w:rPr>
            </w:pPr>
            <w:r>
              <w:rPr>
                <w:rFonts w:hint="eastAsia" w:ascii="宋体" w:hAnsi="宋体" w:eastAsia="宋体" w:cs="宋体"/>
                <w:color w:val="auto"/>
                <w:highlight w:val="none"/>
              </w:rPr>
              <w:t>投入的施工机械、设备、机具有详细的组织计划且计划周密，设备数量、选型配置、进场时间安排合理，满足施工需要。</w:t>
            </w:r>
          </w:p>
          <w:p w14:paraId="3B59D324">
            <w:pPr>
              <w:rPr>
                <w:rFonts w:hint="eastAsia" w:ascii="宋体" w:hAnsi="宋体" w:eastAsia="宋体" w:cs="宋体"/>
                <w:color w:val="auto"/>
                <w:highlight w:val="none"/>
              </w:rPr>
            </w:pPr>
            <w:r>
              <w:rPr>
                <w:rFonts w:hint="eastAsia" w:ascii="宋体" w:hAnsi="宋体" w:eastAsia="宋体" w:cs="宋体"/>
                <w:color w:val="auto"/>
                <w:highlight w:val="none"/>
              </w:rPr>
              <w:t>优（5分）：投入的施工机械、设备、机具有详细的组织计划且计划周密，设备数量、选型配置、进场时间安排合理，满足施工需要，完全符合项目实际，计划详尽周密，科学可行，能指导具体施工并确保安全。</w:t>
            </w:r>
          </w:p>
          <w:p w14:paraId="7CAF6C8F">
            <w:pPr>
              <w:rPr>
                <w:rFonts w:hint="eastAsia" w:ascii="宋体" w:hAnsi="宋体" w:eastAsia="宋体" w:cs="宋体"/>
                <w:color w:val="auto"/>
                <w:highlight w:val="none"/>
              </w:rPr>
            </w:pPr>
            <w:r>
              <w:rPr>
                <w:rFonts w:hint="eastAsia" w:ascii="宋体" w:hAnsi="宋体" w:eastAsia="宋体" w:cs="宋体"/>
                <w:color w:val="auto"/>
                <w:highlight w:val="none"/>
              </w:rPr>
              <w:t>良（3分）：投入的施工机械、物资、设备、机具有组织计划，设备数量、选型配置、进场时间安排充分、符合施工需要。</w:t>
            </w:r>
          </w:p>
          <w:p w14:paraId="58FCD001">
            <w:pPr>
              <w:rPr>
                <w:rFonts w:hint="eastAsia" w:ascii="宋体" w:hAnsi="宋体" w:eastAsia="宋体" w:cs="宋体"/>
                <w:color w:val="auto"/>
                <w:highlight w:val="none"/>
              </w:rPr>
            </w:pPr>
            <w:r>
              <w:rPr>
                <w:rFonts w:hint="eastAsia" w:ascii="宋体" w:hAnsi="宋体" w:eastAsia="宋体" w:cs="宋体"/>
                <w:color w:val="auto"/>
                <w:highlight w:val="none"/>
              </w:rPr>
              <w:t>中（1分）：投入的施工机械、物资、设备、机具有组织计划，设备数量、选型配置、进场时间安排符合施工需要。</w:t>
            </w:r>
          </w:p>
          <w:p w14:paraId="381DD8EF">
            <w:pPr>
              <w:rPr>
                <w:rFonts w:hint="eastAsia" w:ascii="宋体" w:hAnsi="宋体" w:eastAsia="宋体" w:cs="宋体"/>
                <w:color w:val="auto"/>
                <w:highlight w:val="none"/>
                <w:lang w:eastAsia="zh-CN"/>
              </w:rPr>
            </w:pPr>
            <w:r>
              <w:rPr>
                <w:rFonts w:hint="eastAsia" w:ascii="宋体" w:hAnsi="宋体" w:eastAsia="宋体" w:cs="宋体"/>
                <w:color w:val="auto"/>
                <w:highlight w:val="none"/>
              </w:rPr>
              <w:t>差（0分）：投入的施工机械、物资、设备、机具无组织计划，设备数量、选型配置、进场时间安排不符合施工需要。</w:t>
            </w:r>
          </w:p>
        </w:tc>
      </w:tr>
      <w:tr w14:paraId="7B2E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7" w:hRule="atLeast"/>
          <w:jc w:val="center"/>
        </w:trPr>
        <w:tc>
          <w:tcPr>
            <w:tcW w:w="963" w:type="dxa"/>
            <w:vMerge w:val="continue"/>
            <w:noWrap w:val="0"/>
            <w:vAlign w:val="center"/>
          </w:tcPr>
          <w:p w14:paraId="3E652B06">
            <w:pPr>
              <w:rPr>
                <w:rFonts w:hint="eastAsia" w:ascii="宋体" w:hAnsi="宋体" w:eastAsia="宋体" w:cs="宋体"/>
                <w:color w:val="auto"/>
                <w:highlight w:val="none"/>
              </w:rPr>
            </w:pPr>
          </w:p>
        </w:tc>
        <w:tc>
          <w:tcPr>
            <w:tcW w:w="1065" w:type="dxa"/>
            <w:vMerge w:val="continue"/>
            <w:noWrap w:val="0"/>
            <w:vAlign w:val="center"/>
          </w:tcPr>
          <w:p w14:paraId="7E64C344">
            <w:pPr>
              <w:rPr>
                <w:rFonts w:hint="eastAsia" w:ascii="宋体" w:hAnsi="宋体" w:eastAsia="宋体" w:cs="宋体"/>
                <w:color w:val="auto"/>
                <w:highlight w:val="none"/>
              </w:rPr>
            </w:pPr>
          </w:p>
        </w:tc>
        <w:tc>
          <w:tcPr>
            <w:tcW w:w="1290" w:type="dxa"/>
            <w:noWrap w:val="0"/>
            <w:vAlign w:val="center"/>
          </w:tcPr>
          <w:p w14:paraId="288ECA83">
            <w:pPr>
              <w:rPr>
                <w:rFonts w:hint="eastAsia" w:ascii="宋体" w:hAnsi="宋体" w:eastAsia="宋体" w:cs="宋体"/>
                <w:color w:val="auto"/>
                <w:highlight w:val="none"/>
              </w:rPr>
            </w:pPr>
            <w:r>
              <w:rPr>
                <w:rFonts w:hint="eastAsia" w:ascii="宋体" w:hAnsi="宋体" w:eastAsia="宋体" w:cs="宋体"/>
                <w:color w:val="auto"/>
                <w:highlight w:val="none"/>
              </w:rPr>
              <w:t>劳动力安排计划（0~5分）</w:t>
            </w:r>
          </w:p>
        </w:tc>
        <w:tc>
          <w:tcPr>
            <w:tcW w:w="6481" w:type="dxa"/>
            <w:noWrap w:val="0"/>
            <w:vAlign w:val="center"/>
          </w:tcPr>
          <w:p w14:paraId="47F2245E">
            <w:pPr>
              <w:rPr>
                <w:rFonts w:hint="eastAsia" w:ascii="宋体" w:hAnsi="宋体" w:eastAsia="宋体" w:cs="宋体"/>
                <w:color w:val="auto"/>
                <w:highlight w:val="none"/>
              </w:rPr>
            </w:pPr>
            <w:r>
              <w:rPr>
                <w:rFonts w:hint="eastAsia" w:ascii="宋体" w:hAnsi="宋体" w:eastAsia="宋体" w:cs="宋体"/>
                <w:color w:val="auto"/>
                <w:highlight w:val="none"/>
              </w:rPr>
              <w:t>各主要施工工序应有详细周密的劳动力安排计划，有各工种劳动力安排计划，劳动力投入合理，满足施工需要。</w:t>
            </w:r>
          </w:p>
          <w:p w14:paraId="2D9F18DA">
            <w:pPr>
              <w:rPr>
                <w:rFonts w:hint="eastAsia" w:ascii="宋体" w:hAnsi="宋体" w:eastAsia="宋体" w:cs="宋体"/>
                <w:color w:val="auto"/>
                <w:highlight w:val="none"/>
              </w:rPr>
            </w:pPr>
            <w:r>
              <w:rPr>
                <w:rFonts w:hint="eastAsia" w:ascii="宋体" w:hAnsi="宋体" w:eastAsia="宋体" w:cs="宋体"/>
                <w:color w:val="auto"/>
                <w:highlight w:val="none"/>
              </w:rPr>
              <w:t>优（5分）：各主要施工工序有详细周密的劳动力安排计划， 各工种劳动力安排计划齐全，劳动力投入与进度计划呼应合理， 满足施工需要。</w:t>
            </w:r>
          </w:p>
          <w:p w14:paraId="3027B4DA">
            <w:pPr>
              <w:rPr>
                <w:rFonts w:hint="eastAsia" w:ascii="宋体" w:hAnsi="宋体" w:eastAsia="宋体" w:cs="宋体"/>
                <w:color w:val="auto"/>
                <w:highlight w:val="none"/>
              </w:rPr>
            </w:pPr>
            <w:r>
              <w:rPr>
                <w:rFonts w:hint="eastAsia" w:ascii="宋体" w:hAnsi="宋体" w:eastAsia="宋体" w:cs="宋体"/>
                <w:color w:val="auto"/>
                <w:highlight w:val="none"/>
              </w:rPr>
              <w:t>良（3分）：各主要施工工序有详细的劳动力安排计划，有各工种劳动力安排计划，劳动力投入合理，满足施工需要。</w:t>
            </w:r>
          </w:p>
          <w:p w14:paraId="00331DB6">
            <w:pPr>
              <w:rPr>
                <w:rFonts w:hint="eastAsia" w:ascii="宋体" w:hAnsi="宋体" w:eastAsia="宋体" w:cs="宋体"/>
                <w:color w:val="auto"/>
                <w:highlight w:val="none"/>
              </w:rPr>
            </w:pPr>
            <w:r>
              <w:rPr>
                <w:rFonts w:hint="eastAsia" w:ascii="宋体" w:hAnsi="宋体" w:eastAsia="宋体" w:cs="宋体"/>
                <w:color w:val="auto"/>
                <w:highlight w:val="none"/>
              </w:rPr>
              <w:t>中（1分）：各主要施工工序劳动力安排计划基本完全，无各工种劳动力安排计划或计划不全，劳动力投入不合理，基本能满足施工需要。</w:t>
            </w:r>
          </w:p>
          <w:p w14:paraId="12471930">
            <w:pPr>
              <w:rPr>
                <w:rFonts w:hint="eastAsia" w:ascii="宋体" w:hAnsi="宋体" w:eastAsia="宋体" w:cs="宋体"/>
                <w:color w:val="auto"/>
                <w:highlight w:val="none"/>
              </w:rPr>
            </w:pPr>
            <w:r>
              <w:rPr>
                <w:rFonts w:hint="eastAsia" w:ascii="宋体" w:hAnsi="宋体" w:eastAsia="宋体" w:cs="宋体"/>
                <w:color w:val="auto"/>
                <w:highlight w:val="none"/>
              </w:rPr>
              <w:t>差（0分）：各主要施工工序劳动力安排计划差，无各工种劳动力安排计划或计划不全，劳动力投入不合理，不能满足施工需要。</w:t>
            </w:r>
          </w:p>
        </w:tc>
      </w:tr>
      <w:tr w14:paraId="323B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63" w:type="dxa"/>
            <w:vMerge w:val="continue"/>
            <w:noWrap w:val="0"/>
            <w:vAlign w:val="center"/>
          </w:tcPr>
          <w:p w14:paraId="5881ECE4">
            <w:pPr>
              <w:rPr>
                <w:rFonts w:hint="eastAsia" w:ascii="宋体" w:hAnsi="宋体" w:eastAsia="宋体" w:cs="宋体"/>
                <w:color w:val="auto"/>
                <w:highlight w:val="none"/>
              </w:rPr>
            </w:pPr>
          </w:p>
        </w:tc>
        <w:tc>
          <w:tcPr>
            <w:tcW w:w="1065" w:type="dxa"/>
            <w:vMerge w:val="continue"/>
            <w:noWrap w:val="0"/>
            <w:vAlign w:val="center"/>
          </w:tcPr>
          <w:p w14:paraId="2D609B12">
            <w:pPr>
              <w:rPr>
                <w:rFonts w:hint="eastAsia" w:ascii="宋体" w:hAnsi="宋体" w:eastAsia="宋体" w:cs="宋体"/>
                <w:color w:val="auto"/>
                <w:highlight w:val="none"/>
              </w:rPr>
            </w:pPr>
          </w:p>
        </w:tc>
        <w:tc>
          <w:tcPr>
            <w:tcW w:w="1290" w:type="dxa"/>
            <w:noWrap w:val="0"/>
            <w:vAlign w:val="center"/>
          </w:tcPr>
          <w:p w14:paraId="140D76FE">
            <w:pPr>
              <w:rPr>
                <w:rFonts w:hint="eastAsia" w:ascii="宋体" w:hAnsi="宋体" w:eastAsia="宋体" w:cs="宋体"/>
                <w:color w:val="auto"/>
                <w:highlight w:val="none"/>
              </w:rPr>
            </w:pPr>
            <w:r>
              <w:rPr>
                <w:rFonts w:hint="eastAsia" w:ascii="宋体" w:hAnsi="宋体" w:eastAsia="宋体" w:cs="宋体"/>
                <w:color w:val="auto"/>
                <w:highlight w:val="none"/>
              </w:rPr>
              <w:t>确保工程质量的技术组织措施</w:t>
            </w:r>
          </w:p>
          <w:p w14:paraId="0F815B74">
            <w:pPr>
              <w:rPr>
                <w:rFonts w:hint="eastAsia" w:ascii="宋体" w:hAnsi="宋体" w:eastAsia="宋体" w:cs="宋体"/>
                <w:color w:val="auto"/>
                <w:highlight w:val="none"/>
              </w:rPr>
            </w:pPr>
            <w:r>
              <w:rPr>
                <w:rFonts w:hint="eastAsia" w:ascii="宋体" w:hAnsi="宋体" w:eastAsia="宋体" w:cs="宋体"/>
                <w:color w:val="auto"/>
                <w:highlight w:val="none"/>
              </w:rPr>
              <w:t>（0~5分）</w:t>
            </w:r>
          </w:p>
        </w:tc>
        <w:tc>
          <w:tcPr>
            <w:tcW w:w="6481" w:type="dxa"/>
            <w:noWrap w:val="0"/>
            <w:vAlign w:val="center"/>
          </w:tcPr>
          <w:p w14:paraId="073FA8BA">
            <w:pPr>
              <w:rPr>
                <w:rFonts w:hint="eastAsia" w:ascii="宋体" w:hAnsi="宋体" w:eastAsia="宋体" w:cs="宋体"/>
                <w:color w:val="auto"/>
                <w:highlight w:val="none"/>
              </w:rPr>
            </w:pPr>
            <w:r>
              <w:rPr>
                <w:rFonts w:hint="eastAsia" w:ascii="宋体" w:hAnsi="宋体" w:eastAsia="宋体" w:cs="宋体"/>
                <w:color w:val="auto"/>
                <w:highlight w:val="none"/>
              </w:rPr>
              <w:t>应有专门的质量技术管理班子和制度，且人员配备合理，制度健全。主要工序应有质量技术保证措施和手段，自控体系完整，能有效保证技术质量，达到承诺的质量标准。</w:t>
            </w:r>
          </w:p>
          <w:p w14:paraId="20968A2D">
            <w:pPr>
              <w:rPr>
                <w:rFonts w:hint="eastAsia" w:ascii="宋体" w:hAnsi="宋体" w:eastAsia="宋体" w:cs="宋体"/>
                <w:color w:val="auto"/>
                <w:highlight w:val="none"/>
              </w:rPr>
            </w:pPr>
            <w:r>
              <w:rPr>
                <w:rFonts w:hint="eastAsia" w:ascii="宋体" w:hAnsi="宋体" w:eastAsia="宋体" w:cs="宋体"/>
                <w:color w:val="auto"/>
                <w:highlight w:val="none"/>
              </w:rPr>
              <w:t>优（5分）：有专门的质量技术管理班子和制度，且人员配备合理，制度健全。主要工序有质量技术保证措施和手段，且先进、可行、具体，高于磋商文件的质量要求及施工验收规范要求，达到承诺的质量标准。</w:t>
            </w:r>
          </w:p>
          <w:p w14:paraId="40AEF691">
            <w:pPr>
              <w:rPr>
                <w:rFonts w:hint="eastAsia" w:ascii="宋体" w:hAnsi="宋体" w:eastAsia="宋体" w:cs="宋体"/>
                <w:color w:val="auto"/>
                <w:highlight w:val="none"/>
              </w:rPr>
            </w:pPr>
            <w:r>
              <w:rPr>
                <w:rFonts w:hint="eastAsia" w:ascii="宋体" w:hAnsi="宋体" w:eastAsia="宋体" w:cs="宋体"/>
                <w:color w:val="auto"/>
                <w:highlight w:val="none"/>
              </w:rPr>
              <w:t>良（3分）：有专门的质量技术管理班子和制度，且人员配备合理，制度健全。主要工序有质量技术保证措施和手段，自控体系完整，能有效保证技术质量，达到承诺的质量标准。</w:t>
            </w:r>
          </w:p>
          <w:p w14:paraId="239607C8">
            <w:pPr>
              <w:rPr>
                <w:rFonts w:hint="eastAsia" w:ascii="宋体" w:hAnsi="宋体" w:eastAsia="宋体" w:cs="宋体"/>
                <w:color w:val="auto"/>
                <w:highlight w:val="none"/>
              </w:rPr>
            </w:pPr>
            <w:r>
              <w:rPr>
                <w:rFonts w:hint="eastAsia" w:ascii="宋体" w:hAnsi="宋体" w:eastAsia="宋体" w:cs="宋体"/>
                <w:color w:val="auto"/>
                <w:highlight w:val="none"/>
              </w:rPr>
              <w:t>中（1分）：质量技术管理班子人员配备基本合理，制度不健全。质量技术保证措施和手段基本可行，没有质量违约责任承诺。</w:t>
            </w:r>
          </w:p>
          <w:p w14:paraId="0F525E42">
            <w:pPr>
              <w:rPr>
                <w:rFonts w:hint="eastAsia" w:ascii="宋体" w:hAnsi="宋体" w:eastAsia="宋体" w:cs="宋体"/>
                <w:color w:val="auto"/>
                <w:highlight w:val="none"/>
              </w:rPr>
            </w:pPr>
            <w:r>
              <w:rPr>
                <w:rFonts w:hint="eastAsia" w:ascii="宋体" w:hAnsi="宋体" w:eastAsia="宋体" w:cs="宋体"/>
                <w:color w:val="auto"/>
                <w:highlight w:val="none"/>
              </w:rPr>
              <w:t>差（0分）：质量技术管理班子人员配备差，制度不健全，质量技术保证措施和手段不可行，没有质量违约责任承诺。</w:t>
            </w:r>
          </w:p>
        </w:tc>
      </w:tr>
      <w:tr w14:paraId="48FD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3" w:type="dxa"/>
            <w:vMerge w:val="continue"/>
            <w:noWrap w:val="0"/>
            <w:vAlign w:val="center"/>
          </w:tcPr>
          <w:p w14:paraId="423D6EC5">
            <w:pPr>
              <w:rPr>
                <w:rFonts w:hint="eastAsia" w:ascii="宋体" w:hAnsi="宋体" w:eastAsia="宋体" w:cs="宋体"/>
                <w:color w:val="auto"/>
                <w:highlight w:val="none"/>
              </w:rPr>
            </w:pPr>
          </w:p>
        </w:tc>
        <w:tc>
          <w:tcPr>
            <w:tcW w:w="1065" w:type="dxa"/>
            <w:vMerge w:val="continue"/>
            <w:noWrap w:val="0"/>
            <w:vAlign w:val="center"/>
          </w:tcPr>
          <w:p w14:paraId="735DEB11">
            <w:pPr>
              <w:rPr>
                <w:rFonts w:hint="eastAsia" w:ascii="宋体" w:hAnsi="宋体" w:eastAsia="宋体" w:cs="宋体"/>
                <w:color w:val="auto"/>
                <w:highlight w:val="none"/>
              </w:rPr>
            </w:pPr>
          </w:p>
        </w:tc>
        <w:tc>
          <w:tcPr>
            <w:tcW w:w="1290" w:type="dxa"/>
            <w:noWrap w:val="0"/>
            <w:vAlign w:val="center"/>
          </w:tcPr>
          <w:p w14:paraId="59797005">
            <w:pPr>
              <w:rPr>
                <w:rFonts w:hint="eastAsia" w:ascii="宋体" w:hAnsi="宋体" w:eastAsia="宋体" w:cs="宋体"/>
                <w:color w:val="auto"/>
                <w:highlight w:val="none"/>
              </w:rPr>
            </w:pPr>
            <w:r>
              <w:rPr>
                <w:rFonts w:hint="eastAsia" w:ascii="宋体" w:hAnsi="宋体" w:eastAsia="宋体" w:cs="宋体"/>
                <w:color w:val="auto"/>
                <w:highlight w:val="none"/>
              </w:rPr>
              <w:t>确保安全生产的技术组织措施</w:t>
            </w:r>
          </w:p>
          <w:p w14:paraId="150CCC2B">
            <w:pPr>
              <w:rPr>
                <w:rFonts w:hint="eastAsia" w:ascii="宋体" w:hAnsi="宋体" w:eastAsia="宋体" w:cs="宋体"/>
                <w:color w:val="auto"/>
                <w:highlight w:val="none"/>
              </w:rPr>
            </w:pPr>
            <w:r>
              <w:rPr>
                <w:rFonts w:hint="eastAsia" w:ascii="宋体" w:hAnsi="宋体" w:eastAsia="宋体" w:cs="宋体"/>
                <w:color w:val="auto"/>
                <w:highlight w:val="none"/>
              </w:rPr>
              <w:t>（0~5分）</w:t>
            </w:r>
          </w:p>
        </w:tc>
        <w:tc>
          <w:tcPr>
            <w:tcW w:w="6481" w:type="dxa"/>
            <w:noWrap w:val="0"/>
            <w:vAlign w:val="center"/>
          </w:tcPr>
          <w:p w14:paraId="16ACFA83">
            <w:pPr>
              <w:rPr>
                <w:rFonts w:hint="eastAsia" w:ascii="宋体" w:hAnsi="宋体" w:eastAsia="宋体" w:cs="宋体"/>
                <w:color w:val="auto"/>
                <w:highlight w:val="none"/>
              </w:rPr>
            </w:pPr>
            <w:r>
              <w:rPr>
                <w:rFonts w:hint="eastAsia" w:ascii="宋体" w:hAnsi="宋体" w:eastAsia="宋体" w:cs="宋体"/>
                <w:color w:val="auto"/>
                <w:highlight w:val="none"/>
              </w:rPr>
              <w:t>应有专门的安全管理人员和制度，且人员配备合理，制度健全，各道工序安全技术措施针对性强，符合实际且满足有关安全技术标准要求。现场防火、应急救援、社会治安安全措施得力。</w:t>
            </w:r>
          </w:p>
          <w:p w14:paraId="4DC2BAAE">
            <w:pPr>
              <w:rPr>
                <w:rFonts w:hint="eastAsia" w:ascii="宋体" w:hAnsi="宋体" w:eastAsia="宋体" w:cs="宋体"/>
                <w:color w:val="auto"/>
                <w:highlight w:val="none"/>
              </w:rPr>
            </w:pPr>
            <w:r>
              <w:rPr>
                <w:rFonts w:hint="eastAsia" w:ascii="宋体" w:hAnsi="宋体" w:eastAsia="宋体" w:cs="宋体"/>
                <w:color w:val="auto"/>
                <w:highlight w:val="none"/>
              </w:rPr>
              <w:t>优（5分）：安全人员配备合理；有健全的安全管理制度，各道工序安全技术措施针对性强，符合实际且高于国家有关安全技术标准要求。现场防火、应急救援、社会治安安全措施得力。</w:t>
            </w:r>
          </w:p>
          <w:p w14:paraId="31890A1D">
            <w:pPr>
              <w:rPr>
                <w:rFonts w:hint="eastAsia" w:ascii="宋体" w:hAnsi="宋体" w:eastAsia="宋体" w:cs="宋体"/>
                <w:color w:val="auto"/>
                <w:highlight w:val="none"/>
              </w:rPr>
            </w:pPr>
            <w:r>
              <w:rPr>
                <w:rFonts w:hint="eastAsia" w:ascii="宋体" w:hAnsi="宋体" w:eastAsia="宋体" w:cs="宋体"/>
                <w:color w:val="auto"/>
                <w:highlight w:val="none"/>
              </w:rPr>
              <w:t>良（3分）：安全人员配备合理；有健全的安全管理制度，各道工序安全技术措施符合实际且满足有关安全技术标准要求。现场防火、应急救援、社会治安安全措施合理。</w:t>
            </w:r>
          </w:p>
          <w:p w14:paraId="75E6853D">
            <w:pPr>
              <w:rPr>
                <w:rFonts w:hint="eastAsia" w:ascii="宋体" w:hAnsi="宋体" w:eastAsia="宋体" w:cs="宋体"/>
                <w:color w:val="auto"/>
                <w:highlight w:val="none"/>
              </w:rPr>
            </w:pPr>
            <w:r>
              <w:rPr>
                <w:rFonts w:hint="eastAsia" w:ascii="宋体" w:hAnsi="宋体" w:eastAsia="宋体" w:cs="宋体"/>
                <w:color w:val="auto"/>
                <w:highlight w:val="none"/>
              </w:rPr>
              <w:t>中（1分）：安全人员配备合理，但安全管理制度不健全，各道工序安全技术措施基本符合实际，不能满足有关安全技术标准要求。现场防火、应急救援、社会治安安全措施合理。</w:t>
            </w:r>
          </w:p>
          <w:p w14:paraId="1138F4F1">
            <w:pPr>
              <w:rPr>
                <w:rFonts w:hint="eastAsia" w:ascii="宋体" w:hAnsi="宋体" w:eastAsia="宋体" w:cs="宋体"/>
                <w:color w:val="auto"/>
                <w:highlight w:val="none"/>
              </w:rPr>
            </w:pPr>
            <w:r>
              <w:rPr>
                <w:rFonts w:hint="eastAsia" w:ascii="宋体" w:hAnsi="宋体" w:eastAsia="宋体" w:cs="宋体"/>
                <w:color w:val="auto"/>
                <w:highlight w:val="none"/>
              </w:rPr>
              <w:t>差（0分）：安全人员配备不合理，安全管理制度不健全，不能满足有关安全技术 标准要求。现场防火、应急救援、社会治安安全措施不合理。</w:t>
            </w:r>
          </w:p>
        </w:tc>
      </w:tr>
      <w:tr w14:paraId="79BA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63" w:type="dxa"/>
            <w:vMerge w:val="continue"/>
            <w:noWrap w:val="0"/>
            <w:vAlign w:val="center"/>
          </w:tcPr>
          <w:p w14:paraId="318261EF">
            <w:pPr>
              <w:rPr>
                <w:rFonts w:hint="eastAsia" w:ascii="宋体" w:hAnsi="宋体" w:eastAsia="宋体" w:cs="宋体"/>
                <w:color w:val="auto"/>
                <w:highlight w:val="none"/>
              </w:rPr>
            </w:pPr>
          </w:p>
        </w:tc>
        <w:tc>
          <w:tcPr>
            <w:tcW w:w="1065" w:type="dxa"/>
            <w:vMerge w:val="continue"/>
            <w:noWrap w:val="0"/>
            <w:vAlign w:val="center"/>
          </w:tcPr>
          <w:p w14:paraId="5A6874A8">
            <w:pPr>
              <w:rPr>
                <w:rFonts w:hint="eastAsia" w:ascii="宋体" w:hAnsi="宋体" w:eastAsia="宋体" w:cs="宋体"/>
                <w:color w:val="auto"/>
                <w:highlight w:val="none"/>
              </w:rPr>
            </w:pPr>
          </w:p>
        </w:tc>
        <w:tc>
          <w:tcPr>
            <w:tcW w:w="1290" w:type="dxa"/>
            <w:noWrap w:val="0"/>
            <w:vAlign w:val="center"/>
          </w:tcPr>
          <w:p w14:paraId="472BDD35">
            <w:pPr>
              <w:rPr>
                <w:rFonts w:hint="eastAsia" w:ascii="宋体" w:hAnsi="宋体" w:eastAsia="宋体" w:cs="宋体"/>
                <w:color w:val="auto"/>
                <w:highlight w:val="none"/>
              </w:rPr>
            </w:pPr>
            <w:r>
              <w:rPr>
                <w:rFonts w:hint="eastAsia" w:ascii="宋体" w:hAnsi="宋体" w:eastAsia="宋体" w:cs="宋体"/>
                <w:color w:val="auto"/>
                <w:highlight w:val="none"/>
              </w:rPr>
              <w:t>确保工期的技术组织措施（0~5分）</w:t>
            </w:r>
          </w:p>
        </w:tc>
        <w:tc>
          <w:tcPr>
            <w:tcW w:w="6481" w:type="dxa"/>
            <w:noWrap w:val="0"/>
            <w:vAlign w:val="center"/>
          </w:tcPr>
          <w:p w14:paraId="610AA6F0">
            <w:pPr>
              <w:rPr>
                <w:rFonts w:hint="eastAsia" w:ascii="宋体" w:hAnsi="宋体" w:eastAsia="宋体" w:cs="宋体"/>
                <w:color w:val="auto"/>
                <w:highlight w:val="none"/>
              </w:rPr>
            </w:pPr>
            <w:r>
              <w:rPr>
                <w:rFonts w:hint="eastAsia" w:ascii="宋体" w:hAnsi="宋体" w:eastAsia="宋体" w:cs="宋体"/>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4E4BA6C0">
            <w:pPr>
              <w:rPr>
                <w:rFonts w:hint="eastAsia" w:ascii="宋体" w:hAnsi="宋体" w:eastAsia="宋体" w:cs="宋体"/>
                <w:color w:val="auto"/>
                <w:highlight w:val="none"/>
              </w:rPr>
            </w:pPr>
            <w:r>
              <w:rPr>
                <w:rFonts w:hint="eastAsia" w:ascii="宋体" w:hAnsi="宋体" w:eastAsia="宋体" w:cs="宋体"/>
                <w:color w:val="auto"/>
                <w:highlight w:val="none"/>
              </w:rPr>
              <w:t>优（5分）：有保证工期的具体措施且措施得力。各项计划图表编制详尽周密，安排科学合理，符合本项目施工实际要求。</w:t>
            </w:r>
          </w:p>
          <w:p w14:paraId="66BCFDEA">
            <w:pPr>
              <w:rPr>
                <w:rFonts w:hint="eastAsia" w:ascii="宋体" w:hAnsi="宋体" w:eastAsia="宋体" w:cs="宋体"/>
                <w:color w:val="auto"/>
                <w:highlight w:val="none"/>
              </w:rPr>
            </w:pPr>
            <w:r>
              <w:rPr>
                <w:rFonts w:hint="eastAsia" w:ascii="宋体" w:hAnsi="宋体" w:eastAsia="宋体" w:cs="宋体"/>
                <w:color w:val="auto"/>
                <w:highlight w:val="none"/>
              </w:rPr>
              <w:t>良（3分）：有保证工期的具体措施且措施得当。各项计划图表编制完善，安排较合理，符合本项目施工实际要求。</w:t>
            </w:r>
          </w:p>
          <w:p w14:paraId="3F82C1C4">
            <w:pPr>
              <w:rPr>
                <w:rFonts w:hint="eastAsia" w:ascii="宋体" w:hAnsi="宋体" w:eastAsia="宋体" w:cs="宋体"/>
                <w:color w:val="auto"/>
                <w:highlight w:val="none"/>
              </w:rPr>
            </w:pPr>
            <w:r>
              <w:rPr>
                <w:rFonts w:hint="eastAsia" w:ascii="宋体" w:hAnsi="宋体" w:eastAsia="宋体" w:cs="宋体"/>
                <w:color w:val="auto"/>
                <w:highlight w:val="none"/>
              </w:rPr>
              <w:t>中（1分）：有保证工期的具体措施。各项计划图表编制不完善，安排不合理，基本能满足本项目施工实际要求。</w:t>
            </w:r>
          </w:p>
          <w:p w14:paraId="2927CCE9">
            <w:pPr>
              <w:rPr>
                <w:rFonts w:hint="eastAsia" w:ascii="宋体" w:hAnsi="宋体" w:eastAsia="宋体" w:cs="宋体"/>
                <w:color w:val="auto"/>
                <w:highlight w:val="none"/>
              </w:rPr>
            </w:pPr>
            <w:r>
              <w:rPr>
                <w:rFonts w:hint="eastAsia" w:ascii="宋体" w:hAnsi="宋体" w:eastAsia="宋体" w:cs="宋体"/>
                <w:color w:val="auto"/>
                <w:highlight w:val="none"/>
              </w:rPr>
              <w:t>差（0分）：保证工期的具体措施不完全。各项计划图表编制不完善，安排不合理，不能满足本项目施工实际要求。</w:t>
            </w:r>
          </w:p>
        </w:tc>
      </w:tr>
      <w:tr w14:paraId="6C9E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3" w:type="dxa"/>
            <w:vMerge w:val="continue"/>
            <w:noWrap w:val="0"/>
            <w:vAlign w:val="center"/>
          </w:tcPr>
          <w:p w14:paraId="742C78A4">
            <w:pPr>
              <w:rPr>
                <w:rFonts w:hint="eastAsia" w:ascii="宋体" w:hAnsi="宋体" w:eastAsia="宋体" w:cs="宋体"/>
                <w:color w:val="auto"/>
                <w:highlight w:val="none"/>
              </w:rPr>
            </w:pPr>
          </w:p>
        </w:tc>
        <w:tc>
          <w:tcPr>
            <w:tcW w:w="1065" w:type="dxa"/>
            <w:vMerge w:val="continue"/>
            <w:noWrap w:val="0"/>
            <w:vAlign w:val="center"/>
          </w:tcPr>
          <w:p w14:paraId="03B7ADD8">
            <w:pPr>
              <w:rPr>
                <w:rFonts w:hint="eastAsia" w:ascii="宋体" w:hAnsi="宋体" w:eastAsia="宋体" w:cs="宋体"/>
                <w:color w:val="auto"/>
                <w:highlight w:val="none"/>
              </w:rPr>
            </w:pPr>
          </w:p>
        </w:tc>
        <w:tc>
          <w:tcPr>
            <w:tcW w:w="1290" w:type="dxa"/>
            <w:noWrap w:val="0"/>
            <w:vAlign w:val="center"/>
          </w:tcPr>
          <w:p w14:paraId="24B6C677">
            <w:pPr>
              <w:rPr>
                <w:rFonts w:hint="eastAsia" w:ascii="宋体" w:hAnsi="宋体" w:eastAsia="宋体" w:cs="宋体"/>
                <w:color w:val="auto"/>
                <w:highlight w:val="none"/>
              </w:rPr>
            </w:pPr>
            <w:r>
              <w:rPr>
                <w:rFonts w:hint="eastAsia" w:ascii="宋体" w:hAnsi="宋体" w:eastAsia="宋体" w:cs="宋体"/>
                <w:color w:val="auto"/>
                <w:highlight w:val="none"/>
              </w:rPr>
              <w:t>确保文明施工的技术组织措施（0~5分）</w:t>
            </w:r>
          </w:p>
        </w:tc>
        <w:tc>
          <w:tcPr>
            <w:tcW w:w="6481" w:type="dxa"/>
            <w:noWrap w:val="0"/>
            <w:vAlign w:val="center"/>
          </w:tcPr>
          <w:p w14:paraId="4A94B343">
            <w:pPr>
              <w:rPr>
                <w:rFonts w:hint="eastAsia" w:ascii="宋体" w:hAnsi="宋体" w:eastAsia="宋体" w:cs="宋体"/>
                <w:color w:val="auto"/>
                <w:highlight w:val="none"/>
              </w:rPr>
            </w:pPr>
            <w:r>
              <w:rPr>
                <w:rFonts w:hint="eastAsia" w:ascii="宋体" w:hAnsi="宋体" w:eastAsia="宋体" w:cs="宋体"/>
                <w:color w:val="auto"/>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4F10D538">
            <w:pPr>
              <w:rPr>
                <w:rFonts w:hint="eastAsia" w:ascii="宋体" w:hAnsi="宋体" w:eastAsia="宋体" w:cs="宋体"/>
                <w:color w:val="auto"/>
                <w:highlight w:val="none"/>
              </w:rPr>
            </w:pPr>
            <w:r>
              <w:rPr>
                <w:rFonts w:hint="eastAsia" w:ascii="宋体" w:hAnsi="宋体" w:eastAsia="宋体" w:cs="宋体"/>
                <w:color w:val="auto"/>
                <w:highlight w:val="none"/>
              </w:rPr>
              <w:t>优（5分）：现场文明施工、环境保护措施和内容达到且高于《建筑施工安全生产检查标准》、《广西壮族自治区建筑专业工程文明施工导则》要求；有具体实现现场文明施工目标的承诺，而且各项措施科学、具体、得力的。</w:t>
            </w:r>
          </w:p>
          <w:p w14:paraId="643053B3">
            <w:pPr>
              <w:rPr>
                <w:rFonts w:hint="eastAsia" w:ascii="宋体" w:hAnsi="宋体" w:eastAsia="宋体" w:cs="宋体"/>
                <w:color w:val="auto"/>
                <w:highlight w:val="none"/>
              </w:rPr>
            </w:pPr>
            <w:r>
              <w:rPr>
                <w:rFonts w:hint="eastAsia" w:ascii="宋体" w:hAnsi="宋体" w:eastAsia="宋体" w:cs="宋体"/>
                <w:color w:val="auto"/>
                <w:highlight w:val="none"/>
              </w:rPr>
              <w:t>良（3分）：现场文明施工、环境保护措施和内容达到《建筑施工安全生产检查标准》、《广西壮族自治区建筑专业工程文明施工导则》；有具体实现现场文明施工目标的承诺，而且各项措施周全、具体、有效的。</w:t>
            </w:r>
          </w:p>
          <w:p w14:paraId="403D4086">
            <w:pPr>
              <w:rPr>
                <w:rFonts w:hint="eastAsia" w:ascii="宋体" w:hAnsi="宋体" w:eastAsia="宋体" w:cs="宋体"/>
                <w:color w:val="auto"/>
                <w:highlight w:val="none"/>
              </w:rPr>
            </w:pPr>
            <w:r>
              <w:rPr>
                <w:rFonts w:hint="eastAsia" w:ascii="宋体" w:hAnsi="宋体" w:eastAsia="宋体" w:cs="宋体"/>
                <w:color w:val="auto"/>
                <w:highlight w:val="none"/>
              </w:rPr>
              <w:t>中（1分）：现场文明施工、环境保护措施和内容与《建筑施工安全生产检查标准》、《广西壮族自治区建筑专业工程文明施工导则》的要求基本符合，现场文明施工目标的承诺。</w:t>
            </w:r>
          </w:p>
          <w:p w14:paraId="2E5EDF42">
            <w:pPr>
              <w:rPr>
                <w:rFonts w:hint="eastAsia" w:ascii="宋体" w:hAnsi="宋体" w:eastAsia="宋体" w:cs="宋体"/>
                <w:color w:val="auto"/>
                <w:highlight w:val="none"/>
                <w:lang w:val="zh-CN"/>
              </w:rPr>
            </w:pPr>
            <w:r>
              <w:rPr>
                <w:rFonts w:hint="eastAsia" w:ascii="宋体" w:hAnsi="宋体" w:eastAsia="宋体" w:cs="宋体"/>
                <w:color w:val="auto"/>
                <w:highlight w:val="none"/>
              </w:rPr>
              <w:t>差（0分）：现场文明施工、环境保护措施和内容与《建筑施工安全生产检查标准》、《广西壮族自治区建筑专业工程文明施工导则》的要求偏差大，没有提供现场文明施工目标的承诺。</w:t>
            </w:r>
          </w:p>
        </w:tc>
      </w:tr>
      <w:tr w14:paraId="51EA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3" w:type="dxa"/>
            <w:vMerge w:val="continue"/>
            <w:noWrap w:val="0"/>
            <w:vAlign w:val="center"/>
          </w:tcPr>
          <w:p w14:paraId="5A55B960">
            <w:pPr>
              <w:rPr>
                <w:rFonts w:hint="eastAsia" w:ascii="宋体" w:hAnsi="宋体" w:eastAsia="宋体" w:cs="宋体"/>
                <w:color w:val="auto"/>
                <w:highlight w:val="none"/>
              </w:rPr>
            </w:pPr>
          </w:p>
        </w:tc>
        <w:tc>
          <w:tcPr>
            <w:tcW w:w="1065" w:type="dxa"/>
            <w:vMerge w:val="continue"/>
            <w:noWrap w:val="0"/>
            <w:vAlign w:val="center"/>
          </w:tcPr>
          <w:p w14:paraId="5BA801E2">
            <w:pPr>
              <w:rPr>
                <w:rFonts w:hint="eastAsia" w:ascii="宋体" w:hAnsi="宋体" w:eastAsia="宋体" w:cs="宋体"/>
                <w:color w:val="auto"/>
                <w:highlight w:val="none"/>
              </w:rPr>
            </w:pPr>
          </w:p>
        </w:tc>
        <w:tc>
          <w:tcPr>
            <w:tcW w:w="1290" w:type="dxa"/>
            <w:noWrap w:val="0"/>
            <w:vAlign w:val="center"/>
          </w:tcPr>
          <w:p w14:paraId="6C50A52C">
            <w:pPr>
              <w:rPr>
                <w:rFonts w:hint="eastAsia" w:ascii="宋体" w:hAnsi="宋体" w:eastAsia="宋体" w:cs="宋体"/>
                <w:color w:val="auto"/>
                <w:highlight w:val="none"/>
              </w:rPr>
            </w:pPr>
            <w:r>
              <w:rPr>
                <w:rFonts w:hint="eastAsia" w:ascii="宋体" w:hAnsi="宋体" w:eastAsia="宋体" w:cs="宋体"/>
                <w:color w:val="auto"/>
                <w:highlight w:val="none"/>
              </w:rPr>
              <w:t>工程施工的重点和难点及保证措施（0~5分）</w:t>
            </w:r>
          </w:p>
        </w:tc>
        <w:tc>
          <w:tcPr>
            <w:tcW w:w="6481" w:type="dxa"/>
            <w:noWrap w:val="0"/>
            <w:vAlign w:val="center"/>
          </w:tcPr>
          <w:p w14:paraId="2AF1EFDF">
            <w:pPr>
              <w:rPr>
                <w:rFonts w:hint="eastAsia" w:ascii="宋体" w:hAnsi="宋体" w:eastAsia="宋体" w:cs="宋体"/>
                <w:color w:val="auto"/>
                <w:highlight w:val="none"/>
              </w:rPr>
            </w:pPr>
            <w:r>
              <w:rPr>
                <w:rFonts w:hint="eastAsia" w:ascii="宋体" w:hAnsi="宋体" w:eastAsia="宋体" w:cs="宋体"/>
                <w:color w:val="auto"/>
                <w:highlight w:val="none"/>
              </w:rPr>
              <w:t>针对本工程的特点，阐述本工程的重点和难点，解决重点和难点问题的方法是否合理</w:t>
            </w:r>
          </w:p>
          <w:p w14:paraId="334984DB">
            <w:pPr>
              <w:rPr>
                <w:rFonts w:hint="eastAsia" w:ascii="宋体" w:hAnsi="宋体" w:eastAsia="宋体" w:cs="宋体"/>
                <w:color w:val="auto"/>
                <w:highlight w:val="none"/>
              </w:rPr>
            </w:pPr>
            <w:r>
              <w:rPr>
                <w:rFonts w:hint="eastAsia" w:ascii="宋体" w:hAnsi="宋体" w:eastAsia="宋体" w:cs="宋体"/>
                <w:color w:val="auto"/>
                <w:highlight w:val="none"/>
              </w:rPr>
              <w:t>优（5分）：对项目关键重点难点包括且不限于外墙的拆除及恢复</w:t>
            </w:r>
            <w:r>
              <w:rPr>
                <w:rFonts w:hint="eastAsia" w:ascii="宋体" w:hAnsi="宋体" w:eastAsia="宋体" w:cs="宋体"/>
                <w:color w:val="auto"/>
                <w:highlight w:val="none"/>
                <w:lang w:eastAsia="zh-CN"/>
              </w:rPr>
              <w:t>、防污染、</w:t>
            </w:r>
            <w:r>
              <w:rPr>
                <w:rFonts w:hint="eastAsia" w:ascii="宋体" w:hAnsi="宋体" w:eastAsia="宋体" w:cs="宋体"/>
                <w:color w:val="auto"/>
                <w:highlight w:val="none"/>
              </w:rPr>
              <w:t>系统的整合等5项重点难点有深入的表述与描述，并且对重点、难点有先进合理的施工措施并有可行的安全措施，解决方案完整、经济、安全、切实可行，措施得力。</w:t>
            </w:r>
          </w:p>
          <w:p w14:paraId="4876CF80">
            <w:pPr>
              <w:rPr>
                <w:rFonts w:hint="eastAsia" w:ascii="宋体" w:hAnsi="宋体" w:eastAsia="宋体" w:cs="宋体"/>
                <w:color w:val="auto"/>
                <w:highlight w:val="none"/>
              </w:rPr>
            </w:pPr>
            <w:r>
              <w:rPr>
                <w:rFonts w:hint="eastAsia" w:ascii="宋体" w:hAnsi="宋体" w:eastAsia="宋体" w:cs="宋体"/>
                <w:color w:val="auto"/>
                <w:highlight w:val="none"/>
              </w:rPr>
              <w:t>良（3分）：对项目关键重点难点包括且不限于外墙的拆除及恢复、系统的整合等3项重点难点有深入的表述，对重点、难点有合理的建议，解决方案经济、安全、基本可行。</w:t>
            </w:r>
          </w:p>
          <w:p w14:paraId="708122F2">
            <w:pPr>
              <w:rPr>
                <w:rFonts w:hint="eastAsia" w:ascii="宋体" w:hAnsi="宋体" w:eastAsia="宋体" w:cs="宋体"/>
                <w:color w:val="auto"/>
                <w:highlight w:val="none"/>
              </w:rPr>
            </w:pPr>
            <w:r>
              <w:rPr>
                <w:rFonts w:hint="eastAsia" w:ascii="宋体" w:hAnsi="宋体" w:eastAsia="宋体" w:cs="宋体"/>
                <w:color w:val="auto"/>
                <w:highlight w:val="none"/>
              </w:rPr>
              <w:t>中（1分）：对项目关键技术有表述，对重点、难点有建议，解决方案不可行。</w:t>
            </w:r>
          </w:p>
          <w:p w14:paraId="37EECAFF">
            <w:pPr>
              <w:rPr>
                <w:rFonts w:hint="eastAsia" w:ascii="宋体" w:hAnsi="宋体" w:eastAsia="宋体" w:cs="宋体"/>
                <w:color w:val="auto"/>
                <w:highlight w:val="none"/>
              </w:rPr>
            </w:pPr>
            <w:r>
              <w:rPr>
                <w:rFonts w:hint="eastAsia" w:ascii="宋体" w:hAnsi="宋体" w:eastAsia="宋体" w:cs="宋体"/>
                <w:color w:val="auto"/>
                <w:highlight w:val="none"/>
              </w:rPr>
              <w:t>差（0分）：没有提供对项目关键技术有表述，对重点、难点有建议。</w:t>
            </w:r>
          </w:p>
        </w:tc>
      </w:tr>
    </w:tbl>
    <w:p w14:paraId="1E1F9885">
      <w:pPr>
        <w:pStyle w:val="29"/>
        <w:numPr>
          <w:ilvl w:val="0"/>
          <w:numId w:val="0"/>
        </w:numPr>
        <w:spacing w:line="440" w:lineRule="exact"/>
        <w:jc w:val="left"/>
        <w:rPr>
          <w:rFonts w:hint="eastAsia" w:ascii="宋体" w:hAnsi="宋体" w:eastAsia="宋体" w:cs="宋体"/>
          <w:b/>
          <w:color w:val="auto"/>
          <w:sz w:val="32"/>
          <w:szCs w:val="32"/>
          <w:highlight w:val="none"/>
          <w:lang w:val="en-US" w:eastAsia="zh-CN"/>
        </w:rPr>
      </w:pPr>
    </w:p>
    <w:p w14:paraId="71658ABC">
      <w:pPr>
        <w:pStyle w:val="29"/>
        <w:numPr>
          <w:ilvl w:val="0"/>
          <w:numId w:val="0"/>
        </w:numPr>
        <w:spacing w:line="440" w:lineRule="exact"/>
        <w:ind w:leftChars="-150" w:firstLine="280" w:firstLineChars="10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资信业绩……………………………………………………</w:t>
      </w:r>
      <w:r>
        <w:rPr>
          <w:rFonts w:hint="eastAsia" w:ascii="宋体" w:hAnsi="宋体" w:eastAsia="宋体" w:cs="宋体"/>
          <w:b w:val="0"/>
          <w:bCs/>
          <w:color w:val="auto"/>
          <w:sz w:val="28"/>
          <w:szCs w:val="28"/>
          <w:highlight w:val="none"/>
          <w:lang w:val="en-US" w:eastAsia="zh-CN"/>
        </w:rPr>
        <w:t>5</w:t>
      </w:r>
      <w:r>
        <w:rPr>
          <w:rFonts w:hint="eastAsia" w:ascii="宋体" w:hAnsi="宋体" w:eastAsia="宋体" w:cs="宋体"/>
          <w:b w:val="0"/>
          <w:bCs/>
          <w:color w:val="auto"/>
          <w:sz w:val="28"/>
          <w:szCs w:val="28"/>
          <w:highlight w:val="none"/>
        </w:rPr>
        <w:t>分</w:t>
      </w:r>
    </w:p>
    <w:tbl>
      <w:tblPr>
        <w:tblStyle w:val="5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6920"/>
        <w:gridCol w:w="852"/>
      </w:tblGrid>
      <w:tr w14:paraId="6244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78" w:type="pct"/>
            <w:tcBorders>
              <w:top w:val="single" w:color="auto" w:sz="4" w:space="0"/>
              <w:left w:val="single" w:color="auto" w:sz="4" w:space="0"/>
              <w:bottom w:val="single" w:color="auto" w:sz="4" w:space="0"/>
              <w:right w:val="single" w:color="auto" w:sz="4" w:space="0"/>
            </w:tcBorders>
            <w:noWrap w:val="0"/>
            <w:vAlign w:val="center"/>
          </w:tcPr>
          <w:p w14:paraId="1210932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业绩分</w:t>
            </w:r>
          </w:p>
        </w:tc>
        <w:tc>
          <w:tcPr>
            <w:tcW w:w="3669" w:type="pct"/>
            <w:tcBorders>
              <w:top w:val="single" w:color="auto" w:sz="4" w:space="0"/>
              <w:left w:val="single" w:color="auto" w:sz="4" w:space="0"/>
              <w:bottom w:val="single" w:color="auto" w:sz="4" w:space="0"/>
              <w:right w:val="single" w:color="auto" w:sz="4" w:space="0"/>
            </w:tcBorders>
            <w:noWrap w:val="0"/>
            <w:vAlign w:val="center"/>
          </w:tcPr>
          <w:p w14:paraId="4A0C3A2C">
            <w:pPr>
              <w:jc w:val="center"/>
              <w:rPr>
                <w:rFonts w:hint="eastAsia" w:ascii="宋体" w:hAnsi="宋体" w:eastAsia="宋体" w:cs="宋体"/>
                <w:color w:val="auto"/>
                <w:highlight w:val="none"/>
              </w:rPr>
            </w:pPr>
            <w:r>
              <w:rPr>
                <w:rFonts w:hint="eastAsia" w:ascii="宋体" w:hAnsi="宋体" w:eastAsia="宋体" w:cs="宋体"/>
                <w:color w:val="auto"/>
                <w:highlight w:val="none"/>
              </w:rPr>
              <w:t>供应商在近</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年内有承担过</w:t>
            </w:r>
            <w:r>
              <w:rPr>
                <w:rFonts w:hint="eastAsia" w:ascii="宋体" w:hAnsi="宋体" w:eastAsia="宋体" w:cs="宋体"/>
                <w:color w:val="auto"/>
                <w:highlight w:val="none"/>
                <w:lang w:val="en-US" w:eastAsia="zh-CN"/>
              </w:rPr>
              <w:t>类似</w:t>
            </w:r>
            <w:r>
              <w:rPr>
                <w:rFonts w:hint="eastAsia" w:ascii="宋体" w:hAnsi="宋体" w:eastAsia="宋体" w:cs="宋体"/>
                <w:color w:val="auto"/>
                <w:highlight w:val="none"/>
              </w:rPr>
              <w:t>业绩的，每提供一个项目得</w:t>
            </w: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rPr>
              <w:t>分，满分</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分（须提供合同或中标（成交）通知书复印件并加盖公章，不按照上述要求提供资料者，不作为评分依据）。</w:t>
            </w:r>
          </w:p>
        </w:tc>
        <w:tc>
          <w:tcPr>
            <w:tcW w:w="452" w:type="pct"/>
            <w:tcBorders>
              <w:top w:val="single" w:color="auto" w:sz="4" w:space="0"/>
              <w:left w:val="single" w:color="auto" w:sz="4" w:space="0"/>
              <w:bottom w:val="single" w:color="auto" w:sz="4" w:space="0"/>
              <w:right w:val="single" w:color="auto" w:sz="4" w:space="0"/>
            </w:tcBorders>
            <w:noWrap w:val="0"/>
            <w:vAlign w:val="center"/>
          </w:tcPr>
          <w:p w14:paraId="04F330BE">
            <w:pPr>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p>
        </w:tc>
      </w:tr>
    </w:tbl>
    <w:p w14:paraId="52FBC15C">
      <w:pPr>
        <w:pStyle w:val="37"/>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p>
    <w:p w14:paraId="7A5432C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（四）综合得分 = 1＋2＋3</w:t>
      </w:r>
    </w:p>
    <w:p w14:paraId="7B45A43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三、推荐成交候选人</w:t>
      </w:r>
    </w:p>
    <w:p w14:paraId="0028720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磋商小组应当从通过资格性审查和符合性审查、质量和服务均能满足磋商文件全部实质性响应要求的服务商中。</w:t>
      </w:r>
    </w:p>
    <w:p w14:paraId="6C968E9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磋商小组根据评审结果按评审后得分由高到低顺序排列推荐3名成交候选人。总得分相同的，依次按最终报价低优先、技术分高优先、业绩分高优先的顺序排列。成交候选人并列的，由采购人采取随机抽取的方式确定成交人。</w:t>
      </w:r>
    </w:p>
    <w:p w14:paraId="142D861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采购人应当确定磋商小组推荐排名第一的成交候选人为成交人。排名第一的成交候选人放弃成交、因不可抗力提出不能履行合同，或者磋商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14:paraId="104033D1">
      <w:pPr>
        <w:rPr>
          <w:rFonts w:hint="eastAsia" w:ascii="宋体" w:hAnsi="宋体" w:eastAsia="宋体" w:cs="宋体"/>
          <w:color w:val="auto"/>
          <w:highlight w:val="none"/>
          <w:lang w:val="zh-CN"/>
        </w:rPr>
      </w:pPr>
    </w:p>
    <w:p w14:paraId="143057F3">
      <w:pPr>
        <w:rPr>
          <w:rFonts w:hint="eastAsia" w:ascii="宋体" w:hAnsi="宋体" w:eastAsia="宋体" w:cs="宋体"/>
          <w:color w:val="auto"/>
          <w:highlight w:val="none"/>
          <w:lang w:val="zh-CN"/>
        </w:rPr>
      </w:pPr>
    </w:p>
    <w:p w14:paraId="5068002F">
      <w:pPr>
        <w:rPr>
          <w:rFonts w:hint="eastAsia" w:ascii="宋体" w:hAnsi="宋体" w:eastAsia="宋体" w:cs="宋体"/>
          <w:color w:val="auto"/>
          <w:highlight w:val="none"/>
          <w:lang w:val="zh-CN"/>
        </w:rPr>
      </w:pPr>
    </w:p>
    <w:p w14:paraId="125FF493">
      <w:pPr>
        <w:ind w:firstLine="315" w:firstLineChars="150"/>
        <w:rPr>
          <w:rFonts w:hint="eastAsia" w:ascii="宋体" w:hAnsi="宋体" w:eastAsia="宋体" w:cs="宋体"/>
          <w:color w:val="auto"/>
          <w:highlight w:val="none"/>
        </w:rPr>
      </w:pPr>
    </w:p>
    <w:p w14:paraId="76E26990">
      <w:pPr>
        <w:ind w:firstLine="315" w:firstLineChars="150"/>
        <w:rPr>
          <w:rFonts w:hint="eastAsia" w:ascii="宋体" w:hAnsi="宋体" w:eastAsia="宋体" w:cs="宋体"/>
          <w:color w:val="auto"/>
          <w:highlight w:val="none"/>
        </w:rPr>
      </w:pPr>
    </w:p>
    <w:bookmarkEnd w:id="0"/>
    <w:bookmarkEnd w:id="1"/>
    <w:p w14:paraId="3A80AEF9">
      <w:pPr>
        <w:widowControl/>
        <w:jc w:val="left"/>
        <w:rPr>
          <w:rFonts w:hint="eastAsia" w:ascii="宋体" w:hAnsi="宋体" w:eastAsia="宋体" w:cs="宋体"/>
          <w:color w:val="auto"/>
          <w:sz w:val="32"/>
          <w:szCs w:val="32"/>
          <w:highlight w:val="none"/>
        </w:rPr>
      </w:pPr>
      <w:bookmarkStart w:id="81" w:name="_Toc89186353"/>
      <w:bookmarkStart w:id="82" w:name="_Hlk89190624"/>
      <w:r>
        <w:rPr>
          <w:rFonts w:hint="eastAsia" w:ascii="宋体" w:hAnsi="宋体" w:eastAsia="宋体" w:cs="宋体"/>
          <w:color w:val="auto"/>
          <w:sz w:val="32"/>
          <w:szCs w:val="32"/>
          <w:highlight w:val="none"/>
        </w:rPr>
        <w:br w:type="page"/>
      </w:r>
    </w:p>
    <w:p w14:paraId="1D03B48D">
      <w:pPr>
        <w:pStyle w:val="29"/>
        <w:snapToGrid w:val="0"/>
        <w:spacing w:before="120" w:after="120" w:line="320" w:lineRule="exact"/>
        <w:jc w:val="center"/>
        <w:outlineLvl w:val="0"/>
        <w:rPr>
          <w:rFonts w:hint="eastAsia" w:ascii="宋体" w:hAnsi="宋体" w:eastAsia="宋体" w:cs="宋体"/>
          <w:color w:val="auto"/>
          <w:sz w:val="32"/>
          <w:szCs w:val="32"/>
          <w:highlight w:val="none"/>
        </w:rPr>
      </w:pPr>
      <w:bookmarkStart w:id="83" w:name="_Toc14843"/>
      <w:r>
        <w:rPr>
          <w:rFonts w:hint="eastAsia" w:ascii="宋体" w:hAnsi="宋体" w:eastAsia="宋体" w:cs="宋体"/>
          <w:color w:val="auto"/>
          <w:sz w:val="32"/>
          <w:szCs w:val="32"/>
          <w:highlight w:val="none"/>
        </w:rPr>
        <w:t>第五章  合同主要条款格式</w:t>
      </w:r>
      <w:bookmarkEnd w:id="81"/>
      <w:bookmarkEnd w:id="83"/>
    </w:p>
    <w:bookmarkEnd w:id="82"/>
    <w:p w14:paraId="69DA8B57">
      <w:pPr>
        <w:keepNext/>
        <w:keepLines/>
        <w:spacing w:line="360" w:lineRule="auto"/>
        <w:jc w:val="center"/>
        <w:outlineLvl w:val="0"/>
        <w:rPr>
          <w:rFonts w:hint="eastAsia" w:ascii="宋体" w:hAnsi="宋体" w:eastAsia="宋体" w:cs="宋体"/>
          <w:b/>
          <w:bCs/>
          <w:color w:val="auto"/>
          <w:kern w:val="44"/>
          <w:sz w:val="44"/>
          <w:szCs w:val="44"/>
          <w:highlight w:val="none"/>
          <w:lang w:val="zh-CN"/>
        </w:rPr>
      </w:pPr>
      <w:bookmarkStart w:id="84" w:name="_Toc32698"/>
      <w:bookmarkStart w:id="85" w:name="_Toc89186354"/>
      <w:r>
        <w:rPr>
          <w:rFonts w:hint="eastAsia" w:ascii="宋体" w:hAnsi="宋体" w:eastAsia="宋体" w:cs="宋体"/>
          <w:b/>
          <w:bCs/>
          <w:color w:val="auto"/>
          <w:kern w:val="44"/>
          <w:sz w:val="44"/>
          <w:szCs w:val="44"/>
          <w:highlight w:val="none"/>
          <w:lang w:val="zh-CN"/>
        </w:rPr>
        <w:t>合同条款及格式</w:t>
      </w:r>
      <w:bookmarkEnd w:id="84"/>
    </w:p>
    <w:p w14:paraId="78B75342">
      <w:pPr>
        <w:keepNext/>
        <w:keepLines/>
        <w:spacing w:line="360" w:lineRule="auto"/>
        <w:jc w:val="center"/>
        <w:outlineLvl w:val="0"/>
        <w:rPr>
          <w:rFonts w:hint="eastAsia" w:ascii="宋体" w:hAnsi="宋体" w:eastAsia="宋体" w:cs="宋体"/>
          <w:b/>
          <w:bCs/>
          <w:color w:val="auto"/>
          <w:kern w:val="44"/>
          <w:sz w:val="44"/>
          <w:szCs w:val="44"/>
          <w:highlight w:val="none"/>
          <w:lang w:val="zh-CN"/>
        </w:rPr>
      </w:pPr>
      <w:bookmarkStart w:id="86" w:name="_Toc351203480"/>
      <w:bookmarkStart w:id="87" w:name="_Toc407135191"/>
      <w:bookmarkStart w:id="88" w:name="_Toc296890982"/>
      <w:bookmarkStart w:id="89" w:name="_Toc389065255"/>
      <w:bookmarkStart w:id="90" w:name="_Toc296503025"/>
      <w:bookmarkStart w:id="91" w:name="_Toc724920571"/>
      <w:bookmarkStart w:id="92" w:name="_Toc373478199"/>
      <w:bookmarkStart w:id="93" w:name="_Toc78449777"/>
      <w:bookmarkStart w:id="94" w:name="_Toc373227552"/>
      <w:bookmarkStart w:id="95" w:name="_Toc9294"/>
      <w:bookmarkStart w:id="96" w:name="_Toc1756478213"/>
      <w:r>
        <w:rPr>
          <w:rFonts w:hint="eastAsia" w:ascii="宋体" w:hAnsi="宋体" w:eastAsia="宋体" w:cs="宋体"/>
          <w:b/>
          <w:bCs/>
          <w:color w:val="auto"/>
          <w:kern w:val="44"/>
          <w:sz w:val="44"/>
          <w:szCs w:val="44"/>
          <w:highlight w:val="none"/>
          <w:lang w:val="zh-CN"/>
        </w:rPr>
        <w:t>第一部分 合同协议书</w:t>
      </w:r>
      <w:bookmarkEnd w:id="86"/>
      <w:bookmarkEnd w:id="87"/>
      <w:bookmarkEnd w:id="88"/>
      <w:bookmarkEnd w:id="89"/>
      <w:bookmarkEnd w:id="90"/>
      <w:bookmarkEnd w:id="91"/>
      <w:bookmarkEnd w:id="92"/>
      <w:bookmarkEnd w:id="93"/>
      <w:bookmarkEnd w:id="94"/>
      <w:bookmarkEnd w:id="95"/>
      <w:bookmarkEnd w:id="96"/>
    </w:p>
    <w:p w14:paraId="209B685D">
      <w:pPr>
        <w:spacing w:line="360"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lang w:eastAsia="zh-CN"/>
        </w:rPr>
        <w:t>梧州市工人医院</w:t>
      </w:r>
    </w:p>
    <w:p w14:paraId="4BE193AD">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4F7B82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u w:val="single"/>
          <w:lang w:eastAsia="zh-CN"/>
        </w:rPr>
        <w:t>梧州市临床病理诊断中心项目施工</w:t>
      </w:r>
      <w:r>
        <w:rPr>
          <w:rFonts w:hint="eastAsia" w:ascii="宋体" w:hAnsi="宋体" w:eastAsia="宋体" w:cs="宋体"/>
          <w:color w:val="auto"/>
          <w:szCs w:val="21"/>
          <w:highlight w:val="none"/>
        </w:rPr>
        <w:t>施工及有关事项协商一致，共同达成如下协议：</w:t>
      </w:r>
      <w:bookmarkStart w:id="97" w:name="_Toc351203481"/>
    </w:p>
    <w:p w14:paraId="15DE04E0">
      <w:pPr>
        <w:spacing w:line="360" w:lineRule="auto"/>
        <w:ind w:firstLine="422" w:firstLineChars="200"/>
        <w:outlineLvl w:val="0"/>
        <w:rPr>
          <w:rFonts w:hint="eastAsia" w:ascii="宋体" w:hAnsi="宋体" w:eastAsia="宋体" w:cs="宋体"/>
          <w:b/>
          <w:bCs/>
          <w:color w:val="auto"/>
          <w:szCs w:val="21"/>
          <w:highlight w:val="none"/>
        </w:rPr>
      </w:pPr>
      <w:bookmarkStart w:id="98" w:name="_Toc18825"/>
      <w:r>
        <w:rPr>
          <w:rFonts w:hint="eastAsia" w:ascii="宋体" w:hAnsi="宋体" w:eastAsia="宋体" w:cs="宋体"/>
          <w:b/>
          <w:bCs/>
          <w:color w:val="auto"/>
          <w:szCs w:val="21"/>
          <w:highlight w:val="none"/>
        </w:rPr>
        <w:t>一、工程概况</w:t>
      </w:r>
      <w:bookmarkEnd w:id="97"/>
      <w:bookmarkEnd w:id="98"/>
    </w:p>
    <w:p w14:paraId="47446E46">
      <w:pPr>
        <w:spacing w:line="360" w:lineRule="auto"/>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 工程名称：</w:t>
      </w:r>
      <w:r>
        <w:rPr>
          <w:rFonts w:hint="eastAsia" w:ascii="宋体" w:hAnsi="宋体" w:eastAsia="宋体" w:cs="宋体"/>
          <w:color w:val="auto"/>
          <w:szCs w:val="21"/>
          <w:highlight w:val="none"/>
          <w:u w:val="single"/>
          <w:lang w:eastAsia="zh-CN"/>
        </w:rPr>
        <w:t>梧州市临床病理诊断中心项目施工</w:t>
      </w:r>
      <w:r>
        <w:rPr>
          <w:rFonts w:hint="eastAsia" w:ascii="宋体" w:hAnsi="宋体" w:eastAsia="宋体" w:cs="宋体"/>
          <w:color w:val="auto"/>
          <w:szCs w:val="21"/>
          <w:highlight w:val="none"/>
        </w:rPr>
        <w:t>。</w:t>
      </w:r>
    </w:p>
    <w:p w14:paraId="2CF66DE7">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工程地点：</w:t>
      </w:r>
      <w:r>
        <w:rPr>
          <w:rFonts w:hint="eastAsia" w:ascii="宋体" w:hAnsi="宋体" w:eastAsia="宋体" w:cs="宋体"/>
          <w:color w:val="auto"/>
          <w:szCs w:val="21"/>
          <w:highlight w:val="none"/>
          <w:u w:val="single"/>
        </w:rPr>
        <w:t>梧州市万秀区建设路22号梧州市工人医院北山院区</w:t>
      </w:r>
      <w:r>
        <w:rPr>
          <w:rFonts w:hint="eastAsia" w:ascii="宋体" w:hAnsi="宋体" w:eastAsia="宋体" w:cs="宋体"/>
          <w:color w:val="auto"/>
          <w:szCs w:val="21"/>
          <w:highlight w:val="none"/>
        </w:rPr>
        <w:t>。</w:t>
      </w:r>
    </w:p>
    <w:p w14:paraId="41DCD597">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工程立项批准文号：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B2BBCDC">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资金来源：</w:t>
      </w:r>
      <w:r>
        <w:rPr>
          <w:rFonts w:hint="eastAsia" w:ascii="宋体" w:hAnsi="宋体" w:eastAsia="宋体" w:cs="宋体"/>
          <w:color w:val="auto"/>
          <w:szCs w:val="21"/>
          <w:highlight w:val="none"/>
          <w:u w:val="single"/>
          <w:lang w:val="en-US" w:eastAsia="zh-CN"/>
        </w:rPr>
        <w:t>事业单位收入</w:t>
      </w:r>
      <w:r>
        <w:rPr>
          <w:rFonts w:hint="eastAsia" w:ascii="宋体" w:hAnsi="宋体" w:eastAsia="宋体" w:cs="宋体"/>
          <w:color w:val="auto"/>
          <w:szCs w:val="21"/>
          <w:highlight w:val="none"/>
        </w:rPr>
        <w:t>。</w:t>
      </w:r>
    </w:p>
    <w:p w14:paraId="2AD11B96">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工程内容：</w:t>
      </w:r>
      <w:r>
        <w:rPr>
          <w:rFonts w:hint="eastAsia" w:ascii="宋体" w:hAnsi="宋体" w:eastAsia="宋体" w:cs="宋体"/>
          <w:color w:val="auto"/>
          <w:szCs w:val="21"/>
          <w:highlight w:val="none"/>
          <w:u w:val="single"/>
        </w:rPr>
        <w:t>梧州市临床病理诊断中心中座第三、四层二次装修改造工程，第三、四层原功能为呼吸内科、病房，现第三层改造为病理科，第四层改造为病理诊断、办公区。三层、四层层高3.4m。详见工程量清单、图纸。</w:t>
      </w:r>
    </w:p>
    <w:p w14:paraId="26D45024">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群体工程应附《承包人承揽工程项目一览表》（附件1）。</w:t>
      </w:r>
    </w:p>
    <w:p w14:paraId="45EA5B3E">
      <w:pPr>
        <w:spacing w:line="360" w:lineRule="auto"/>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 工程承包范围：</w:t>
      </w:r>
      <w:r>
        <w:rPr>
          <w:rFonts w:hint="eastAsia" w:ascii="宋体" w:hAnsi="宋体" w:eastAsia="宋体" w:cs="宋体"/>
          <w:color w:val="auto"/>
          <w:szCs w:val="21"/>
          <w:highlight w:val="none"/>
          <w:u w:val="single"/>
        </w:rPr>
        <w:t>梧州市临床病理诊断中心项目施工</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项，包含拆除工程、装饰装修工程、室内电气工程、室内 给排水工程、室内消防工程、室内弱电工程、通风空调工程等。详见工程量清单、图纸。</w:t>
      </w:r>
    </w:p>
    <w:p w14:paraId="747CB78C">
      <w:pPr>
        <w:spacing w:line="360" w:lineRule="auto"/>
        <w:ind w:firstLine="407" w:firstLineChars="193"/>
        <w:outlineLvl w:val="0"/>
        <w:rPr>
          <w:rFonts w:hint="eastAsia" w:ascii="宋体" w:hAnsi="宋体" w:eastAsia="宋体" w:cs="宋体"/>
          <w:b/>
          <w:bCs/>
          <w:color w:val="auto"/>
          <w:szCs w:val="21"/>
          <w:highlight w:val="none"/>
        </w:rPr>
      </w:pPr>
      <w:bookmarkStart w:id="99" w:name="_Toc926"/>
      <w:bookmarkStart w:id="100" w:name="_Toc351203482"/>
      <w:r>
        <w:rPr>
          <w:rFonts w:hint="eastAsia" w:ascii="宋体" w:hAnsi="宋体" w:eastAsia="宋体" w:cs="宋体"/>
          <w:b/>
          <w:bCs/>
          <w:color w:val="auto"/>
          <w:szCs w:val="21"/>
          <w:highlight w:val="none"/>
        </w:rPr>
        <w:t>二、合同工期</w:t>
      </w:r>
      <w:bookmarkEnd w:id="99"/>
      <w:bookmarkEnd w:id="100"/>
    </w:p>
    <w:p w14:paraId="25D160E7">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日。（具体以发包人书面通知为准）</w:t>
      </w:r>
    </w:p>
    <w:p w14:paraId="75097340">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w:t>
      </w:r>
    </w:p>
    <w:p w14:paraId="653BE51D">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14:paraId="312CDF18">
      <w:pPr>
        <w:spacing w:line="360" w:lineRule="auto"/>
        <w:ind w:firstLine="459"/>
        <w:outlineLvl w:val="0"/>
        <w:rPr>
          <w:rFonts w:hint="eastAsia" w:ascii="宋体" w:hAnsi="宋体" w:eastAsia="宋体" w:cs="宋体"/>
          <w:b/>
          <w:bCs/>
          <w:color w:val="auto"/>
          <w:szCs w:val="21"/>
          <w:highlight w:val="none"/>
        </w:rPr>
      </w:pPr>
      <w:bookmarkStart w:id="101" w:name="_Toc28672"/>
      <w:bookmarkStart w:id="102" w:name="_Toc351203483"/>
      <w:r>
        <w:rPr>
          <w:rFonts w:hint="eastAsia" w:ascii="宋体" w:hAnsi="宋体" w:eastAsia="宋体" w:cs="宋体"/>
          <w:b/>
          <w:bCs/>
          <w:color w:val="auto"/>
          <w:szCs w:val="21"/>
          <w:highlight w:val="none"/>
        </w:rPr>
        <w:t>三、质量标准</w:t>
      </w:r>
      <w:bookmarkEnd w:id="101"/>
      <w:bookmarkEnd w:id="102"/>
    </w:p>
    <w:p w14:paraId="5E07D210">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标准。</w:t>
      </w:r>
    </w:p>
    <w:p w14:paraId="0E3DB951">
      <w:pPr>
        <w:spacing w:line="360" w:lineRule="auto"/>
        <w:ind w:firstLine="459"/>
        <w:outlineLvl w:val="0"/>
        <w:rPr>
          <w:rFonts w:hint="eastAsia" w:ascii="宋体" w:hAnsi="宋体" w:eastAsia="宋体" w:cs="宋体"/>
          <w:b/>
          <w:bCs/>
          <w:color w:val="auto"/>
          <w:szCs w:val="21"/>
          <w:highlight w:val="none"/>
        </w:rPr>
      </w:pPr>
      <w:bookmarkStart w:id="103" w:name="_Toc351203484"/>
      <w:bookmarkStart w:id="104" w:name="_Toc21289"/>
      <w:r>
        <w:rPr>
          <w:rFonts w:hint="eastAsia" w:ascii="宋体" w:hAnsi="宋体" w:eastAsia="宋体" w:cs="宋体"/>
          <w:b/>
          <w:bCs/>
          <w:color w:val="auto"/>
          <w:szCs w:val="21"/>
          <w:highlight w:val="none"/>
        </w:rPr>
        <w:t>四、签约合同价与合同价格形式</w:t>
      </w:r>
      <w:bookmarkEnd w:id="103"/>
      <w:bookmarkEnd w:id="104"/>
    </w:p>
    <w:p w14:paraId="10BEAD6C">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14:paraId="4E5BABD9">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16FF5467">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3877F5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095EBC30">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55A494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265EF406">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06AB6C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620EC449">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006CFA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53EBDE5">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00A53D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合同价格形式：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07B800B">
      <w:pPr>
        <w:spacing w:line="360" w:lineRule="auto"/>
        <w:ind w:firstLine="422" w:firstLineChars="200"/>
        <w:outlineLvl w:val="0"/>
        <w:rPr>
          <w:rFonts w:hint="eastAsia" w:ascii="宋体" w:hAnsi="宋体" w:eastAsia="宋体" w:cs="宋体"/>
          <w:b/>
          <w:bCs/>
          <w:color w:val="auto"/>
          <w:szCs w:val="21"/>
          <w:highlight w:val="none"/>
        </w:rPr>
      </w:pPr>
      <w:bookmarkStart w:id="105" w:name="_Toc351203485"/>
      <w:bookmarkStart w:id="106" w:name="_Toc2098"/>
      <w:r>
        <w:rPr>
          <w:rFonts w:hint="eastAsia" w:ascii="宋体" w:hAnsi="宋体" w:eastAsia="宋体" w:cs="宋体"/>
          <w:b/>
          <w:bCs/>
          <w:color w:val="auto"/>
          <w:szCs w:val="21"/>
          <w:highlight w:val="none"/>
        </w:rPr>
        <w:t>五、</w:t>
      </w:r>
      <w:bookmarkEnd w:id="105"/>
      <w:r>
        <w:rPr>
          <w:rFonts w:hint="eastAsia" w:ascii="宋体" w:hAnsi="宋体" w:eastAsia="宋体" w:cs="宋体"/>
          <w:b/>
          <w:bCs/>
          <w:color w:val="auto"/>
          <w:szCs w:val="21"/>
          <w:highlight w:val="none"/>
        </w:rPr>
        <w:t>项目经理</w:t>
      </w:r>
      <w:bookmarkEnd w:id="106"/>
    </w:p>
    <w:p w14:paraId="18527B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94B294C">
      <w:pPr>
        <w:spacing w:line="360" w:lineRule="auto"/>
        <w:ind w:firstLine="422" w:firstLineChars="200"/>
        <w:outlineLvl w:val="0"/>
        <w:rPr>
          <w:rFonts w:hint="eastAsia" w:ascii="宋体" w:hAnsi="宋体" w:eastAsia="宋体" w:cs="宋体"/>
          <w:b/>
          <w:bCs/>
          <w:color w:val="auto"/>
          <w:szCs w:val="21"/>
          <w:highlight w:val="none"/>
        </w:rPr>
      </w:pPr>
      <w:bookmarkStart w:id="107" w:name="_Toc351203486"/>
      <w:bookmarkStart w:id="108" w:name="_Toc1855"/>
      <w:r>
        <w:rPr>
          <w:rFonts w:hint="eastAsia" w:ascii="宋体" w:hAnsi="宋体" w:eastAsia="宋体" w:cs="宋体"/>
          <w:b/>
          <w:bCs/>
          <w:color w:val="auto"/>
          <w:szCs w:val="21"/>
          <w:highlight w:val="none"/>
        </w:rPr>
        <w:t>六、合同文件构成</w:t>
      </w:r>
      <w:bookmarkEnd w:id="107"/>
      <w:bookmarkEnd w:id="108"/>
    </w:p>
    <w:p w14:paraId="7B2598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69D5293">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（1）中标通知书（如有）；</w:t>
      </w:r>
    </w:p>
    <w:p w14:paraId="0CBFB23D">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（2）投标函及其附录（如有）； </w:t>
      </w:r>
    </w:p>
    <w:p w14:paraId="239DABEC">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14:paraId="5690F9BC">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14:paraId="313CF4DC">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F825102">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7F46C1C">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ADA591B">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14:paraId="675DBF0A">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0CF5C78B">
      <w:pPr>
        <w:autoSpaceDE w:val="0"/>
        <w:autoSpaceDN w:val="0"/>
        <w:adjustRightInd w:val="0"/>
        <w:spacing w:line="360" w:lineRule="auto"/>
        <w:ind w:firstLine="422" w:firstLineChars="200"/>
        <w:jc w:val="left"/>
        <w:outlineLvl w:val="0"/>
        <w:rPr>
          <w:rFonts w:hint="eastAsia" w:ascii="宋体" w:hAnsi="宋体" w:eastAsia="宋体" w:cs="宋体"/>
          <w:b/>
          <w:bCs/>
          <w:color w:val="auto"/>
          <w:szCs w:val="21"/>
          <w:highlight w:val="none"/>
        </w:rPr>
      </w:pPr>
      <w:bookmarkStart w:id="109" w:name="_Toc17040"/>
      <w:bookmarkStart w:id="110" w:name="_Toc351203487"/>
      <w:r>
        <w:rPr>
          <w:rFonts w:hint="eastAsia" w:ascii="宋体" w:hAnsi="宋体" w:eastAsia="宋体" w:cs="宋体"/>
          <w:b/>
          <w:bCs/>
          <w:color w:val="auto"/>
          <w:szCs w:val="21"/>
          <w:highlight w:val="none"/>
        </w:rPr>
        <w:t>七、承诺</w:t>
      </w:r>
      <w:bookmarkEnd w:id="109"/>
      <w:bookmarkEnd w:id="110"/>
    </w:p>
    <w:p w14:paraId="25ABFF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发包人承诺按照法律规定履行项目审批手续、筹集工程建设资金并按照合同约定的期限和方式支付合同价款。</w:t>
      </w:r>
    </w:p>
    <w:p w14:paraId="27CBD2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承包人承诺按照法律规定及合同约定组织完成工程施工，确保工程质量和安全，不进行转包及违法分包，并在缺陷责任期及保修期内承担相应的工程维修责任。</w:t>
      </w:r>
    </w:p>
    <w:p w14:paraId="2D081A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发包人和承包人通过招投标形式签订合同的，双方理解并承诺不再就同一工程另行签订与合同实质性内容相背离的协议。</w:t>
      </w:r>
      <w:bookmarkStart w:id="111" w:name="_Toc351203488"/>
    </w:p>
    <w:p w14:paraId="2B99830F">
      <w:pPr>
        <w:spacing w:line="360" w:lineRule="auto"/>
        <w:ind w:firstLine="422" w:firstLineChars="200"/>
        <w:outlineLvl w:val="0"/>
        <w:rPr>
          <w:rFonts w:hint="eastAsia" w:ascii="宋体" w:hAnsi="宋体" w:eastAsia="宋体" w:cs="宋体"/>
          <w:b/>
          <w:bCs/>
          <w:color w:val="auto"/>
          <w:szCs w:val="21"/>
          <w:highlight w:val="none"/>
        </w:rPr>
      </w:pPr>
      <w:bookmarkStart w:id="112" w:name="_Toc28259"/>
      <w:r>
        <w:rPr>
          <w:rFonts w:hint="eastAsia" w:ascii="宋体" w:hAnsi="宋体" w:eastAsia="宋体" w:cs="宋体"/>
          <w:b/>
          <w:bCs/>
          <w:color w:val="auto"/>
          <w:szCs w:val="21"/>
          <w:highlight w:val="none"/>
        </w:rPr>
        <w:t>八、词语含义</w:t>
      </w:r>
      <w:bookmarkEnd w:id="111"/>
      <w:bookmarkEnd w:id="112"/>
    </w:p>
    <w:p w14:paraId="05F546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548FA2B5">
      <w:pPr>
        <w:spacing w:line="360" w:lineRule="auto"/>
        <w:ind w:firstLine="422" w:firstLineChars="200"/>
        <w:outlineLvl w:val="0"/>
        <w:rPr>
          <w:rFonts w:hint="eastAsia" w:ascii="宋体" w:hAnsi="宋体" w:eastAsia="宋体" w:cs="宋体"/>
          <w:b/>
          <w:bCs/>
          <w:color w:val="auto"/>
          <w:szCs w:val="21"/>
          <w:highlight w:val="none"/>
        </w:rPr>
      </w:pPr>
      <w:bookmarkStart w:id="113" w:name="_Toc351203489"/>
      <w:bookmarkStart w:id="114" w:name="_Toc31747"/>
      <w:r>
        <w:rPr>
          <w:rFonts w:hint="eastAsia" w:ascii="宋体" w:hAnsi="宋体" w:eastAsia="宋体" w:cs="宋体"/>
          <w:b/>
          <w:bCs/>
          <w:color w:val="auto"/>
          <w:szCs w:val="21"/>
          <w:highlight w:val="none"/>
        </w:rPr>
        <w:t>九、签订时间</w:t>
      </w:r>
      <w:bookmarkEnd w:id="113"/>
      <w:bookmarkEnd w:id="114"/>
    </w:p>
    <w:p w14:paraId="1D1F6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7A005EDD">
      <w:pPr>
        <w:spacing w:line="360" w:lineRule="auto"/>
        <w:ind w:firstLine="422" w:firstLineChars="200"/>
        <w:outlineLvl w:val="0"/>
        <w:rPr>
          <w:rFonts w:hint="eastAsia" w:ascii="宋体" w:hAnsi="宋体" w:eastAsia="宋体" w:cs="宋体"/>
          <w:b/>
          <w:bCs/>
          <w:color w:val="auto"/>
          <w:szCs w:val="21"/>
          <w:highlight w:val="none"/>
        </w:rPr>
      </w:pPr>
      <w:bookmarkStart w:id="115" w:name="_Toc351203490"/>
      <w:bookmarkStart w:id="116" w:name="_Toc24713"/>
      <w:r>
        <w:rPr>
          <w:rFonts w:hint="eastAsia" w:ascii="宋体" w:hAnsi="宋体" w:eastAsia="宋体" w:cs="宋体"/>
          <w:b/>
          <w:bCs/>
          <w:color w:val="auto"/>
          <w:szCs w:val="21"/>
          <w:highlight w:val="none"/>
        </w:rPr>
        <w:t>十、签订地点</w:t>
      </w:r>
      <w:bookmarkEnd w:id="115"/>
      <w:bookmarkEnd w:id="116"/>
    </w:p>
    <w:p w14:paraId="3D2EFD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签订。</w:t>
      </w:r>
    </w:p>
    <w:p w14:paraId="47A835FB">
      <w:pPr>
        <w:spacing w:line="360" w:lineRule="auto"/>
        <w:ind w:firstLine="422" w:firstLineChars="200"/>
        <w:outlineLvl w:val="0"/>
        <w:rPr>
          <w:rFonts w:hint="eastAsia" w:ascii="宋体" w:hAnsi="宋体" w:eastAsia="宋体" w:cs="宋体"/>
          <w:b/>
          <w:bCs/>
          <w:color w:val="auto"/>
          <w:szCs w:val="21"/>
          <w:highlight w:val="none"/>
        </w:rPr>
      </w:pPr>
      <w:bookmarkStart w:id="117" w:name="_Toc351203491"/>
      <w:bookmarkStart w:id="118" w:name="_Toc2228"/>
      <w:r>
        <w:rPr>
          <w:rFonts w:hint="eastAsia" w:ascii="宋体" w:hAnsi="宋体" w:eastAsia="宋体" w:cs="宋体"/>
          <w:b/>
          <w:bCs/>
          <w:color w:val="auto"/>
          <w:szCs w:val="21"/>
          <w:highlight w:val="none"/>
        </w:rPr>
        <w:t>十一、补充协议</w:t>
      </w:r>
      <w:bookmarkEnd w:id="117"/>
      <w:bookmarkEnd w:id="118"/>
    </w:p>
    <w:p w14:paraId="39D0E8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1C59C55">
      <w:pPr>
        <w:spacing w:line="360" w:lineRule="auto"/>
        <w:ind w:firstLine="422" w:firstLineChars="200"/>
        <w:outlineLvl w:val="0"/>
        <w:rPr>
          <w:rFonts w:hint="eastAsia" w:ascii="宋体" w:hAnsi="宋体" w:eastAsia="宋体" w:cs="宋体"/>
          <w:b/>
          <w:bCs/>
          <w:color w:val="auto"/>
          <w:szCs w:val="21"/>
          <w:highlight w:val="none"/>
        </w:rPr>
      </w:pPr>
      <w:bookmarkStart w:id="119" w:name="_Toc351203492"/>
      <w:bookmarkStart w:id="120" w:name="_Toc21809"/>
      <w:r>
        <w:rPr>
          <w:rFonts w:hint="eastAsia" w:ascii="宋体" w:hAnsi="宋体" w:eastAsia="宋体" w:cs="宋体"/>
          <w:b/>
          <w:bCs/>
          <w:color w:val="auto"/>
          <w:szCs w:val="21"/>
          <w:highlight w:val="none"/>
        </w:rPr>
        <w:t>十二、合同生效</w:t>
      </w:r>
      <w:bookmarkEnd w:id="119"/>
      <w:bookmarkEnd w:id="120"/>
    </w:p>
    <w:p w14:paraId="686CB6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15CF58F0">
      <w:pPr>
        <w:spacing w:line="360" w:lineRule="auto"/>
        <w:ind w:firstLine="422" w:firstLineChars="200"/>
        <w:outlineLvl w:val="0"/>
        <w:rPr>
          <w:rFonts w:hint="eastAsia" w:ascii="宋体" w:hAnsi="宋体" w:eastAsia="宋体" w:cs="宋体"/>
          <w:b/>
          <w:bCs/>
          <w:color w:val="auto"/>
          <w:szCs w:val="21"/>
          <w:highlight w:val="none"/>
        </w:rPr>
      </w:pPr>
      <w:bookmarkStart w:id="121" w:name="_Toc3635"/>
      <w:bookmarkStart w:id="122" w:name="_Toc351203493"/>
      <w:r>
        <w:rPr>
          <w:rFonts w:hint="eastAsia" w:ascii="宋体" w:hAnsi="宋体" w:eastAsia="宋体" w:cs="宋体"/>
          <w:b/>
          <w:bCs/>
          <w:color w:val="auto"/>
          <w:szCs w:val="21"/>
          <w:highlight w:val="none"/>
        </w:rPr>
        <w:t>十三、合同份数</w:t>
      </w:r>
      <w:bookmarkEnd w:id="121"/>
      <w:bookmarkEnd w:id="122"/>
    </w:p>
    <w:p w14:paraId="7D37C8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份，承包人执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14:paraId="6B40C7B6">
      <w:pPr>
        <w:spacing w:line="360" w:lineRule="auto"/>
        <w:rPr>
          <w:rFonts w:hint="eastAsia" w:ascii="宋体" w:hAnsi="宋体" w:eastAsia="宋体" w:cs="宋体"/>
          <w:color w:val="auto"/>
          <w:szCs w:val="21"/>
          <w:highlight w:val="none"/>
        </w:rPr>
      </w:pPr>
    </w:p>
    <w:p w14:paraId="23D22763">
      <w:pPr>
        <w:spacing w:line="360" w:lineRule="auto"/>
        <w:rPr>
          <w:rFonts w:hint="eastAsia" w:ascii="宋体" w:hAnsi="宋体" w:eastAsia="宋体" w:cs="宋体"/>
          <w:color w:val="auto"/>
          <w:szCs w:val="21"/>
          <w:highlight w:val="none"/>
        </w:rPr>
      </w:pPr>
    </w:p>
    <w:p w14:paraId="3E3A49B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（公章）                            承包人：  （公章）</w:t>
      </w:r>
    </w:p>
    <w:p w14:paraId="3ED3A7C0">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5CC98B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7961DE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3817F1E1">
      <w:pPr>
        <w:spacing w:line="360" w:lineRule="auto"/>
        <w:rPr>
          <w:rFonts w:hint="eastAsia" w:ascii="宋体" w:hAnsi="宋体" w:eastAsia="宋体" w:cs="宋体"/>
          <w:color w:val="auto"/>
          <w:szCs w:val="21"/>
          <w:highlight w:val="none"/>
          <w:u w:val="single"/>
        </w:rPr>
      </w:pPr>
    </w:p>
    <w:p w14:paraId="78F34E21">
      <w:pPr>
        <w:tabs>
          <w:tab w:val="left" w:pos="441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统一社会信用代码：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7DA7F9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14:paraId="043816D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4A226D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w:t>
      </w:r>
    </w:p>
    <w:p w14:paraId="018B19A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p>
    <w:p w14:paraId="358303A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14:paraId="12C275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122E180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电子信箱：</w:t>
      </w:r>
      <w:r>
        <w:rPr>
          <w:rFonts w:hint="eastAsia" w:ascii="宋体" w:hAnsi="宋体" w:eastAsia="宋体" w:cs="宋体"/>
          <w:color w:val="auto"/>
          <w:szCs w:val="21"/>
          <w:highlight w:val="none"/>
          <w:u w:val="single"/>
        </w:rPr>
        <w:t xml:space="preserve">                         </w:t>
      </w:r>
    </w:p>
    <w:p w14:paraId="331145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296C0594">
      <w:pPr>
        <w:pStyle w:val="19"/>
        <w:rPr>
          <w:rFonts w:hint="eastAsia" w:ascii="宋体" w:hAnsi="宋体" w:eastAsia="宋体" w:cs="宋体"/>
          <w:color w:val="auto"/>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595FD842">
      <w:pPr>
        <w:keepNext/>
        <w:keepLines/>
        <w:spacing w:line="360" w:lineRule="auto"/>
        <w:jc w:val="center"/>
        <w:outlineLvl w:val="0"/>
        <w:rPr>
          <w:rFonts w:hint="eastAsia" w:ascii="宋体" w:hAnsi="宋体" w:eastAsia="宋体" w:cs="宋体"/>
          <w:b/>
          <w:bCs/>
          <w:color w:val="auto"/>
          <w:kern w:val="44"/>
          <w:sz w:val="44"/>
          <w:szCs w:val="44"/>
          <w:highlight w:val="none"/>
          <w:lang w:val="zh-CN"/>
        </w:rPr>
      </w:pPr>
      <w:bookmarkStart w:id="123" w:name="_Toc1714491818"/>
      <w:bookmarkStart w:id="124" w:name="_Toc389065256"/>
      <w:bookmarkStart w:id="125" w:name="_Toc78449778"/>
      <w:bookmarkStart w:id="126" w:name="_Toc86847323"/>
      <w:bookmarkStart w:id="127" w:name="_Toc407135192"/>
      <w:bookmarkStart w:id="128" w:name="_Toc351203632"/>
      <w:bookmarkStart w:id="129" w:name="_Toc373478338"/>
      <w:bookmarkStart w:id="130" w:name="_Toc373227691"/>
      <w:r>
        <w:rPr>
          <w:rFonts w:hint="eastAsia" w:ascii="宋体" w:hAnsi="宋体" w:eastAsia="宋体" w:cs="宋体"/>
          <w:b/>
          <w:bCs/>
          <w:color w:val="auto"/>
          <w:kern w:val="44"/>
          <w:sz w:val="44"/>
          <w:szCs w:val="44"/>
          <w:highlight w:val="none"/>
          <w:lang w:val="zh-CN"/>
        </w:rPr>
        <w:br w:type="page"/>
      </w:r>
      <w:bookmarkStart w:id="131" w:name="_Toc32621"/>
      <w:r>
        <w:rPr>
          <w:rFonts w:hint="eastAsia" w:ascii="宋体" w:hAnsi="宋体" w:eastAsia="宋体" w:cs="宋体"/>
          <w:b/>
          <w:bCs/>
          <w:color w:val="auto"/>
          <w:kern w:val="44"/>
          <w:sz w:val="44"/>
          <w:szCs w:val="44"/>
          <w:highlight w:val="none"/>
          <w:lang w:val="zh-CN"/>
        </w:rPr>
        <w:t>第二部分 通用合同条款</w:t>
      </w:r>
      <w:bookmarkEnd w:id="123"/>
      <w:bookmarkEnd w:id="124"/>
      <w:bookmarkEnd w:id="125"/>
      <w:bookmarkEnd w:id="126"/>
      <w:bookmarkEnd w:id="127"/>
      <w:bookmarkEnd w:id="131"/>
    </w:p>
    <w:p w14:paraId="65D894DA">
      <w:pPr>
        <w:pStyle w:val="19"/>
        <w:rPr>
          <w:rFonts w:hint="eastAsia" w:ascii="宋体" w:hAnsi="宋体" w:eastAsia="宋体" w:cs="宋体"/>
          <w:color w:val="auto"/>
          <w:szCs w:val="21"/>
          <w:highlight w:val="none"/>
        </w:rPr>
      </w:pPr>
    </w:p>
    <w:p w14:paraId="563D6874">
      <w:pPr>
        <w:spacing w:line="360" w:lineRule="auto"/>
        <w:ind w:firstLine="422" w:firstLineChars="20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采用《建设工程施工合同（示范文本）》（GF—2017—0201）。</w:t>
      </w:r>
    </w:p>
    <w:p w14:paraId="7264B3C0">
      <w:pPr>
        <w:pStyle w:val="19"/>
        <w:rPr>
          <w:rFonts w:hint="eastAsia" w:ascii="宋体" w:hAnsi="宋体" w:eastAsia="宋体" w:cs="宋体"/>
          <w:color w:val="auto"/>
          <w:highlight w:val="none"/>
        </w:rPr>
      </w:pPr>
    </w:p>
    <w:p w14:paraId="3E908DB5">
      <w:pPr>
        <w:pStyle w:val="19"/>
        <w:rPr>
          <w:rFonts w:hint="eastAsia" w:ascii="宋体" w:hAnsi="宋体" w:eastAsia="宋体" w:cs="宋体"/>
          <w:color w:val="auto"/>
          <w:highlight w:val="none"/>
        </w:rPr>
      </w:pPr>
    </w:p>
    <w:p w14:paraId="6D71C13F">
      <w:pPr>
        <w:keepNext/>
        <w:keepLines/>
        <w:spacing w:line="360" w:lineRule="auto"/>
        <w:jc w:val="center"/>
        <w:outlineLvl w:val="0"/>
        <w:rPr>
          <w:rFonts w:hint="eastAsia" w:ascii="宋体" w:hAnsi="宋体" w:eastAsia="宋体" w:cs="宋体"/>
          <w:b/>
          <w:bCs/>
          <w:color w:val="auto"/>
          <w:kern w:val="44"/>
          <w:sz w:val="30"/>
          <w:szCs w:val="30"/>
          <w:highlight w:val="none"/>
          <w:lang w:val="zh-CN"/>
        </w:rPr>
      </w:pPr>
      <w:bookmarkStart w:id="132" w:name="_Toc78449779"/>
      <w:bookmarkStart w:id="133" w:name="_Toc704444909"/>
      <w:bookmarkStart w:id="134" w:name="_Toc12269"/>
      <w:bookmarkStart w:id="135" w:name="_Toc407135193"/>
      <w:bookmarkStart w:id="136" w:name="_Toc389065257"/>
      <w:bookmarkStart w:id="137" w:name="_Toc1204138598"/>
      <w:r>
        <w:rPr>
          <w:rFonts w:hint="eastAsia" w:ascii="宋体" w:hAnsi="宋体" w:eastAsia="宋体" w:cs="宋体"/>
          <w:b/>
          <w:bCs/>
          <w:color w:val="auto"/>
          <w:kern w:val="44"/>
          <w:sz w:val="44"/>
          <w:szCs w:val="44"/>
          <w:highlight w:val="none"/>
          <w:lang w:val="zh-CN"/>
        </w:rPr>
        <w:t>第三部分 专用合同条款</w:t>
      </w:r>
      <w:bookmarkEnd w:id="128"/>
      <w:bookmarkEnd w:id="129"/>
      <w:bookmarkEnd w:id="130"/>
      <w:bookmarkEnd w:id="132"/>
      <w:bookmarkEnd w:id="133"/>
      <w:bookmarkEnd w:id="134"/>
      <w:bookmarkEnd w:id="135"/>
      <w:bookmarkEnd w:id="136"/>
      <w:bookmarkEnd w:id="137"/>
    </w:p>
    <w:p w14:paraId="0CECF836">
      <w:pPr>
        <w:keepNext/>
        <w:keepLines/>
        <w:spacing w:before="60" w:after="60" w:line="413" w:lineRule="auto"/>
        <w:outlineLvl w:val="1"/>
        <w:rPr>
          <w:rFonts w:hint="eastAsia" w:ascii="宋体" w:hAnsi="宋体" w:eastAsia="宋体" w:cs="宋体"/>
          <w:b/>
          <w:bCs/>
          <w:color w:val="auto"/>
          <w:sz w:val="32"/>
          <w:szCs w:val="32"/>
          <w:highlight w:val="none"/>
          <w:lang w:val="zh-CN"/>
        </w:rPr>
      </w:pPr>
      <w:bookmarkStart w:id="138" w:name="_Toc407135194"/>
      <w:bookmarkStart w:id="139" w:name="_Toc1516097295"/>
      <w:bookmarkStart w:id="140" w:name="_Toc373478339"/>
      <w:bookmarkStart w:id="141" w:name="_Toc373227692"/>
      <w:bookmarkStart w:id="142" w:name="_Toc389065258"/>
      <w:bookmarkStart w:id="143" w:name="_Toc351203633"/>
      <w:bookmarkStart w:id="144" w:name="_Toc78449780"/>
      <w:bookmarkStart w:id="145" w:name="_Toc1013968286"/>
      <w:r>
        <w:rPr>
          <w:rFonts w:hint="eastAsia" w:ascii="宋体" w:hAnsi="宋体" w:eastAsia="宋体" w:cs="宋体"/>
          <w:b/>
          <w:bCs/>
          <w:color w:val="auto"/>
          <w:sz w:val="32"/>
          <w:szCs w:val="32"/>
          <w:highlight w:val="none"/>
          <w:lang w:val="zh-CN"/>
        </w:rPr>
        <w:t>1</w:t>
      </w:r>
      <w:bookmarkStart w:id="146" w:name="_Toc296891196"/>
      <w:bookmarkStart w:id="147" w:name="_Toc296346657"/>
      <w:bookmarkStart w:id="148" w:name="_Toc292559361"/>
      <w:bookmarkStart w:id="149" w:name="_Toc296890984"/>
      <w:bookmarkStart w:id="150" w:name="_Toc297048342"/>
      <w:bookmarkStart w:id="151" w:name="_Toc296347155"/>
      <w:bookmarkStart w:id="152" w:name="_Toc297120456"/>
      <w:bookmarkStart w:id="153" w:name="_Toc292559866"/>
      <w:bookmarkStart w:id="154" w:name="_Toc296503156"/>
      <w:bookmarkStart w:id="155" w:name="_Toc296944495"/>
      <w:r>
        <w:rPr>
          <w:rFonts w:hint="eastAsia" w:ascii="宋体" w:hAnsi="宋体" w:eastAsia="宋体" w:cs="宋体"/>
          <w:b/>
          <w:bCs/>
          <w:color w:val="auto"/>
          <w:sz w:val="32"/>
          <w:szCs w:val="32"/>
          <w:highlight w:val="none"/>
          <w:lang w:val="zh-CN"/>
        </w:rPr>
        <w:t>. 一般约定</w:t>
      </w:r>
      <w:bookmarkEnd w:id="138"/>
      <w:bookmarkEnd w:id="139"/>
      <w:bookmarkEnd w:id="140"/>
      <w:bookmarkEnd w:id="141"/>
      <w:bookmarkEnd w:id="142"/>
      <w:bookmarkEnd w:id="143"/>
      <w:bookmarkEnd w:id="144"/>
      <w:bookmarkEnd w:id="145"/>
    </w:p>
    <w:bookmarkEnd w:id="146"/>
    <w:bookmarkEnd w:id="147"/>
    <w:bookmarkEnd w:id="148"/>
    <w:bookmarkEnd w:id="149"/>
    <w:bookmarkEnd w:id="150"/>
    <w:bookmarkEnd w:id="151"/>
    <w:bookmarkEnd w:id="152"/>
    <w:bookmarkEnd w:id="153"/>
    <w:bookmarkEnd w:id="154"/>
    <w:bookmarkEnd w:id="155"/>
    <w:p w14:paraId="05DBF3F4">
      <w:pPr>
        <w:keepNext/>
        <w:keepLines/>
        <w:spacing w:line="360" w:lineRule="auto"/>
        <w:outlineLvl w:val="2"/>
        <w:rPr>
          <w:rFonts w:hint="eastAsia" w:ascii="宋体" w:hAnsi="宋体" w:eastAsia="宋体" w:cs="宋体"/>
          <w:b/>
          <w:bCs/>
          <w:color w:val="auto"/>
          <w:sz w:val="32"/>
          <w:szCs w:val="32"/>
          <w:highlight w:val="none"/>
          <w:lang w:val="zh-CN"/>
        </w:rPr>
      </w:pPr>
      <w:bookmarkStart w:id="156" w:name="_Toc78449781"/>
      <w:bookmarkStart w:id="157" w:name="_Toc1618220701"/>
      <w:bookmarkStart w:id="158" w:name="_Toc155697041"/>
      <w:bookmarkStart w:id="159" w:name="_Toc373478340"/>
      <w:bookmarkStart w:id="160" w:name="_Toc389065259"/>
      <w:bookmarkStart w:id="161" w:name="_Toc373227693"/>
      <w:bookmarkStart w:id="162" w:name="_Toc407135195"/>
      <w:r>
        <w:rPr>
          <w:rFonts w:hint="eastAsia" w:ascii="宋体" w:hAnsi="宋体" w:eastAsia="宋体" w:cs="宋体"/>
          <w:b/>
          <w:bCs/>
          <w:color w:val="auto"/>
          <w:sz w:val="32"/>
          <w:szCs w:val="32"/>
          <w:highlight w:val="none"/>
          <w:lang w:val="zh-CN"/>
        </w:rPr>
        <w:t>1.1 词语定义</w:t>
      </w:r>
      <w:bookmarkEnd w:id="156"/>
      <w:bookmarkEnd w:id="157"/>
      <w:bookmarkEnd w:id="158"/>
      <w:bookmarkEnd w:id="159"/>
      <w:bookmarkEnd w:id="160"/>
      <w:bookmarkEnd w:id="161"/>
      <w:bookmarkEnd w:id="162"/>
    </w:p>
    <w:p w14:paraId="517E13C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 合同</w:t>
      </w:r>
    </w:p>
    <w:p w14:paraId="370F319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1.1.1.10 其他合同文件包括：</w:t>
      </w:r>
      <w:r>
        <w:rPr>
          <w:rFonts w:hint="eastAsia" w:ascii="宋体" w:hAnsi="宋体" w:eastAsia="宋体" w:cs="宋体"/>
          <w:color w:val="auto"/>
          <w:szCs w:val="21"/>
          <w:highlight w:val="none"/>
          <w:u w:val="single"/>
        </w:rPr>
        <w:t>合同协议书；中标通知书；投标函及其附录；专用合同条款及其附件；通用合同条款；技术标准和要求；磋商工程量清单和图纸；磋商文件；投标文件；其他合同文件；补充协议；工程洽商；经发包人同意监理人发布的变更指示和工程签证；工程会议纪要；备忘录等书面文件均视为本合同的组成部分</w:t>
      </w:r>
      <w:r>
        <w:rPr>
          <w:rFonts w:hint="eastAsia" w:ascii="宋体" w:hAnsi="宋体" w:eastAsia="宋体" w:cs="宋体"/>
          <w:color w:val="auto"/>
          <w:szCs w:val="21"/>
          <w:highlight w:val="none"/>
        </w:rPr>
        <w:t>。</w:t>
      </w:r>
    </w:p>
    <w:p w14:paraId="77A098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14:paraId="58E94B82">
      <w:pPr>
        <w:spacing w:line="360" w:lineRule="auto"/>
        <w:ind w:firstLine="420" w:firstLineChars="200"/>
        <w:outlineLvl w:val="0"/>
        <w:rPr>
          <w:rFonts w:hint="eastAsia" w:ascii="宋体" w:hAnsi="宋体" w:eastAsia="宋体" w:cs="宋体"/>
          <w:color w:val="auto"/>
          <w:szCs w:val="21"/>
          <w:highlight w:val="none"/>
        </w:rPr>
      </w:pPr>
      <w:bookmarkStart w:id="163" w:name="_Toc18202"/>
      <w:r>
        <w:rPr>
          <w:rFonts w:hint="eastAsia" w:ascii="宋体" w:hAnsi="宋体" w:eastAsia="宋体" w:cs="宋体"/>
          <w:color w:val="auto"/>
          <w:szCs w:val="21"/>
          <w:highlight w:val="none"/>
        </w:rPr>
        <w:t>1.1.2.4 监理人：</w:t>
      </w:r>
      <w:bookmarkEnd w:id="163"/>
    </w:p>
    <w:p w14:paraId="303F6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79CFC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50245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ACD52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D6258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62498C7">
      <w:pPr>
        <w:spacing w:line="360" w:lineRule="auto"/>
        <w:ind w:firstLine="420" w:firstLineChars="200"/>
        <w:outlineLvl w:val="0"/>
        <w:rPr>
          <w:rFonts w:hint="eastAsia" w:ascii="宋体" w:hAnsi="宋体" w:eastAsia="宋体" w:cs="宋体"/>
          <w:color w:val="auto"/>
          <w:szCs w:val="21"/>
          <w:highlight w:val="none"/>
        </w:rPr>
      </w:pPr>
      <w:bookmarkStart w:id="164" w:name="_Toc10235"/>
      <w:r>
        <w:rPr>
          <w:rFonts w:hint="eastAsia" w:ascii="宋体" w:hAnsi="宋体" w:eastAsia="宋体" w:cs="宋体"/>
          <w:color w:val="auto"/>
          <w:szCs w:val="21"/>
          <w:highlight w:val="none"/>
        </w:rPr>
        <w:t>1.1.2.5 设计人：</w:t>
      </w:r>
      <w:bookmarkEnd w:id="164"/>
    </w:p>
    <w:p w14:paraId="2D0095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48A1D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E529E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8BC6C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3C68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5F3A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14:paraId="6FBE0905">
      <w:pPr>
        <w:spacing w:line="360" w:lineRule="auto"/>
        <w:ind w:firstLine="420" w:firstLineChars="200"/>
        <w:outlineLvl w:val="0"/>
        <w:rPr>
          <w:rFonts w:hint="eastAsia" w:ascii="宋体" w:hAnsi="宋体" w:eastAsia="宋体" w:cs="宋体"/>
          <w:color w:val="auto"/>
          <w:szCs w:val="21"/>
          <w:highlight w:val="none"/>
        </w:rPr>
      </w:pPr>
      <w:bookmarkStart w:id="165" w:name="_Toc28878"/>
      <w:r>
        <w:rPr>
          <w:rFonts w:hint="eastAsia" w:ascii="宋体" w:hAnsi="宋体" w:eastAsia="宋体" w:cs="宋体"/>
          <w:color w:val="auto"/>
          <w:szCs w:val="21"/>
          <w:highlight w:val="none"/>
        </w:rPr>
        <w:t>1.1.3.7 作为施工现场组成部分的其他场所包括：</w:t>
      </w:r>
      <w:r>
        <w:rPr>
          <w:rFonts w:hint="eastAsia" w:ascii="宋体" w:hAnsi="宋体" w:eastAsia="宋体" w:cs="宋体"/>
          <w:color w:val="auto"/>
          <w:szCs w:val="21"/>
          <w:highlight w:val="none"/>
          <w:u w:val="single"/>
        </w:rPr>
        <w:t>包括永久占地、临时占地</w:t>
      </w:r>
      <w:r>
        <w:rPr>
          <w:rFonts w:hint="eastAsia" w:ascii="宋体" w:hAnsi="宋体" w:eastAsia="宋体" w:cs="宋体"/>
          <w:color w:val="auto"/>
          <w:szCs w:val="21"/>
          <w:highlight w:val="none"/>
        </w:rPr>
        <w:t>。</w:t>
      </w:r>
      <w:bookmarkEnd w:id="165"/>
    </w:p>
    <w:p w14:paraId="356CC045">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1.1.3.9 永久占地包括：</w:t>
      </w:r>
      <w:r>
        <w:rPr>
          <w:rFonts w:hint="eastAsia" w:ascii="宋体" w:hAnsi="宋体" w:eastAsia="宋体" w:cs="宋体"/>
          <w:color w:val="auto"/>
          <w:szCs w:val="21"/>
          <w:highlight w:val="none"/>
          <w:u w:val="single"/>
        </w:rPr>
        <w:t>由发包人提供的用地红线范围内的土地</w:t>
      </w:r>
      <w:r>
        <w:rPr>
          <w:rFonts w:hint="eastAsia" w:ascii="宋体" w:hAnsi="宋体" w:eastAsia="宋体" w:cs="宋体"/>
          <w:color w:val="auto"/>
          <w:kern w:val="0"/>
          <w:szCs w:val="21"/>
          <w:highlight w:val="none"/>
        </w:rPr>
        <w:t>。</w:t>
      </w:r>
    </w:p>
    <w:p w14:paraId="422D5D3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1.1.3.10 临时占地包括：</w:t>
      </w:r>
      <w:r>
        <w:rPr>
          <w:rFonts w:hint="eastAsia" w:ascii="宋体" w:hAnsi="宋体" w:eastAsia="宋体" w:cs="宋体"/>
          <w:color w:val="auto"/>
          <w:szCs w:val="21"/>
          <w:highlight w:val="none"/>
          <w:u w:val="single"/>
        </w:rPr>
        <w:t>承包人为实施工程在用地红线范围以外搭建宿舍、食堂、厕所、办公室、实验室、活动场地、料场、材料加工场、预制场、仓库、施工机械停放处以及修建的临时道路等占用的土地。由承包人自行解决，发包人予以协助，费用由承包人承担</w:t>
      </w:r>
      <w:r>
        <w:rPr>
          <w:rFonts w:hint="eastAsia" w:ascii="宋体" w:hAnsi="宋体" w:eastAsia="宋体" w:cs="宋体"/>
          <w:color w:val="auto"/>
          <w:kern w:val="0"/>
          <w:szCs w:val="21"/>
          <w:highlight w:val="none"/>
        </w:rPr>
        <w:t>。</w:t>
      </w:r>
    </w:p>
    <w:p w14:paraId="37B45F6A">
      <w:pPr>
        <w:keepNext/>
        <w:keepLines/>
        <w:spacing w:line="360" w:lineRule="auto"/>
        <w:outlineLvl w:val="2"/>
        <w:rPr>
          <w:rFonts w:hint="eastAsia" w:ascii="宋体" w:hAnsi="宋体" w:eastAsia="宋体" w:cs="宋体"/>
          <w:b/>
          <w:bCs/>
          <w:color w:val="auto"/>
          <w:sz w:val="32"/>
          <w:szCs w:val="32"/>
          <w:highlight w:val="none"/>
          <w:lang w:val="zh-CN"/>
        </w:rPr>
      </w:pPr>
      <w:bookmarkStart w:id="166" w:name="_Toc407135196"/>
      <w:bookmarkStart w:id="167" w:name="_Toc78449782"/>
      <w:bookmarkStart w:id="168" w:name="_Toc1182598796"/>
      <w:bookmarkStart w:id="169" w:name="_Toc373227694"/>
      <w:bookmarkStart w:id="170" w:name="_Toc1162259329"/>
      <w:bookmarkStart w:id="171" w:name="_Toc389065260"/>
      <w:bookmarkStart w:id="172" w:name="_Toc373478341"/>
      <w:r>
        <w:rPr>
          <w:rFonts w:hint="eastAsia" w:ascii="宋体" w:hAnsi="宋体" w:eastAsia="宋体" w:cs="宋体"/>
          <w:b/>
          <w:bCs/>
          <w:color w:val="auto"/>
          <w:sz w:val="32"/>
          <w:szCs w:val="32"/>
          <w:highlight w:val="none"/>
          <w:lang w:val="zh-CN"/>
        </w:rPr>
        <w:t>1.3 法律</w:t>
      </w:r>
      <w:bookmarkEnd w:id="166"/>
      <w:bookmarkEnd w:id="167"/>
      <w:bookmarkEnd w:id="168"/>
      <w:bookmarkEnd w:id="169"/>
      <w:bookmarkEnd w:id="170"/>
      <w:bookmarkEnd w:id="171"/>
      <w:bookmarkEnd w:id="172"/>
    </w:p>
    <w:p w14:paraId="0A8F01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bookmarkStart w:id="173" w:name="_Hlk165889239"/>
      <w:r>
        <w:rPr>
          <w:rFonts w:hint="eastAsia" w:ascii="宋体" w:hAnsi="宋体" w:eastAsia="宋体" w:cs="宋体"/>
          <w:color w:val="auto"/>
          <w:szCs w:val="21"/>
          <w:highlight w:val="none"/>
          <w:u w:val="single"/>
        </w:rPr>
        <w:t>《中华人民共和国民法典》、《中华人民共和国建筑法》、《中华人民共和国招标投标法》、《中华人民共和国安全生产法》、《建筑工程质量管理条例》、《房屋建筑工程质量保修办法》、《广西壮族自治区建设工程安全文明施工费及使用管理细则》（桂建质【2015】6号）、《广西壮族自治区建筑工程文明施工导则（桂建管【2012】108号），桂政发【2012】42号《广西壮族自治区人民政府关于印发广西壮族自治区建筑安装工程劳动保险费管理办法的通知》、梧政办发[2014]2号《梧州市人民政府办公室转发市住建委关于我市建设工程安全防护文明施工措施费管理规定的通知》，《梧州市人民政府办公室关于印发我市国有投资项目建设工程招投标监管若干规定的通知》梧政办发【2018】203号文、《梧州市关于全面治理拖欠农民工工资问题的实施方案及配套办法》梧政办发【2017】201号文、《关于进一步做好建设业农民工工资支付专项工作的通知》梧建【2018】20号、《关于进一步做好建筑业工伤保险工作的意见》（人社部发〔2014〕103号）、《关于印发梧州市房屋建筑和市政基础设施工程建设领域工人工资支付分账管理办法的通知》梧建【2018】413号、《自治区住房城乡建设厅关于进一步加强广西建筑农民工实名制管理公共服务平台使用工作的通知》、《自治区住房城乡建设厅关于推进广西房屋建筑和市政基础设施工程总承包试点发展的指导意见》桂建管【2016】117号、《自治区住房城乡建设厅关于进一步加强房屋建筑和市政基础设施工程总承包管理的通知》桂建管【2018】9号、《广西壮族自治区人民政府关于停止统一收取建筑安装工程劳动保险费的通知》（桂政发〔2019〕20号）、《关于印发广西壮族自治区建筑工人实名制管理办法实施细则（试行）的通知》（桂建发[2019]9号）、建设项目档案管理规范（DAT28-2018）、《住房和城乡建设部、国家发展改革委关于印发房屋建筑和市政基础设施项目工程总承包管理办法的通知》（建市规〔2019〕12号、《广西壮族自治区房屋建筑和市政基础设施项目工程总承包计价指导意见》（试行）的通知（桂建发【2020】4号文、《关于规范我市房屋建筑和市政基础设施项目工程总承包计价活动的通知》以及其他有关法律、法规、本省、本市建设行政主管部门的有关规范性文件</w:t>
      </w:r>
      <w:r>
        <w:rPr>
          <w:rFonts w:hint="eastAsia" w:ascii="宋体" w:hAnsi="宋体" w:eastAsia="宋体" w:cs="宋体"/>
          <w:color w:val="auto"/>
          <w:szCs w:val="21"/>
          <w:highlight w:val="none"/>
        </w:rPr>
        <w:t>。</w:t>
      </w:r>
    </w:p>
    <w:bookmarkEnd w:id="173"/>
    <w:p w14:paraId="3F3CCC72">
      <w:pPr>
        <w:keepNext/>
        <w:keepLines/>
        <w:spacing w:line="360" w:lineRule="auto"/>
        <w:outlineLvl w:val="2"/>
        <w:rPr>
          <w:rFonts w:hint="eastAsia" w:ascii="宋体" w:hAnsi="宋体" w:eastAsia="宋体" w:cs="宋体"/>
          <w:b/>
          <w:bCs/>
          <w:color w:val="auto"/>
          <w:sz w:val="32"/>
          <w:szCs w:val="32"/>
          <w:highlight w:val="none"/>
          <w:lang w:val="zh-CN"/>
        </w:rPr>
      </w:pPr>
      <w:bookmarkStart w:id="174" w:name="_Toc407135197"/>
      <w:bookmarkStart w:id="175" w:name="_Toc1569433547"/>
      <w:bookmarkStart w:id="176" w:name="_Toc373478342"/>
      <w:bookmarkStart w:id="177" w:name="_Toc1694357896"/>
      <w:bookmarkStart w:id="178" w:name="_Toc389065261"/>
      <w:bookmarkStart w:id="179" w:name="_Toc373227695"/>
      <w:bookmarkStart w:id="180" w:name="_Toc78449783"/>
      <w:r>
        <w:rPr>
          <w:rFonts w:hint="eastAsia" w:ascii="宋体" w:hAnsi="宋体" w:eastAsia="宋体" w:cs="宋体"/>
          <w:b/>
          <w:bCs/>
          <w:color w:val="auto"/>
          <w:sz w:val="32"/>
          <w:szCs w:val="32"/>
          <w:highlight w:val="none"/>
          <w:lang w:val="zh-CN"/>
        </w:rPr>
        <w:t>1.4 标准和规范</w:t>
      </w:r>
      <w:bookmarkEnd w:id="174"/>
      <w:bookmarkEnd w:id="175"/>
      <w:bookmarkEnd w:id="176"/>
      <w:bookmarkEnd w:id="177"/>
      <w:bookmarkEnd w:id="178"/>
      <w:bookmarkEnd w:id="179"/>
      <w:bookmarkEnd w:id="180"/>
    </w:p>
    <w:p w14:paraId="40CFC8D6">
      <w:pPr>
        <w:ind w:firstLine="420" w:firstLineChars="200"/>
        <w:rPr>
          <w:rFonts w:hint="eastAsia" w:ascii="宋体" w:hAnsi="宋体" w:eastAsia="宋体" w:cs="宋体"/>
          <w:color w:val="auto"/>
          <w:szCs w:val="21"/>
          <w:highlight w:val="none"/>
        </w:rPr>
      </w:pPr>
      <w:bookmarkStart w:id="181" w:name="_Toc8554"/>
      <w:r>
        <w:rPr>
          <w:rFonts w:hint="eastAsia" w:ascii="宋体" w:hAnsi="宋体" w:eastAsia="宋体" w:cs="宋体"/>
          <w:color w:val="auto"/>
          <w:szCs w:val="21"/>
          <w:highlight w:val="none"/>
        </w:rPr>
        <w:t>1.4.1 适用于工程的标准规范包括：</w:t>
      </w:r>
      <w:r>
        <w:rPr>
          <w:rFonts w:hint="eastAsia" w:ascii="宋体" w:hAnsi="宋体" w:eastAsia="宋体" w:cs="宋体"/>
          <w:color w:val="auto"/>
          <w:szCs w:val="21"/>
          <w:highlight w:val="none"/>
          <w:u w:val="single"/>
        </w:rPr>
        <w:t xml:space="preserve">  现行的国家标准、行业标准、地方规范性文件   </w:t>
      </w:r>
      <w:r>
        <w:rPr>
          <w:rFonts w:hint="eastAsia" w:ascii="宋体" w:hAnsi="宋体" w:eastAsia="宋体" w:cs="宋体"/>
          <w:color w:val="auto"/>
          <w:szCs w:val="21"/>
          <w:highlight w:val="none"/>
        </w:rPr>
        <w:t xml:space="preserve"> 。</w:t>
      </w:r>
    </w:p>
    <w:p w14:paraId="3F5C353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发包人提供国外标准、规范的名称：</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212CA0B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发包人提供国外标准、规范的份数：</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2E6DB5A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发包人提供国外标准、规范的名称：</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107149C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发包人对工程的技术标准和功能要求的特殊要求：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1F148DC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合同文件的优先顺序</w:t>
      </w:r>
    </w:p>
    <w:p w14:paraId="2A1D868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14:paraId="1827B1F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14:paraId="310000C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（2）成交通知书；</w:t>
      </w:r>
    </w:p>
    <w:p w14:paraId="7692738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（3）磋商函及其附录；</w:t>
      </w:r>
    </w:p>
    <w:p w14:paraId="166A82D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3CB1E3B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66876B9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 xml:space="preserve">  技术标准和要求      </w:t>
      </w:r>
      <w:r>
        <w:rPr>
          <w:rFonts w:hint="eastAsia" w:ascii="宋体" w:hAnsi="宋体" w:eastAsia="宋体" w:cs="宋体"/>
          <w:color w:val="auto"/>
          <w:szCs w:val="21"/>
          <w:highlight w:val="none"/>
        </w:rPr>
        <w:t>；</w:t>
      </w:r>
    </w:p>
    <w:p w14:paraId="300F2FF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single"/>
        </w:rPr>
        <w:t xml:space="preserve">  已标价工程量清单或预算书     </w:t>
      </w:r>
      <w:r>
        <w:rPr>
          <w:rFonts w:hint="eastAsia" w:ascii="宋体" w:hAnsi="宋体" w:eastAsia="宋体" w:cs="宋体"/>
          <w:color w:val="auto"/>
          <w:szCs w:val="21"/>
          <w:highlight w:val="none"/>
        </w:rPr>
        <w:t xml:space="preserve"> ；</w:t>
      </w:r>
    </w:p>
    <w:p w14:paraId="6EC31ED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u w:val="single"/>
        </w:rPr>
        <w:t xml:space="preserve">  图纸           </w:t>
      </w:r>
      <w:r>
        <w:rPr>
          <w:rFonts w:hint="eastAsia" w:ascii="宋体" w:hAnsi="宋体" w:eastAsia="宋体" w:cs="宋体"/>
          <w:color w:val="auto"/>
          <w:szCs w:val="21"/>
          <w:highlight w:val="none"/>
        </w:rPr>
        <w:t>；</w:t>
      </w:r>
    </w:p>
    <w:p w14:paraId="262A2AD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u w:val="single"/>
        </w:rPr>
        <w:t xml:space="preserve">  其他合同文件    </w:t>
      </w:r>
      <w:r>
        <w:rPr>
          <w:rFonts w:hint="eastAsia" w:ascii="宋体" w:hAnsi="宋体" w:eastAsia="宋体" w:cs="宋体"/>
          <w:color w:val="auto"/>
          <w:szCs w:val="21"/>
          <w:highlight w:val="none"/>
        </w:rPr>
        <w:t>。</w:t>
      </w:r>
    </w:p>
    <w:p w14:paraId="1307A2F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14:paraId="5B239CD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说明：（6）、（7）、（8）、（9）填空内容分别限于技术标准和要求、图纸、已标价工程量清单或预算书、其他合同文件四者之一，其优先顺序可根据采取的不同合同方式由双方约定。</w:t>
      </w:r>
    </w:p>
    <w:p w14:paraId="15E54D6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图纸和承包人文件</w:t>
      </w:r>
      <w:r>
        <w:rPr>
          <w:rFonts w:hint="eastAsia" w:ascii="宋体" w:hAnsi="宋体" w:eastAsia="宋体" w:cs="宋体"/>
          <w:color w:val="auto"/>
          <w:szCs w:val="21"/>
          <w:highlight w:val="none"/>
        </w:rPr>
        <w:tab/>
      </w:r>
    </w:p>
    <w:p w14:paraId="27354B4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14:paraId="2BD9515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 xml:space="preserve">    签订合同后5天内      </w:t>
      </w:r>
      <w:r>
        <w:rPr>
          <w:rFonts w:hint="eastAsia" w:ascii="宋体" w:hAnsi="宋体" w:eastAsia="宋体" w:cs="宋体"/>
          <w:color w:val="auto"/>
          <w:szCs w:val="21"/>
          <w:highlight w:val="none"/>
        </w:rPr>
        <w:t xml:space="preserve"> ；</w:t>
      </w:r>
    </w:p>
    <w:p w14:paraId="5961CF2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 xml:space="preserve">  叁  </w:t>
      </w:r>
      <w:r>
        <w:rPr>
          <w:rFonts w:hint="eastAsia" w:ascii="宋体" w:hAnsi="宋体" w:eastAsia="宋体" w:cs="宋体"/>
          <w:color w:val="auto"/>
          <w:szCs w:val="21"/>
          <w:highlight w:val="none"/>
        </w:rPr>
        <w:t>套（承包人需要增加图纸套数的，发包人应代为复制，复制费用由承包人承担）；</w:t>
      </w:r>
    </w:p>
    <w:p w14:paraId="2FC0750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 xml:space="preserve">    经政府部门相关机构审核合格后的施工图和设计单位提供的图纸。详见图纸目录    </w:t>
      </w:r>
      <w:r>
        <w:rPr>
          <w:rFonts w:hint="eastAsia" w:ascii="宋体" w:hAnsi="宋体" w:eastAsia="宋体" w:cs="宋体"/>
          <w:color w:val="auto"/>
          <w:szCs w:val="21"/>
          <w:highlight w:val="none"/>
        </w:rPr>
        <w:t>。</w:t>
      </w:r>
    </w:p>
    <w:p w14:paraId="4EA998F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14:paraId="1EEABF9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需要由承包人提供的文件，包括：</w:t>
      </w:r>
      <w:r>
        <w:rPr>
          <w:rFonts w:hint="eastAsia" w:ascii="宋体" w:hAnsi="宋体" w:eastAsia="宋体" w:cs="宋体"/>
          <w:color w:val="auto"/>
          <w:szCs w:val="21"/>
          <w:highlight w:val="none"/>
          <w:u w:val="single"/>
        </w:rPr>
        <w:t xml:space="preserve">因承包人原因提出的设计变更方案、质量处理整改方案 </w:t>
      </w:r>
      <w:r>
        <w:rPr>
          <w:rFonts w:hint="eastAsia" w:ascii="宋体" w:hAnsi="宋体" w:eastAsia="宋体" w:cs="宋体"/>
          <w:color w:val="auto"/>
          <w:szCs w:val="21"/>
          <w:highlight w:val="none"/>
        </w:rPr>
        <w:t>；</w:t>
      </w:r>
    </w:p>
    <w:p w14:paraId="0E19BC7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 xml:space="preserve">    文件实施前3天     </w:t>
      </w:r>
      <w:r>
        <w:rPr>
          <w:rFonts w:hint="eastAsia" w:ascii="宋体" w:hAnsi="宋体" w:eastAsia="宋体" w:cs="宋体"/>
          <w:color w:val="auto"/>
          <w:szCs w:val="21"/>
          <w:highlight w:val="none"/>
        </w:rPr>
        <w:t xml:space="preserve"> ；</w:t>
      </w:r>
    </w:p>
    <w:p w14:paraId="66E10F4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 xml:space="preserve">  按发包人要求提供     </w:t>
      </w:r>
      <w:r>
        <w:rPr>
          <w:rFonts w:hint="eastAsia" w:ascii="宋体" w:hAnsi="宋体" w:eastAsia="宋体" w:cs="宋体"/>
          <w:color w:val="auto"/>
          <w:szCs w:val="21"/>
          <w:highlight w:val="none"/>
        </w:rPr>
        <w:t xml:space="preserve"> ；</w:t>
      </w:r>
    </w:p>
    <w:p w14:paraId="3BD3B28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rPr>
        <w:t xml:space="preserve"> 加盖单位公章的纸质文件 </w:t>
      </w:r>
      <w:r>
        <w:rPr>
          <w:rFonts w:hint="eastAsia" w:ascii="宋体" w:hAnsi="宋体" w:eastAsia="宋体" w:cs="宋体"/>
          <w:color w:val="auto"/>
          <w:szCs w:val="21"/>
          <w:highlight w:val="none"/>
        </w:rPr>
        <w:t xml:space="preserve"> ；</w:t>
      </w:r>
    </w:p>
    <w:p w14:paraId="7C40CBE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szCs w:val="21"/>
          <w:highlight w:val="none"/>
          <w:u w:val="single"/>
        </w:rPr>
        <w:t xml:space="preserve">    收到文件后7天内   </w:t>
      </w:r>
      <w:r>
        <w:rPr>
          <w:rFonts w:hint="eastAsia" w:ascii="宋体" w:hAnsi="宋体" w:eastAsia="宋体" w:cs="宋体"/>
          <w:color w:val="auto"/>
          <w:szCs w:val="21"/>
          <w:highlight w:val="none"/>
        </w:rPr>
        <w:t>。</w:t>
      </w:r>
    </w:p>
    <w:p w14:paraId="7C7DED3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14:paraId="78AE277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 xml:space="preserve"> 。</w:t>
      </w:r>
    </w:p>
    <w:p w14:paraId="2EDE54F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联络</w:t>
      </w:r>
    </w:p>
    <w:p w14:paraId="1BD4D44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1.7.1发包人和承包人应当在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天内将与合同有关的通知、批准、证明、证书、指示、指令、要求、请求、同意、意见、确定和决定等书面函件送达对方当事人。</w:t>
      </w:r>
    </w:p>
    <w:p w14:paraId="008E2AC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发包人接收文件的地点：</w:t>
      </w:r>
      <w:r>
        <w:rPr>
          <w:rFonts w:hint="eastAsia" w:ascii="宋体" w:hAnsi="宋体" w:eastAsia="宋体" w:cs="宋体"/>
          <w:color w:val="auto"/>
          <w:szCs w:val="21"/>
          <w:highlight w:val="none"/>
          <w:u w:val="single"/>
        </w:rPr>
        <w:t xml:space="preserve">       发包人办公室      </w:t>
      </w:r>
      <w:r>
        <w:rPr>
          <w:rFonts w:hint="eastAsia" w:ascii="宋体" w:hAnsi="宋体" w:eastAsia="宋体" w:cs="宋体"/>
          <w:color w:val="auto"/>
          <w:szCs w:val="21"/>
          <w:highlight w:val="none"/>
        </w:rPr>
        <w:t>；</w:t>
      </w:r>
    </w:p>
    <w:p w14:paraId="0597653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 xml:space="preserve">      工地代表（可委托）       </w:t>
      </w:r>
      <w:r>
        <w:rPr>
          <w:rFonts w:hint="eastAsia" w:ascii="宋体" w:hAnsi="宋体" w:eastAsia="宋体" w:cs="宋体"/>
          <w:color w:val="auto"/>
          <w:szCs w:val="21"/>
          <w:highlight w:val="none"/>
        </w:rPr>
        <w:t>。</w:t>
      </w:r>
    </w:p>
    <w:p w14:paraId="754E369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 xml:space="preserve">      承包人项目部办公室       </w:t>
      </w:r>
      <w:r>
        <w:rPr>
          <w:rFonts w:hint="eastAsia" w:ascii="宋体" w:hAnsi="宋体" w:eastAsia="宋体" w:cs="宋体"/>
          <w:color w:val="auto"/>
          <w:szCs w:val="21"/>
          <w:highlight w:val="none"/>
        </w:rPr>
        <w:t>；</w:t>
      </w:r>
    </w:p>
    <w:p w14:paraId="1FAA4AD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 xml:space="preserve">        项目经理               </w:t>
      </w:r>
      <w:r>
        <w:rPr>
          <w:rFonts w:hint="eastAsia" w:ascii="宋体" w:hAnsi="宋体" w:eastAsia="宋体" w:cs="宋体"/>
          <w:color w:val="auto"/>
          <w:szCs w:val="21"/>
          <w:highlight w:val="none"/>
        </w:rPr>
        <w:t>。</w:t>
      </w:r>
    </w:p>
    <w:p w14:paraId="0D2E1A3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 xml:space="preserve">       项目监理部              </w:t>
      </w:r>
      <w:r>
        <w:rPr>
          <w:rFonts w:hint="eastAsia" w:ascii="宋体" w:hAnsi="宋体" w:eastAsia="宋体" w:cs="宋体"/>
          <w:color w:val="auto"/>
          <w:szCs w:val="21"/>
          <w:highlight w:val="none"/>
        </w:rPr>
        <w:t>；</w:t>
      </w:r>
    </w:p>
    <w:p w14:paraId="6A32341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 xml:space="preserve">       总监理工程师（可委托）  </w:t>
      </w:r>
      <w:r>
        <w:rPr>
          <w:rFonts w:hint="eastAsia" w:ascii="宋体" w:hAnsi="宋体" w:eastAsia="宋体" w:cs="宋体"/>
          <w:color w:val="auto"/>
          <w:szCs w:val="21"/>
          <w:highlight w:val="none"/>
        </w:rPr>
        <w:t>。</w:t>
      </w:r>
    </w:p>
    <w:p w14:paraId="20B5F00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 交通运输</w:t>
      </w:r>
    </w:p>
    <w:p w14:paraId="1DAAA99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1.10.1 出入现场的权利</w:t>
      </w:r>
    </w:p>
    <w:p w14:paraId="5FEA3B1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 xml:space="preserve">  按现有出入现场的道路现状交付承包人，由承包人自行解决取得出入现场的道路通行的权利 ，发包人应协助办理有关手续  </w:t>
      </w:r>
      <w:r>
        <w:rPr>
          <w:rFonts w:hint="eastAsia" w:ascii="宋体" w:hAnsi="宋体" w:eastAsia="宋体" w:cs="宋体"/>
          <w:color w:val="auto"/>
          <w:szCs w:val="21"/>
          <w:highlight w:val="none"/>
        </w:rPr>
        <w:t>。</w:t>
      </w:r>
    </w:p>
    <w:p w14:paraId="7E6DEC0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1.10.3 场内交通</w:t>
      </w:r>
    </w:p>
    <w:p w14:paraId="3850B3F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 xml:space="preserve"> 由承包方按照规划红线进行封闭围挡，施工现场封闭围挡范围以内为场内交通；范围以外为场外交通   </w:t>
      </w:r>
      <w:r>
        <w:rPr>
          <w:rFonts w:hint="eastAsia" w:ascii="宋体" w:hAnsi="宋体" w:eastAsia="宋体" w:cs="宋体"/>
          <w:color w:val="auto"/>
          <w:szCs w:val="21"/>
          <w:highlight w:val="none"/>
        </w:rPr>
        <w:t>。</w:t>
      </w:r>
    </w:p>
    <w:p w14:paraId="51A64BA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发包人按照施工现场现状提供施工需要的场内道路和交通设施，承包人负责修建、维修、养护和管理施工所需的其他场内临时道路和交通设施，并承担相应的费用 </w:t>
      </w:r>
      <w:r>
        <w:rPr>
          <w:rFonts w:hint="eastAsia" w:ascii="宋体" w:hAnsi="宋体" w:eastAsia="宋体" w:cs="宋体"/>
          <w:color w:val="auto"/>
          <w:szCs w:val="21"/>
          <w:highlight w:val="none"/>
        </w:rPr>
        <w:t>。</w:t>
      </w:r>
    </w:p>
    <w:p w14:paraId="7A7CD70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 超大件和超重件的运输</w:t>
      </w:r>
    </w:p>
    <w:p w14:paraId="03B5DF6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承包方  </w:t>
      </w:r>
      <w:r>
        <w:rPr>
          <w:rFonts w:hint="eastAsia" w:ascii="宋体" w:hAnsi="宋体" w:eastAsia="宋体" w:cs="宋体"/>
          <w:color w:val="auto"/>
          <w:szCs w:val="21"/>
          <w:highlight w:val="none"/>
        </w:rPr>
        <w:t>承担。</w:t>
      </w:r>
    </w:p>
    <w:p w14:paraId="5FB9DBE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知识产权</w:t>
      </w:r>
    </w:p>
    <w:p w14:paraId="6BF049C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归发包人  </w:t>
      </w:r>
      <w:r>
        <w:rPr>
          <w:rFonts w:hint="eastAsia" w:ascii="宋体" w:hAnsi="宋体" w:eastAsia="宋体" w:cs="宋体"/>
          <w:color w:val="auto"/>
          <w:szCs w:val="21"/>
          <w:highlight w:val="none"/>
        </w:rPr>
        <w:t>。</w:t>
      </w:r>
    </w:p>
    <w:p w14:paraId="7C962F9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未经发包人书面同意，承包人不得为了合同以外的目的而复制、使用上述文件或将之提供给任何第三方    </w:t>
      </w:r>
      <w:r>
        <w:rPr>
          <w:rFonts w:hint="eastAsia" w:ascii="宋体" w:hAnsi="宋体" w:eastAsia="宋体" w:cs="宋体"/>
          <w:color w:val="auto"/>
          <w:szCs w:val="21"/>
          <w:highlight w:val="none"/>
        </w:rPr>
        <w:t>。</w:t>
      </w:r>
    </w:p>
    <w:p w14:paraId="78A73A6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14:paraId="1853C4D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1.11.3关于承包人提供的上述文件的使用限制的要求：</w:t>
      </w:r>
      <w:r>
        <w:rPr>
          <w:rFonts w:hint="eastAsia" w:ascii="宋体" w:hAnsi="宋体" w:eastAsia="宋体" w:cs="宋体"/>
          <w:color w:val="auto"/>
          <w:szCs w:val="21"/>
          <w:highlight w:val="none"/>
          <w:u w:val="single"/>
        </w:rPr>
        <w:t xml:space="preserve"> 未经发包人书面同意，承包人不得为了合同以外的目的而复制、使用上述文件或将之提供给任何第三方   </w:t>
      </w:r>
      <w:r>
        <w:rPr>
          <w:rFonts w:hint="eastAsia" w:ascii="宋体" w:hAnsi="宋体" w:eastAsia="宋体" w:cs="宋体"/>
          <w:color w:val="auto"/>
          <w:szCs w:val="21"/>
          <w:highlight w:val="none"/>
        </w:rPr>
        <w:t>。</w:t>
      </w:r>
    </w:p>
    <w:p w14:paraId="57E7BB4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p>
    <w:p w14:paraId="28EE71B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14:paraId="06F67B8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1.13工程量清单错误的修正</w:t>
      </w:r>
    </w:p>
    <w:p w14:paraId="0564047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出现工程量清单工程量偏差时，是否调整合同价格：</w:t>
      </w:r>
      <w:r>
        <w:rPr>
          <w:rFonts w:hint="eastAsia" w:ascii="宋体" w:hAnsi="宋体" w:eastAsia="宋体" w:cs="宋体"/>
          <w:color w:val="auto"/>
          <w:szCs w:val="21"/>
          <w:highlight w:val="none"/>
          <w:u w:val="single"/>
        </w:rPr>
        <w:t xml:space="preserve">  除设计变更可调整合同价（但总结算价不能超该项目的上限控制价）以外，其余情况下不得调整合同价    </w:t>
      </w:r>
      <w:r>
        <w:rPr>
          <w:rFonts w:hint="eastAsia" w:ascii="宋体" w:hAnsi="宋体" w:eastAsia="宋体" w:cs="宋体"/>
          <w:color w:val="auto"/>
          <w:szCs w:val="21"/>
          <w:highlight w:val="none"/>
        </w:rPr>
        <w:t>。</w:t>
      </w:r>
    </w:p>
    <w:p w14:paraId="17DB550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允许调整合同价格的工程量偏差范围及其调整办法：</w:t>
      </w:r>
      <w:r>
        <w:rPr>
          <w:rFonts w:hint="eastAsia" w:ascii="宋体" w:hAnsi="宋体" w:eastAsia="宋体" w:cs="宋体"/>
          <w:color w:val="auto"/>
          <w:szCs w:val="21"/>
          <w:highlight w:val="none"/>
          <w:u w:val="single"/>
        </w:rPr>
        <w:t xml:space="preserve"> 按10.4.1 变更估价原则</w:t>
      </w:r>
      <w:r>
        <w:rPr>
          <w:rFonts w:hint="eastAsia" w:ascii="宋体" w:hAnsi="宋体" w:eastAsia="宋体" w:cs="宋体"/>
          <w:color w:val="auto"/>
          <w:szCs w:val="21"/>
          <w:highlight w:val="none"/>
        </w:rPr>
        <w:t>。</w:t>
      </w:r>
    </w:p>
    <w:p w14:paraId="6FD5A0F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发包人</w:t>
      </w:r>
    </w:p>
    <w:p w14:paraId="7F733A2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发包人代表</w:t>
      </w:r>
    </w:p>
    <w:p w14:paraId="3DCC9F8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14:paraId="684A292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4CF2CEF7">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color w:val="auto"/>
          <w:szCs w:val="21"/>
          <w:highlight w:val="none"/>
          <w:u w:val="single"/>
        </w:rPr>
        <w:t>除以下事项以外，发包人代表有权处理合同履行过程中与发包人有关的事宜：</w:t>
      </w:r>
    </w:p>
    <w:p w14:paraId="3C1FD63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（1）发布暂停施工命令</w:t>
      </w:r>
    </w:p>
    <w:p w14:paraId="26BF53B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（2）同意组织竣工验收</w:t>
      </w:r>
    </w:p>
    <w:p w14:paraId="0F1511D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（3）签认竣工付款证书</w:t>
      </w:r>
    </w:p>
    <w:p w14:paraId="625A8A0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（4）签发工程接收证书</w:t>
      </w:r>
    </w:p>
    <w:p w14:paraId="452248D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（5）签发缺陷责任终止证书</w:t>
      </w:r>
    </w:p>
    <w:p w14:paraId="2B7263E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（6）签发最终结清证书。</w:t>
      </w:r>
    </w:p>
    <w:p w14:paraId="2D04EA5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2.4资金来源证明及支付担保</w:t>
      </w:r>
    </w:p>
    <w:p w14:paraId="664C41C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427DC36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14:paraId="701CD2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002E7E2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发包人提供的支付担保格式见合同附件2。</w:t>
      </w:r>
    </w:p>
    <w:p w14:paraId="66A1F13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承包人</w:t>
      </w:r>
    </w:p>
    <w:p w14:paraId="487B947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承包人的一般义务</w:t>
      </w:r>
    </w:p>
    <w:p w14:paraId="7687D78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按照现行的建设工程文件归档规范，符合竣工验收要求的竣工图、施工管理资料、施工技术资料、检验（测）资料、评定（价）资料及国家、地方规定的其他资料  </w:t>
      </w:r>
      <w:r>
        <w:rPr>
          <w:rFonts w:hint="eastAsia" w:ascii="宋体" w:hAnsi="宋体" w:eastAsia="宋体" w:cs="宋体"/>
          <w:color w:val="auto"/>
          <w:szCs w:val="21"/>
          <w:highlight w:val="none"/>
        </w:rPr>
        <w:t>。</w:t>
      </w:r>
    </w:p>
    <w:p w14:paraId="7FEA1B1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 xml:space="preserve">     5套       </w:t>
      </w:r>
      <w:r>
        <w:rPr>
          <w:rFonts w:hint="eastAsia" w:ascii="宋体" w:hAnsi="宋体" w:eastAsia="宋体" w:cs="宋体"/>
          <w:color w:val="auto"/>
          <w:szCs w:val="21"/>
          <w:highlight w:val="none"/>
        </w:rPr>
        <w:t>。</w:t>
      </w:r>
    </w:p>
    <w:p w14:paraId="2E7DCED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 xml:space="preserve">   承包人承担  </w:t>
      </w:r>
      <w:r>
        <w:rPr>
          <w:rFonts w:hint="eastAsia" w:ascii="宋体" w:hAnsi="宋体" w:eastAsia="宋体" w:cs="宋体"/>
          <w:color w:val="auto"/>
          <w:szCs w:val="21"/>
          <w:highlight w:val="none"/>
        </w:rPr>
        <w:t>。</w:t>
      </w:r>
    </w:p>
    <w:p w14:paraId="5022B48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 xml:space="preserve">   工程竣工验收合格后7日内  </w:t>
      </w:r>
      <w:r>
        <w:rPr>
          <w:rFonts w:hint="eastAsia" w:ascii="宋体" w:hAnsi="宋体" w:eastAsia="宋体" w:cs="宋体"/>
          <w:color w:val="auto"/>
          <w:szCs w:val="21"/>
          <w:highlight w:val="none"/>
        </w:rPr>
        <w:t>。</w:t>
      </w:r>
    </w:p>
    <w:p w14:paraId="65D3966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 xml:space="preserve">   纸质4套，电子扫描件文档1套  </w:t>
      </w:r>
      <w:r>
        <w:rPr>
          <w:rFonts w:hint="eastAsia" w:ascii="宋体" w:hAnsi="宋体" w:eastAsia="宋体" w:cs="宋体"/>
          <w:color w:val="auto"/>
          <w:szCs w:val="21"/>
          <w:highlight w:val="none"/>
        </w:rPr>
        <w:t>。</w:t>
      </w:r>
    </w:p>
    <w:p w14:paraId="160F17B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（10）承包人应履行的其他义务：</w:t>
      </w:r>
      <w:r>
        <w:rPr>
          <w:rFonts w:hint="eastAsia" w:ascii="宋体" w:hAnsi="宋体" w:eastAsia="宋体" w:cs="宋体"/>
          <w:color w:val="auto"/>
          <w:szCs w:val="21"/>
          <w:highlight w:val="none"/>
          <w:u w:val="single"/>
        </w:rPr>
        <w:t xml:space="preserve">   严格执行建筑节能相关法律法规，在施工过程中节约资源，杜绝浪费     </w:t>
      </w:r>
      <w:r>
        <w:rPr>
          <w:rFonts w:hint="eastAsia" w:ascii="宋体" w:hAnsi="宋体" w:eastAsia="宋体" w:cs="宋体"/>
          <w:color w:val="auto"/>
          <w:szCs w:val="21"/>
          <w:highlight w:val="none"/>
        </w:rPr>
        <w:t>。</w:t>
      </w:r>
    </w:p>
    <w:p w14:paraId="519D1F2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项目经理</w:t>
      </w:r>
    </w:p>
    <w:p w14:paraId="17D7F57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项目经理：</w:t>
      </w:r>
    </w:p>
    <w:p w14:paraId="5DFEA1E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3F3E0C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02637F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5EEA30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9B47D9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83325B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r>
        <w:rPr>
          <w:rFonts w:hint="eastAsia" w:ascii="宋体" w:hAnsi="宋体" w:eastAsia="宋体" w:cs="宋体"/>
          <w:color w:val="auto"/>
          <w:szCs w:val="21"/>
          <w:highlight w:val="none"/>
          <w:u w:val="single"/>
        </w:rPr>
        <w:t xml:space="preserve">  项目经理经承包人授权后代表承包人负责履行合同，但是下列事项必须经承包人同意，并加盖承包人单位公章方为有效</w:t>
      </w:r>
      <w:r>
        <w:rPr>
          <w:rFonts w:hint="eastAsia" w:ascii="宋体" w:hAnsi="宋体" w:eastAsia="宋体" w:cs="宋体"/>
          <w:color w:val="auto"/>
          <w:szCs w:val="21"/>
          <w:highlight w:val="none"/>
        </w:rPr>
        <w:t>：</w:t>
      </w:r>
    </w:p>
    <w:p w14:paraId="48C38A8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与本工程相关的任何补充协议的签订</w:t>
      </w:r>
      <w:r>
        <w:rPr>
          <w:rFonts w:hint="eastAsia" w:ascii="宋体" w:hAnsi="宋体" w:eastAsia="宋体" w:cs="宋体"/>
          <w:color w:val="auto"/>
          <w:szCs w:val="21"/>
          <w:highlight w:val="none"/>
        </w:rPr>
        <w:t>；</w:t>
      </w:r>
    </w:p>
    <w:p w14:paraId="5A5ECF4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与本工程相关的任何分包合同、采购合同、聘任合同的签订</w:t>
      </w:r>
      <w:r>
        <w:rPr>
          <w:rFonts w:hint="eastAsia" w:ascii="宋体" w:hAnsi="宋体" w:eastAsia="宋体" w:cs="宋体"/>
          <w:color w:val="auto"/>
          <w:szCs w:val="21"/>
          <w:highlight w:val="none"/>
        </w:rPr>
        <w:t>：</w:t>
      </w:r>
    </w:p>
    <w:p w14:paraId="66A4ABD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同意涉及合同价款变化超过1万元或合同工期变化超过3天的变更指示</w:t>
      </w:r>
      <w:r>
        <w:rPr>
          <w:rFonts w:hint="eastAsia" w:ascii="宋体" w:hAnsi="宋体" w:eastAsia="宋体" w:cs="宋体"/>
          <w:color w:val="auto"/>
          <w:szCs w:val="21"/>
          <w:highlight w:val="none"/>
        </w:rPr>
        <w:t>；</w:t>
      </w:r>
    </w:p>
    <w:p w14:paraId="1C0FD74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u w:val="single"/>
        </w:rPr>
        <w:t>进度款支付申请</w:t>
      </w:r>
      <w:r>
        <w:rPr>
          <w:rFonts w:hint="eastAsia" w:ascii="宋体" w:hAnsi="宋体" w:eastAsia="宋体" w:cs="宋体"/>
          <w:color w:val="auto"/>
          <w:szCs w:val="21"/>
          <w:highlight w:val="none"/>
        </w:rPr>
        <w:t>；</w:t>
      </w:r>
    </w:p>
    <w:p w14:paraId="68EDE48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竣工验收申请</w:t>
      </w:r>
      <w:r>
        <w:rPr>
          <w:rFonts w:hint="eastAsia" w:ascii="宋体" w:hAnsi="宋体" w:eastAsia="宋体" w:cs="宋体"/>
          <w:color w:val="auto"/>
          <w:szCs w:val="21"/>
          <w:highlight w:val="none"/>
        </w:rPr>
        <w:t>；</w:t>
      </w:r>
    </w:p>
    <w:p w14:paraId="12742A8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 xml:space="preserve">最终结清申请单 </w:t>
      </w:r>
      <w:r>
        <w:rPr>
          <w:rFonts w:hint="eastAsia" w:ascii="宋体" w:hAnsi="宋体" w:eastAsia="宋体" w:cs="宋体"/>
          <w:color w:val="auto"/>
          <w:szCs w:val="21"/>
          <w:highlight w:val="none"/>
        </w:rPr>
        <w:t>。</w:t>
      </w:r>
    </w:p>
    <w:p w14:paraId="31B440C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关于项目经理每月在施工现场的时间要求</w:t>
      </w:r>
      <w:r>
        <w:rPr>
          <w:rFonts w:hint="eastAsia" w:ascii="宋体" w:hAnsi="宋体" w:eastAsia="宋体" w:cs="宋体"/>
          <w:color w:val="auto"/>
          <w:szCs w:val="21"/>
          <w:highlight w:val="none"/>
          <w:u w:val="single"/>
        </w:rPr>
        <w:t xml:space="preserve">： 80%/月  </w:t>
      </w:r>
      <w:r>
        <w:rPr>
          <w:rFonts w:hint="eastAsia" w:ascii="宋体" w:hAnsi="宋体" w:eastAsia="宋体" w:cs="宋体"/>
          <w:color w:val="auto"/>
          <w:szCs w:val="21"/>
          <w:highlight w:val="none"/>
        </w:rPr>
        <w:t>。</w:t>
      </w:r>
    </w:p>
    <w:p w14:paraId="2CAB4DC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 xml:space="preserve"> 监理人限期承包人在收到提交要求后3日内补交，并承担违约金1000元；3日内不能补交的，发包人有权要求承包人更换项目经理，并承担违约金10000元。由此增加的费用和（或）延误的工期由承包人承担   </w:t>
      </w:r>
      <w:r>
        <w:rPr>
          <w:rFonts w:hint="eastAsia" w:ascii="宋体" w:hAnsi="宋体" w:eastAsia="宋体" w:cs="宋体"/>
          <w:color w:val="auto"/>
          <w:szCs w:val="21"/>
          <w:highlight w:val="none"/>
        </w:rPr>
        <w:t>。</w:t>
      </w:r>
    </w:p>
    <w:p w14:paraId="2124751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项目经理未经批准，擅自离开施工现场的违约责任：</w:t>
      </w:r>
      <w:r>
        <w:rPr>
          <w:rFonts w:hint="eastAsia" w:ascii="宋体" w:hAnsi="宋体" w:eastAsia="宋体" w:cs="宋体"/>
          <w:color w:val="auto"/>
          <w:szCs w:val="21"/>
          <w:highlight w:val="none"/>
          <w:u w:val="single"/>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eastAsia="宋体" w:cs="宋体"/>
          <w:color w:val="auto"/>
          <w:szCs w:val="21"/>
          <w:highlight w:val="none"/>
        </w:rPr>
        <w:t>。</w:t>
      </w:r>
    </w:p>
    <w:p w14:paraId="77219AD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 3000元/人•次（人民币）</w:t>
      </w:r>
      <w:r>
        <w:rPr>
          <w:rFonts w:hint="eastAsia" w:ascii="宋体" w:hAnsi="宋体" w:eastAsia="宋体" w:cs="宋体"/>
          <w:color w:val="auto"/>
          <w:szCs w:val="21"/>
          <w:highlight w:val="none"/>
        </w:rPr>
        <w:t>。</w:t>
      </w:r>
    </w:p>
    <w:p w14:paraId="349124B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szCs w:val="21"/>
          <w:highlight w:val="none"/>
          <w:u w:val="single"/>
        </w:rPr>
        <w:t>因承包人项目经理不称职，发包人要求调换而未及时调换的，视为承包人违约，必须向发包人交纳处罚金 5000元/人•次（人民币）</w:t>
      </w:r>
      <w:r>
        <w:rPr>
          <w:rFonts w:hint="eastAsia" w:ascii="宋体" w:hAnsi="宋体" w:eastAsia="宋体" w:cs="宋体"/>
          <w:color w:val="auto"/>
          <w:szCs w:val="21"/>
          <w:highlight w:val="none"/>
        </w:rPr>
        <w:t>。</w:t>
      </w:r>
    </w:p>
    <w:p w14:paraId="4187520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承包人人员</w:t>
      </w:r>
    </w:p>
    <w:p w14:paraId="720D371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承包人提交项目管理机构及施工现场管理人员安排报告（格式见合同附件3）的期限</w:t>
      </w:r>
      <w:r>
        <w:rPr>
          <w:rFonts w:hint="eastAsia" w:ascii="宋体" w:hAnsi="宋体" w:eastAsia="宋体" w:cs="宋体"/>
          <w:color w:val="auto"/>
          <w:szCs w:val="21"/>
          <w:highlight w:val="none"/>
          <w:u w:val="single"/>
        </w:rPr>
        <w:t xml:space="preserve">：接到开工通知后7天内    </w:t>
      </w:r>
      <w:r>
        <w:rPr>
          <w:rFonts w:hint="eastAsia" w:ascii="宋体" w:hAnsi="宋体" w:eastAsia="宋体" w:cs="宋体"/>
          <w:color w:val="auto"/>
          <w:szCs w:val="21"/>
          <w:highlight w:val="none"/>
        </w:rPr>
        <w:t>。</w:t>
      </w:r>
    </w:p>
    <w:p w14:paraId="78D07B6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承包人无正当理由拒绝撤换主要施工管理人员的违约责任：</w:t>
      </w:r>
      <w:r>
        <w:rPr>
          <w:rFonts w:hint="eastAsia" w:ascii="宋体" w:hAnsi="宋体" w:eastAsia="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 1000  元/人•次（人民币）；专业工程师500元/人•次（人民币）</w:t>
      </w:r>
      <w:r>
        <w:rPr>
          <w:rFonts w:hint="eastAsia" w:ascii="宋体" w:hAnsi="宋体" w:eastAsia="宋体" w:cs="宋体"/>
          <w:color w:val="auto"/>
          <w:szCs w:val="21"/>
          <w:highlight w:val="none"/>
        </w:rPr>
        <w:t>。</w:t>
      </w:r>
    </w:p>
    <w:p w14:paraId="638D885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 承包人主要施工管理人员离开施工现场的批准要求：</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14:paraId="3FF4563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 承包人擅自更换主要施工管理人员的违约责任</w:t>
      </w:r>
      <w:r>
        <w:rPr>
          <w:rFonts w:hint="eastAsia" w:ascii="宋体" w:hAnsi="宋体" w:eastAsia="宋体" w:cs="宋体"/>
          <w:color w:val="auto"/>
          <w:szCs w:val="21"/>
          <w:highlight w:val="none"/>
          <w:u w:val="single"/>
        </w:rPr>
        <w:t>：项目技术负责人、专职安全员及其承诺的其它在场管理人员未经发包人书面同意不准擅自更换，擅自更换项目技术负责人处 1000 元/人•次（人民币）违约金；擅自更换专职安全员处500元/人•次（人民币）违约金；擅自更换其它在场管理人员处500元/人•次（人民币）违约金</w:t>
      </w:r>
      <w:r>
        <w:rPr>
          <w:rFonts w:hint="eastAsia" w:ascii="宋体" w:hAnsi="宋体" w:eastAsia="宋体" w:cs="宋体"/>
          <w:color w:val="auto"/>
          <w:szCs w:val="21"/>
          <w:highlight w:val="none"/>
        </w:rPr>
        <w:t>。</w:t>
      </w:r>
    </w:p>
    <w:p w14:paraId="0C775B7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color w:val="auto"/>
          <w:szCs w:val="21"/>
          <w:highlight w:val="none"/>
          <w:u w:val="single"/>
        </w:rPr>
        <w:t>未经发包人同意，项目技术负责人擅自离岗的，视为承包人违约，发包人有权处违约金  3000  元/人•次（人民币）；未经发包人同意，专职安全员擅自离岗的，视为承包人违约，发包人有权处违约金1000元/人•次（人民币）；其它在场管理人员擅自离岗的，视为承包人违约，发包人有权处违约金1000元/人•次（人民币）</w:t>
      </w:r>
      <w:r>
        <w:rPr>
          <w:rFonts w:hint="eastAsia" w:ascii="宋体" w:hAnsi="宋体" w:eastAsia="宋体" w:cs="宋体"/>
          <w:color w:val="auto"/>
          <w:szCs w:val="21"/>
          <w:highlight w:val="none"/>
        </w:rPr>
        <w:t>。</w:t>
      </w:r>
    </w:p>
    <w:p w14:paraId="19C39AF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 分包</w:t>
      </w:r>
    </w:p>
    <w:p w14:paraId="1E5D4AE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分包的一般约定</w:t>
      </w:r>
    </w:p>
    <w:p w14:paraId="471B686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rPr>
        <w:t xml:space="preserve">   本工程不允许分包、转包     </w:t>
      </w:r>
      <w:r>
        <w:rPr>
          <w:rFonts w:hint="eastAsia" w:ascii="宋体" w:hAnsi="宋体" w:eastAsia="宋体" w:cs="宋体"/>
          <w:color w:val="auto"/>
          <w:szCs w:val="21"/>
          <w:highlight w:val="none"/>
        </w:rPr>
        <w:t>。</w:t>
      </w:r>
    </w:p>
    <w:p w14:paraId="0BEB75A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52C086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分包的确定</w:t>
      </w:r>
    </w:p>
    <w:p w14:paraId="5ADF168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0B865EE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其他关于分包的约定：</w:t>
      </w:r>
    </w:p>
    <w:p w14:paraId="02A20FB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71BAACB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（2）在相关分包合同签订并报送有关建设行政主管部门备案后7天内，承包人应当将一份副本提交给监理人，承包人应保障分包工作不得再次分包。</w:t>
      </w:r>
    </w:p>
    <w:p w14:paraId="350C77B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（3）未经承包人和监理人审批同意的分包工程和分包人，承包人有权拒绝验收分包工程和支付相应款项，由此引起的发包人费用增加和(或)延误的工期由发包人承担。</w:t>
      </w:r>
    </w:p>
    <w:p w14:paraId="1F0C146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（4）承包人有以下情况之一者，发包人有权解除合同，并视情况扣除其履约保证金：</w:t>
      </w:r>
    </w:p>
    <w:p w14:paraId="74A84CC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①个人承包工程，包括本人单位及外单位人员承包，发包人不承认其个人拥有任何资质等级及营业许可资格。没收全部履约保证金。</w:t>
      </w:r>
    </w:p>
    <w:p w14:paraId="1DD7969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②几个人联合承包工程，就地组织暗分包队伍，不具备完成本工程的技术、机械能力，被发包人判定为没有能力履行的承包人。没收全部履约保证金。</w:t>
      </w:r>
    </w:p>
    <w:p w14:paraId="73A835E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③就地转包全部的工程，以谋取高额转让费、管理费的承包人。没收全部履约保证金。</w:t>
      </w:r>
    </w:p>
    <w:p w14:paraId="56230A2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23D4B30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分包合同价款</w:t>
      </w:r>
    </w:p>
    <w:p w14:paraId="67CF16B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关于分包合同价款支付的约定：</w:t>
      </w:r>
      <w:r>
        <w:rPr>
          <w:rFonts w:hint="eastAsia" w:ascii="宋体" w:hAnsi="宋体" w:eastAsia="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color w:val="auto"/>
          <w:szCs w:val="21"/>
          <w:highlight w:val="none"/>
        </w:rPr>
        <w:t>。</w:t>
      </w:r>
    </w:p>
    <w:p w14:paraId="140FBCE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工程照管与成品、半成品保护</w:t>
      </w:r>
    </w:p>
    <w:p w14:paraId="016284C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承包人负责照管工程及工程相关的材料、工程设备的起始时间：</w:t>
      </w:r>
      <w:r>
        <w:rPr>
          <w:rFonts w:hint="eastAsia" w:ascii="宋体" w:hAnsi="宋体" w:eastAsia="宋体" w:cs="宋体"/>
          <w:color w:val="auto"/>
          <w:szCs w:val="21"/>
          <w:highlight w:val="none"/>
          <w:u w:val="single"/>
        </w:rPr>
        <w:t xml:space="preserve">  从合同签订之日起至竣工验收合格并移交使用方接管之日止，期间所发生的半成品、成品损坏一切责任由承包人负责修复至设计要求    </w:t>
      </w:r>
      <w:r>
        <w:rPr>
          <w:rFonts w:hint="eastAsia" w:ascii="宋体" w:hAnsi="宋体" w:eastAsia="宋体" w:cs="宋体"/>
          <w:color w:val="auto"/>
          <w:szCs w:val="21"/>
          <w:highlight w:val="none"/>
        </w:rPr>
        <w:t>。</w:t>
      </w:r>
    </w:p>
    <w:p w14:paraId="2295F01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履约保证金</w:t>
      </w:r>
    </w:p>
    <w:p w14:paraId="32B5EF5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履约保证金为成交金额的3%。履约担保的有效期应当自本合同生效之日起至发包人签认并由监理人向承包人出具 竣工验收合格意见书之日止</w:t>
      </w:r>
      <w:r>
        <w:rPr>
          <w:rFonts w:hint="eastAsia" w:ascii="宋体" w:hAnsi="宋体" w:eastAsia="宋体" w:cs="宋体"/>
          <w:color w:val="auto"/>
          <w:szCs w:val="21"/>
          <w:highlight w:val="none"/>
        </w:rPr>
        <w:t>。</w:t>
      </w:r>
    </w:p>
    <w:p w14:paraId="300B179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工程竣工验收合格并对验收发现的问题完成整改后的7个日历天内，发包人同意退付履约保证金的，承包人凭《履约保证金退付确认函》到采购单位退还履约金</w:t>
      </w:r>
      <w:r>
        <w:rPr>
          <w:rFonts w:hint="eastAsia" w:ascii="宋体" w:hAnsi="宋体" w:eastAsia="宋体" w:cs="宋体"/>
          <w:color w:val="auto"/>
          <w:szCs w:val="21"/>
          <w:highlight w:val="none"/>
        </w:rPr>
        <w:t>。</w:t>
      </w:r>
    </w:p>
    <w:p w14:paraId="3E775AE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监理人</w:t>
      </w:r>
    </w:p>
    <w:p w14:paraId="108B1EC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 监理人的一般规定</w:t>
      </w:r>
    </w:p>
    <w:p w14:paraId="7E16D08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图纸或工程量清单范围内的全部内容（包括设计变更）  </w:t>
      </w:r>
      <w:r>
        <w:rPr>
          <w:rFonts w:hint="eastAsia" w:ascii="宋体" w:hAnsi="宋体" w:eastAsia="宋体" w:cs="宋体"/>
          <w:color w:val="auto"/>
          <w:szCs w:val="21"/>
          <w:highlight w:val="none"/>
        </w:rPr>
        <w:t>。</w:t>
      </w:r>
    </w:p>
    <w:p w14:paraId="08849AE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按监理合同约定    </w:t>
      </w:r>
      <w:r>
        <w:rPr>
          <w:rFonts w:hint="eastAsia" w:ascii="宋体" w:hAnsi="宋体" w:eastAsia="宋体" w:cs="宋体"/>
          <w:color w:val="auto"/>
          <w:szCs w:val="21"/>
          <w:highlight w:val="none"/>
        </w:rPr>
        <w:t xml:space="preserve">。 </w:t>
      </w:r>
    </w:p>
    <w:p w14:paraId="5ADC91C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 xml:space="preserve">由承包人承担，承包人投标报价时综合考虑此项费用  </w:t>
      </w:r>
      <w:r>
        <w:rPr>
          <w:rFonts w:hint="eastAsia" w:ascii="宋体" w:hAnsi="宋体" w:eastAsia="宋体" w:cs="宋体"/>
          <w:color w:val="auto"/>
          <w:szCs w:val="21"/>
          <w:highlight w:val="none"/>
        </w:rPr>
        <w:t>。</w:t>
      </w:r>
    </w:p>
    <w:p w14:paraId="4CAD2D2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监理人员</w:t>
      </w:r>
    </w:p>
    <w:p w14:paraId="33139F7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协助发包人做好施工现场的协调工作</w:t>
      </w:r>
      <w:r>
        <w:rPr>
          <w:rFonts w:hint="eastAsia" w:ascii="宋体" w:hAnsi="宋体" w:eastAsia="宋体" w:cs="宋体"/>
          <w:color w:val="auto"/>
          <w:szCs w:val="21"/>
          <w:highlight w:val="none"/>
        </w:rPr>
        <w:t>。</w:t>
      </w:r>
    </w:p>
    <w:p w14:paraId="17193EC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商定或确定</w:t>
      </w:r>
    </w:p>
    <w:p w14:paraId="31E39A5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在发包人和承包人不能通过协商达成一致意见时，发包人授权监理人对以下事项进行确定：</w:t>
      </w:r>
    </w:p>
    <w:p w14:paraId="3007DF1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45E1F72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550987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C59790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工程质量</w:t>
      </w:r>
    </w:p>
    <w:p w14:paraId="1A48910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质量要求</w:t>
      </w:r>
    </w:p>
    <w:p w14:paraId="6D594B7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 特殊质量标准和要求：</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09DA28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114F34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隐蔽工程检查</w:t>
      </w:r>
    </w:p>
    <w:p w14:paraId="308BA75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w:t>
      </w:r>
      <w:r>
        <w:rPr>
          <w:rFonts w:hint="eastAsia" w:ascii="宋体" w:hAnsi="宋体" w:eastAsia="宋体" w:cs="宋体"/>
          <w:color w:val="auto"/>
          <w:szCs w:val="21"/>
          <w:highlight w:val="none"/>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宋体" w:hAnsi="宋体" w:eastAsia="宋体" w:cs="宋体"/>
          <w:color w:val="auto"/>
          <w:szCs w:val="21"/>
          <w:highlight w:val="none"/>
        </w:rPr>
        <w:t>。</w:t>
      </w:r>
    </w:p>
    <w:p w14:paraId="13F62C3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小时提交书面延期要求。</w:t>
      </w:r>
    </w:p>
    <w:p w14:paraId="1711938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48    小时</w:t>
      </w:r>
      <w:r>
        <w:rPr>
          <w:rFonts w:hint="eastAsia" w:ascii="宋体" w:hAnsi="宋体" w:eastAsia="宋体" w:cs="宋体"/>
          <w:color w:val="auto"/>
          <w:szCs w:val="21"/>
          <w:highlight w:val="none"/>
        </w:rPr>
        <w:t>。</w:t>
      </w:r>
    </w:p>
    <w:p w14:paraId="75DC155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安全文明施工与环境保护</w:t>
      </w:r>
    </w:p>
    <w:p w14:paraId="4D1FB51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安全文明施工</w:t>
      </w:r>
    </w:p>
    <w:p w14:paraId="450BDFA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single"/>
        </w:rPr>
        <w:t>：符合安全文明施工工地标准，配备消防设备（符合消防安全规定），防止火灾发生，费用由承包人承担。承包人承担一切由于自身安全措施不力而造成的安全事故责任及因此而发生的费用</w:t>
      </w:r>
      <w:r>
        <w:rPr>
          <w:rFonts w:hint="eastAsia" w:ascii="宋体" w:hAnsi="宋体" w:eastAsia="宋体" w:cs="宋体"/>
          <w:color w:val="auto"/>
          <w:szCs w:val="21"/>
          <w:highlight w:val="none"/>
        </w:rPr>
        <w:t>。</w:t>
      </w:r>
    </w:p>
    <w:p w14:paraId="5D59CC6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69B5657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关于治安保卫的特别约定</w:t>
      </w:r>
      <w:r>
        <w:rPr>
          <w:rFonts w:hint="eastAsia" w:ascii="宋体" w:hAnsi="宋体" w:eastAsia="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szCs w:val="21"/>
          <w:highlight w:val="none"/>
        </w:rPr>
        <w:t>。</w:t>
      </w:r>
    </w:p>
    <w:p w14:paraId="01B3413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 xml:space="preserve">   由承包人负责编制和办理报批手续    </w:t>
      </w:r>
      <w:r>
        <w:rPr>
          <w:rFonts w:hint="eastAsia" w:ascii="宋体" w:hAnsi="宋体" w:eastAsia="宋体" w:cs="宋体"/>
          <w:color w:val="auto"/>
          <w:szCs w:val="21"/>
          <w:highlight w:val="none"/>
        </w:rPr>
        <w:t>。</w:t>
      </w:r>
    </w:p>
    <w:p w14:paraId="665C965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文明施工</w:t>
      </w:r>
    </w:p>
    <w:p w14:paraId="6878414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1、承包人在施工过程中，应遵守有关环境保护的法律，履行合同约定的环境保护义务，并对违反法律和合同约定义务所造成的环境破坏、人身伤害和财产损失负责</w:t>
      </w:r>
      <w:r>
        <w:rPr>
          <w:rFonts w:hint="eastAsia" w:ascii="宋体" w:hAnsi="宋体" w:eastAsia="宋体" w:cs="宋体"/>
          <w:color w:val="auto"/>
          <w:szCs w:val="21"/>
          <w:highlight w:val="none"/>
        </w:rPr>
        <w:t>。</w:t>
      </w:r>
    </w:p>
    <w:p w14:paraId="2F31833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2、承包人应编制施工环保措施计划，报送监理人审批，其中所编制施工环保措施的实施标准不得低于承包人投标文件中相应措施的计划标准</w:t>
      </w:r>
      <w:r>
        <w:rPr>
          <w:rFonts w:hint="eastAsia" w:ascii="宋体" w:hAnsi="宋体" w:eastAsia="宋体" w:cs="宋体"/>
          <w:color w:val="auto"/>
          <w:szCs w:val="21"/>
          <w:highlight w:val="none"/>
        </w:rPr>
        <w:t>。</w:t>
      </w:r>
    </w:p>
    <w:p w14:paraId="74FF427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r>
        <w:rPr>
          <w:rFonts w:hint="eastAsia" w:ascii="宋体" w:hAnsi="宋体" w:eastAsia="宋体" w:cs="宋体"/>
          <w:color w:val="auto"/>
          <w:szCs w:val="21"/>
          <w:highlight w:val="none"/>
        </w:rPr>
        <w:t>。</w:t>
      </w:r>
    </w:p>
    <w:p w14:paraId="019FE19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4、承包人应加强对噪声、粉尘、废气、废水和废油的控制，努力降低噪声，控制粉尘和废气浓度，做好废水和废油的治理和排放。因承包人原因造成的处罚由承包人负责   </w:t>
      </w:r>
      <w:r>
        <w:rPr>
          <w:rFonts w:hint="eastAsia" w:ascii="宋体" w:hAnsi="宋体" w:eastAsia="宋体" w:cs="宋体"/>
          <w:color w:val="auto"/>
          <w:szCs w:val="21"/>
          <w:highlight w:val="none"/>
        </w:rPr>
        <w:t>。</w:t>
      </w:r>
    </w:p>
    <w:p w14:paraId="0C17174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关于安全文明施工费支付比例和支付期限的约定：</w:t>
      </w:r>
    </w:p>
    <w:p w14:paraId="776693F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（1）本合同价款已包含安全文明施工费。</w:t>
      </w:r>
    </w:p>
    <w:p w14:paraId="65CA9AE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（2）使用要求：专款专用。具体</w:t>
      </w:r>
      <w:r>
        <w:rPr>
          <w:rFonts w:hint="eastAsia" w:ascii="宋体" w:hAnsi="宋体" w:eastAsia="宋体" w:cs="宋体"/>
          <w:color w:val="auto"/>
          <w:szCs w:val="21"/>
          <w:highlight w:val="none"/>
          <w:u w:val="single"/>
        </w:rPr>
        <w:t>按《广西壮族自治区建设工程安全文明施工费使用管理细则》（桂建质〔2015〕16号）</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u w:val="single"/>
        </w:rPr>
        <w:t xml:space="preserve">    梧州   </w:t>
      </w:r>
      <w:r>
        <w:rPr>
          <w:rFonts w:hint="eastAsia" w:ascii="宋体" w:hAnsi="宋体" w:eastAsia="宋体" w:cs="宋体"/>
          <w:color w:val="auto"/>
          <w:szCs w:val="21"/>
          <w:highlight w:val="none"/>
        </w:rPr>
        <w:t>市相关规定执行。</w:t>
      </w:r>
    </w:p>
    <w:p w14:paraId="6D61309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环境保护</w:t>
      </w:r>
    </w:p>
    <w:p w14:paraId="4ECB7B5F">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14:paraId="60B9671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r>
        <w:rPr>
          <w:rFonts w:hint="eastAsia" w:ascii="宋体" w:hAnsi="宋体" w:eastAsia="宋体" w:cs="宋体"/>
          <w:color w:val="auto"/>
          <w:szCs w:val="21"/>
          <w:highlight w:val="none"/>
        </w:rPr>
        <w:t>。</w:t>
      </w:r>
    </w:p>
    <w:p w14:paraId="71F217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工期和进度</w:t>
      </w:r>
    </w:p>
    <w:p w14:paraId="0D0B47E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施工组织设计</w:t>
      </w:r>
    </w:p>
    <w:p w14:paraId="61A8413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7.1.1 合同当事人约定的施工组织设计应包括的其他内容：</w:t>
      </w:r>
      <w:r>
        <w:rPr>
          <w:rFonts w:hint="eastAsia" w:ascii="宋体" w:hAnsi="宋体" w:eastAsia="宋体" w:cs="宋体"/>
          <w:color w:val="auto"/>
          <w:szCs w:val="21"/>
          <w:highlight w:val="none"/>
          <w:u w:val="single"/>
        </w:rPr>
        <w:t xml:space="preserve">  按照工程特点和行业有关规定编制  </w:t>
      </w:r>
      <w:r>
        <w:rPr>
          <w:rFonts w:hint="eastAsia" w:ascii="宋体" w:hAnsi="宋体" w:eastAsia="宋体" w:cs="宋体"/>
          <w:color w:val="auto"/>
          <w:szCs w:val="21"/>
          <w:highlight w:val="none"/>
        </w:rPr>
        <w:t>。</w:t>
      </w:r>
    </w:p>
    <w:p w14:paraId="4E0F36B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施工组织设计的提交和修改</w:t>
      </w:r>
    </w:p>
    <w:p w14:paraId="4D9525E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承包人提交详细施工组织设计的期限的约定：</w:t>
      </w:r>
      <w:r>
        <w:rPr>
          <w:rFonts w:hint="eastAsia" w:ascii="宋体" w:hAnsi="宋体" w:eastAsia="宋体" w:cs="宋体"/>
          <w:color w:val="auto"/>
          <w:szCs w:val="21"/>
          <w:highlight w:val="none"/>
          <w:u w:val="single"/>
        </w:rPr>
        <w:t xml:space="preserve">承包人应在投标文件施工组织设计的基础上，编制工程详细施工组织设计，要求后者的各项实施标准不得降低前者对应项目所计划的标准。承包人应在合同签订后14天内，但最迟不得晚于开工通知载明的开工日期前7天，向监理人提交详细的的施工组织设计，并由监理人报送发包人  </w:t>
      </w:r>
      <w:r>
        <w:rPr>
          <w:rFonts w:hint="eastAsia" w:ascii="宋体" w:hAnsi="宋体" w:eastAsia="宋体" w:cs="宋体"/>
          <w:color w:val="auto"/>
          <w:szCs w:val="21"/>
          <w:highlight w:val="none"/>
        </w:rPr>
        <w:t>。</w:t>
      </w:r>
    </w:p>
    <w:p w14:paraId="4565D7A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 xml:space="preserve">收到后7天内 </w:t>
      </w:r>
      <w:r>
        <w:rPr>
          <w:rFonts w:hint="eastAsia" w:ascii="宋体" w:hAnsi="宋体" w:eastAsia="宋体" w:cs="宋体"/>
          <w:color w:val="auto"/>
          <w:szCs w:val="21"/>
          <w:highlight w:val="none"/>
        </w:rPr>
        <w:t>。</w:t>
      </w:r>
    </w:p>
    <w:p w14:paraId="1163B1D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施工进度计划</w:t>
      </w:r>
    </w:p>
    <w:p w14:paraId="71CDB6A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14:paraId="14936B7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 xml:space="preserve"> 收到后7天内 </w:t>
      </w:r>
      <w:r>
        <w:rPr>
          <w:rFonts w:hint="eastAsia" w:ascii="宋体" w:hAnsi="宋体" w:eastAsia="宋体" w:cs="宋体"/>
          <w:color w:val="auto"/>
          <w:szCs w:val="21"/>
          <w:highlight w:val="none"/>
        </w:rPr>
        <w:t>。</w:t>
      </w:r>
    </w:p>
    <w:p w14:paraId="155B1B1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开工</w:t>
      </w:r>
    </w:p>
    <w:p w14:paraId="4ABC5C4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开工准备</w:t>
      </w:r>
    </w:p>
    <w:p w14:paraId="6AE8C00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关于承包人提交工程开工报审表的期限：</w:t>
      </w:r>
      <w:r>
        <w:rPr>
          <w:rFonts w:hint="eastAsia" w:ascii="宋体" w:hAnsi="宋体" w:eastAsia="宋体" w:cs="宋体"/>
          <w:color w:val="auto"/>
          <w:szCs w:val="21"/>
          <w:highlight w:val="none"/>
          <w:u w:val="single"/>
        </w:rPr>
        <w:t xml:space="preserve">  开工前3天</w:t>
      </w:r>
      <w:r>
        <w:rPr>
          <w:rFonts w:hint="eastAsia" w:ascii="宋体" w:hAnsi="宋体" w:eastAsia="宋体" w:cs="宋体"/>
          <w:color w:val="auto"/>
          <w:szCs w:val="21"/>
          <w:highlight w:val="none"/>
        </w:rPr>
        <w:t>。</w:t>
      </w:r>
    </w:p>
    <w:p w14:paraId="46EB4C9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开工前7天</w:t>
      </w:r>
      <w:r>
        <w:rPr>
          <w:rFonts w:hint="eastAsia" w:ascii="宋体" w:hAnsi="宋体" w:eastAsia="宋体" w:cs="宋体"/>
          <w:color w:val="auto"/>
          <w:szCs w:val="21"/>
          <w:highlight w:val="none"/>
        </w:rPr>
        <w:t>。</w:t>
      </w:r>
    </w:p>
    <w:p w14:paraId="02F7FF8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 xml:space="preserve">  开工前7天</w:t>
      </w:r>
      <w:r>
        <w:rPr>
          <w:rFonts w:hint="eastAsia" w:ascii="宋体" w:hAnsi="宋体" w:eastAsia="宋体" w:cs="宋体"/>
          <w:color w:val="auto"/>
          <w:szCs w:val="21"/>
          <w:highlight w:val="none"/>
        </w:rPr>
        <w:t>。</w:t>
      </w:r>
    </w:p>
    <w:p w14:paraId="66B7845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 开工通知</w:t>
      </w:r>
    </w:p>
    <w:p w14:paraId="00692F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天内发出开工通知的，承包人有权提出价格调整要求，或者解除合同。</w:t>
      </w:r>
    </w:p>
    <w:p w14:paraId="3A58B03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测量放线</w:t>
      </w:r>
    </w:p>
    <w:p w14:paraId="4096C19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7.4.1发包人通过监理人向承包人提供测量基准点、基准线和水准点及其书面资料的期限：  </w:t>
      </w:r>
      <w:r>
        <w:rPr>
          <w:rFonts w:hint="eastAsia" w:ascii="宋体" w:hAnsi="宋体" w:eastAsia="宋体" w:cs="宋体"/>
          <w:color w:val="auto"/>
          <w:szCs w:val="21"/>
          <w:highlight w:val="none"/>
          <w:u w:val="single"/>
        </w:rPr>
        <w:t xml:space="preserve">开工通知载明的开工日期前7天  </w:t>
      </w:r>
      <w:r>
        <w:rPr>
          <w:rFonts w:hint="eastAsia" w:ascii="宋体" w:hAnsi="宋体" w:eastAsia="宋体" w:cs="宋体"/>
          <w:color w:val="auto"/>
          <w:szCs w:val="21"/>
          <w:highlight w:val="none"/>
        </w:rPr>
        <w:t>。</w:t>
      </w:r>
    </w:p>
    <w:p w14:paraId="0ABC4D7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工期延误</w:t>
      </w:r>
    </w:p>
    <w:p w14:paraId="204AAF3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 因发包人原因导致工期延误</w:t>
      </w:r>
    </w:p>
    <w:p w14:paraId="2ECDA02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 xml:space="preserve">①重大图纸变更影响关健线路工序施工；②施工期间如因市政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如：雨水天无法进行施工) </w:t>
      </w:r>
      <w:r>
        <w:rPr>
          <w:rFonts w:hint="eastAsia" w:ascii="宋体" w:hAnsi="宋体" w:eastAsia="宋体" w:cs="宋体"/>
          <w:color w:val="auto"/>
          <w:szCs w:val="21"/>
          <w:highlight w:val="none"/>
        </w:rPr>
        <w:t>。</w:t>
      </w:r>
    </w:p>
    <w:p w14:paraId="68AB0AF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7.5.2 因承包人原因导致工期延误</w:t>
      </w:r>
    </w:p>
    <w:p w14:paraId="6496D3E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14:paraId="3C10710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因承包人原因造成工期延误，逾期竣工违约金的计算方法为：</w:t>
      </w:r>
      <w:r>
        <w:rPr>
          <w:rFonts w:hint="eastAsia" w:ascii="宋体" w:hAnsi="宋体" w:eastAsia="宋体" w:cs="宋体"/>
          <w:color w:val="auto"/>
          <w:szCs w:val="21"/>
          <w:highlight w:val="none"/>
          <w:u w:val="single"/>
        </w:rPr>
        <w:t>非上述原因，承包人不能按合同约定的时间竣工，承包人应承担违约责任。应向发包人支付误期赔偿费（监理人可向承包人发出整改通知，承包人未能按合同约定，已造成工期延误，发包人可没收承包人的履约保证金，并向承包人索赔每天10000元的违约金，若因此给发包人造成实际损失的，承包人还应对此承担赔偿责任，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color w:val="auto"/>
          <w:szCs w:val="21"/>
          <w:highlight w:val="none"/>
        </w:rPr>
        <w:t xml:space="preserve">。 </w:t>
      </w:r>
    </w:p>
    <w:p w14:paraId="2E64B63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因承包人原因造成工期延误，逾期竣工违约金的上限：</w:t>
      </w:r>
      <w:r>
        <w:rPr>
          <w:rFonts w:hint="eastAsia" w:ascii="宋体" w:hAnsi="宋体" w:eastAsia="宋体" w:cs="宋体"/>
          <w:color w:val="auto"/>
          <w:szCs w:val="21"/>
          <w:highlight w:val="none"/>
          <w:u w:val="single"/>
        </w:rPr>
        <w:t>逾期竣工的单位工程结算造价扣除建安劳保费、发包人材料价款、暂估专业工程、暂列金额后的,10%</w:t>
      </w:r>
      <w:r>
        <w:rPr>
          <w:rFonts w:hint="eastAsia" w:ascii="宋体" w:hAnsi="宋体" w:eastAsia="宋体" w:cs="宋体"/>
          <w:color w:val="auto"/>
          <w:szCs w:val="21"/>
          <w:highlight w:val="none"/>
        </w:rPr>
        <w:t>。</w:t>
      </w:r>
    </w:p>
    <w:p w14:paraId="732300A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 不利物质条件</w:t>
      </w:r>
    </w:p>
    <w:p w14:paraId="51101FA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不利物质条件的其他情形和有关约定：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F74E7E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7.7 异常恶劣的气候条件</w:t>
      </w:r>
    </w:p>
    <w:p w14:paraId="75C9FA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14:paraId="378DF70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八级以上台风 （以气象部门鉴定为准）     </w:t>
      </w:r>
      <w:r>
        <w:rPr>
          <w:rFonts w:hint="eastAsia" w:ascii="宋体" w:hAnsi="宋体" w:eastAsia="宋体" w:cs="宋体"/>
          <w:color w:val="auto"/>
          <w:szCs w:val="21"/>
          <w:highlight w:val="none"/>
        </w:rPr>
        <w:t>；</w:t>
      </w:r>
    </w:p>
    <w:p w14:paraId="36239DB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六级以上地震 （以相关部门鉴定为准）     </w:t>
      </w:r>
      <w:r>
        <w:rPr>
          <w:rFonts w:hint="eastAsia" w:ascii="宋体" w:hAnsi="宋体" w:eastAsia="宋体" w:cs="宋体"/>
          <w:color w:val="auto"/>
          <w:szCs w:val="21"/>
          <w:highlight w:val="none"/>
        </w:rPr>
        <w:t>；</w:t>
      </w:r>
    </w:p>
    <w:p w14:paraId="3E033AE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        暴雨及以上级别                     </w:t>
      </w:r>
      <w:r>
        <w:rPr>
          <w:rFonts w:hint="eastAsia" w:ascii="宋体" w:hAnsi="宋体" w:eastAsia="宋体" w:cs="宋体"/>
          <w:color w:val="auto"/>
          <w:szCs w:val="21"/>
          <w:highlight w:val="none"/>
        </w:rPr>
        <w:t>。</w:t>
      </w:r>
    </w:p>
    <w:p w14:paraId="4BF5542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 提前竣工</w:t>
      </w:r>
    </w:p>
    <w:p w14:paraId="2000EBF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44E8019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 材料与设备</w:t>
      </w:r>
    </w:p>
    <w:p w14:paraId="5647835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承包人采购材料与工程设备</w:t>
      </w:r>
    </w:p>
    <w:p w14:paraId="55BFAC1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14:paraId="0A69478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磋商时有“参照或相当于**品牌、级别”约定的材料或设备，承包人采购时必须按类似于或优于所约定品牌、等级进行采购，施工期间该部分材料或设备如未超过磋商约定的风险幅度的，结算时按投标单价支付，不得调整。</w:t>
      </w:r>
    </w:p>
    <w:p w14:paraId="4B2A89E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 材料与工程设备的保管与使用</w:t>
      </w:r>
    </w:p>
    <w:p w14:paraId="202F91D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8.4.1发包人供应的材料设备的保管费用的承担：</w:t>
      </w:r>
      <w:r>
        <w:rPr>
          <w:rFonts w:hint="eastAsia" w:ascii="宋体" w:hAnsi="宋体" w:eastAsia="宋体" w:cs="宋体"/>
          <w:color w:val="auto"/>
          <w:szCs w:val="21"/>
          <w:highlight w:val="none"/>
          <w:u w:val="single"/>
        </w:rPr>
        <w:t xml:space="preserve">  由承包人承担  </w:t>
      </w:r>
      <w:r>
        <w:rPr>
          <w:rFonts w:hint="eastAsia" w:ascii="宋体" w:hAnsi="宋体" w:eastAsia="宋体" w:cs="宋体"/>
          <w:color w:val="auto"/>
          <w:szCs w:val="21"/>
          <w:highlight w:val="none"/>
        </w:rPr>
        <w:t>。</w:t>
      </w:r>
    </w:p>
    <w:p w14:paraId="3CC7722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 样品</w:t>
      </w:r>
    </w:p>
    <w:p w14:paraId="543F5D4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 样品的报送与封存</w:t>
      </w:r>
    </w:p>
    <w:p w14:paraId="7AA50A3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主要材料涉及品种、款式、颜色等方面内容的，承包人应提交准备合格的材料样品送发包人选定</w:t>
      </w:r>
      <w:r>
        <w:rPr>
          <w:rFonts w:hint="eastAsia" w:ascii="宋体" w:hAnsi="宋体" w:eastAsia="宋体" w:cs="宋体"/>
          <w:color w:val="auto"/>
          <w:szCs w:val="21"/>
          <w:highlight w:val="none"/>
        </w:rPr>
        <w:t>。</w:t>
      </w:r>
    </w:p>
    <w:p w14:paraId="49A9484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 施工设备和临时设施</w:t>
      </w:r>
    </w:p>
    <w:p w14:paraId="2DC1CB0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w:t>
      </w:r>
      <w:r>
        <w:rPr>
          <w:rFonts w:hint="eastAsia" w:ascii="宋体" w:hAnsi="宋体" w:eastAsia="宋体" w:cs="宋体"/>
          <w:color w:val="auto"/>
          <w:szCs w:val="21"/>
          <w:highlight w:val="none"/>
        </w:rPr>
        <w:t>。</w:t>
      </w:r>
    </w:p>
    <w:p w14:paraId="673D074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②承包人负责合同实施期间其合同段内临时交通道路（含场内外连接公共交通道路）和交通设施的修建、维修、养护和交通管理工作，并承担一切费用</w:t>
      </w:r>
      <w:r>
        <w:rPr>
          <w:rFonts w:hint="eastAsia" w:ascii="宋体" w:hAnsi="宋体" w:eastAsia="宋体" w:cs="宋体"/>
          <w:color w:val="auto"/>
          <w:szCs w:val="21"/>
          <w:highlight w:val="none"/>
        </w:rPr>
        <w:t>。</w:t>
      </w:r>
    </w:p>
    <w:p w14:paraId="141698E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宋体" w:hAnsi="宋体" w:eastAsia="宋体" w:cs="宋体"/>
          <w:color w:val="auto"/>
          <w:szCs w:val="21"/>
          <w:highlight w:val="none"/>
        </w:rPr>
        <w:t>。</w:t>
      </w:r>
    </w:p>
    <w:p w14:paraId="50FDE23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 发包人提供的施工设备和临时设施</w:t>
      </w:r>
    </w:p>
    <w:p w14:paraId="58E12A8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发包人不提供任何施工设备和临时设施，临时设施的修建及施工所需的水、电管线的铺设等均由承包人自行解决，发包人予以协助</w:t>
      </w:r>
      <w:r>
        <w:rPr>
          <w:rFonts w:hint="eastAsia" w:ascii="宋体" w:hAnsi="宋体" w:eastAsia="宋体" w:cs="宋体"/>
          <w:color w:val="auto"/>
          <w:szCs w:val="21"/>
          <w:highlight w:val="none"/>
        </w:rPr>
        <w:t>。</w:t>
      </w:r>
    </w:p>
    <w:p w14:paraId="4E533B0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5FA9005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 试验与检验</w:t>
      </w:r>
    </w:p>
    <w:p w14:paraId="5A5B4B6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 试验设备与试验人员</w:t>
      </w:r>
    </w:p>
    <w:p w14:paraId="15FA06B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9.1.2 试验设备</w:t>
      </w:r>
    </w:p>
    <w:p w14:paraId="4C29FDF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r>
        <w:rPr>
          <w:rFonts w:hint="eastAsia" w:ascii="宋体" w:hAnsi="宋体" w:eastAsia="宋体" w:cs="宋体"/>
          <w:color w:val="auto"/>
          <w:szCs w:val="21"/>
          <w:highlight w:val="none"/>
          <w:u w:val="single"/>
        </w:rPr>
        <w:t xml:space="preserve">   按有关规定和监理人要求执行      </w:t>
      </w:r>
      <w:r>
        <w:rPr>
          <w:rFonts w:hint="eastAsia" w:ascii="宋体" w:hAnsi="宋体" w:eastAsia="宋体" w:cs="宋体"/>
          <w:color w:val="auto"/>
          <w:szCs w:val="21"/>
          <w:highlight w:val="none"/>
        </w:rPr>
        <w:t>。</w:t>
      </w:r>
    </w:p>
    <w:p w14:paraId="1DCECCB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 xml:space="preserve">   按有关规定和监理人要求执行      </w:t>
      </w:r>
      <w:r>
        <w:rPr>
          <w:rFonts w:hint="eastAsia" w:ascii="宋体" w:hAnsi="宋体" w:eastAsia="宋体" w:cs="宋体"/>
          <w:color w:val="auto"/>
          <w:szCs w:val="21"/>
          <w:highlight w:val="none"/>
        </w:rPr>
        <w:t>。</w:t>
      </w:r>
    </w:p>
    <w:p w14:paraId="075938D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 xml:space="preserve">   按有关规定和监理人要求执行      </w:t>
      </w:r>
      <w:r>
        <w:rPr>
          <w:rFonts w:hint="eastAsia" w:ascii="宋体" w:hAnsi="宋体" w:eastAsia="宋体" w:cs="宋体"/>
          <w:color w:val="auto"/>
          <w:szCs w:val="21"/>
          <w:highlight w:val="none"/>
        </w:rPr>
        <w:t>。</w:t>
      </w:r>
    </w:p>
    <w:p w14:paraId="4A98C1F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9.4 现场工艺试验 </w:t>
      </w:r>
    </w:p>
    <w:p w14:paraId="3C9798D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 xml:space="preserve">   按规范要求执行      </w:t>
      </w:r>
      <w:r>
        <w:rPr>
          <w:rFonts w:hint="eastAsia" w:ascii="宋体" w:hAnsi="宋体" w:eastAsia="宋体" w:cs="宋体"/>
          <w:color w:val="auto"/>
          <w:szCs w:val="21"/>
          <w:highlight w:val="none"/>
        </w:rPr>
        <w:t>。</w:t>
      </w:r>
    </w:p>
    <w:p w14:paraId="7B42D79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9.5 检验费用</w:t>
      </w:r>
    </w:p>
    <w:p w14:paraId="1ADF643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广西壮族自治区建设工程质量检测管理规定》（桂建管〔2013〕11号）规定，工程质量检测业务由发包人委托有相应资质的检测机构检测。费用由中标人直接支付给检测机构。</w:t>
      </w:r>
    </w:p>
    <w:p w14:paraId="3831076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变更</w:t>
      </w:r>
    </w:p>
    <w:p w14:paraId="046356E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变更的范围</w:t>
      </w:r>
    </w:p>
    <w:p w14:paraId="405DDF2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 xml:space="preserve">  按通用合同条款执行 ，本项目原则上无增加工程 </w:t>
      </w:r>
      <w:r>
        <w:rPr>
          <w:rFonts w:hint="eastAsia" w:ascii="宋体" w:hAnsi="宋体" w:eastAsia="宋体" w:cs="宋体"/>
          <w:color w:val="auto"/>
          <w:szCs w:val="21"/>
          <w:highlight w:val="none"/>
        </w:rPr>
        <w:t>。</w:t>
      </w:r>
    </w:p>
    <w:p w14:paraId="7C618C7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 变更程序</w:t>
      </w:r>
    </w:p>
    <w:p w14:paraId="1DC4C09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10.3.1国有投资项目：</w:t>
      </w:r>
    </w:p>
    <w:p w14:paraId="4D9E6C4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变更的增加工程审核和审批要求：按梧州市人民政府《关于进一步规范市本级政府投资项目资金管理有关事项的通知》（梧政发【2018】28号）及有关文件办理。如实施过程中，设计变更增加工程在未经相关管理部门审批就实施，造成日后结算财政不予以确认的一切责任，由承包人负责。按各市政府或相关部门的规定办理。属不可抗力（自然灾害、突发事件等）造成变更的，按特事特办原则予以办理。</w:t>
      </w:r>
    </w:p>
    <w:p w14:paraId="71F0764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⑵建设单位在实施项目过程中，若发生单价变动，由建设单位、监理单位、施工单位及其他相关单位共同商定并签字确认。</w:t>
      </w:r>
    </w:p>
    <w:p w14:paraId="314CE04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4D38061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10.3.2 非国有投资项目：</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F80762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变更估价</w:t>
      </w:r>
    </w:p>
    <w:p w14:paraId="29D45C2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 变更估价原则</w:t>
      </w:r>
    </w:p>
    <w:p w14:paraId="4F4F4FA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关于变更估价的约定:</w:t>
      </w:r>
      <w:r>
        <w:rPr>
          <w:rFonts w:hint="eastAsia" w:ascii="宋体" w:hAnsi="宋体" w:eastAsia="宋体" w:cs="宋体"/>
          <w:color w:val="auto"/>
          <w:szCs w:val="21"/>
          <w:highlight w:val="none"/>
          <w:u w:val="single"/>
        </w:rPr>
        <w:t xml:space="preserve"> 本项目原则上无增加工程。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的投标报价/招标控制价)）计算，其中材料价格按施工期间的《梧州市建设工程造价信息》相应价格信息进行计算；《梧州市建设工程造价信息》没有相应价格信息的按市场价计算；无定额可套的，根据市场价格协商确定综合价格；对于政府及国有资金投资的项目，新增项目的单价必须经  梧州市财政局 审定</w:t>
      </w:r>
      <w:r>
        <w:rPr>
          <w:rFonts w:hint="eastAsia" w:ascii="宋体" w:hAnsi="宋体" w:eastAsia="宋体" w:cs="宋体"/>
          <w:color w:val="auto"/>
          <w:szCs w:val="21"/>
          <w:highlight w:val="none"/>
        </w:rPr>
        <w:t>。</w:t>
      </w:r>
    </w:p>
    <w:p w14:paraId="42EAFBCB">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6B8DBE2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变更的增加工程审核和审批要求：按梧州市人民政府《关于进一步规范市本级政府投资项目资金管理有关事项的通知》（梧政发【2018】28号）及有关文件办理。如实施过程中，设计变更增加工程在未经相关管理部门审批就实施，造成日后结算财政不予以确认的一切责任，由承包人负责</w:t>
      </w:r>
      <w:r>
        <w:rPr>
          <w:rFonts w:hint="eastAsia" w:ascii="宋体" w:hAnsi="宋体" w:eastAsia="宋体" w:cs="宋体"/>
          <w:color w:val="auto"/>
          <w:szCs w:val="21"/>
          <w:highlight w:val="none"/>
        </w:rPr>
        <w:t>。</w:t>
      </w:r>
    </w:p>
    <w:p w14:paraId="7F99F50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承包人的合理化建议</w:t>
      </w:r>
    </w:p>
    <w:p w14:paraId="759F8F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14:paraId="7B490C0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14:paraId="16A01BC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承包人提出的合理化建议降低了合同价格或者提高了工程经济效益的奖励的方法和金额为：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F28A64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 暂估价</w:t>
      </w:r>
    </w:p>
    <w:p w14:paraId="5B3C985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的提升泵等机械电气设备暂列入专业工程暂估价材料和工程设备中，乙方必须提供提升泵等设备的全部资料（现场图片、三方签证、所有设备及零配件的出厂证明、型号、规格、数量等参数，购置发票）作为本子目的结算依据，其中购置发票仅作为参考依据，不作为最终结算价，最终结算价以第三方结算评审单位审核且财政确认的结算价为准。</w:t>
      </w:r>
    </w:p>
    <w:p w14:paraId="5330031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 暂列金额</w:t>
      </w:r>
    </w:p>
    <w:p w14:paraId="4EF2F72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合同当事人关于暂列金额使用的约定：</w:t>
      </w:r>
      <w:r>
        <w:rPr>
          <w:rFonts w:hint="eastAsia" w:ascii="宋体" w:hAnsi="宋体" w:eastAsia="宋体" w:cs="宋体"/>
          <w:color w:val="auto"/>
          <w:szCs w:val="21"/>
          <w:highlight w:val="none"/>
          <w:u w:val="single"/>
        </w:rPr>
        <w:t xml:space="preserve">     按10.7暂估价约定         </w:t>
      </w:r>
      <w:r>
        <w:rPr>
          <w:rFonts w:hint="eastAsia" w:ascii="宋体" w:hAnsi="宋体" w:eastAsia="宋体" w:cs="宋体"/>
          <w:color w:val="auto"/>
          <w:szCs w:val="21"/>
          <w:highlight w:val="none"/>
        </w:rPr>
        <w:t>。</w:t>
      </w:r>
    </w:p>
    <w:p w14:paraId="57AEB0F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价格调整</w:t>
      </w:r>
    </w:p>
    <w:p w14:paraId="450BD57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①法律变化引起的调整；</w:t>
      </w:r>
    </w:p>
    <w:p w14:paraId="4B31794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②工程变更、项目特征不符、工程量清单缺项、工程量偏差引起的调整；</w:t>
      </w:r>
    </w:p>
    <w:p w14:paraId="2A0429A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③计日工引起的调整。</w:t>
      </w:r>
    </w:p>
    <w:p w14:paraId="25DB28A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市场价格波动引起的调整</w:t>
      </w:r>
    </w:p>
    <w:p w14:paraId="4CAB486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市场价格波动是否调整合同价格的约定：</w:t>
      </w:r>
      <w:r>
        <w:rPr>
          <w:rFonts w:hint="eastAsia" w:ascii="宋体" w:hAnsi="宋体" w:eastAsia="宋体" w:cs="宋体"/>
          <w:color w:val="auto"/>
          <w:szCs w:val="21"/>
          <w:highlight w:val="none"/>
          <w:u w:val="single"/>
        </w:rPr>
        <w:t xml:space="preserve">   不作调整     </w:t>
      </w:r>
      <w:r>
        <w:rPr>
          <w:rFonts w:hint="eastAsia" w:ascii="宋体" w:hAnsi="宋体" w:eastAsia="宋体" w:cs="宋体"/>
          <w:color w:val="auto"/>
          <w:szCs w:val="21"/>
          <w:highlight w:val="none"/>
        </w:rPr>
        <w:t>。</w:t>
      </w:r>
    </w:p>
    <w:p w14:paraId="163923E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因市场价格波动调整合同价格，采用以下第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种方式对合同价格进行调整：</w:t>
      </w:r>
    </w:p>
    <w:p w14:paraId="4F5494B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第1种方式：采用价格指数进行价格调整。</w:t>
      </w:r>
    </w:p>
    <w:p w14:paraId="00C7F22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关于各可调因子、定值和变值权重，以及基本价格指数及其来源的约定：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14:paraId="649F681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第2种方式：采用造价信息进行价格调整。</w:t>
      </w:r>
    </w:p>
    <w:p w14:paraId="02731EC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（1）允许调整的主要材料和设备、基期价格、风险系数、投标报价：详见《承包人提供主要材料和设备一览表》。</w:t>
      </w:r>
    </w:p>
    <w:p w14:paraId="03C6D5C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（2）主要材料和设备确认价：</w:t>
      </w:r>
    </w:p>
    <w:p w14:paraId="0AF5D7B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按施工期间《</w:t>
      </w:r>
      <w:r>
        <w:rPr>
          <w:rFonts w:hint="eastAsia" w:ascii="宋体" w:hAnsi="宋体" w:eastAsia="宋体" w:cs="宋体"/>
          <w:color w:val="auto"/>
          <w:szCs w:val="21"/>
          <w:highlight w:val="none"/>
          <w:u w:val="single"/>
        </w:rPr>
        <w:t xml:space="preserve"> 梧州市</w:t>
      </w:r>
      <w:r>
        <w:rPr>
          <w:rFonts w:hint="eastAsia" w:ascii="宋体" w:hAnsi="宋体" w:eastAsia="宋体" w:cs="宋体"/>
          <w:color w:val="auto"/>
          <w:szCs w:val="21"/>
          <w:highlight w:val="none"/>
        </w:rPr>
        <w:t>市建设工程造价信息》加权平均计算，信息价没有的按通用条款规定确定。</w:t>
      </w:r>
    </w:p>
    <w:p w14:paraId="4DDA401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（3）价差计算方法：</w:t>
      </w:r>
    </w:p>
    <w:p w14:paraId="4E0FE6C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5B9DABD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6079468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③承包人在《承包人提供主要材料和设备一览表》中载明的材料和设备单价等于基准单价的：合同履行期间材料和设备单价涨跌幅以基准单价为基础超过约定的风险范围时，其超过部分据实调整。</w:t>
      </w:r>
    </w:p>
    <w:p w14:paraId="0EDDA2B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41F2C4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合同价格、计量与支付</w:t>
      </w:r>
    </w:p>
    <w:p w14:paraId="139F6AA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合同价格形式</w:t>
      </w:r>
    </w:p>
    <w:p w14:paraId="3448C45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本工程采用</w:t>
      </w:r>
      <w:r>
        <w:rPr>
          <w:rFonts w:hint="eastAsia" w:ascii="宋体" w:hAnsi="宋体" w:eastAsia="宋体" w:cs="宋体"/>
          <w:color w:val="auto"/>
          <w:szCs w:val="21"/>
          <w:highlight w:val="none"/>
          <w:u w:val="single"/>
        </w:rPr>
        <w:t xml:space="preserve">  竣工验收合格后，1、土建部分：按中标清单单价固定，以业主、监理、施工三方现场签证确认工程量进行结算，最终以第三方结算评审审核且经财政批复的结算价为准；2、设备部分：乙方必须提供机械电气设备的全部资料（现场图片、三方签证、所有设备及零配件的出厂证明、型号、规格、数量等参数，购置发票）作为本子目的结算依据，其中购置发票仅作为参考依据，不作为最终结算价，最终结算价以第三方结算评审单位审核且经财政批复的结算价为准。最终总结算总价不得超过财政上限控制价的形式</w:t>
      </w:r>
      <w:r>
        <w:rPr>
          <w:rFonts w:hint="eastAsia" w:ascii="宋体" w:hAnsi="宋体" w:eastAsia="宋体" w:cs="宋体"/>
          <w:color w:val="auto"/>
          <w:szCs w:val="21"/>
          <w:highlight w:val="none"/>
        </w:rPr>
        <w:t>。</w:t>
      </w:r>
    </w:p>
    <w:p w14:paraId="18C11A7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预付款</w:t>
      </w:r>
    </w:p>
    <w:p w14:paraId="79EBB26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14:paraId="3D3A877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07048EB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E8148C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预付款扣回的方式：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CA8065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 预付款担保</w:t>
      </w:r>
    </w:p>
    <w:p w14:paraId="3831F3A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承包人提交预付款担保的期限：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AA410E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19283A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预付款担保格式见合同附件7。</w:t>
      </w:r>
    </w:p>
    <w:p w14:paraId="3A9491A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计量</w:t>
      </w:r>
    </w:p>
    <w:p w14:paraId="776B584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 计量原则</w:t>
      </w:r>
    </w:p>
    <w:p w14:paraId="65204BC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rPr>
        <w:t>工程的计量均以《建设工程工程量清单计价规范》（GB50500－2013）和及其广西壮族自治区实施细则、《建设工程工程量清单计算规范》（GB50854~50862－2013）及其广西实施细则、本工程补充项目清单为准</w:t>
      </w:r>
      <w:r>
        <w:rPr>
          <w:rFonts w:hint="eastAsia" w:ascii="宋体" w:hAnsi="宋体" w:eastAsia="宋体" w:cs="宋体"/>
          <w:color w:val="auto"/>
          <w:szCs w:val="21"/>
          <w:highlight w:val="none"/>
        </w:rPr>
        <w:t>。</w:t>
      </w:r>
    </w:p>
    <w:p w14:paraId="40E645E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14:paraId="1D46980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：每月25日前</w:t>
      </w:r>
      <w:r>
        <w:rPr>
          <w:rFonts w:hint="eastAsia" w:ascii="宋体" w:hAnsi="宋体" w:eastAsia="宋体" w:cs="宋体"/>
          <w:color w:val="auto"/>
          <w:szCs w:val="21"/>
          <w:highlight w:val="none"/>
        </w:rPr>
        <w:t>。</w:t>
      </w:r>
    </w:p>
    <w:p w14:paraId="62713C9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 单价合同的计量</w:t>
      </w:r>
    </w:p>
    <w:p w14:paraId="3A88F1C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14:paraId="3E0D89B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14:paraId="25ADE52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14:paraId="57E1AC1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14:paraId="6EDA0D3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关于总价合同计量的约定：除工程变更外，原图纸范围内的工程量不得按实计量。进度款按支付分解表支付，按通用条款第12.3.4项〔总价合同的计量〕约定进行计量，但合同价款按照支付分解表进行支付。</w:t>
      </w:r>
    </w:p>
    <w:p w14:paraId="4D61395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14:paraId="31F2F2C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798215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 工程进度款支付</w:t>
      </w:r>
    </w:p>
    <w:p w14:paraId="6F8F96E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12.4.1 付款周期</w:t>
      </w:r>
    </w:p>
    <w:p w14:paraId="4B3F0B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1.预付款：无。</w:t>
      </w:r>
    </w:p>
    <w:p w14:paraId="488925C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2.工程进度款：原则上按月支付，原图纸范围内工程按工程款支付证书核定当期(上月20日至当月19日)</w:t>
      </w:r>
    </w:p>
    <w:p w14:paraId="6E0D909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完成工程量的80%支付，工程增加、变更部分进度款支付限额为已完成工程量的80%;当合同内工程进度款支付至合同价款(扣除安全文明施工费、建安劳保费、材料和工程设备暂估价金额)的80%后，发包人停止拨付工程款。</w:t>
      </w:r>
    </w:p>
    <w:p w14:paraId="54A3847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3.工程结算：工程竣工并通过验收后，支付至累计完成</w:t>
      </w:r>
      <w:r>
        <w:rPr>
          <w:rFonts w:hint="eastAsia" w:ascii="宋体" w:hAnsi="宋体" w:eastAsia="宋体" w:cs="宋体"/>
          <w:color w:val="auto"/>
          <w:szCs w:val="21"/>
          <w:highlight w:val="none"/>
          <w:lang w:val="en-US" w:eastAsia="zh-CN"/>
        </w:rPr>
        <w:t>原合同</w:t>
      </w:r>
      <w:r>
        <w:rPr>
          <w:rFonts w:hint="eastAsia" w:ascii="宋体" w:hAnsi="宋体" w:eastAsia="宋体" w:cs="宋体"/>
          <w:color w:val="auto"/>
          <w:szCs w:val="21"/>
          <w:highlight w:val="none"/>
        </w:rPr>
        <w:t>工程量价款的80%。结算经委托第三方造价咨询审定后，支付至结算总价的97%,剩余3%作为质量保证金。</w:t>
      </w:r>
    </w:p>
    <w:p w14:paraId="11962AF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4.质量保证金：缺陷责任期(2年)满且无质量问题后，采购人在14日内无息返还剩余款项。</w:t>
      </w:r>
    </w:p>
    <w:p w14:paraId="6638701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5.发票要求：供应商每次请款需开具等额增值税专用发票，采购人收到发票后10个工作日内付款。</w:t>
      </w:r>
    </w:p>
    <w:p w14:paraId="38B680E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14:paraId="7337662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14:paraId="0247341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 进度付款申请单的提交</w:t>
      </w:r>
    </w:p>
    <w:p w14:paraId="42E710E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 xml:space="preserve">按通用条款执行  </w:t>
      </w:r>
      <w:r>
        <w:rPr>
          <w:rFonts w:hint="eastAsia" w:ascii="宋体" w:hAnsi="宋体" w:eastAsia="宋体" w:cs="宋体"/>
          <w:color w:val="auto"/>
          <w:szCs w:val="21"/>
          <w:highlight w:val="none"/>
        </w:rPr>
        <w:t>。</w:t>
      </w:r>
    </w:p>
    <w:p w14:paraId="2348A95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14E084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C216DD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14:paraId="0DEBAC2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  收到申请单后7天内</w:t>
      </w:r>
      <w:r>
        <w:rPr>
          <w:rFonts w:hint="eastAsia" w:ascii="宋体" w:hAnsi="宋体" w:eastAsia="宋体" w:cs="宋体"/>
          <w:color w:val="auto"/>
          <w:szCs w:val="21"/>
          <w:highlight w:val="none"/>
        </w:rPr>
        <w:t>。</w:t>
      </w:r>
    </w:p>
    <w:p w14:paraId="2E06709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 xml:space="preserve">收到监理人的审核单后10天内审批完毕呈政府职能部门审定。收到政府部门的审定意见书后10天内签发进度款支付证书  </w:t>
      </w:r>
      <w:r>
        <w:rPr>
          <w:rFonts w:hint="eastAsia" w:ascii="宋体" w:hAnsi="宋体" w:eastAsia="宋体" w:cs="宋体"/>
          <w:color w:val="auto"/>
          <w:szCs w:val="21"/>
          <w:highlight w:val="none"/>
        </w:rPr>
        <w:t>。</w:t>
      </w:r>
    </w:p>
    <w:p w14:paraId="22115FA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承包人提交发票后7天内   </w:t>
      </w:r>
      <w:r>
        <w:rPr>
          <w:rFonts w:hint="eastAsia" w:ascii="宋体" w:hAnsi="宋体" w:eastAsia="宋体" w:cs="宋体"/>
          <w:color w:val="auto"/>
          <w:szCs w:val="21"/>
          <w:highlight w:val="none"/>
        </w:rPr>
        <w:t>。</w:t>
      </w:r>
    </w:p>
    <w:p w14:paraId="1D87384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2195015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进度款支付方式：</w:t>
      </w:r>
      <w:r>
        <w:rPr>
          <w:rFonts w:hint="eastAsia" w:ascii="宋体" w:hAnsi="宋体" w:eastAsia="宋体" w:cs="宋体"/>
          <w:color w:val="auto"/>
          <w:szCs w:val="21"/>
          <w:highlight w:val="none"/>
          <w:u w:val="single"/>
        </w:rPr>
        <w:t>银行转账</w:t>
      </w:r>
      <w:r>
        <w:rPr>
          <w:rFonts w:hint="eastAsia" w:ascii="宋体" w:hAnsi="宋体" w:eastAsia="宋体" w:cs="宋体"/>
          <w:color w:val="auto"/>
          <w:szCs w:val="21"/>
          <w:highlight w:val="none"/>
        </w:rPr>
        <w:t>。</w:t>
      </w:r>
    </w:p>
    <w:p w14:paraId="40FCD25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14:paraId="14C4329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总价合同支付分解表的编制与审批：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65D38B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单价合同的总价项目支付分解表的编制与审批：总价项目不采用支付分解表的方式计算，而按《建设工程工程量清单计价规范（GB50500-2013）广西壮族自治区实施细则》的规定执行。</w:t>
      </w:r>
    </w:p>
    <w:p w14:paraId="1A7EFC3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验收和工程试车</w:t>
      </w:r>
    </w:p>
    <w:p w14:paraId="3432B6A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分部分项工程验收</w:t>
      </w:r>
    </w:p>
    <w:p w14:paraId="28BBFA5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 xml:space="preserve">  48   </w:t>
      </w:r>
      <w:r>
        <w:rPr>
          <w:rFonts w:hint="eastAsia" w:ascii="宋体" w:hAnsi="宋体" w:eastAsia="宋体" w:cs="宋体"/>
          <w:color w:val="auto"/>
          <w:szCs w:val="21"/>
          <w:highlight w:val="none"/>
        </w:rPr>
        <w:t>小时提交书面延期要求。</w:t>
      </w:r>
    </w:p>
    <w:p w14:paraId="4221E20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48   </w:t>
      </w:r>
      <w:r>
        <w:rPr>
          <w:rFonts w:hint="eastAsia" w:ascii="宋体" w:hAnsi="宋体" w:eastAsia="宋体" w:cs="宋体"/>
          <w:color w:val="auto"/>
          <w:szCs w:val="21"/>
          <w:highlight w:val="none"/>
        </w:rPr>
        <w:t>小时。</w:t>
      </w:r>
    </w:p>
    <w:p w14:paraId="02D592D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竣工验收</w:t>
      </w:r>
    </w:p>
    <w:p w14:paraId="23A551E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13.2.1竣工验收条件</w:t>
      </w:r>
    </w:p>
    <w:p w14:paraId="31BC6E3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rPr>
        <w:t xml:space="preserve">    按规定      </w:t>
      </w:r>
      <w:r>
        <w:rPr>
          <w:rFonts w:hint="eastAsia" w:ascii="宋体" w:hAnsi="宋体" w:eastAsia="宋体" w:cs="宋体"/>
          <w:color w:val="auto"/>
          <w:szCs w:val="21"/>
          <w:highlight w:val="none"/>
        </w:rPr>
        <w:t>。</w:t>
      </w:r>
    </w:p>
    <w:p w14:paraId="61E893C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竣工验收资料的份数：</w:t>
      </w:r>
      <w:r>
        <w:rPr>
          <w:rFonts w:hint="eastAsia" w:ascii="宋体" w:hAnsi="宋体" w:eastAsia="宋体" w:cs="宋体"/>
          <w:color w:val="auto"/>
          <w:szCs w:val="21"/>
          <w:highlight w:val="none"/>
          <w:u w:val="single"/>
        </w:rPr>
        <w:t xml:space="preserve">    伍份     </w:t>
      </w:r>
      <w:r>
        <w:rPr>
          <w:rFonts w:hint="eastAsia" w:ascii="宋体" w:hAnsi="宋体" w:eastAsia="宋体" w:cs="宋体"/>
          <w:color w:val="auto"/>
          <w:szCs w:val="21"/>
          <w:highlight w:val="none"/>
        </w:rPr>
        <w:t>。</w:t>
      </w:r>
    </w:p>
    <w:p w14:paraId="54E6895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承包人提供竣工图的约定：</w:t>
      </w:r>
      <w:r>
        <w:rPr>
          <w:rFonts w:hint="eastAsia" w:ascii="宋体" w:hAnsi="宋体" w:eastAsia="宋体" w:cs="宋体"/>
          <w:color w:val="auto"/>
          <w:szCs w:val="21"/>
          <w:highlight w:val="none"/>
          <w:u w:val="single"/>
        </w:rPr>
        <w:t>竣工验收正式通过后5天，提供竣工图的数量4套</w:t>
      </w:r>
      <w:r>
        <w:rPr>
          <w:rFonts w:hint="eastAsia" w:ascii="宋体" w:hAnsi="宋体" w:eastAsia="宋体" w:cs="宋体"/>
          <w:color w:val="auto"/>
          <w:szCs w:val="21"/>
          <w:highlight w:val="none"/>
        </w:rPr>
        <w:t>。</w:t>
      </w:r>
    </w:p>
    <w:p w14:paraId="425ED9E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p w14:paraId="4F091E2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关于竣工验收程序的约定：</w:t>
      </w:r>
      <w:r>
        <w:rPr>
          <w:rFonts w:hint="eastAsia" w:ascii="宋体" w:hAnsi="宋体" w:eastAsia="宋体" w:cs="宋体"/>
          <w:color w:val="auto"/>
          <w:szCs w:val="21"/>
          <w:highlight w:val="none"/>
          <w:u w:val="single"/>
        </w:rPr>
        <w:t xml:space="preserve">   承包人准备的竣工验收资料齐全，并编制了竣工图（附电子文档）后向监理人提出预验收申请，预验收合格监理人签署同意验收后发包人在30天内组织有关部门竣工验收  </w:t>
      </w:r>
      <w:r>
        <w:rPr>
          <w:rFonts w:hint="eastAsia" w:ascii="宋体" w:hAnsi="宋体" w:eastAsia="宋体" w:cs="宋体"/>
          <w:color w:val="auto"/>
          <w:szCs w:val="21"/>
          <w:highlight w:val="none"/>
        </w:rPr>
        <w:t>。</w:t>
      </w:r>
    </w:p>
    <w:p w14:paraId="1A6EE540">
      <w:pPr>
        <w:spacing w:after="120"/>
        <w:rPr>
          <w:rFonts w:hint="eastAsia" w:ascii="宋体" w:hAnsi="宋体" w:eastAsia="宋体" w:cs="宋体"/>
          <w:color w:val="auto"/>
          <w:highlight w:val="none"/>
        </w:rPr>
      </w:pPr>
    </w:p>
    <w:p w14:paraId="7C51DF5A">
      <w:pPr>
        <w:rPr>
          <w:rFonts w:hint="eastAsia" w:ascii="宋体" w:hAnsi="宋体" w:eastAsia="宋体" w:cs="宋体"/>
          <w:color w:val="auto"/>
          <w:highlight w:val="none"/>
        </w:rPr>
      </w:pPr>
    </w:p>
    <w:p w14:paraId="299704F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 xml:space="preserve">按通用条款执行 </w:t>
      </w:r>
      <w:r>
        <w:rPr>
          <w:rFonts w:hint="eastAsia" w:ascii="宋体" w:hAnsi="宋体" w:eastAsia="宋体" w:cs="宋体"/>
          <w:color w:val="auto"/>
          <w:szCs w:val="21"/>
          <w:highlight w:val="none"/>
        </w:rPr>
        <w:t>。</w:t>
      </w:r>
    </w:p>
    <w:p w14:paraId="39A981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p w14:paraId="37C2D11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承包人向发包人移交工程的期限：</w:t>
      </w:r>
      <w:r>
        <w:rPr>
          <w:rFonts w:hint="eastAsia" w:ascii="宋体" w:hAnsi="宋体" w:eastAsia="宋体" w:cs="宋体"/>
          <w:color w:val="auto"/>
          <w:szCs w:val="21"/>
          <w:highlight w:val="none"/>
          <w:u w:val="single"/>
        </w:rPr>
        <w:t xml:space="preserve">      竣工验收合格后10天内（指全部工程）     </w:t>
      </w:r>
      <w:r>
        <w:rPr>
          <w:rFonts w:hint="eastAsia" w:ascii="宋体" w:hAnsi="宋体" w:eastAsia="宋体" w:cs="宋体"/>
          <w:color w:val="auto"/>
          <w:szCs w:val="21"/>
          <w:highlight w:val="none"/>
        </w:rPr>
        <w:t>。</w:t>
      </w:r>
    </w:p>
    <w:p w14:paraId="4DB590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 xml:space="preserve"> 。</w:t>
      </w:r>
    </w:p>
    <w:p w14:paraId="71D715C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0E8245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工程试车</w:t>
      </w:r>
    </w:p>
    <w:p w14:paraId="1AD5B18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 试车程序</w:t>
      </w:r>
    </w:p>
    <w:p w14:paraId="0C91994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工程试车内容：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989D42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（1）单机无负荷试车费用由 </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承担；</w:t>
      </w:r>
    </w:p>
    <w:p w14:paraId="77DC70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（2）无负荷联动试车费用由 </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承担。</w:t>
      </w:r>
    </w:p>
    <w:p w14:paraId="3EE4484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13.3.3 投料试车</w:t>
      </w:r>
    </w:p>
    <w:p w14:paraId="3DD515B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关于投料试车相关事项的约定：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436C44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竣工退场</w:t>
      </w:r>
    </w:p>
    <w:p w14:paraId="2C45833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 竣工退场</w:t>
      </w:r>
    </w:p>
    <w:p w14:paraId="2ED18E5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承包人完成竣工退场的期限：</w:t>
      </w:r>
      <w:r>
        <w:rPr>
          <w:rFonts w:hint="eastAsia" w:ascii="宋体" w:hAnsi="宋体" w:eastAsia="宋体" w:cs="宋体"/>
          <w:color w:val="auto"/>
          <w:szCs w:val="21"/>
          <w:highlight w:val="none"/>
          <w:u w:val="single"/>
        </w:rPr>
        <w:t xml:space="preserve"> 竣工验收合格后30天内（但必须保留足够的后续管理人员进行保修期内管理）   </w:t>
      </w:r>
      <w:r>
        <w:rPr>
          <w:rFonts w:hint="eastAsia" w:ascii="宋体" w:hAnsi="宋体" w:eastAsia="宋体" w:cs="宋体"/>
          <w:color w:val="auto"/>
          <w:szCs w:val="21"/>
          <w:highlight w:val="none"/>
        </w:rPr>
        <w:t>。</w:t>
      </w:r>
    </w:p>
    <w:p w14:paraId="621BB40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竣工结算</w:t>
      </w:r>
    </w:p>
    <w:p w14:paraId="08F2065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竣工付款申请</w:t>
      </w:r>
    </w:p>
    <w:p w14:paraId="436A18B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承包人提交竣工付款申请单的期限：</w:t>
      </w:r>
      <w:r>
        <w:rPr>
          <w:rFonts w:hint="eastAsia" w:ascii="宋体" w:hAnsi="宋体" w:eastAsia="宋体" w:cs="宋体"/>
          <w:color w:val="auto"/>
          <w:szCs w:val="21"/>
          <w:highlight w:val="none"/>
          <w:u w:val="single"/>
        </w:rPr>
        <w:t xml:space="preserve">  承包人应在工程竣工验收合格后20天内向发包人和监理人提交竣工结算申请单，并提交完整的结算资料。竣工结算申请单及结算资料提交份数一式五份，其中纸质4份，电子文档1份  </w:t>
      </w:r>
      <w:r>
        <w:rPr>
          <w:rFonts w:hint="eastAsia" w:ascii="宋体" w:hAnsi="宋体" w:eastAsia="宋体" w:cs="宋体"/>
          <w:color w:val="auto"/>
          <w:szCs w:val="21"/>
          <w:highlight w:val="none"/>
        </w:rPr>
        <w:t>。</w:t>
      </w:r>
    </w:p>
    <w:p w14:paraId="54DD04F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竣工付款申请单应包括的内容：</w:t>
      </w:r>
      <w:r>
        <w:rPr>
          <w:rFonts w:hint="eastAsia" w:ascii="宋体" w:hAnsi="宋体" w:eastAsia="宋体" w:cs="宋体"/>
          <w:color w:val="auto"/>
          <w:szCs w:val="21"/>
          <w:highlight w:val="none"/>
          <w:u w:val="single"/>
        </w:rPr>
        <w:t xml:space="preserve">  结算书、签证资料、竣工图、会议纪要、施工组织设计、多项施工方案、磋商文件、投标文件、施工合同、施工日记等，并应符合有关部门的要求  </w:t>
      </w:r>
      <w:r>
        <w:rPr>
          <w:rFonts w:hint="eastAsia" w:ascii="宋体" w:hAnsi="宋体" w:eastAsia="宋体" w:cs="宋体"/>
          <w:color w:val="auto"/>
          <w:szCs w:val="21"/>
          <w:highlight w:val="none"/>
        </w:rPr>
        <w:t>。</w:t>
      </w:r>
    </w:p>
    <w:p w14:paraId="4DAA5B7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竣工结算审核</w:t>
      </w:r>
    </w:p>
    <w:p w14:paraId="20387DE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因承包人提供的结算资料不完整而需要补充或承包人不按时对账耽误时间时，审查时间应相应顺延。</w:t>
      </w:r>
    </w:p>
    <w:p w14:paraId="7615615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结算审核约定：</w:t>
      </w:r>
    </w:p>
    <w:p w14:paraId="22A822C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非国有投资项目：</w:t>
      </w:r>
      <w:r>
        <w:rPr>
          <w:rFonts w:hint="eastAsia" w:ascii="宋体" w:hAnsi="宋体" w:eastAsia="宋体" w:cs="宋体"/>
          <w:color w:val="auto"/>
          <w:szCs w:val="21"/>
          <w:highlight w:val="none"/>
          <w:u w:val="single"/>
        </w:rPr>
        <w:t>1、工程竣工验收报告经发包人认可后20天内，承包人向发包人递交竣工验收合格资料及完整的结算资料和报告，双方按照协议书约定的合同价款及专用条款约定的合同价调整内容，进行工程竣工结算。2、发包人收到承包人递交的竣工结算报告及结算资料之日起   天内进行审核，给予确认或者提出初审意见。发包人逾期不予审定结算的视为发包人已同意上述竣工结算报告及结算资料，并以此作为最终结算的依据。发包人初审竣工结算完毕之日起  天内，按审定后的结算价款，通知经办银行向承包人支付工程竣工结算价款。承包人应根据发包人的需要随时将竣工工程交付发包人</w:t>
      </w:r>
      <w:r>
        <w:rPr>
          <w:rFonts w:hint="eastAsia" w:ascii="宋体" w:hAnsi="宋体" w:eastAsia="宋体" w:cs="宋体"/>
          <w:color w:val="auto"/>
          <w:szCs w:val="21"/>
          <w:highlight w:val="none"/>
        </w:rPr>
        <w:t>。</w:t>
      </w:r>
    </w:p>
    <w:p w14:paraId="1536C56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国有投资项目：</w:t>
      </w:r>
      <w:r>
        <w:rPr>
          <w:rFonts w:hint="eastAsia" w:ascii="宋体" w:hAnsi="宋体" w:eastAsia="宋体" w:cs="宋体"/>
          <w:color w:val="auto"/>
          <w:szCs w:val="21"/>
          <w:highlight w:val="none"/>
          <w:u w:val="single"/>
        </w:rPr>
        <w:t>（双方结合各地政府或有关部门出台的管理规定进行约定）</w:t>
      </w:r>
      <w:r>
        <w:rPr>
          <w:rFonts w:hint="eastAsia" w:ascii="宋体" w:hAnsi="宋体" w:eastAsia="宋体" w:cs="宋体"/>
          <w:color w:val="auto"/>
          <w:szCs w:val="21"/>
          <w:highlight w:val="none"/>
        </w:rPr>
        <w:t xml:space="preserve">              </w:t>
      </w:r>
    </w:p>
    <w:p w14:paraId="638007C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发包人完成竣工付款的期限：财政评审审定出具审计结论及收到财政结算确认通知之日  。</w:t>
      </w:r>
    </w:p>
    <w:p w14:paraId="3FECCD3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关于竣工付款证书异议部分复核的方式和程序：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3D4BBCA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 最终结清</w:t>
      </w:r>
    </w:p>
    <w:p w14:paraId="2A7C89A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 最终结清申请单</w:t>
      </w:r>
    </w:p>
    <w:p w14:paraId="757FA6C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color w:val="auto"/>
          <w:szCs w:val="21"/>
          <w:highlight w:val="none"/>
          <w:u w:val="single"/>
        </w:rPr>
        <w:t xml:space="preserve">  一式肆份  </w:t>
      </w:r>
      <w:r>
        <w:rPr>
          <w:rFonts w:hint="eastAsia" w:ascii="宋体" w:hAnsi="宋体" w:eastAsia="宋体" w:cs="宋体"/>
          <w:color w:val="auto"/>
          <w:szCs w:val="21"/>
          <w:highlight w:val="none"/>
        </w:rPr>
        <w:t>。</w:t>
      </w:r>
    </w:p>
    <w:p w14:paraId="791738E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承包人提交最终结算申请单的期限：</w:t>
      </w:r>
      <w:r>
        <w:rPr>
          <w:rFonts w:hint="eastAsia" w:ascii="宋体" w:hAnsi="宋体" w:eastAsia="宋体" w:cs="宋体"/>
          <w:color w:val="auto"/>
          <w:szCs w:val="21"/>
          <w:highlight w:val="none"/>
          <w:u w:val="single"/>
        </w:rPr>
        <w:t xml:space="preserve">审计确认结算价款且保修期满并签发终止保修书后  </w:t>
      </w:r>
      <w:r>
        <w:rPr>
          <w:rFonts w:hint="eastAsia" w:ascii="宋体" w:hAnsi="宋体" w:eastAsia="宋体" w:cs="宋体"/>
          <w:color w:val="auto"/>
          <w:szCs w:val="21"/>
          <w:highlight w:val="none"/>
        </w:rPr>
        <w:t xml:space="preserve">。 </w:t>
      </w:r>
    </w:p>
    <w:p w14:paraId="7650FA7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14:paraId="02DD818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应在收到承包人提交的最终结清申请单后14天内</w:t>
      </w:r>
      <w:r>
        <w:rPr>
          <w:rFonts w:hint="eastAsia" w:ascii="宋体" w:hAnsi="宋体" w:eastAsia="宋体" w:cs="宋体"/>
          <w:color w:val="auto"/>
          <w:szCs w:val="21"/>
          <w:highlight w:val="none"/>
        </w:rPr>
        <w:t>。</w:t>
      </w:r>
    </w:p>
    <w:p w14:paraId="7393341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应在颁发最终结清证书后14天内</w:t>
      </w:r>
      <w:r>
        <w:rPr>
          <w:rFonts w:hint="eastAsia" w:ascii="宋体" w:hAnsi="宋体" w:eastAsia="宋体" w:cs="宋体"/>
          <w:color w:val="auto"/>
          <w:szCs w:val="21"/>
          <w:highlight w:val="none"/>
        </w:rPr>
        <w:t>。</w:t>
      </w:r>
    </w:p>
    <w:p w14:paraId="0198B16C">
      <w:pPr>
        <w:spacing w:after="120"/>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（3）最终结算以政府财审结论为准。</w:t>
      </w:r>
    </w:p>
    <w:p w14:paraId="07C73F7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缺陷责任期与保修</w:t>
      </w:r>
    </w:p>
    <w:p w14:paraId="112A56B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 缺陷责任期</w:t>
      </w:r>
    </w:p>
    <w:p w14:paraId="4DDAE87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2年</w:t>
      </w:r>
      <w:r>
        <w:rPr>
          <w:rFonts w:hint="eastAsia" w:ascii="宋体" w:hAnsi="宋体" w:eastAsia="宋体" w:cs="宋体"/>
          <w:color w:val="auto"/>
          <w:szCs w:val="21"/>
          <w:highlight w:val="none"/>
        </w:rPr>
        <w:t>。</w:t>
      </w:r>
    </w:p>
    <w:p w14:paraId="237FD60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质量保证金</w:t>
      </w:r>
    </w:p>
    <w:p w14:paraId="34EE54C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rPr>
        <w:t xml:space="preserve">    按照竣工结算价格的3%比例预留   </w:t>
      </w:r>
      <w:r>
        <w:rPr>
          <w:rFonts w:hint="eastAsia" w:ascii="宋体" w:hAnsi="宋体" w:eastAsia="宋体" w:cs="宋体"/>
          <w:color w:val="auto"/>
          <w:szCs w:val="21"/>
          <w:highlight w:val="none"/>
        </w:rPr>
        <w:t>。</w:t>
      </w:r>
    </w:p>
    <w:p w14:paraId="7338776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 承包人提供质量保证金的方式</w:t>
      </w:r>
    </w:p>
    <w:p w14:paraId="6CA595E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w:t>
      </w:r>
    </w:p>
    <w:p w14:paraId="608C1F5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（1）质量保证金保函，保证金额为：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AE3B79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（2）发包人按工程价款结算总额的</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（不得超过3%）预留工程质量保修金，待缺陷责任期满后返还，是否付息及利息计算方式为：</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1AD5AF5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3C0149E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 质量保证金的扣留</w:t>
      </w:r>
    </w:p>
    <w:p w14:paraId="0D061DA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w:t>
      </w:r>
    </w:p>
    <w:p w14:paraId="27A9BCE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（1）在支付工程进度款时逐次扣留，在此情形下，质量保证金的计算基数不包括预付款的支付、扣回以及价格调整的金额；</w:t>
      </w:r>
    </w:p>
    <w:p w14:paraId="4F7DCB2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（2）工程竣工结算时一次性扣留质量保证金；</w:t>
      </w:r>
    </w:p>
    <w:p w14:paraId="15FD6E0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（3）其他扣留方式: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79EF311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关于质量保证金的补充约定：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3679F32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 保修</w:t>
      </w:r>
    </w:p>
    <w:p w14:paraId="12B1A3C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 保修责任</w:t>
      </w:r>
    </w:p>
    <w:p w14:paraId="6361A59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szCs w:val="21"/>
          <w:highlight w:val="none"/>
          <w:u w:val="single"/>
        </w:rPr>
        <w:t xml:space="preserve">   执行《建设工程质量管理条例》规定     </w:t>
      </w:r>
      <w:r>
        <w:rPr>
          <w:rFonts w:hint="eastAsia" w:ascii="宋体" w:hAnsi="宋体" w:eastAsia="宋体" w:cs="宋体"/>
          <w:color w:val="auto"/>
          <w:szCs w:val="21"/>
          <w:highlight w:val="none"/>
        </w:rPr>
        <w:t>。</w:t>
      </w:r>
    </w:p>
    <w:p w14:paraId="76DEAB1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工程保修书具体内容见合同附件8。</w:t>
      </w:r>
    </w:p>
    <w:p w14:paraId="1AA4C9E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14:paraId="7449E64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承包人收到保修通知并到达工程现场的合理时间：</w:t>
      </w:r>
      <w:r>
        <w:rPr>
          <w:rFonts w:hint="eastAsia" w:ascii="宋体" w:hAnsi="宋体" w:eastAsia="宋体" w:cs="宋体"/>
          <w:color w:val="auto"/>
          <w:szCs w:val="21"/>
          <w:highlight w:val="none"/>
          <w:u w:val="single"/>
        </w:rPr>
        <w:t xml:space="preserve">   3天内  </w:t>
      </w:r>
      <w:r>
        <w:rPr>
          <w:rFonts w:hint="eastAsia" w:ascii="宋体" w:hAnsi="宋体" w:eastAsia="宋体" w:cs="宋体"/>
          <w:color w:val="auto"/>
          <w:szCs w:val="21"/>
          <w:highlight w:val="none"/>
        </w:rPr>
        <w:t>。</w:t>
      </w:r>
    </w:p>
    <w:p w14:paraId="2A1424A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违约</w:t>
      </w:r>
    </w:p>
    <w:p w14:paraId="39E7F71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发包人违约</w:t>
      </w:r>
    </w:p>
    <w:p w14:paraId="6F9B197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49727C3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发包人违约的其他情形：</w:t>
      </w:r>
      <w:r>
        <w:rPr>
          <w:rFonts w:hint="eastAsia" w:ascii="宋体" w:hAnsi="宋体" w:eastAsia="宋体" w:cs="宋体"/>
          <w:color w:val="auto"/>
          <w:szCs w:val="21"/>
          <w:highlight w:val="none"/>
          <w:u w:val="single"/>
        </w:rPr>
        <w:t xml:space="preserve">    按通用条款执行        </w:t>
      </w:r>
      <w:r>
        <w:rPr>
          <w:rFonts w:hint="eastAsia" w:ascii="宋体" w:hAnsi="宋体" w:eastAsia="宋体" w:cs="宋体"/>
          <w:color w:val="auto"/>
          <w:szCs w:val="21"/>
          <w:highlight w:val="none"/>
        </w:rPr>
        <w:t>。</w:t>
      </w:r>
    </w:p>
    <w:p w14:paraId="1D1EB0D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16.1.2 发包人违约的责任</w:t>
      </w:r>
    </w:p>
    <w:p w14:paraId="7A36687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发包人违约责任的承担方式和计算方法：</w:t>
      </w:r>
    </w:p>
    <w:p w14:paraId="2CD70F2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DF4176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（2）因发包人原因未能按合同约定支付合同价款的违约责任：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8F005F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（3）发包人违反第10.1款〔变更的范围〕第（2）项约定，自行实施被取消的工作或转由他人实施的违约责任：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E6A1F5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2DE8C33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（5）因发包人违反合同约定造成暂停施工的违约责任：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54701A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（6）发包人无正当理由没有在约定期限内发出复工指示，导致承包人无法复工的违约责任：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59AAB9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B3100C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14:paraId="6EFD01E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承包人按16.1.1项〔发包人违约的情形〕约定暂停施工满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天后发包人仍不纠正其违约行为并致使合同目的不能实现的，承包人有权解除合同。</w:t>
      </w:r>
    </w:p>
    <w:p w14:paraId="6247B81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承包人违约</w:t>
      </w:r>
    </w:p>
    <w:p w14:paraId="4512667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16.2.1 承包人违约的情形</w:t>
      </w:r>
    </w:p>
    <w:p w14:paraId="41FE257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承包人违约的其他情形：</w:t>
      </w:r>
      <w:r>
        <w:rPr>
          <w:rFonts w:hint="eastAsia" w:ascii="宋体" w:hAnsi="宋体" w:eastAsia="宋体" w:cs="宋体"/>
          <w:color w:val="auto"/>
          <w:szCs w:val="21"/>
          <w:highlight w:val="none"/>
          <w:u w:val="single"/>
        </w:rPr>
        <w:t xml:space="preserve">   非承包人原因发生的工程事故，承包人不积极采取措施，导致经济损失扩大  </w:t>
      </w:r>
      <w:r>
        <w:rPr>
          <w:rFonts w:hint="eastAsia" w:ascii="宋体" w:hAnsi="宋体" w:eastAsia="宋体" w:cs="宋体"/>
          <w:color w:val="auto"/>
          <w:szCs w:val="21"/>
          <w:highlight w:val="none"/>
        </w:rPr>
        <w:t>。</w:t>
      </w:r>
    </w:p>
    <w:p w14:paraId="20BE5AD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16.2.2承包人违约的责任</w:t>
      </w:r>
    </w:p>
    <w:p w14:paraId="1C88642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承包人违约责任的承担方式和计算方法：</w:t>
      </w:r>
    </w:p>
    <w:p w14:paraId="05898EC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未按本合同通用条款第16.2.1（2）、（3）条内容完成的，承包人无条件返工处理，修复至工程质量要求并承担相关费用，并在发包人规定的时间内完成返工，否则发包人有权扣罚该分项工程2%的工程款作为处罚。</w:t>
      </w:r>
    </w:p>
    <w:p w14:paraId="4C888BB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（2）承包人有本合同通用条款第16.2.1（6）条情形的，或经监理人检验认为修复质量不合格而承包人拒绝再进行修补的，发包人将扣除承包人全部质量保修金。</w:t>
      </w:r>
    </w:p>
    <w:p w14:paraId="2A69730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18A0C39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14:paraId="554448C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关于承包人违约解除合同的特别约定：</w:t>
      </w:r>
      <w:r>
        <w:rPr>
          <w:rFonts w:hint="eastAsia" w:ascii="宋体" w:hAnsi="宋体" w:eastAsia="宋体" w:cs="宋体"/>
          <w:color w:val="auto"/>
          <w:szCs w:val="21"/>
          <w:highlight w:val="none"/>
          <w:u w:val="single"/>
        </w:rPr>
        <w:t>承包人有违反以下情况之一的，发包人有权解除合同，并没收其全部履约保证金</w:t>
      </w:r>
      <w:r>
        <w:rPr>
          <w:rFonts w:hint="eastAsia" w:ascii="宋体" w:hAnsi="宋体" w:eastAsia="宋体" w:cs="宋体"/>
          <w:color w:val="auto"/>
          <w:szCs w:val="21"/>
          <w:highlight w:val="none"/>
        </w:rPr>
        <w:t>。</w:t>
      </w:r>
    </w:p>
    <w:p w14:paraId="4744F73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(1)承包人无正当理由不按开工通知的要求及时进场组织施工和不按签订协议书时商定的进度计划有效地开展施工准备，造成工期延误的；</w:t>
      </w:r>
    </w:p>
    <w:p w14:paraId="178F49A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(2)承包人违反本合同通用条款第3.5条规定私自将合同或合同的任何部分或任何权利转让给其他人，或私自将工程或工程的一部分分包出去的；</w:t>
      </w:r>
    </w:p>
    <w:p w14:paraId="1D90CB2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(3)未经监理人批准，承包人私自将已按投标文件承诺进入工地的工程设备、施工设备、临时工程或材料撤离工地的；</w:t>
      </w:r>
    </w:p>
    <w:p w14:paraId="7960E65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(4)由于承包人原因拒绝按合同进度计划及时完成合同规定的工程，而又未采取有效措施赶上进度，造成工期严重延误的；</w:t>
      </w:r>
    </w:p>
    <w:p w14:paraId="1D42D31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(5)承包人否认合同有效或拒绝履行合同规定的承包人义务，或由于法律、财务等原因导致承包人无法继续履行或实质上已停止履行合同的义务的；</w:t>
      </w:r>
    </w:p>
    <w:p w14:paraId="7F6AA7D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(6)合同签订之日起十五日内，承包人无法按合同规定及投标文件的承诺进场经监理工程师认可的全部人员和机械的。</w:t>
      </w:r>
    </w:p>
    <w:p w14:paraId="7C60237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Cs w:val="21"/>
          <w:highlight w:val="none"/>
          <w:u w:val="single"/>
        </w:rPr>
        <w:t xml:space="preserve">      费用另行约定，由发包人承担        </w:t>
      </w:r>
      <w:r>
        <w:rPr>
          <w:rFonts w:hint="eastAsia" w:ascii="宋体" w:hAnsi="宋体" w:eastAsia="宋体" w:cs="宋体"/>
          <w:color w:val="auto"/>
          <w:szCs w:val="21"/>
          <w:highlight w:val="none"/>
        </w:rPr>
        <w:t>。</w:t>
      </w:r>
    </w:p>
    <w:p w14:paraId="14C6ED1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 不可抗力 </w:t>
      </w:r>
    </w:p>
    <w:p w14:paraId="7C51BFF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不可抗力的确认</w:t>
      </w:r>
    </w:p>
    <w:p w14:paraId="16986C1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除通用合同条款约定的不可抗力事件之外，视为不可抗力的其他情形：</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14:paraId="5FEC1D9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 因不可抗力解除合同</w:t>
      </w:r>
    </w:p>
    <w:p w14:paraId="262BE1D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 xml:space="preserve">  15  </w:t>
      </w:r>
      <w:r>
        <w:rPr>
          <w:rFonts w:hint="eastAsia" w:ascii="宋体" w:hAnsi="宋体" w:eastAsia="宋体" w:cs="宋体"/>
          <w:color w:val="auto"/>
          <w:szCs w:val="21"/>
          <w:highlight w:val="none"/>
        </w:rPr>
        <w:t>天内完成款项的支付。</w:t>
      </w:r>
    </w:p>
    <w:p w14:paraId="0CA3576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 保险</w:t>
      </w:r>
    </w:p>
    <w:p w14:paraId="7A6946D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工程保险</w:t>
      </w:r>
    </w:p>
    <w:p w14:paraId="3DE1974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szCs w:val="21"/>
          <w:highlight w:val="none"/>
          <w:u w:val="single"/>
        </w:rPr>
        <w:t xml:space="preserve">    由承包人负责并承担费用   </w:t>
      </w:r>
      <w:r>
        <w:rPr>
          <w:rFonts w:hint="eastAsia" w:ascii="宋体" w:hAnsi="宋体" w:eastAsia="宋体" w:cs="宋体"/>
          <w:color w:val="auto"/>
          <w:szCs w:val="21"/>
          <w:highlight w:val="none"/>
        </w:rPr>
        <w:t xml:space="preserve"> 。</w:t>
      </w:r>
    </w:p>
    <w:p w14:paraId="54AA2E1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其他保险</w:t>
      </w:r>
    </w:p>
    <w:p w14:paraId="667F3DF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szCs w:val="21"/>
          <w:highlight w:val="none"/>
          <w:u w:val="single"/>
        </w:rPr>
        <w:t xml:space="preserve">       由承包人考虑并承担费用         </w:t>
      </w:r>
      <w:r>
        <w:rPr>
          <w:rFonts w:hint="eastAsia" w:ascii="宋体" w:hAnsi="宋体" w:eastAsia="宋体" w:cs="宋体"/>
          <w:color w:val="auto"/>
          <w:szCs w:val="21"/>
          <w:highlight w:val="none"/>
        </w:rPr>
        <w:t>。</w:t>
      </w:r>
    </w:p>
    <w:p w14:paraId="17B917C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1B9907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 通知义务</w:t>
      </w:r>
    </w:p>
    <w:p w14:paraId="271EE87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关于变更保险合同时的通知义务的约定：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919D10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 争议解决</w:t>
      </w:r>
    </w:p>
    <w:p w14:paraId="0018C59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争议评审</w:t>
      </w:r>
    </w:p>
    <w:p w14:paraId="388E423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7B5EDB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 争议评审小组的确定</w:t>
      </w:r>
    </w:p>
    <w:p w14:paraId="5D8F048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A9471B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8FE5B2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1E3CA6C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7434538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 争议评审小组的决定</w:t>
      </w:r>
    </w:p>
    <w:p w14:paraId="512A685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5072AAA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仲裁或诉讼</w:t>
      </w:r>
    </w:p>
    <w:p w14:paraId="17CEFEB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种方式解决：</w:t>
      </w:r>
    </w:p>
    <w:p w14:paraId="016E46C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（1）提请</w:t>
      </w:r>
      <w:r>
        <w:rPr>
          <w:rFonts w:hint="eastAsia" w:ascii="宋体" w:hAnsi="宋体" w:eastAsia="宋体" w:cs="宋体"/>
          <w:color w:val="auto"/>
          <w:szCs w:val="21"/>
          <w:highlight w:val="none"/>
          <w:u w:val="single"/>
        </w:rPr>
        <w:t xml:space="preserve">  梧州市   </w:t>
      </w:r>
      <w:r>
        <w:rPr>
          <w:rFonts w:hint="eastAsia" w:ascii="宋体" w:hAnsi="宋体" w:eastAsia="宋体" w:cs="宋体"/>
          <w:color w:val="auto"/>
          <w:szCs w:val="21"/>
          <w:highlight w:val="none"/>
        </w:rPr>
        <w:t>仲裁委员会按照该会仲裁规则进行仲裁，仲裁裁决是终局的，对合同双方均有约束力。</w:t>
      </w:r>
    </w:p>
    <w:p w14:paraId="09DC2F4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工程所在地  </w:t>
      </w:r>
      <w:r>
        <w:rPr>
          <w:rFonts w:hint="eastAsia" w:ascii="宋体" w:hAnsi="宋体" w:eastAsia="宋体" w:cs="宋体"/>
          <w:color w:val="auto"/>
          <w:szCs w:val="21"/>
          <w:highlight w:val="none"/>
        </w:rPr>
        <w:t>人民法院起诉。</w:t>
      </w:r>
    </w:p>
    <w:p w14:paraId="006DD22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补充条款</w:t>
      </w:r>
    </w:p>
    <w:p w14:paraId="115BA37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凡进入本工程工作的妇女应持有计生证、否则不准安排工作，禁止使用童工。</w:t>
      </w:r>
    </w:p>
    <w:p w14:paraId="6647414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21.2承包人需对施工现场人员购买社会保险及工程保险。</w:t>
      </w:r>
    </w:p>
    <w:p w14:paraId="1DB92DB4">
      <w:pPr>
        <w:rPr>
          <w:rFonts w:hint="eastAsia" w:ascii="宋体" w:hAnsi="宋体" w:eastAsia="宋体" w:cs="宋体"/>
          <w:color w:val="auto"/>
          <w:highlight w:val="none"/>
        </w:rPr>
      </w:pPr>
    </w:p>
    <w:p w14:paraId="61C16152">
      <w:pPr>
        <w:ind w:firstLine="643" w:firstLineChars="200"/>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工程质量保修书</w:t>
      </w:r>
    </w:p>
    <w:p w14:paraId="1BF44EA8">
      <w:pPr>
        <w:ind w:firstLine="420" w:firstLineChars="200"/>
        <w:rPr>
          <w:rFonts w:hint="eastAsia" w:ascii="宋体" w:hAnsi="宋体" w:eastAsia="宋体" w:cs="宋体"/>
          <w:color w:val="auto"/>
          <w:szCs w:val="21"/>
          <w:highlight w:val="none"/>
        </w:rPr>
      </w:pPr>
    </w:p>
    <w:p w14:paraId="311A34F5">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发包人（全称）：</w:t>
      </w:r>
      <w:r>
        <w:rPr>
          <w:rFonts w:hint="eastAsia" w:ascii="宋体" w:hAnsi="宋体" w:eastAsia="宋体" w:cs="宋体"/>
          <w:b/>
          <w:bCs/>
          <w:color w:val="auto"/>
          <w:szCs w:val="21"/>
          <w:highlight w:val="none"/>
          <w:u w:val="single"/>
          <w:lang w:eastAsia="zh-CN"/>
        </w:rPr>
        <w:t>梧州市工人医院</w:t>
      </w:r>
    </w:p>
    <w:p w14:paraId="29C5630E">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承包人（全称）：</w:t>
      </w:r>
      <w:r>
        <w:rPr>
          <w:rFonts w:hint="eastAsia" w:ascii="宋体" w:hAnsi="宋体" w:eastAsia="宋体" w:cs="宋体"/>
          <w:color w:val="auto"/>
          <w:szCs w:val="21"/>
          <w:highlight w:val="none"/>
          <w:u w:val="single"/>
        </w:rPr>
        <w:t xml:space="preserve">           </w:t>
      </w:r>
    </w:p>
    <w:p w14:paraId="7E30C4D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222C890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一、工程质量保修范围和内容</w:t>
      </w:r>
    </w:p>
    <w:p w14:paraId="7CF83FE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承包人在质量保修期内，按照有关法律规定和合同约定，承担工程质量保修责任。</w:t>
      </w:r>
    </w:p>
    <w:p w14:paraId="14B5E53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szCs w:val="21"/>
          <w:highlight w:val="none"/>
          <w:u w:val="single"/>
        </w:rPr>
        <w:t xml:space="preserve"> 发包人提供的施工图纸包含的全部内容</w:t>
      </w:r>
      <w:r>
        <w:rPr>
          <w:rFonts w:hint="eastAsia" w:ascii="宋体" w:hAnsi="宋体" w:eastAsia="宋体" w:cs="宋体"/>
          <w:color w:val="auto"/>
          <w:szCs w:val="21"/>
          <w:highlight w:val="none"/>
        </w:rPr>
        <w:t>。</w:t>
      </w:r>
    </w:p>
    <w:p w14:paraId="385502A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二、质量保修期</w:t>
      </w:r>
    </w:p>
    <w:p w14:paraId="67F141A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45BF281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1．地基基础工程和主体结构工程为设计文件规定的工程合理使用年限；</w:t>
      </w:r>
    </w:p>
    <w:p w14:paraId="46EE095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2．给排水设施、道路等维修工程为 12个月；</w:t>
      </w:r>
    </w:p>
    <w:p w14:paraId="4A1C7AD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其他项目保修期限约定如下：</w:t>
      </w:r>
      <w:r>
        <w:rPr>
          <w:rFonts w:hint="eastAsia" w:ascii="宋体" w:hAnsi="宋体" w:eastAsia="宋体" w:cs="宋体"/>
          <w:color w:val="auto"/>
          <w:szCs w:val="21"/>
          <w:highlight w:val="none"/>
          <w:u w:val="single"/>
        </w:rPr>
        <w:t xml:space="preserve">      一年       </w:t>
      </w:r>
      <w:r>
        <w:rPr>
          <w:rFonts w:hint="eastAsia" w:ascii="宋体" w:hAnsi="宋体" w:eastAsia="宋体" w:cs="宋体"/>
          <w:color w:val="auto"/>
          <w:szCs w:val="21"/>
          <w:highlight w:val="none"/>
        </w:rPr>
        <w:t>。</w:t>
      </w:r>
    </w:p>
    <w:p w14:paraId="07135AE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5B8E874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3.提升泵等机械电气设备的质保期，以出厂证明的质保期限为准，但不少于1年。其质保期以设备运行验收合格之日起计算。</w:t>
      </w:r>
    </w:p>
    <w:p w14:paraId="03E764F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778F7AA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2年</w:t>
      </w:r>
      <w:r>
        <w:rPr>
          <w:rFonts w:hint="eastAsia" w:ascii="宋体" w:hAnsi="宋体" w:eastAsia="宋体" w:cs="宋体"/>
          <w:color w:val="auto"/>
          <w:szCs w:val="21"/>
          <w:highlight w:val="none"/>
        </w:rPr>
        <w:t>，缺陷责任期自工程实际竣工之日起计算。单位工程先于全部工程进行验收，单位工程缺陷责任期自单位工程验收合格之日起计算。</w:t>
      </w:r>
    </w:p>
    <w:p w14:paraId="7207AF1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缺陷责任期终止后，发包人应退还剩余的质量保证金。</w:t>
      </w:r>
    </w:p>
    <w:p w14:paraId="5FAE931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四、质量保修责任</w:t>
      </w:r>
    </w:p>
    <w:p w14:paraId="7F1CE98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0E9F1E8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6762B89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102AA7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6A258A4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五、保修费用</w:t>
      </w:r>
    </w:p>
    <w:p w14:paraId="1F50F23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保修费用由造成质量缺陷的责任方承担。</w:t>
      </w:r>
    </w:p>
    <w:p w14:paraId="0AFD54A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质量缺陷责任期内，如工程出现质量问题（或质量原因引发安全责任的），致使发包人或第三方受损的，承包人无条件承担整改和赔偿责任。否则发包人可以从承包人的保证金中支付赔偿金额，保证金不足以抵担责任的，发包人可通过其他方式或法律途径向承包人索赔 </w:t>
      </w:r>
      <w:r>
        <w:rPr>
          <w:rFonts w:hint="eastAsia" w:ascii="宋体" w:hAnsi="宋体" w:eastAsia="宋体" w:cs="宋体"/>
          <w:color w:val="auto"/>
          <w:szCs w:val="21"/>
          <w:highlight w:val="none"/>
        </w:rPr>
        <w:t>。</w:t>
      </w:r>
    </w:p>
    <w:p w14:paraId="383586B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5F3924E">
      <w:pPr>
        <w:ind w:firstLine="420" w:firstLineChars="200"/>
        <w:rPr>
          <w:rFonts w:hint="eastAsia" w:ascii="宋体" w:hAnsi="宋体" w:eastAsia="宋体" w:cs="宋体"/>
          <w:color w:val="auto"/>
          <w:szCs w:val="21"/>
          <w:highlight w:val="none"/>
        </w:rPr>
      </w:pPr>
    </w:p>
    <w:p w14:paraId="6426FF54">
      <w:pPr>
        <w:ind w:firstLine="420" w:firstLineChars="200"/>
        <w:rPr>
          <w:rFonts w:hint="eastAsia" w:ascii="宋体" w:hAnsi="宋体" w:eastAsia="宋体" w:cs="宋体"/>
          <w:color w:val="auto"/>
          <w:szCs w:val="21"/>
          <w:highlight w:val="none"/>
        </w:rPr>
      </w:pPr>
    </w:p>
    <w:p w14:paraId="3F0EA75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lang w:eastAsia="zh-CN"/>
        </w:rPr>
        <w:t>梧州市工人医院</w:t>
      </w:r>
      <w:r>
        <w:rPr>
          <w:rFonts w:hint="eastAsia" w:ascii="宋体" w:hAnsi="宋体" w:eastAsia="宋体" w:cs="宋体"/>
          <w:color w:val="auto"/>
          <w:szCs w:val="21"/>
          <w:highlight w:val="none"/>
        </w:rPr>
        <w:t xml:space="preserve"> (公章)   承包人：   (公章)</w:t>
      </w:r>
    </w:p>
    <w:p w14:paraId="1117D3F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513EBC3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（签字或盖章）</w:t>
      </w:r>
    </w:p>
    <w:p w14:paraId="7C7883F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年   月   日             日期：202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   月 日</w:t>
      </w:r>
    </w:p>
    <w:p w14:paraId="75C80405">
      <w:pPr>
        <w:ind w:firstLine="420" w:firstLineChars="200"/>
        <w:rPr>
          <w:rFonts w:hint="eastAsia" w:ascii="宋体" w:hAnsi="宋体" w:eastAsia="宋体" w:cs="宋体"/>
          <w:color w:val="auto"/>
          <w:szCs w:val="21"/>
          <w:highlight w:val="none"/>
        </w:rPr>
      </w:pPr>
    </w:p>
    <w:p w14:paraId="5CD27C10">
      <w:pPr>
        <w:ind w:firstLine="420" w:firstLineChars="200"/>
        <w:rPr>
          <w:rFonts w:hint="eastAsia" w:ascii="宋体" w:hAnsi="宋体" w:eastAsia="宋体" w:cs="宋体"/>
          <w:color w:val="auto"/>
          <w:szCs w:val="21"/>
          <w:highlight w:val="none"/>
        </w:rPr>
      </w:pPr>
    </w:p>
    <w:p w14:paraId="12349ECF">
      <w:pPr>
        <w:ind w:firstLine="420" w:firstLineChars="200"/>
        <w:rPr>
          <w:rFonts w:hint="eastAsia" w:ascii="宋体" w:hAnsi="宋体" w:eastAsia="宋体" w:cs="宋体"/>
          <w:color w:val="auto"/>
          <w:szCs w:val="21"/>
          <w:highlight w:val="none"/>
        </w:rPr>
      </w:pPr>
    </w:p>
    <w:p w14:paraId="6EE9D5CB">
      <w:pPr>
        <w:jc w:val="both"/>
        <w:rPr>
          <w:rFonts w:hint="eastAsia" w:ascii="宋体" w:hAnsi="宋体" w:eastAsia="宋体" w:cs="宋体"/>
          <w:b/>
          <w:bCs/>
          <w:color w:val="auto"/>
          <w:sz w:val="32"/>
          <w:szCs w:val="32"/>
          <w:highlight w:val="none"/>
        </w:rPr>
      </w:pPr>
    </w:p>
    <w:p w14:paraId="50596A55">
      <w:pPr>
        <w:ind w:firstLine="643" w:firstLineChars="200"/>
        <w:jc w:val="center"/>
        <w:rPr>
          <w:rFonts w:hint="eastAsia" w:ascii="宋体" w:hAnsi="宋体" w:eastAsia="宋体" w:cs="宋体"/>
          <w:b/>
          <w:bCs/>
          <w:color w:val="auto"/>
          <w:szCs w:val="21"/>
          <w:highlight w:val="none"/>
        </w:rPr>
      </w:pPr>
      <w:r>
        <w:rPr>
          <w:rFonts w:hint="eastAsia" w:ascii="宋体" w:hAnsi="宋体" w:eastAsia="宋体" w:cs="宋体"/>
          <w:b/>
          <w:bCs/>
          <w:color w:val="auto"/>
          <w:sz w:val="32"/>
          <w:szCs w:val="32"/>
          <w:highlight w:val="none"/>
        </w:rPr>
        <w:t>建设工程廉政责任书</w:t>
      </w:r>
    </w:p>
    <w:p w14:paraId="3D4C7C24">
      <w:pPr>
        <w:ind w:firstLine="420" w:firstLineChars="200"/>
        <w:rPr>
          <w:rFonts w:hint="eastAsia" w:ascii="宋体" w:hAnsi="宋体" w:eastAsia="宋体" w:cs="宋体"/>
          <w:color w:val="auto"/>
          <w:szCs w:val="21"/>
          <w:highlight w:val="none"/>
        </w:rPr>
      </w:pPr>
    </w:p>
    <w:p w14:paraId="216AB9E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r>
        <w:rPr>
          <w:rFonts w:hint="eastAsia" w:ascii="宋体" w:hAnsi="宋体" w:eastAsia="宋体" w:cs="宋体"/>
          <w:color w:val="auto"/>
          <w:szCs w:val="21"/>
          <w:highlight w:val="none"/>
          <w:u w:val="single"/>
          <w:lang w:eastAsia="zh-CN"/>
        </w:rPr>
        <w:t>梧州市工人医院</w:t>
      </w:r>
      <w:r>
        <w:rPr>
          <w:rFonts w:hint="eastAsia" w:ascii="宋体" w:hAnsi="宋体" w:eastAsia="宋体" w:cs="宋体"/>
          <w:color w:val="auto"/>
          <w:szCs w:val="21"/>
          <w:highlight w:val="none"/>
        </w:rPr>
        <w:t xml:space="preserve">         </w:t>
      </w:r>
    </w:p>
    <w:p w14:paraId="4C6CA8ED">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承包人： </w:t>
      </w:r>
      <w:r>
        <w:rPr>
          <w:rFonts w:hint="eastAsia" w:ascii="宋体" w:hAnsi="宋体" w:eastAsia="宋体" w:cs="宋体"/>
          <w:color w:val="auto"/>
          <w:szCs w:val="21"/>
          <w:highlight w:val="none"/>
          <w:u w:val="single"/>
        </w:rPr>
        <w:t xml:space="preserve">          </w:t>
      </w:r>
    </w:p>
    <w:p w14:paraId="0112630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E0D8B3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一、双方的责任</w:t>
      </w:r>
    </w:p>
    <w:p w14:paraId="1E24856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1.1应严格遵守国家关于建设工程的有关法律、法规，相关政策，以及廉政建设的各项规定。</w:t>
      </w:r>
    </w:p>
    <w:p w14:paraId="4AAD17D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1.2严格执行建设工程合同文件，自觉按合同办事。</w:t>
      </w:r>
    </w:p>
    <w:p w14:paraId="5120C76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14:paraId="5EE86AA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1.4发现对方在业务活动中有违规、违纪、违法行为的，应及时提醒对方，情节严重的，应向其上级主管部门或纪检监察、司法等有关机关举报。</w:t>
      </w:r>
    </w:p>
    <w:p w14:paraId="3AF59DB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二、发包人责任</w:t>
      </w:r>
    </w:p>
    <w:p w14:paraId="3304DC1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发包人的领导和从事该建设工程项目的工作人员，在工程建设的事前、事中、事后应遵守以下规定：</w:t>
      </w:r>
    </w:p>
    <w:p w14:paraId="0617E86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2.1不得向承包人和相关单位索要或接受回扣、礼金、有价证券、贵重物品和好处费、感谢费等。</w:t>
      </w:r>
    </w:p>
    <w:p w14:paraId="1EF4803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2.2不得在承包人和相关单位报销任何应由发包人或个人支付的费用。</w:t>
      </w:r>
    </w:p>
    <w:p w14:paraId="1222F8B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2.3不得要求、暗示或接受承包人和相关单位为个人装修住房、婚丧嫁娶、配偶子女的工作安排以及出国(境)、旅游等提供方便。</w:t>
      </w:r>
    </w:p>
    <w:p w14:paraId="1F3ED68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2.4不得参加有可能影响公正执行公务的承包人和相关单位的宴请、健身、娱乐等活动。</w:t>
      </w:r>
    </w:p>
    <w:p w14:paraId="3C2B001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14:paraId="2861C9B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三、承包人责任</w:t>
      </w:r>
    </w:p>
    <w:p w14:paraId="38D796D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应与发包人保持正常的业务交往，按照有关法律法规和程序开展业务工作，严格执行工程建设的有关方针、政策，执行工程建设强制性标准，并遵守以下规定：</w:t>
      </w:r>
    </w:p>
    <w:p w14:paraId="4205BFB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3.1不得以任何理由向发包人及其工作人员索要、接受或赠送礼金、有价证券、贵重物品及回扣、好处费、感谢费等。</w:t>
      </w:r>
    </w:p>
    <w:p w14:paraId="44C2387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3.2不得以任何理由为发包人和相关单位报销应由对方或个人支付的费用。</w:t>
      </w:r>
    </w:p>
    <w:p w14:paraId="55BD0E6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3.3不得接受或暗示为发包人、相关单位或个人装修住房、婚丧嫁娶、配偶子女的工作安排以及出国(境)、旅游等提供方便。</w:t>
      </w:r>
    </w:p>
    <w:p w14:paraId="1D75B7C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3.4不得以任何理由为发包人、相关单位或个人组织有可能影响公正执行公务的宴请、健身、娱乐等活动。</w:t>
      </w:r>
    </w:p>
    <w:p w14:paraId="0E1FFBA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四、违约责任</w:t>
      </w:r>
    </w:p>
    <w:p w14:paraId="4AFD5D6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14:paraId="15B516B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14:paraId="4A1ECE8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4.3本责任书作为建设工程合同的组成部分，与建设工程合同具有同等法律效力。经双方签署后立即生效。</w:t>
      </w:r>
    </w:p>
    <w:p w14:paraId="6FF9680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五、责任书有效期</w:t>
      </w:r>
    </w:p>
    <w:p w14:paraId="1003FD3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本责任书的有效期为双方签署之日起至该工程项目竣工验收合格时止。</w:t>
      </w:r>
    </w:p>
    <w:p w14:paraId="42585CC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六、责任书份数</w:t>
      </w:r>
    </w:p>
    <w:p w14:paraId="7FCE33C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本责任书一式捌份，发包人执肆份，承包人执肆份，具有同等效力。</w:t>
      </w:r>
    </w:p>
    <w:p w14:paraId="49131882">
      <w:pPr>
        <w:ind w:firstLine="420" w:firstLineChars="200"/>
        <w:rPr>
          <w:rFonts w:hint="eastAsia" w:ascii="宋体" w:hAnsi="宋体" w:eastAsia="宋体" w:cs="宋体"/>
          <w:color w:val="auto"/>
          <w:szCs w:val="21"/>
          <w:highlight w:val="none"/>
        </w:rPr>
      </w:pPr>
    </w:p>
    <w:p w14:paraId="08954584">
      <w:pPr>
        <w:ind w:firstLine="420" w:firstLineChars="200"/>
        <w:rPr>
          <w:rFonts w:hint="eastAsia" w:ascii="宋体" w:hAnsi="宋体" w:eastAsia="宋体" w:cs="宋体"/>
          <w:color w:val="auto"/>
          <w:szCs w:val="21"/>
          <w:highlight w:val="none"/>
        </w:rPr>
      </w:pPr>
    </w:p>
    <w:p w14:paraId="4DE8646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梧州市工人医院</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(公章) </w:t>
      </w:r>
    </w:p>
    <w:p w14:paraId="7B7507EF">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法定代表人(签字或盖章)</w:t>
      </w:r>
      <w:r>
        <w:rPr>
          <w:rFonts w:hint="eastAsia" w:ascii="宋体" w:hAnsi="宋体" w:eastAsia="宋体" w:cs="宋体"/>
          <w:color w:val="auto"/>
          <w:szCs w:val="21"/>
          <w:highlight w:val="none"/>
          <w:u w:val="single"/>
        </w:rPr>
        <w:t xml:space="preserve">             </w:t>
      </w:r>
    </w:p>
    <w:p w14:paraId="66B1EC3D">
      <w:pPr>
        <w:ind w:firstLine="420" w:firstLineChars="200"/>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日期： 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            日期：202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115FFC02">
      <w:pPr>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安全管理协议</w:t>
      </w:r>
    </w:p>
    <w:p w14:paraId="613ECB5F">
      <w:pPr>
        <w:spacing w:after="120"/>
        <w:ind w:firstLine="420" w:firstLineChars="200"/>
        <w:rPr>
          <w:rFonts w:hint="eastAsia" w:ascii="宋体" w:hAnsi="宋体" w:eastAsia="宋体" w:cs="宋体"/>
          <w:color w:val="auto"/>
          <w:highlight w:val="none"/>
        </w:rPr>
      </w:pPr>
    </w:p>
    <w:p w14:paraId="390F334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为在</w:t>
      </w:r>
      <w:r>
        <w:rPr>
          <w:rFonts w:hint="eastAsia" w:ascii="宋体" w:hAnsi="宋体" w:eastAsia="宋体" w:cs="宋体"/>
          <w:b/>
          <w:bCs/>
          <w:color w:val="auto"/>
          <w:szCs w:val="21"/>
          <w:highlight w:val="none"/>
          <w:u w:val="single"/>
        </w:rPr>
        <w:t xml:space="preserve">    工程（项目编号： ） </w:t>
      </w:r>
      <w:r>
        <w:rPr>
          <w:rFonts w:hint="eastAsia" w:ascii="宋体" w:hAnsi="宋体" w:eastAsia="宋体" w:cs="宋体"/>
          <w:color w:val="auto"/>
          <w:szCs w:val="21"/>
          <w:highlight w:val="none"/>
        </w:rPr>
        <w:t>项目的实施过程中，切实加强施工安全管理，明确双方安全责任，创造安全、高效的施工环境，本项目发包人</w:t>
      </w:r>
      <w:r>
        <w:rPr>
          <w:rFonts w:hint="eastAsia" w:ascii="宋体" w:hAnsi="宋体" w:eastAsia="宋体" w:cs="宋体"/>
          <w:b/>
          <w:bCs/>
          <w:color w:val="auto"/>
          <w:szCs w:val="21"/>
          <w:highlight w:val="none"/>
          <w:u w:val="single"/>
          <w:lang w:eastAsia="zh-CN"/>
        </w:rPr>
        <w:t>梧州市工人医院</w:t>
      </w:r>
      <w:r>
        <w:rPr>
          <w:rFonts w:hint="eastAsia" w:ascii="宋体" w:hAnsi="宋体" w:eastAsia="宋体" w:cs="宋体"/>
          <w:color w:val="auto"/>
          <w:szCs w:val="21"/>
          <w:highlight w:val="none"/>
        </w:rPr>
        <w:t>（以下简称“发包人”）与承包人       （以下简称“承包人”）经协商达成如下安全协议并共同遵守。</w:t>
      </w:r>
    </w:p>
    <w:p w14:paraId="6B7FFAA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一、发包人安全职责</w:t>
      </w:r>
    </w:p>
    <w:p w14:paraId="50E4E8B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1、审批承包人在开工前制定的工程施工安全措施方案，并备案。</w:t>
      </w:r>
    </w:p>
    <w:p w14:paraId="16B6142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2、有权对承包人施工现场进行安全生产检查，监督承包人及时处理发现的各种安全隐患。</w:t>
      </w:r>
    </w:p>
    <w:p w14:paraId="52D8A38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3、不得要求承包人违反安全管理规定施工。</w:t>
      </w:r>
    </w:p>
    <w:p w14:paraId="35C2952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4、发包人的前述审批、监管、备案等行为不构成责任主体行为，施工中发生的安全事故其责任均由承包人承担，发包人无需承担任何责任。</w:t>
      </w:r>
    </w:p>
    <w:p w14:paraId="62A9A4A9">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二、承包人安全管理目标</w:t>
      </w:r>
    </w:p>
    <w:p w14:paraId="6BC7296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承包人承诺在实施本协议过程中，实现以下安全目标：</w:t>
      </w:r>
    </w:p>
    <w:p w14:paraId="7CA1AB8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1、不发生重伤及以上人员伤亡事故；</w:t>
      </w:r>
    </w:p>
    <w:p w14:paraId="1EFC483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2、不发生火灾、爆炸事故；</w:t>
      </w:r>
    </w:p>
    <w:p w14:paraId="718C55B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3、不发生严重特种设备事故；</w:t>
      </w:r>
    </w:p>
    <w:p w14:paraId="0417761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4、不发生负全责或主要责任的交通严重事故；</w:t>
      </w:r>
    </w:p>
    <w:p w14:paraId="61F7B94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5、不发生与安全生产相关的行政处罚事件；</w:t>
      </w:r>
    </w:p>
    <w:p w14:paraId="7282502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6、不发生集体食物中毒事件（同时5人及以上的食物中毒）；</w:t>
      </w:r>
    </w:p>
    <w:p w14:paraId="4AD9173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7、不发生治安保卫事件（构成刑事拘留及以上的事件、盗窃直接损失超过1万元人民币的事件）；</w:t>
      </w:r>
    </w:p>
    <w:p w14:paraId="4984E3F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8、不发生因人为失误造成的重大设施、设备等财产损失（直接损失一次超过10万元人民币）；</w:t>
      </w:r>
    </w:p>
    <w:p w14:paraId="190DA3C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9、各类安全整改要求文件按期关闭率达到100%；</w:t>
      </w:r>
    </w:p>
    <w:p w14:paraId="571F48B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10、项目负责人、专职安全管理人员、特种作业人员、特种设备操作人员持证上岗率达100%；</w:t>
      </w:r>
    </w:p>
    <w:p w14:paraId="367B7A5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11、安全管理人员到岗率100％；</w:t>
      </w:r>
    </w:p>
    <w:p w14:paraId="1235E6F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12、一般作业人员安全教育培训合格率达到100%。</w:t>
      </w:r>
    </w:p>
    <w:p w14:paraId="016EAAE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三、承包人安全责任</w:t>
      </w:r>
    </w:p>
    <w:p w14:paraId="4F02D39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1、承包人所提供的承包工程所要求的相关资质证明材料必须真实、有效。</w:t>
      </w:r>
    </w:p>
    <w:p w14:paraId="183713E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2、在现场施工中，必须严格遵守国家、地方、行业的有关安全的法律法规，认真执行工程承包合同中有关安全的要求。遵守发包人制定的有关安全生产规章制度和操作规程。</w:t>
      </w:r>
    </w:p>
    <w:p w14:paraId="395A1E0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负责到有关安全生产管理部门办理工程安监手续，并应建立健全安全责任制度，制定有关的安全管理规定，设置专职或兼职的施工现场安全管理人员，加强施工现场的安全管理，确保本方施工人员在施工过程中严格遵守相关的安全生产规章制度和操作规程。</w:t>
      </w:r>
    </w:p>
    <w:p w14:paraId="24634CB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4、承包人应确保所派施工人员业务水平、身体素质及精神状态等满足施工要求，严禁使用未成年和不适应现场安全施工要求的老、弱、病、残人员进行施工。</w:t>
      </w:r>
    </w:p>
    <w:p w14:paraId="27D2537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5、开工前必须自上而下进行安全技术交底，承包人全体施工人员均应掌握工程特点及施工安全措施；开工前应组织施工人员学习并掌握有关安全生产规程、规定。</w:t>
      </w:r>
    </w:p>
    <w:p w14:paraId="32A674D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复杂的和危险性较大的作业，如有可能发生火灾、爆炸、触电、高空坠落、中毒、窒息、机械伤害、交叉作业和烧烫伤等容易造成人员伤害和设备事故的作业，承包人应制订并采取有效的专项施工安全技术方案，组织制定并实施生产安全事故应急预案。发包人有权要求承包人将前述安全技术方案、事故应急预案报项目监理人或发包人审批后贯彻落实。</w:t>
      </w:r>
    </w:p>
    <w:p w14:paraId="45BFB24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7、施工现场必须设置符合相关规范的安全标志、警示牌。</w:t>
      </w:r>
    </w:p>
    <w:p w14:paraId="45649AE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8、承包人应保证安全生产所需资金的投入，所有施工设备、工器具、施工临时用电及施工场所安全防护设施等均应定期检查，并有记录，保证其经常处于完好状态，不合格的严禁使用。</w:t>
      </w:r>
    </w:p>
    <w:p w14:paraId="55F8BCC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承包人施工人员必须接受安全技术教育，熟知和遵守本工种的各项安全技术操作规程，定期进行安全技术考核，合格者方准上岗操作。特种作业（操作）人员，必须持证上岗。施工人员应按规定佩戴劳动防护用品。</w:t>
      </w:r>
    </w:p>
    <w:p w14:paraId="65E9E24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10、承包人施工人员必须在规定的施工范围内作业，不得超出施工范围，不得擅自操作施工范围外的设施设备，若确需操作的，需征得发包人值班负责人同意，由值班人员操作或在值班人员的监督下操作。</w:t>
      </w:r>
    </w:p>
    <w:p w14:paraId="58987F3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存在交叉作业的项目，项目负责人应共同确定安全管理人员。安全管理人员必须随时了解、掌握作业动态及安全状况，统一协调、指挥，各作业人员必须严格执行安全管理人员的指令，做到令行禁止。交叉作业前应拟订详细的作业方案、交叉作业计划及安全注意事项，并告知每一位作业人员，使之清楚自己在作业过程中可能对其他作业项目所产生的影响或其他作业项目施工时可能对自己造成的影响。交叉作业前要采取必要的安全防范措施，排除作业过程中可能出现的安全隐患。作业人员必须对交叉作业项目安全措施进行检查、确认，了解作业过程中所处的安全状态，发现安全隐患要及时联系协调、解决。</w:t>
      </w:r>
    </w:p>
    <w:p w14:paraId="53E5806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承包人及其施工人员必须接受发包人及监理的监督、管理和指导，积极配合地方或国家有关生产安全管理部门的安全检查。对发包人、监理或有关安全管理部门提出的意见必须及时整改。发生人身事故或危及生产运行的不安全情况，必须立即报告发包人，并采取有效的防护措施、启动事故应急预案，防止事故的进一步扩大，减少损失。</w:t>
      </w:r>
    </w:p>
    <w:p w14:paraId="27AEAA2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13、施工中的安全由承包人自行负责，施工中发生安全事故造成的人身伤亡、财产损失及相关法律责任等均由承包人承担。</w:t>
      </w:r>
    </w:p>
    <w:p w14:paraId="3387B4C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14、对发包人人员违章指挥或者可能危及生命、财产安全的指挥，承包人有权拒绝。</w:t>
      </w:r>
    </w:p>
    <w:p w14:paraId="3064DCF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15、承包人施工人员有变动的，必须对新进场施工人员及时进行安全教育。</w:t>
      </w:r>
    </w:p>
    <w:p w14:paraId="54BC3EF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16、对本工程的安全管理负全部责任，包括但不限于承包人自行施工的工程、自行分包的工程及发包人另行发包但在承包人管理范围内的工程。</w:t>
      </w:r>
    </w:p>
    <w:p w14:paraId="64C3007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四、安全考核</w:t>
      </w:r>
    </w:p>
    <w:p w14:paraId="59623E3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1、在施工过程中承包人不按工程安全管理措施方案实施，或发生安全事故，由市建设行政主管部门依照《生产安全事故报告和调查处理条例》有关规定进行处置。</w:t>
      </w:r>
    </w:p>
    <w:p w14:paraId="11C4F3B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2、发包人对承包人实行安全考核。当发生安全生产责任事故、发现违章现象时，在支付工程进度款或结算时按规定扣收。</w:t>
      </w:r>
    </w:p>
    <w:p w14:paraId="057B95DC">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过程中，发包人每发现承包人施工人员一次一般违章行为，扣违约金500元，一次严重违章行为，扣违约金1000～5000元；一次恶性违章行为，扣违约金6000元，屡教不改的发包人有权加倍扣收安全违约金。违章行为考核办法详见附表3违章行为50例。</w:t>
      </w:r>
    </w:p>
    <w:p w14:paraId="04A6D6D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4、在施工过程中发生轻伤事故的，每一起扣收2万元安全违约金；发生重伤事故的，每一起扣收20万元安全违约金；发生死亡及以上事故的，扣收50万元安全违约金。发生事故隐瞒不报的，加倍扣收。</w:t>
      </w:r>
    </w:p>
    <w:p w14:paraId="7AF8E11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5、由于承包人原因造成发包人停水、停电、设备事故、人身受伤或影响员工正常生活，承包人承担相应的赔偿责任。</w:t>
      </w:r>
    </w:p>
    <w:p w14:paraId="68538E6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6、承包人违反发包人有关安全生产规章制度，并且不听从发包人建议，拒绝执行整改的，发包人可要求停工整改，因此而造成工期延误的承包人承担逾期责任。</w:t>
      </w:r>
    </w:p>
    <w:p w14:paraId="1FB293E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7、发包人对施工现场的安全监督检查意见（包括施工人员违章、安全隐患情况等），以书面形式通知承包人，并双方签字确认，作为安全考核依据。</w:t>
      </w:r>
    </w:p>
    <w:p w14:paraId="592E59A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8、发包人对承包人的安全检查考核项目见附表1安全管理检查考核表、附表2安全文明施工检查表、附表3违章行为50例。</w:t>
      </w:r>
    </w:p>
    <w:p w14:paraId="11BACC8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五、协议生效</w:t>
      </w:r>
    </w:p>
    <w:p w14:paraId="41B5A03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1、本协议一式捌份，发包人执肆份、承包人执肆份。本协议自双方盖章之日起生效。。</w:t>
      </w:r>
    </w:p>
    <w:p w14:paraId="217161B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2、本协议有效期：自本协议签订之日起至工程竣工验收合格并交付发包人为止。</w:t>
      </w:r>
    </w:p>
    <w:p w14:paraId="7A4B3F3B">
      <w:pPr>
        <w:ind w:firstLine="420" w:firstLineChars="200"/>
        <w:rPr>
          <w:rFonts w:hint="eastAsia" w:ascii="宋体" w:hAnsi="宋体" w:eastAsia="宋体" w:cs="宋体"/>
          <w:color w:val="auto"/>
          <w:szCs w:val="21"/>
          <w:highlight w:val="none"/>
        </w:rPr>
      </w:pPr>
    </w:p>
    <w:p w14:paraId="218D2313">
      <w:pPr>
        <w:ind w:firstLine="420" w:firstLineChars="200"/>
        <w:rPr>
          <w:rFonts w:hint="eastAsia" w:ascii="宋体" w:hAnsi="宋体" w:eastAsia="宋体" w:cs="宋体"/>
          <w:color w:val="auto"/>
          <w:szCs w:val="21"/>
          <w:highlight w:val="none"/>
        </w:rPr>
      </w:pPr>
    </w:p>
    <w:p w14:paraId="1DC446C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梧州市工人医院</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(公章)   </w:t>
      </w:r>
    </w:p>
    <w:p w14:paraId="2083AC8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法定代表人(签字或盖章)                 法定代表人(签字或盖章)             </w:t>
      </w:r>
    </w:p>
    <w:p w14:paraId="5DD3A6A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              日期：202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p>
    <w:p w14:paraId="5E49B4AC">
      <w:pPr>
        <w:pStyle w:val="29"/>
        <w:snapToGrid w:val="0"/>
        <w:spacing w:before="120" w:after="120" w:line="320" w:lineRule="exact"/>
        <w:jc w:val="center"/>
        <w:outlineLvl w:val="0"/>
        <w:rPr>
          <w:rFonts w:hint="eastAsia" w:ascii="宋体" w:hAnsi="宋体" w:eastAsia="宋体" w:cs="宋体"/>
          <w:color w:val="auto"/>
          <w:sz w:val="32"/>
          <w:szCs w:val="32"/>
          <w:highlight w:val="none"/>
        </w:rPr>
      </w:pPr>
    </w:p>
    <w:p w14:paraId="280929AC">
      <w:pPr>
        <w:pStyle w:val="29"/>
        <w:snapToGrid w:val="0"/>
        <w:spacing w:before="120" w:after="120" w:line="320" w:lineRule="exact"/>
        <w:jc w:val="center"/>
        <w:outlineLvl w:val="0"/>
        <w:rPr>
          <w:rFonts w:hint="eastAsia" w:ascii="宋体" w:hAnsi="宋体" w:eastAsia="宋体" w:cs="宋体"/>
          <w:color w:val="auto"/>
          <w:sz w:val="32"/>
          <w:szCs w:val="32"/>
          <w:highlight w:val="none"/>
        </w:rPr>
      </w:pPr>
    </w:p>
    <w:p w14:paraId="26B59E48">
      <w:pPr>
        <w:pStyle w:val="29"/>
        <w:snapToGrid w:val="0"/>
        <w:spacing w:before="120" w:after="120" w:line="320" w:lineRule="exact"/>
        <w:jc w:val="center"/>
        <w:outlineLvl w:val="0"/>
        <w:rPr>
          <w:rFonts w:hint="eastAsia" w:ascii="宋体" w:hAnsi="宋体" w:eastAsia="宋体" w:cs="宋体"/>
          <w:color w:val="auto"/>
          <w:sz w:val="32"/>
          <w:szCs w:val="32"/>
          <w:highlight w:val="none"/>
        </w:rPr>
      </w:pPr>
    </w:p>
    <w:p w14:paraId="3A49DB26">
      <w:pPr>
        <w:pStyle w:val="29"/>
        <w:snapToGrid w:val="0"/>
        <w:spacing w:before="120" w:after="120" w:line="320" w:lineRule="exact"/>
        <w:jc w:val="center"/>
        <w:outlineLvl w:val="0"/>
        <w:rPr>
          <w:rFonts w:hint="eastAsia" w:ascii="宋体" w:hAnsi="宋体" w:eastAsia="宋体" w:cs="宋体"/>
          <w:color w:val="auto"/>
          <w:sz w:val="32"/>
          <w:szCs w:val="32"/>
          <w:highlight w:val="none"/>
        </w:rPr>
      </w:pPr>
    </w:p>
    <w:p w14:paraId="6027E5F9">
      <w:pPr>
        <w:pStyle w:val="29"/>
        <w:snapToGrid w:val="0"/>
        <w:spacing w:before="120" w:after="120" w:line="320" w:lineRule="exact"/>
        <w:jc w:val="center"/>
        <w:outlineLvl w:val="0"/>
        <w:rPr>
          <w:rFonts w:hint="eastAsia" w:ascii="宋体" w:hAnsi="宋体" w:eastAsia="宋体" w:cs="宋体"/>
          <w:color w:val="auto"/>
          <w:sz w:val="32"/>
          <w:szCs w:val="32"/>
          <w:highlight w:val="none"/>
        </w:rPr>
      </w:pPr>
    </w:p>
    <w:p w14:paraId="110ABADA">
      <w:pPr>
        <w:pStyle w:val="29"/>
        <w:snapToGrid w:val="0"/>
        <w:spacing w:before="120" w:after="120" w:line="320" w:lineRule="exact"/>
        <w:jc w:val="center"/>
        <w:outlineLvl w:val="0"/>
        <w:rPr>
          <w:rFonts w:hint="eastAsia" w:ascii="宋体" w:hAnsi="宋体" w:eastAsia="宋体" w:cs="宋体"/>
          <w:color w:val="auto"/>
          <w:sz w:val="32"/>
          <w:szCs w:val="32"/>
          <w:highlight w:val="none"/>
        </w:rPr>
      </w:pPr>
    </w:p>
    <w:p w14:paraId="27A9D568">
      <w:pPr>
        <w:pStyle w:val="29"/>
        <w:snapToGrid w:val="0"/>
        <w:spacing w:before="120" w:after="120" w:line="320" w:lineRule="exact"/>
        <w:jc w:val="center"/>
        <w:outlineLvl w:val="0"/>
        <w:rPr>
          <w:rFonts w:hint="eastAsia" w:ascii="宋体" w:hAnsi="宋体" w:eastAsia="宋体" w:cs="宋体"/>
          <w:color w:val="auto"/>
          <w:highlight w:val="none"/>
        </w:rPr>
      </w:pPr>
      <w:r>
        <w:rPr>
          <w:rFonts w:hint="eastAsia" w:ascii="宋体" w:hAnsi="宋体" w:eastAsia="宋体" w:cs="宋体"/>
          <w:color w:val="auto"/>
          <w:sz w:val="32"/>
          <w:szCs w:val="32"/>
          <w:highlight w:val="none"/>
        </w:rPr>
        <w:t>第六章  响应文件格式</w:t>
      </w:r>
      <w:bookmarkEnd w:id="85"/>
      <w:bookmarkEnd w:id="181"/>
    </w:p>
    <w:p w14:paraId="3659CCC9">
      <w:pPr>
        <w:rPr>
          <w:rFonts w:hint="eastAsia" w:ascii="宋体" w:hAnsi="宋体" w:eastAsia="宋体" w:cs="宋体"/>
          <w:color w:val="auto"/>
          <w:sz w:val="28"/>
          <w:szCs w:val="28"/>
          <w:highlight w:val="none"/>
        </w:rPr>
      </w:pPr>
      <w:bookmarkStart w:id="182" w:name="_Toc254970697"/>
      <w:bookmarkStart w:id="183" w:name="_Toc254970556"/>
    </w:p>
    <w:p w14:paraId="2055725F">
      <w:pPr>
        <w:rPr>
          <w:rFonts w:hint="eastAsia" w:ascii="宋体" w:hAnsi="宋体" w:eastAsia="宋体" w:cs="宋体"/>
          <w:color w:val="auto"/>
          <w:sz w:val="28"/>
          <w:szCs w:val="28"/>
          <w:highlight w:val="none"/>
        </w:rPr>
      </w:pPr>
    </w:p>
    <w:p w14:paraId="1F3B514C">
      <w:pPr>
        <w:snapToGrid w:val="0"/>
        <w:spacing w:before="120" w:beforeLines="50" w:after="50" w:line="440" w:lineRule="exact"/>
        <w:rPr>
          <w:rFonts w:hint="eastAsia" w:ascii="宋体" w:hAnsi="宋体" w:eastAsia="宋体" w:cs="宋体"/>
          <w:bCs/>
          <w:color w:val="auto"/>
          <w:sz w:val="24"/>
          <w:highlight w:val="none"/>
        </w:rPr>
      </w:pPr>
      <w:bookmarkStart w:id="184" w:name="_Hlk89190642"/>
      <w:r>
        <w:rPr>
          <w:rFonts w:hint="eastAsia" w:ascii="宋体" w:hAnsi="宋体" w:eastAsia="宋体" w:cs="宋体"/>
          <w:color w:val="auto"/>
          <w:sz w:val="28"/>
          <w:szCs w:val="28"/>
          <w:highlight w:val="none"/>
        </w:rPr>
        <w:t>注：有签字、盖章要求的应按要求签字（签章）、盖章（签章）。</w:t>
      </w:r>
      <w:bookmarkEnd w:id="182"/>
      <w:bookmarkEnd w:id="183"/>
      <w:r>
        <w:rPr>
          <w:rFonts w:hint="eastAsia" w:ascii="宋体" w:hAnsi="宋体" w:eastAsia="宋体" w:cs="宋体"/>
          <w:bCs/>
          <w:color w:val="auto"/>
          <w:sz w:val="24"/>
          <w:highlight w:val="none"/>
        </w:rPr>
        <w:t xml:space="preserve"> </w:t>
      </w:r>
    </w:p>
    <w:bookmarkEnd w:id="184"/>
    <w:p w14:paraId="6F670AAA">
      <w:pPr>
        <w:snapToGrid w:val="0"/>
        <w:spacing w:before="120" w:beforeLines="50" w:after="50" w:line="440" w:lineRule="exact"/>
        <w:jc w:val="left"/>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bookmarkStart w:id="185" w:name="_Hlk89190719"/>
      <w:r>
        <w:rPr>
          <w:rFonts w:hint="eastAsia" w:ascii="宋体" w:hAnsi="宋体" w:eastAsia="宋体" w:cs="宋体"/>
          <w:b/>
          <w:color w:val="auto"/>
          <w:sz w:val="24"/>
          <w:highlight w:val="none"/>
        </w:rPr>
        <w:t xml:space="preserve">1.响应文件封面格式： </w:t>
      </w:r>
    </w:p>
    <w:p w14:paraId="5D3C6A43">
      <w:pPr>
        <w:snapToGrid w:val="0"/>
        <w:spacing w:before="120" w:beforeLines="50" w:after="50" w:line="360" w:lineRule="exact"/>
        <w:rPr>
          <w:rFonts w:hint="eastAsia" w:ascii="宋体" w:hAnsi="宋体" w:eastAsia="宋体" w:cs="宋体"/>
          <w:color w:val="auto"/>
          <w:sz w:val="24"/>
          <w:highlight w:val="none"/>
        </w:rPr>
      </w:pPr>
    </w:p>
    <w:p w14:paraId="79380093">
      <w:pPr>
        <w:snapToGrid w:val="0"/>
        <w:spacing w:before="120" w:beforeLines="50" w:after="50" w:line="360" w:lineRule="exact"/>
        <w:jc w:val="center"/>
        <w:rPr>
          <w:rFonts w:hint="eastAsia" w:ascii="宋体" w:hAnsi="宋体" w:eastAsia="宋体" w:cs="宋体"/>
          <w:bCs/>
          <w:color w:val="auto"/>
          <w:sz w:val="24"/>
          <w:highlight w:val="none"/>
        </w:rPr>
      </w:pPr>
    </w:p>
    <w:p w14:paraId="15E3CC09">
      <w:pPr>
        <w:snapToGrid w:val="0"/>
        <w:spacing w:before="120" w:beforeLines="50" w:after="50" w:line="360" w:lineRule="exact"/>
        <w:jc w:val="center"/>
        <w:rPr>
          <w:rFonts w:hint="eastAsia" w:ascii="宋体" w:hAnsi="宋体" w:eastAsia="宋体" w:cs="宋体"/>
          <w:b/>
          <w:bCs/>
          <w:color w:val="auto"/>
          <w:sz w:val="44"/>
          <w:szCs w:val="44"/>
          <w:highlight w:val="none"/>
        </w:rPr>
      </w:pPr>
    </w:p>
    <w:p w14:paraId="355906A8">
      <w:pPr>
        <w:snapToGrid w:val="0"/>
        <w:spacing w:before="120" w:beforeLines="50" w:after="50" w:line="36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电子响应文件</w:t>
      </w:r>
    </w:p>
    <w:p w14:paraId="671F7AA0">
      <w:pPr>
        <w:snapToGrid w:val="0"/>
        <w:spacing w:before="120" w:beforeLines="50" w:after="50" w:line="360" w:lineRule="exact"/>
        <w:rPr>
          <w:rFonts w:hint="eastAsia" w:ascii="宋体" w:hAnsi="宋体" w:eastAsia="宋体" w:cs="宋体"/>
          <w:bCs/>
          <w:color w:val="auto"/>
          <w:sz w:val="24"/>
          <w:highlight w:val="none"/>
        </w:rPr>
      </w:pPr>
    </w:p>
    <w:p w14:paraId="4644783A">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14:paraId="2AFEC2C6">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14:paraId="2FBC2EF9">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分标号： （若无留空或写“/”）</w:t>
      </w:r>
    </w:p>
    <w:p w14:paraId="28F3D8D4">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响应文件名称：资格证明文件、商务技术文件、报价文件</w:t>
      </w:r>
    </w:p>
    <w:bookmarkEnd w:id="185"/>
    <w:p w14:paraId="1FA3CD97">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供应商名称：</w:t>
      </w:r>
    </w:p>
    <w:p w14:paraId="266ED3A1">
      <w:pPr>
        <w:snapToGrid w:val="0"/>
        <w:spacing w:before="120" w:beforeLines="50" w:after="50" w:line="360" w:lineRule="exact"/>
        <w:ind w:firstLine="720" w:firstLineChars="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供应商地址：</w:t>
      </w:r>
    </w:p>
    <w:p w14:paraId="1A0EE30D">
      <w:pPr>
        <w:pStyle w:val="7"/>
        <w:snapToGrid w:val="0"/>
        <w:spacing w:before="50" w:after="50" w:line="360" w:lineRule="exact"/>
        <w:ind w:firstLine="960" w:firstLineChars="400"/>
        <w:rPr>
          <w:rFonts w:hint="eastAsia" w:ascii="宋体" w:hAnsi="宋体" w:eastAsia="宋体" w:cs="宋体"/>
          <w:bCs/>
          <w:color w:val="auto"/>
          <w:sz w:val="24"/>
          <w:szCs w:val="24"/>
          <w:highlight w:val="none"/>
        </w:rPr>
      </w:pPr>
    </w:p>
    <w:p w14:paraId="60F4E8A6">
      <w:pPr>
        <w:snapToGrid w:val="0"/>
        <w:spacing w:before="120" w:beforeLines="50" w:after="50"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60ADB35">
      <w:pPr>
        <w:snapToGrid w:val="0"/>
        <w:spacing w:before="120" w:beforeLines="50" w:after="50" w:line="440" w:lineRule="exact"/>
        <w:jc w:val="center"/>
        <w:outlineLvl w:val="1"/>
        <w:rPr>
          <w:rFonts w:hint="eastAsia" w:ascii="宋体" w:hAnsi="宋体" w:eastAsia="宋体" w:cs="宋体"/>
          <w:b/>
          <w:bCs/>
          <w:color w:val="auto"/>
          <w:sz w:val="24"/>
          <w:highlight w:val="none"/>
        </w:rPr>
      </w:pPr>
      <w:bookmarkStart w:id="186" w:name="_Toc254970557"/>
      <w:bookmarkStart w:id="187" w:name="_Toc254970698"/>
      <w:r>
        <w:rPr>
          <w:rFonts w:hint="eastAsia" w:ascii="宋体" w:hAnsi="宋体" w:eastAsia="宋体" w:cs="宋体"/>
          <w:color w:val="auto"/>
          <w:sz w:val="24"/>
          <w:highlight w:val="none"/>
        </w:rPr>
        <w:br w:type="page"/>
      </w:r>
      <w:bookmarkEnd w:id="186"/>
      <w:bookmarkEnd w:id="187"/>
    </w:p>
    <w:p w14:paraId="43781E3C">
      <w:pPr>
        <w:snapToGrid w:val="0"/>
        <w:spacing w:before="120" w:beforeLines="50" w:after="50" w:line="440" w:lineRule="exact"/>
        <w:jc w:val="center"/>
        <w:rPr>
          <w:rFonts w:hint="eastAsia" w:ascii="宋体" w:hAnsi="宋体" w:eastAsia="宋体" w:cs="宋体"/>
          <w:color w:val="auto"/>
          <w:sz w:val="24"/>
          <w:highlight w:val="none"/>
        </w:rPr>
      </w:pPr>
    </w:p>
    <w:p w14:paraId="5305687D">
      <w:pPr>
        <w:snapToGrid w:val="0"/>
        <w:spacing w:before="50" w:after="50" w:line="440" w:lineRule="exact"/>
        <w:ind w:firstLine="138" w:firstLineChars="49"/>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14:paraId="7BAE8230">
      <w:pPr>
        <w:snapToGrid w:val="0"/>
        <w:spacing w:before="50" w:after="50" w:line="440" w:lineRule="exact"/>
        <w:ind w:firstLine="118" w:firstLineChars="49"/>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bookmarkStart w:id="188" w:name="_Hlk89190735"/>
      <w:r>
        <w:rPr>
          <w:rFonts w:hint="eastAsia" w:ascii="宋体" w:hAnsi="宋体" w:eastAsia="宋体" w:cs="宋体"/>
          <w:b/>
          <w:color w:val="auto"/>
          <w:sz w:val="24"/>
          <w:highlight w:val="none"/>
        </w:rPr>
        <w:t>需</w:t>
      </w:r>
      <w:bookmarkEnd w:id="188"/>
      <w:r>
        <w:rPr>
          <w:rFonts w:hint="eastAsia" w:ascii="宋体" w:hAnsi="宋体" w:eastAsia="宋体" w:cs="宋体"/>
          <w:b/>
          <w:color w:val="auto"/>
          <w:sz w:val="24"/>
          <w:highlight w:val="none"/>
        </w:rPr>
        <w:t>有页码）</w:t>
      </w:r>
    </w:p>
    <w:p w14:paraId="6DB74BD4">
      <w:pPr>
        <w:snapToGrid w:val="0"/>
        <w:spacing w:before="50" w:after="50" w:line="440" w:lineRule="exact"/>
        <w:ind w:firstLine="118" w:firstLineChars="49"/>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EC28790">
      <w:pPr>
        <w:snapToGrid w:val="0"/>
        <w:spacing w:before="120" w:beforeLines="50" w:after="50" w:line="440" w:lineRule="exact"/>
        <w:jc w:val="center"/>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第一部分 </w:t>
      </w:r>
      <w:bookmarkStart w:id="189" w:name="_Hlk89190743"/>
      <w:r>
        <w:rPr>
          <w:rFonts w:hint="eastAsia" w:ascii="宋体" w:hAnsi="宋体" w:eastAsia="宋体" w:cs="宋体"/>
          <w:bCs/>
          <w:color w:val="auto"/>
          <w:sz w:val="24"/>
          <w:highlight w:val="none"/>
        </w:rPr>
        <w:t>资格证明文件</w:t>
      </w:r>
      <w:bookmarkEnd w:id="189"/>
    </w:p>
    <w:p w14:paraId="127C8A9F">
      <w:pPr>
        <w:snapToGrid w:val="0"/>
        <w:spacing w:before="50" w:after="50" w:line="440" w:lineRule="exact"/>
        <w:ind w:firstLine="157" w:firstLineChars="49"/>
        <w:jc w:val="center"/>
        <w:rPr>
          <w:rStyle w:val="75"/>
          <w:rFonts w:hint="eastAsia" w:ascii="宋体" w:hAnsi="宋体" w:eastAsia="宋体" w:cs="宋体"/>
          <w:color w:val="auto"/>
          <w:highlight w:val="none"/>
        </w:rPr>
      </w:pPr>
    </w:p>
    <w:p w14:paraId="70DBC891">
      <w:pPr>
        <w:snapToGrid w:val="0"/>
        <w:spacing w:before="50" w:after="120" w:afterLines="50"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1．响应声明书格式：</w:t>
      </w:r>
    </w:p>
    <w:p w14:paraId="7576E47C">
      <w:pPr>
        <w:snapToGrid w:val="0"/>
        <w:spacing w:before="120" w:beforeLines="50" w:after="5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响应声明书</w:t>
      </w:r>
    </w:p>
    <w:p w14:paraId="310B8E0A">
      <w:pPr>
        <w:snapToGrid w:val="0"/>
        <w:spacing w:before="120" w:beforeLines="50" w:after="50" w:line="360" w:lineRule="exact"/>
        <w:jc w:val="center"/>
        <w:rPr>
          <w:rFonts w:hint="eastAsia" w:ascii="宋体" w:hAnsi="宋体" w:eastAsia="宋体" w:cs="宋体"/>
          <w:color w:val="auto"/>
          <w:szCs w:val="21"/>
          <w:highlight w:val="none"/>
        </w:rPr>
      </w:pPr>
    </w:p>
    <w:p w14:paraId="6056497D">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i/>
          <w:iCs/>
          <w:color w:val="auto"/>
          <w:szCs w:val="21"/>
          <w:highlight w:val="none"/>
          <w:u w:val="single"/>
        </w:rPr>
        <w:t>（采购人名称）</w:t>
      </w:r>
      <w:r>
        <w:rPr>
          <w:rFonts w:hint="eastAsia" w:ascii="宋体" w:hAnsi="宋体" w:eastAsia="宋体" w:cs="宋体"/>
          <w:color w:val="auto"/>
          <w:szCs w:val="21"/>
          <w:highlight w:val="none"/>
        </w:rPr>
        <w:t>：：</w:t>
      </w:r>
    </w:p>
    <w:p w14:paraId="60E1ABDE">
      <w:pPr>
        <w:snapToGrid w:val="0"/>
        <w:spacing w:before="120" w:beforeLines="50" w:after="50" w:line="360" w:lineRule="exact"/>
        <w:ind w:firstLine="630" w:firstLineChars="300"/>
        <w:rPr>
          <w:rFonts w:hint="eastAsia" w:ascii="宋体" w:hAnsi="宋体" w:eastAsia="宋体" w:cs="宋体"/>
          <w:color w:val="auto"/>
          <w:szCs w:val="21"/>
          <w:highlight w:val="none"/>
        </w:rPr>
      </w:pPr>
      <w:r>
        <w:rPr>
          <w:rFonts w:hint="eastAsia" w:ascii="宋体" w:hAnsi="宋体" w:eastAsia="宋体" w:cs="宋体"/>
          <w:i/>
          <w:iCs/>
          <w:color w:val="auto"/>
          <w:szCs w:val="21"/>
          <w:highlight w:val="none"/>
          <w:u w:val="single"/>
        </w:rPr>
        <w:t>（供应商名称）</w:t>
      </w:r>
      <w:r>
        <w:rPr>
          <w:rFonts w:hint="eastAsia" w:ascii="宋体" w:hAnsi="宋体" w:eastAsia="宋体" w:cs="宋体"/>
          <w:color w:val="auto"/>
          <w:szCs w:val="21"/>
          <w:highlight w:val="none"/>
        </w:rPr>
        <w:t>系中华人民共和国合法企业，</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 xml:space="preserve"> （经营地址）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23B9C5E">
      <w:pPr>
        <w:snapToGrid w:val="0"/>
        <w:spacing w:before="120" w:beforeLines="50" w:after="50" w:line="360" w:lineRule="exact"/>
        <w:ind w:firstLine="64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i/>
          <w:iCs/>
          <w:color w:val="auto"/>
          <w:szCs w:val="21"/>
          <w:highlight w:val="none"/>
          <w:u w:val="single"/>
        </w:rPr>
        <w:t xml:space="preserve">（姓名） </w:t>
      </w:r>
      <w:r>
        <w:rPr>
          <w:rFonts w:hint="eastAsia" w:ascii="宋体" w:hAnsi="宋体" w:eastAsia="宋体" w:cs="宋体"/>
          <w:color w:val="auto"/>
          <w:szCs w:val="21"/>
          <w:highlight w:val="none"/>
        </w:rPr>
        <w:t>系</w:t>
      </w:r>
      <w:r>
        <w:rPr>
          <w:rFonts w:hint="eastAsia" w:ascii="宋体" w:hAnsi="宋体" w:eastAsia="宋体" w:cs="宋体"/>
          <w:i/>
          <w:iCs/>
          <w:color w:val="auto"/>
          <w:szCs w:val="21"/>
          <w:highlight w:val="none"/>
          <w:u w:val="single"/>
        </w:rPr>
        <w:t>（供应商名称）</w:t>
      </w:r>
      <w:r>
        <w:rPr>
          <w:rFonts w:hint="eastAsia" w:ascii="宋体" w:hAnsi="宋体" w:eastAsia="宋体" w:cs="宋体"/>
          <w:color w:val="auto"/>
          <w:szCs w:val="21"/>
          <w:highlight w:val="none"/>
        </w:rPr>
        <w:t>的法定代表人，我方愿意参加贵方组织的</w:t>
      </w:r>
      <w:r>
        <w:rPr>
          <w:rFonts w:hint="eastAsia" w:ascii="宋体" w:hAnsi="宋体" w:eastAsia="宋体" w:cs="宋体"/>
          <w:i/>
          <w:iCs/>
          <w:color w:val="auto"/>
          <w:szCs w:val="21"/>
          <w:highlight w:val="none"/>
          <w:u w:val="single"/>
        </w:rPr>
        <w:t xml:space="preserve">（项目名称） </w:t>
      </w:r>
      <w:r>
        <w:rPr>
          <w:rFonts w:hint="eastAsia" w:ascii="宋体" w:hAnsi="宋体" w:eastAsia="宋体" w:cs="宋体"/>
          <w:color w:val="auto"/>
          <w:szCs w:val="21"/>
          <w:highlight w:val="none"/>
        </w:rPr>
        <w:t>项目的磋商，为便于贵方公正、择优地确定成交供应商及其响应内容，我方就本次磋商有关事项郑重声明如下：</w:t>
      </w:r>
    </w:p>
    <w:p w14:paraId="64D20DFB">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（1）我方向贵方提交的所有响应文件、资料都是准确的和真实的。</w:t>
      </w:r>
    </w:p>
    <w:p w14:paraId="181840CE">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（2）我方不是采购人的附属机构；也不是为本项目提供整体设计、规范编制或者项目管理、监理、检测等服务的供应商或其附属机构。</w:t>
      </w:r>
    </w:p>
    <w:p w14:paraId="71C2BB7D">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我方承诺在参加本政府采购项目活动前，没有被纳入政府部门或银行认定的失信名单，我方具有良好的商业信誉。</w:t>
      </w:r>
    </w:p>
    <w:p w14:paraId="2F16F4B5">
      <w:pPr>
        <w:spacing w:line="3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5C296032">
      <w:pPr>
        <w:snapToGrid w:val="0"/>
        <w:spacing w:before="120" w:beforeLines="50" w:line="360" w:lineRule="exact"/>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我方</w:t>
      </w:r>
      <w:r>
        <w:rPr>
          <w:rFonts w:hint="eastAsia" w:ascii="宋体" w:hAnsi="宋体" w:eastAsia="宋体" w:cs="宋体"/>
          <w:color w:val="auto"/>
          <w:szCs w:val="21"/>
          <w:highlight w:val="none"/>
        </w:rPr>
        <w:t>承诺</w:t>
      </w:r>
      <w:r>
        <w:rPr>
          <w:rFonts w:hint="eastAsia" w:ascii="宋体" w:hAnsi="宋体" w:eastAsia="宋体" w:cs="宋体"/>
          <w:color w:val="auto"/>
          <w:szCs w:val="21"/>
          <w:highlight w:val="none"/>
          <w:lang w:val="zh-CN"/>
        </w:rPr>
        <w:t>具有履行本项目合同所必需的设备和专业技术能力。</w:t>
      </w:r>
    </w:p>
    <w:p w14:paraId="67306B4E">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（6）我方承诺未被列入失信被执行人、</w:t>
      </w:r>
      <w:r>
        <w:rPr>
          <w:rFonts w:hint="eastAsia" w:ascii="宋体" w:hAnsi="宋体" w:eastAsia="宋体" w:cs="宋体"/>
          <w:color w:val="auto"/>
          <w:kern w:val="0"/>
          <w:szCs w:val="21"/>
          <w:highlight w:val="none"/>
        </w:rPr>
        <w:t>重大税收违法失信主体</w:t>
      </w:r>
      <w:r>
        <w:rPr>
          <w:rFonts w:hint="eastAsia" w:ascii="宋体" w:hAnsi="宋体" w:eastAsia="宋体" w:cs="宋体"/>
          <w:color w:val="auto"/>
          <w:szCs w:val="21"/>
          <w:highlight w:val="none"/>
        </w:rPr>
        <w:t>、政府采购严重违法失信行为记录名单，如我方提供的声明不实，则接受本次响应作为无效响应的处理，并根据财库〔2016〕125号《财政部关于在政府采购活动中查询及使用信用记录有关问题的通知》规定接受失信联合惩戒。</w:t>
      </w:r>
    </w:p>
    <w:p w14:paraId="576BDCA2">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（7）我方承诺成交后按规定缴纳代理服务费。如未按时缴纳，贵方可不退还我方提交的磋商保证金，并从中扣除代理服务费。</w:t>
      </w:r>
    </w:p>
    <w:p w14:paraId="5AEF0A47">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我方对以上声明负全部法律责任。如有虚假或隐瞒，我方愿意承担一切后果，并不再寻求任何旨在减轻或免除法律责任的辩解。</w:t>
      </w:r>
    </w:p>
    <w:p w14:paraId="5B633F95">
      <w:pPr>
        <w:snapToGrid w:val="0"/>
        <w:spacing w:before="120" w:beforeLines="50" w:line="360" w:lineRule="exact"/>
        <w:ind w:firstLine="420" w:firstLineChars="200"/>
        <w:rPr>
          <w:rFonts w:hint="eastAsia" w:ascii="宋体" w:hAnsi="宋体" w:eastAsia="宋体" w:cs="宋体"/>
          <w:color w:val="auto"/>
          <w:szCs w:val="21"/>
          <w:highlight w:val="none"/>
        </w:rPr>
      </w:pPr>
    </w:p>
    <w:p w14:paraId="58BE3B89">
      <w:pPr>
        <w:snapToGrid w:val="0"/>
        <w:spacing w:before="120" w:beforeLines="50" w:after="50" w:line="360" w:lineRule="exact"/>
        <w:ind w:firstLine="3570" w:firstLineChars="1700"/>
        <w:rPr>
          <w:rFonts w:hint="eastAsia" w:ascii="宋体" w:hAnsi="宋体" w:eastAsia="宋体" w:cs="宋体"/>
          <w:color w:val="auto"/>
          <w:szCs w:val="21"/>
          <w:highlight w:val="none"/>
        </w:rPr>
      </w:pPr>
      <w:bookmarkStart w:id="190" w:name="_Hlk89190765"/>
      <w:r>
        <w:rPr>
          <w:rFonts w:hint="eastAsia" w:ascii="宋体" w:hAnsi="宋体" w:eastAsia="宋体" w:cs="宋体"/>
          <w:color w:val="auto"/>
          <w:szCs w:val="21"/>
          <w:highlight w:val="none"/>
        </w:rPr>
        <w:t>供应商名称（电子签章）</w:t>
      </w:r>
      <w:bookmarkEnd w:id="190"/>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A7FA00D">
      <w:pPr>
        <w:snapToGrid w:val="0"/>
        <w:spacing w:before="120" w:beforeLines="50" w:after="50" w:line="36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5D0F2961">
      <w:pPr>
        <w:snapToGrid w:val="0"/>
        <w:spacing w:before="120" w:beforeLines="50" w:after="50" w:line="360" w:lineRule="exac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bookmarkStart w:id="191" w:name="_Toc462223472"/>
      <w:bookmarkStart w:id="192" w:name="_Toc455309222"/>
      <w:bookmarkStart w:id="193" w:name="_Toc462320613"/>
      <w:r>
        <w:rPr>
          <w:rFonts w:hint="eastAsia" w:ascii="宋体" w:hAnsi="宋体" w:eastAsia="宋体" w:cs="宋体"/>
          <w:b/>
          <w:color w:val="auto"/>
          <w:szCs w:val="21"/>
          <w:highlight w:val="none"/>
        </w:rPr>
        <w:t>2．法定代表人身份证明（无授权代表时提供）：</w:t>
      </w:r>
    </w:p>
    <w:p w14:paraId="50003BA7">
      <w:pPr>
        <w:pStyle w:val="198"/>
        <w:jc w:val="left"/>
        <w:rPr>
          <w:rFonts w:hint="eastAsia" w:ascii="宋体" w:hAnsi="宋体" w:eastAsia="宋体" w:cs="宋体"/>
          <w:color w:val="auto"/>
          <w:highlight w:val="none"/>
        </w:rPr>
      </w:pPr>
    </w:p>
    <w:p w14:paraId="0CB45BD6">
      <w:pPr>
        <w:snapToGrid w:val="0"/>
        <w:spacing w:before="120" w:beforeLines="50" w:after="50"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法定代表人身份证明</w:t>
      </w:r>
      <w:bookmarkEnd w:id="191"/>
      <w:bookmarkEnd w:id="192"/>
      <w:bookmarkEnd w:id="193"/>
    </w:p>
    <w:p w14:paraId="2860138D">
      <w:pPr>
        <w:spacing w:line="360" w:lineRule="auto"/>
        <w:rPr>
          <w:rFonts w:hint="eastAsia" w:ascii="宋体" w:hAnsi="宋体" w:eastAsia="宋体" w:cs="宋体"/>
          <w:color w:val="auto"/>
          <w:highlight w:val="none"/>
        </w:rPr>
      </w:pPr>
    </w:p>
    <w:p w14:paraId="1FA39F28">
      <w:pPr>
        <w:spacing w:line="360" w:lineRule="auto"/>
        <w:rPr>
          <w:rFonts w:hint="eastAsia" w:ascii="宋体" w:hAnsi="宋体" w:eastAsia="宋体" w:cs="宋体"/>
          <w:color w:val="auto"/>
          <w:highlight w:val="none"/>
        </w:rPr>
      </w:pPr>
    </w:p>
    <w:p w14:paraId="409FA7DD">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14:paraId="5D50B042">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6B266FE4">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3738DFC0">
      <w:pPr>
        <w:spacing w:line="5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年        月        日</w:t>
      </w:r>
    </w:p>
    <w:p w14:paraId="1ECD9968">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7E4461ED">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1845DA8">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70F2E01A">
      <w:pPr>
        <w:spacing w:line="5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 供应商名称）</w:t>
      </w:r>
      <w:r>
        <w:rPr>
          <w:rFonts w:hint="eastAsia" w:ascii="宋体" w:hAnsi="宋体" w:eastAsia="宋体" w:cs="宋体"/>
          <w:color w:val="auto"/>
          <w:szCs w:val="21"/>
          <w:highlight w:val="none"/>
        </w:rPr>
        <w:t>的法定代表人。</w:t>
      </w:r>
    </w:p>
    <w:p w14:paraId="0264522B">
      <w:pPr>
        <w:spacing w:line="540" w:lineRule="exact"/>
        <w:rPr>
          <w:rFonts w:hint="eastAsia" w:ascii="宋体" w:hAnsi="宋体" w:eastAsia="宋体" w:cs="宋体"/>
          <w:color w:val="auto"/>
          <w:szCs w:val="21"/>
          <w:highlight w:val="none"/>
        </w:rPr>
      </w:pPr>
    </w:p>
    <w:p w14:paraId="6357966C">
      <w:pPr>
        <w:spacing w:line="5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3C0938E2">
      <w:pPr>
        <w:spacing w:line="360" w:lineRule="auto"/>
        <w:ind w:firstLine="420" w:firstLineChars="200"/>
        <w:rPr>
          <w:rFonts w:hint="eastAsia" w:ascii="宋体" w:hAnsi="宋体" w:eastAsia="宋体" w:cs="宋体"/>
          <w:color w:val="auto"/>
          <w:szCs w:val="21"/>
          <w:highlight w:val="none"/>
        </w:rPr>
      </w:pPr>
    </w:p>
    <w:p w14:paraId="52EECA22">
      <w:pPr>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r>
        <w:rPr>
          <w:rFonts w:hint="eastAsia" w:ascii="宋体" w:hAnsi="宋体" w:eastAsia="宋体" w:cs="宋体"/>
          <w:color w:val="auto"/>
          <w:szCs w:val="21"/>
          <w:highlight w:val="none"/>
          <w:u w:val="single"/>
        </w:rPr>
        <w:t xml:space="preserve">                </w:t>
      </w:r>
    </w:p>
    <w:p w14:paraId="751D45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 </w:t>
      </w:r>
    </w:p>
    <w:p w14:paraId="0A09F6E0">
      <w:pPr>
        <w:spacing w:line="360" w:lineRule="auto"/>
        <w:ind w:firstLine="420" w:firstLineChars="200"/>
        <w:rPr>
          <w:rFonts w:hint="eastAsia" w:ascii="宋体" w:hAnsi="宋体" w:eastAsia="宋体" w:cs="宋体"/>
          <w:color w:val="auto"/>
          <w:szCs w:val="21"/>
          <w:highlight w:val="none"/>
        </w:rPr>
      </w:pPr>
    </w:p>
    <w:p w14:paraId="01C7B1E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附件：法定代表人身份证扫描件</w:t>
      </w:r>
    </w:p>
    <w:p w14:paraId="36176FAF">
      <w:pPr>
        <w:spacing w:line="360" w:lineRule="auto"/>
        <w:rPr>
          <w:rFonts w:hint="eastAsia" w:ascii="宋体" w:hAnsi="宋体" w:eastAsia="宋体" w:cs="宋体"/>
          <w:color w:val="auto"/>
          <w:szCs w:val="21"/>
          <w:highlight w:val="none"/>
        </w:rPr>
      </w:pPr>
    </w:p>
    <w:p w14:paraId="06503116">
      <w:pPr>
        <w:snapToGrid w:val="0"/>
        <w:spacing w:before="120" w:beforeLines="50" w:after="50"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2．授权委托书（有授权代表时提供）：</w:t>
      </w:r>
    </w:p>
    <w:p w14:paraId="4044DF39">
      <w:pPr>
        <w:snapToGrid w:val="0"/>
        <w:spacing w:before="120" w:beforeLines="50" w:after="50" w:line="360" w:lineRule="exact"/>
        <w:rPr>
          <w:rFonts w:hint="eastAsia" w:ascii="宋体" w:hAnsi="宋体" w:eastAsia="宋体" w:cs="宋体"/>
          <w:b/>
          <w:color w:val="auto"/>
          <w:szCs w:val="21"/>
          <w:highlight w:val="none"/>
        </w:rPr>
      </w:pPr>
    </w:p>
    <w:p w14:paraId="1E48CD1E">
      <w:pPr>
        <w:snapToGrid w:val="0"/>
        <w:spacing w:before="120" w:beforeLines="50" w:after="50"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法定代表人授权委托书</w:t>
      </w:r>
    </w:p>
    <w:p w14:paraId="7FA849A3">
      <w:pPr>
        <w:snapToGrid w:val="0"/>
        <w:spacing w:before="120" w:beforeLines="50" w:after="50" w:line="44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i/>
          <w:iCs/>
          <w:color w:val="auto"/>
          <w:szCs w:val="21"/>
          <w:highlight w:val="none"/>
          <w:u w:val="single"/>
        </w:rPr>
        <w:t>（采购人名称）</w:t>
      </w:r>
      <w:r>
        <w:rPr>
          <w:rFonts w:hint="eastAsia" w:ascii="宋体" w:hAnsi="宋体" w:eastAsia="宋体" w:cs="宋体"/>
          <w:color w:val="auto"/>
          <w:szCs w:val="21"/>
          <w:highlight w:val="none"/>
        </w:rPr>
        <w:t>：</w:t>
      </w:r>
    </w:p>
    <w:p w14:paraId="131C5760">
      <w:pPr>
        <w:snapToGrid w:val="0"/>
        <w:spacing w:before="120" w:beforeLines="50" w:after="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i/>
          <w:iCs/>
          <w:color w:val="auto"/>
          <w:szCs w:val="21"/>
          <w:highlight w:val="none"/>
          <w:u w:val="single"/>
        </w:rPr>
        <w:t>（姓名）</w:t>
      </w:r>
      <w:r>
        <w:rPr>
          <w:rFonts w:hint="eastAsia" w:ascii="宋体" w:hAnsi="宋体" w:eastAsia="宋体" w:cs="宋体"/>
          <w:color w:val="auto"/>
          <w:szCs w:val="21"/>
          <w:highlight w:val="none"/>
        </w:rPr>
        <w:t>系</w:t>
      </w:r>
      <w:r>
        <w:rPr>
          <w:rFonts w:hint="eastAsia" w:ascii="宋体" w:hAnsi="宋体" w:eastAsia="宋体" w:cs="宋体"/>
          <w:i/>
          <w:iCs/>
          <w:color w:val="auto"/>
          <w:szCs w:val="21"/>
          <w:highlight w:val="none"/>
          <w:u w:val="single"/>
        </w:rPr>
        <w:t>（供应商名称）</w:t>
      </w:r>
      <w:r>
        <w:rPr>
          <w:rFonts w:hint="eastAsia" w:ascii="宋体" w:hAnsi="宋体" w:eastAsia="宋体" w:cs="宋体"/>
          <w:color w:val="auto"/>
          <w:szCs w:val="21"/>
          <w:highlight w:val="none"/>
        </w:rPr>
        <w:t>的法定代表人，现授权委托本单位在职职工</w:t>
      </w:r>
      <w:r>
        <w:rPr>
          <w:rFonts w:hint="eastAsia" w:ascii="宋体" w:hAnsi="宋体" w:eastAsia="宋体" w:cs="宋体"/>
          <w:i/>
          <w:color w:val="auto"/>
          <w:szCs w:val="21"/>
          <w:highlight w:val="none"/>
          <w:u w:val="single"/>
        </w:rPr>
        <w:t>（姓名）</w:t>
      </w:r>
      <w:r>
        <w:rPr>
          <w:rFonts w:hint="eastAsia" w:ascii="宋体" w:hAnsi="宋体" w:eastAsia="宋体" w:cs="宋体"/>
          <w:color w:val="auto"/>
          <w:szCs w:val="21"/>
          <w:highlight w:val="none"/>
        </w:rPr>
        <w:t>以我方的名义参加</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项目的磋商活动，并代表我方全权办理针对上述项目的磋商、截标、评审、签约等具体事务和签署相关文件。</w:t>
      </w:r>
    </w:p>
    <w:p w14:paraId="7FBF91C1">
      <w:pP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我方对被授权人的签名事项负全部责任。</w:t>
      </w:r>
    </w:p>
    <w:p w14:paraId="1C6A5507">
      <w:pPr>
        <w:snapToGrid w:val="0"/>
        <w:spacing w:before="120" w:beforeLines="50" w:after="50"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在撤销授权的书面通知以前，本授权书一直有效。被授权人在授权书有效期内签署的所有文件不因授权的撤销而失效。</w:t>
      </w:r>
    </w:p>
    <w:p w14:paraId="1642A2F2">
      <w:pPr>
        <w:snapToGrid w:val="0"/>
        <w:spacing w:before="120" w:beforeLines="50" w:after="50"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64B5E3F8">
      <w:pPr>
        <w:snapToGrid w:val="0"/>
        <w:spacing w:before="120" w:beforeLines="50" w:after="50"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w:t>
      </w:r>
      <w:bookmarkStart w:id="194" w:name="_Hlk89190805"/>
      <w:r>
        <w:rPr>
          <w:rFonts w:hint="eastAsia" w:ascii="宋体" w:hAnsi="宋体" w:eastAsia="宋体" w:cs="宋体"/>
          <w:color w:val="auto"/>
          <w:szCs w:val="21"/>
          <w:highlight w:val="none"/>
        </w:rPr>
        <w:t>签名或签章</w:t>
      </w:r>
      <w:bookmarkEnd w:id="194"/>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法定代表人签名或签章：</w:t>
      </w:r>
      <w:r>
        <w:rPr>
          <w:rFonts w:hint="eastAsia" w:ascii="宋体" w:hAnsi="宋体" w:eastAsia="宋体" w:cs="宋体"/>
          <w:color w:val="auto"/>
          <w:szCs w:val="21"/>
          <w:highlight w:val="none"/>
          <w:u w:val="single"/>
        </w:rPr>
        <w:t xml:space="preserve">          </w:t>
      </w:r>
    </w:p>
    <w:p w14:paraId="578CBA7B">
      <w:pP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14:paraId="1568D060">
      <w:pPr>
        <w:snapToGrid w:val="0"/>
        <w:spacing w:before="120" w:beforeLines="50" w:after="50" w:line="4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授权人身份证号码：</w:t>
      </w:r>
      <w:r>
        <w:rPr>
          <w:rFonts w:hint="eastAsia" w:ascii="宋体" w:hAnsi="宋体" w:eastAsia="宋体" w:cs="宋体"/>
          <w:color w:val="auto"/>
          <w:szCs w:val="21"/>
          <w:highlight w:val="none"/>
          <w:u w:val="single"/>
        </w:rPr>
        <w:t xml:space="preserve">                 </w:t>
      </w:r>
    </w:p>
    <w:p w14:paraId="222C288F">
      <w:pPr>
        <w:snapToGrid w:val="0"/>
        <w:spacing w:before="120" w:beforeLines="50" w:after="50" w:line="440" w:lineRule="exact"/>
        <w:rPr>
          <w:rFonts w:hint="eastAsia" w:ascii="宋体" w:hAnsi="宋体" w:eastAsia="宋体" w:cs="宋体"/>
          <w:color w:val="auto"/>
          <w:szCs w:val="21"/>
          <w:highlight w:val="none"/>
          <w:u w:val="single"/>
        </w:rPr>
      </w:pPr>
      <w:bookmarkStart w:id="195" w:name="_Hlk133576837"/>
      <w:r>
        <w:rPr>
          <w:rFonts w:hint="eastAsia" w:ascii="宋体" w:hAnsi="宋体" w:eastAsia="宋体" w:cs="宋体"/>
          <w:color w:val="auto"/>
          <w:szCs w:val="21"/>
          <w:highlight w:val="none"/>
        </w:rPr>
        <w:t>被授权人</w:t>
      </w:r>
      <w:bookmarkStart w:id="196" w:name="_Hlk132793041"/>
      <w:r>
        <w:rPr>
          <w:rFonts w:hint="eastAsia" w:ascii="宋体" w:hAnsi="宋体" w:eastAsia="宋体" w:cs="宋体"/>
          <w:color w:val="auto"/>
          <w:szCs w:val="21"/>
          <w:highlight w:val="none"/>
        </w:rPr>
        <w:t>手机号码及邮箱：</w:t>
      </w:r>
      <w:bookmarkEnd w:id="196"/>
      <w:r>
        <w:rPr>
          <w:rFonts w:hint="eastAsia" w:ascii="宋体" w:hAnsi="宋体" w:eastAsia="宋体" w:cs="宋体"/>
          <w:color w:val="auto"/>
          <w:szCs w:val="21"/>
          <w:highlight w:val="none"/>
          <w:u w:val="single"/>
        </w:rPr>
        <w:t xml:space="preserve">         </w:t>
      </w:r>
    </w:p>
    <w:bookmarkEnd w:id="195"/>
    <w:p w14:paraId="06BD01BF">
      <w:pPr>
        <w:snapToGrid w:val="0"/>
        <w:spacing w:before="120" w:beforeLines="50" w:after="50" w:line="440" w:lineRule="exact"/>
        <w:rPr>
          <w:rFonts w:hint="eastAsia" w:ascii="宋体" w:hAnsi="宋体" w:eastAsia="宋体" w:cs="宋体"/>
          <w:color w:val="auto"/>
          <w:szCs w:val="21"/>
          <w:highlight w:val="none"/>
        </w:rPr>
      </w:pPr>
    </w:p>
    <w:p w14:paraId="0C86078D">
      <w:pPr>
        <w:snapToGrid w:val="0"/>
        <w:spacing w:before="120" w:beforeLines="50" w:after="50" w:line="440" w:lineRule="exact"/>
        <w:rPr>
          <w:rFonts w:hint="eastAsia" w:ascii="宋体" w:hAnsi="宋体" w:eastAsia="宋体" w:cs="宋体"/>
          <w:color w:val="auto"/>
          <w:szCs w:val="21"/>
          <w:highlight w:val="none"/>
        </w:rPr>
      </w:pPr>
    </w:p>
    <w:p w14:paraId="063F3BE5">
      <w:pP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33404CC">
      <w:pPr>
        <w:snapToGrid w:val="0"/>
        <w:spacing w:before="120" w:beforeLines="50" w:after="50" w:line="440" w:lineRule="exact"/>
        <w:ind w:firstLine="5670" w:firstLineChars="2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r>
        <w:rPr>
          <w:rFonts w:hint="eastAsia" w:ascii="宋体" w:hAnsi="宋体" w:eastAsia="宋体" w:cs="宋体"/>
          <w:color w:val="auto"/>
          <w:szCs w:val="21"/>
          <w:highlight w:val="none"/>
          <w:u w:val="single"/>
        </w:rPr>
        <w:t xml:space="preserve">                </w:t>
      </w:r>
    </w:p>
    <w:p w14:paraId="1D1C95A4">
      <w:pPr>
        <w:snapToGrid w:val="0"/>
        <w:spacing w:before="120" w:beforeLines="50" w:after="50"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66BB07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附件：法定代表人身份证扫描件及授权代表身份证扫描件</w:t>
      </w:r>
    </w:p>
    <w:p w14:paraId="2E84B779">
      <w:pPr>
        <w:spacing w:line="360" w:lineRule="auto"/>
        <w:rPr>
          <w:rFonts w:hint="eastAsia" w:ascii="宋体" w:hAnsi="宋体" w:eastAsia="宋体" w:cs="宋体"/>
          <w:color w:val="auto"/>
          <w:highlight w:val="none"/>
        </w:rPr>
      </w:pPr>
    </w:p>
    <w:p w14:paraId="438CFBFD">
      <w:pP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3．法人或者其他组织的营业执照等证明文件。即供应商是企业则提供营业执照（副本）扫描件；供应商是事业单位，则提供事业单位法人证书（副本）扫描件；供应商是非企业专业服务机构的，则提供执业许可证等证明文件扫描件；如供应商不是以上所列的法人、组织的，则提供国家规定的相关证明材料。</w:t>
      </w:r>
      <w:bookmarkStart w:id="197" w:name="_Hlk89190828"/>
      <w:r>
        <w:rPr>
          <w:rFonts w:hint="eastAsia" w:ascii="宋体" w:hAnsi="宋体" w:eastAsia="宋体" w:cs="宋体"/>
          <w:color w:val="auto"/>
          <w:szCs w:val="21"/>
          <w:highlight w:val="none"/>
        </w:rPr>
        <w:t>（加盖供应商电子签章）</w:t>
      </w:r>
      <w:bookmarkEnd w:id="197"/>
    </w:p>
    <w:p w14:paraId="0CD79382">
      <w:pPr>
        <w:snapToGrid w:val="0"/>
        <w:spacing w:before="120" w:beforeLines="50" w:after="50" w:line="440" w:lineRule="exact"/>
        <w:rPr>
          <w:rFonts w:hint="eastAsia" w:ascii="宋体" w:hAnsi="宋体" w:eastAsia="宋体" w:cs="宋体"/>
          <w:color w:val="auto"/>
          <w:szCs w:val="21"/>
          <w:highlight w:val="none"/>
        </w:rPr>
      </w:pPr>
    </w:p>
    <w:p w14:paraId="626227C2">
      <w:pPr>
        <w:snapToGrid w:val="0"/>
        <w:spacing w:before="120" w:beforeLines="50" w:after="50"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2024年</w:t>
      </w:r>
      <w:r>
        <w:rPr>
          <w:rFonts w:hint="eastAsia" w:ascii="宋体" w:hAnsi="宋体" w:eastAsia="宋体" w:cs="宋体"/>
          <w:color w:val="auto"/>
          <w:szCs w:val="21"/>
          <w:highlight w:val="none"/>
        </w:rPr>
        <w:t>财务状况报告（表）扫描件或银行出具的资信证明扫描件。</w:t>
      </w:r>
      <w:r>
        <w:rPr>
          <w:rFonts w:hint="eastAsia" w:ascii="宋体" w:hAnsi="宋体" w:eastAsia="宋体" w:cs="宋体"/>
          <w:color w:val="auto"/>
          <w:highlight w:val="none"/>
        </w:rPr>
        <w:t>对于从取得营业执照时间起到截标时间为止不足1年的供应商，只需提交</w:t>
      </w:r>
      <w:r>
        <w:rPr>
          <w:rFonts w:hint="eastAsia" w:ascii="宋体" w:hAnsi="宋体" w:eastAsia="宋体" w:cs="宋体"/>
          <w:color w:val="auto"/>
          <w:szCs w:val="21"/>
          <w:highlight w:val="none"/>
        </w:rPr>
        <w:t>截标时间前一个月的财务状况报告（表）扫描件。（按“评审方法及标准” “资格审查表”规定提供）。</w:t>
      </w:r>
      <w:bookmarkStart w:id="198" w:name="_Hlk89190839"/>
      <w:r>
        <w:rPr>
          <w:rFonts w:hint="eastAsia" w:ascii="宋体" w:hAnsi="宋体" w:eastAsia="宋体" w:cs="宋体"/>
          <w:color w:val="auto"/>
          <w:szCs w:val="21"/>
          <w:highlight w:val="none"/>
        </w:rPr>
        <w:t>（加盖供应商电子签章）</w:t>
      </w:r>
      <w:bookmarkEnd w:id="198"/>
    </w:p>
    <w:p w14:paraId="6BAB3BA8">
      <w:pPr>
        <w:snapToGrid w:val="0"/>
        <w:spacing w:before="120" w:beforeLines="50" w:after="50" w:line="440" w:lineRule="exact"/>
        <w:rPr>
          <w:rFonts w:hint="eastAsia" w:ascii="宋体" w:hAnsi="宋体" w:eastAsia="宋体" w:cs="宋体"/>
          <w:color w:val="auto"/>
          <w:szCs w:val="21"/>
          <w:highlight w:val="none"/>
        </w:rPr>
      </w:pPr>
    </w:p>
    <w:p w14:paraId="7242DF10">
      <w:pPr>
        <w:snapToGrid w:val="0"/>
        <w:spacing w:before="50" w:after="120" w:afterLines="50" w:line="44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hint="eastAsia" w:ascii="宋体" w:hAnsi="宋体" w:eastAsia="宋体" w:cs="宋体"/>
          <w:color w:val="auto"/>
          <w:szCs w:val="21"/>
          <w:highlight w:val="none"/>
        </w:rPr>
        <w:t>（按“评审方法及标准” “资格审查表”规定提供，其中社会保险缴纳证明在对应人员资料处提供）（加盖供应商电子签章）</w:t>
      </w:r>
    </w:p>
    <w:p w14:paraId="03020DCE">
      <w:pPr>
        <w:snapToGrid w:val="0"/>
        <w:spacing w:before="50" w:after="120" w:afterLines="50" w:line="440" w:lineRule="exact"/>
        <w:jc w:val="left"/>
        <w:rPr>
          <w:rFonts w:hint="eastAsia" w:ascii="宋体" w:hAnsi="宋体" w:eastAsia="宋体" w:cs="宋体"/>
          <w:color w:val="auto"/>
          <w:highlight w:val="none"/>
        </w:rPr>
      </w:pPr>
    </w:p>
    <w:p w14:paraId="2C97F6C6">
      <w:pPr>
        <w:snapToGrid w:val="0"/>
        <w:spacing w:before="50" w:after="120" w:afterLines="50"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6．具备法律、行政法规规定的其他要求的证明材料（按“评审方法及标准” “</w:t>
      </w:r>
      <w:r>
        <w:rPr>
          <w:rFonts w:hint="eastAsia" w:ascii="宋体" w:hAnsi="宋体" w:eastAsia="宋体" w:cs="宋体"/>
          <w:color w:val="auto"/>
          <w:szCs w:val="21"/>
          <w:highlight w:val="none"/>
        </w:rPr>
        <w:t>资格审查表</w:t>
      </w:r>
      <w:r>
        <w:rPr>
          <w:rFonts w:hint="eastAsia" w:ascii="宋体" w:hAnsi="宋体" w:eastAsia="宋体" w:cs="宋体"/>
          <w:color w:val="auto"/>
          <w:highlight w:val="none"/>
        </w:rPr>
        <w:t>”规定提供）。</w:t>
      </w:r>
      <w:r>
        <w:rPr>
          <w:rFonts w:hint="eastAsia" w:ascii="宋体" w:hAnsi="宋体" w:eastAsia="宋体" w:cs="宋体"/>
          <w:b/>
          <w:color w:val="auto"/>
          <w:highlight w:val="none"/>
        </w:rPr>
        <w:t>（如采购文件有要求时提供）</w:t>
      </w:r>
    </w:p>
    <w:p w14:paraId="07CABED8">
      <w:pPr>
        <w:snapToGrid w:val="0"/>
        <w:spacing w:before="50" w:after="120" w:afterLines="50"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6.1供应商基本情况表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63C0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9FB51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7341" w:type="dxa"/>
            <w:gridSpan w:val="8"/>
            <w:vAlign w:val="center"/>
          </w:tcPr>
          <w:p w14:paraId="402E201B">
            <w:pPr>
              <w:jc w:val="center"/>
              <w:rPr>
                <w:rFonts w:hint="eastAsia" w:ascii="宋体" w:hAnsi="宋体" w:eastAsia="宋体" w:cs="宋体"/>
                <w:color w:val="auto"/>
                <w:szCs w:val="21"/>
                <w:highlight w:val="none"/>
              </w:rPr>
            </w:pPr>
          </w:p>
        </w:tc>
      </w:tr>
      <w:tr w14:paraId="1C60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AACFC5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389" w:type="dxa"/>
            <w:gridSpan w:val="4"/>
            <w:vAlign w:val="center"/>
          </w:tcPr>
          <w:p w14:paraId="2DBA68DF">
            <w:pPr>
              <w:jc w:val="center"/>
              <w:rPr>
                <w:rFonts w:hint="eastAsia" w:ascii="宋体" w:hAnsi="宋体" w:eastAsia="宋体" w:cs="宋体"/>
                <w:color w:val="auto"/>
                <w:szCs w:val="21"/>
                <w:highlight w:val="none"/>
              </w:rPr>
            </w:pPr>
          </w:p>
        </w:tc>
        <w:tc>
          <w:tcPr>
            <w:tcW w:w="1246" w:type="dxa"/>
            <w:vAlign w:val="center"/>
          </w:tcPr>
          <w:p w14:paraId="402FCEA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706" w:type="dxa"/>
            <w:gridSpan w:val="3"/>
            <w:vAlign w:val="center"/>
          </w:tcPr>
          <w:p w14:paraId="6A46BCF7">
            <w:pPr>
              <w:jc w:val="center"/>
              <w:rPr>
                <w:rFonts w:hint="eastAsia" w:ascii="宋体" w:hAnsi="宋体" w:eastAsia="宋体" w:cs="宋体"/>
                <w:color w:val="auto"/>
                <w:szCs w:val="21"/>
                <w:highlight w:val="none"/>
              </w:rPr>
            </w:pPr>
          </w:p>
        </w:tc>
      </w:tr>
      <w:tr w14:paraId="443F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3DAEFA9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7" w:type="dxa"/>
            <w:vAlign w:val="center"/>
          </w:tcPr>
          <w:p w14:paraId="5BE326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492" w:type="dxa"/>
            <w:gridSpan w:val="3"/>
            <w:vAlign w:val="center"/>
          </w:tcPr>
          <w:p w14:paraId="798D4482">
            <w:pPr>
              <w:jc w:val="center"/>
              <w:rPr>
                <w:rFonts w:hint="eastAsia" w:ascii="宋体" w:hAnsi="宋体" w:eastAsia="宋体" w:cs="宋体"/>
                <w:color w:val="auto"/>
                <w:szCs w:val="21"/>
                <w:highlight w:val="none"/>
              </w:rPr>
            </w:pPr>
          </w:p>
        </w:tc>
        <w:tc>
          <w:tcPr>
            <w:tcW w:w="1246" w:type="dxa"/>
            <w:vAlign w:val="center"/>
          </w:tcPr>
          <w:p w14:paraId="78AEB7A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706" w:type="dxa"/>
            <w:gridSpan w:val="3"/>
            <w:vAlign w:val="center"/>
          </w:tcPr>
          <w:p w14:paraId="2FB63137">
            <w:pPr>
              <w:jc w:val="center"/>
              <w:rPr>
                <w:rFonts w:hint="eastAsia" w:ascii="宋体" w:hAnsi="宋体" w:eastAsia="宋体" w:cs="宋体"/>
                <w:color w:val="auto"/>
                <w:szCs w:val="21"/>
                <w:highlight w:val="none"/>
              </w:rPr>
            </w:pPr>
          </w:p>
        </w:tc>
      </w:tr>
      <w:tr w14:paraId="7486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7BDFD6E3">
            <w:pPr>
              <w:jc w:val="center"/>
              <w:rPr>
                <w:rFonts w:hint="eastAsia" w:ascii="宋体" w:hAnsi="宋体" w:eastAsia="宋体" w:cs="宋体"/>
                <w:color w:val="auto"/>
                <w:szCs w:val="21"/>
                <w:highlight w:val="none"/>
              </w:rPr>
            </w:pPr>
          </w:p>
        </w:tc>
        <w:tc>
          <w:tcPr>
            <w:tcW w:w="897" w:type="dxa"/>
            <w:vAlign w:val="center"/>
          </w:tcPr>
          <w:p w14:paraId="457F9E9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492" w:type="dxa"/>
            <w:gridSpan w:val="3"/>
            <w:vAlign w:val="center"/>
          </w:tcPr>
          <w:p w14:paraId="44C14210">
            <w:pPr>
              <w:jc w:val="center"/>
              <w:rPr>
                <w:rFonts w:hint="eastAsia" w:ascii="宋体" w:hAnsi="宋体" w:eastAsia="宋体" w:cs="宋体"/>
                <w:color w:val="auto"/>
                <w:szCs w:val="21"/>
                <w:highlight w:val="none"/>
              </w:rPr>
            </w:pPr>
          </w:p>
        </w:tc>
        <w:tc>
          <w:tcPr>
            <w:tcW w:w="1246" w:type="dxa"/>
            <w:vAlign w:val="center"/>
          </w:tcPr>
          <w:p w14:paraId="681372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706" w:type="dxa"/>
            <w:gridSpan w:val="3"/>
            <w:vAlign w:val="center"/>
          </w:tcPr>
          <w:p w14:paraId="3211B87F">
            <w:pPr>
              <w:jc w:val="center"/>
              <w:rPr>
                <w:rFonts w:hint="eastAsia" w:ascii="宋体" w:hAnsi="宋体" w:eastAsia="宋体" w:cs="宋体"/>
                <w:color w:val="auto"/>
                <w:szCs w:val="21"/>
                <w:highlight w:val="none"/>
              </w:rPr>
            </w:pPr>
          </w:p>
        </w:tc>
      </w:tr>
      <w:tr w14:paraId="5E76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3B698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7341" w:type="dxa"/>
            <w:gridSpan w:val="8"/>
            <w:vAlign w:val="center"/>
          </w:tcPr>
          <w:p w14:paraId="47466F03">
            <w:pPr>
              <w:jc w:val="center"/>
              <w:rPr>
                <w:rFonts w:hint="eastAsia" w:ascii="宋体" w:hAnsi="宋体" w:eastAsia="宋体" w:cs="宋体"/>
                <w:color w:val="auto"/>
                <w:szCs w:val="21"/>
                <w:highlight w:val="none"/>
              </w:rPr>
            </w:pPr>
          </w:p>
        </w:tc>
      </w:tr>
      <w:tr w14:paraId="5A94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EEED1C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97" w:type="dxa"/>
            <w:vAlign w:val="center"/>
          </w:tcPr>
          <w:p w14:paraId="7704D06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vAlign w:val="center"/>
          </w:tcPr>
          <w:p w14:paraId="6982A0A1">
            <w:pPr>
              <w:jc w:val="center"/>
              <w:rPr>
                <w:rFonts w:hint="eastAsia" w:ascii="宋体" w:hAnsi="宋体" w:eastAsia="宋体" w:cs="宋体"/>
                <w:color w:val="auto"/>
                <w:szCs w:val="21"/>
                <w:highlight w:val="none"/>
              </w:rPr>
            </w:pPr>
          </w:p>
        </w:tc>
        <w:tc>
          <w:tcPr>
            <w:tcW w:w="1160" w:type="dxa"/>
            <w:vAlign w:val="center"/>
          </w:tcPr>
          <w:p w14:paraId="7C3459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620" w:type="dxa"/>
            <w:gridSpan w:val="3"/>
            <w:vAlign w:val="center"/>
          </w:tcPr>
          <w:p w14:paraId="10E683CC">
            <w:pPr>
              <w:jc w:val="center"/>
              <w:rPr>
                <w:rFonts w:hint="eastAsia" w:ascii="宋体" w:hAnsi="宋体" w:eastAsia="宋体" w:cs="宋体"/>
                <w:color w:val="auto"/>
                <w:szCs w:val="21"/>
                <w:highlight w:val="none"/>
              </w:rPr>
            </w:pPr>
          </w:p>
        </w:tc>
        <w:tc>
          <w:tcPr>
            <w:tcW w:w="720" w:type="dxa"/>
            <w:vAlign w:val="center"/>
          </w:tcPr>
          <w:p w14:paraId="328792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923" w:type="dxa"/>
            <w:vAlign w:val="center"/>
          </w:tcPr>
          <w:p w14:paraId="2AB3CEE8">
            <w:pPr>
              <w:jc w:val="center"/>
              <w:rPr>
                <w:rFonts w:hint="eastAsia" w:ascii="宋体" w:hAnsi="宋体" w:eastAsia="宋体" w:cs="宋体"/>
                <w:color w:val="auto"/>
                <w:szCs w:val="21"/>
                <w:highlight w:val="none"/>
              </w:rPr>
            </w:pPr>
          </w:p>
        </w:tc>
      </w:tr>
      <w:tr w14:paraId="0C03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B97A4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97" w:type="dxa"/>
            <w:vAlign w:val="center"/>
          </w:tcPr>
          <w:p w14:paraId="29D64A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vAlign w:val="center"/>
          </w:tcPr>
          <w:p w14:paraId="1DB11A81">
            <w:pPr>
              <w:jc w:val="center"/>
              <w:rPr>
                <w:rFonts w:hint="eastAsia" w:ascii="宋体" w:hAnsi="宋体" w:eastAsia="宋体" w:cs="宋体"/>
                <w:color w:val="auto"/>
                <w:szCs w:val="21"/>
                <w:highlight w:val="none"/>
              </w:rPr>
            </w:pPr>
          </w:p>
        </w:tc>
        <w:tc>
          <w:tcPr>
            <w:tcW w:w="1160" w:type="dxa"/>
            <w:vAlign w:val="center"/>
          </w:tcPr>
          <w:p w14:paraId="1C7F7F4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620" w:type="dxa"/>
            <w:gridSpan w:val="3"/>
            <w:vAlign w:val="center"/>
          </w:tcPr>
          <w:p w14:paraId="4BB8F363">
            <w:pPr>
              <w:jc w:val="center"/>
              <w:rPr>
                <w:rFonts w:hint="eastAsia" w:ascii="宋体" w:hAnsi="宋体" w:eastAsia="宋体" w:cs="宋体"/>
                <w:color w:val="auto"/>
                <w:szCs w:val="21"/>
                <w:highlight w:val="none"/>
              </w:rPr>
            </w:pPr>
          </w:p>
        </w:tc>
        <w:tc>
          <w:tcPr>
            <w:tcW w:w="720" w:type="dxa"/>
            <w:vAlign w:val="center"/>
          </w:tcPr>
          <w:p w14:paraId="0CDFFA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923" w:type="dxa"/>
            <w:vAlign w:val="center"/>
          </w:tcPr>
          <w:p w14:paraId="2AEE380C">
            <w:pPr>
              <w:jc w:val="center"/>
              <w:rPr>
                <w:rFonts w:hint="eastAsia" w:ascii="宋体" w:hAnsi="宋体" w:eastAsia="宋体" w:cs="宋体"/>
                <w:color w:val="auto"/>
                <w:szCs w:val="21"/>
                <w:highlight w:val="none"/>
              </w:rPr>
            </w:pPr>
          </w:p>
        </w:tc>
      </w:tr>
      <w:tr w14:paraId="14F2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DC24CC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918" w:type="dxa"/>
            <w:gridSpan w:val="2"/>
            <w:vAlign w:val="center"/>
          </w:tcPr>
          <w:p w14:paraId="7FAF1AAC">
            <w:pPr>
              <w:jc w:val="center"/>
              <w:rPr>
                <w:rFonts w:hint="eastAsia" w:ascii="宋体" w:hAnsi="宋体" w:eastAsia="宋体" w:cs="宋体"/>
                <w:color w:val="auto"/>
                <w:szCs w:val="21"/>
                <w:highlight w:val="none"/>
              </w:rPr>
            </w:pPr>
          </w:p>
        </w:tc>
        <w:tc>
          <w:tcPr>
            <w:tcW w:w="5423" w:type="dxa"/>
            <w:gridSpan w:val="6"/>
            <w:vAlign w:val="center"/>
          </w:tcPr>
          <w:p w14:paraId="0DCC1C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1556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4DBD8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1918" w:type="dxa"/>
            <w:gridSpan w:val="2"/>
            <w:vAlign w:val="center"/>
          </w:tcPr>
          <w:p w14:paraId="651B5775">
            <w:pPr>
              <w:jc w:val="center"/>
              <w:rPr>
                <w:rFonts w:hint="eastAsia" w:ascii="宋体" w:hAnsi="宋体" w:eastAsia="宋体" w:cs="宋体"/>
                <w:color w:val="auto"/>
                <w:szCs w:val="21"/>
                <w:highlight w:val="none"/>
              </w:rPr>
            </w:pPr>
          </w:p>
        </w:tc>
        <w:tc>
          <w:tcPr>
            <w:tcW w:w="1160" w:type="dxa"/>
            <w:vMerge w:val="restart"/>
            <w:vAlign w:val="center"/>
          </w:tcPr>
          <w:p w14:paraId="5376F8A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620" w:type="dxa"/>
            <w:gridSpan w:val="3"/>
            <w:vAlign w:val="center"/>
          </w:tcPr>
          <w:p w14:paraId="228B65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643" w:type="dxa"/>
            <w:gridSpan w:val="2"/>
            <w:vAlign w:val="center"/>
          </w:tcPr>
          <w:p w14:paraId="6C725E96">
            <w:pPr>
              <w:jc w:val="center"/>
              <w:rPr>
                <w:rFonts w:hint="eastAsia" w:ascii="宋体" w:hAnsi="宋体" w:eastAsia="宋体" w:cs="宋体"/>
                <w:color w:val="auto"/>
                <w:szCs w:val="21"/>
                <w:highlight w:val="none"/>
              </w:rPr>
            </w:pPr>
          </w:p>
        </w:tc>
      </w:tr>
      <w:tr w14:paraId="069F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865A7E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安全生产许可证号</w:t>
            </w:r>
          </w:p>
        </w:tc>
        <w:tc>
          <w:tcPr>
            <w:tcW w:w="1918" w:type="dxa"/>
            <w:gridSpan w:val="2"/>
            <w:vAlign w:val="center"/>
          </w:tcPr>
          <w:p w14:paraId="04AAA35E">
            <w:pPr>
              <w:jc w:val="center"/>
              <w:rPr>
                <w:rFonts w:hint="eastAsia" w:ascii="宋体" w:hAnsi="宋体" w:eastAsia="宋体" w:cs="宋体"/>
                <w:color w:val="auto"/>
                <w:szCs w:val="21"/>
                <w:highlight w:val="none"/>
              </w:rPr>
            </w:pPr>
          </w:p>
        </w:tc>
        <w:tc>
          <w:tcPr>
            <w:tcW w:w="1160" w:type="dxa"/>
            <w:vMerge w:val="continue"/>
            <w:vAlign w:val="center"/>
          </w:tcPr>
          <w:p w14:paraId="5E8ECBBE">
            <w:pPr>
              <w:jc w:val="center"/>
              <w:rPr>
                <w:rFonts w:hint="eastAsia" w:ascii="宋体" w:hAnsi="宋体" w:eastAsia="宋体" w:cs="宋体"/>
                <w:color w:val="auto"/>
                <w:szCs w:val="21"/>
                <w:highlight w:val="none"/>
              </w:rPr>
            </w:pPr>
          </w:p>
        </w:tc>
        <w:tc>
          <w:tcPr>
            <w:tcW w:w="1620" w:type="dxa"/>
            <w:gridSpan w:val="3"/>
            <w:vAlign w:val="center"/>
          </w:tcPr>
          <w:p w14:paraId="3BAAAD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2643" w:type="dxa"/>
            <w:gridSpan w:val="2"/>
            <w:vAlign w:val="center"/>
          </w:tcPr>
          <w:p w14:paraId="0B0C5C3A">
            <w:pPr>
              <w:jc w:val="center"/>
              <w:rPr>
                <w:rFonts w:hint="eastAsia" w:ascii="宋体" w:hAnsi="宋体" w:eastAsia="宋体" w:cs="宋体"/>
                <w:color w:val="auto"/>
                <w:szCs w:val="21"/>
                <w:highlight w:val="none"/>
              </w:rPr>
            </w:pPr>
          </w:p>
        </w:tc>
      </w:tr>
      <w:tr w14:paraId="2711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0295C1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1918" w:type="dxa"/>
            <w:gridSpan w:val="2"/>
            <w:vAlign w:val="center"/>
          </w:tcPr>
          <w:p w14:paraId="7232E33A">
            <w:pPr>
              <w:jc w:val="center"/>
              <w:rPr>
                <w:rFonts w:hint="eastAsia" w:ascii="宋体" w:hAnsi="宋体" w:eastAsia="宋体" w:cs="宋体"/>
                <w:color w:val="auto"/>
                <w:szCs w:val="21"/>
                <w:highlight w:val="none"/>
              </w:rPr>
            </w:pPr>
          </w:p>
        </w:tc>
        <w:tc>
          <w:tcPr>
            <w:tcW w:w="1160" w:type="dxa"/>
            <w:vMerge w:val="continue"/>
            <w:vAlign w:val="center"/>
          </w:tcPr>
          <w:p w14:paraId="17D75047">
            <w:pPr>
              <w:jc w:val="center"/>
              <w:rPr>
                <w:rFonts w:hint="eastAsia" w:ascii="宋体" w:hAnsi="宋体" w:eastAsia="宋体" w:cs="宋体"/>
                <w:color w:val="auto"/>
                <w:szCs w:val="21"/>
                <w:highlight w:val="none"/>
              </w:rPr>
            </w:pPr>
          </w:p>
        </w:tc>
        <w:tc>
          <w:tcPr>
            <w:tcW w:w="1620" w:type="dxa"/>
            <w:gridSpan w:val="3"/>
            <w:vAlign w:val="center"/>
          </w:tcPr>
          <w:p w14:paraId="5F71A4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2643" w:type="dxa"/>
            <w:gridSpan w:val="2"/>
            <w:vAlign w:val="center"/>
          </w:tcPr>
          <w:p w14:paraId="6E01A736">
            <w:pPr>
              <w:jc w:val="center"/>
              <w:rPr>
                <w:rFonts w:hint="eastAsia" w:ascii="宋体" w:hAnsi="宋体" w:eastAsia="宋体" w:cs="宋体"/>
                <w:color w:val="auto"/>
                <w:szCs w:val="21"/>
                <w:highlight w:val="none"/>
              </w:rPr>
            </w:pPr>
          </w:p>
        </w:tc>
      </w:tr>
      <w:tr w14:paraId="2D9E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429862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918" w:type="dxa"/>
            <w:gridSpan w:val="2"/>
            <w:vAlign w:val="center"/>
          </w:tcPr>
          <w:p w14:paraId="340CB03A">
            <w:pPr>
              <w:jc w:val="center"/>
              <w:rPr>
                <w:rFonts w:hint="eastAsia" w:ascii="宋体" w:hAnsi="宋体" w:eastAsia="宋体" w:cs="宋体"/>
                <w:color w:val="auto"/>
                <w:szCs w:val="21"/>
                <w:highlight w:val="none"/>
              </w:rPr>
            </w:pPr>
          </w:p>
        </w:tc>
        <w:tc>
          <w:tcPr>
            <w:tcW w:w="1160" w:type="dxa"/>
            <w:vMerge w:val="continue"/>
            <w:vAlign w:val="center"/>
          </w:tcPr>
          <w:p w14:paraId="59DFCACE">
            <w:pPr>
              <w:jc w:val="center"/>
              <w:rPr>
                <w:rFonts w:hint="eastAsia" w:ascii="宋体" w:hAnsi="宋体" w:eastAsia="宋体" w:cs="宋体"/>
                <w:color w:val="auto"/>
                <w:szCs w:val="21"/>
                <w:highlight w:val="none"/>
              </w:rPr>
            </w:pPr>
          </w:p>
        </w:tc>
        <w:tc>
          <w:tcPr>
            <w:tcW w:w="1620" w:type="dxa"/>
            <w:gridSpan w:val="3"/>
            <w:vAlign w:val="center"/>
          </w:tcPr>
          <w:p w14:paraId="76AA5C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2643" w:type="dxa"/>
            <w:gridSpan w:val="2"/>
            <w:vAlign w:val="center"/>
          </w:tcPr>
          <w:p w14:paraId="4B49A0E0">
            <w:pPr>
              <w:jc w:val="center"/>
              <w:rPr>
                <w:rFonts w:hint="eastAsia" w:ascii="宋体" w:hAnsi="宋体" w:eastAsia="宋体" w:cs="宋体"/>
                <w:color w:val="auto"/>
                <w:szCs w:val="21"/>
                <w:highlight w:val="none"/>
              </w:rPr>
            </w:pPr>
          </w:p>
        </w:tc>
      </w:tr>
      <w:tr w14:paraId="4F0F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FCD9C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1918" w:type="dxa"/>
            <w:gridSpan w:val="2"/>
            <w:vAlign w:val="center"/>
          </w:tcPr>
          <w:p w14:paraId="00B18B6B">
            <w:pPr>
              <w:jc w:val="center"/>
              <w:rPr>
                <w:rFonts w:hint="eastAsia" w:ascii="宋体" w:hAnsi="宋体" w:eastAsia="宋体" w:cs="宋体"/>
                <w:color w:val="auto"/>
                <w:szCs w:val="21"/>
                <w:highlight w:val="none"/>
              </w:rPr>
            </w:pPr>
          </w:p>
        </w:tc>
        <w:tc>
          <w:tcPr>
            <w:tcW w:w="1160" w:type="dxa"/>
            <w:vMerge w:val="continue"/>
            <w:vAlign w:val="center"/>
          </w:tcPr>
          <w:p w14:paraId="6530684C">
            <w:pPr>
              <w:jc w:val="center"/>
              <w:rPr>
                <w:rFonts w:hint="eastAsia" w:ascii="宋体" w:hAnsi="宋体" w:eastAsia="宋体" w:cs="宋体"/>
                <w:color w:val="auto"/>
                <w:szCs w:val="21"/>
                <w:highlight w:val="none"/>
              </w:rPr>
            </w:pPr>
          </w:p>
        </w:tc>
        <w:tc>
          <w:tcPr>
            <w:tcW w:w="1620" w:type="dxa"/>
            <w:gridSpan w:val="3"/>
            <w:vAlign w:val="center"/>
          </w:tcPr>
          <w:p w14:paraId="29734B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  工</w:t>
            </w:r>
          </w:p>
        </w:tc>
        <w:tc>
          <w:tcPr>
            <w:tcW w:w="2643" w:type="dxa"/>
            <w:gridSpan w:val="2"/>
            <w:vAlign w:val="center"/>
          </w:tcPr>
          <w:p w14:paraId="454F959F">
            <w:pPr>
              <w:jc w:val="center"/>
              <w:rPr>
                <w:rFonts w:hint="eastAsia" w:ascii="宋体" w:hAnsi="宋体" w:eastAsia="宋体" w:cs="宋体"/>
                <w:color w:val="auto"/>
                <w:szCs w:val="21"/>
                <w:highlight w:val="none"/>
              </w:rPr>
            </w:pPr>
          </w:p>
        </w:tc>
      </w:tr>
      <w:tr w14:paraId="3F80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626" w:type="dxa"/>
            <w:vAlign w:val="center"/>
          </w:tcPr>
          <w:p w14:paraId="0CD7676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341" w:type="dxa"/>
            <w:gridSpan w:val="8"/>
            <w:vAlign w:val="center"/>
          </w:tcPr>
          <w:p w14:paraId="57B73225">
            <w:pPr>
              <w:jc w:val="center"/>
              <w:rPr>
                <w:rFonts w:hint="eastAsia" w:ascii="宋体" w:hAnsi="宋体" w:eastAsia="宋体" w:cs="宋体"/>
                <w:color w:val="auto"/>
                <w:szCs w:val="21"/>
                <w:highlight w:val="none"/>
              </w:rPr>
            </w:pPr>
          </w:p>
        </w:tc>
      </w:tr>
      <w:tr w14:paraId="5C8A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816A0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341" w:type="dxa"/>
            <w:gridSpan w:val="8"/>
            <w:vAlign w:val="center"/>
          </w:tcPr>
          <w:p w14:paraId="358A33C7">
            <w:pPr>
              <w:jc w:val="center"/>
              <w:rPr>
                <w:rFonts w:hint="eastAsia" w:ascii="宋体" w:hAnsi="宋体" w:eastAsia="宋体" w:cs="宋体"/>
                <w:color w:val="auto"/>
                <w:szCs w:val="21"/>
                <w:highlight w:val="none"/>
              </w:rPr>
            </w:pPr>
          </w:p>
        </w:tc>
      </w:tr>
    </w:tbl>
    <w:p w14:paraId="7E7DE039">
      <w:pPr>
        <w:snapToGrid w:val="0"/>
        <w:spacing w:before="50" w:after="120" w:afterLines="50" w:line="440" w:lineRule="exact"/>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【备注：附有效的安全生产许可证副本扫描件加盖</w:t>
      </w:r>
      <w:bookmarkStart w:id="199" w:name="_Hlk89190857"/>
      <w:r>
        <w:rPr>
          <w:rFonts w:hint="eastAsia" w:ascii="宋体" w:hAnsi="宋体" w:eastAsia="宋体" w:cs="宋体"/>
          <w:color w:val="auto"/>
          <w:szCs w:val="21"/>
          <w:highlight w:val="none"/>
        </w:rPr>
        <w:t>供应商电子签章</w:t>
      </w:r>
      <w:bookmarkEnd w:id="199"/>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br w:type="page"/>
      </w:r>
      <w:bookmarkStart w:id="200" w:name="_Hlk132792497"/>
      <w:r>
        <w:rPr>
          <w:rFonts w:hint="eastAsia" w:ascii="宋体" w:hAnsi="宋体" w:eastAsia="宋体" w:cs="宋体"/>
          <w:bCs/>
          <w:color w:val="auto"/>
          <w:szCs w:val="21"/>
          <w:highlight w:val="none"/>
        </w:rPr>
        <w:t>7．落实政府采购政策需满足的资格要求（按“评审方法及标准” “资格审查表”规定提供）。（</w:t>
      </w:r>
      <w:r>
        <w:rPr>
          <w:rFonts w:hint="eastAsia" w:ascii="宋体" w:hAnsi="宋体" w:eastAsia="宋体" w:cs="宋体"/>
          <w:b/>
          <w:color w:val="auto"/>
          <w:szCs w:val="21"/>
          <w:highlight w:val="none"/>
        </w:rPr>
        <w:t>如采购文件有要求时提供</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【备注：整体专门面向中小企业采购的项目、预留份额项目中的预留部分专门面向中小企业采购的采购包、预留一定比例份额专门面向中小企业的项目时提供】</w:t>
      </w:r>
    </w:p>
    <w:bookmarkEnd w:id="200"/>
    <w:p w14:paraId="061B26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r>
        <w:rPr>
          <w:rFonts w:hint="eastAsia" w:ascii="宋体" w:hAnsi="宋体" w:eastAsia="宋体" w:cs="宋体"/>
          <w:bCs/>
          <w:color w:val="auto"/>
          <w:szCs w:val="21"/>
          <w:highlight w:val="none"/>
        </w:rPr>
        <w:t>中小企业声明函</w:t>
      </w:r>
      <w:r>
        <w:rPr>
          <w:rFonts w:hint="eastAsia" w:ascii="宋体" w:hAnsi="宋体" w:eastAsia="宋体" w:cs="宋体"/>
          <w:color w:val="auto"/>
          <w:szCs w:val="21"/>
          <w:highlight w:val="none"/>
        </w:rPr>
        <w:t>。</w:t>
      </w:r>
    </w:p>
    <w:p w14:paraId="15C91824">
      <w:pPr>
        <w:spacing w:line="360" w:lineRule="auto"/>
        <w:ind w:firstLine="3584" w:firstLineChars="1700"/>
        <w:rPr>
          <w:rFonts w:hint="eastAsia" w:ascii="宋体" w:hAnsi="宋体" w:eastAsia="宋体" w:cs="宋体"/>
          <w:b/>
          <w:color w:val="auto"/>
          <w:szCs w:val="21"/>
          <w:highlight w:val="none"/>
        </w:rPr>
      </w:pPr>
    </w:p>
    <w:p w14:paraId="45795B4C">
      <w:pPr>
        <w:spacing w:line="360" w:lineRule="auto"/>
        <w:ind w:firstLine="4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中小企业声明函（工程）</w:t>
      </w:r>
    </w:p>
    <w:p w14:paraId="453EEF01">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本公司（联合体）郑重声明，根据《政府采购促进中小企业发展管理办法》（财库﹝2020﹞46 号）的规定，本公司（联合体）参加</w:t>
      </w:r>
      <w:r>
        <w:rPr>
          <w:rFonts w:hint="eastAsia" w:ascii="宋体" w:hAnsi="宋体" w:eastAsia="宋体" w:cs="宋体"/>
          <w:bCs/>
          <w:color w:val="auto"/>
          <w:szCs w:val="21"/>
          <w:highlight w:val="none"/>
          <w:u w:val="single"/>
        </w:rPr>
        <w:t>（单位名称）</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u w:val="single"/>
        </w:rPr>
        <w:t>（项目名称）</w:t>
      </w:r>
      <w:r>
        <w:rPr>
          <w:rFonts w:hint="eastAsia" w:ascii="宋体" w:hAnsi="宋体" w:eastAsia="宋体" w:cs="宋体"/>
          <w:bCs/>
          <w:color w:val="auto"/>
          <w:szCs w:val="21"/>
          <w:highlight w:val="none"/>
        </w:rPr>
        <w:t>采购活动，服务全部由符合政策要求的中小企业承接。相关企业（含联合体中的中小企业、签订分包意向协议的中小企业） 的具体情况如下：</w:t>
      </w:r>
    </w:p>
    <w:p w14:paraId="0C102BC7">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（标的名称）</w:t>
      </w:r>
      <w:r>
        <w:rPr>
          <w:rFonts w:hint="eastAsia" w:ascii="宋体" w:hAnsi="宋体" w:eastAsia="宋体" w:cs="宋体"/>
          <w:bCs/>
          <w:color w:val="auto"/>
          <w:szCs w:val="21"/>
          <w:highlight w:val="none"/>
        </w:rPr>
        <w:t>，属于</w:t>
      </w:r>
      <w:r>
        <w:rPr>
          <w:rFonts w:hint="eastAsia" w:ascii="宋体" w:hAnsi="宋体" w:eastAsia="宋体" w:cs="宋体"/>
          <w:bCs/>
          <w:color w:val="auto"/>
          <w:szCs w:val="21"/>
          <w:highlight w:val="none"/>
          <w:u w:val="single"/>
        </w:rPr>
        <w:t>（采购文件中明确的所属行业）</w:t>
      </w:r>
      <w:r>
        <w:rPr>
          <w:rFonts w:hint="eastAsia" w:ascii="宋体" w:hAnsi="宋体" w:eastAsia="宋体" w:cs="宋体"/>
          <w:bCs/>
          <w:color w:val="auto"/>
          <w:szCs w:val="21"/>
          <w:highlight w:val="none"/>
        </w:rPr>
        <w:t>行业；承建（承接）企业为</w:t>
      </w:r>
      <w:r>
        <w:rPr>
          <w:rFonts w:hint="eastAsia" w:ascii="宋体" w:hAnsi="宋体" w:eastAsia="宋体" w:cs="宋体"/>
          <w:bCs/>
          <w:color w:val="auto"/>
          <w:szCs w:val="21"/>
          <w:highlight w:val="none"/>
          <w:u w:val="single"/>
        </w:rPr>
        <w:t>（企业名称）</w:t>
      </w:r>
      <w:r>
        <w:rPr>
          <w:rFonts w:hint="eastAsia" w:ascii="宋体" w:hAnsi="宋体" w:eastAsia="宋体" w:cs="宋体"/>
          <w:bCs/>
          <w:color w:val="auto"/>
          <w:szCs w:val="21"/>
          <w:highlight w:val="none"/>
        </w:rPr>
        <w:t>，从业人员</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人，营业收入为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万元，资产总额为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万元，属于</w:t>
      </w:r>
      <w:r>
        <w:rPr>
          <w:rFonts w:hint="eastAsia" w:ascii="宋体" w:hAnsi="宋体" w:eastAsia="宋体" w:cs="宋体"/>
          <w:bCs/>
          <w:color w:val="auto"/>
          <w:szCs w:val="21"/>
          <w:highlight w:val="none"/>
          <w:u w:val="single"/>
        </w:rPr>
        <w:t>（中型企业、小型企业、微型企业）</w:t>
      </w:r>
      <w:r>
        <w:rPr>
          <w:rFonts w:hint="eastAsia" w:ascii="宋体" w:hAnsi="宋体" w:eastAsia="宋体" w:cs="宋体"/>
          <w:bCs/>
          <w:color w:val="auto"/>
          <w:szCs w:val="21"/>
          <w:highlight w:val="none"/>
        </w:rPr>
        <w:t>；</w:t>
      </w:r>
    </w:p>
    <w:p w14:paraId="31407863">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u w:val="single"/>
        </w:rPr>
        <w:t>（标的名称）</w:t>
      </w:r>
      <w:r>
        <w:rPr>
          <w:rFonts w:hint="eastAsia" w:ascii="宋体" w:hAnsi="宋体" w:eastAsia="宋体" w:cs="宋体"/>
          <w:bCs/>
          <w:color w:val="auto"/>
          <w:szCs w:val="21"/>
          <w:highlight w:val="none"/>
        </w:rPr>
        <w:t>，属于</w:t>
      </w:r>
      <w:r>
        <w:rPr>
          <w:rFonts w:hint="eastAsia" w:ascii="宋体" w:hAnsi="宋体" w:eastAsia="宋体" w:cs="宋体"/>
          <w:bCs/>
          <w:color w:val="auto"/>
          <w:szCs w:val="21"/>
          <w:highlight w:val="none"/>
          <w:u w:val="single"/>
        </w:rPr>
        <w:t>（采购文件中明确的所属行业）</w:t>
      </w:r>
      <w:r>
        <w:rPr>
          <w:rFonts w:hint="eastAsia" w:ascii="宋体" w:hAnsi="宋体" w:eastAsia="宋体" w:cs="宋体"/>
          <w:bCs/>
          <w:color w:val="auto"/>
          <w:szCs w:val="21"/>
          <w:highlight w:val="none"/>
        </w:rPr>
        <w:t>行业；承建（承接）企业为</w:t>
      </w:r>
      <w:r>
        <w:rPr>
          <w:rFonts w:hint="eastAsia" w:ascii="宋体" w:hAnsi="宋体" w:eastAsia="宋体" w:cs="宋体"/>
          <w:bCs/>
          <w:color w:val="auto"/>
          <w:szCs w:val="21"/>
          <w:highlight w:val="none"/>
          <w:u w:val="single"/>
        </w:rPr>
        <w:t>（企业名称）</w:t>
      </w:r>
      <w:r>
        <w:rPr>
          <w:rFonts w:hint="eastAsia" w:ascii="宋体" w:hAnsi="宋体" w:eastAsia="宋体" w:cs="宋体"/>
          <w:bCs/>
          <w:color w:val="auto"/>
          <w:szCs w:val="21"/>
          <w:highlight w:val="none"/>
        </w:rPr>
        <w:t>，从业人员</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人，营业收入为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万元，资产总额为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万元，属于</w:t>
      </w:r>
      <w:r>
        <w:rPr>
          <w:rFonts w:hint="eastAsia" w:ascii="宋体" w:hAnsi="宋体" w:eastAsia="宋体" w:cs="宋体"/>
          <w:bCs/>
          <w:color w:val="auto"/>
          <w:szCs w:val="21"/>
          <w:highlight w:val="none"/>
          <w:u w:val="single"/>
        </w:rPr>
        <w:t>（中型企业、小型企业、微型企业）</w:t>
      </w:r>
      <w:r>
        <w:rPr>
          <w:rFonts w:hint="eastAsia" w:ascii="宋体" w:hAnsi="宋体" w:eastAsia="宋体" w:cs="宋体"/>
          <w:bCs/>
          <w:color w:val="auto"/>
          <w:szCs w:val="21"/>
          <w:highlight w:val="none"/>
        </w:rPr>
        <w:t>；</w:t>
      </w:r>
    </w:p>
    <w:p w14:paraId="7B144519">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10E00BC8">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以上企业，不属于大企业的分支机构，不存在控股股东为大企业的情形，也不存在与大企业的负责人为同一人的情形。</w:t>
      </w:r>
    </w:p>
    <w:p w14:paraId="3F2EDC4A">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本企业对上述声明内容的真实性负责。如有虚假，将依法承担相应责任。</w:t>
      </w:r>
    </w:p>
    <w:p w14:paraId="0BFE1CC0">
      <w:pPr>
        <w:spacing w:line="360" w:lineRule="auto"/>
        <w:ind w:firstLine="3150" w:firstLineChars="15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企业名称（</w:t>
      </w:r>
      <w:r>
        <w:rPr>
          <w:rFonts w:hint="eastAsia" w:ascii="宋体" w:hAnsi="宋体" w:eastAsia="宋体" w:cs="宋体"/>
          <w:color w:val="auto"/>
          <w:szCs w:val="21"/>
          <w:highlight w:val="none"/>
        </w:rPr>
        <w:t>电子签章</w:t>
      </w:r>
      <w:r>
        <w:rPr>
          <w:rFonts w:hint="eastAsia" w:ascii="宋体" w:hAnsi="宋体" w:eastAsia="宋体" w:cs="宋体"/>
          <w:bCs/>
          <w:color w:val="auto"/>
          <w:szCs w:val="21"/>
          <w:highlight w:val="none"/>
        </w:rPr>
        <w:t>）：日期：</w:t>
      </w:r>
    </w:p>
    <w:p w14:paraId="3FFF2D03">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p>
    <w:p w14:paraId="6C465A18">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（1）标的名称按照第二章采购需求中的名称填写，</w:t>
      </w:r>
      <w:r>
        <w:rPr>
          <w:rFonts w:hint="eastAsia" w:ascii="宋体" w:hAnsi="宋体" w:eastAsia="宋体" w:cs="宋体"/>
          <w:color w:val="auto"/>
          <w:szCs w:val="21"/>
          <w:highlight w:val="none"/>
        </w:rPr>
        <w:t>所属行业标明“/”的</w:t>
      </w:r>
      <w:r>
        <w:rPr>
          <w:rFonts w:hint="eastAsia" w:ascii="宋体" w:hAnsi="宋体" w:eastAsia="宋体" w:cs="宋体"/>
          <w:bCs/>
          <w:color w:val="auto"/>
          <w:szCs w:val="21"/>
          <w:highlight w:val="none"/>
        </w:rPr>
        <w:t>，无需在上表填写。</w:t>
      </w:r>
    </w:p>
    <w:p w14:paraId="78310CC8">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（2）如供应商为联合体或分包的，声明函中“项目名称”应填写联合体中小微企业承担的具体内容或者小微企业具体分包内容。</w:t>
      </w:r>
    </w:p>
    <w:p w14:paraId="36FF9DF0">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（3）从业人员、营业收入、资产总额填报上一年度数据，无上一年度数据的新成立企业参照国务院批准的中小企业划分标准，根据企业自身情况如实判断。</w:t>
      </w:r>
    </w:p>
    <w:p w14:paraId="38AAA80B">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61A8F34E">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2BDD2D17">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（6）本声明函由供应商填写，供应商应按中小企业划分标准《关于印发中小企业划型标准规定的通知》（工信部联企业〔2011〕300号</w:t>
      </w:r>
      <w:r>
        <w:rPr>
          <w:rFonts w:hint="eastAsia" w:ascii="宋体" w:hAnsi="宋体" w:eastAsia="宋体" w:cs="宋体"/>
          <w:color w:val="auto"/>
          <w:szCs w:val="21"/>
          <w:highlight w:val="none"/>
        </w:rPr>
        <w:t>以及《金融业企业划型标准规定》（银发〔2015〕309号）</w:t>
      </w:r>
      <w:r>
        <w:rPr>
          <w:rFonts w:hint="eastAsia" w:ascii="宋体" w:hAnsi="宋体" w:eastAsia="宋体" w:cs="宋体"/>
          <w:bCs/>
          <w:color w:val="auto"/>
          <w:szCs w:val="21"/>
          <w:highlight w:val="none"/>
        </w:rPr>
        <w:t>）判断是否为中小企业。</w:t>
      </w:r>
    </w:p>
    <w:p w14:paraId="385ABB5C">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14:paraId="7CDC9412">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AFA9013">
      <w:pPr>
        <w:snapToGrid w:val="0"/>
        <w:spacing w:before="50" w:after="120" w:afterLines="50"/>
        <w:jc w:val="left"/>
        <w:rPr>
          <w:rFonts w:hint="eastAsia" w:ascii="宋体" w:hAnsi="宋体" w:eastAsia="宋体" w:cs="宋体"/>
          <w:color w:val="auto"/>
          <w:szCs w:val="21"/>
          <w:highlight w:val="none"/>
        </w:rPr>
      </w:pPr>
    </w:p>
    <w:p w14:paraId="5864B1F6">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7.2监狱企业须提供最新一期《XX省监狱企业产品目录》或其他监狱企业证明材料。（非监狱企业无需提供）</w:t>
      </w:r>
    </w:p>
    <w:p w14:paraId="01F6763F">
      <w:pPr>
        <w:snapToGrid w:val="0"/>
        <w:spacing w:before="50" w:after="120" w:afterLines="50"/>
        <w:jc w:val="left"/>
        <w:rPr>
          <w:rFonts w:hint="eastAsia" w:ascii="宋体" w:hAnsi="宋体" w:eastAsia="宋体" w:cs="宋体"/>
          <w:color w:val="auto"/>
          <w:szCs w:val="21"/>
          <w:highlight w:val="none"/>
        </w:rPr>
      </w:pPr>
    </w:p>
    <w:p w14:paraId="04933715">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w:t>
      </w:r>
      <w:r>
        <w:rPr>
          <w:rFonts w:hint="eastAsia" w:ascii="宋体" w:hAnsi="宋体" w:eastAsia="宋体" w:cs="宋体"/>
          <w:color w:val="auto"/>
          <w:highlight w:val="none"/>
        </w:rPr>
        <w:t>残疾人福利性单位须提供《残疾人福利性单位声明函》，格式如下。</w:t>
      </w:r>
      <w:r>
        <w:rPr>
          <w:rFonts w:hint="eastAsia" w:ascii="宋体" w:hAnsi="宋体" w:eastAsia="宋体" w:cs="宋体"/>
          <w:color w:val="auto"/>
          <w:szCs w:val="21"/>
          <w:highlight w:val="none"/>
        </w:rPr>
        <w:t>（非残疾人福利性单位无需提供）</w:t>
      </w:r>
    </w:p>
    <w:p w14:paraId="1926D568">
      <w:pPr>
        <w:spacing w:line="360" w:lineRule="auto"/>
        <w:jc w:val="center"/>
        <w:rPr>
          <w:rFonts w:hint="eastAsia" w:ascii="宋体" w:hAnsi="宋体" w:eastAsia="宋体" w:cs="宋体"/>
          <w:b/>
          <w:color w:val="auto"/>
          <w:szCs w:val="21"/>
          <w:highlight w:val="none"/>
        </w:rPr>
      </w:pPr>
    </w:p>
    <w:p w14:paraId="748A7683">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残疾人福利性单位声明函</w:t>
      </w:r>
    </w:p>
    <w:p w14:paraId="1AAA1067">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3490C96">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2CCE40C5">
      <w:pPr>
        <w:spacing w:line="360" w:lineRule="auto"/>
        <w:ind w:firstLine="420"/>
        <w:jc w:val="right"/>
        <w:rPr>
          <w:rFonts w:hint="eastAsia" w:ascii="宋体" w:hAnsi="宋体" w:eastAsia="宋体" w:cs="宋体"/>
          <w:color w:val="auto"/>
          <w:spacing w:val="6"/>
          <w:szCs w:val="21"/>
          <w:highlight w:val="none"/>
        </w:rPr>
      </w:pPr>
      <w:r>
        <w:rPr>
          <w:rFonts w:hint="eastAsia" w:ascii="宋体" w:hAnsi="宋体" w:eastAsia="宋体" w:cs="宋体"/>
          <w:color w:val="auto"/>
          <w:spacing w:val="6"/>
          <w:sz w:val="30"/>
          <w:szCs w:val="30"/>
          <w:highlight w:val="none"/>
        </w:rPr>
        <w:t xml:space="preserve"> </w:t>
      </w:r>
      <w:r>
        <w:rPr>
          <w:rFonts w:hint="eastAsia" w:ascii="宋体" w:hAnsi="宋体" w:eastAsia="宋体" w:cs="宋体"/>
          <w:color w:val="auto"/>
          <w:spacing w:val="6"/>
          <w:szCs w:val="21"/>
          <w:highlight w:val="none"/>
        </w:rPr>
        <w:t xml:space="preserve">                                             单位名称</w:t>
      </w:r>
      <w:r>
        <w:rPr>
          <w:rFonts w:hint="eastAsia" w:ascii="宋体" w:hAnsi="宋体" w:eastAsia="宋体" w:cs="宋体"/>
          <w:color w:val="auto"/>
          <w:szCs w:val="21"/>
          <w:highlight w:val="none"/>
        </w:rPr>
        <w:t>(电子签章)</w:t>
      </w:r>
      <w:r>
        <w:rPr>
          <w:rFonts w:hint="eastAsia" w:ascii="宋体" w:hAnsi="宋体" w:eastAsia="宋体" w:cs="宋体"/>
          <w:color w:val="auto"/>
          <w:spacing w:val="6"/>
          <w:szCs w:val="21"/>
          <w:highlight w:val="none"/>
        </w:rPr>
        <w:t xml:space="preserve">：          </w:t>
      </w:r>
    </w:p>
    <w:p w14:paraId="562A2A17">
      <w:pPr>
        <w:spacing w:line="360" w:lineRule="auto"/>
        <w:ind w:firstLine="420"/>
        <w:jc w:val="righ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日  期：</w:t>
      </w:r>
    </w:p>
    <w:p w14:paraId="1FB03742">
      <w:pPr>
        <w:spacing w:line="360" w:lineRule="auto"/>
        <w:rPr>
          <w:rFonts w:hint="eastAsia" w:ascii="宋体" w:hAnsi="宋体" w:eastAsia="宋体" w:cs="宋体"/>
          <w:color w:val="auto"/>
          <w:szCs w:val="21"/>
          <w:highlight w:val="none"/>
        </w:rPr>
      </w:pPr>
    </w:p>
    <w:p w14:paraId="70E77D2D">
      <w:pPr>
        <w:snapToGrid w:val="0"/>
        <w:spacing w:before="50" w:after="120" w:afterLines="50"/>
        <w:jc w:val="left"/>
        <w:rPr>
          <w:rFonts w:hint="eastAsia" w:ascii="宋体" w:hAnsi="宋体" w:eastAsia="宋体" w:cs="宋体"/>
          <w:color w:val="auto"/>
          <w:szCs w:val="21"/>
          <w:highlight w:val="none"/>
        </w:rPr>
      </w:pPr>
    </w:p>
    <w:p w14:paraId="2DC6DBD1">
      <w:pPr>
        <w:widowControl/>
        <w:jc w:val="left"/>
        <w:rPr>
          <w:rFonts w:hint="eastAsia" w:ascii="宋体" w:hAnsi="宋体" w:eastAsia="宋体" w:cs="宋体"/>
          <w:color w:val="auto"/>
          <w:szCs w:val="21"/>
          <w:highlight w:val="none"/>
        </w:rPr>
      </w:pPr>
    </w:p>
    <w:p w14:paraId="0D3E54ED">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DC63BFF">
      <w:pPr>
        <w:snapToGrid w:val="0"/>
        <w:spacing w:before="50" w:after="120" w:afterLines="50" w:line="440" w:lineRule="exact"/>
        <w:jc w:val="left"/>
        <w:rPr>
          <w:rFonts w:hint="eastAsia" w:ascii="宋体" w:hAnsi="宋体" w:eastAsia="宋体" w:cs="宋体"/>
          <w:b/>
          <w:color w:val="auto"/>
          <w:highlight w:val="none"/>
        </w:rPr>
      </w:pPr>
      <w:r>
        <w:rPr>
          <w:rFonts w:hint="eastAsia" w:ascii="宋体" w:hAnsi="宋体" w:eastAsia="宋体" w:cs="宋体"/>
          <w:color w:val="auto"/>
          <w:highlight w:val="none"/>
        </w:rPr>
        <w:t>8．满足供应商特定资格条件的其他证明材料加盖</w:t>
      </w:r>
      <w:r>
        <w:rPr>
          <w:rFonts w:hint="eastAsia" w:ascii="宋体" w:hAnsi="宋体" w:eastAsia="宋体" w:cs="宋体"/>
          <w:color w:val="auto"/>
          <w:szCs w:val="21"/>
          <w:highlight w:val="none"/>
        </w:rPr>
        <w:t>供应商电子签章</w:t>
      </w:r>
      <w:r>
        <w:rPr>
          <w:rFonts w:hint="eastAsia" w:ascii="宋体" w:hAnsi="宋体" w:eastAsia="宋体" w:cs="宋体"/>
          <w:color w:val="auto"/>
          <w:highlight w:val="none"/>
        </w:rPr>
        <w:t>（按“评审方法及标准” “</w:t>
      </w:r>
      <w:r>
        <w:rPr>
          <w:rFonts w:hint="eastAsia" w:ascii="宋体" w:hAnsi="宋体" w:eastAsia="宋体" w:cs="宋体"/>
          <w:color w:val="auto"/>
          <w:szCs w:val="21"/>
          <w:highlight w:val="none"/>
        </w:rPr>
        <w:t>资格审查表</w:t>
      </w:r>
      <w:r>
        <w:rPr>
          <w:rFonts w:hint="eastAsia" w:ascii="宋体" w:hAnsi="宋体" w:eastAsia="宋体" w:cs="宋体"/>
          <w:color w:val="auto"/>
          <w:highlight w:val="none"/>
        </w:rPr>
        <w:t>”规定提供）。</w:t>
      </w:r>
      <w:r>
        <w:rPr>
          <w:rFonts w:hint="eastAsia" w:ascii="宋体" w:hAnsi="宋体" w:eastAsia="宋体" w:cs="宋体"/>
          <w:b/>
          <w:color w:val="auto"/>
          <w:highlight w:val="none"/>
        </w:rPr>
        <w:t>（如采购文件有要求时提供）</w:t>
      </w:r>
    </w:p>
    <w:p w14:paraId="474B7A27">
      <w:pPr>
        <w:pStyle w:val="198"/>
        <w:jc w:val="left"/>
        <w:rPr>
          <w:rFonts w:hint="eastAsia" w:ascii="宋体" w:hAnsi="宋体" w:eastAsia="宋体" w:cs="宋体"/>
          <w:color w:val="auto"/>
          <w:highlight w:val="none"/>
        </w:rPr>
      </w:pPr>
    </w:p>
    <w:p w14:paraId="09707060">
      <w:pPr>
        <w:pStyle w:val="198"/>
        <w:jc w:val="left"/>
        <w:rPr>
          <w:rFonts w:hint="eastAsia" w:ascii="宋体" w:hAnsi="宋体" w:eastAsia="宋体" w:cs="宋体"/>
          <w:color w:val="auto"/>
          <w:highlight w:val="none"/>
        </w:rPr>
      </w:pPr>
      <w:r>
        <w:rPr>
          <w:rFonts w:hint="eastAsia" w:ascii="宋体" w:hAnsi="宋体" w:eastAsia="宋体" w:cs="宋体"/>
          <w:color w:val="auto"/>
          <w:highlight w:val="none"/>
        </w:rPr>
        <w:t>8.1有效的企业资质证书副本</w:t>
      </w:r>
      <w:r>
        <w:rPr>
          <w:rFonts w:hint="eastAsia" w:ascii="宋体" w:hAnsi="宋体" w:eastAsia="宋体" w:cs="宋体"/>
          <w:color w:val="auto"/>
          <w:szCs w:val="21"/>
          <w:highlight w:val="none"/>
        </w:rPr>
        <w:t>扫描件</w:t>
      </w:r>
      <w:r>
        <w:rPr>
          <w:rFonts w:hint="eastAsia" w:ascii="宋体" w:hAnsi="宋体" w:eastAsia="宋体" w:cs="宋体"/>
          <w:color w:val="auto"/>
          <w:highlight w:val="none"/>
        </w:rPr>
        <w:t>加盖</w:t>
      </w:r>
      <w:r>
        <w:rPr>
          <w:rFonts w:hint="eastAsia" w:ascii="宋体" w:hAnsi="宋体" w:eastAsia="宋体" w:cs="宋体"/>
          <w:color w:val="auto"/>
          <w:szCs w:val="21"/>
          <w:highlight w:val="none"/>
        </w:rPr>
        <w:t>供应商</w:t>
      </w:r>
      <w:bookmarkStart w:id="201" w:name="_Hlk89190867"/>
      <w:r>
        <w:rPr>
          <w:rFonts w:hint="eastAsia" w:ascii="宋体" w:hAnsi="宋体" w:eastAsia="宋体" w:cs="宋体"/>
          <w:color w:val="auto"/>
          <w:szCs w:val="21"/>
          <w:highlight w:val="none"/>
        </w:rPr>
        <w:t>电子签章</w:t>
      </w:r>
      <w:bookmarkEnd w:id="201"/>
    </w:p>
    <w:p w14:paraId="233A5BAC">
      <w:pPr>
        <w:pStyle w:val="198"/>
        <w:jc w:val="left"/>
        <w:rPr>
          <w:rFonts w:hint="eastAsia" w:ascii="宋体" w:hAnsi="宋体" w:eastAsia="宋体" w:cs="宋体"/>
          <w:color w:val="auto"/>
          <w:highlight w:val="none"/>
        </w:rPr>
      </w:pPr>
    </w:p>
    <w:p w14:paraId="353A9048">
      <w:pPr>
        <w:pStyle w:val="198"/>
        <w:jc w:val="left"/>
        <w:rPr>
          <w:rFonts w:hint="eastAsia" w:ascii="宋体" w:hAnsi="宋体" w:eastAsia="宋体" w:cs="宋体"/>
          <w:color w:val="auto"/>
          <w:highlight w:val="none"/>
        </w:rPr>
      </w:pPr>
    </w:p>
    <w:p w14:paraId="3BD8D3B2">
      <w:pPr>
        <w:pStyle w:val="29"/>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8.</w:t>
      </w:r>
      <w:bookmarkStart w:id="202" w:name="_Toc173579006"/>
      <w:bookmarkStart w:id="203" w:name="_Toc153274948"/>
      <w:bookmarkStart w:id="204" w:name="_Toc251052200"/>
      <w:bookmarkStart w:id="205" w:name="_Toc172364026"/>
      <w:bookmarkStart w:id="206" w:name="_Toc389065364"/>
      <w:r>
        <w:rPr>
          <w:rFonts w:hint="eastAsia" w:ascii="宋体" w:hAnsi="宋体" w:eastAsia="宋体" w:cs="宋体"/>
          <w:color w:val="auto"/>
          <w:highlight w:val="none"/>
        </w:rPr>
        <w:t>2项目经理简历表</w:t>
      </w:r>
      <w:bookmarkEnd w:id="202"/>
      <w:bookmarkEnd w:id="203"/>
      <w:bookmarkEnd w:id="204"/>
      <w:bookmarkEnd w:id="205"/>
      <w:bookmarkEnd w:id="206"/>
    </w:p>
    <w:tbl>
      <w:tblPr>
        <w:tblStyle w:val="5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426E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17F6579B">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vAlign w:val="center"/>
          </w:tcPr>
          <w:p w14:paraId="2E310BF1">
            <w:pPr>
              <w:jc w:val="center"/>
              <w:rPr>
                <w:rFonts w:hint="eastAsia" w:ascii="宋体" w:hAnsi="宋体" w:eastAsia="宋体" w:cs="宋体"/>
                <w:color w:val="auto"/>
                <w:highlight w:val="none"/>
              </w:rPr>
            </w:pPr>
          </w:p>
        </w:tc>
        <w:tc>
          <w:tcPr>
            <w:tcW w:w="1893" w:type="dxa"/>
            <w:gridSpan w:val="2"/>
            <w:vAlign w:val="center"/>
          </w:tcPr>
          <w:p w14:paraId="6307A8F4">
            <w:pPr>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vAlign w:val="center"/>
          </w:tcPr>
          <w:p w14:paraId="5FB3B106">
            <w:pPr>
              <w:jc w:val="center"/>
              <w:rPr>
                <w:rFonts w:hint="eastAsia" w:ascii="宋体" w:hAnsi="宋体" w:eastAsia="宋体" w:cs="宋体"/>
                <w:color w:val="auto"/>
                <w:highlight w:val="none"/>
              </w:rPr>
            </w:pPr>
          </w:p>
        </w:tc>
        <w:tc>
          <w:tcPr>
            <w:tcW w:w="1108" w:type="dxa"/>
            <w:gridSpan w:val="2"/>
            <w:vAlign w:val="center"/>
          </w:tcPr>
          <w:p w14:paraId="5686F1E5">
            <w:pPr>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vAlign w:val="center"/>
          </w:tcPr>
          <w:p w14:paraId="43C75E13">
            <w:pPr>
              <w:jc w:val="center"/>
              <w:rPr>
                <w:rFonts w:hint="eastAsia" w:ascii="宋体" w:hAnsi="宋体" w:eastAsia="宋体" w:cs="宋体"/>
                <w:color w:val="auto"/>
                <w:highlight w:val="none"/>
              </w:rPr>
            </w:pPr>
          </w:p>
        </w:tc>
      </w:tr>
      <w:tr w14:paraId="327A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539FA319">
            <w:pPr>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vAlign w:val="center"/>
          </w:tcPr>
          <w:p w14:paraId="5AA46B07">
            <w:pPr>
              <w:jc w:val="center"/>
              <w:rPr>
                <w:rFonts w:hint="eastAsia" w:ascii="宋体" w:hAnsi="宋体" w:eastAsia="宋体" w:cs="宋体"/>
                <w:color w:val="auto"/>
                <w:highlight w:val="none"/>
              </w:rPr>
            </w:pPr>
          </w:p>
        </w:tc>
        <w:tc>
          <w:tcPr>
            <w:tcW w:w="1893" w:type="dxa"/>
            <w:gridSpan w:val="2"/>
            <w:vAlign w:val="center"/>
          </w:tcPr>
          <w:p w14:paraId="50846668">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vAlign w:val="center"/>
          </w:tcPr>
          <w:p w14:paraId="7D487DC8">
            <w:pPr>
              <w:jc w:val="center"/>
              <w:rPr>
                <w:rFonts w:hint="eastAsia" w:ascii="宋体" w:hAnsi="宋体" w:eastAsia="宋体" w:cs="宋体"/>
                <w:color w:val="auto"/>
                <w:highlight w:val="none"/>
              </w:rPr>
            </w:pPr>
          </w:p>
        </w:tc>
        <w:tc>
          <w:tcPr>
            <w:tcW w:w="1108" w:type="dxa"/>
            <w:gridSpan w:val="2"/>
            <w:vAlign w:val="center"/>
          </w:tcPr>
          <w:p w14:paraId="248B0542">
            <w:pPr>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vAlign w:val="center"/>
          </w:tcPr>
          <w:p w14:paraId="657B2908">
            <w:pPr>
              <w:jc w:val="center"/>
              <w:rPr>
                <w:rFonts w:hint="eastAsia" w:ascii="宋体" w:hAnsi="宋体" w:eastAsia="宋体" w:cs="宋体"/>
                <w:color w:val="auto"/>
                <w:highlight w:val="none"/>
              </w:rPr>
            </w:pPr>
          </w:p>
        </w:tc>
      </w:tr>
      <w:tr w14:paraId="1EBC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33447E02">
            <w:pPr>
              <w:jc w:val="center"/>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vAlign w:val="center"/>
          </w:tcPr>
          <w:p w14:paraId="44896425">
            <w:pPr>
              <w:jc w:val="center"/>
              <w:rPr>
                <w:rFonts w:hint="eastAsia" w:ascii="宋体" w:hAnsi="宋体" w:eastAsia="宋体" w:cs="宋体"/>
                <w:color w:val="auto"/>
                <w:highlight w:val="none"/>
              </w:rPr>
            </w:pPr>
          </w:p>
        </w:tc>
        <w:tc>
          <w:tcPr>
            <w:tcW w:w="2693" w:type="dxa"/>
            <w:gridSpan w:val="4"/>
            <w:vAlign w:val="center"/>
          </w:tcPr>
          <w:p w14:paraId="26E784EC">
            <w:pPr>
              <w:jc w:val="center"/>
              <w:rPr>
                <w:rFonts w:hint="eastAsia" w:ascii="宋体" w:hAnsi="宋体" w:eastAsia="宋体" w:cs="宋体"/>
                <w:color w:val="auto"/>
                <w:highlight w:val="none"/>
              </w:rPr>
            </w:pPr>
            <w:r>
              <w:rPr>
                <w:rFonts w:hint="eastAsia" w:ascii="宋体" w:hAnsi="宋体" w:eastAsia="宋体" w:cs="宋体"/>
                <w:color w:val="auto"/>
                <w:highlight w:val="none"/>
              </w:rPr>
              <w:t>担任项目经理年限</w:t>
            </w:r>
          </w:p>
        </w:tc>
        <w:tc>
          <w:tcPr>
            <w:tcW w:w="1276" w:type="dxa"/>
            <w:vAlign w:val="center"/>
          </w:tcPr>
          <w:p w14:paraId="53C02321">
            <w:pPr>
              <w:jc w:val="center"/>
              <w:rPr>
                <w:rFonts w:hint="eastAsia" w:ascii="宋体" w:hAnsi="宋体" w:eastAsia="宋体" w:cs="宋体"/>
                <w:color w:val="auto"/>
                <w:highlight w:val="none"/>
              </w:rPr>
            </w:pPr>
          </w:p>
        </w:tc>
      </w:tr>
      <w:tr w14:paraId="2F26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5086F854">
            <w:pPr>
              <w:jc w:val="center"/>
              <w:rPr>
                <w:rFonts w:hint="eastAsia" w:ascii="宋体" w:hAnsi="宋体" w:eastAsia="宋体" w:cs="宋体"/>
                <w:color w:val="auto"/>
                <w:highlight w:val="none"/>
              </w:rPr>
            </w:pPr>
            <w:r>
              <w:rPr>
                <w:rFonts w:hint="eastAsia" w:ascii="宋体" w:hAnsi="宋体" w:eastAsia="宋体" w:cs="宋体"/>
                <w:color w:val="auto"/>
                <w:highlight w:val="none"/>
              </w:rPr>
              <w:t>建造师注册编号</w:t>
            </w:r>
          </w:p>
        </w:tc>
        <w:tc>
          <w:tcPr>
            <w:tcW w:w="5862" w:type="dxa"/>
            <w:gridSpan w:val="7"/>
            <w:vAlign w:val="center"/>
          </w:tcPr>
          <w:p w14:paraId="65025692">
            <w:pPr>
              <w:jc w:val="center"/>
              <w:rPr>
                <w:rFonts w:hint="eastAsia" w:ascii="宋体" w:hAnsi="宋体" w:eastAsia="宋体" w:cs="宋体"/>
                <w:color w:val="auto"/>
                <w:highlight w:val="none"/>
              </w:rPr>
            </w:pPr>
          </w:p>
        </w:tc>
      </w:tr>
      <w:tr w14:paraId="489A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14:paraId="0D8E0C4E">
            <w:pPr>
              <w:jc w:val="center"/>
              <w:rPr>
                <w:rFonts w:hint="eastAsia" w:ascii="宋体" w:hAnsi="宋体" w:eastAsia="宋体" w:cs="宋体"/>
                <w:color w:val="auto"/>
                <w:highlight w:val="none"/>
              </w:rPr>
            </w:pPr>
            <w:r>
              <w:rPr>
                <w:rFonts w:hint="eastAsia" w:ascii="宋体" w:hAnsi="宋体" w:eastAsia="宋体" w:cs="宋体"/>
                <w:color w:val="auto"/>
                <w:highlight w:val="none"/>
              </w:rPr>
              <w:t>注册专业、等级</w:t>
            </w:r>
          </w:p>
        </w:tc>
        <w:tc>
          <w:tcPr>
            <w:tcW w:w="5862" w:type="dxa"/>
            <w:gridSpan w:val="7"/>
            <w:vAlign w:val="center"/>
          </w:tcPr>
          <w:p w14:paraId="78930253">
            <w:pPr>
              <w:jc w:val="center"/>
              <w:rPr>
                <w:rFonts w:hint="eastAsia" w:ascii="宋体" w:hAnsi="宋体" w:eastAsia="宋体" w:cs="宋体"/>
                <w:color w:val="auto"/>
                <w:highlight w:val="none"/>
              </w:rPr>
            </w:pPr>
          </w:p>
        </w:tc>
      </w:tr>
      <w:tr w14:paraId="16D5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5FBD24E3">
            <w:pPr>
              <w:jc w:val="center"/>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0C4B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22860FD7">
            <w:pPr>
              <w:jc w:val="center"/>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vAlign w:val="center"/>
          </w:tcPr>
          <w:p w14:paraId="6ED9172E">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vAlign w:val="center"/>
          </w:tcPr>
          <w:p w14:paraId="556DB6D1">
            <w:pPr>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vAlign w:val="center"/>
          </w:tcPr>
          <w:p w14:paraId="359DB4BA">
            <w:pPr>
              <w:jc w:val="center"/>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vAlign w:val="center"/>
          </w:tcPr>
          <w:p w14:paraId="5474C2A8">
            <w:pPr>
              <w:jc w:val="center"/>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vAlign w:val="center"/>
          </w:tcPr>
          <w:p w14:paraId="5330A11A">
            <w:pPr>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14:paraId="4F74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64A0DAD0">
            <w:pPr>
              <w:jc w:val="center"/>
              <w:rPr>
                <w:rFonts w:hint="eastAsia" w:ascii="宋体" w:hAnsi="宋体" w:eastAsia="宋体" w:cs="宋体"/>
                <w:color w:val="auto"/>
                <w:highlight w:val="none"/>
              </w:rPr>
            </w:pPr>
          </w:p>
        </w:tc>
        <w:tc>
          <w:tcPr>
            <w:tcW w:w="1548" w:type="dxa"/>
            <w:vAlign w:val="center"/>
          </w:tcPr>
          <w:p w14:paraId="7573236D">
            <w:pPr>
              <w:jc w:val="center"/>
              <w:rPr>
                <w:rFonts w:hint="eastAsia" w:ascii="宋体" w:hAnsi="宋体" w:eastAsia="宋体" w:cs="宋体"/>
                <w:color w:val="auto"/>
                <w:highlight w:val="none"/>
              </w:rPr>
            </w:pPr>
          </w:p>
        </w:tc>
        <w:tc>
          <w:tcPr>
            <w:tcW w:w="1547" w:type="dxa"/>
            <w:gridSpan w:val="2"/>
            <w:vAlign w:val="center"/>
          </w:tcPr>
          <w:p w14:paraId="1989D0ED">
            <w:pPr>
              <w:jc w:val="center"/>
              <w:rPr>
                <w:rFonts w:hint="eastAsia" w:ascii="宋体" w:hAnsi="宋体" w:eastAsia="宋体" w:cs="宋体"/>
                <w:color w:val="auto"/>
                <w:highlight w:val="none"/>
              </w:rPr>
            </w:pPr>
          </w:p>
        </w:tc>
        <w:tc>
          <w:tcPr>
            <w:tcW w:w="1548" w:type="dxa"/>
            <w:gridSpan w:val="2"/>
            <w:vAlign w:val="center"/>
          </w:tcPr>
          <w:p w14:paraId="59EB105F">
            <w:pPr>
              <w:jc w:val="center"/>
              <w:rPr>
                <w:rFonts w:hint="eastAsia" w:ascii="宋体" w:hAnsi="宋体" w:eastAsia="宋体" w:cs="宋体"/>
                <w:color w:val="auto"/>
                <w:highlight w:val="none"/>
              </w:rPr>
            </w:pPr>
          </w:p>
        </w:tc>
        <w:tc>
          <w:tcPr>
            <w:tcW w:w="1547" w:type="dxa"/>
            <w:gridSpan w:val="2"/>
            <w:vAlign w:val="center"/>
          </w:tcPr>
          <w:p w14:paraId="79BE768D">
            <w:pPr>
              <w:jc w:val="center"/>
              <w:rPr>
                <w:rFonts w:hint="eastAsia" w:ascii="宋体" w:hAnsi="宋体" w:eastAsia="宋体" w:cs="宋体"/>
                <w:color w:val="auto"/>
                <w:highlight w:val="none"/>
              </w:rPr>
            </w:pPr>
          </w:p>
        </w:tc>
        <w:tc>
          <w:tcPr>
            <w:tcW w:w="1548" w:type="dxa"/>
            <w:gridSpan w:val="2"/>
            <w:vAlign w:val="center"/>
          </w:tcPr>
          <w:p w14:paraId="73207BFB">
            <w:pPr>
              <w:jc w:val="center"/>
              <w:rPr>
                <w:rFonts w:hint="eastAsia" w:ascii="宋体" w:hAnsi="宋体" w:eastAsia="宋体" w:cs="宋体"/>
                <w:color w:val="auto"/>
                <w:highlight w:val="none"/>
              </w:rPr>
            </w:pPr>
          </w:p>
        </w:tc>
      </w:tr>
      <w:tr w14:paraId="2A10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115C369B">
            <w:pPr>
              <w:jc w:val="center"/>
              <w:rPr>
                <w:rFonts w:hint="eastAsia" w:ascii="宋体" w:hAnsi="宋体" w:eastAsia="宋体" w:cs="宋体"/>
                <w:color w:val="auto"/>
                <w:highlight w:val="none"/>
              </w:rPr>
            </w:pPr>
          </w:p>
        </w:tc>
        <w:tc>
          <w:tcPr>
            <w:tcW w:w="1548" w:type="dxa"/>
            <w:vAlign w:val="center"/>
          </w:tcPr>
          <w:p w14:paraId="150E57C6">
            <w:pPr>
              <w:jc w:val="center"/>
              <w:rPr>
                <w:rFonts w:hint="eastAsia" w:ascii="宋体" w:hAnsi="宋体" w:eastAsia="宋体" w:cs="宋体"/>
                <w:color w:val="auto"/>
                <w:highlight w:val="none"/>
              </w:rPr>
            </w:pPr>
          </w:p>
        </w:tc>
        <w:tc>
          <w:tcPr>
            <w:tcW w:w="1547" w:type="dxa"/>
            <w:gridSpan w:val="2"/>
            <w:vAlign w:val="center"/>
          </w:tcPr>
          <w:p w14:paraId="5D0AC442">
            <w:pPr>
              <w:jc w:val="center"/>
              <w:rPr>
                <w:rFonts w:hint="eastAsia" w:ascii="宋体" w:hAnsi="宋体" w:eastAsia="宋体" w:cs="宋体"/>
                <w:color w:val="auto"/>
                <w:highlight w:val="none"/>
              </w:rPr>
            </w:pPr>
          </w:p>
        </w:tc>
        <w:tc>
          <w:tcPr>
            <w:tcW w:w="1548" w:type="dxa"/>
            <w:gridSpan w:val="2"/>
            <w:vAlign w:val="center"/>
          </w:tcPr>
          <w:p w14:paraId="2A833F86">
            <w:pPr>
              <w:jc w:val="center"/>
              <w:rPr>
                <w:rFonts w:hint="eastAsia" w:ascii="宋体" w:hAnsi="宋体" w:eastAsia="宋体" w:cs="宋体"/>
                <w:color w:val="auto"/>
                <w:highlight w:val="none"/>
              </w:rPr>
            </w:pPr>
          </w:p>
        </w:tc>
        <w:tc>
          <w:tcPr>
            <w:tcW w:w="1547" w:type="dxa"/>
            <w:gridSpan w:val="2"/>
            <w:vAlign w:val="center"/>
          </w:tcPr>
          <w:p w14:paraId="491D1DAF">
            <w:pPr>
              <w:jc w:val="center"/>
              <w:rPr>
                <w:rFonts w:hint="eastAsia" w:ascii="宋体" w:hAnsi="宋体" w:eastAsia="宋体" w:cs="宋体"/>
                <w:color w:val="auto"/>
                <w:highlight w:val="none"/>
              </w:rPr>
            </w:pPr>
          </w:p>
        </w:tc>
        <w:tc>
          <w:tcPr>
            <w:tcW w:w="1548" w:type="dxa"/>
            <w:gridSpan w:val="2"/>
            <w:vAlign w:val="center"/>
          </w:tcPr>
          <w:p w14:paraId="07E7E336">
            <w:pPr>
              <w:jc w:val="center"/>
              <w:rPr>
                <w:rFonts w:hint="eastAsia" w:ascii="宋体" w:hAnsi="宋体" w:eastAsia="宋体" w:cs="宋体"/>
                <w:color w:val="auto"/>
                <w:highlight w:val="none"/>
              </w:rPr>
            </w:pPr>
          </w:p>
        </w:tc>
      </w:tr>
      <w:tr w14:paraId="18FB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AF74CE1">
            <w:pPr>
              <w:jc w:val="center"/>
              <w:rPr>
                <w:rFonts w:hint="eastAsia" w:ascii="宋体" w:hAnsi="宋体" w:eastAsia="宋体" w:cs="宋体"/>
                <w:color w:val="auto"/>
                <w:highlight w:val="none"/>
              </w:rPr>
            </w:pPr>
          </w:p>
        </w:tc>
        <w:tc>
          <w:tcPr>
            <w:tcW w:w="1548" w:type="dxa"/>
            <w:vAlign w:val="center"/>
          </w:tcPr>
          <w:p w14:paraId="4EF3B1BB">
            <w:pPr>
              <w:jc w:val="center"/>
              <w:rPr>
                <w:rFonts w:hint="eastAsia" w:ascii="宋体" w:hAnsi="宋体" w:eastAsia="宋体" w:cs="宋体"/>
                <w:color w:val="auto"/>
                <w:highlight w:val="none"/>
              </w:rPr>
            </w:pPr>
          </w:p>
        </w:tc>
        <w:tc>
          <w:tcPr>
            <w:tcW w:w="1547" w:type="dxa"/>
            <w:gridSpan w:val="2"/>
            <w:vAlign w:val="center"/>
          </w:tcPr>
          <w:p w14:paraId="1A025AA0">
            <w:pPr>
              <w:jc w:val="center"/>
              <w:rPr>
                <w:rFonts w:hint="eastAsia" w:ascii="宋体" w:hAnsi="宋体" w:eastAsia="宋体" w:cs="宋体"/>
                <w:color w:val="auto"/>
                <w:highlight w:val="none"/>
              </w:rPr>
            </w:pPr>
          </w:p>
        </w:tc>
        <w:tc>
          <w:tcPr>
            <w:tcW w:w="1548" w:type="dxa"/>
            <w:gridSpan w:val="2"/>
            <w:vAlign w:val="center"/>
          </w:tcPr>
          <w:p w14:paraId="4CE7C712">
            <w:pPr>
              <w:jc w:val="center"/>
              <w:rPr>
                <w:rFonts w:hint="eastAsia" w:ascii="宋体" w:hAnsi="宋体" w:eastAsia="宋体" w:cs="宋体"/>
                <w:color w:val="auto"/>
                <w:highlight w:val="none"/>
              </w:rPr>
            </w:pPr>
          </w:p>
        </w:tc>
        <w:tc>
          <w:tcPr>
            <w:tcW w:w="1547" w:type="dxa"/>
            <w:gridSpan w:val="2"/>
            <w:vAlign w:val="center"/>
          </w:tcPr>
          <w:p w14:paraId="6A5E9F54">
            <w:pPr>
              <w:jc w:val="center"/>
              <w:rPr>
                <w:rFonts w:hint="eastAsia" w:ascii="宋体" w:hAnsi="宋体" w:eastAsia="宋体" w:cs="宋体"/>
                <w:color w:val="auto"/>
                <w:highlight w:val="none"/>
              </w:rPr>
            </w:pPr>
          </w:p>
        </w:tc>
        <w:tc>
          <w:tcPr>
            <w:tcW w:w="1548" w:type="dxa"/>
            <w:gridSpan w:val="2"/>
            <w:vAlign w:val="center"/>
          </w:tcPr>
          <w:p w14:paraId="211BD9A3">
            <w:pPr>
              <w:jc w:val="center"/>
              <w:rPr>
                <w:rFonts w:hint="eastAsia" w:ascii="宋体" w:hAnsi="宋体" w:eastAsia="宋体" w:cs="宋体"/>
                <w:color w:val="auto"/>
                <w:highlight w:val="none"/>
              </w:rPr>
            </w:pPr>
          </w:p>
        </w:tc>
      </w:tr>
    </w:tbl>
    <w:p w14:paraId="163D96A0">
      <w:pPr>
        <w:pStyle w:val="198"/>
        <w:rPr>
          <w:rFonts w:hint="eastAsia" w:ascii="宋体" w:hAnsi="宋体" w:eastAsia="宋体" w:cs="宋体"/>
          <w:color w:val="auto"/>
          <w:highlight w:val="none"/>
        </w:rPr>
      </w:pPr>
      <w:r>
        <w:rPr>
          <w:rFonts w:hint="eastAsia" w:ascii="宋体" w:hAnsi="宋体" w:eastAsia="宋体" w:cs="宋体"/>
          <w:color w:val="auto"/>
          <w:highlight w:val="none"/>
        </w:rPr>
        <w:t>备注：附项目经理注册建造师注册证书、安全生产考核合格证书（B证）、响应文件递交截止时间前6个月内任意1个月在现任职单位依法缴纳社会保险的凭证和已完工程中标（成交）通知书、工程合同协议书、工程竣工验收证明材料，以及供应商认为需要增加的其他证明材料</w:t>
      </w:r>
      <w:r>
        <w:rPr>
          <w:rFonts w:hint="eastAsia" w:ascii="宋体" w:hAnsi="宋体" w:eastAsia="宋体" w:cs="宋体"/>
          <w:color w:val="auto"/>
          <w:szCs w:val="21"/>
          <w:highlight w:val="none"/>
        </w:rPr>
        <w:t>扫描件</w:t>
      </w:r>
      <w:r>
        <w:rPr>
          <w:rFonts w:hint="eastAsia" w:ascii="宋体" w:hAnsi="宋体" w:eastAsia="宋体" w:cs="宋体"/>
          <w:color w:val="auto"/>
          <w:highlight w:val="none"/>
        </w:rPr>
        <w:t>，以上</w:t>
      </w:r>
      <w:r>
        <w:rPr>
          <w:rFonts w:hint="eastAsia" w:ascii="宋体" w:hAnsi="宋体" w:eastAsia="宋体" w:cs="宋体"/>
          <w:color w:val="auto"/>
          <w:szCs w:val="21"/>
          <w:highlight w:val="none"/>
        </w:rPr>
        <w:t>扫描件</w:t>
      </w:r>
      <w:r>
        <w:rPr>
          <w:rFonts w:hint="eastAsia" w:ascii="宋体" w:hAnsi="宋体" w:eastAsia="宋体" w:cs="宋体"/>
          <w:color w:val="auto"/>
          <w:highlight w:val="none"/>
        </w:rPr>
        <w:t>须加盖</w:t>
      </w:r>
      <w:r>
        <w:rPr>
          <w:rFonts w:hint="eastAsia" w:ascii="宋体" w:hAnsi="宋体" w:eastAsia="宋体" w:cs="宋体"/>
          <w:color w:val="auto"/>
          <w:szCs w:val="21"/>
          <w:highlight w:val="none"/>
        </w:rPr>
        <w:t>供应商电子签章</w:t>
      </w:r>
      <w:r>
        <w:rPr>
          <w:rFonts w:hint="eastAsia" w:ascii="宋体" w:hAnsi="宋体" w:eastAsia="宋体" w:cs="宋体"/>
          <w:color w:val="auto"/>
          <w:highlight w:val="none"/>
        </w:rPr>
        <w:t>。</w:t>
      </w:r>
      <w:bookmarkStart w:id="207" w:name="_Toc251052219"/>
      <w:bookmarkStart w:id="208" w:name="_Toc173579007"/>
      <w:bookmarkStart w:id="209" w:name="_Toc153274949"/>
      <w:bookmarkStart w:id="210" w:name="_Toc389065365"/>
      <w:bookmarkStart w:id="211" w:name="_Toc172364027"/>
    </w:p>
    <w:p w14:paraId="22A0F814">
      <w:pPr>
        <w:pStyle w:val="198"/>
        <w:rPr>
          <w:rFonts w:hint="eastAsia" w:ascii="宋体" w:hAnsi="宋体" w:eastAsia="宋体" w:cs="宋体"/>
          <w:color w:val="auto"/>
          <w:highlight w:val="none"/>
        </w:rPr>
      </w:pPr>
    </w:p>
    <w:p w14:paraId="7B81BEEC">
      <w:pPr>
        <w:pStyle w:val="198"/>
        <w:rPr>
          <w:rFonts w:hint="eastAsia" w:ascii="宋体" w:hAnsi="宋体" w:eastAsia="宋体" w:cs="宋体"/>
          <w:color w:val="auto"/>
          <w:highlight w:val="none"/>
        </w:rPr>
      </w:pPr>
    </w:p>
    <w:p w14:paraId="4C01D84E">
      <w:pPr>
        <w:pStyle w:val="198"/>
        <w:rPr>
          <w:rFonts w:hint="eastAsia" w:ascii="宋体" w:hAnsi="宋体" w:eastAsia="宋体" w:cs="宋体"/>
          <w:color w:val="auto"/>
          <w:highlight w:val="none"/>
        </w:rPr>
      </w:pPr>
      <w:r>
        <w:rPr>
          <w:rFonts w:hint="eastAsia" w:ascii="宋体" w:hAnsi="宋体" w:eastAsia="宋体" w:cs="宋体"/>
          <w:color w:val="auto"/>
          <w:highlight w:val="none"/>
        </w:rPr>
        <w:t>8.3项目技术负责人简历表</w:t>
      </w:r>
      <w:bookmarkEnd w:id="207"/>
      <w:bookmarkEnd w:id="208"/>
      <w:bookmarkEnd w:id="209"/>
      <w:bookmarkEnd w:id="210"/>
      <w:bookmarkEnd w:id="211"/>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14:paraId="6EC2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14:paraId="7FF4B339">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340" w:type="dxa"/>
            <w:gridSpan w:val="3"/>
            <w:vAlign w:val="center"/>
          </w:tcPr>
          <w:p w14:paraId="75E0FD0E">
            <w:pPr>
              <w:jc w:val="center"/>
              <w:rPr>
                <w:rFonts w:hint="eastAsia" w:ascii="宋体" w:hAnsi="宋体" w:eastAsia="宋体" w:cs="宋体"/>
                <w:color w:val="auto"/>
                <w:highlight w:val="none"/>
              </w:rPr>
            </w:pPr>
          </w:p>
        </w:tc>
        <w:tc>
          <w:tcPr>
            <w:tcW w:w="1893" w:type="dxa"/>
            <w:gridSpan w:val="2"/>
            <w:vAlign w:val="center"/>
          </w:tcPr>
          <w:p w14:paraId="0122E326">
            <w:pPr>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585" w:type="dxa"/>
            <w:gridSpan w:val="2"/>
            <w:vAlign w:val="center"/>
          </w:tcPr>
          <w:p w14:paraId="4605D697">
            <w:pPr>
              <w:jc w:val="center"/>
              <w:rPr>
                <w:rFonts w:hint="eastAsia" w:ascii="宋体" w:hAnsi="宋体" w:eastAsia="宋体" w:cs="宋体"/>
                <w:color w:val="auto"/>
                <w:highlight w:val="none"/>
              </w:rPr>
            </w:pPr>
          </w:p>
        </w:tc>
        <w:tc>
          <w:tcPr>
            <w:tcW w:w="1108" w:type="dxa"/>
            <w:gridSpan w:val="2"/>
            <w:vAlign w:val="center"/>
          </w:tcPr>
          <w:p w14:paraId="55C1D4A0">
            <w:pPr>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76" w:type="dxa"/>
            <w:vAlign w:val="center"/>
          </w:tcPr>
          <w:p w14:paraId="5EB0A8CF">
            <w:pPr>
              <w:jc w:val="center"/>
              <w:rPr>
                <w:rFonts w:hint="eastAsia" w:ascii="宋体" w:hAnsi="宋体" w:eastAsia="宋体" w:cs="宋体"/>
                <w:color w:val="auto"/>
                <w:highlight w:val="none"/>
              </w:rPr>
            </w:pPr>
          </w:p>
        </w:tc>
      </w:tr>
      <w:tr w14:paraId="5A26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14:paraId="0F9B11B6">
            <w:pPr>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vAlign w:val="center"/>
          </w:tcPr>
          <w:p w14:paraId="495433C9">
            <w:pPr>
              <w:jc w:val="center"/>
              <w:rPr>
                <w:rFonts w:hint="eastAsia" w:ascii="宋体" w:hAnsi="宋体" w:eastAsia="宋体" w:cs="宋体"/>
                <w:color w:val="auto"/>
                <w:highlight w:val="none"/>
              </w:rPr>
            </w:pPr>
          </w:p>
        </w:tc>
        <w:tc>
          <w:tcPr>
            <w:tcW w:w="1893" w:type="dxa"/>
            <w:gridSpan w:val="2"/>
            <w:vAlign w:val="center"/>
          </w:tcPr>
          <w:p w14:paraId="511C180B">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585" w:type="dxa"/>
            <w:gridSpan w:val="2"/>
            <w:vAlign w:val="center"/>
          </w:tcPr>
          <w:p w14:paraId="7A9989D3">
            <w:pPr>
              <w:jc w:val="center"/>
              <w:rPr>
                <w:rFonts w:hint="eastAsia" w:ascii="宋体" w:hAnsi="宋体" w:eastAsia="宋体" w:cs="宋体"/>
                <w:color w:val="auto"/>
                <w:highlight w:val="none"/>
              </w:rPr>
            </w:pPr>
          </w:p>
        </w:tc>
        <w:tc>
          <w:tcPr>
            <w:tcW w:w="1108" w:type="dxa"/>
            <w:gridSpan w:val="2"/>
            <w:vAlign w:val="center"/>
          </w:tcPr>
          <w:p w14:paraId="1A4A3B34">
            <w:pPr>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276" w:type="dxa"/>
            <w:vAlign w:val="center"/>
          </w:tcPr>
          <w:p w14:paraId="784CB3D6">
            <w:pPr>
              <w:jc w:val="center"/>
              <w:rPr>
                <w:rFonts w:hint="eastAsia" w:ascii="宋体" w:hAnsi="宋体" w:eastAsia="宋体" w:cs="宋体"/>
                <w:color w:val="auto"/>
                <w:highlight w:val="none"/>
              </w:rPr>
            </w:pPr>
          </w:p>
        </w:tc>
      </w:tr>
      <w:tr w14:paraId="0D5A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14:paraId="35D4E7ED">
            <w:pPr>
              <w:jc w:val="center"/>
              <w:rPr>
                <w:rFonts w:hint="eastAsia" w:ascii="宋体" w:hAnsi="宋体" w:eastAsia="宋体" w:cs="宋体"/>
                <w:color w:val="auto"/>
                <w:highlight w:val="none"/>
              </w:rPr>
            </w:pPr>
            <w:r>
              <w:rPr>
                <w:rFonts w:hint="eastAsia" w:ascii="宋体" w:hAnsi="宋体" w:eastAsia="宋体" w:cs="宋体"/>
                <w:color w:val="auto"/>
                <w:highlight w:val="none"/>
              </w:rPr>
              <w:t>参加工作时间</w:t>
            </w:r>
          </w:p>
        </w:tc>
        <w:tc>
          <w:tcPr>
            <w:tcW w:w="1893" w:type="dxa"/>
            <w:gridSpan w:val="2"/>
            <w:vAlign w:val="center"/>
          </w:tcPr>
          <w:p w14:paraId="260C91B9">
            <w:pPr>
              <w:jc w:val="center"/>
              <w:rPr>
                <w:rFonts w:hint="eastAsia" w:ascii="宋体" w:hAnsi="宋体" w:eastAsia="宋体" w:cs="宋体"/>
                <w:color w:val="auto"/>
                <w:highlight w:val="none"/>
              </w:rPr>
            </w:pPr>
          </w:p>
        </w:tc>
        <w:tc>
          <w:tcPr>
            <w:tcW w:w="2693" w:type="dxa"/>
            <w:gridSpan w:val="4"/>
            <w:vAlign w:val="center"/>
          </w:tcPr>
          <w:p w14:paraId="5EF29A38">
            <w:pPr>
              <w:jc w:val="center"/>
              <w:rPr>
                <w:rFonts w:hint="eastAsia" w:ascii="宋体" w:hAnsi="宋体" w:eastAsia="宋体" w:cs="宋体"/>
                <w:color w:val="auto"/>
                <w:highlight w:val="none"/>
              </w:rPr>
            </w:pPr>
            <w:r>
              <w:rPr>
                <w:rFonts w:hint="eastAsia" w:ascii="宋体" w:hAnsi="宋体" w:eastAsia="宋体" w:cs="宋体"/>
                <w:color w:val="auto"/>
                <w:highlight w:val="none"/>
              </w:rPr>
              <w:t>担任技术负责人年限</w:t>
            </w:r>
          </w:p>
        </w:tc>
        <w:tc>
          <w:tcPr>
            <w:tcW w:w="1276" w:type="dxa"/>
            <w:vAlign w:val="center"/>
          </w:tcPr>
          <w:p w14:paraId="65F03030">
            <w:pPr>
              <w:jc w:val="center"/>
              <w:rPr>
                <w:rFonts w:hint="eastAsia" w:ascii="宋体" w:hAnsi="宋体" w:eastAsia="宋体" w:cs="宋体"/>
                <w:color w:val="auto"/>
                <w:highlight w:val="none"/>
              </w:rPr>
            </w:pPr>
          </w:p>
        </w:tc>
      </w:tr>
      <w:tr w14:paraId="4370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14:paraId="4AB99978">
            <w:pPr>
              <w:jc w:val="center"/>
              <w:rPr>
                <w:rFonts w:hint="eastAsia" w:ascii="宋体" w:hAnsi="宋体" w:eastAsia="宋体" w:cs="宋体"/>
                <w:color w:val="auto"/>
                <w:highlight w:val="none"/>
              </w:rPr>
            </w:pPr>
            <w:r>
              <w:rPr>
                <w:rFonts w:hint="eastAsia" w:ascii="宋体" w:hAnsi="宋体" w:eastAsia="宋体" w:cs="宋体"/>
                <w:color w:val="auto"/>
                <w:highlight w:val="none"/>
              </w:rPr>
              <w:t>在建和已完工程项目情况</w:t>
            </w:r>
          </w:p>
        </w:tc>
      </w:tr>
      <w:tr w14:paraId="58C0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14:paraId="7BF5CE3F">
            <w:pPr>
              <w:jc w:val="center"/>
              <w:rPr>
                <w:rFonts w:hint="eastAsia" w:ascii="宋体" w:hAnsi="宋体" w:eastAsia="宋体" w:cs="宋体"/>
                <w:color w:val="auto"/>
                <w:highlight w:val="none"/>
              </w:rPr>
            </w:pPr>
            <w:r>
              <w:rPr>
                <w:rFonts w:hint="eastAsia" w:ascii="宋体" w:hAnsi="宋体" w:eastAsia="宋体" w:cs="宋体"/>
                <w:color w:val="auto"/>
                <w:highlight w:val="none"/>
              </w:rPr>
              <w:t>建设单位</w:t>
            </w:r>
          </w:p>
        </w:tc>
        <w:tc>
          <w:tcPr>
            <w:tcW w:w="1548" w:type="dxa"/>
            <w:vAlign w:val="center"/>
          </w:tcPr>
          <w:p w14:paraId="51A9A3F7">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47" w:type="dxa"/>
            <w:gridSpan w:val="2"/>
            <w:vAlign w:val="center"/>
          </w:tcPr>
          <w:p w14:paraId="6ED7FA0D">
            <w:pPr>
              <w:jc w:val="center"/>
              <w:rPr>
                <w:rFonts w:hint="eastAsia" w:ascii="宋体" w:hAnsi="宋体" w:eastAsia="宋体" w:cs="宋体"/>
                <w:color w:val="auto"/>
                <w:highlight w:val="none"/>
              </w:rPr>
            </w:pPr>
            <w:r>
              <w:rPr>
                <w:rFonts w:hint="eastAsia" w:ascii="宋体" w:hAnsi="宋体" w:eastAsia="宋体" w:cs="宋体"/>
                <w:color w:val="auto"/>
                <w:highlight w:val="none"/>
              </w:rPr>
              <w:t>建设规模</w:t>
            </w:r>
          </w:p>
        </w:tc>
        <w:tc>
          <w:tcPr>
            <w:tcW w:w="1548" w:type="dxa"/>
            <w:gridSpan w:val="2"/>
            <w:vAlign w:val="center"/>
          </w:tcPr>
          <w:p w14:paraId="6776A676">
            <w:pPr>
              <w:jc w:val="center"/>
              <w:rPr>
                <w:rFonts w:hint="eastAsia" w:ascii="宋体" w:hAnsi="宋体" w:eastAsia="宋体" w:cs="宋体"/>
                <w:color w:val="auto"/>
                <w:highlight w:val="none"/>
              </w:rPr>
            </w:pPr>
            <w:r>
              <w:rPr>
                <w:rFonts w:hint="eastAsia" w:ascii="宋体" w:hAnsi="宋体" w:eastAsia="宋体" w:cs="宋体"/>
                <w:color w:val="auto"/>
                <w:highlight w:val="none"/>
              </w:rPr>
              <w:t>开、竣工日期</w:t>
            </w:r>
          </w:p>
        </w:tc>
        <w:tc>
          <w:tcPr>
            <w:tcW w:w="1547" w:type="dxa"/>
            <w:gridSpan w:val="2"/>
            <w:vAlign w:val="center"/>
          </w:tcPr>
          <w:p w14:paraId="5AEE16B4">
            <w:pPr>
              <w:jc w:val="center"/>
              <w:rPr>
                <w:rFonts w:hint="eastAsia" w:ascii="宋体" w:hAnsi="宋体" w:eastAsia="宋体" w:cs="宋体"/>
                <w:color w:val="auto"/>
                <w:highlight w:val="none"/>
              </w:rPr>
            </w:pPr>
            <w:r>
              <w:rPr>
                <w:rFonts w:hint="eastAsia" w:ascii="宋体" w:hAnsi="宋体" w:eastAsia="宋体" w:cs="宋体"/>
                <w:color w:val="auto"/>
                <w:highlight w:val="none"/>
              </w:rPr>
              <w:t>在建或已完</w:t>
            </w:r>
          </w:p>
        </w:tc>
        <w:tc>
          <w:tcPr>
            <w:tcW w:w="1548" w:type="dxa"/>
            <w:gridSpan w:val="2"/>
            <w:vAlign w:val="center"/>
          </w:tcPr>
          <w:p w14:paraId="7BBAEAB4">
            <w:pPr>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r>
      <w:tr w14:paraId="3B7A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9BA83F2">
            <w:pPr>
              <w:jc w:val="center"/>
              <w:rPr>
                <w:rFonts w:hint="eastAsia" w:ascii="宋体" w:hAnsi="宋体" w:eastAsia="宋体" w:cs="宋体"/>
                <w:color w:val="auto"/>
                <w:highlight w:val="none"/>
              </w:rPr>
            </w:pPr>
          </w:p>
        </w:tc>
        <w:tc>
          <w:tcPr>
            <w:tcW w:w="1548" w:type="dxa"/>
            <w:vAlign w:val="center"/>
          </w:tcPr>
          <w:p w14:paraId="63A827D3">
            <w:pPr>
              <w:jc w:val="center"/>
              <w:rPr>
                <w:rFonts w:hint="eastAsia" w:ascii="宋体" w:hAnsi="宋体" w:eastAsia="宋体" w:cs="宋体"/>
                <w:color w:val="auto"/>
                <w:highlight w:val="none"/>
              </w:rPr>
            </w:pPr>
          </w:p>
        </w:tc>
        <w:tc>
          <w:tcPr>
            <w:tcW w:w="1547" w:type="dxa"/>
            <w:gridSpan w:val="2"/>
            <w:vAlign w:val="center"/>
          </w:tcPr>
          <w:p w14:paraId="5B248C19">
            <w:pPr>
              <w:jc w:val="center"/>
              <w:rPr>
                <w:rFonts w:hint="eastAsia" w:ascii="宋体" w:hAnsi="宋体" w:eastAsia="宋体" w:cs="宋体"/>
                <w:color w:val="auto"/>
                <w:highlight w:val="none"/>
              </w:rPr>
            </w:pPr>
          </w:p>
        </w:tc>
        <w:tc>
          <w:tcPr>
            <w:tcW w:w="1548" w:type="dxa"/>
            <w:gridSpan w:val="2"/>
            <w:vAlign w:val="center"/>
          </w:tcPr>
          <w:p w14:paraId="5D59C4BF">
            <w:pPr>
              <w:jc w:val="center"/>
              <w:rPr>
                <w:rFonts w:hint="eastAsia" w:ascii="宋体" w:hAnsi="宋体" w:eastAsia="宋体" w:cs="宋体"/>
                <w:color w:val="auto"/>
                <w:highlight w:val="none"/>
              </w:rPr>
            </w:pPr>
          </w:p>
        </w:tc>
        <w:tc>
          <w:tcPr>
            <w:tcW w:w="1547" w:type="dxa"/>
            <w:gridSpan w:val="2"/>
            <w:vAlign w:val="center"/>
          </w:tcPr>
          <w:p w14:paraId="56DC6CF3">
            <w:pPr>
              <w:jc w:val="center"/>
              <w:rPr>
                <w:rFonts w:hint="eastAsia" w:ascii="宋体" w:hAnsi="宋体" w:eastAsia="宋体" w:cs="宋体"/>
                <w:color w:val="auto"/>
                <w:highlight w:val="none"/>
              </w:rPr>
            </w:pPr>
          </w:p>
        </w:tc>
        <w:tc>
          <w:tcPr>
            <w:tcW w:w="1548" w:type="dxa"/>
            <w:gridSpan w:val="2"/>
            <w:vAlign w:val="center"/>
          </w:tcPr>
          <w:p w14:paraId="4990EFDC">
            <w:pPr>
              <w:jc w:val="center"/>
              <w:rPr>
                <w:rFonts w:hint="eastAsia" w:ascii="宋体" w:hAnsi="宋体" w:eastAsia="宋体" w:cs="宋体"/>
                <w:color w:val="auto"/>
                <w:highlight w:val="none"/>
              </w:rPr>
            </w:pPr>
          </w:p>
        </w:tc>
      </w:tr>
      <w:tr w14:paraId="6008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5A71D474">
            <w:pPr>
              <w:jc w:val="center"/>
              <w:rPr>
                <w:rFonts w:hint="eastAsia" w:ascii="宋体" w:hAnsi="宋体" w:eastAsia="宋体" w:cs="宋体"/>
                <w:color w:val="auto"/>
                <w:highlight w:val="none"/>
              </w:rPr>
            </w:pPr>
          </w:p>
        </w:tc>
        <w:tc>
          <w:tcPr>
            <w:tcW w:w="1548" w:type="dxa"/>
            <w:vAlign w:val="center"/>
          </w:tcPr>
          <w:p w14:paraId="041C12DC">
            <w:pPr>
              <w:jc w:val="center"/>
              <w:rPr>
                <w:rFonts w:hint="eastAsia" w:ascii="宋体" w:hAnsi="宋体" w:eastAsia="宋体" w:cs="宋体"/>
                <w:color w:val="auto"/>
                <w:highlight w:val="none"/>
              </w:rPr>
            </w:pPr>
          </w:p>
        </w:tc>
        <w:tc>
          <w:tcPr>
            <w:tcW w:w="1547" w:type="dxa"/>
            <w:gridSpan w:val="2"/>
            <w:vAlign w:val="center"/>
          </w:tcPr>
          <w:p w14:paraId="15DA0164">
            <w:pPr>
              <w:jc w:val="center"/>
              <w:rPr>
                <w:rFonts w:hint="eastAsia" w:ascii="宋体" w:hAnsi="宋体" w:eastAsia="宋体" w:cs="宋体"/>
                <w:color w:val="auto"/>
                <w:highlight w:val="none"/>
              </w:rPr>
            </w:pPr>
          </w:p>
        </w:tc>
        <w:tc>
          <w:tcPr>
            <w:tcW w:w="1548" w:type="dxa"/>
            <w:gridSpan w:val="2"/>
            <w:vAlign w:val="center"/>
          </w:tcPr>
          <w:p w14:paraId="26FCC174">
            <w:pPr>
              <w:jc w:val="center"/>
              <w:rPr>
                <w:rFonts w:hint="eastAsia" w:ascii="宋体" w:hAnsi="宋体" w:eastAsia="宋体" w:cs="宋体"/>
                <w:color w:val="auto"/>
                <w:highlight w:val="none"/>
              </w:rPr>
            </w:pPr>
          </w:p>
        </w:tc>
        <w:tc>
          <w:tcPr>
            <w:tcW w:w="1547" w:type="dxa"/>
            <w:gridSpan w:val="2"/>
            <w:vAlign w:val="center"/>
          </w:tcPr>
          <w:p w14:paraId="05B417FD">
            <w:pPr>
              <w:jc w:val="center"/>
              <w:rPr>
                <w:rFonts w:hint="eastAsia" w:ascii="宋体" w:hAnsi="宋体" w:eastAsia="宋体" w:cs="宋体"/>
                <w:color w:val="auto"/>
                <w:highlight w:val="none"/>
              </w:rPr>
            </w:pPr>
          </w:p>
        </w:tc>
        <w:tc>
          <w:tcPr>
            <w:tcW w:w="1548" w:type="dxa"/>
            <w:gridSpan w:val="2"/>
            <w:vAlign w:val="center"/>
          </w:tcPr>
          <w:p w14:paraId="76019F26">
            <w:pPr>
              <w:jc w:val="center"/>
              <w:rPr>
                <w:rFonts w:hint="eastAsia" w:ascii="宋体" w:hAnsi="宋体" w:eastAsia="宋体" w:cs="宋体"/>
                <w:color w:val="auto"/>
                <w:highlight w:val="none"/>
              </w:rPr>
            </w:pPr>
          </w:p>
        </w:tc>
      </w:tr>
      <w:tr w14:paraId="2582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14:paraId="0DF81306">
            <w:pPr>
              <w:jc w:val="center"/>
              <w:rPr>
                <w:rFonts w:hint="eastAsia" w:ascii="宋体" w:hAnsi="宋体" w:eastAsia="宋体" w:cs="宋体"/>
                <w:color w:val="auto"/>
                <w:highlight w:val="none"/>
              </w:rPr>
            </w:pPr>
          </w:p>
        </w:tc>
        <w:tc>
          <w:tcPr>
            <w:tcW w:w="1548" w:type="dxa"/>
            <w:vAlign w:val="center"/>
          </w:tcPr>
          <w:p w14:paraId="4331556E">
            <w:pPr>
              <w:jc w:val="center"/>
              <w:rPr>
                <w:rFonts w:hint="eastAsia" w:ascii="宋体" w:hAnsi="宋体" w:eastAsia="宋体" w:cs="宋体"/>
                <w:color w:val="auto"/>
                <w:highlight w:val="none"/>
              </w:rPr>
            </w:pPr>
          </w:p>
        </w:tc>
        <w:tc>
          <w:tcPr>
            <w:tcW w:w="1547" w:type="dxa"/>
            <w:gridSpan w:val="2"/>
            <w:vAlign w:val="center"/>
          </w:tcPr>
          <w:p w14:paraId="6343A63D">
            <w:pPr>
              <w:jc w:val="center"/>
              <w:rPr>
                <w:rFonts w:hint="eastAsia" w:ascii="宋体" w:hAnsi="宋体" w:eastAsia="宋体" w:cs="宋体"/>
                <w:color w:val="auto"/>
                <w:highlight w:val="none"/>
              </w:rPr>
            </w:pPr>
          </w:p>
        </w:tc>
        <w:tc>
          <w:tcPr>
            <w:tcW w:w="1548" w:type="dxa"/>
            <w:gridSpan w:val="2"/>
            <w:vAlign w:val="center"/>
          </w:tcPr>
          <w:p w14:paraId="65D40FBB">
            <w:pPr>
              <w:jc w:val="center"/>
              <w:rPr>
                <w:rFonts w:hint="eastAsia" w:ascii="宋体" w:hAnsi="宋体" w:eastAsia="宋体" w:cs="宋体"/>
                <w:color w:val="auto"/>
                <w:highlight w:val="none"/>
              </w:rPr>
            </w:pPr>
          </w:p>
        </w:tc>
        <w:tc>
          <w:tcPr>
            <w:tcW w:w="1547" w:type="dxa"/>
            <w:gridSpan w:val="2"/>
            <w:vAlign w:val="center"/>
          </w:tcPr>
          <w:p w14:paraId="7078A4D0">
            <w:pPr>
              <w:jc w:val="center"/>
              <w:rPr>
                <w:rFonts w:hint="eastAsia" w:ascii="宋体" w:hAnsi="宋体" w:eastAsia="宋体" w:cs="宋体"/>
                <w:color w:val="auto"/>
                <w:highlight w:val="none"/>
              </w:rPr>
            </w:pPr>
          </w:p>
        </w:tc>
        <w:tc>
          <w:tcPr>
            <w:tcW w:w="1548" w:type="dxa"/>
            <w:gridSpan w:val="2"/>
            <w:vAlign w:val="center"/>
          </w:tcPr>
          <w:p w14:paraId="7B596242">
            <w:pPr>
              <w:jc w:val="center"/>
              <w:rPr>
                <w:rFonts w:hint="eastAsia" w:ascii="宋体" w:hAnsi="宋体" w:eastAsia="宋体" w:cs="宋体"/>
                <w:color w:val="auto"/>
                <w:highlight w:val="none"/>
              </w:rPr>
            </w:pPr>
          </w:p>
        </w:tc>
      </w:tr>
      <w:tr w14:paraId="7770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14:paraId="4B7563F4">
            <w:pPr>
              <w:jc w:val="center"/>
              <w:rPr>
                <w:rFonts w:hint="eastAsia" w:ascii="宋体" w:hAnsi="宋体" w:eastAsia="宋体" w:cs="宋体"/>
                <w:color w:val="auto"/>
                <w:highlight w:val="none"/>
              </w:rPr>
            </w:pPr>
          </w:p>
        </w:tc>
        <w:tc>
          <w:tcPr>
            <w:tcW w:w="1548" w:type="dxa"/>
            <w:vAlign w:val="center"/>
          </w:tcPr>
          <w:p w14:paraId="36CCE41D">
            <w:pPr>
              <w:jc w:val="center"/>
              <w:rPr>
                <w:rFonts w:hint="eastAsia" w:ascii="宋体" w:hAnsi="宋体" w:eastAsia="宋体" w:cs="宋体"/>
                <w:color w:val="auto"/>
                <w:highlight w:val="none"/>
              </w:rPr>
            </w:pPr>
          </w:p>
        </w:tc>
        <w:tc>
          <w:tcPr>
            <w:tcW w:w="1547" w:type="dxa"/>
            <w:gridSpan w:val="2"/>
            <w:vAlign w:val="center"/>
          </w:tcPr>
          <w:p w14:paraId="69088259">
            <w:pPr>
              <w:jc w:val="center"/>
              <w:rPr>
                <w:rFonts w:hint="eastAsia" w:ascii="宋体" w:hAnsi="宋体" w:eastAsia="宋体" w:cs="宋体"/>
                <w:color w:val="auto"/>
                <w:highlight w:val="none"/>
              </w:rPr>
            </w:pPr>
          </w:p>
        </w:tc>
        <w:tc>
          <w:tcPr>
            <w:tcW w:w="1548" w:type="dxa"/>
            <w:gridSpan w:val="2"/>
            <w:vAlign w:val="center"/>
          </w:tcPr>
          <w:p w14:paraId="0CE6843F">
            <w:pPr>
              <w:jc w:val="center"/>
              <w:rPr>
                <w:rFonts w:hint="eastAsia" w:ascii="宋体" w:hAnsi="宋体" w:eastAsia="宋体" w:cs="宋体"/>
                <w:color w:val="auto"/>
                <w:highlight w:val="none"/>
              </w:rPr>
            </w:pPr>
          </w:p>
        </w:tc>
        <w:tc>
          <w:tcPr>
            <w:tcW w:w="1547" w:type="dxa"/>
            <w:gridSpan w:val="2"/>
            <w:vAlign w:val="center"/>
          </w:tcPr>
          <w:p w14:paraId="76559AF6">
            <w:pPr>
              <w:jc w:val="center"/>
              <w:rPr>
                <w:rFonts w:hint="eastAsia" w:ascii="宋体" w:hAnsi="宋体" w:eastAsia="宋体" w:cs="宋体"/>
                <w:color w:val="auto"/>
                <w:highlight w:val="none"/>
              </w:rPr>
            </w:pPr>
          </w:p>
        </w:tc>
        <w:tc>
          <w:tcPr>
            <w:tcW w:w="1548" w:type="dxa"/>
            <w:gridSpan w:val="2"/>
            <w:vAlign w:val="center"/>
          </w:tcPr>
          <w:p w14:paraId="195B1353">
            <w:pPr>
              <w:jc w:val="center"/>
              <w:rPr>
                <w:rFonts w:hint="eastAsia" w:ascii="宋体" w:hAnsi="宋体" w:eastAsia="宋体" w:cs="宋体"/>
                <w:color w:val="auto"/>
                <w:highlight w:val="none"/>
              </w:rPr>
            </w:pPr>
          </w:p>
        </w:tc>
      </w:tr>
    </w:tbl>
    <w:p w14:paraId="7DCE0F15">
      <w:pPr>
        <w:pStyle w:val="198"/>
        <w:rPr>
          <w:rFonts w:hint="eastAsia" w:ascii="宋体" w:hAnsi="宋体" w:eastAsia="宋体" w:cs="宋体"/>
          <w:color w:val="auto"/>
          <w:highlight w:val="none"/>
        </w:rPr>
      </w:pPr>
      <w:r>
        <w:rPr>
          <w:rFonts w:hint="eastAsia" w:ascii="宋体" w:hAnsi="宋体" w:eastAsia="宋体" w:cs="宋体"/>
          <w:color w:val="auto"/>
          <w:highlight w:val="none"/>
        </w:rPr>
        <w:t>备注：附技术负责人的职称证、资格证、响应文件递交截止时间前6个月内任意1个月在现任职单位依法缴纳社会保险的凭证和已完工程中标（成交）通知书、工程合同协议书、工程竣工验收证明材料，以及供应商认为需要增加的其他证明材料</w:t>
      </w:r>
      <w:r>
        <w:rPr>
          <w:rFonts w:hint="eastAsia" w:ascii="宋体" w:hAnsi="宋体" w:eastAsia="宋体" w:cs="宋体"/>
          <w:color w:val="auto"/>
          <w:szCs w:val="21"/>
          <w:highlight w:val="none"/>
        </w:rPr>
        <w:t>扫描件</w:t>
      </w:r>
      <w:r>
        <w:rPr>
          <w:rFonts w:hint="eastAsia" w:ascii="宋体" w:hAnsi="宋体" w:eastAsia="宋体" w:cs="宋体"/>
          <w:color w:val="auto"/>
          <w:highlight w:val="none"/>
        </w:rPr>
        <w:t>，以上</w:t>
      </w:r>
      <w:r>
        <w:rPr>
          <w:rFonts w:hint="eastAsia" w:ascii="宋体" w:hAnsi="宋体" w:eastAsia="宋体" w:cs="宋体"/>
          <w:color w:val="auto"/>
          <w:szCs w:val="21"/>
          <w:highlight w:val="none"/>
        </w:rPr>
        <w:t>扫描件</w:t>
      </w:r>
      <w:r>
        <w:rPr>
          <w:rFonts w:hint="eastAsia" w:ascii="宋体" w:hAnsi="宋体" w:eastAsia="宋体" w:cs="宋体"/>
          <w:color w:val="auto"/>
          <w:highlight w:val="none"/>
        </w:rPr>
        <w:t>均须加盖</w:t>
      </w:r>
      <w:r>
        <w:rPr>
          <w:rFonts w:hint="eastAsia" w:ascii="宋体" w:hAnsi="宋体" w:eastAsia="宋体" w:cs="宋体"/>
          <w:color w:val="auto"/>
          <w:szCs w:val="21"/>
          <w:highlight w:val="none"/>
        </w:rPr>
        <w:t>供应商电子签章</w:t>
      </w:r>
      <w:r>
        <w:rPr>
          <w:rFonts w:hint="eastAsia" w:ascii="宋体" w:hAnsi="宋体" w:eastAsia="宋体" w:cs="宋体"/>
          <w:color w:val="auto"/>
          <w:highlight w:val="none"/>
        </w:rPr>
        <w:t>。</w:t>
      </w:r>
    </w:p>
    <w:p w14:paraId="50253E38">
      <w:pPr>
        <w:pStyle w:val="198"/>
        <w:rPr>
          <w:rFonts w:hint="eastAsia" w:ascii="宋体" w:hAnsi="宋体" w:eastAsia="宋体" w:cs="宋体"/>
          <w:color w:val="auto"/>
          <w:highlight w:val="none"/>
        </w:rPr>
      </w:pPr>
    </w:p>
    <w:p w14:paraId="3A8F96ED">
      <w:pPr>
        <w:pStyle w:val="198"/>
        <w:rPr>
          <w:rFonts w:hint="eastAsia" w:ascii="宋体" w:hAnsi="宋体" w:eastAsia="宋体" w:cs="宋体"/>
          <w:color w:val="auto"/>
          <w:highlight w:val="none"/>
        </w:rPr>
      </w:pPr>
    </w:p>
    <w:p w14:paraId="54933763">
      <w:pPr>
        <w:pStyle w:val="198"/>
        <w:jc w:val="left"/>
        <w:rPr>
          <w:rFonts w:hint="eastAsia" w:ascii="宋体" w:hAnsi="宋体" w:eastAsia="宋体" w:cs="宋体"/>
          <w:color w:val="auto"/>
          <w:highlight w:val="none"/>
        </w:rPr>
      </w:pPr>
      <w:r>
        <w:rPr>
          <w:rFonts w:hint="eastAsia" w:ascii="宋体" w:hAnsi="宋体" w:eastAsia="宋体" w:cs="宋体"/>
          <w:color w:val="auto"/>
          <w:highlight w:val="none"/>
        </w:rPr>
        <w:t>8.4项目管理机构其他人员配备情况表</w:t>
      </w:r>
    </w:p>
    <w:tbl>
      <w:tblPr>
        <w:tblStyle w:val="5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72CC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6748C843">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vAlign w:val="center"/>
          </w:tcPr>
          <w:p w14:paraId="7D7D6F01">
            <w:pPr>
              <w:ind w:left="223" w:hanging="222" w:hangingChars="106"/>
              <w:jc w:val="center"/>
              <w:rPr>
                <w:rFonts w:hint="eastAsia" w:ascii="宋体" w:hAnsi="宋体" w:eastAsia="宋体" w:cs="宋体"/>
                <w:color w:val="auto"/>
                <w:highlight w:val="none"/>
              </w:rPr>
            </w:pPr>
            <w:bookmarkStart w:id="212" w:name="_Toc251052187"/>
            <w:r>
              <w:rPr>
                <w:rFonts w:hint="eastAsia" w:ascii="宋体" w:hAnsi="宋体" w:eastAsia="宋体" w:cs="宋体"/>
                <w:color w:val="auto"/>
                <w:highlight w:val="none"/>
              </w:rPr>
              <w:t>姓名</w:t>
            </w:r>
            <w:bookmarkEnd w:id="212"/>
          </w:p>
        </w:tc>
        <w:tc>
          <w:tcPr>
            <w:tcW w:w="816" w:type="dxa"/>
            <w:vMerge w:val="restart"/>
            <w:vAlign w:val="center"/>
          </w:tcPr>
          <w:p w14:paraId="478853B1">
            <w:pPr>
              <w:ind w:left="223" w:hanging="222" w:hangingChars="106"/>
              <w:jc w:val="center"/>
              <w:rPr>
                <w:rFonts w:hint="eastAsia" w:ascii="宋体" w:hAnsi="宋体" w:eastAsia="宋体" w:cs="宋体"/>
                <w:color w:val="auto"/>
                <w:highlight w:val="none"/>
              </w:rPr>
            </w:pPr>
            <w:bookmarkStart w:id="213" w:name="_Toc251052188"/>
            <w:r>
              <w:rPr>
                <w:rFonts w:hint="eastAsia" w:ascii="宋体" w:hAnsi="宋体" w:eastAsia="宋体" w:cs="宋体"/>
                <w:color w:val="auto"/>
                <w:highlight w:val="none"/>
              </w:rPr>
              <w:t>职称</w:t>
            </w:r>
            <w:bookmarkEnd w:id="213"/>
          </w:p>
        </w:tc>
        <w:tc>
          <w:tcPr>
            <w:tcW w:w="4592" w:type="dxa"/>
            <w:gridSpan w:val="4"/>
            <w:vAlign w:val="center"/>
          </w:tcPr>
          <w:p w14:paraId="1E40AAE0">
            <w:pPr>
              <w:ind w:left="223" w:hanging="222" w:hangingChars="106"/>
              <w:jc w:val="center"/>
              <w:rPr>
                <w:rFonts w:hint="eastAsia" w:ascii="宋体" w:hAnsi="宋体" w:eastAsia="宋体" w:cs="宋体"/>
                <w:color w:val="auto"/>
                <w:highlight w:val="none"/>
              </w:rPr>
            </w:pPr>
            <w:bookmarkStart w:id="214" w:name="_Toc251052189"/>
            <w:r>
              <w:rPr>
                <w:rFonts w:hint="eastAsia" w:ascii="宋体" w:hAnsi="宋体" w:eastAsia="宋体" w:cs="宋体"/>
                <w:color w:val="auto"/>
                <w:highlight w:val="none"/>
              </w:rPr>
              <w:t>执业或职业资格证明</w:t>
            </w:r>
            <w:bookmarkEnd w:id="214"/>
          </w:p>
        </w:tc>
        <w:tc>
          <w:tcPr>
            <w:tcW w:w="2126" w:type="dxa"/>
            <w:gridSpan w:val="2"/>
            <w:vAlign w:val="center"/>
          </w:tcPr>
          <w:p w14:paraId="17878BC8">
            <w:pPr>
              <w:ind w:left="223" w:hanging="222" w:hangingChars="106"/>
              <w:jc w:val="center"/>
              <w:rPr>
                <w:rFonts w:hint="eastAsia" w:ascii="宋体" w:hAnsi="宋体" w:eastAsia="宋体" w:cs="宋体"/>
                <w:color w:val="auto"/>
                <w:highlight w:val="none"/>
              </w:rPr>
            </w:pPr>
            <w:bookmarkStart w:id="215" w:name="_Toc251052190"/>
            <w:r>
              <w:rPr>
                <w:rFonts w:hint="eastAsia" w:ascii="宋体" w:hAnsi="宋体" w:eastAsia="宋体" w:cs="宋体"/>
                <w:color w:val="auto"/>
                <w:highlight w:val="none"/>
              </w:rPr>
              <w:t>承担完工</w:t>
            </w:r>
            <w:bookmarkEnd w:id="215"/>
            <w:bookmarkStart w:id="216" w:name="_Toc251052191"/>
            <w:r>
              <w:rPr>
                <w:rFonts w:hint="eastAsia" w:ascii="宋体" w:hAnsi="宋体" w:eastAsia="宋体" w:cs="宋体"/>
                <w:color w:val="auto"/>
                <w:highlight w:val="none"/>
              </w:rPr>
              <w:t>工程情况</w:t>
            </w:r>
            <w:bookmarkEnd w:id="216"/>
          </w:p>
        </w:tc>
      </w:tr>
      <w:tr w14:paraId="1CBA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3B4AF44A">
            <w:pPr>
              <w:ind w:left="223" w:hanging="222" w:hangingChars="106"/>
              <w:jc w:val="center"/>
              <w:rPr>
                <w:rFonts w:hint="eastAsia" w:ascii="宋体" w:hAnsi="宋体" w:eastAsia="宋体" w:cs="宋体"/>
                <w:color w:val="auto"/>
                <w:highlight w:val="none"/>
              </w:rPr>
            </w:pPr>
          </w:p>
        </w:tc>
        <w:tc>
          <w:tcPr>
            <w:tcW w:w="829" w:type="dxa"/>
            <w:vMerge w:val="continue"/>
            <w:vAlign w:val="center"/>
          </w:tcPr>
          <w:p w14:paraId="2A77207B">
            <w:pPr>
              <w:ind w:left="223" w:hanging="222" w:hangingChars="106"/>
              <w:jc w:val="center"/>
              <w:rPr>
                <w:rFonts w:hint="eastAsia" w:ascii="宋体" w:hAnsi="宋体" w:eastAsia="宋体" w:cs="宋体"/>
                <w:color w:val="auto"/>
                <w:highlight w:val="none"/>
              </w:rPr>
            </w:pPr>
          </w:p>
        </w:tc>
        <w:tc>
          <w:tcPr>
            <w:tcW w:w="816" w:type="dxa"/>
            <w:vMerge w:val="continue"/>
            <w:vAlign w:val="center"/>
          </w:tcPr>
          <w:p w14:paraId="6FF15010">
            <w:pPr>
              <w:ind w:left="223" w:hanging="222" w:hangingChars="106"/>
              <w:jc w:val="center"/>
              <w:rPr>
                <w:rFonts w:hint="eastAsia" w:ascii="宋体" w:hAnsi="宋体" w:eastAsia="宋体" w:cs="宋体"/>
                <w:color w:val="auto"/>
                <w:highlight w:val="none"/>
              </w:rPr>
            </w:pPr>
          </w:p>
        </w:tc>
        <w:tc>
          <w:tcPr>
            <w:tcW w:w="1148" w:type="dxa"/>
            <w:vAlign w:val="center"/>
          </w:tcPr>
          <w:p w14:paraId="14EBB056">
            <w:pPr>
              <w:ind w:left="223" w:hanging="222" w:hangingChars="106"/>
              <w:jc w:val="center"/>
              <w:rPr>
                <w:rFonts w:hint="eastAsia" w:ascii="宋体" w:hAnsi="宋体" w:eastAsia="宋体" w:cs="宋体"/>
                <w:color w:val="auto"/>
                <w:highlight w:val="none"/>
              </w:rPr>
            </w:pPr>
            <w:bookmarkStart w:id="217" w:name="_Toc251052192"/>
            <w:r>
              <w:rPr>
                <w:rFonts w:hint="eastAsia" w:ascii="宋体" w:hAnsi="宋体" w:eastAsia="宋体" w:cs="宋体"/>
                <w:color w:val="auto"/>
                <w:highlight w:val="none"/>
              </w:rPr>
              <w:t>证书名称</w:t>
            </w:r>
            <w:bookmarkEnd w:id="217"/>
          </w:p>
        </w:tc>
        <w:tc>
          <w:tcPr>
            <w:tcW w:w="1148" w:type="dxa"/>
            <w:vAlign w:val="center"/>
          </w:tcPr>
          <w:p w14:paraId="47FBDD1F">
            <w:pPr>
              <w:ind w:left="223" w:hanging="222" w:hangingChars="106"/>
              <w:jc w:val="center"/>
              <w:rPr>
                <w:rFonts w:hint="eastAsia" w:ascii="宋体" w:hAnsi="宋体" w:eastAsia="宋体" w:cs="宋体"/>
                <w:color w:val="auto"/>
                <w:highlight w:val="none"/>
              </w:rPr>
            </w:pPr>
            <w:bookmarkStart w:id="218" w:name="_Toc251052193"/>
            <w:r>
              <w:rPr>
                <w:rFonts w:hint="eastAsia" w:ascii="宋体" w:hAnsi="宋体" w:eastAsia="宋体" w:cs="宋体"/>
                <w:color w:val="auto"/>
                <w:highlight w:val="none"/>
              </w:rPr>
              <w:t>级别</w:t>
            </w:r>
            <w:bookmarkEnd w:id="218"/>
          </w:p>
        </w:tc>
        <w:tc>
          <w:tcPr>
            <w:tcW w:w="1148" w:type="dxa"/>
            <w:vAlign w:val="center"/>
          </w:tcPr>
          <w:p w14:paraId="36404D74">
            <w:pPr>
              <w:ind w:left="223" w:hanging="222" w:hangingChars="106"/>
              <w:jc w:val="center"/>
              <w:rPr>
                <w:rFonts w:hint="eastAsia" w:ascii="宋体" w:hAnsi="宋体" w:eastAsia="宋体" w:cs="宋体"/>
                <w:color w:val="auto"/>
                <w:highlight w:val="none"/>
              </w:rPr>
            </w:pPr>
            <w:bookmarkStart w:id="219" w:name="_Toc251052194"/>
            <w:r>
              <w:rPr>
                <w:rFonts w:hint="eastAsia" w:ascii="宋体" w:hAnsi="宋体" w:eastAsia="宋体" w:cs="宋体"/>
                <w:color w:val="auto"/>
                <w:highlight w:val="none"/>
              </w:rPr>
              <w:t>证号</w:t>
            </w:r>
            <w:bookmarkEnd w:id="219"/>
          </w:p>
        </w:tc>
        <w:tc>
          <w:tcPr>
            <w:tcW w:w="1148" w:type="dxa"/>
            <w:vAlign w:val="center"/>
          </w:tcPr>
          <w:p w14:paraId="5AF2943D">
            <w:pPr>
              <w:ind w:left="223" w:hanging="222" w:hangingChars="106"/>
              <w:jc w:val="center"/>
              <w:rPr>
                <w:rFonts w:hint="eastAsia" w:ascii="宋体" w:hAnsi="宋体" w:eastAsia="宋体" w:cs="宋体"/>
                <w:color w:val="auto"/>
                <w:highlight w:val="none"/>
              </w:rPr>
            </w:pPr>
            <w:bookmarkStart w:id="220" w:name="_Toc251052195"/>
            <w:r>
              <w:rPr>
                <w:rFonts w:hint="eastAsia" w:ascii="宋体" w:hAnsi="宋体" w:eastAsia="宋体" w:cs="宋体"/>
                <w:color w:val="auto"/>
                <w:highlight w:val="none"/>
              </w:rPr>
              <w:t>专业</w:t>
            </w:r>
            <w:bookmarkEnd w:id="220"/>
          </w:p>
        </w:tc>
        <w:tc>
          <w:tcPr>
            <w:tcW w:w="850" w:type="dxa"/>
            <w:vAlign w:val="center"/>
          </w:tcPr>
          <w:p w14:paraId="5B485DF3">
            <w:pPr>
              <w:ind w:left="223" w:hanging="222" w:hangingChars="106"/>
              <w:jc w:val="center"/>
              <w:rPr>
                <w:rFonts w:hint="eastAsia" w:ascii="宋体" w:hAnsi="宋体" w:eastAsia="宋体" w:cs="宋体"/>
                <w:color w:val="auto"/>
                <w:highlight w:val="none"/>
              </w:rPr>
            </w:pPr>
            <w:bookmarkStart w:id="221" w:name="_Toc251052197"/>
            <w:r>
              <w:rPr>
                <w:rFonts w:hint="eastAsia" w:ascii="宋体" w:hAnsi="宋体" w:eastAsia="宋体" w:cs="宋体"/>
                <w:color w:val="auto"/>
                <w:highlight w:val="none"/>
              </w:rPr>
              <w:t>项目数</w:t>
            </w:r>
            <w:bookmarkEnd w:id="221"/>
          </w:p>
        </w:tc>
        <w:tc>
          <w:tcPr>
            <w:tcW w:w="1276" w:type="dxa"/>
            <w:vAlign w:val="center"/>
          </w:tcPr>
          <w:p w14:paraId="4D032703">
            <w:pPr>
              <w:ind w:left="223" w:hanging="222" w:hangingChars="106"/>
              <w:jc w:val="center"/>
              <w:rPr>
                <w:rFonts w:hint="eastAsia" w:ascii="宋体" w:hAnsi="宋体" w:eastAsia="宋体" w:cs="宋体"/>
                <w:color w:val="auto"/>
                <w:highlight w:val="none"/>
              </w:rPr>
            </w:pPr>
            <w:bookmarkStart w:id="222" w:name="_Toc251052198"/>
            <w:r>
              <w:rPr>
                <w:rFonts w:hint="eastAsia" w:ascii="宋体" w:hAnsi="宋体" w:eastAsia="宋体" w:cs="宋体"/>
                <w:color w:val="auto"/>
                <w:highlight w:val="none"/>
              </w:rPr>
              <w:t>主要项目</w:t>
            </w:r>
          </w:p>
          <w:p w14:paraId="29BBC5CA">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名称</w:t>
            </w:r>
            <w:bookmarkEnd w:id="222"/>
          </w:p>
        </w:tc>
      </w:tr>
      <w:tr w14:paraId="68A7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1D614EA2">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施工员</w:t>
            </w:r>
          </w:p>
        </w:tc>
        <w:tc>
          <w:tcPr>
            <w:tcW w:w="829" w:type="dxa"/>
            <w:vAlign w:val="center"/>
          </w:tcPr>
          <w:p w14:paraId="4AB12667">
            <w:pPr>
              <w:ind w:left="223" w:hanging="222" w:hangingChars="106"/>
              <w:jc w:val="center"/>
              <w:rPr>
                <w:rFonts w:hint="eastAsia" w:ascii="宋体" w:hAnsi="宋体" w:eastAsia="宋体" w:cs="宋体"/>
                <w:color w:val="auto"/>
                <w:highlight w:val="none"/>
              </w:rPr>
            </w:pPr>
          </w:p>
        </w:tc>
        <w:tc>
          <w:tcPr>
            <w:tcW w:w="816" w:type="dxa"/>
            <w:vAlign w:val="center"/>
          </w:tcPr>
          <w:p w14:paraId="54CF526E">
            <w:pPr>
              <w:ind w:left="223" w:hanging="222" w:hangingChars="106"/>
              <w:jc w:val="center"/>
              <w:rPr>
                <w:rFonts w:hint="eastAsia" w:ascii="宋体" w:hAnsi="宋体" w:eastAsia="宋体" w:cs="宋体"/>
                <w:color w:val="auto"/>
                <w:highlight w:val="none"/>
              </w:rPr>
            </w:pPr>
          </w:p>
        </w:tc>
        <w:tc>
          <w:tcPr>
            <w:tcW w:w="1148" w:type="dxa"/>
            <w:vAlign w:val="center"/>
          </w:tcPr>
          <w:p w14:paraId="043F2984">
            <w:pPr>
              <w:ind w:left="223" w:hanging="222" w:hangingChars="106"/>
              <w:jc w:val="center"/>
              <w:rPr>
                <w:rFonts w:hint="eastAsia" w:ascii="宋体" w:hAnsi="宋体" w:eastAsia="宋体" w:cs="宋体"/>
                <w:color w:val="auto"/>
                <w:highlight w:val="none"/>
              </w:rPr>
            </w:pPr>
          </w:p>
        </w:tc>
        <w:tc>
          <w:tcPr>
            <w:tcW w:w="1148" w:type="dxa"/>
            <w:vAlign w:val="center"/>
          </w:tcPr>
          <w:p w14:paraId="74FDE77F">
            <w:pPr>
              <w:ind w:left="223" w:hanging="222" w:hangingChars="106"/>
              <w:jc w:val="center"/>
              <w:rPr>
                <w:rFonts w:hint="eastAsia" w:ascii="宋体" w:hAnsi="宋体" w:eastAsia="宋体" w:cs="宋体"/>
                <w:color w:val="auto"/>
                <w:highlight w:val="none"/>
              </w:rPr>
            </w:pPr>
          </w:p>
        </w:tc>
        <w:tc>
          <w:tcPr>
            <w:tcW w:w="1148" w:type="dxa"/>
            <w:vAlign w:val="center"/>
          </w:tcPr>
          <w:p w14:paraId="32E8A20C">
            <w:pPr>
              <w:ind w:left="223" w:hanging="222" w:hangingChars="106"/>
              <w:jc w:val="center"/>
              <w:rPr>
                <w:rFonts w:hint="eastAsia" w:ascii="宋体" w:hAnsi="宋体" w:eastAsia="宋体" w:cs="宋体"/>
                <w:color w:val="auto"/>
                <w:highlight w:val="none"/>
              </w:rPr>
            </w:pPr>
          </w:p>
        </w:tc>
        <w:tc>
          <w:tcPr>
            <w:tcW w:w="1148" w:type="dxa"/>
            <w:vAlign w:val="center"/>
          </w:tcPr>
          <w:p w14:paraId="649CC127">
            <w:pPr>
              <w:ind w:left="223" w:hanging="222" w:hangingChars="106"/>
              <w:jc w:val="center"/>
              <w:rPr>
                <w:rFonts w:hint="eastAsia" w:ascii="宋体" w:hAnsi="宋体" w:eastAsia="宋体" w:cs="宋体"/>
                <w:color w:val="auto"/>
                <w:highlight w:val="none"/>
              </w:rPr>
            </w:pPr>
          </w:p>
        </w:tc>
        <w:tc>
          <w:tcPr>
            <w:tcW w:w="850" w:type="dxa"/>
            <w:vAlign w:val="center"/>
          </w:tcPr>
          <w:p w14:paraId="1D2C8192">
            <w:pPr>
              <w:ind w:left="223" w:hanging="222" w:hangingChars="106"/>
              <w:jc w:val="center"/>
              <w:rPr>
                <w:rFonts w:hint="eastAsia" w:ascii="宋体" w:hAnsi="宋体" w:eastAsia="宋体" w:cs="宋体"/>
                <w:color w:val="auto"/>
                <w:highlight w:val="none"/>
              </w:rPr>
            </w:pPr>
          </w:p>
        </w:tc>
        <w:tc>
          <w:tcPr>
            <w:tcW w:w="1276" w:type="dxa"/>
            <w:vAlign w:val="center"/>
          </w:tcPr>
          <w:p w14:paraId="350E829A">
            <w:pPr>
              <w:ind w:left="223" w:hanging="222" w:hangingChars="106"/>
              <w:jc w:val="center"/>
              <w:rPr>
                <w:rFonts w:hint="eastAsia" w:ascii="宋体" w:hAnsi="宋体" w:eastAsia="宋体" w:cs="宋体"/>
                <w:color w:val="auto"/>
                <w:highlight w:val="none"/>
              </w:rPr>
            </w:pPr>
          </w:p>
        </w:tc>
      </w:tr>
      <w:tr w14:paraId="36FB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F45D3B2">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质量员</w:t>
            </w:r>
          </w:p>
        </w:tc>
        <w:tc>
          <w:tcPr>
            <w:tcW w:w="829" w:type="dxa"/>
            <w:vAlign w:val="center"/>
          </w:tcPr>
          <w:p w14:paraId="658CBA96">
            <w:pPr>
              <w:ind w:left="223" w:hanging="222" w:hangingChars="106"/>
              <w:jc w:val="center"/>
              <w:rPr>
                <w:rFonts w:hint="eastAsia" w:ascii="宋体" w:hAnsi="宋体" w:eastAsia="宋体" w:cs="宋体"/>
                <w:color w:val="auto"/>
                <w:highlight w:val="none"/>
              </w:rPr>
            </w:pPr>
          </w:p>
        </w:tc>
        <w:tc>
          <w:tcPr>
            <w:tcW w:w="816" w:type="dxa"/>
            <w:vAlign w:val="center"/>
          </w:tcPr>
          <w:p w14:paraId="406D4F27">
            <w:pPr>
              <w:ind w:left="223" w:hanging="222" w:hangingChars="106"/>
              <w:jc w:val="center"/>
              <w:rPr>
                <w:rFonts w:hint="eastAsia" w:ascii="宋体" w:hAnsi="宋体" w:eastAsia="宋体" w:cs="宋体"/>
                <w:color w:val="auto"/>
                <w:highlight w:val="none"/>
              </w:rPr>
            </w:pPr>
          </w:p>
        </w:tc>
        <w:tc>
          <w:tcPr>
            <w:tcW w:w="1148" w:type="dxa"/>
            <w:vAlign w:val="center"/>
          </w:tcPr>
          <w:p w14:paraId="3D655FA7">
            <w:pPr>
              <w:ind w:left="223" w:hanging="222" w:hangingChars="106"/>
              <w:jc w:val="center"/>
              <w:rPr>
                <w:rFonts w:hint="eastAsia" w:ascii="宋体" w:hAnsi="宋体" w:eastAsia="宋体" w:cs="宋体"/>
                <w:color w:val="auto"/>
                <w:highlight w:val="none"/>
              </w:rPr>
            </w:pPr>
          </w:p>
        </w:tc>
        <w:tc>
          <w:tcPr>
            <w:tcW w:w="1148" w:type="dxa"/>
            <w:vAlign w:val="center"/>
          </w:tcPr>
          <w:p w14:paraId="254103AD">
            <w:pPr>
              <w:ind w:left="223" w:hanging="222" w:hangingChars="106"/>
              <w:jc w:val="center"/>
              <w:rPr>
                <w:rFonts w:hint="eastAsia" w:ascii="宋体" w:hAnsi="宋体" w:eastAsia="宋体" w:cs="宋体"/>
                <w:color w:val="auto"/>
                <w:highlight w:val="none"/>
              </w:rPr>
            </w:pPr>
          </w:p>
        </w:tc>
        <w:tc>
          <w:tcPr>
            <w:tcW w:w="1148" w:type="dxa"/>
            <w:vAlign w:val="center"/>
          </w:tcPr>
          <w:p w14:paraId="42CB5698">
            <w:pPr>
              <w:ind w:left="223" w:hanging="222" w:hangingChars="106"/>
              <w:jc w:val="center"/>
              <w:rPr>
                <w:rFonts w:hint="eastAsia" w:ascii="宋体" w:hAnsi="宋体" w:eastAsia="宋体" w:cs="宋体"/>
                <w:color w:val="auto"/>
                <w:highlight w:val="none"/>
              </w:rPr>
            </w:pPr>
          </w:p>
        </w:tc>
        <w:tc>
          <w:tcPr>
            <w:tcW w:w="1148" w:type="dxa"/>
            <w:vAlign w:val="center"/>
          </w:tcPr>
          <w:p w14:paraId="66A8C6E4">
            <w:pPr>
              <w:ind w:left="223" w:hanging="222" w:hangingChars="106"/>
              <w:jc w:val="center"/>
              <w:rPr>
                <w:rFonts w:hint="eastAsia" w:ascii="宋体" w:hAnsi="宋体" w:eastAsia="宋体" w:cs="宋体"/>
                <w:color w:val="auto"/>
                <w:highlight w:val="none"/>
              </w:rPr>
            </w:pPr>
          </w:p>
        </w:tc>
        <w:tc>
          <w:tcPr>
            <w:tcW w:w="850" w:type="dxa"/>
            <w:vAlign w:val="center"/>
          </w:tcPr>
          <w:p w14:paraId="1796666B">
            <w:pPr>
              <w:ind w:left="223" w:hanging="222" w:hangingChars="106"/>
              <w:jc w:val="center"/>
              <w:rPr>
                <w:rFonts w:hint="eastAsia" w:ascii="宋体" w:hAnsi="宋体" w:eastAsia="宋体" w:cs="宋体"/>
                <w:color w:val="auto"/>
                <w:highlight w:val="none"/>
              </w:rPr>
            </w:pPr>
          </w:p>
        </w:tc>
        <w:tc>
          <w:tcPr>
            <w:tcW w:w="1276" w:type="dxa"/>
            <w:vAlign w:val="center"/>
          </w:tcPr>
          <w:p w14:paraId="155C52C0">
            <w:pPr>
              <w:ind w:left="223" w:hanging="222" w:hangingChars="106"/>
              <w:jc w:val="center"/>
              <w:rPr>
                <w:rFonts w:hint="eastAsia" w:ascii="宋体" w:hAnsi="宋体" w:eastAsia="宋体" w:cs="宋体"/>
                <w:color w:val="auto"/>
                <w:highlight w:val="none"/>
              </w:rPr>
            </w:pPr>
          </w:p>
        </w:tc>
      </w:tr>
      <w:tr w14:paraId="45BD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0074978B">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安全员</w:t>
            </w:r>
          </w:p>
        </w:tc>
        <w:tc>
          <w:tcPr>
            <w:tcW w:w="829" w:type="dxa"/>
            <w:vAlign w:val="center"/>
          </w:tcPr>
          <w:p w14:paraId="2B48FBBF">
            <w:pPr>
              <w:ind w:left="223" w:hanging="222" w:hangingChars="106"/>
              <w:jc w:val="center"/>
              <w:rPr>
                <w:rFonts w:hint="eastAsia" w:ascii="宋体" w:hAnsi="宋体" w:eastAsia="宋体" w:cs="宋体"/>
                <w:color w:val="auto"/>
                <w:highlight w:val="none"/>
              </w:rPr>
            </w:pPr>
          </w:p>
        </w:tc>
        <w:tc>
          <w:tcPr>
            <w:tcW w:w="816" w:type="dxa"/>
            <w:vAlign w:val="center"/>
          </w:tcPr>
          <w:p w14:paraId="5AAC9BFA">
            <w:pPr>
              <w:ind w:left="223" w:hanging="222" w:hangingChars="106"/>
              <w:jc w:val="center"/>
              <w:rPr>
                <w:rFonts w:hint="eastAsia" w:ascii="宋体" w:hAnsi="宋体" w:eastAsia="宋体" w:cs="宋体"/>
                <w:color w:val="auto"/>
                <w:highlight w:val="none"/>
              </w:rPr>
            </w:pPr>
          </w:p>
        </w:tc>
        <w:tc>
          <w:tcPr>
            <w:tcW w:w="1148" w:type="dxa"/>
            <w:vAlign w:val="center"/>
          </w:tcPr>
          <w:p w14:paraId="1626D7FA">
            <w:pPr>
              <w:ind w:left="223" w:hanging="222" w:hangingChars="106"/>
              <w:jc w:val="center"/>
              <w:rPr>
                <w:rFonts w:hint="eastAsia" w:ascii="宋体" w:hAnsi="宋体" w:eastAsia="宋体" w:cs="宋体"/>
                <w:color w:val="auto"/>
                <w:highlight w:val="none"/>
              </w:rPr>
            </w:pPr>
          </w:p>
        </w:tc>
        <w:tc>
          <w:tcPr>
            <w:tcW w:w="1148" w:type="dxa"/>
            <w:vAlign w:val="center"/>
          </w:tcPr>
          <w:p w14:paraId="2AACB4A5">
            <w:pPr>
              <w:ind w:left="223" w:hanging="222" w:hangingChars="106"/>
              <w:jc w:val="center"/>
              <w:rPr>
                <w:rFonts w:hint="eastAsia" w:ascii="宋体" w:hAnsi="宋体" w:eastAsia="宋体" w:cs="宋体"/>
                <w:color w:val="auto"/>
                <w:highlight w:val="none"/>
              </w:rPr>
            </w:pPr>
          </w:p>
        </w:tc>
        <w:tc>
          <w:tcPr>
            <w:tcW w:w="1148" w:type="dxa"/>
            <w:vAlign w:val="center"/>
          </w:tcPr>
          <w:p w14:paraId="63A8659E">
            <w:pPr>
              <w:ind w:left="223" w:hanging="222" w:hangingChars="106"/>
              <w:jc w:val="center"/>
              <w:rPr>
                <w:rFonts w:hint="eastAsia" w:ascii="宋体" w:hAnsi="宋体" w:eastAsia="宋体" w:cs="宋体"/>
                <w:color w:val="auto"/>
                <w:highlight w:val="none"/>
              </w:rPr>
            </w:pPr>
          </w:p>
        </w:tc>
        <w:tc>
          <w:tcPr>
            <w:tcW w:w="1148" w:type="dxa"/>
            <w:vAlign w:val="center"/>
          </w:tcPr>
          <w:p w14:paraId="34E5DA5A">
            <w:pPr>
              <w:ind w:left="223" w:hanging="222" w:hangingChars="106"/>
              <w:jc w:val="center"/>
              <w:rPr>
                <w:rFonts w:hint="eastAsia" w:ascii="宋体" w:hAnsi="宋体" w:eastAsia="宋体" w:cs="宋体"/>
                <w:color w:val="auto"/>
                <w:highlight w:val="none"/>
              </w:rPr>
            </w:pPr>
          </w:p>
        </w:tc>
        <w:tc>
          <w:tcPr>
            <w:tcW w:w="850" w:type="dxa"/>
            <w:vAlign w:val="center"/>
          </w:tcPr>
          <w:p w14:paraId="7FB9AFB5">
            <w:pPr>
              <w:ind w:left="223" w:hanging="222" w:hangingChars="106"/>
              <w:jc w:val="center"/>
              <w:rPr>
                <w:rFonts w:hint="eastAsia" w:ascii="宋体" w:hAnsi="宋体" w:eastAsia="宋体" w:cs="宋体"/>
                <w:color w:val="auto"/>
                <w:highlight w:val="none"/>
              </w:rPr>
            </w:pPr>
          </w:p>
        </w:tc>
        <w:tc>
          <w:tcPr>
            <w:tcW w:w="1276" w:type="dxa"/>
            <w:vAlign w:val="center"/>
          </w:tcPr>
          <w:p w14:paraId="0524EE1A">
            <w:pPr>
              <w:ind w:left="223" w:hanging="222" w:hangingChars="106"/>
              <w:jc w:val="center"/>
              <w:rPr>
                <w:rFonts w:hint="eastAsia" w:ascii="宋体" w:hAnsi="宋体" w:eastAsia="宋体" w:cs="宋体"/>
                <w:color w:val="auto"/>
                <w:highlight w:val="none"/>
              </w:rPr>
            </w:pPr>
          </w:p>
        </w:tc>
      </w:tr>
      <w:tr w14:paraId="1E69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401A0A4E">
            <w:pPr>
              <w:ind w:left="223" w:hanging="222" w:hangingChars="106"/>
              <w:jc w:val="center"/>
              <w:rPr>
                <w:rFonts w:hint="eastAsia" w:ascii="宋体" w:hAnsi="宋体" w:eastAsia="宋体" w:cs="宋体"/>
                <w:color w:val="auto"/>
                <w:szCs w:val="21"/>
                <w:highlight w:val="none"/>
              </w:rPr>
            </w:pPr>
          </w:p>
        </w:tc>
        <w:tc>
          <w:tcPr>
            <w:tcW w:w="829" w:type="dxa"/>
            <w:vAlign w:val="center"/>
          </w:tcPr>
          <w:p w14:paraId="48787F2C">
            <w:pPr>
              <w:ind w:left="223" w:hanging="222" w:hangingChars="106"/>
              <w:jc w:val="center"/>
              <w:rPr>
                <w:rFonts w:hint="eastAsia" w:ascii="宋体" w:hAnsi="宋体" w:eastAsia="宋体" w:cs="宋体"/>
                <w:color w:val="auto"/>
                <w:highlight w:val="none"/>
              </w:rPr>
            </w:pPr>
          </w:p>
        </w:tc>
        <w:tc>
          <w:tcPr>
            <w:tcW w:w="816" w:type="dxa"/>
            <w:vAlign w:val="center"/>
          </w:tcPr>
          <w:p w14:paraId="291AEE1D">
            <w:pPr>
              <w:ind w:left="223" w:hanging="222" w:hangingChars="106"/>
              <w:jc w:val="center"/>
              <w:rPr>
                <w:rFonts w:hint="eastAsia" w:ascii="宋体" w:hAnsi="宋体" w:eastAsia="宋体" w:cs="宋体"/>
                <w:color w:val="auto"/>
                <w:highlight w:val="none"/>
              </w:rPr>
            </w:pPr>
          </w:p>
        </w:tc>
        <w:tc>
          <w:tcPr>
            <w:tcW w:w="1148" w:type="dxa"/>
            <w:vAlign w:val="center"/>
          </w:tcPr>
          <w:p w14:paraId="7C599507">
            <w:pPr>
              <w:ind w:left="223" w:hanging="222" w:hangingChars="106"/>
              <w:jc w:val="center"/>
              <w:rPr>
                <w:rFonts w:hint="eastAsia" w:ascii="宋体" w:hAnsi="宋体" w:eastAsia="宋体" w:cs="宋体"/>
                <w:color w:val="auto"/>
                <w:highlight w:val="none"/>
              </w:rPr>
            </w:pPr>
          </w:p>
        </w:tc>
        <w:tc>
          <w:tcPr>
            <w:tcW w:w="1148" w:type="dxa"/>
            <w:vAlign w:val="center"/>
          </w:tcPr>
          <w:p w14:paraId="79B58683">
            <w:pPr>
              <w:ind w:left="223" w:hanging="222" w:hangingChars="106"/>
              <w:jc w:val="center"/>
              <w:rPr>
                <w:rFonts w:hint="eastAsia" w:ascii="宋体" w:hAnsi="宋体" w:eastAsia="宋体" w:cs="宋体"/>
                <w:color w:val="auto"/>
                <w:highlight w:val="none"/>
              </w:rPr>
            </w:pPr>
          </w:p>
        </w:tc>
        <w:tc>
          <w:tcPr>
            <w:tcW w:w="1148" w:type="dxa"/>
            <w:vAlign w:val="center"/>
          </w:tcPr>
          <w:p w14:paraId="2A3DA794">
            <w:pPr>
              <w:ind w:left="223" w:hanging="222" w:hangingChars="106"/>
              <w:jc w:val="center"/>
              <w:rPr>
                <w:rFonts w:hint="eastAsia" w:ascii="宋体" w:hAnsi="宋体" w:eastAsia="宋体" w:cs="宋体"/>
                <w:color w:val="auto"/>
                <w:highlight w:val="none"/>
              </w:rPr>
            </w:pPr>
          </w:p>
        </w:tc>
        <w:tc>
          <w:tcPr>
            <w:tcW w:w="1148" w:type="dxa"/>
            <w:vAlign w:val="center"/>
          </w:tcPr>
          <w:p w14:paraId="23D3BA97">
            <w:pPr>
              <w:ind w:left="223" w:hanging="222" w:hangingChars="106"/>
              <w:jc w:val="center"/>
              <w:rPr>
                <w:rFonts w:hint="eastAsia" w:ascii="宋体" w:hAnsi="宋体" w:eastAsia="宋体" w:cs="宋体"/>
                <w:color w:val="auto"/>
                <w:highlight w:val="none"/>
              </w:rPr>
            </w:pPr>
          </w:p>
        </w:tc>
        <w:tc>
          <w:tcPr>
            <w:tcW w:w="850" w:type="dxa"/>
            <w:vAlign w:val="center"/>
          </w:tcPr>
          <w:p w14:paraId="2308F7C0">
            <w:pPr>
              <w:ind w:left="223" w:hanging="222" w:hangingChars="106"/>
              <w:jc w:val="center"/>
              <w:rPr>
                <w:rFonts w:hint="eastAsia" w:ascii="宋体" w:hAnsi="宋体" w:eastAsia="宋体" w:cs="宋体"/>
                <w:color w:val="auto"/>
                <w:highlight w:val="none"/>
              </w:rPr>
            </w:pPr>
          </w:p>
        </w:tc>
        <w:tc>
          <w:tcPr>
            <w:tcW w:w="1276" w:type="dxa"/>
            <w:vAlign w:val="center"/>
          </w:tcPr>
          <w:p w14:paraId="3036D30F">
            <w:pPr>
              <w:ind w:left="223" w:hanging="222" w:hangingChars="106"/>
              <w:jc w:val="center"/>
              <w:rPr>
                <w:rFonts w:hint="eastAsia" w:ascii="宋体" w:hAnsi="宋体" w:eastAsia="宋体" w:cs="宋体"/>
                <w:color w:val="auto"/>
                <w:highlight w:val="none"/>
              </w:rPr>
            </w:pPr>
          </w:p>
        </w:tc>
      </w:tr>
      <w:tr w14:paraId="19A8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72ED06D2">
            <w:pPr>
              <w:ind w:left="223" w:hanging="222" w:hangingChars="106"/>
              <w:jc w:val="center"/>
              <w:rPr>
                <w:rFonts w:hint="eastAsia" w:ascii="宋体" w:hAnsi="宋体" w:eastAsia="宋体" w:cs="宋体"/>
                <w:color w:val="auto"/>
                <w:szCs w:val="21"/>
                <w:highlight w:val="none"/>
              </w:rPr>
            </w:pPr>
          </w:p>
        </w:tc>
        <w:tc>
          <w:tcPr>
            <w:tcW w:w="829" w:type="dxa"/>
            <w:vAlign w:val="center"/>
          </w:tcPr>
          <w:p w14:paraId="618C873E">
            <w:pPr>
              <w:ind w:left="223" w:hanging="222" w:hangingChars="106"/>
              <w:jc w:val="center"/>
              <w:rPr>
                <w:rFonts w:hint="eastAsia" w:ascii="宋体" w:hAnsi="宋体" w:eastAsia="宋体" w:cs="宋体"/>
                <w:color w:val="auto"/>
                <w:highlight w:val="none"/>
              </w:rPr>
            </w:pPr>
          </w:p>
        </w:tc>
        <w:tc>
          <w:tcPr>
            <w:tcW w:w="816" w:type="dxa"/>
            <w:vAlign w:val="center"/>
          </w:tcPr>
          <w:p w14:paraId="306B829F">
            <w:pPr>
              <w:ind w:left="223" w:hanging="222" w:hangingChars="106"/>
              <w:jc w:val="center"/>
              <w:rPr>
                <w:rFonts w:hint="eastAsia" w:ascii="宋体" w:hAnsi="宋体" w:eastAsia="宋体" w:cs="宋体"/>
                <w:color w:val="auto"/>
                <w:highlight w:val="none"/>
              </w:rPr>
            </w:pPr>
          </w:p>
        </w:tc>
        <w:tc>
          <w:tcPr>
            <w:tcW w:w="1148" w:type="dxa"/>
            <w:vAlign w:val="center"/>
          </w:tcPr>
          <w:p w14:paraId="0A468358">
            <w:pPr>
              <w:ind w:left="223" w:hanging="222" w:hangingChars="106"/>
              <w:jc w:val="center"/>
              <w:rPr>
                <w:rFonts w:hint="eastAsia" w:ascii="宋体" w:hAnsi="宋体" w:eastAsia="宋体" w:cs="宋体"/>
                <w:color w:val="auto"/>
                <w:highlight w:val="none"/>
              </w:rPr>
            </w:pPr>
          </w:p>
        </w:tc>
        <w:tc>
          <w:tcPr>
            <w:tcW w:w="1148" w:type="dxa"/>
            <w:vAlign w:val="center"/>
          </w:tcPr>
          <w:p w14:paraId="0AC96A60">
            <w:pPr>
              <w:ind w:left="223" w:hanging="222" w:hangingChars="106"/>
              <w:jc w:val="center"/>
              <w:rPr>
                <w:rFonts w:hint="eastAsia" w:ascii="宋体" w:hAnsi="宋体" w:eastAsia="宋体" w:cs="宋体"/>
                <w:color w:val="auto"/>
                <w:highlight w:val="none"/>
              </w:rPr>
            </w:pPr>
          </w:p>
        </w:tc>
        <w:tc>
          <w:tcPr>
            <w:tcW w:w="1148" w:type="dxa"/>
            <w:vAlign w:val="center"/>
          </w:tcPr>
          <w:p w14:paraId="1CE90561">
            <w:pPr>
              <w:ind w:left="223" w:hanging="222" w:hangingChars="106"/>
              <w:jc w:val="center"/>
              <w:rPr>
                <w:rFonts w:hint="eastAsia" w:ascii="宋体" w:hAnsi="宋体" w:eastAsia="宋体" w:cs="宋体"/>
                <w:color w:val="auto"/>
                <w:highlight w:val="none"/>
              </w:rPr>
            </w:pPr>
          </w:p>
        </w:tc>
        <w:tc>
          <w:tcPr>
            <w:tcW w:w="1148" w:type="dxa"/>
            <w:vAlign w:val="center"/>
          </w:tcPr>
          <w:p w14:paraId="67505AD4">
            <w:pPr>
              <w:ind w:left="223" w:hanging="222" w:hangingChars="106"/>
              <w:jc w:val="center"/>
              <w:rPr>
                <w:rFonts w:hint="eastAsia" w:ascii="宋体" w:hAnsi="宋体" w:eastAsia="宋体" w:cs="宋体"/>
                <w:color w:val="auto"/>
                <w:highlight w:val="none"/>
              </w:rPr>
            </w:pPr>
          </w:p>
        </w:tc>
        <w:tc>
          <w:tcPr>
            <w:tcW w:w="850" w:type="dxa"/>
            <w:vAlign w:val="center"/>
          </w:tcPr>
          <w:p w14:paraId="4F6BEF17">
            <w:pPr>
              <w:ind w:left="223" w:hanging="222" w:hangingChars="106"/>
              <w:jc w:val="center"/>
              <w:rPr>
                <w:rFonts w:hint="eastAsia" w:ascii="宋体" w:hAnsi="宋体" w:eastAsia="宋体" w:cs="宋体"/>
                <w:color w:val="auto"/>
                <w:highlight w:val="none"/>
              </w:rPr>
            </w:pPr>
          </w:p>
        </w:tc>
        <w:tc>
          <w:tcPr>
            <w:tcW w:w="1276" w:type="dxa"/>
            <w:vAlign w:val="center"/>
          </w:tcPr>
          <w:p w14:paraId="6575FE92">
            <w:pPr>
              <w:ind w:left="223" w:hanging="222" w:hangingChars="106"/>
              <w:jc w:val="center"/>
              <w:rPr>
                <w:rFonts w:hint="eastAsia" w:ascii="宋体" w:hAnsi="宋体" w:eastAsia="宋体" w:cs="宋体"/>
                <w:color w:val="auto"/>
                <w:highlight w:val="none"/>
              </w:rPr>
            </w:pPr>
          </w:p>
        </w:tc>
      </w:tr>
      <w:tr w14:paraId="5E33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31E42E0D">
            <w:pPr>
              <w:ind w:left="223" w:hanging="222" w:hangingChars="106"/>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材料员</w:t>
            </w:r>
          </w:p>
        </w:tc>
        <w:tc>
          <w:tcPr>
            <w:tcW w:w="829" w:type="dxa"/>
            <w:vAlign w:val="center"/>
          </w:tcPr>
          <w:p w14:paraId="3B98A1D0">
            <w:pPr>
              <w:ind w:left="223" w:hanging="222" w:hangingChars="106"/>
              <w:jc w:val="center"/>
              <w:rPr>
                <w:rFonts w:hint="eastAsia" w:ascii="宋体" w:hAnsi="宋体" w:eastAsia="宋体" w:cs="宋体"/>
                <w:color w:val="auto"/>
                <w:highlight w:val="none"/>
              </w:rPr>
            </w:pPr>
          </w:p>
        </w:tc>
        <w:tc>
          <w:tcPr>
            <w:tcW w:w="816" w:type="dxa"/>
            <w:vAlign w:val="center"/>
          </w:tcPr>
          <w:p w14:paraId="4E4994D5">
            <w:pPr>
              <w:ind w:left="223" w:hanging="222" w:hangingChars="106"/>
              <w:jc w:val="center"/>
              <w:rPr>
                <w:rFonts w:hint="eastAsia" w:ascii="宋体" w:hAnsi="宋体" w:eastAsia="宋体" w:cs="宋体"/>
                <w:color w:val="auto"/>
                <w:highlight w:val="none"/>
              </w:rPr>
            </w:pPr>
          </w:p>
        </w:tc>
        <w:tc>
          <w:tcPr>
            <w:tcW w:w="1148" w:type="dxa"/>
            <w:vAlign w:val="center"/>
          </w:tcPr>
          <w:p w14:paraId="1A428FE5">
            <w:pPr>
              <w:ind w:left="223" w:hanging="222" w:hangingChars="106"/>
              <w:jc w:val="center"/>
              <w:rPr>
                <w:rFonts w:hint="eastAsia" w:ascii="宋体" w:hAnsi="宋体" w:eastAsia="宋体" w:cs="宋体"/>
                <w:color w:val="auto"/>
                <w:highlight w:val="none"/>
              </w:rPr>
            </w:pPr>
          </w:p>
        </w:tc>
        <w:tc>
          <w:tcPr>
            <w:tcW w:w="1148" w:type="dxa"/>
            <w:vAlign w:val="center"/>
          </w:tcPr>
          <w:p w14:paraId="12CBC3B2">
            <w:pPr>
              <w:ind w:left="223" w:hanging="222" w:hangingChars="106"/>
              <w:jc w:val="center"/>
              <w:rPr>
                <w:rFonts w:hint="eastAsia" w:ascii="宋体" w:hAnsi="宋体" w:eastAsia="宋体" w:cs="宋体"/>
                <w:color w:val="auto"/>
                <w:highlight w:val="none"/>
              </w:rPr>
            </w:pPr>
          </w:p>
        </w:tc>
        <w:tc>
          <w:tcPr>
            <w:tcW w:w="1148" w:type="dxa"/>
            <w:vAlign w:val="center"/>
          </w:tcPr>
          <w:p w14:paraId="7DD33DBA">
            <w:pPr>
              <w:ind w:left="223" w:hanging="222" w:hangingChars="106"/>
              <w:jc w:val="center"/>
              <w:rPr>
                <w:rFonts w:hint="eastAsia" w:ascii="宋体" w:hAnsi="宋体" w:eastAsia="宋体" w:cs="宋体"/>
                <w:color w:val="auto"/>
                <w:highlight w:val="none"/>
              </w:rPr>
            </w:pPr>
          </w:p>
        </w:tc>
        <w:tc>
          <w:tcPr>
            <w:tcW w:w="1148" w:type="dxa"/>
            <w:vAlign w:val="center"/>
          </w:tcPr>
          <w:p w14:paraId="2CFD64A3">
            <w:pPr>
              <w:ind w:left="223" w:hanging="222" w:hangingChars="106"/>
              <w:jc w:val="center"/>
              <w:rPr>
                <w:rFonts w:hint="eastAsia" w:ascii="宋体" w:hAnsi="宋体" w:eastAsia="宋体" w:cs="宋体"/>
                <w:color w:val="auto"/>
                <w:highlight w:val="none"/>
              </w:rPr>
            </w:pPr>
          </w:p>
        </w:tc>
        <w:tc>
          <w:tcPr>
            <w:tcW w:w="850" w:type="dxa"/>
            <w:vAlign w:val="center"/>
          </w:tcPr>
          <w:p w14:paraId="339A4ED6">
            <w:pPr>
              <w:ind w:left="223" w:hanging="222" w:hangingChars="106"/>
              <w:jc w:val="center"/>
              <w:rPr>
                <w:rFonts w:hint="eastAsia" w:ascii="宋体" w:hAnsi="宋体" w:eastAsia="宋体" w:cs="宋体"/>
                <w:color w:val="auto"/>
                <w:highlight w:val="none"/>
              </w:rPr>
            </w:pPr>
          </w:p>
        </w:tc>
        <w:tc>
          <w:tcPr>
            <w:tcW w:w="1276" w:type="dxa"/>
            <w:vAlign w:val="center"/>
          </w:tcPr>
          <w:p w14:paraId="328DD89F">
            <w:pPr>
              <w:ind w:left="223" w:hanging="222" w:hangingChars="106"/>
              <w:jc w:val="center"/>
              <w:rPr>
                <w:rFonts w:hint="eastAsia" w:ascii="宋体" w:hAnsi="宋体" w:eastAsia="宋体" w:cs="宋体"/>
                <w:color w:val="auto"/>
                <w:highlight w:val="none"/>
              </w:rPr>
            </w:pPr>
          </w:p>
        </w:tc>
      </w:tr>
      <w:tr w14:paraId="4C61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5007BF2E">
            <w:pPr>
              <w:ind w:left="223" w:hanging="222" w:hangingChars="106"/>
              <w:jc w:val="center"/>
              <w:rPr>
                <w:rFonts w:hint="eastAsia" w:ascii="宋体" w:hAnsi="宋体" w:eastAsia="宋体" w:cs="宋体"/>
                <w:color w:val="auto"/>
                <w:szCs w:val="21"/>
                <w:highlight w:val="none"/>
              </w:rPr>
            </w:pPr>
          </w:p>
        </w:tc>
        <w:tc>
          <w:tcPr>
            <w:tcW w:w="829" w:type="dxa"/>
            <w:vAlign w:val="center"/>
          </w:tcPr>
          <w:p w14:paraId="65333686">
            <w:pPr>
              <w:ind w:left="223" w:hanging="222" w:hangingChars="106"/>
              <w:jc w:val="center"/>
              <w:rPr>
                <w:rFonts w:hint="eastAsia" w:ascii="宋体" w:hAnsi="宋体" w:eastAsia="宋体" w:cs="宋体"/>
                <w:color w:val="auto"/>
                <w:highlight w:val="none"/>
              </w:rPr>
            </w:pPr>
          </w:p>
        </w:tc>
        <w:tc>
          <w:tcPr>
            <w:tcW w:w="816" w:type="dxa"/>
            <w:vAlign w:val="center"/>
          </w:tcPr>
          <w:p w14:paraId="18AAD946">
            <w:pPr>
              <w:ind w:left="223" w:hanging="222" w:hangingChars="106"/>
              <w:jc w:val="center"/>
              <w:rPr>
                <w:rFonts w:hint="eastAsia" w:ascii="宋体" w:hAnsi="宋体" w:eastAsia="宋体" w:cs="宋体"/>
                <w:color w:val="auto"/>
                <w:highlight w:val="none"/>
              </w:rPr>
            </w:pPr>
          </w:p>
        </w:tc>
        <w:tc>
          <w:tcPr>
            <w:tcW w:w="1148" w:type="dxa"/>
            <w:vAlign w:val="center"/>
          </w:tcPr>
          <w:p w14:paraId="0441574D">
            <w:pPr>
              <w:ind w:left="223" w:hanging="222" w:hangingChars="106"/>
              <w:jc w:val="center"/>
              <w:rPr>
                <w:rFonts w:hint="eastAsia" w:ascii="宋体" w:hAnsi="宋体" w:eastAsia="宋体" w:cs="宋体"/>
                <w:color w:val="auto"/>
                <w:highlight w:val="none"/>
              </w:rPr>
            </w:pPr>
          </w:p>
        </w:tc>
        <w:tc>
          <w:tcPr>
            <w:tcW w:w="1148" w:type="dxa"/>
            <w:vAlign w:val="center"/>
          </w:tcPr>
          <w:p w14:paraId="4B7DB6FD">
            <w:pPr>
              <w:ind w:left="223" w:hanging="222" w:hangingChars="106"/>
              <w:jc w:val="center"/>
              <w:rPr>
                <w:rFonts w:hint="eastAsia" w:ascii="宋体" w:hAnsi="宋体" w:eastAsia="宋体" w:cs="宋体"/>
                <w:color w:val="auto"/>
                <w:highlight w:val="none"/>
              </w:rPr>
            </w:pPr>
          </w:p>
        </w:tc>
        <w:tc>
          <w:tcPr>
            <w:tcW w:w="1148" w:type="dxa"/>
            <w:vAlign w:val="center"/>
          </w:tcPr>
          <w:p w14:paraId="3B3603D6">
            <w:pPr>
              <w:ind w:left="223" w:hanging="222" w:hangingChars="106"/>
              <w:jc w:val="center"/>
              <w:rPr>
                <w:rFonts w:hint="eastAsia" w:ascii="宋体" w:hAnsi="宋体" w:eastAsia="宋体" w:cs="宋体"/>
                <w:color w:val="auto"/>
                <w:highlight w:val="none"/>
              </w:rPr>
            </w:pPr>
          </w:p>
        </w:tc>
        <w:tc>
          <w:tcPr>
            <w:tcW w:w="1148" w:type="dxa"/>
            <w:vAlign w:val="center"/>
          </w:tcPr>
          <w:p w14:paraId="2F0FFB47">
            <w:pPr>
              <w:ind w:left="223" w:hanging="222" w:hangingChars="106"/>
              <w:jc w:val="center"/>
              <w:rPr>
                <w:rFonts w:hint="eastAsia" w:ascii="宋体" w:hAnsi="宋体" w:eastAsia="宋体" w:cs="宋体"/>
                <w:color w:val="auto"/>
                <w:highlight w:val="none"/>
              </w:rPr>
            </w:pPr>
          </w:p>
        </w:tc>
        <w:tc>
          <w:tcPr>
            <w:tcW w:w="850" w:type="dxa"/>
            <w:vAlign w:val="center"/>
          </w:tcPr>
          <w:p w14:paraId="4CD7C879">
            <w:pPr>
              <w:ind w:left="223" w:hanging="222" w:hangingChars="106"/>
              <w:jc w:val="center"/>
              <w:rPr>
                <w:rFonts w:hint="eastAsia" w:ascii="宋体" w:hAnsi="宋体" w:eastAsia="宋体" w:cs="宋体"/>
                <w:color w:val="auto"/>
                <w:highlight w:val="none"/>
              </w:rPr>
            </w:pPr>
          </w:p>
        </w:tc>
        <w:tc>
          <w:tcPr>
            <w:tcW w:w="1276" w:type="dxa"/>
            <w:vAlign w:val="center"/>
          </w:tcPr>
          <w:p w14:paraId="543ABEF1">
            <w:pPr>
              <w:ind w:left="223" w:hanging="222" w:hangingChars="106"/>
              <w:jc w:val="center"/>
              <w:rPr>
                <w:rFonts w:hint="eastAsia" w:ascii="宋体" w:hAnsi="宋体" w:eastAsia="宋体" w:cs="宋体"/>
                <w:color w:val="auto"/>
                <w:highlight w:val="none"/>
              </w:rPr>
            </w:pPr>
          </w:p>
        </w:tc>
      </w:tr>
      <w:tr w14:paraId="2790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14:paraId="41C15052">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829" w:type="dxa"/>
            <w:vAlign w:val="center"/>
          </w:tcPr>
          <w:p w14:paraId="4D05B64D">
            <w:pPr>
              <w:ind w:left="223" w:hanging="222" w:hangingChars="106"/>
              <w:jc w:val="center"/>
              <w:rPr>
                <w:rFonts w:hint="eastAsia" w:ascii="宋体" w:hAnsi="宋体" w:eastAsia="宋体" w:cs="宋体"/>
                <w:color w:val="auto"/>
                <w:highlight w:val="none"/>
              </w:rPr>
            </w:pPr>
          </w:p>
        </w:tc>
        <w:tc>
          <w:tcPr>
            <w:tcW w:w="816" w:type="dxa"/>
            <w:vAlign w:val="center"/>
          </w:tcPr>
          <w:p w14:paraId="2F4F5EDF">
            <w:pPr>
              <w:ind w:left="223" w:hanging="222" w:hangingChars="106"/>
              <w:jc w:val="center"/>
              <w:rPr>
                <w:rFonts w:hint="eastAsia" w:ascii="宋体" w:hAnsi="宋体" w:eastAsia="宋体" w:cs="宋体"/>
                <w:color w:val="auto"/>
                <w:highlight w:val="none"/>
              </w:rPr>
            </w:pPr>
          </w:p>
        </w:tc>
        <w:tc>
          <w:tcPr>
            <w:tcW w:w="1148" w:type="dxa"/>
            <w:vAlign w:val="center"/>
          </w:tcPr>
          <w:p w14:paraId="4AD48459">
            <w:pPr>
              <w:ind w:left="223" w:hanging="222" w:hangingChars="106"/>
              <w:jc w:val="center"/>
              <w:rPr>
                <w:rFonts w:hint="eastAsia" w:ascii="宋体" w:hAnsi="宋体" w:eastAsia="宋体" w:cs="宋体"/>
                <w:color w:val="auto"/>
                <w:highlight w:val="none"/>
              </w:rPr>
            </w:pPr>
          </w:p>
        </w:tc>
        <w:tc>
          <w:tcPr>
            <w:tcW w:w="1148" w:type="dxa"/>
            <w:vAlign w:val="center"/>
          </w:tcPr>
          <w:p w14:paraId="294A5B12">
            <w:pPr>
              <w:ind w:left="223" w:hanging="222" w:hangingChars="106"/>
              <w:jc w:val="center"/>
              <w:rPr>
                <w:rFonts w:hint="eastAsia" w:ascii="宋体" w:hAnsi="宋体" w:eastAsia="宋体" w:cs="宋体"/>
                <w:color w:val="auto"/>
                <w:highlight w:val="none"/>
              </w:rPr>
            </w:pPr>
          </w:p>
        </w:tc>
        <w:tc>
          <w:tcPr>
            <w:tcW w:w="1148" w:type="dxa"/>
            <w:vAlign w:val="center"/>
          </w:tcPr>
          <w:p w14:paraId="555E5AF3">
            <w:pPr>
              <w:ind w:left="223" w:hanging="222" w:hangingChars="106"/>
              <w:jc w:val="center"/>
              <w:rPr>
                <w:rFonts w:hint="eastAsia" w:ascii="宋体" w:hAnsi="宋体" w:eastAsia="宋体" w:cs="宋体"/>
                <w:color w:val="auto"/>
                <w:highlight w:val="none"/>
              </w:rPr>
            </w:pPr>
          </w:p>
        </w:tc>
        <w:tc>
          <w:tcPr>
            <w:tcW w:w="1148" w:type="dxa"/>
            <w:vAlign w:val="center"/>
          </w:tcPr>
          <w:p w14:paraId="3B171D94">
            <w:pPr>
              <w:ind w:left="223" w:hanging="222" w:hangingChars="106"/>
              <w:jc w:val="center"/>
              <w:rPr>
                <w:rFonts w:hint="eastAsia" w:ascii="宋体" w:hAnsi="宋体" w:eastAsia="宋体" w:cs="宋体"/>
                <w:color w:val="auto"/>
                <w:highlight w:val="none"/>
              </w:rPr>
            </w:pPr>
          </w:p>
        </w:tc>
        <w:tc>
          <w:tcPr>
            <w:tcW w:w="850" w:type="dxa"/>
            <w:vAlign w:val="center"/>
          </w:tcPr>
          <w:p w14:paraId="4B9128B3">
            <w:pPr>
              <w:ind w:left="223" w:hanging="222" w:hangingChars="106"/>
              <w:jc w:val="center"/>
              <w:rPr>
                <w:rFonts w:hint="eastAsia" w:ascii="宋体" w:hAnsi="宋体" w:eastAsia="宋体" w:cs="宋体"/>
                <w:color w:val="auto"/>
                <w:highlight w:val="none"/>
              </w:rPr>
            </w:pPr>
          </w:p>
        </w:tc>
        <w:tc>
          <w:tcPr>
            <w:tcW w:w="1276" w:type="dxa"/>
            <w:vAlign w:val="center"/>
          </w:tcPr>
          <w:p w14:paraId="4B282132">
            <w:pPr>
              <w:ind w:left="223" w:hanging="222" w:hangingChars="106"/>
              <w:jc w:val="center"/>
              <w:rPr>
                <w:rFonts w:hint="eastAsia" w:ascii="宋体" w:hAnsi="宋体" w:eastAsia="宋体" w:cs="宋体"/>
                <w:color w:val="auto"/>
                <w:highlight w:val="none"/>
              </w:rPr>
            </w:pPr>
          </w:p>
        </w:tc>
      </w:tr>
      <w:tr w14:paraId="402C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148B9825">
            <w:pPr>
              <w:spacing w:line="360" w:lineRule="auto"/>
              <w:rPr>
                <w:rFonts w:hint="eastAsia" w:ascii="宋体" w:hAnsi="宋体" w:eastAsia="宋体" w:cs="宋体"/>
                <w:color w:val="auto"/>
                <w:szCs w:val="21"/>
                <w:highlight w:val="none"/>
              </w:rPr>
            </w:pPr>
            <w:bookmarkStart w:id="223" w:name="_Toc251052199"/>
            <w:r>
              <w:rPr>
                <w:rFonts w:hint="eastAsia" w:ascii="宋体" w:hAnsi="宋体" w:eastAsia="宋体" w:cs="宋体"/>
                <w:color w:val="auto"/>
                <w:szCs w:val="21"/>
                <w:highlight w:val="none"/>
              </w:rPr>
              <w:t>一旦我单位成交，将实行项目经理负责制，我方保证并配备上述项目管理机构。上述填报内容真实，若不真实，愿按有关规定接受处理。项目管理班子机构设置、职责分工等情况另附资料说明</w:t>
            </w:r>
            <w:bookmarkEnd w:id="223"/>
          </w:p>
        </w:tc>
      </w:tr>
    </w:tbl>
    <w:p w14:paraId="17BDDAEE">
      <w:pPr>
        <w:pStyle w:val="29"/>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备注：附安全员证件、响应文件递交截止时间前6个月内任意1个月在现任职单位依法缴纳社会保险的凭证等相关证明材料的扫描件，以及供应商认为需要增加的其他证明材料扫描件，以上扫描件须加盖供应商电子签章。】</w:t>
      </w:r>
    </w:p>
    <w:p w14:paraId="58E449C6">
      <w:pPr>
        <w:pStyle w:val="198"/>
        <w:rPr>
          <w:rFonts w:hint="eastAsia" w:ascii="宋体" w:hAnsi="宋体" w:eastAsia="宋体" w:cs="宋体"/>
          <w:color w:val="auto"/>
          <w:highlight w:val="none"/>
        </w:rPr>
      </w:pPr>
    </w:p>
    <w:p w14:paraId="3BAEF22B">
      <w:pPr>
        <w:snapToGrid w:val="0"/>
        <w:spacing w:before="50" w:after="120" w:afterLines="50"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8.5满足本项目特定资格条件其他要求的证明材料。</w:t>
      </w:r>
    </w:p>
    <w:p w14:paraId="31A20150">
      <w:pPr>
        <w:snapToGrid w:val="0"/>
        <w:spacing w:before="50" w:after="120" w:after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8.5.1供应商直接控股股东信息表</w:t>
      </w:r>
    </w:p>
    <w:tbl>
      <w:tblPr>
        <w:tblStyle w:val="56"/>
        <w:tblW w:w="0" w:type="auto"/>
        <w:tblInd w:w="125" w:type="dxa"/>
        <w:tblLayout w:type="fixed"/>
        <w:tblCellMar>
          <w:top w:w="0" w:type="dxa"/>
          <w:left w:w="0" w:type="dxa"/>
          <w:bottom w:w="0" w:type="dxa"/>
          <w:right w:w="0" w:type="dxa"/>
        </w:tblCellMar>
      </w:tblPr>
      <w:tblGrid>
        <w:gridCol w:w="828"/>
        <w:gridCol w:w="2269"/>
        <w:gridCol w:w="1239"/>
        <w:gridCol w:w="3722"/>
        <w:gridCol w:w="1418"/>
      </w:tblGrid>
      <w:tr w14:paraId="0A616C32">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A573D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9377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C6542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9B2F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0529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2FD7A3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607F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EF0BC8">
            <w:pPr>
              <w:spacing w:line="360" w:lineRule="auto"/>
              <w:jc w:val="center"/>
              <w:rPr>
                <w:rFonts w:hint="eastAsia" w:ascii="宋体" w:hAnsi="宋体" w:eastAsia="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9C8958">
            <w:pPr>
              <w:spacing w:line="360" w:lineRule="auto"/>
              <w:jc w:val="center"/>
              <w:rPr>
                <w:rFonts w:hint="eastAsia" w:ascii="宋体" w:hAnsi="宋体" w:eastAsia="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AC16D7">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3CEB43">
            <w:pPr>
              <w:spacing w:line="360" w:lineRule="auto"/>
              <w:jc w:val="center"/>
              <w:rPr>
                <w:rFonts w:hint="eastAsia" w:ascii="宋体" w:hAnsi="宋体" w:eastAsia="宋体" w:cs="宋体"/>
                <w:color w:val="auto"/>
                <w:szCs w:val="21"/>
                <w:highlight w:val="none"/>
              </w:rPr>
            </w:pPr>
          </w:p>
        </w:tc>
      </w:tr>
      <w:tr w14:paraId="70B1B45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4D10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2B5715">
            <w:pPr>
              <w:spacing w:line="360" w:lineRule="auto"/>
              <w:jc w:val="center"/>
              <w:rPr>
                <w:rFonts w:hint="eastAsia" w:ascii="宋体" w:hAnsi="宋体" w:eastAsia="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CD5AF2">
            <w:pPr>
              <w:spacing w:line="360" w:lineRule="auto"/>
              <w:jc w:val="center"/>
              <w:rPr>
                <w:rFonts w:hint="eastAsia" w:ascii="宋体" w:hAnsi="宋体" w:eastAsia="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4A77CB">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2092DD">
            <w:pPr>
              <w:spacing w:line="360" w:lineRule="auto"/>
              <w:jc w:val="center"/>
              <w:rPr>
                <w:rFonts w:hint="eastAsia" w:ascii="宋体" w:hAnsi="宋体" w:eastAsia="宋体" w:cs="宋体"/>
                <w:color w:val="auto"/>
                <w:szCs w:val="21"/>
                <w:highlight w:val="none"/>
              </w:rPr>
            </w:pPr>
          </w:p>
        </w:tc>
      </w:tr>
      <w:tr w14:paraId="322B46E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8C319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D94E1C">
            <w:pPr>
              <w:spacing w:line="360" w:lineRule="auto"/>
              <w:jc w:val="center"/>
              <w:rPr>
                <w:rFonts w:hint="eastAsia" w:ascii="宋体" w:hAnsi="宋体" w:eastAsia="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66095B">
            <w:pPr>
              <w:spacing w:line="360" w:lineRule="auto"/>
              <w:jc w:val="center"/>
              <w:rPr>
                <w:rFonts w:hint="eastAsia" w:ascii="宋体" w:hAnsi="宋体" w:eastAsia="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9BBE17">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D71243">
            <w:pPr>
              <w:spacing w:line="360" w:lineRule="auto"/>
              <w:jc w:val="center"/>
              <w:rPr>
                <w:rFonts w:hint="eastAsia" w:ascii="宋体" w:hAnsi="宋体" w:eastAsia="宋体" w:cs="宋体"/>
                <w:color w:val="auto"/>
                <w:szCs w:val="21"/>
                <w:highlight w:val="none"/>
              </w:rPr>
            </w:pPr>
          </w:p>
        </w:tc>
      </w:tr>
      <w:tr w14:paraId="16B4AC5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8397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889A5E">
            <w:pPr>
              <w:spacing w:line="360" w:lineRule="auto"/>
              <w:jc w:val="center"/>
              <w:rPr>
                <w:rFonts w:hint="eastAsia" w:ascii="宋体" w:hAnsi="宋体" w:eastAsia="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F5AE85">
            <w:pPr>
              <w:spacing w:line="360" w:lineRule="auto"/>
              <w:jc w:val="center"/>
              <w:rPr>
                <w:rFonts w:hint="eastAsia" w:ascii="宋体" w:hAnsi="宋体" w:eastAsia="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4BA4E2">
            <w:pPr>
              <w:spacing w:line="360" w:lineRule="auto"/>
              <w:jc w:val="center"/>
              <w:rPr>
                <w:rFonts w:hint="eastAsia" w:ascii="宋体" w:hAnsi="宋体" w:eastAsia="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EB801F">
            <w:pPr>
              <w:spacing w:line="360" w:lineRule="auto"/>
              <w:jc w:val="center"/>
              <w:rPr>
                <w:rFonts w:hint="eastAsia" w:ascii="宋体" w:hAnsi="宋体" w:eastAsia="宋体" w:cs="宋体"/>
                <w:color w:val="auto"/>
                <w:szCs w:val="21"/>
                <w:highlight w:val="none"/>
              </w:rPr>
            </w:pPr>
          </w:p>
        </w:tc>
      </w:tr>
    </w:tbl>
    <w:p w14:paraId="626E950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881B62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D716B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4ED5485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4C37535A">
      <w:pPr>
        <w:snapToGrid w:val="0"/>
        <w:spacing w:line="360" w:lineRule="auto"/>
        <w:jc w:val="left"/>
        <w:rPr>
          <w:rFonts w:hint="eastAsia" w:ascii="宋体" w:hAnsi="宋体" w:eastAsia="宋体" w:cs="宋体"/>
          <w:color w:val="auto"/>
          <w:szCs w:val="21"/>
          <w:highlight w:val="none"/>
        </w:rPr>
      </w:pPr>
    </w:p>
    <w:p w14:paraId="47FD67C4">
      <w:pPr>
        <w:snapToGrid w:val="0"/>
        <w:spacing w:line="360" w:lineRule="auto"/>
        <w:jc w:val="left"/>
        <w:rPr>
          <w:rFonts w:hint="eastAsia" w:ascii="宋体" w:hAnsi="宋体" w:eastAsia="宋体" w:cs="宋体"/>
          <w:color w:val="auto"/>
          <w:szCs w:val="21"/>
          <w:highlight w:val="none"/>
        </w:rPr>
      </w:pPr>
    </w:p>
    <w:p w14:paraId="737830BB">
      <w:pPr>
        <w:snapToGrid w:val="0"/>
        <w:spacing w:line="360" w:lineRule="auto"/>
        <w:jc w:val="left"/>
        <w:rPr>
          <w:rFonts w:hint="eastAsia" w:ascii="宋体" w:hAnsi="宋体" w:eastAsia="宋体" w:cs="宋体"/>
          <w:color w:val="auto"/>
          <w:szCs w:val="21"/>
          <w:highlight w:val="none"/>
        </w:rPr>
      </w:pPr>
    </w:p>
    <w:p w14:paraId="345F0087">
      <w:pPr>
        <w:snapToGrid w:val="0"/>
        <w:spacing w:line="360" w:lineRule="auto"/>
        <w:jc w:val="left"/>
        <w:rPr>
          <w:rFonts w:hint="eastAsia" w:ascii="宋体" w:hAnsi="宋体" w:eastAsia="宋体" w:cs="宋体"/>
          <w:color w:val="auto"/>
          <w:szCs w:val="21"/>
          <w:highlight w:val="none"/>
        </w:rPr>
      </w:pPr>
    </w:p>
    <w:p w14:paraId="4CFF7CFD">
      <w:pPr>
        <w:snapToGrid w:val="0"/>
        <w:spacing w:line="360" w:lineRule="auto"/>
        <w:jc w:val="left"/>
        <w:rPr>
          <w:rFonts w:hint="eastAsia" w:ascii="宋体" w:hAnsi="宋体" w:eastAsia="宋体" w:cs="宋体"/>
          <w:color w:val="auto"/>
          <w:szCs w:val="21"/>
          <w:highlight w:val="none"/>
        </w:rPr>
      </w:pPr>
    </w:p>
    <w:p w14:paraId="677F9EA6">
      <w:pPr>
        <w:snapToGrid w:val="0"/>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1C4E27B2">
      <w:pPr>
        <w:snapToGri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04EEC13D">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E52D80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8.5.2供应商直接管理关系信息表</w:t>
      </w:r>
    </w:p>
    <w:tbl>
      <w:tblPr>
        <w:tblStyle w:val="56"/>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3E7B22D9">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5BCE0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D36F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5C28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7B216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416BA5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E412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1D1E24">
            <w:pPr>
              <w:spacing w:line="360" w:lineRule="auto"/>
              <w:jc w:val="center"/>
              <w:rPr>
                <w:rFonts w:hint="eastAsia" w:ascii="宋体" w:hAnsi="宋体" w:eastAsia="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7AA93B">
            <w:pPr>
              <w:spacing w:line="360" w:lineRule="auto"/>
              <w:jc w:val="center"/>
              <w:rPr>
                <w:rFonts w:hint="eastAsia" w:ascii="宋体" w:hAnsi="宋体" w:eastAsia="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4D977B">
            <w:pPr>
              <w:spacing w:line="360" w:lineRule="auto"/>
              <w:jc w:val="center"/>
              <w:rPr>
                <w:rFonts w:hint="eastAsia" w:ascii="宋体" w:hAnsi="宋体" w:eastAsia="宋体" w:cs="宋体"/>
                <w:color w:val="auto"/>
                <w:szCs w:val="21"/>
                <w:highlight w:val="none"/>
              </w:rPr>
            </w:pPr>
          </w:p>
        </w:tc>
      </w:tr>
      <w:tr w14:paraId="3F3998D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0AA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01BABD">
            <w:pPr>
              <w:spacing w:line="360" w:lineRule="auto"/>
              <w:jc w:val="center"/>
              <w:rPr>
                <w:rFonts w:hint="eastAsia" w:ascii="宋体" w:hAnsi="宋体" w:eastAsia="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AE9E4E">
            <w:pPr>
              <w:spacing w:line="360" w:lineRule="auto"/>
              <w:jc w:val="center"/>
              <w:rPr>
                <w:rFonts w:hint="eastAsia" w:ascii="宋体" w:hAnsi="宋体" w:eastAsia="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147FE0">
            <w:pPr>
              <w:spacing w:line="360" w:lineRule="auto"/>
              <w:jc w:val="center"/>
              <w:rPr>
                <w:rFonts w:hint="eastAsia" w:ascii="宋体" w:hAnsi="宋体" w:eastAsia="宋体" w:cs="宋体"/>
                <w:color w:val="auto"/>
                <w:szCs w:val="21"/>
                <w:highlight w:val="none"/>
              </w:rPr>
            </w:pPr>
          </w:p>
        </w:tc>
      </w:tr>
      <w:tr w14:paraId="3C30DFB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9A99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C4A614">
            <w:pPr>
              <w:spacing w:line="360" w:lineRule="auto"/>
              <w:jc w:val="center"/>
              <w:rPr>
                <w:rFonts w:hint="eastAsia" w:ascii="宋体" w:hAnsi="宋体" w:eastAsia="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18C85D">
            <w:pPr>
              <w:spacing w:line="360" w:lineRule="auto"/>
              <w:jc w:val="center"/>
              <w:rPr>
                <w:rFonts w:hint="eastAsia" w:ascii="宋体" w:hAnsi="宋体" w:eastAsia="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DCC155">
            <w:pPr>
              <w:spacing w:line="360" w:lineRule="auto"/>
              <w:jc w:val="center"/>
              <w:rPr>
                <w:rFonts w:hint="eastAsia" w:ascii="宋体" w:hAnsi="宋体" w:eastAsia="宋体" w:cs="宋体"/>
                <w:color w:val="auto"/>
                <w:szCs w:val="21"/>
                <w:highlight w:val="none"/>
              </w:rPr>
            </w:pPr>
          </w:p>
        </w:tc>
      </w:tr>
      <w:tr w14:paraId="3BF3409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C693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E26309">
            <w:pPr>
              <w:spacing w:line="360" w:lineRule="auto"/>
              <w:jc w:val="center"/>
              <w:rPr>
                <w:rFonts w:hint="eastAsia" w:ascii="宋体" w:hAnsi="宋体" w:eastAsia="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6F3FBE">
            <w:pPr>
              <w:spacing w:line="360" w:lineRule="auto"/>
              <w:jc w:val="center"/>
              <w:rPr>
                <w:rFonts w:hint="eastAsia" w:ascii="宋体" w:hAnsi="宋体" w:eastAsia="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24F0B0">
            <w:pPr>
              <w:spacing w:line="360" w:lineRule="auto"/>
              <w:jc w:val="center"/>
              <w:rPr>
                <w:rFonts w:hint="eastAsia" w:ascii="宋体" w:hAnsi="宋体" w:eastAsia="宋体" w:cs="宋体"/>
                <w:color w:val="auto"/>
                <w:szCs w:val="21"/>
                <w:highlight w:val="none"/>
              </w:rPr>
            </w:pPr>
          </w:p>
        </w:tc>
      </w:tr>
    </w:tbl>
    <w:p w14:paraId="61855C5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4492411B">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7B6F3A9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2.本表所指的管理关系仅限于直接管理关系，不包括间接的管理关系。</w:t>
      </w:r>
    </w:p>
    <w:p w14:paraId="1E8F44C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3.供应商不存在直接管理关系的，则填“无”。</w:t>
      </w:r>
    </w:p>
    <w:p w14:paraId="023AB063">
      <w:pPr>
        <w:snapToGrid w:val="0"/>
        <w:spacing w:line="360" w:lineRule="auto"/>
        <w:jc w:val="left"/>
        <w:rPr>
          <w:rFonts w:hint="eastAsia" w:ascii="宋体" w:hAnsi="宋体" w:eastAsia="宋体" w:cs="宋体"/>
          <w:color w:val="auto"/>
          <w:szCs w:val="21"/>
          <w:highlight w:val="none"/>
        </w:rPr>
      </w:pPr>
    </w:p>
    <w:p w14:paraId="06561D0D">
      <w:pPr>
        <w:snapToGrid w:val="0"/>
        <w:spacing w:line="360" w:lineRule="auto"/>
        <w:jc w:val="left"/>
        <w:rPr>
          <w:rFonts w:hint="eastAsia" w:ascii="宋体" w:hAnsi="宋体" w:eastAsia="宋体" w:cs="宋体"/>
          <w:color w:val="auto"/>
          <w:szCs w:val="21"/>
          <w:highlight w:val="none"/>
        </w:rPr>
      </w:pPr>
    </w:p>
    <w:p w14:paraId="05A4DB36">
      <w:pPr>
        <w:snapToGrid w:val="0"/>
        <w:spacing w:line="360" w:lineRule="auto"/>
        <w:jc w:val="left"/>
        <w:rPr>
          <w:rFonts w:hint="eastAsia" w:ascii="宋体" w:hAnsi="宋体" w:eastAsia="宋体" w:cs="宋体"/>
          <w:color w:val="auto"/>
          <w:szCs w:val="21"/>
          <w:highlight w:val="none"/>
        </w:rPr>
      </w:pPr>
    </w:p>
    <w:p w14:paraId="68B2A8FF">
      <w:pPr>
        <w:snapToGrid w:val="0"/>
        <w:spacing w:line="360" w:lineRule="auto"/>
        <w:jc w:val="left"/>
        <w:rPr>
          <w:rFonts w:hint="eastAsia" w:ascii="宋体" w:hAnsi="宋体" w:eastAsia="宋体" w:cs="宋体"/>
          <w:color w:val="auto"/>
          <w:szCs w:val="21"/>
          <w:highlight w:val="none"/>
        </w:rPr>
      </w:pPr>
    </w:p>
    <w:p w14:paraId="1ACD8779">
      <w:pPr>
        <w:snapToGrid w:val="0"/>
        <w:spacing w:line="360" w:lineRule="auto"/>
        <w:jc w:val="left"/>
        <w:rPr>
          <w:rFonts w:hint="eastAsia" w:ascii="宋体" w:hAnsi="宋体" w:eastAsia="宋体" w:cs="宋体"/>
          <w:color w:val="auto"/>
          <w:szCs w:val="21"/>
          <w:highlight w:val="none"/>
        </w:rPr>
      </w:pPr>
    </w:p>
    <w:p w14:paraId="43178AF0">
      <w:pPr>
        <w:snapToGrid w:val="0"/>
        <w:spacing w:line="360" w:lineRule="auto"/>
        <w:jc w:val="left"/>
        <w:rPr>
          <w:rFonts w:hint="eastAsia" w:ascii="宋体" w:hAnsi="宋体" w:eastAsia="宋体" w:cs="宋体"/>
          <w:color w:val="auto"/>
          <w:szCs w:val="21"/>
          <w:highlight w:val="none"/>
        </w:rPr>
      </w:pPr>
    </w:p>
    <w:p w14:paraId="751D1497">
      <w:pPr>
        <w:snapToGrid w:val="0"/>
        <w:spacing w:line="360" w:lineRule="auto"/>
        <w:jc w:val="left"/>
        <w:rPr>
          <w:rFonts w:hint="eastAsia" w:ascii="宋体" w:hAnsi="宋体" w:eastAsia="宋体" w:cs="宋体"/>
          <w:color w:val="auto"/>
          <w:szCs w:val="21"/>
          <w:highlight w:val="none"/>
        </w:rPr>
      </w:pPr>
    </w:p>
    <w:p w14:paraId="0D095FDD">
      <w:pPr>
        <w:snapToGrid w:val="0"/>
        <w:spacing w:line="360" w:lineRule="auto"/>
        <w:jc w:val="left"/>
        <w:rPr>
          <w:rFonts w:hint="eastAsia" w:ascii="宋体" w:hAnsi="宋体" w:eastAsia="宋体" w:cs="宋体"/>
          <w:color w:val="auto"/>
          <w:szCs w:val="21"/>
          <w:highlight w:val="none"/>
        </w:rPr>
      </w:pPr>
    </w:p>
    <w:p w14:paraId="335691B9">
      <w:pPr>
        <w:snapToGrid w:val="0"/>
        <w:spacing w:line="360" w:lineRule="auto"/>
        <w:ind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68E3E635">
      <w:pPr>
        <w:snapToGrid w:val="0"/>
        <w:spacing w:line="360" w:lineRule="auto"/>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7E35463">
      <w:pPr>
        <w:pStyle w:val="29"/>
        <w:tabs>
          <w:tab w:val="left" w:pos="2127"/>
        </w:tabs>
        <w:spacing w:line="340" w:lineRule="exact"/>
        <w:rPr>
          <w:rFonts w:hint="eastAsia" w:ascii="宋体" w:hAnsi="宋体" w:eastAsia="宋体" w:cs="宋体"/>
          <w:color w:val="auto"/>
          <w:highlight w:val="none"/>
        </w:rPr>
      </w:pPr>
    </w:p>
    <w:p w14:paraId="214667F4">
      <w:pPr>
        <w:snapToGrid w:val="0"/>
        <w:spacing w:before="50" w:after="120" w:afterLines="50" w:line="440" w:lineRule="exact"/>
        <w:jc w:val="left"/>
        <w:rPr>
          <w:rFonts w:hint="eastAsia" w:ascii="宋体" w:hAnsi="宋体" w:eastAsia="宋体" w:cs="宋体"/>
          <w:color w:val="auto"/>
          <w:szCs w:val="21"/>
          <w:highlight w:val="none"/>
        </w:rPr>
      </w:pPr>
    </w:p>
    <w:p w14:paraId="68929A92">
      <w:pPr>
        <w:snapToGrid w:val="0"/>
        <w:spacing w:before="50" w:after="120" w:afterLines="50" w:line="400" w:lineRule="exact"/>
        <w:jc w:val="left"/>
        <w:rPr>
          <w:rFonts w:hint="eastAsia" w:ascii="宋体" w:hAnsi="宋体" w:eastAsia="宋体" w:cs="宋体"/>
          <w:bCs/>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9．建设工程项目管理承诺书</w:t>
      </w:r>
    </w:p>
    <w:p w14:paraId="796FD835">
      <w:pPr>
        <w:pStyle w:val="19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建设工程项目管理承诺书</w:t>
      </w:r>
    </w:p>
    <w:p w14:paraId="45D99484">
      <w:pPr>
        <w:spacing w:line="360" w:lineRule="auto"/>
        <w:jc w:val="center"/>
        <w:rPr>
          <w:rFonts w:hint="eastAsia" w:ascii="宋体" w:hAnsi="宋体" w:eastAsia="宋体" w:cs="宋体"/>
          <w:b/>
          <w:bCs/>
          <w:color w:val="auto"/>
          <w:sz w:val="24"/>
          <w:highlight w:val="none"/>
        </w:rPr>
      </w:pPr>
    </w:p>
    <w:p w14:paraId="557247A0">
      <w:pPr>
        <w:spacing w:line="360" w:lineRule="auto"/>
        <w:jc w:val="center"/>
        <w:rPr>
          <w:rFonts w:hint="eastAsia" w:ascii="宋体" w:hAnsi="宋体" w:eastAsia="宋体" w:cs="宋体"/>
          <w:b/>
          <w:bCs/>
          <w:color w:val="auto"/>
          <w:sz w:val="24"/>
          <w:highlight w:val="none"/>
        </w:rPr>
      </w:pPr>
    </w:p>
    <w:p w14:paraId="5B1823B2">
      <w:pPr>
        <w:pStyle w:val="29"/>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i/>
          <w:iCs/>
          <w:color w:val="auto"/>
          <w:highlight w:val="none"/>
          <w:u w:val="single"/>
        </w:rPr>
        <w:t>（采购人名称）</w:t>
      </w:r>
      <w:r>
        <w:rPr>
          <w:rFonts w:hint="eastAsia" w:ascii="宋体" w:hAnsi="宋体" w:eastAsia="宋体" w:cs="宋体"/>
          <w:color w:val="auto"/>
          <w:highlight w:val="none"/>
        </w:rPr>
        <w:t>：</w:t>
      </w:r>
    </w:p>
    <w:p w14:paraId="3B4FD6B3">
      <w:pPr>
        <w:snapToGrid w:val="0"/>
        <w:spacing w:before="120" w:beforeLines="50"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作为参与</w:t>
      </w:r>
      <w:r>
        <w:rPr>
          <w:rFonts w:hint="eastAsia" w:ascii="宋体" w:hAnsi="宋体" w:eastAsia="宋体" w:cs="宋体"/>
          <w:color w:val="auto"/>
          <w:szCs w:val="21"/>
          <w:highlight w:val="none"/>
          <w:u w:val="single"/>
        </w:rPr>
        <w:t></w:t>
      </w:r>
      <w:r>
        <w:rPr>
          <w:rFonts w:hint="eastAsia" w:ascii="宋体" w:hAnsi="宋体" w:eastAsia="宋体" w:cs="宋体"/>
          <w:i/>
          <w:iCs/>
          <w:color w:val="auto"/>
          <w:szCs w:val="21"/>
          <w:highlight w:val="none"/>
          <w:u w:val="single"/>
        </w:rPr>
        <w:t>（工程名称）</w:t>
      </w:r>
      <w:r>
        <w:rPr>
          <w:rFonts w:hint="eastAsia" w:ascii="宋体" w:hAnsi="宋体" w:eastAsia="宋体" w:cs="宋体"/>
          <w:color w:val="auto"/>
          <w:szCs w:val="21"/>
          <w:highlight w:val="none"/>
        </w:rPr>
        <w:t>项目的供应商，根据国家、自治区相关文件规定，我方在此承诺：</w:t>
      </w:r>
    </w:p>
    <w:p w14:paraId="1364C45F">
      <w:pPr>
        <w:spacing w:line="520" w:lineRule="exact"/>
        <w:ind w:left="-2" w:leftChars="-1" w:firstLine="449" w:firstLineChars="21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1、一旦成交，</w:t>
      </w:r>
      <w:r>
        <w:rPr>
          <w:rFonts w:hint="eastAsia" w:ascii="宋体" w:hAnsi="宋体" w:eastAsia="宋体" w:cs="宋体"/>
          <w:color w:val="auto"/>
          <w:highlight w:val="none"/>
        </w:rPr>
        <w:t>我方保证按照政府相关部门的规定，在</w:t>
      </w:r>
      <w:r>
        <w:rPr>
          <w:rFonts w:hint="eastAsia" w:ascii="宋体" w:hAnsi="宋体" w:eastAsia="宋体" w:cs="宋体"/>
          <w:color w:val="auto"/>
          <w:szCs w:val="21"/>
          <w:highlight w:val="none"/>
        </w:rPr>
        <w:t>成交</w:t>
      </w:r>
      <w:r>
        <w:rPr>
          <w:rFonts w:hint="eastAsia" w:ascii="宋体" w:hAnsi="宋体" w:eastAsia="宋体" w:cs="宋体"/>
          <w:color w:val="auto"/>
          <w:highlight w:val="none"/>
        </w:rPr>
        <w:t>后7个工作日内，按照《保障农民工工资支付条例》规定及广西壮族自治区有关规定开设农民工工资专用账户，并按</w:t>
      </w:r>
      <w:r>
        <w:rPr>
          <w:rFonts w:hint="eastAsia" w:ascii="宋体" w:hAnsi="宋体" w:eastAsia="宋体" w:cs="宋体"/>
          <w:color w:val="auto"/>
          <w:highlight w:val="none"/>
          <w:u w:val="single"/>
        </w:rPr>
        <w:t>要求</w:t>
      </w:r>
      <w:r>
        <w:rPr>
          <w:rFonts w:hint="eastAsia" w:ascii="宋体" w:hAnsi="宋体" w:eastAsia="宋体" w:cs="宋体"/>
          <w:color w:val="auto"/>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716AF0F1">
      <w:pPr>
        <w:spacing w:line="520" w:lineRule="exact"/>
        <w:ind w:left="-2" w:leftChars="-1" w:firstLine="449" w:firstLineChars="21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61834DF8">
      <w:pPr>
        <w:spacing w:line="520" w:lineRule="exact"/>
        <w:ind w:left="-2" w:leftChars="-1" w:firstLine="449" w:firstLineChars="21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5A9F1B2">
      <w:pPr>
        <w:spacing w:line="520" w:lineRule="exact"/>
        <w:ind w:left="-2" w:leftChars="-1" w:firstLine="449" w:firstLineChars="21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6EB782DA">
      <w:pPr>
        <w:spacing w:line="520" w:lineRule="exact"/>
        <w:ind w:left="-2" w:leftChars="-1" w:firstLine="449" w:firstLineChars="214"/>
        <w:jc w:val="left"/>
        <w:rPr>
          <w:rFonts w:hint="eastAsia" w:ascii="宋体" w:hAnsi="宋体" w:eastAsia="宋体" w:cs="宋体"/>
          <w:color w:val="auto"/>
          <w:highlight w:val="none"/>
        </w:rPr>
      </w:pPr>
      <w:r>
        <w:rPr>
          <w:rFonts w:hint="eastAsia" w:ascii="宋体" w:hAnsi="宋体" w:eastAsia="宋体" w:cs="宋体"/>
          <w:color w:val="auto"/>
          <w:szCs w:val="21"/>
          <w:highlight w:val="none"/>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3CA71B3D">
      <w:pPr>
        <w:spacing w:line="360" w:lineRule="auto"/>
        <w:jc w:val="left"/>
        <w:rPr>
          <w:rFonts w:hint="eastAsia" w:ascii="宋体" w:hAnsi="宋体" w:eastAsia="宋体" w:cs="宋体"/>
          <w:color w:val="auto"/>
          <w:highlight w:val="none"/>
        </w:rPr>
      </w:pPr>
    </w:p>
    <w:p w14:paraId="5CA805EA">
      <w:pPr>
        <w:spacing w:line="360" w:lineRule="auto"/>
        <w:jc w:val="left"/>
        <w:rPr>
          <w:rFonts w:hint="eastAsia" w:ascii="宋体" w:hAnsi="宋体" w:eastAsia="宋体" w:cs="宋体"/>
          <w:color w:val="auto"/>
          <w:highlight w:val="none"/>
        </w:rPr>
      </w:pPr>
    </w:p>
    <w:p w14:paraId="187C0967">
      <w:pPr>
        <w:snapToGrid w:val="0"/>
        <w:spacing w:before="120" w:beforeLines="50" w:after="50" w:line="360" w:lineRule="exact"/>
        <w:ind w:firstLine="4410" w:firstLineChars="2100"/>
        <w:rPr>
          <w:rFonts w:hint="eastAsia" w:ascii="宋体" w:hAnsi="宋体" w:eastAsia="宋体" w:cs="宋体"/>
          <w:color w:val="auto"/>
          <w:szCs w:val="21"/>
          <w:highlight w:val="none"/>
        </w:rPr>
      </w:pPr>
      <w:bookmarkStart w:id="224" w:name="_Hlk89190944"/>
      <w:r>
        <w:rPr>
          <w:rFonts w:hint="eastAsia" w:ascii="宋体" w:hAnsi="宋体" w:eastAsia="宋体" w:cs="宋体"/>
          <w:color w:val="auto"/>
          <w:szCs w:val="21"/>
          <w:highlight w:val="none"/>
        </w:rPr>
        <w:t>供应商名称（电子签章）：</w:t>
      </w:r>
      <w:r>
        <w:rPr>
          <w:rFonts w:hint="eastAsia" w:ascii="宋体" w:hAnsi="宋体" w:eastAsia="宋体" w:cs="宋体"/>
          <w:color w:val="auto"/>
          <w:szCs w:val="21"/>
          <w:highlight w:val="none"/>
          <w:u w:val="single"/>
        </w:rPr>
        <w:t xml:space="preserve">                </w:t>
      </w:r>
    </w:p>
    <w:bookmarkEnd w:id="224"/>
    <w:p w14:paraId="29D5B2C3">
      <w:pPr>
        <w:spacing w:line="360" w:lineRule="auto"/>
        <w:ind w:firstLine="1260" w:firstLineChars="600"/>
        <w:jc w:val="left"/>
        <w:rPr>
          <w:rFonts w:hint="eastAsia" w:ascii="宋体" w:hAnsi="宋体" w:eastAsia="宋体" w:cs="宋体"/>
          <w:color w:val="auto"/>
          <w:highlight w:val="none"/>
        </w:rPr>
      </w:pPr>
    </w:p>
    <w:p w14:paraId="6029922F">
      <w:pPr>
        <w:spacing w:line="360" w:lineRule="auto"/>
        <w:ind w:firstLine="4515" w:firstLineChars="215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DBF7D4A">
      <w:pPr>
        <w:spacing w:line="360" w:lineRule="auto"/>
        <w:ind w:firstLine="525" w:firstLineChars="250"/>
        <w:jc w:val="center"/>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rPr>
        <w:t>广西壮族自治区建筑工程安全文明施工措施项目清单内容</w:t>
      </w:r>
    </w:p>
    <w:p w14:paraId="5C9705B7">
      <w:pPr>
        <w:pStyle w:val="257"/>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（桂建质【2015】16号文附件一）</w:t>
      </w:r>
    </w:p>
    <w:p w14:paraId="44EEE383">
      <w:pPr>
        <w:pStyle w:val="258"/>
        <w:spacing w:line="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广西壮族自治区</w:t>
      </w:r>
    </w:p>
    <w:p w14:paraId="502BAB63">
      <w:pPr>
        <w:pStyle w:val="258"/>
        <w:spacing w:line="0" w:lineRule="atLeast"/>
        <w:jc w:val="center"/>
        <w:rPr>
          <w:rFonts w:hint="eastAsia" w:ascii="宋体" w:hAnsi="宋体" w:eastAsia="宋体" w:cs="宋体"/>
          <w:b/>
          <w:bCs/>
          <w:color w:val="auto"/>
          <w:w w:val="90"/>
          <w:sz w:val="24"/>
          <w:highlight w:val="none"/>
        </w:rPr>
      </w:pPr>
      <w:r>
        <w:rPr>
          <w:rFonts w:hint="eastAsia" w:ascii="宋体" w:hAnsi="宋体" w:eastAsia="宋体" w:cs="宋体"/>
          <w:b/>
          <w:bCs/>
          <w:color w:val="auto"/>
          <w:w w:val="90"/>
          <w:sz w:val="24"/>
          <w:highlight w:val="none"/>
        </w:rPr>
        <w:t>建设工程安全文明施工措施项目清单内容</w:t>
      </w:r>
    </w:p>
    <w:tbl>
      <w:tblPr>
        <w:tblStyle w:val="5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14:paraId="45CE3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vAlign w:val="center"/>
          </w:tcPr>
          <w:p w14:paraId="118C149A">
            <w:pPr>
              <w:pStyle w:val="258"/>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vAlign w:val="center"/>
          </w:tcPr>
          <w:p w14:paraId="7592B784">
            <w:pPr>
              <w:pStyle w:val="258"/>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vAlign w:val="center"/>
          </w:tcPr>
          <w:p w14:paraId="2915FDD6">
            <w:pPr>
              <w:pStyle w:val="258"/>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544DF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12E37343">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w:t>
            </w:r>
          </w:p>
          <w:p w14:paraId="227D07E1">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w:t>
            </w:r>
          </w:p>
          <w:p w14:paraId="736B1A18">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w:t>
            </w:r>
          </w:p>
          <w:p w14:paraId="62435F7D">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w:t>
            </w:r>
          </w:p>
          <w:p w14:paraId="1FAE59C3">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保护</w:t>
            </w:r>
          </w:p>
        </w:tc>
        <w:tc>
          <w:tcPr>
            <w:tcW w:w="2070" w:type="dxa"/>
            <w:gridSpan w:val="2"/>
            <w:vAlign w:val="center"/>
          </w:tcPr>
          <w:p w14:paraId="5AF3019D">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w:t>
            </w:r>
          </w:p>
          <w:p w14:paraId="10744D29">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标志牌</w:t>
            </w:r>
          </w:p>
        </w:tc>
        <w:tc>
          <w:tcPr>
            <w:tcW w:w="6645" w:type="dxa"/>
            <w:vAlign w:val="center"/>
          </w:tcPr>
          <w:p w14:paraId="4AC4275F">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在易发伤亡事故（或危险）处设置明显的、符合国家标准要求的安全警示标志牌。</w:t>
            </w:r>
          </w:p>
        </w:tc>
      </w:tr>
      <w:tr w14:paraId="56660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667AFB5">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5823AF82">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现场围挡</w:t>
            </w:r>
          </w:p>
        </w:tc>
        <w:tc>
          <w:tcPr>
            <w:tcW w:w="6645" w:type="dxa"/>
            <w:vAlign w:val="center"/>
          </w:tcPr>
          <w:p w14:paraId="2BFD2754">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现场采用封闭围挡，高度不小于1.8m。</w:t>
            </w:r>
          </w:p>
          <w:p w14:paraId="6BDACCAA">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围挡材料可用彩色、定型钢板，砌块等墙体。</w:t>
            </w:r>
          </w:p>
        </w:tc>
      </w:tr>
      <w:tr w14:paraId="560DD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7E27EF80">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534F9358">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七牌二图</w:t>
            </w:r>
          </w:p>
        </w:tc>
        <w:tc>
          <w:tcPr>
            <w:tcW w:w="6645" w:type="dxa"/>
            <w:vAlign w:val="center"/>
          </w:tcPr>
          <w:p w14:paraId="7B48AE56">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在进门处悬挂工程概况、现场出入制度、管理人员名单及监督电话、安全生产规定、文明施工、消防保卫、节能公示等七牌以及施工现场总平面图、工程效果图。</w:t>
            </w:r>
          </w:p>
        </w:tc>
      </w:tr>
      <w:tr w14:paraId="5BD3F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14:paraId="282F223E">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5E4D24A6">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企业标志</w:t>
            </w:r>
          </w:p>
        </w:tc>
        <w:tc>
          <w:tcPr>
            <w:tcW w:w="6645" w:type="dxa"/>
            <w:vAlign w:val="center"/>
          </w:tcPr>
          <w:p w14:paraId="4DEDD847">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现场出入的大门应设有本企业标志或企业标识。</w:t>
            </w:r>
          </w:p>
        </w:tc>
      </w:tr>
      <w:tr w14:paraId="48756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0874910B">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4C63F886">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场容场貌</w:t>
            </w:r>
          </w:p>
        </w:tc>
        <w:tc>
          <w:tcPr>
            <w:tcW w:w="6645" w:type="dxa"/>
            <w:vAlign w:val="center"/>
          </w:tcPr>
          <w:p w14:paraId="2ED37F28">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道路畅通。</w:t>
            </w:r>
          </w:p>
          <w:p w14:paraId="1C64D24D">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排水设施齐全畅通。</w:t>
            </w:r>
          </w:p>
          <w:p w14:paraId="5AEFEF90">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工地地面硬化处理（办公区、生活区、现场道路、材料堆放、混凝土搅拌、砂浆搅拌、钢筋加工等场地和外脚手架基础等）。</w:t>
            </w:r>
          </w:p>
        </w:tc>
      </w:tr>
      <w:tr w14:paraId="08D307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7369A78">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1079202E">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材料堆放</w:t>
            </w:r>
          </w:p>
        </w:tc>
        <w:tc>
          <w:tcPr>
            <w:tcW w:w="6645" w:type="dxa"/>
            <w:vAlign w:val="center"/>
          </w:tcPr>
          <w:p w14:paraId="27F8AE9C">
            <w:pPr>
              <w:pStyle w:val="258"/>
              <w:numPr>
                <w:ilvl w:val="0"/>
                <w:numId w:val="6"/>
              </w:numPr>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材料、构件、料具等堆放时，应有名称、品种、规格等标牌。</w:t>
            </w:r>
          </w:p>
          <w:p w14:paraId="5FBA2CD5">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水泥和其它易飞扬细颗粒建筑材料应封闭存放或采取覆盖等措施。</w:t>
            </w:r>
          </w:p>
          <w:p w14:paraId="29F584BA">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易燃、易爆和有毒有害物品分类存放。</w:t>
            </w:r>
          </w:p>
        </w:tc>
      </w:tr>
      <w:tr w14:paraId="43394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31854768">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7765D5A6">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现场防火</w:t>
            </w:r>
          </w:p>
        </w:tc>
        <w:tc>
          <w:tcPr>
            <w:tcW w:w="6645" w:type="dxa"/>
            <w:vAlign w:val="center"/>
          </w:tcPr>
          <w:p w14:paraId="5C42C0B1">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消防器材配置合理，符合消防要求。</w:t>
            </w:r>
          </w:p>
        </w:tc>
      </w:tr>
      <w:tr w14:paraId="4AFFD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07167BD5">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5B83A061">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垃圾清运</w:t>
            </w:r>
          </w:p>
        </w:tc>
        <w:tc>
          <w:tcPr>
            <w:tcW w:w="6645" w:type="dxa"/>
            <w:vAlign w:val="center"/>
          </w:tcPr>
          <w:p w14:paraId="5F0184D1">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施工现场应设置密闭式垃圾站，施工垃圾、生活垃圾应分类存放。</w:t>
            </w:r>
          </w:p>
          <w:p w14:paraId="3011C72B">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施工垃圾必须采用相应容器或管道运输。</w:t>
            </w:r>
          </w:p>
        </w:tc>
      </w:tr>
      <w:tr w14:paraId="65C5B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70ADB38E">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5CC668F6">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宣传栏、环保及不扰民措施</w:t>
            </w:r>
          </w:p>
        </w:tc>
        <w:tc>
          <w:tcPr>
            <w:tcW w:w="6645" w:type="dxa"/>
            <w:vAlign w:val="center"/>
          </w:tcPr>
          <w:p w14:paraId="1DA963A7">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宣传栏、安全宣传标语等，洗车（防止污染市区道路）、粉尘、噪声控制和排污（污水、废气）措施等。</w:t>
            </w:r>
          </w:p>
        </w:tc>
      </w:tr>
      <w:tr w14:paraId="06F45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2497B845">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临时设施</w:t>
            </w:r>
          </w:p>
        </w:tc>
        <w:tc>
          <w:tcPr>
            <w:tcW w:w="2070" w:type="dxa"/>
            <w:gridSpan w:val="2"/>
            <w:vAlign w:val="center"/>
          </w:tcPr>
          <w:p w14:paraId="635D0068">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现场办公</w:t>
            </w:r>
          </w:p>
          <w:p w14:paraId="3BB1CFD3">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生活设施</w:t>
            </w:r>
          </w:p>
        </w:tc>
        <w:tc>
          <w:tcPr>
            <w:tcW w:w="6645" w:type="dxa"/>
            <w:vAlign w:val="center"/>
          </w:tcPr>
          <w:p w14:paraId="40A54BB2">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施工现场办公、生活区与作业区分开设置，保持安全距离。</w:t>
            </w:r>
          </w:p>
          <w:p w14:paraId="298DBD0D">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工地办公室、现场宿舍、食堂、厕所、饮水、沐浴、休息场所等符合卫生、消防安全要求。</w:t>
            </w:r>
          </w:p>
        </w:tc>
      </w:tr>
      <w:tr w14:paraId="7053E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7BB65B97">
            <w:pPr>
              <w:pStyle w:val="258"/>
              <w:spacing w:line="300" w:lineRule="exact"/>
              <w:jc w:val="center"/>
              <w:rPr>
                <w:rFonts w:hint="eastAsia" w:ascii="宋体" w:hAnsi="宋体" w:eastAsia="宋体" w:cs="宋体"/>
                <w:color w:val="auto"/>
                <w:szCs w:val="21"/>
                <w:highlight w:val="none"/>
              </w:rPr>
            </w:pPr>
          </w:p>
        </w:tc>
        <w:tc>
          <w:tcPr>
            <w:tcW w:w="525" w:type="dxa"/>
            <w:vMerge w:val="restart"/>
            <w:vAlign w:val="center"/>
          </w:tcPr>
          <w:p w14:paraId="47DE93F3">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w:t>
            </w:r>
          </w:p>
          <w:p w14:paraId="32DB924C">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w:t>
            </w:r>
          </w:p>
        </w:tc>
        <w:tc>
          <w:tcPr>
            <w:tcW w:w="1545" w:type="dxa"/>
            <w:vAlign w:val="center"/>
          </w:tcPr>
          <w:p w14:paraId="29A4B7DE">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配电线路</w:t>
            </w:r>
          </w:p>
        </w:tc>
        <w:tc>
          <w:tcPr>
            <w:tcW w:w="6645" w:type="dxa"/>
            <w:vAlign w:val="center"/>
          </w:tcPr>
          <w:p w14:paraId="5215425C">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按照TN-S系统要求配备五芯电缆、四芯电缆和三芯电缆。</w:t>
            </w:r>
          </w:p>
          <w:p w14:paraId="6F68CDE3">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按要求架设临时用电线路的电杆、横担、瓷夹、瓷瓶等，或电缆埋地的地沟。</w:t>
            </w:r>
          </w:p>
          <w:p w14:paraId="2D223FEB">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对靠近施工现场的外电线路，设置木质、塑料等绝缘体的防护设施。</w:t>
            </w:r>
          </w:p>
        </w:tc>
      </w:tr>
      <w:tr w14:paraId="73E17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0CEC742">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5C25729F">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4BF049F9">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配电箱</w:t>
            </w:r>
          </w:p>
          <w:p w14:paraId="0FA9D413">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645" w:type="dxa"/>
            <w:vAlign w:val="center"/>
          </w:tcPr>
          <w:p w14:paraId="0AFB7C9D">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按三级配电要求，配备总配电箱、分配电箱、开关箱三类（铁质）标准电箱，开关箱应符合“一机、一箱、一闸、一漏”，三类电箱中的各类电器应是合格品。</w:t>
            </w:r>
          </w:p>
          <w:p w14:paraId="76C035A2">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按两级保护的要求，选取符合容量要求和质量合格的总配电箱和开关箱中的漏电保护器。</w:t>
            </w:r>
          </w:p>
          <w:p w14:paraId="3E0EAE93">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对大型、落地式分配电箱、开关箱设置防护棚和通透式围挡。</w:t>
            </w:r>
          </w:p>
        </w:tc>
      </w:tr>
      <w:tr w14:paraId="731B1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14:paraId="295E65E6">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4A866BFD">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75622EF9">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接地装置</w:t>
            </w:r>
          </w:p>
        </w:tc>
        <w:tc>
          <w:tcPr>
            <w:tcW w:w="6645" w:type="dxa"/>
            <w:vAlign w:val="center"/>
          </w:tcPr>
          <w:p w14:paraId="3A58B308">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施工现场应设置不少于三处的重复接地装置。</w:t>
            </w:r>
          </w:p>
        </w:tc>
      </w:tr>
      <w:tr w14:paraId="786D6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14:paraId="540D71BC">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572473B0">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7F674FE5">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现场变配电装置</w:t>
            </w:r>
          </w:p>
        </w:tc>
        <w:tc>
          <w:tcPr>
            <w:tcW w:w="6645" w:type="dxa"/>
            <w:vAlign w:val="center"/>
          </w:tcPr>
          <w:p w14:paraId="6ACAAADF">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总配电房建筑材料必须达到消防防火要求，室内做硬地坪、电缆沟。</w:t>
            </w:r>
          </w:p>
        </w:tc>
      </w:tr>
      <w:tr w14:paraId="58C64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38" w:type="dxa"/>
            <w:vAlign w:val="center"/>
          </w:tcPr>
          <w:p w14:paraId="13A90B57">
            <w:pPr>
              <w:pStyle w:val="258"/>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2070" w:type="dxa"/>
            <w:gridSpan w:val="2"/>
            <w:vAlign w:val="center"/>
          </w:tcPr>
          <w:p w14:paraId="4320B2E0">
            <w:pPr>
              <w:pStyle w:val="258"/>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645" w:type="dxa"/>
            <w:vAlign w:val="center"/>
          </w:tcPr>
          <w:p w14:paraId="713CEED6">
            <w:pPr>
              <w:pStyle w:val="258"/>
              <w:spacing w:line="3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主要内容和要求</w:t>
            </w:r>
          </w:p>
        </w:tc>
      </w:tr>
      <w:tr w14:paraId="369B8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14:paraId="6559F26D">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安全施工</w:t>
            </w:r>
          </w:p>
        </w:tc>
        <w:tc>
          <w:tcPr>
            <w:tcW w:w="525" w:type="dxa"/>
            <w:vMerge w:val="restart"/>
            <w:vAlign w:val="center"/>
          </w:tcPr>
          <w:p w14:paraId="4D14D34B">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高处作业防护</w:t>
            </w:r>
          </w:p>
        </w:tc>
        <w:tc>
          <w:tcPr>
            <w:tcW w:w="1545" w:type="dxa"/>
            <w:vAlign w:val="center"/>
          </w:tcPr>
          <w:p w14:paraId="616CAB2A">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楼层、屋面、阳台等临边</w:t>
            </w:r>
          </w:p>
        </w:tc>
        <w:tc>
          <w:tcPr>
            <w:tcW w:w="6645" w:type="dxa"/>
            <w:vAlign w:val="center"/>
          </w:tcPr>
          <w:p w14:paraId="7024917A">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设两道防护栏杆和18cm高的踢脚板，用密目式安全立网全封闭。</w:t>
            </w:r>
          </w:p>
        </w:tc>
      </w:tr>
      <w:tr w14:paraId="0759B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1DC4009A">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098C32AE">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48196F39">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通道口</w:t>
            </w:r>
          </w:p>
        </w:tc>
        <w:tc>
          <w:tcPr>
            <w:tcW w:w="6645" w:type="dxa"/>
            <w:vAlign w:val="center"/>
          </w:tcPr>
          <w:p w14:paraId="32215FCE">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设防护棚，防护棚应为不小于5cm厚的木板或两道相距50cm的竹笆。两侧应沿栏杆架用密目式安全网封闭。</w:t>
            </w:r>
          </w:p>
        </w:tc>
      </w:tr>
      <w:tr w14:paraId="5D929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56878869">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3DF9B39A">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6B43714F">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预留洞口</w:t>
            </w:r>
          </w:p>
        </w:tc>
        <w:tc>
          <w:tcPr>
            <w:tcW w:w="6645" w:type="dxa"/>
            <w:vAlign w:val="center"/>
          </w:tcPr>
          <w:p w14:paraId="5FC2F2BC">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用硬质材料全封闭，短边超过1.5m长的洞口，除封闭外四周还应设有防护栏杆。</w:t>
            </w:r>
          </w:p>
        </w:tc>
      </w:tr>
      <w:tr w14:paraId="5130E6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14:paraId="1B43B9D5">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21A54D28">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7D5563AF">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电梯井口</w:t>
            </w:r>
          </w:p>
        </w:tc>
        <w:tc>
          <w:tcPr>
            <w:tcW w:w="6645" w:type="dxa"/>
            <w:vAlign w:val="center"/>
          </w:tcPr>
          <w:p w14:paraId="5EFD8660">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设置定型化、工具化的防护门，在电梯井内每隔2层（不大于10m）设置一道水平防护。</w:t>
            </w:r>
          </w:p>
        </w:tc>
      </w:tr>
      <w:tr w14:paraId="73424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7C08F649">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062459E6">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3C4B46E0">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楼梯边</w:t>
            </w:r>
          </w:p>
        </w:tc>
        <w:tc>
          <w:tcPr>
            <w:tcW w:w="6645" w:type="dxa"/>
            <w:vAlign w:val="center"/>
          </w:tcPr>
          <w:p w14:paraId="72497AA6">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设1.2m高的定型化、工具化的防护栏，18cm高的踢脚板。</w:t>
            </w:r>
          </w:p>
        </w:tc>
      </w:tr>
      <w:tr w14:paraId="584E1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64D77F8F">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1077DDF9">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79BC8EE3">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垂直方向交叉作业</w:t>
            </w:r>
          </w:p>
        </w:tc>
        <w:tc>
          <w:tcPr>
            <w:tcW w:w="6645" w:type="dxa"/>
            <w:vAlign w:val="center"/>
          </w:tcPr>
          <w:p w14:paraId="22FA5FB1">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设置防护隔离棚或其它设施。</w:t>
            </w:r>
          </w:p>
        </w:tc>
      </w:tr>
      <w:tr w14:paraId="06095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53D56924">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37BFAF99">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334F67D5">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w:t>
            </w:r>
          </w:p>
        </w:tc>
        <w:tc>
          <w:tcPr>
            <w:tcW w:w="6645" w:type="dxa"/>
            <w:vAlign w:val="center"/>
          </w:tcPr>
          <w:p w14:paraId="28A49C34">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有悬挂安全带的悬索或其它设施，有操作平台，有上下的梯子或其它形式的通道。</w:t>
            </w:r>
          </w:p>
        </w:tc>
      </w:tr>
      <w:tr w14:paraId="085F9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3BA9DB0E">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28033A28">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77B06367">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基坑、物料平台</w:t>
            </w:r>
          </w:p>
        </w:tc>
        <w:tc>
          <w:tcPr>
            <w:tcW w:w="6645" w:type="dxa"/>
            <w:vAlign w:val="center"/>
          </w:tcPr>
          <w:p w14:paraId="64F14145">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设1.2m高标准化的防护栏，用密目式安全立网封闭，悬挂标识。</w:t>
            </w:r>
          </w:p>
        </w:tc>
      </w:tr>
      <w:tr w14:paraId="4A2FD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67F92535">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6775755E">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安全防护用品</w:t>
            </w:r>
          </w:p>
        </w:tc>
        <w:tc>
          <w:tcPr>
            <w:tcW w:w="6645" w:type="dxa"/>
            <w:vAlign w:val="center"/>
          </w:tcPr>
          <w:p w14:paraId="0C1E746C">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安全帽、安全带、特种作业人员（电工、焊工、架子工等）防护服装、用品等。</w:t>
            </w:r>
          </w:p>
        </w:tc>
      </w:tr>
      <w:tr w14:paraId="5DC30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14:paraId="510E6A06">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tc>
        <w:tc>
          <w:tcPr>
            <w:tcW w:w="525" w:type="dxa"/>
            <w:vMerge w:val="restart"/>
            <w:vAlign w:val="center"/>
          </w:tcPr>
          <w:p w14:paraId="14F1C69A">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机械设备防护</w:t>
            </w:r>
          </w:p>
        </w:tc>
        <w:tc>
          <w:tcPr>
            <w:tcW w:w="1545" w:type="dxa"/>
            <w:vAlign w:val="center"/>
          </w:tcPr>
          <w:p w14:paraId="766E2FBE">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中小型机械</w:t>
            </w:r>
          </w:p>
        </w:tc>
        <w:tc>
          <w:tcPr>
            <w:tcW w:w="6645" w:type="dxa"/>
            <w:vAlign w:val="center"/>
          </w:tcPr>
          <w:p w14:paraId="6FA0AEBC">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设防护棚（同通道口防护并有防雨措施）。</w:t>
            </w:r>
          </w:p>
        </w:tc>
      </w:tr>
      <w:tr w14:paraId="619F8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4394D82">
            <w:pPr>
              <w:pStyle w:val="258"/>
              <w:spacing w:line="300" w:lineRule="exact"/>
              <w:jc w:val="center"/>
              <w:rPr>
                <w:rFonts w:hint="eastAsia" w:ascii="宋体" w:hAnsi="宋体" w:eastAsia="宋体" w:cs="宋体"/>
                <w:color w:val="auto"/>
                <w:szCs w:val="21"/>
                <w:highlight w:val="none"/>
              </w:rPr>
            </w:pPr>
          </w:p>
        </w:tc>
        <w:tc>
          <w:tcPr>
            <w:tcW w:w="525" w:type="dxa"/>
            <w:vMerge w:val="continue"/>
            <w:vAlign w:val="center"/>
          </w:tcPr>
          <w:p w14:paraId="2B4C2201">
            <w:pPr>
              <w:pStyle w:val="258"/>
              <w:spacing w:line="300" w:lineRule="exact"/>
              <w:jc w:val="center"/>
              <w:rPr>
                <w:rFonts w:hint="eastAsia" w:ascii="宋体" w:hAnsi="宋体" w:eastAsia="宋体" w:cs="宋体"/>
                <w:color w:val="auto"/>
                <w:szCs w:val="21"/>
                <w:highlight w:val="none"/>
              </w:rPr>
            </w:pPr>
          </w:p>
        </w:tc>
        <w:tc>
          <w:tcPr>
            <w:tcW w:w="1545" w:type="dxa"/>
            <w:vAlign w:val="center"/>
          </w:tcPr>
          <w:p w14:paraId="618956E1">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垂直运输设备</w:t>
            </w:r>
          </w:p>
        </w:tc>
        <w:tc>
          <w:tcPr>
            <w:tcW w:w="6645" w:type="dxa"/>
            <w:vAlign w:val="center"/>
          </w:tcPr>
          <w:p w14:paraId="112FFC3C">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垂直运输设备检测、检验、日常维护、保养等。</w:t>
            </w:r>
          </w:p>
          <w:p w14:paraId="5E9F5A0D">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物料提升机、施工电梯等物料平台搭设、外侧用密目式安全立网全封闭，有安全通道、安全防护门、防护棚等。</w:t>
            </w:r>
          </w:p>
        </w:tc>
      </w:tr>
      <w:tr w14:paraId="246FF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5E511BEB">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1BB910E6">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专家论证审查</w:t>
            </w:r>
          </w:p>
        </w:tc>
        <w:tc>
          <w:tcPr>
            <w:tcW w:w="6645" w:type="dxa"/>
            <w:vAlign w:val="center"/>
          </w:tcPr>
          <w:p w14:paraId="2F9D5A1E">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超过一定规模的危险性较大分部分项工程专家论证审查。</w:t>
            </w:r>
          </w:p>
        </w:tc>
      </w:tr>
      <w:tr w14:paraId="0014B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14:paraId="1C679C1E">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2EFB9F7A">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应急救援预案</w:t>
            </w:r>
          </w:p>
        </w:tc>
        <w:tc>
          <w:tcPr>
            <w:tcW w:w="6645" w:type="dxa"/>
            <w:vAlign w:val="center"/>
          </w:tcPr>
          <w:p w14:paraId="01A72CCE">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救援器材准备及演练等。</w:t>
            </w:r>
          </w:p>
        </w:tc>
      </w:tr>
      <w:tr w14:paraId="0095E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14:paraId="436EFB21">
            <w:pPr>
              <w:pStyle w:val="258"/>
              <w:spacing w:line="300" w:lineRule="exact"/>
              <w:jc w:val="center"/>
              <w:rPr>
                <w:rFonts w:hint="eastAsia" w:ascii="宋体" w:hAnsi="宋体" w:eastAsia="宋体" w:cs="宋体"/>
                <w:color w:val="auto"/>
                <w:szCs w:val="21"/>
                <w:highlight w:val="none"/>
              </w:rPr>
            </w:pPr>
          </w:p>
        </w:tc>
        <w:tc>
          <w:tcPr>
            <w:tcW w:w="2070" w:type="dxa"/>
            <w:gridSpan w:val="2"/>
            <w:vAlign w:val="center"/>
          </w:tcPr>
          <w:p w14:paraId="78F75D65">
            <w:pPr>
              <w:pStyle w:val="258"/>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非正常情况施工</w:t>
            </w:r>
          </w:p>
        </w:tc>
        <w:tc>
          <w:tcPr>
            <w:tcW w:w="6645" w:type="dxa"/>
            <w:vAlign w:val="center"/>
          </w:tcPr>
          <w:p w14:paraId="04B510EC">
            <w:pPr>
              <w:pStyle w:val="258"/>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其它特殊情况下的防护费用，如：城市主干道、人流密集、河边等处施工及文物、古建筑、古树保护等。</w:t>
            </w:r>
          </w:p>
        </w:tc>
      </w:tr>
    </w:tbl>
    <w:p w14:paraId="5110EC6A">
      <w:pPr>
        <w:pStyle w:val="29"/>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注：本表所列建设工程安全文明施工费，是依据现行法律法规及标准、规范确定的。如法律法规和标准、规范修订，本表所列项目应按照修订后的法律法规和标准规范进行调整。</w:t>
      </w:r>
    </w:p>
    <w:p w14:paraId="1C2EF9F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p w14:paraId="15297CF3">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10.本工程拟投入列入节能产品政府采购品目清单及环境标志产品政府采购品目清单的货物清单。</w:t>
      </w:r>
      <w:r>
        <w:rPr>
          <w:rFonts w:hint="eastAsia" w:ascii="宋体" w:hAnsi="宋体" w:eastAsia="宋体" w:cs="宋体"/>
          <w:b/>
          <w:color w:val="auto"/>
          <w:szCs w:val="21"/>
          <w:highlight w:val="none"/>
        </w:rPr>
        <w:t>（如有，须提供）</w:t>
      </w:r>
    </w:p>
    <w:p w14:paraId="47002B76">
      <w:pPr>
        <w:snapToGrid w:val="0"/>
        <w:spacing w:before="50" w:after="120" w:afterLines="50"/>
        <w:jc w:val="left"/>
        <w:rPr>
          <w:rFonts w:hint="eastAsia" w:ascii="宋体" w:hAnsi="宋体" w:eastAsia="宋体" w:cs="宋体"/>
          <w:color w:val="auto"/>
          <w:szCs w:val="21"/>
          <w:highlight w:val="none"/>
        </w:rPr>
      </w:pPr>
      <w:bookmarkStart w:id="225" w:name="_Hlk89190963"/>
      <w:r>
        <w:rPr>
          <w:rFonts w:hint="eastAsia" w:ascii="宋体" w:hAnsi="宋体" w:eastAsia="宋体" w:cs="宋体"/>
          <w:color w:val="auto"/>
          <w:szCs w:val="21"/>
          <w:highlight w:val="none"/>
        </w:rPr>
        <w:t>10.1建筑材料和设备节能环保要求承诺书</w:t>
      </w:r>
    </w:p>
    <w:p w14:paraId="1C901ACD">
      <w:pPr>
        <w:spacing w:line="520" w:lineRule="exact"/>
        <w:ind w:left="-10" w:firstLine="455" w:firstLineChars="217"/>
        <w:jc w:val="left"/>
        <w:rPr>
          <w:rFonts w:hint="eastAsia" w:ascii="宋体" w:hAnsi="宋体" w:eastAsia="宋体" w:cs="宋体"/>
          <w:color w:val="auto"/>
          <w:highlight w:val="none"/>
        </w:rPr>
      </w:pPr>
      <w:r>
        <w:rPr>
          <w:rFonts w:hint="eastAsia" w:ascii="宋体" w:hAnsi="宋体" w:eastAsia="宋体" w:cs="宋体"/>
          <w:color w:val="auto"/>
          <w:highlight w:val="none"/>
        </w:rPr>
        <w:t>我方承诺，一旦中标，我方保证严格执行《财政部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建设单位及有关主管部门的处罚。</w:t>
      </w:r>
    </w:p>
    <w:p w14:paraId="0D5C9F20">
      <w:pPr>
        <w:spacing w:line="520" w:lineRule="exact"/>
        <w:ind w:left="-10" w:firstLine="455" w:firstLineChars="217"/>
        <w:jc w:val="left"/>
        <w:rPr>
          <w:rFonts w:hint="eastAsia" w:ascii="宋体" w:hAnsi="宋体" w:eastAsia="宋体" w:cs="宋体"/>
          <w:color w:val="auto"/>
          <w:highlight w:val="none"/>
        </w:rPr>
      </w:pPr>
    </w:p>
    <w:p w14:paraId="7FFA0CB6">
      <w:pPr>
        <w:tabs>
          <w:tab w:val="left" w:pos="4860"/>
        </w:tabs>
        <w:spacing w:line="360" w:lineRule="auto"/>
        <w:ind w:right="1560" w:firstLine="444" w:firstLineChars="200"/>
        <w:contextualSpacing/>
        <w:jc w:val="righ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单位名称（盖法人单位电子印章）：</w:t>
      </w:r>
    </w:p>
    <w:p w14:paraId="53B3B4D2">
      <w:pPr>
        <w:wordWrap w:val="0"/>
        <w:ind w:firstLine="444" w:firstLineChars="200"/>
        <w:jc w:val="right"/>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 xml:space="preserve">                                     日  期：             </w:t>
      </w:r>
    </w:p>
    <w:p w14:paraId="137428B4">
      <w:pPr>
        <w:snapToGrid w:val="0"/>
        <w:spacing w:before="50" w:after="120" w:afterLines="50"/>
        <w:jc w:val="left"/>
        <w:rPr>
          <w:rFonts w:hint="eastAsia" w:ascii="宋体" w:hAnsi="宋体" w:eastAsia="宋体" w:cs="宋体"/>
          <w:color w:val="auto"/>
          <w:szCs w:val="21"/>
          <w:highlight w:val="none"/>
        </w:rPr>
      </w:pPr>
    </w:p>
    <w:p w14:paraId="5E50E014">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10.2响应产品中如有列入节能产品政府采购品目清单及环境标志产品政府采购品目清单的货物，应按下表提供清单。</w:t>
      </w:r>
    </w:p>
    <w:p w14:paraId="0E5F5DC8">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节能产品及环境标志产品清单</w:t>
      </w:r>
    </w:p>
    <w:tbl>
      <w:tblPr>
        <w:tblStyle w:val="56"/>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1FB301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49A7C96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3DEC747B">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19E60557">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159A792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22DD4238">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1DCF3E4C">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30DD34EE">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57289BB5">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B7941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764E3B8B">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027D37DB">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7202A26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362A4571">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55FDEB88">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5D5CC9C">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D1169C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D00C362">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r>
      <w:tr w14:paraId="0EC04C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20BAE8CA">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2208F216">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DEF68C3">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324D93BB">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321D27A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F19B9F6">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58257129">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905A358">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r>
      <w:tr w14:paraId="6C457C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D011CF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5FCC8850">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24416EBB">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E2AB654">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081063DF">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11E95E79">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428C23BF">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EA9C614">
            <w:pPr>
              <w:widowControl/>
              <w:spacing w:before="100" w:beforeAutospacing="1" w:after="100" w:afterAutospacing="1" w:line="376" w:lineRule="atLeast"/>
              <w:jc w:val="center"/>
              <w:rPr>
                <w:rFonts w:hint="eastAsia" w:ascii="宋体" w:hAnsi="宋体" w:eastAsia="宋体" w:cs="宋体"/>
                <w:color w:val="auto"/>
                <w:kern w:val="0"/>
                <w:szCs w:val="21"/>
                <w:highlight w:val="none"/>
              </w:rPr>
            </w:pPr>
          </w:p>
        </w:tc>
      </w:tr>
    </w:tbl>
    <w:p w14:paraId="36377299">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注：类别填写节能或环境标志，品目填写编号及产品名称如A02010104台式计算机。</w:t>
      </w:r>
    </w:p>
    <w:bookmarkEnd w:id="225"/>
    <w:p w14:paraId="659400E3">
      <w:pPr>
        <w:snapToGrid w:val="0"/>
        <w:spacing w:before="50" w:after="120" w:afterLines="50"/>
        <w:jc w:val="left"/>
        <w:rPr>
          <w:rFonts w:hint="eastAsia" w:ascii="宋体" w:hAnsi="宋体" w:eastAsia="宋体" w:cs="宋体"/>
          <w:color w:val="auto"/>
          <w:szCs w:val="21"/>
          <w:highlight w:val="none"/>
        </w:rPr>
      </w:pPr>
    </w:p>
    <w:p w14:paraId="016D8F8E">
      <w:pPr>
        <w:snapToGrid w:val="0"/>
        <w:spacing w:before="50" w:after="120" w:afterLines="50"/>
        <w:jc w:val="left"/>
        <w:rPr>
          <w:rFonts w:hint="eastAsia" w:ascii="宋体" w:hAnsi="宋体" w:eastAsia="宋体" w:cs="宋体"/>
          <w:color w:val="auto"/>
          <w:szCs w:val="21"/>
          <w:highlight w:val="none"/>
        </w:rPr>
      </w:pPr>
    </w:p>
    <w:p w14:paraId="484893DB">
      <w:pPr>
        <w:snapToGrid w:val="0"/>
        <w:spacing w:before="50" w:after="120" w:afterLines="50"/>
        <w:jc w:val="left"/>
        <w:rPr>
          <w:rFonts w:hint="eastAsia" w:ascii="宋体" w:hAnsi="宋体" w:eastAsia="宋体" w:cs="宋体"/>
          <w:color w:val="auto"/>
          <w:szCs w:val="21"/>
          <w:highlight w:val="none"/>
        </w:rPr>
      </w:pPr>
    </w:p>
    <w:p w14:paraId="23950043">
      <w:pPr>
        <w:snapToGrid w:val="0"/>
        <w:spacing w:before="50" w:after="120" w:afterLines="50" w:line="440" w:lineRule="exact"/>
        <w:jc w:val="left"/>
        <w:rPr>
          <w:rFonts w:hint="eastAsia" w:ascii="宋体" w:hAnsi="宋体" w:eastAsia="宋体" w:cs="宋体"/>
          <w:b/>
          <w:color w:val="auto"/>
          <w:highlight w:val="none"/>
        </w:rPr>
      </w:pPr>
      <w:r>
        <w:rPr>
          <w:rFonts w:hint="eastAsia" w:ascii="宋体" w:hAnsi="宋体" w:eastAsia="宋体" w:cs="宋体"/>
          <w:color w:val="auto"/>
          <w:highlight w:val="none"/>
        </w:rPr>
        <w:t>11．</w:t>
      </w:r>
      <w:r>
        <w:rPr>
          <w:rFonts w:hint="eastAsia" w:ascii="宋体" w:hAnsi="宋体" w:eastAsia="宋体" w:cs="宋体"/>
          <w:color w:val="auto"/>
          <w:szCs w:val="21"/>
          <w:highlight w:val="none"/>
        </w:rPr>
        <w:t>磋商保证金缴纳证明。</w:t>
      </w:r>
      <w:r>
        <w:rPr>
          <w:rFonts w:hint="eastAsia" w:ascii="宋体" w:hAnsi="宋体" w:eastAsia="宋体" w:cs="宋体"/>
          <w:b/>
          <w:color w:val="auto"/>
          <w:highlight w:val="none"/>
        </w:rPr>
        <w:t>（如采购文件有要求时提供）</w:t>
      </w:r>
    </w:p>
    <w:p w14:paraId="3F566C67">
      <w:pPr>
        <w:snapToGrid w:val="0"/>
        <w:spacing w:before="50" w:after="120" w:afterLines="50"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以转账、电汇形式缴纳的，提供转账、电汇凭证</w:t>
      </w:r>
      <w:r>
        <w:rPr>
          <w:rFonts w:hint="eastAsia" w:ascii="宋体" w:hAnsi="宋体" w:eastAsia="宋体" w:cs="宋体"/>
          <w:color w:val="auto"/>
          <w:szCs w:val="21"/>
          <w:highlight w:val="none"/>
        </w:rPr>
        <w:t>扫描件</w:t>
      </w:r>
      <w:r>
        <w:rPr>
          <w:rFonts w:hint="eastAsia" w:ascii="宋体" w:hAnsi="宋体" w:eastAsia="宋体" w:cs="宋体"/>
          <w:color w:val="auto"/>
          <w:highlight w:val="none"/>
        </w:rPr>
        <w:t>（网银可提供截图）加盖供应商电子签章；</w:t>
      </w:r>
    </w:p>
    <w:p w14:paraId="51DBE0E7">
      <w:pPr>
        <w:snapToGrid w:val="0"/>
        <w:spacing w:before="50" w:after="120" w:afterLines="50"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以其他非现金形式缴纳的，提供原件</w:t>
      </w:r>
      <w:r>
        <w:rPr>
          <w:rFonts w:hint="eastAsia" w:ascii="宋体" w:hAnsi="宋体" w:eastAsia="宋体" w:cs="宋体"/>
          <w:color w:val="auto"/>
          <w:szCs w:val="21"/>
          <w:highlight w:val="none"/>
        </w:rPr>
        <w:t>扫描件</w:t>
      </w:r>
      <w:r>
        <w:rPr>
          <w:rFonts w:hint="eastAsia" w:ascii="宋体" w:hAnsi="宋体" w:eastAsia="宋体" w:cs="宋体"/>
          <w:color w:val="auto"/>
          <w:highlight w:val="none"/>
        </w:rPr>
        <w:t>加盖供应商电子签章。</w:t>
      </w:r>
    </w:p>
    <w:p w14:paraId="28CA6287">
      <w:pPr>
        <w:snapToGrid w:val="0"/>
        <w:spacing w:before="50" w:after="120" w:afterLines="50"/>
        <w:jc w:val="left"/>
        <w:rPr>
          <w:rFonts w:hint="eastAsia" w:ascii="宋体" w:hAnsi="宋体" w:eastAsia="宋体" w:cs="宋体"/>
          <w:color w:val="auto"/>
          <w:szCs w:val="21"/>
          <w:highlight w:val="none"/>
        </w:rPr>
      </w:pPr>
    </w:p>
    <w:p w14:paraId="52D94E9B">
      <w:pPr>
        <w:snapToGrid w:val="0"/>
        <w:spacing w:before="50" w:after="120" w:afterLines="50" w:line="400" w:lineRule="exact"/>
        <w:jc w:val="left"/>
        <w:rPr>
          <w:rFonts w:hint="eastAsia" w:ascii="宋体" w:hAnsi="宋体" w:eastAsia="宋体" w:cs="宋体"/>
          <w:bCs/>
          <w:color w:val="auto"/>
          <w:sz w:val="24"/>
          <w:highlight w:val="none"/>
        </w:rPr>
      </w:pPr>
      <w:r>
        <w:rPr>
          <w:rFonts w:hint="eastAsia" w:ascii="宋体" w:hAnsi="宋体" w:eastAsia="宋体" w:cs="宋体"/>
          <w:color w:val="auto"/>
          <w:szCs w:val="21"/>
          <w:highlight w:val="none"/>
        </w:rPr>
        <w:t>12．供应商认为应当要提交的其他资格证明材料。</w:t>
      </w:r>
      <w:r>
        <w:rPr>
          <w:rFonts w:hint="eastAsia" w:ascii="宋体" w:hAnsi="宋体" w:eastAsia="宋体" w:cs="宋体"/>
          <w:bCs/>
          <w:color w:val="auto"/>
          <w:sz w:val="24"/>
          <w:highlight w:val="none"/>
        </w:rPr>
        <w:t xml:space="preserve"> </w:t>
      </w:r>
    </w:p>
    <w:p w14:paraId="284128C5">
      <w:pPr>
        <w:snapToGrid w:val="0"/>
        <w:spacing w:before="120" w:beforeLines="50" w:after="50" w:line="440" w:lineRule="exact"/>
        <w:jc w:val="center"/>
        <w:outlineLvl w:val="1"/>
        <w:rPr>
          <w:rFonts w:hint="eastAsia" w:ascii="宋体" w:hAnsi="宋体" w:eastAsia="宋体" w:cs="宋体"/>
          <w:bCs/>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Cs/>
          <w:color w:val="auto"/>
          <w:sz w:val="24"/>
          <w:highlight w:val="none"/>
        </w:rPr>
        <w:t>第二部分 商务技术文件</w:t>
      </w:r>
    </w:p>
    <w:p w14:paraId="15E7E047">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1.供应商可根据采购文件、图纸及对现场的勘察情况，编制施工组织设计，可参考以下提纲，也可自行编制</w:t>
      </w:r>
    </w:p>
    <w:p w14:paraId="165A314C">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施工组织设计编制大纲：</w:t>
      </w:r>
    </w:p>
    <w:p w14:paraId="7F6AE1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（1）概述</w:t>
      </w:r>
    </w:p>
    <w:p w14:paraId="4F2A0E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（2）主要施工方法；</w:t>
      </w:r>
    </w:p>
    <w:p w14:paraId="53F8606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（3）拟投入的主要物资计划</w:t>
      </w:r>
    </w:p>
    <w:p w14:paraId="1E11EC7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kern w:val="0"/>
          <w:highlight w:val="none"/>
        </w:rPr>
        <w:t>拟投入的主要施工机械、设备计划</w:t>
      </w:r>
    </w:p>
    <w:p w14:paraId="5D529D0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（5）劳动力安排计划；</w:t>
      </w:r>
    </w:p>
    <w:p w14:paraId="42B2C36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（6）确保工程质量的技术组织措施；</w:t>
      </w:r>
    </w:p>
    <w:p w14:paraId="2DE1AE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（7）确保安全生产的技术组织措施；</w:t>
      </w:r>
    </w:p>
    <w:p w14:paraId="2CB8A8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（8）确保工期的技术组织措施；</w:t>
      </w:r>
    </w:p>
    <w:p w14:paraId="2D3150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（9）确保文明施工的技术组织措施；</w:t>
      </w:r>
    </w:p>
    <w:p w14:paraId="73233F1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（10）工程施工的重点和难点及保证措施；</w:t>
      </w:r>
    </w:p>
    <w:p w14:paraId="2EC3D1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（11）施工总平面布置图；</w:t>
      </w:r>
    </w:p>
    <w:p w14:paraId="565651F0">
      <w:pPr>
        <w:snapToGrid w:val="0"/>
        <w:spacing w:before="50" w:after="120" w:afterLines="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（12）其他（如有）</w:t>
      </w:r>
    </w:p>
    <w:p w14:paraId="0F9C26C1">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585E98D">
      <w:pPr>
        <w:snapToGrid w:val="0"/>
        <w:spacing w:before="50" w:after="120" w:afterLines="50"/>
        <w:jc w:val="left"/>
        <w:rPr>
          <w:rFonts w:hint="eastAsia" w:ascii="宋体" w:hAnsi="宋体" w:eastAsia="宋体" w:cs="宋体"/>
          <w:color w:val="auto"/>
          <w:szCs w:val="21"/>
          <w:highlight w:val="none"/>
        </w:rPr>
      </w:pPr>
    </w:p>
    <w:p w14:paraId="75896FAF">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1.2施工组织设计除采用文字表述外可附下列图表，图表及格式要求附后。</w:t>
      </w:r>
    </w:p>
    <w:p w14:paraId="6997D469">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附表一  拟投入本工程的主要施工设备表</w:t>
      </w:r>
    </w:p>
    <w:p w14:paraId="586ACA09">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附表二  拟配备本工程的试验和检测仪器设备表</w:t>
      </w:r>
    </w:p>
    <w:p w14:paraId="1CD6741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附表三  劳动力计划表</w:t>
      </w:r>
    </w:p>
    <w:p w14:paraId="40A15293">
      <w:pPr>
        <w:snapToGrid w:val="0"/>
        <w:spacing w:before="50" w:after="120" w:afterLines="5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附表四  </w:t>
      </w:r>
      <w:r>
        <w:rPr>
          <w:rFonts w:hint="eastAsia" w:ascii="宋体" w:hAnsi="宋体" w:eastAsia="宋体" w:cs="宋体"/>
          <w:color w:val="auto"/>
          <w:highlight w:val="none"/>
        </w:rPr>
        <w:t>计划开、竣工日期和施工进度计划（网络图或横道图）</w:t>
      </w:r>
    </w:p>
    <w:p w14:paraId="69365C6F">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附表五  施工总平面图</w:t>
      </w:r>
    </w:p>
    <w:p w14:paraId="5870DCB6">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附表六  临时用地表</w:t>
      </w:r>
    </w:p>
    <w:p w14:paraId="28B6DB38">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附表七  拟分包计划表</w:t>
      </w:r>
    </w:p>
    <w:p w14:paraId="61037CB4">
      <w:pPr>
        <w:spacing w:line="460" w:lineRule="exact"/>
        <w:ind w:firstLine="420" w:firstLineChars="200"/>
        <w:rPr>
          <w:rFonts w:hint="eastAsia" w:ascii="宋体" w:hAnsi="宋体" w:eastAsia="宋体" w:cs="宋体"/>
          <w:color w:val="auto"/>
          <w:szCs w:val="21"/>
          <w:highlight w:val="none"/>
        </w:rPr>
      </w:pPr>
    </w:p>
    <w:p w14:paraId="0865289A">
      <w:pPr>
        <w:rPr>
          <w:rFonts w:hint="eastAsia" w:ascii="宋体" w:hAnsi="宋体" w:eastAsia="宋体" w:cs="宋体"/>
          <w:color w:val="auto"/>
          <w:szCs w:val="21"/>
          <w:highlight w:val="none"/>
        </w:rPr>
      </w:pPr>
      <w:r>
        <w:rPr>
          <w:rFonts w:hint="eastAsia" w:ascii="宋体" w:hAnsi="宋体" w:eastAsia="宋体" w:cs="宋体"/>
          <w:color w:val="auto"/>
          <w:highlight w:val="none"/>
        </w:rPr>
        <w:t>附表一：拟投入本</w:t>
      </w:r>
      <w:r>
        <w:rPr>
          <w:rFonts w:hint="eastAsia" w:ascii="宋体" w:hAnsi="宋体" w:eastAsia="宋体" w:cs="宋体"/>
          <w:color w:val="auto"/>
          <w:szCs w:val="21"/>
          <w:highlight w:val="none"/>
        </w:rPr>
        <w:t>工程</w:t>
      </w:r>
      <w:r>
        <w:rPr>
          <w:rFonts w:hint="eastAsia" w:ascii="宋体" w:hAnsi="宋体" w:eastAsia="宋体" w:cs="宋体"/>
          <w:color w:val="auto"/>
          <w:highlight w:val="none"/>
        </w:rPr>
        <w:t>的主要施工设备表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3B60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14:paraId="518CDF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26" w:type="dxa"/>
            <w:vAlign w:val="center"/>
          </w:tcPr>
          <w:p w14:paraId="0667B24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851" w:type="dxa"/>
            <w:vAlign w:val="center"/>
          </w:tcPr>
          <w:p w14:paraId="1D23CB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7FA342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708" w:type="dxa"/>
            <w:vAlign w:val="center"/>
          </w:tcPr>
          <w:p w14:paraId="412481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9" w:type="dxa"/>
            <w:vAlign w:val="center"/>
          </w:tcPr>
          <w:p w14:paraId="556DAA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41DD04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51" w:type="dxa"/>
            <w:vAlign w:val="center"/>
          </w:tcPr>
          <w:p w14:paraId="5BE39C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w:t>
            </w:r>
          </w:p>
          <w:p w14:paraId="3C9FCD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年份</w:t>
            </w:r>
          </w:p>
        </w:tc>
        <w:tc>
          <w:tcPr>
            <w:tcW w:w="1134" w:type="dxa"/>
            <w:vAlign w:val="center"/>
          </w:tcPr>
          <w:p w14:paraId="3DF36A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额定功率</w:t>
            </w:r>
          </w:p>
          <w:p w14:paraId="1B2CD1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992" w:type="dxa"/>
            <w:vAlign w:val="center"/>
          </w:tcPr>
          <w:p w14:paraId="58EDBDB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w:t>
            </w:r>
          </w:p>
          <w:p w14:paraId="048184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w:t>
            </w:r>
          </w:p>
        </w:tc>
        <w:tc>
          <w:tcPr>
            <w:tcW w:w="1134" w:type="dxa"/>
            <w:vAlign w:val="center"/>
          </w:tcPr>
          <w:p w14:paraId="0E4D3E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用于施</w:t>
            </w:r>
          </w:p>
          <w:p w14:paraId="50D553C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工部位</w:t>
            </w:r>
          </w:p>
        </w:tc>
        <w:tc>
          <w:tcPr>
            <w:tcW w:w="992" w:type="dxa"/>
            <w:vAlign w:val="center"/>
          </w:tcPr>
          <w:p w14:paraId="53FCCE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818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1BA8A031">
            <w:pPr>
              <w:spacing w:line="360" w:lineRule="auto"/>
              <w:rPr>
                <w:rFonts w:hint="eastAsia" w:ascii="宋体" w:hAnsi="宋体" w:eastAsia="宋体" w:cs="宋体"/>
                <w:color w:val="auto"/>
                <w:szCs w:val="21"/>
                <w:highlight w:val="none"/>
              </w:rPr>
            </w:pPr>
          </w:p>
        </w:tc>
        <w:tc>
          <w:tcPr>
            <w:tcW w:w="1226" w:type="dxa"/>
          </w:tcPr>
          <w:p w14:paraId="52F58D01">
            <w:pPr>
              <w:spacing w:line="360" w:lineRule="auto"/>
              <w:ind w:firstLine="420" w:firstLineChars="200"/>
              <w:rPr>
                <w:rFonts w:hint="eastAsia" w:ascii="宋体" w:hAnsi="宋体" w:eastAsia="宋体" w:cs="宋体"/>
                <w:color w:val="auto"/>
                <w:szCs w:val="21"/>
                <w:highlight w:val="none"/>
              </w:rPr>
            </w:pPr>
          </w:p>
        </w:tc>
        <w:tc>
          <w:tcPr>
            <w:tcW w:w="851" w:type="dxa"/>
          </w:tcPr>
          <w:p w14:paraId="4D75570A">
            <w:pPr>
              <w:spacing w:line="360" w:lineRule="auto"/>
              <w:rPr>
                <w:rFonts w:hint="eastAsia" w:ascii="宋体" w:hAnsi="宋体" w:eastAsia="宋体" w:cs="宋体"/>
                <w:color w:val="auto"/>
                <w:szCs w:val="21"/>
                <w:highlight w:val="none"/>
              </w:rPr>
            </w:pPr>
          </w:p>
        </w:tc>
        <w:tc>
          <w:tcPr>
            <w:tcW w:w="708" w:type="dxa"/>
          </w:tcPr>
          <w:p w14:paraId="4EC19028">
            <w:pPr>
              <w:spacing w:line="360" w:lineRule="auto"/>
              <w:rPr>
                <w:rFonts w:hint="eastAsia" w:ascii="宋体" w:hAnsi="宋体" w:eastAsia="宋体" w:cs="宋体"/>
                <w:color w:val="auto"/>
                <w:szCs w:val="21"/>
                <w:highlight w:val="none"/>
              </w:rPr>
            </w:pPr>
          </w:p>
        </w:tc>
        <w:tc>
          <w:tcPr>
            <w:tcW w:w="709" w:type="dxa"/>
          </w:tcPr>
          <w:p w14:paraId="30096E21">
            <w:pPr>
              <w:spacing w:line="360" w:lineRule="auto"/>
              <w:rPr>
                <w:rFonts w:hint="eastAsia" w:ascii="宋体" w:hAnsi="宋体" w:eastAsia="宋体" w:cs="宋体"/>
                <w:color w:val="auto"/>
                <w:szCs w:val="21"/>
                <w:highlight w:val="none"/>
              </w:rPr>
            </w:pPr>
          </w:p>
        </w:tc>
        <w:tc>
          <w:tcPr>
            <w:tcW w:w="851" w:type="dxa"/>
          </w:tcPr>
          <w:p w14:paraId="3CB5B473">
            <w:pPr>
              <w:spacing w:line="360" w:lineRule="auto"/>
              <w:rPr>
                <w:rFonts w:hint="eastAsia" w:ascii="宋体" w:hAnsi="宋体" w:eastAsia="宋体" w:cs="宋体"/>
                <w:color w:val="auto"/>
                <w:szCs w:val="21"/>
                <w:highlight w:val="none"/>
              </w:rPr>
            </w:pPr>
          </w:p>
        </w:tc>
        <w:tc>
          <w:tcPr>
            <w:tcW w:w="1134" w:type="dxa"/>
          </w:tcPr>
          <w:p w14:paraId="189AFDE0">
            <w:pPr>
              <w:spacing w:line="360" w:lineRule="auto"/>
              <w:rPr>
                <w:rFonts w:hint="eastAsia" w:ascii="宋体" w:hAnsi="宋体" w:eastAsia="宋体" w:cs="宋体"/>
                <w:color w:val="auto"/>
                <w:szCs w:val="21"/>
                <w:highlight w:val="none"/>
              </w:rPr>
            </w:pPr>
          </w:p>
        </w:tc>
        <w:tc>
          <w:tcPr>
            <w:tcW w:w="992" w:type="dxa"/>
          </w:tcPr>
          <w:p w14:paraId="2DD1C568">
            <w:pPr>
              <w:spacing w:line="360" w:lineRule="auto"/>
              <w:rPr>
                <w:rFonts w:hint="eastAsia" w:ascii="宋体" w:hAnsi="宋体" w:eastAsia="宋体" w:cs="宋体"/>
                <w:color w:val="auto"/>
                <w:szCs w:val="21"/>
                <w:highlight w:val="none"/>
              </w:rPr>
            </w:pPr>
          </w:p>
        </w:tc>
        <w:tc>
          <w:tcPr>
            <w:tcW w:w="1134" w:type="dxa"/>
          </w:tcPr>
          <w:p w14:paraId="18338411">
            <w:pPr>
              <w:spacing w:line="360" w:lineRule="auto"/>
              <w:rPr>
                <w:rFonts w:hint="eastAsia" w:ascii="宋体" w:hAnsi="宋体" w:eastAsia="宋体" w:cs="宋体"/>
                <w:color w:val="auto"/>
                <w:szCs w:val="21"/>
                <w:highlight w:val="none"/>
              </w:rPr>
            </w:pPr>
          </w:p>
        </w:tc>
        <w:tc>
          <w:tcPr>
            <w:tcW w:w="992" w:type="dxa"/>
          </w:tcPr>
          <w:p w14:paraId="3269C797">
            <w:pPr>
              <w:spacing w:line="360" w:lineRule="auto"/>
              <w:rPr>
                <w:rFonts w:hint="eastAsia" w:ascii="宋体" w:hAnsi="宋体" w:eastAsia="宋体" w:cs="宋体"/>
                <w:color w:val="auto"/>
                <w:szCs w:val="21"/>
                <w:highlight w:val="none"/>
              </w:rPr>
            </w:pPr>
          </w:p>
        </w:tc>
      </w:tr>
      <w:tr w14:paraId="78B5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2D720E2">
            <w:pPr>
              <w:spacing w:line="360" w:lineRule="auto"/>
              <w:rPr>
                <w:rFonts w:hint="eastAsia" w:ascii="宋体" w:hAnsi="宋体" w:eastAsia="宋体" w:cs="宋体"/>
                <w:color w:val="auto"/>
                <w:szCs w:val="21"/>
                <w:highlight w:val="none"/>
              </w:rPr>
            </w:pPr>
          </w:p>
        </w:tc>
        <w:tc>
          <w:tcPr>
            <w:tcW w:w="1226" w:type="dxa"/>
          </w:tcPr>
          <w:p w14:paraId="76C777E0">
            <w:pPr>
              <w:spacing w:line="360" w:lineRule="auto"/>
              <w:rPr>
                <w:rFonts w:hint="eastAsia" w:ascii="宋体" w:hAnsi="宋体" w:eastAsia="宋体" w:cs="宋体"/>
                <w:color w:val="auto"/>
                <w:szCs w:val="21"/>
                <w:highlight w:val="none"/>
              </w:rPr>
            </w:pPr>
          </w:p>
        </w:tc>
        <w:tc>
          <w:tcPr>
            <w:tcW w:w="851" w:type="dxa"/>
          </w:tcPr>
          <w:p w14:paraId="7B68221F">
            <w:pPr>
              <w:spacing w:line="360" w:lineRule="auto"/>
              <w:rPr>
                <w:rFonts w:hint="eastAsia" w:ascii="宋体" w:hAnsi="宋体" w:eastAsia="宋体" w:cs="宋体"/>
                <w:color w:val="auto"/>
                <w:szCs w:val="21"/>
                <w:highlight w:val="none"/>
              </w:rPr>
            </w:pPr>
          </w:p>
        </w:tc>
        <w:tc>
          <w:tcPr>
            <w:tcW w:w="708" w:type="dxa"/>
          </w:tcPr>
          <w:p w14:paraId="0AD3DD09">
            <w:pPr>
              <w:spacing w:line="360" w:lineRule="auto"/>
              <w:rPr>
                <w:rFonts w:hint="eastAsia" w:ascii="宋体" w:hAnsi="宋体" w:eastAsia="宋体" w:cs="宋体"/>
                <w:color w:val="auto"/>
                <w:szCs w:val="21"/>
                <w:highlight w:val="none"/>
              </w:rPr>
            </w:pPr>
          </w:p>
        </w:tc>
        <w:tc>
          <w:tcPr>
            <w:tcW w:w="709" w:type="dxa"/>
          </w:tcPr>
          <w:p w14:paraId="746EEB2B">
            <w:pPr>
              <w:spacing w:line="360" w:lineRule="auto"/>
              <w:rPr>
                <w:rFonts w:hint="eastAsia" w:ascii="宋体" w:hAnsi="宋体" w:eastAsia="宋体" w:cs="宋体"/>
                <w:color w:val="auto"/>
                <w:szCs w:val="21"/>
                <w:highlight w:val="none"/>
              </w:rPr>
            </w:pPr>
          </w:p>
        </w:tc>
        <w:tc>
          <w:tcPr>
            <w:tcW w:w="851" w:type="dxa"/>
          </w:tcPr>
          <w:p w14:paraId="4D8EDCEF">
            <w:pPr>
              <w:spacing w:line="360" w:lineRule="auto"/>
              <w:rPr>
                <w:rFonts w:hint="eastAsia" w:ascii="宋体" w:hAnsi="宋体" w:eastAsia="宋体" w:cs="宋体"/>
                <w:color w:val="auto"/>
                <w:szCs w:val="21"/>
                <w:highlight w:val="none"/>
              </w:rPr>
            </w:pPr>
          </w:p>
        </w:tc>
        <w:tc>
          <w:tcPr>
            <w:tcW w:w="1134" w:type="dxa"/>
          </w:tcPr>
          <w:p w14:paraId="789431D1">
            <w:pPr>
              <w:spacing w:line="360" w:lineRule="auto"/>
              <w:rPr>
                <w:rFonts w:hint="eastAsia" w:ascii="宋体" w:hAnsi="宋体" w:eastAsia="宋体" w:cs="宋体"/>
                <w:color w:val="auto"/>
                <w:szCs w:val="21"/>
                <w:highlight w:val="none"/>
              </w:rPr>
            </w:pPr>
          </w:p>
        </w:tc>
        <w:tc>
          <w:tcPr>
            <w:tcW w:w="992" w:type="dxa"/>
          </w:tcPr>
          <w:p w14:paraId="0857E562">
            <w:pPr>
              <w:spacing w:line="360" w:lineRule="auto"/>
              <w:rPr>
                <w:rFonts w:hint="eastAsia" w:ascii="宋体" w:hAnsi="宋体" w:eastAsia="宋体" w:cs="宋体"/>
                <w:color w:val="auto"/>
                <w:szCs w:val="21"/>
                <w:highlight w:val="none"/>
              </w:rPr>
            </w:pPr>
          </w:p>
        </w:tc>
        <w:tc>
          <w:tcPr>
            <w:tcW w:w="1134" w:type="dxa"/>
          </w:tcPr>
          <w:p w14:paraId="7A2F666F">
            <w:pPr>
              <w:spacing w:line="360" w:lineRule="auto"/>
              <w:rPr>
                <w:rFonts w:hint="eastAsia" w:ascii="宋体" w:hAnsi="宋体" w:eastAsia="宋体" w:cs="宋体"/>
                <w:color w:val="auto"/>
                <w:szCs w:val="21"/>
                <w:highlight w:val="none"/>
              </w:rPr>
            </w:pPr>
          </w:p>
        </w:tc>
        <w:tc>
          <w:tcPr>
            <w:tcW w:w="992" w:type="dxa"/>
          </w:tcPr>
          <w:p w14:paraId="2B383AC2">
            <w:pPr>
              <w:spacing w:line="360" w:lineRule="auto"/>
              <w:rPr>
                <w:rFonts w:hint="eastAsia" w:ascii="宋体" w:hAnsi="宋体" w:eastAsia="宋体" w:cs="宋体"/>
                <w:color w:val="auto"/>
                <w:szCs w:val="21"/>
                <w:highlight w:val="none"/>
              </w:rPr>
            </w:pPr>
          </w:p>
        </w:tc>
      </w:tr>
      <w:tr w14:paraId="74D0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73698840">
            <w:pPr>
              <w:spacing w:line="360" w:lineRule="auto"/>
              <w:rPr>
                <w:rFonts w:hint="eastAsia" w:ascii="宋体" w:hAnsi="宋体" w:eastAsia="宋体" w:cs="宋体"/>
                <w:color w:val="auto"/>
                <w:szCs w:val="21"/>
                <w:highlight w:val="none"/>
              </w:rPr>
            </w:pPr>
          </w:p>
        </w:tc>
        <w:tc>
          <w:tcPr>
            <w:tcW w:w="1226" w:type="dxa"/>
          </w:tcPr>
          <w:p w14:paraId="6822C4B5">
            <w:pPr>
              <w:spacing w:line="360" w:lineRule="auto"/>
              <w:rPr>
                <w:rFonts w:hint="eastAsia" w:ascii="宋体" w:hAnsi="宋体" w:eastAsia="宋体" w:cs="宋体"/>
                <w:color w:val="auto"/>
                <w:szCs w:val="21"/>
                <w:highlight w:val="none"/>
              </w:rPr>
            </w:pPr>
          </w:p>
        </w:tc>
        <w:tc>
          <w:tcPr>
            <w:tcW w:w="851" w:type="dxa"/>
          </w:tcPr>
          <w:p w14:paraId="21F0F2DC">
            <w:pPr>
              <w:spacing w:line="360" w:lineRule="auto"/>
              <w:rPr>
                <w:rFonts w:hint="eastAsia" w:ascii="宋体" w:hAnsi="宋体" w:eastAsia="宋体" w:cs="宋体"/>
                <w:color w:val="auto"/>
                <w:szCs w:val="21"/>
                <w:highlight w:val="none"/>
              </w:rPr>
            </w:pPr>
          </w:p>
        </w:tc>
        <w:tc>
          <w:tcPr>
            <w:tcW w:w="708" w:type="dxa"/>
          </w:tcPr>
          <w:p w14:paraId="6347EA93">
            <w:pPr>
              <w:spacing w:line="360" w:lineRule="auto"/>
              <w:rPr>
                <w:rFonts w:hint="eastAsia" w:ascii="宋体" w:hAnsi="宋体" w:eastAsia="宋体" w:cs="宋体"/>
                <w:color w:val="auto"/>
                <w:szCs w:val="21"/>
                <w:highlight w:val="none"/>
              </w:rPr>
            </w:pPr>
          </w:p>
        </w:tc>
        <w:tc>
          <w:tcPr>
            <w:tcW w:w="709" w:type="dxa"/>
          </w:tcPr>
          <w:p w14:paraId="574955E4">
            <w:pPr>
              <w:spacing w:line="360" w:lineRule="auto"/>
              <w:rPr>
                <w:rFonts w:hint="eastAsia" w:ascii="宋体" w:hAnsi="宋体" w:eastAsia="宋体" w:cs="宋体"/>
                <w:color w:val="auto"/>
                <w:szCs w:val="21"/>
                <w:highlight w:val="none"/>
              </w:rPr>
            </w:pPr>
          </w:p>
        </w:tc>
        <w:tc>
          <w:tcPr>
            <w:tcW w:w="851" w:type="dxa"/>
          </w:tcPr>
          <w:p w14:paraId="52FB5546">
            <w:pPr>
              <w:spacing w:line="360" w:lineRule="auto"/>
              <w:rPr>
                <w:rFonts w:hint="eastAsia" w:ascii="宋体" w:hAnsi="宋体" w:eastAsia="宋体" w:cs="宋体"/>
                <w:color w:val="auto"/>
                <w:szCs w:val="21"/>
                <w:highlight w:val="none"/>
              </w:rPr>
            </w:pPr>
          </w:p>
        </w:tc>
        <w:tc>
          <w:tcPr>
            <w:tcW w:w="1134" w:type="dxa"/>
          </w:tcPr>
          <w:p w14:paraId="7E401A8D">
            <w:pPr>
              <w:spacing w:line="360" w:lineRule="auto"/>
              <w:rPr>
                <w:rFonts w:hint="eastAsia" w:ascii="宋体" w:hAnsi="宋体" w:eastAsia="宋体" w:cs="宋体"/>
                <w:color w:val="auto"/>
                <w:szCs w:val="21"/>
                <w:highlight w:val="none"/>
              </w:rPr>
            </w:pPr>
          </w:p>
        </w:tc>
        <w:tc>
          <w:tcPr>
            <w:tcW w:w="992" w:type="dxa"/>
          </w:tcPr>
          <w:p w14:paraId="1C51152C">
            <w:pPr>
              <w:spacing w:line="360" w:lineRule="auto"/>
              <w:rPr>
                <w:rFonts w:hint="eastAsia" w:ascii="宋体" w:hAnsi="宋体" w:eastAsia="宋体" w:cs="宋体"/>
                <w:color w:val="auto"/>
                <w:szCs w:val="21"/>
                <w:highlight w:val="none"/>
              </w:rPr>
            </w:pPr>
          </w:p>
        </w:tc>
        <w:tc>
          <w:tcPr>
            <w:tcW w:w="1134" w:type="dxa"/>
          </w:tcPr>
          <w:p w14:paraId="026046C2">
            <w:pPr>
              <w:spacing w:line="360" w:lineRule="auto"/>
              <w:rPr>
                <w:rFonts w:hint="eastAsia" w:ascii="宋体" w:hAnsi="宋体" w:eastAsia="宋体" w:cs="宋体"/>
                <w:color w:val="auto"/>
                <w:szCs w:val="21"/>
                <w:highlight w:val="none"/>
              </w:rPr>
            </w:pPr>
          </w:p>
        </w:tc>
        <w:tc>
          <w:tcPr>
            <w:tcW w:w="992" w:type="dxa"/>
          </w:tcPr>
          <w:p w14:paraId="4E3E4695">
            <w:pPr>
              <w:spacing w:line="360" w:lineRule="auto"/>
              <w:rPr>
                <w:rFonts w:hint="eastAsia" w:ascii="宋体" w:hAnsi="宋体" w:eastAsia="宋体" w:cs="宋体"/>
                <w:color w:val="auto"/>
                <w:szCs w:val="21"/>
                <w:highlight w:val="none"/>
              </w:rPr>
            </w:pPr>
          </w:p>
        </w:tc>
      </w:tr>
      <w:tr w14:paraId="7CDD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124BBB2D">
            <w:pPr>
              <w:spacing w:line="360" w:lineRule="auto"/>
              <w:rPr>
                <w:rFonts w:hint="eastAsia" w:ascii="宋体" w:hAnsi="宋体" w:eastAsia="宋体" w:cs="宋体"/>
                <w:color w:val="auto"/>
                <w:szCs w:val="21"/>
                <w:highlight w:val="none"/>
              </w:rPr>
            </w:pPr>
          </w:p>
        </w:tc>
        <w:tc>
          <w:tcPr>
            <w:tcW w:w="1226" w:type="dxa"/>
          </w:tcPr>
          <w:p w14:paraId="6F817C5B">
            <w:pPr>
              <w:spacing w:line="360" w:lineRule="auto"/>
              <w:rPr>
                <w:rFonts w:hint="eastAsia" w:ascii="宋体" w:hAnsi="宋体" w:eastAsia="宋体" w:cs="宋体"/>
                <w:color w:val="auto"/>
                <w:szCs w:val="21"/>
                <w:highlight w:val="none"/>
              </w:rPr>
            </w:pPr>
          </w:p>
        </w:tc>
        <w:tc>
          <w:tcPr>
            <w:tcW w:w="851" w:type="dxa"/>
          </w:tcPr>
          <w:p w14:paraId="203AFADD">
            <w:pPr>
              <w:spacing w:line="360" w:lineRule="auto"/>
              <w:rPr>
                <w:rFonts w:hint="eastAsia" w:ascii="宋体" w:hAnsi="宋体" w:eastAsia="宋体" w:cs="宋体"/>
                <w:color w:val="auto"/>
                <w:szCs w:val="21"/>
                <w:highlight w:val="none"/>
              </w:rPr>
            </w:pPr>
          </w:p>
        </w:tc>
        <w:tc>
          <w:tcPr>
            <w:tcW w:w="708" w:type="dxa"/>
          </w:tcPr>
          <w:p w14:paraId="30990999">
            <w:pPr>
              <w:spacing w:line="360" w:lineRule="auto"/>
              <w:rPr>
                <w:rFonts w:hint="eastAsia" w:ascii="宋体" w:hAnsi="宋体" w:eastAsia="宋体" w:cs="宋体"/>
                <w:color w:val="auto"/>
                <w:szCs w:val="21"/>
                <w:highlight w:val="none"/>
              </w:rPr>
            </w:pPr>
          </w:p>
        </w:tc>
        <w:tc>
          <w:tcPr>
            <w:tcW w:w="709" w:type="dxa"/>
          </w:tcPr>
          <w:p w14:paraId="4FCF98F0">
            <w:pPr>
              <w:spacing w:line="360" w:lineRule="auto"/>
              <w:rPr>
                <w:rFonts w:hint="eastAsia" w:ascii="宋体" w:hAnsi="宋体" w:eastAsia="宋体" w:cs="宋体"/>
                <w:color w:val="auto"/>
                <w:szCs w:val="21"/>
                <w:highlight w:val="none"/>
              </w:rPr>
            </w:pPr>
          </w:p>
        </w:tc>
        <w:tc>
          <w:tcPr>
            <w:tcW w:w="851" w:type="dxa"/>
          </w:tcPr>
          <w:p w14:paraId="40F6E15D">
            <w:pPr>
              <w:spacing w:line="360" w:lineRule="auto"/>
              <w:rPr>
                <w:rFonts w:hint="eastAsia" w:ascii="宋体" w:hAnsi="宋体" w:eastAsia="宋体" w:cs="宋体"/>
                <w:color w:val="auto"/>
                <w:szCs w:val="21"/>
                <w:highlight w:val="none"/>
              </w:rPr>
            </w:pPr>
          </w:p>
        </w:tc>
        <w:tc>
          <w:tcPr>
            <w:tcW w:w="1134" w:type="dxa"/>
          </w:tcPr>
          <w:p w14:paraId="72F573A4">
            <w:pPr>
              <w:spacing w:line="360" w:lineRule="auto"/>
              <w:rPr>
                <w:rFonts w:hint="eastAsia" w:ascii="宋体" w:hAnsi="宋体" w:eastAsia="宋体" w:cs="宋体"/>
                <w:color w:val="auto"/>
                <w:szCs w:val="21"/>
                <w:highlight w:val="none"/>
              </w:rPr>
            </w:pPr>
          </w:p>
        </w:tc>
        <w:tc>
          <w:tcPr>
            <w:tcW w:w="992" w:type="dxa"/>
          </w:tcPr>
          <w:p w14:paraId="65EA1C30">
            <w:pPr>
              <w:spacing w:line="360" w:lineRule="auto"/>
              <w:rPr>
                <w:rFonts w:hint="eastAsia" w:ascii="宋体" w:hAnsi="宋体" w:eastAsia="宋体" w:cs="宋体"/>
                <w:color w:val="auto"/>
                <w:szCs w:val="21"/>
                <w:highlight w:val="none"/>
              </w:rPr>
            </w:pPr>
          </w:p>
        </w:tc>
        <w:tc>
          <w:tcPr>
            <w:tcW w:w="1134" w:type="dxa"/>
          </w:tcPr>
          <w:p w14:paraId="5EF434AC">
            <w:pPr>
              <w:spacing w:line="360" w:lineRule="auto"/>
              <w:rPr>
                <w:rFonts w:hint="eastAsia" w:ascii="宋体" w:hAnsi="宋体" w:eastAsia="宋体" w:cs="宋体"/>
                <w:color w:val="auto"/>
                <w:szCs w:val="21"/>
                <w:highlight w:val="none"/>
              </w:rPr>
            </w:pPr>
          </w:p>
        </w:tc>
        <w:tc>
          <w:tcPr>
            <w:tcW w:w="992" w:type="dxa"/>
          </w:tcPr>
          <w:p w14:paraId="16BE7DA4">
            <w:pPr>
              <w:spacing w:line="360" w:lineRule="auto"/>
              <w:rPr>
                <w:rFonts w:hint="eastAsia" w:ascii="宋体" w:hAnsi="宋体" w:eastAsia="宋体" w:cs="宋体"/>
                <w:color w:val="auto"/>
                <w:szCs w:val="21"/>
                <w:highlight w:val="none"/>
              </w:rPr>
            </w:pPr>
          </w:p>
        </w:tc>
      </w:tr>
      <w:tr w14:paraId="5460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14:paraId="5F7DF2B5">
            <w:pPr>
              <w:spacing w:line="360" w:lineRule="auto"/>
              <w:rPr>
                <w:rFonts w:hint="eastAsia" w:ascii="宋体" w:hAnsi="宋体" w:eastAsia="宋体" w:cs="宋体"/>
                <w:color w:val="auto"/>
                <w:szCs w:val="21"/>
                <w:highlight w:val="none"/>
              </w:rPr>
            </w:pPr>
          </w:p>
        </w:tc>
        <w:tc>
          <w:tcPr>
            <w:tcW w:w="1226" w:type="dxa"/>
          </w:tcPr>
          <w:p w14:paraId="4264E91D">
            <w:pPr>
              <w:spacing w:line="360" w:lineRule="auto"/>
              <w:rPr>
                <w:rFonts w:hint="eastAsia" w:ascii="宋体" w:hAnsi="宋体" w:eastAsia="宋体" w:cs="宋体"/>
                <w:color w:val="auto"/>
                <w:szCs w:val="21"/>
                <w:highlight w:val="none"/>
              </w:rPr>
            </w:pPr>
          </w:p>
        </w:tc>
        <w:tc>
          <w:tcPr>
            <w:tcW w:w="851" w:type="dxa"/>
          </w:tcPr>
          <w:p w14:paraId="4EE12CA3">
            <w:pPr>
              <w:spacing w:line="360" w:lineRule="auto"/>
              <w:rPr>
                <w:rFonts w:hint="eastAsia" w:ascii="宋体" w:hAnsi="宋体" w:eastAsia="宋体" w:cs="宋体"/>
                <w:color w:val="auto"/>
                <w:szCs w:val="21"/>
                <w:highlight w:val="none"/>
              </w:rPr>
            </w:pPr>
          </w:p>
        </w:tc>
        <w:tc>
          <w:tcPr>
            <w:tcW w:w="708" w:type="dxa"/>
          </w:tcPr>
          <w:p w14:paraId="0FC3C6FA">
            <w:pPr>
              <w:spacing w:line="360" w:lineRule="auto"/>
              <w:rPr>
                <w:rFonts w:hint="eastAsia" w:ascii="宋体" w:hAnsi="宋体" w:eastAsia="宋体" w:cs="宋体"/>
                <w:color w:val="auto"/>
                <w:szCs w:val="21"/>
                <w:highlight w:val="none"/>
              </w:rPr>
            </w:pPr>
          </w:p>
        </w:tc>
        <w:tc>
          <w:tcPr>
            <w:tcW w:w="709" w:type="dxa"/>
          </w:tcPr>
          <w:p w14:paraId="313AD2DB">
            <w:pPr>
              <w:spacing w:line="360" w:lineRule="auto"/>
              <w:rPr>
                <w:rFonts w:hint="eastAsia" w:ascii="宋体" w:hAnsi="宋体" w:eastAsia="宋体" w:cs="宋体"/>
                <w:color w:val="auto"/>
                <w:szCs w:val="21"/>
                <w:highlight w:val="none"/>
              </w:rPr>
            </w:pPr>
          </w:p>
        </w:tc>
        <w:tc>
          <w:tcPr>
            <w:tcW w:w="851" w:type="dxa"/>
          </w:tcPr>
          <w:p w14:paraId="07CDCE41">
            <w:pPr>
              <w:spacing w:line="360" w:lineRule="auto"/>
              <w:rPr>
                <w:rFonts w:hint="eastAsia" w:ascii="宋体" w:hAnsi="宋体" w:eastAsia="宋体" w:cs="宋体"/>
                <w:color w:val="auto"/>
                <w:szCs w:val="21"/>
                <w:highlight w:val="none"/>
              </w:rPr>
            </w:pPr>
          </w:p>
        </w:tc>
        <w:tc>
          <w:tcPr>
            <w:tcW w:w="1134" w:type="dxa"/>
          </w:tcPr>
          <w:p w14:paraId="108CBA98">
            <w:pPr>
              <w:spacing w:line="360" w:lineRule="auto"/>
              <w:rPr>
                <w:rFonts w:hint="eastAsia" w:ascii="宋体" w:hAnsi="宋体" w:eastAsia="宋体" w:cs="宋体"/>
                <w:color w:val="auto"/>
                <w:szCs w:val="21"/>
                <w:highlight w:val="none"/>
              </w:rPr>
            </w:pPr>
          </w:p>
        </w:tc>
        <w:tc>
          <w:tcPr>
            <w:tcW w:w="992" w:type="dxa"/>
          </w:tcPr>
          <w:p w14:paraId="6D82B820">
            <w:pPr>
              <w:spacing w:line="360" w:lineRule="auto"/>
              <w:rPr>
                <w:rFonts w:hint="eastAsia" w:ascii="宋体" w:hAnsi="宋体" w:eastAsia="宋体" w:cs="宋体"/>
                <w:color w:val="auto"/>
                <w:szCs w:val="21"/>
                <w:highlight w:val="none"/>
              </w:rPr>
            </w:pPr>
          </w:p>
        </w:tc>
        <w:tc>
          <w:tcPr>
            <w:tcW w:w="1134" w:type="dxa"/>
          </w:tcPr>
          <w:p w14:paraId="22E89E86">
            <w:pPr>
              <w:spacing w:line="360" w:lineRule="auto"/>
              <w:rPr>
                <w:rFonts w:hint="eastAsia" w:ascii="宋体" w:hAnsi="宋体" w:eastAsia="宋体" w:cs="宋体"/>
                <w:color w:val="auto"/>
                <w:szCs w:val="21"/>
                <w:highlight w:val="none"/>
              </w:rPr>
            </w:pPr>
          </w:p>
        </w:tc>
        <w:tc>
          <w:tcPr>
            <w:tcW w:w="992" w:type="dxa"/>
          </w:tcPr>
          <w:p w14:paraId="0D3DA8F9">
            <w:pPr>
              <w:spacing w:line="360" w:lineRule="auto"/>
              <w:rPr>
                <w:rFonts w:hint="eastAsia" w:ascii="宋体" w:hAnsi="宋体" w:eastAsia="宋体" w:cs="宋体"/>
                <w:color w:val="auto"/>
                <w:szCs w:val="21"/>
                <w:highlight w:val="none"/>
              </w:rPr>
            </w:pPr>
          </w:p>
        </w:tc>
      </w:tr>
    </w:tbl>
    <w:p w14:paraId="10E3F38F">
      <w:pPr>
        <w:rPr>
          <w:rFonts w:hint="eastAsia" w:ascii="宋体" w:hAnsi="宋体" w:eastAsia="宋体" w:cs="宋体"/>
          <w:color w:val="auto"/>
          <w:highlight w:val="none"/>
        </w:rPr>
      </w:pPr>
    </w:p>
    <w:p w14:paraId="1EFBC46A">
      <w:pPr>
        <w:rPr>
          <w:rFonts w:hint="eastAsia" w:ascii="宋体" w:hAnsi="宋体" w:eastAsia="宋体" w:cs="宋体"/>
          <w:color w:val="auto"/>
          <w:highlight w:val="none"/>
        </w:rPr>
      </w:pPr>
    </w:p>
    <w:p w14:paraId="31011378">
      <w:pPr>
        <w:rPr>
          <w:rFonts w:hint="eastAsia" w:ascii="宋体" w:hAnsi="宋体" w:eastAsia="宋体" w:cs="宋体"/>
          <w:color w:val="auto"/>
          <w:highlight w:val="none"/>
        </w:rPr>
      </w:pPr>
      <w:r>
        <w:rPr>
          <w:rFonts w:hint="eastAsia" w:ascii="宋体" w:hAnsi="宋体" w:eastAsia="宋体" w:cs="宋体"/>
          <w:color w:val="auto"/>
          <w:highlight w:val="none"/>
        </w:rPr>
        <w:t>附表二：拟配备本工程的试验和检测仪器设备表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14:paraId="3E41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266CD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26" w:type="dxa"/>
            <w:vAlign w:val="center"/>
          </w:tcPr>
          <w:p w14:paraId="73C53B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仪器设备名称</w:t>
            </w:r>
          </w:p>
        </w:tc>
        <w:tc>
          <w:tcPr>
            <w:tcW w:w="851" w:type="dxa"/>
            <w:vAlign w:val="center"/>
          </w:tcPr>
          <w:p w14:paraId="20783E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p w14:paraId="333C0F8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708" w:type="dxa"/>
            <w:vAlign w:val="center"/>
          </w:tcPr>
          <w:p w14:paraId="003C9E9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09" w:type="dxa"/>
            <w:vAlign w:val="center"/>
          </w:tcPr>
          <w:p w14:paraId="067C4E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国别</w:t>
            </w:r>
          </w:p>
          <w:p w14:paraId="45EADA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134" w:type="dxa"/>
            <w:vAlign w:val="center"/>
          </w:tcPr>
          <w:p w14:paraId="0DD8E3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制造年份</w:t>
            </w:r>
          </w:p>
        </w:tc>
        <w:tc>
          <w:tcPr>
            <w:tcW w:w="1276" w:type="dxa"/>
            <w:vAlign w:val="center"/>
          </w:tcPr>
          <w:p w14:paraId="36DEA23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已使用</w:t>
            </w:r>
          </w:p>
          <w:p w14:paraId="52F284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台时数</w:t>
            </w:r>
          </w:p>
        </w:tc>
        <w:tc>
          <w:tcPr>
            <w:tcW w:w="1134" w:type="dxa"/>
            <w:vAlign w:val="center"/>
          </w:tcPr>
          <w:p w14:paraId="04E6FA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用途</w:t>
            </w:r>
          </w:p>
        </w:tc>
        <w:tc>
          <w:tcPr>
            <w:tcW w:w="1559" w:type="dxa"/>
            <w:vAlign w:val="center"/>
          </w:tcPr>
          <w:p w14:paraId="1FF36A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CCF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1E8D29">
            <w:pPr>
              <w:spacing w:line="360" w:lineRule="auto"/>
              <w:ind w:firstLine="420" w:firstLineChars="200"/>
              <w:rPr>
                <w:rFonts w:hint="eastAsia" w:ascii="宋体" w:hAnsi="宋体" w:eastAsia="宋体" w:cs="宋体"/>
                <w:color w:val="auto"/>
                <w:szCs w:val="21"/>
                <w:highlight w:val="none"/>
              </w:rPr>
            </w:pPr>
          </w:p>
        </w:tc>
        <w:tc>
          <w:tcPr>
            <w:tcW w:w="1226" w:type="dxa"/>
            <w:vAlign w:val="center"/>
          </w:tcPr>
          <w:p w14:paraId="3B342898">
            <w:pPr>
              <w:spacing w:line="360" w:lineRule="auto"/>
              <w:ind w:firstLine="420" w:firstLineChars="200"/>
              <w:rPr>
                <w:rFonts w:hint="eastAsia" w:ascii="宋体" w:hAnsi="宋体" w:eastAsia="宋体" w:cs="宋体"/>
                <w:color w:val="auto"/>
                <w:szCs w:val="21"/>
                <w:highlight w:val="none"/>
              </w:rPr>
            </w:pPr>
          </w:p>
        </w:tc>
        <w:tc>
          <w:tcPr>
            <w:tcW w:w="851" w:type="dxa"/>
            <w:vAlign w:val="center"/>
          </w:tcPr>
          <w:p w14:paraId="5BA93282">
            <w:pPr>
              <w:spacing w:line="360" w:lineRule="auto"/>
              <w:ind w:firstLine="420" w:firstLineChars="200"/>
              <w:rPr>
                <w:rFonts w:hint="eastAsia" w:ascii="宋体" w:hAnsi="宋体" w:eastAsia="宋体" w:cs="宋体"/>
                <w:color w:val="auto"/>
                <w:szCs w:val="21"/>
                <w:highlight w:val="none"/>
              </w:rPr>
            </w:pPr>
          </w:p>
        </w:tc>
        <w:tc>
          <w:tcPr>
            <w:tcW w:w="708" w:type="dxa"/>
            <w:vAlign w:val="center"/>
          </w:tcPr>
          <w:p w14:paraId="0E8324D6">
            <w:pPr>
              <w:spacing w:line="360" w:lineRule="auto"/>
              <w:ind w:firstLine="420" w:firstLineChars="200"/>
              <w:rPr>
                <w:rFonts w:hint="eastAsia" w:ascii="宋体" w:hAnsi="宋体" w:eastAsia="宋体" w:cs="宋体"/>
                <w:color w:val="auto"/>
                <w:szCs w:val="21"/>
                <w:highlight w:val="none"/>
              </w:rPr>
            </w:pPr>
          </w:p>
        </w:tc>
        <w:tc>
          <w:tcPr>
            <w:tcW w:w="709" w:type="dxa"/>
            <w:vAlign w:val="center"/>
          </w:tcPr>
          <w:p w14:paraId="0C8657AC">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3FDBF128">
            <w:pPr>
              <w:spacing w:line="360" w:lineRule="auto"/>
              <w:ind w:firstLine="420" w:firstLineChars="200"/>
              <w:rPr>
                <w:rFonts w:hint="eastAsia" w:ascii="宋体" w:hAnsi="宋体" w:eastAsia="宋体" w:cs="宋体"/>
                <w:color w:val="auto"/>
                <w:szCs w:val="21"/>
                <w:highlight w:val="none"/>
              </w:rPr>
            </w:pPr>
          </w:p>
        </w:tc>
        <w:tc>
          <w:tcPr>
            <w:tcW w:w="1276" w:type="dxa"/>
            <w:vAlign w:val="center"/>
          </w:tcPr>
          <w:p w14:paraId="61CE68E7">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30068F65">
            <w:pPr>
              <w:spacing w:line="360" w:lineRule="auto"/>
              <w:ind w:firstLine="420" w:firstLineChars="200"/>
              <w:rPr>
                <w:rFonts w:hint="eastAsia" w:ascii="宋体" w:hAnsi="宋体" w:eastAsia="宋体" w:cs="宋体"/>
                <w:color w:val="auto"/>
                <w:szCs w:val="21"/>
                <w:highlight w:val="none"/>
              </w:rPr>
            </w:pPr>
          </w:p>
        </w:tc>
        <w:tc>
          <w:tcPr>
            <w:tcW w:w="1559" w:type="dxa"/>
            <w:vAlign w:val="center"/>
          </w:tcPr>
          <w:p w14:paraId="4BEC6D04">
            <w:pPr>
              <w:spacing w:line="360" w:lineRule="auto"/>
              <w:ind w:firstLine="420" w:firstLineChars="200"/>
              <w:rPr>
                <w:rFonts w:hint="eastAsia" w:ascii="宋体" w:hAnsi="宋体" w:eastAsia="宋体" w:cs="宋体"/>
                <w:color w:val="auto"/>
                <w:szCs w:val="21"/>
                <w:highlight w:val="none"/>
              </w:rPr>
            </w:pPr>
          </w:p>
        </w:tc>
      </w:tr>
      <w:tr w14:paraId="0B6A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B06720E">
            <w:pPr>
              <w:spacing w:line="360" w:lineRule="auto"/>
              <w:ind w:firstLine="420" w:firstLineChars="200"/>
              <w:rPr>
                <w:rFonts w:hint="eastAsia" w:ascii="宋体" w:hAnsi="宋体" w:eastAsia="宋体" w:cs="宋体"/>
                <w:color w:val="auto"/>
                <w:szCs w:val="21"/>
                <w:highlight w:val="none"/>
              </w:rPr>
            </w:pPr>
          </w:p>
        </w:tc>
        <w:tc>
          <w:tcPr>
            <w:tcW w:w="1226" w:type="dxa"/>
            <w:vAlign w:val="center"/>
          </w:tcPr>
          <w:p w14:paraId="37E979CB">
            <w:pPr>
              <w:spacing w:line="360" w:lineRule="auto"/>
              <w:ind w:firstLine="420" w:firstLineChars="200"/>
              <w:rPr>
                <w:rFonts w:hint="eastAsia" w:ascii="宋体" w:hAnsi="宋体" w:eastAsia="宋体" w:cs="宋体"/>
                <w:color w:val="auto"/>
                <w:szCs w:val="21"/>
                <w:highlight w:val="none"/>
              </w:rPr>
            </w:pPr>
          </w:p>
        </w:tc>
        <w:tc>
          <w:tcPr>
            <w:tcW w:w="851" w:type="dxa"/>
            <w:vAlign w:val="center"/>
          </w:tcPr>
          <w:p w14:paraId="43A5D076">
            <w:pPr>
              <w:spacing w:line="360" w:lineRule="auto"/>
              <w:ind w:firstLine="420" w:firstLineChars="200"/>
              <w:rPr>
                <w:rFonts w:hint="eastAsia" w:ascii="宋体" w:hAnsi="宋体" w:eastAsia="宋体" w:cs="宋体"/>
                <w:color w:val="auto"/>
                <w:szCs w:val="21"/>
                <w:highlight w:val="none"/>
              </w:rPr>
            </w:pPr>
          </w:p>
        </w:tc>
        <w:tc>
          <w:tcPr>
            <w:tcW w:w="708" w:type="dxa"/>
            <w:vAlign w:val="center"/>
          </w:tcPr>
          <w:p w14:paraId="48169D1C">
            <w:pPr>
              <w:spacing w:line="360" w:lineRule="auto"/>
              <w:ind w:firstLine="420" w:firstLineChars="200"/>
              <w:rPr>
                <w:rFonts w:hint="eastAsia" w:ascii="宋体" w:hAnsi="宋体" w:eastAsia="宋体" w:cs="宋体"/>
                <w:color w:val="auto"/>
                <w:szCs w:val="21"/>
                <w:highlight w:val="none"/>
              </w:rPr>
            </w:pPr>
          </w:p>
        </w:tc>
        <w:tc>
          <w:tcPr>
            <w:tcW w:w="709" w:type="dxa"/>
            <w:vAlign w:val="center"/>
          </w:tcPr>
          <w:p w14:paraId="32C90D86">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163E2130">
            <w:pPr>
              <w:spacing w:line="360" w:lineRule="auto"/>
              <w:ind w:firstLine="420" w:firstLineChars="200"/>
              <w:rPr>
                <w:rFonts w:hint="eastAsia" w:ascii="宋体" w:hAnsi="宋体" w:eastAsia="宋体" w:cs="宋体"/>
                <w:color w:val="auto"/>
                <w:szCs w:val="21"/>
                <w:highlight w:val="none"/>
              </w:rPr>
            </w:pPr>
          </w:p>
        </w:tc>
        <w:tc>
          <w:tcPr>
            <w:tcW w:w="1276" w:type="dxa"/>
            <w:vAlign w:val="center"/>
          </w:tcPr>
          <w:p w14:paraId="4D2191F6">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2A29FCAB">
            <w:pPr>
              <w:spacing w:line="360" w:lineRule="auto"/>
              <w:ind w:firstLine="420" w:firstLineChars="200"/>
              <w:rPr>
                <w:rFonts w:hint="eastAsia" w:ascii="宋体" w:hAnsi="宋体" w:eastAsia="宋体" w:cs="宋体"/>
                <w:color w:val="auto"/>
                <w:szCs w:val="21"/>
                <w:highlight w:val="none"/>
              </w:rPr>
            </w:pPr>
          </w:p>
        </w:tc>
        <w:tc>
          <w:tcPr>
            <w:tcW w:w="1559" w:type="dxa"/>
            <w:vAlign w:val="center"/>
          </w:tcPr>
          <w:p w14:paraId="664A5006">
            <w:pPr>
              <w:spacing w:line="360" w:lineRule="auto"/>
              <w:ind w:firstLine="420" w:firstLineChars="200"/>
              <w:rPr>
                <w:rFonts w:hint="eastAsia" w:ascii="宋体" w:hAnsi="宋体" w:eastAsia="宋体" w:cs="宋体"/>
                <w:color w:val="auto"/>
                <w:szCs w:val="21"/>
                <w:highlight w:val="none"/>
              </w:rPr>
            </w:pPr>
          </w:p>
        </w:tc>
      </w:tr>
      <w:tr w14:paraId="190B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E6C8547">
            <w:pPr>
              <w:spacing w:line="360" w:lineRule="auto"/>
              <w:ind w:firstLine="420" w:firstLineChars="200"/>
              <w:rPr>
                <w:rFonts w:hint="eastAsia" w:ascii="宋体" w:hAnsi="宋体" w:eastAsia="宋体" w:cs="宋体"/>
                <w:color w:val="auto"/>
                <w:szCs w:val="21"/>
                <w:highlight w:val="none"/>
              </w:rPr>
            </w:pPr>
          </w:p>
        </w:tc>
        <w:tc>
          <w:tcPr>
            <w:tcW w:w="1226" w:type="dxa"/>
            <w:vAlign w:val="center"/>
          </w:tcPr>
          <w:p w14:paraId="13375666">
            <w:pPr>
              <w:spacing w:line="360" w:lineRule="auto"/>
              <w:ind w:firstLine="420" w:firstLineChars="200"/>
              <w:rPr>
                <w:rFonts w:hint="eastAsia" w:ascii="宋体" w:hAnsi="宋体" w:eastAsia="宋体" w:cs="宋体"/>
                <w:color w:val="auto"/>
                <w:szCs w:val="21"/>
                <w:highlight w:val="none"/>
              </w:rPr>
            </w:pPr>
          </w:p>
        </w:tc>
        <w:tc>
          <w:tcPr>
            <w:tcW w:w="851" w:type="dxa"/>
            <w:vAlign w:val="center"/>
          </w:tcPr>
          <w:p w14:paraId="7269C949">
            <w:pPr>
              <w:spacing w:line="360" w:lineRule="auto"/>
              <w:ind w:firstLine="420" w:firstLineChars="200"/>
              <w:rPr>
                <w:rFonts w:hint="eastAsia" w:ascii="宋体" w:hAnsi="宋体" w:eastAsia="宋体" w:cs="宋体"/>
                <w:color w:val="auto"/>
                <w:szCs w:val="21"/>
                <w:highlight w:val="none"/>
              </w:rPr>
            </w:pPr>
          </w:p>
        </w:tc>
        <w:tc>
          <w:tcPr>
            <w:tcW w:w="708" w:type="dxa"/>
            <w:vAlign w:val="center"/>
          </w:tcPr>
          <w:p w14:paraId="2D9F2404">
            <w:pPr>
              <w:spacing w:line="360" w:lineRule="auto"/>
              <w:ind w:firstLine="420" w:firstLineChars="200"/>
              <w:rPr>
                <w:rFonts w:hint="eastAsia" w:ascii="宋体" w:hAnsi="宋体" w:eastAsia="宋体" w:cs="宋体"/>
                <w:color w:val="auto"/>
                <w:szCs w:val="21"/>
                <w:highlight w:val="none"/>
              </w:rPr>
            </w:pPr>
          </w:p>
        </w:tc>
        <w:tc>
          <w:tcPr>
            <w:tcW w:w="709" w:type="dxa"/>
            <w:vAlign w:val="center"/>
          </w:tcPr>
          <w:p w14:paraId="448E0DBE">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1D011016">
            <w:pPr>
              <w:spacing w:line="360" w:lineRule="auto"/>
              <w:ind w:firstLine="420" w:firstLineChars="200"/>
              <w:rPr>
                <w:rFonts w:hint="eastAsia" w:ascii="宋体" w:hAnsi="宋体" w:eastAsia="宋体" w:cs="宋体"/>
                <w:color w:val="auto"/>
                <w:szCs w:val="21"/>
                <w:highlight w:val="none"/>
              </w:rPr>
            </w:pPr>
          </w:p>
        </w:tc>
        <w:tc>
          <w:tcPr>
            <w:tcW w:w="1276" w:type="dxa"/>
            <w:vAlign w:val="center"/>
          </w:tcPr>
          <w:p w14:paraId="179A41EF">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0B542077">
            <w:pPr>
              <w:spacing w:line="360" w:lineRule="auto"/>
              <w:ind w:firstLine="420" w:firstLineChars="200"/>
              <w:rPr>
                <w:rFonts w:hint="eastAsia" w:ascii="宋体" w:hAnsi="宋体" w:eastAsia="宋体" w:cs="宋体"/>
                <w:color w:val="auto"/>
                <w:szCs w:val="21"/>
                <w:highlight w:val="none"/>
              </w:rPr>
            </w:pPr>
          </w:p>
        </w:tc>
        <w:tc>
          <w:tcPr>
            <w:tcW w:w="1559" w:type="dxa"/>
            <w:vAlign w:val="center"/>
          </w:tcPr>
          <w:p w14:paraId="7A6B3E52">
            <w:pPr>
              <w:spacing w:line="360" w:lineRule="auto"/>
              <w:ind w:firstLine="420" w:firstLineChars="200"/>
              <w:rPr>
                <w:rFonts w:hint="eastAsia" w:ascii="宋体" w:hAnsi="宋体" w:eastAsia="宋体" w:cs="宋体"/>
                <w:color w:val="auto"/>
                <w:szCs w:val="21"/>
                <w:highlight w:val="none"/>
              </w:rPr>
            </w:pPr>
          </w:p>
        </w:tc>
      </w:tr>
      <w:tr w14:paraId="342A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4D5CEF1">
            <w:pPr>
              <w:spacing w:line="360" w:lineRule="auto"/>
              <w:ind w:firstLine="420" w:firstLineChars="200"/>
              <w:rPr>
                <w:rFonts w:hint="eastAsia" w:ascii="宋体" w:hAnsi="宋体" w:eastAsia="宋体" w:cs="宋体"/>
                <w:color w:val="auto"/>
                <w:szCs w:val="21"/>
                <w:highlight w:val="none"/>
              </w:rPr>
            </w:pPr>
          </w:p>
        </w:tc>
        <w:tc>
          <w:tcPr>
            <w:tcW w:w="1226" w:type="dxa"/>
            <w:vAlign w:val="center"/>
          </w:tcPr>
          <w:p w14:paraId="3A812CC7">
            <w:pPr>
              <w:spacing w:line="360" w:lineRule="auto"/>
              <w:ind w:firstLine="420" w:firstLineChars="200"/>
              <w:rPr>
                <w:rFonts w:hint="eastAsia" w:ascii="宋体" w:hAnsi="宋体" w:eastAsia="宋体" w:cs="宋体"/>
                <w:color w:val="auto"/>
                <w:szCs w:val="21"/>
                <w:highlight w:val="none"/>
              </w:rPr>
            </w:pPr>
          </w:p>
        </w:tc>
        <w:tc>
          <w:tcPr>
            <w:tcW w:w="851" w:type="dxa"/>
            <w:vAlign w:val="center"/>
          </w:tcPr>
          <w:p w14:paraId="2E83E8B2">
            <w:pPr>
              <w:spacing w:line="360" w:lineRule="auto"/>
              <w:ind w:firstLine="420" w:firstLineChars="200"/>
              <w:rPr>
                <w:rFonts w:hint="eastAsia" w:ascii="宋体" w:hAnsi="宋体" w:eastAsia="宋体" w:cs="宋体"/>
                <w:color w:val="auto"/>
                <w:szCs w:val="21"/>
                <w:highlight w:val="none"/>
              </w:rPr>
            </w:pPr>
          </w:p>
        </w:tc>
        <w:tc>
          <w:tcPr>
            <w:tcW w:w="708" w:type="dxa"/>
            <w:vAlign w:val="center"/>
          </w:tcPr>
          <w:p w14:paraId="49264822">
            <w:pPr>
              <w:spacing w:line="360" w:lineRule="auto"/>
              <w:ind w:firstLine="420" w:firstLineChars="200"/>
              <w:rPr>
                <w:rFonts w:hint="eastAsia" w:ascii="宋体" w:hAnsi="宋体" w:eastAsia="宋体" w:cs="宋体"/>
                <w:color w:val="auto"/>
                <w:szCs w:val="21"/>
                <w:highlight w:val="none"/>
              </w:rPr>
            </w:pPr>
          </w:p>
        </w:tc>
        <w:tc>
          <w:tcPr>
            <w:tcW w:w="709" w:type="dxa"/>
            <w:vAlign w:val="center"/>
          </w:tcPr>
          <w:p w14:paraId="21953342">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49959CFF">
            <w:pPr>
              <w:spacing w:line="360" w:lineRule="auto"/>
              <w:ind w:firstLine="420" w:firstLineChars="200"/>
              <w:rPr>
                <w:rFonts w:hint="eastAsia" w:ascii="宋体" w:hAnsi="宋体" w:eastAsia="宋体" w:cs="宋体"/>
                <w:color w:val="auto"/>
                <w:szCs w:val="21"/>
                <w:highlight w:val="none"/>
              </w:rPr>
            </w:pPr>
          </w:p>
        </w:tc>
        <w:tc>
          <w:tcPr>
            <w:tcW w:w="1276" w:type="dxa"/>
            <w:vAlign w:val="center"/>
          </w:tcPr>
          <w:p w14:paraId="579C93EB">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27FA5B16">
            <w:pPr>
              <w:spacing w:line="360" w:lineRule="auto"/>
              <w:ind w:firstLine="420" w:firstLineChars="200"/>
              <w:rPr>
                <w:rFonts w:hint="eastAsia" w:ascii="宋体" w:hAnsi="宋体" w:eastAsia="宋体" w:cs="宋体"/>
                <w:color w:val="auto"/>
                <w:szCs w:val="21"/>
                <w:highlight w:val="none"/>
              </w:rPr>
            </w:pPr>
          </w:p>
        </w:tc>
        <w:tc>
          <w:tcPr>
            <w:tcW w:w="1559" w:type="dxa"/>
            <w:vAlign w:val="center"/>
          </w:tcPr>
          <w:p w14:paraId="5C552F6B">
            <w:pPr>
              <w:spacing w:line="360" w:lineRule="auto"/>
              <w:ind w:firstLine="420" w:firstLineChars="200"/>
              <w:rPr>
                <w:rFonts w:hint="eastAsia" w:ascii="宋体" w:hAnsi="宋体" w:eastAsia="宋体" w:cs="宋体"/>
                <w:color w:val="auto"/>
                <w:szCs w:val="21"/>
                <w:highlight w:val="none"/>
              </w:rPr>
            </w:pPr>
          </w:p>
        </w:tc>
      </w:tr>
      <w:tr w14:paraId="2C75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5C33EF7">
            <w:pPr>
              <w:spacing w:line="360" w:lineRule="auto"/>
              <w:ind w:firstLine="420" w:firstLineChars="200"/>
              <w:rPr>
                <w:rFonts w:hint="eastAsia" w:ascii="宋体" w:hAnsi="宋体" w:eastAsia="宋体" w:cs="宋体"/>
                <w:color w:val="auto"/>
                <w:szCs w:val="21"/>
                <w:highlight w:val="none"/>
              </w:rPr>
            </w:pPr>
          </w:p>
        </w:tc>
        <w:tc>
          <w:tcPr>
            <w:tcW w:w="1226" w:type="dxa"/>
            <w:vAlign w:val="center"/>
          </w:tcPr>
          <w:p w14:paraId="34DD91FF">
            <w:pPr>
              <w:spacing w:line="360" w:lineRule="auto"/>
              <w:ind w:firstLine="420" w:firstLineChars="200"/>
              <w:rPr>
                <w:rFonts w:hint="eastAsia" w:ascii="宋体" w:hAnsi="宋体" w:eastAsia="宋体" w:cs="宋体"/>
                <w:color w:val="auto"/>
                <w:szCs w:val="21"/>
                <w:highlight w:val="none"/>
              </w:rPr>
            </w:pPr>
          </w:p>
        </w:tc>
        <w:tc>
          <w:tcPr>
            <w:tcW w:w="851" w:type="dxa"/>
            <w:vAlign w:val="center"/>
          </w:tcPr>
          <w:p w14:paraId="751C62E8">
            <w:pPr>
              <w:spacing w:line="360" w:lineRule="auto"/>
              <w:ind w:firstLine="420" w:firstLineChars="200"/>
              <w:rPr>
                <w:rFonts w:hint="eastAsia" w:ascii="宋体" w:hAnsi="宋体" w:eastAsia="宋体" w:cs="宋体"/>
                <w:color w:val="auto"/>
                <w:szCs w:val="21"/>
                <w:highlight w:val="none"/>
              </w:rPr>
            </w:pPr>
          </w:p>
        </w:tc>
        <w:tc>
          <w:tcPr>
            <w:tcW w:w="708" w:type="dxa"/>
            <w:vAlign w:val="center"/>
          </w:tcPr>
          <w:p w14:paraId="15235C78">
            <w:pPr>
              <w:spacing w:line="360" w:lineRule="auto"/>
              <w:ind w:firstLine="420" w:firstLineChars="200"/>
              <w:rPr>
                <w:rFonts w:hint="eastAsia" w:ascii="宋体" w:hAnsi="宋体" w:eastAsia="宋体" w:cs="宋体"/>
                <w:color w:val="auto"/>
                <w:szCs w:val="21"/>
                <w:highlight w:val="none"/>
              </w:rPr>
            </w:pPr>
          </w:p>
        </w:tc>
        <w:tc>
          <w:tcPr>
            <w:tcW w:w="709" w:type="dxa"/>
            <w:vAlign w:val="center"/>
          </w:tcPr>
          <w:p w14:paraId="25BD5D82">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5299744B">
            <w:pPr>
              <w:spacing w:line="360" w:lineRule="auto"/>
              <w:ind w:firstLine="420" w:firstLineChars="200"/>
              <w:rPr>
                <w:rFonts w:hint="eastAsia" w:ascii="宋体" w:hAnsi="宋体" w:eastAsia="宋体" w:cs="宋体"/>
                <w:color w:val="auto"/>
                <w:szCs w:val="21"/>
                <w:highlight w:val="none"/>
              </w:rPr>
            </w:pPr>
          </w:p>
        </w:tc>
        <w:tc>
          <w:tcPr>
            <w:tcW w:w="1276" w:type="dxa"/>
            <w:vAlign w:val="center"/>
          </w:tcPr>
          <w:p w14:paraId="40439814">
            <w:pPr>
              <w:spacing w:line="360" w:lineRule="auto"/>
              <w:ind w:firstLine="420" w:firstLineChars="200"/>
              <w:rPr>
                <w:rFonts w:hint="eastAsia" w:ascii="宋体" w:hAnsi="宋体" w:eastAsia="宋体" w:cs="宋体"/>
                <w:color w:val="auto"/>
                <w:szCs w:val="21"/>
                <w:highlight w:val="none"/>
              </w:rPr>
            </w:pPr>
          </w:p>
        </w:tc>
        <w:tc>
          <w:tcPr>
            <w:tcW w:w="1134" w:type="dxa"/>
            <w:vAlign w:val="center"/>
          </w:tcPr>
          <w:p w14:paraId="76E39138">
            <w:pPr>
              <w:spacing w:line="360" w:lineRule="auto"/>
              <w:ind w:firstLine="420" w:firstLineChars="200"/>
              <w:rPr>
                <w:rFonts w:hint="eastAsia" w:ascii="宋体" w:hAnsi="宋体" w:eastAsia="宋体" w:cs="宋体"/>
                <w:color w:val="auto"/>
                <w:szCs w:val="21"/>
                <w:highlight w:val="none"/>
              </w:rPr>
            </w:pPr>
          </w:p>
        </w:tc>
        <w:tc>
          <w:tcPr>
            <w:tcW w:w="1559" w:type="dxa"/>
            <w:vAlign w:val="center"/>
          </w:tcPr>
          <w:p w14:paraId="65234127">
            <w:pPr>
              <w:spacing w:line="360" w:lineRule="auto"/>
              <w:ind w:firstLine="420" w:firstLineChars="200"/>
              <w:rPr>
                <w:rFonts w:hint="eastAsia" w:ascii="宋体" w:hAnsi="宋体" w:eastAsia="宋体" w:cs="宋体"/>
                <w:color w:val="auto"/>
                <w:szCs w:val="21"/>
                <w:highlight w:val="none"/>
              </w:rPr>
            </w:pPr>
          </w:p>
        </w:tc>
      </w:tr>
    </w:tbl>
    <w:p w14:paraId="522F06B4">
      <w:pPr>
        <w:rPr>
          <w:rFonts w:hint="eastAsia" w:ascii="宋体" w:hAnsi="宋体" w:eastAsia="宋体" w:cs="宋体"/>
          <w:color w:val="auto"/>
          <w:highlight w:val="none"/>
        </w:rPr>
      </w:pPr>
    </w:p>
    <w:p w14:paraId="47BA667B">
      <w:pPr>
        <w:rPr>
          <w:rFonts w:hint="eastAsia" w:ascii="宋体" w:hAnsi="宋体" w:eastAsia="宋体" w:cs="宋体"/>
          <w:color w:val="auto"/>
          <w:highlight w:val="none"/>
        </w:rPr>
      </w:pPr>
    </w:p>
    <w:p w14:paraId="49EDE4A7">
      <w:pPr>
        <w:rPr>
          <w:rFonts w:hint="eastAsia" w:ascii="宋体" w:hAnsi="宋体" w:eastAsia="宋体" w:cs="宋体"/>
          <w:color w:val="auto"/>
          <w:highlight w:val="none"/>
        </w:rPr>
      </w:pPr>
      <w:r>
        <w:rPr>
          <w:rFonts w:hint="eastAsia" w:ascii="宋体" w:hAnsi="宋体" w:eastAsia="宋体" w:cs="宋体"/>
          <w:color w:val="auto"/>
          <w:highlight w:val="none"/>
        </w:rPr>
        <w:t>附表三：劳动力计划表</w:t>
      </w:r>
    </w:p>
    <w:p w14:paraId="1E7579DB">
      <w:pPr>
        <w:ind w:firstLine="7245" w:firstLineChars="3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单位：人</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14:paraId="0A4F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C959E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工种</w:t>
            </w:r>
          </w:p>
        </w:tc>
        <w:tc>
          <w:tcPr>
            <w:tcW w:w="8506" w:type="dxa"/>
            <w:gridSpan w:val="7"/>
            <w:vAlign w:val="center"/>
          </w:tcPr>
          <w:p w14:paraId="2DDCA30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按工程施工阶段投入劳动力情况</w:t>
            </w:r>
          </w:p>
        </w:tc>
      </w:tr>
      <w:tr w14:paraId="5BA4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FD36CD1">
            <w:pPr>
              <w:spacing w:line="360" w:lineRule="auto"/>
              <w:jc w:val="center"/>
              <w:rPr>
                <w:rFonts w:hint="eastAsia" w:ascii="宋体" w:hAnsi="宋体" w:eastAsia="宋体" w:cs="宋体"/>
                <w:color w:val="auto"/>
                <w:szCs w:val="21"/>
                <w:highlight w:val="none"/>
              </w:rPr>
            </w:pPr>
          </w:p>
        </w:tc>
        <w:tc>
          <w:tcPr>
            <w:tcW w:w="961" w:type="dxa"/>
            <w:vAlign w:val="center"/>
          </w:tcPr>
          <w:p w14:paraId="0CD48969">
            <w:pPr>
              <w:spacing w:line="360" w:lineRule="auto"/>
              <w:jc w:val="center"/>
              <w:rPr>
                <w:rFonts w:hint="eastAsia" w:ascii="宋体" w:hAnsi="宋体" w:eastAsia="宋体" w:cs="宋体"/>
                <w:color w:val="auto"/>
                <w:szCs w:val="21"/>
                <w:highlight w:val="none"/>
              </w:rPr>
            </w:pPr>
          </w:p>
        </w:tc>
        <w:tc>
          <w:tcPr>
            <w:tcW w:w="1257" w:type="dxa"/>
            <w:vAlign w:val="center"/>
          </w:tcPr>
          <w:p w14:paraId="145752A7">
            <w:pPr>
              <w:spacing w:line="360" w:lineRule="auto"/>
              <w:jc w:val="center"/>
              <w:rPr>
                <w:rFonts w:hint="eastAsia" w:ascii="宋体" w:hAnsi="宋体" w:eastAsia="宋体" w:cs="宋体"/>
                <w:color w:val="auto"/>
                <w:szCs w:val="21"/>
                <w:highlight w:val="none"/>
              </w:rPr>
            </w:pPr>
          </w:p>
        </w:tc>
        <w:tc>
          <w:tcPr>
            <w:tcW w:w="1258" w:type="dxa"/>
            <w:vAlign w:val="center"/>
          </w:tcPr>
          <w:p w14:paraId="5DE367BD">
            <w:pPr>
              <w:spacing w:line="360" w:lineRule="auto"/>
              <w:jc w:val="center"/>
              <w:rPr>
                <w:rFonts w:hint="eastAsia" w:ascii="宋体" w:hAnsi="宋体" w:eastAsia="宋体" w:cs="宋体"/>
                <w:color w:val="auto"/>
                <w:szCs w:val="21"/>
                <w:highlight w:val="none"/>
              </w:rPr>
            </w:pPr>
          </w:p>
        </w:tc>
        <w:tc>
          <w:tcPr>
            <w:tcW w:w="1257" w:type="dxa"/>
            <w:vAlign w:val="center"/>
          </w:tcPr>
          <w:p w14:paraId="0A631087">
            <w:pPr>
              <w:spacing w:line="360" w:lineRule="auto"/>
              <w:jc w:val="center"/>
              <w:rPr>
                <w:rFonts w:hint="eastAsia" w:ascii="宋体" w:hAnsi="宋体" w:eastAsia="宋体" w:cs="宋体"/>
                <w:color w:val="auto"/>
                <w:szCs w:val="21"/>
                <w:highlight w:val="none"/>
              </w:rPr>
            </w:pPr>
          </w:p>
        </w:tc>
        <w:tc>
          <w:tcPr>
            <w:tcW w:w="1258" w:type="dxa"/>
            <w:vAlign w:val="center"/>
          </w:tcPr>
          <w:p w14:paraId="62BCA304">
            <w:pPr>
              <w:spacing w:line="360" w:lineRule="auto"/>
              <w:jc w:val="center"/>
              <w:rPr>
                <w:rFonts w:hint="eastAsia" w:ascii="宋体" w:hAnsi="宋体" w:eastAsia="宋体" w:cs="宋体"/>
                <w:color w:val="auto"/>
                <w:szCs w:val="21"/>
                <w:highlight w:val="none"/>
              </w:rPr>
            </w:pPr>
          </w:p>
        </w:tc>
        <w:tc>
          <w:tcPr>
            <w:tcW w:w="1257" w:type="dxa"/>
            <w:vAlign w:val="center"/>
          </w:tcPr>
          <w:p w14:paraId="78FFC476">
            <w:pPr>
              <w:spacing w:line="360" w:lineRule="auto"/>
              <w:jc w:val="center"/>
              <w:rPr>
                <w:rFonts w:hint="eastAsia" w:ascii="宋体" w:hAnsi="宋体" w:eastAsia="宋体" w:cs="宋体"/>
                <w:color w:val="auto"/>
                <w:szCs w:val="21"/>
                <w:highlight w:val="none"/>
              </w:rPr>
            </w:pPr>
          </w:p>
        </w:tc>
        <w:tc>
          <w:tcPr>
            <w:tcW w:w="1258" w:type="dxa"/>
            <w:vAlign w:val="center"/>
          </w:tcPr>
          <w:p w14:paraId="759EBAD9">
            <w:pPr>
              <w:spacing w:line="360" w:lineRule="auto"/>
              <w:jc w:val="center"/>
              <w:rPr>
                <w:rFonts w:hint="eastAsia" w:ascii="宋体" w:hAnsi="宋体" w:eastAsia="宋体" w:cs="宋体"/>
                <w:color w:val="auto"/>
                <w:szCs w:val="21"/>
                <w:highlight w:val="none"/>
              </w:rPr>
            </w:pPr>
          </w:p>
        </w:tc>
      </w:tr>
      <w:tr w14:paraId="169E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5421FC5">
            <w:pPr>
              <w:spacing w:line="360" w:lineRule="auto"/>
              <w:jc w:val="center"/>
              <w:rPr>
                <w:rFonts w:hint="eastAsia" w:ascii="宋体" w:hAnsi="宋体" w:eastAsia="宋体" w:cs="宋体"/>
                <w:color w:val="auto"/>
                <w:szCs w:val="21"/>
                <w:highlight w:val="none"/>
              </w:rPr>
            </w:pPr>
          </w:p>
        </w:tc>
        <w:tc>
          <w:tcPr>
            <w:tcW w:w="961" w:type="dxa"/>
            <w:vAlign w:val="center"/>
          </w:tcPr>
          <w:p w14:paraId="03608FED">
            <w:pPr>
              <w:spacing w:line="360" w:lineRule="auto"/>
              <w:jc w:val="center"/>
              <w:rPr>
                <w:rFonts w:hint="eastAsia" w:ascii="宋体" w:hAnsi="宋体" w:eastAsia="宋体" w:cs="宋体"/>
                <w:color w:val="auto"/>
                <w:szCs w:val="21"/>
                <w:highlight w:val="none"/>
              </w:rPr>
            </w:pPr>
          </w:p>
        </w:tc>
        <w:tc>
          <w:tcPr>
            <w:tcW w:w="1257" w:type="dxa"/>
            <w:vAlign w:val="center"/>
          </w:tcPr>
          <w:p w14:paraId="1959C945">
            <w:pPr>
              <w:spacing w:line="360" w:lineRule="auto"/>
              <w:jc w:val="center"/>
              <w:rPr>
                <w:rFonts w:hint="eastAsia" w:ascii="宋体" w:hAnsi="宋体" w:eastAsia="宋体" w:cs="宋体"/>
                <w:color w:val="auto"/>
                <w:szCs w:val="21"/>
                <w:highlight w:val="none"/>
              </w:rPr>
            </w:pPr>
          </w:p>
        </w:tc>
        <w:tc>
          <w:tcPr>
            <w:tcW w:w="1258" w:type="dxa"/>
            <w:vAlign w:val="center"/>
          </w:tcPr>
          <w:p w14:paraId="0ADA2BC4">
            <w:pPr>
              <w:spacing w:line="360" w:lineRule="auto"/>
              <w:jc w:val="center"/>
              <w:rPr>
                <w:rFonts w:hint="eastAsia" w:ascii="宋体" w:hAnsi="宋体" w:eastAsia="宋体" w:cs="宋体"/>
                <w:color w:val="auto"/>
                <w:szCs w:val="21"/>
                <w:highlight w:val="none"/>
              </w:rPr>
            </w:pPr>
          </w:p>
        </w:tc>
        <w:tc>
          <w:tcPr>
            <w:tcW w:w="1257" w:type="dxa"/>
            <w:vAlign w:val="center"/>
          </w:tcPr>
          <w:p w14:paraId="68D86A16">
            <w:pPr>
              <w:spacing w:line="360" w:lineRule="auto"/>
              <w:jc w:val="center"/>
              <w:rPr>
                <w:rFonts w:hint="eastAsia" w:ascii="宋体" w:hAnsi="宋体" w:eastAsia="宋体" w:cs="宋体"/>
                <w:color w:val="auto"/>
                <w:szCs w:val="21"/>
                <w:highlight w:val="none"/>
              </w:rPr>
            </w:pPr>
          </w:p>
        </w:tc>
        <w:tc>
          <w:tcPr>
            <w:tcW w:w="1258" w:type="dxa"/>
            <w:vAlign w:val="center"/>
          </w:tcPr>
          <w:p w14:paraId="5E67D155">
            <w:pPr>
              <w:spacing w:line="360" w:lineRule="auto"/>
              <w:jc w:val="center"/>
              <w:rPr>
                <w:rFonts w:hint="eastAsia" w:ascii="宋体" w:hAnsi="宋体" w:eastAsia="宋体" w:cs="宋体"/>
                <w:color w:val="auto"/>
                <w:szCs w:val="21"/>
                <w:highlight w:val="none"/>
              </w:rPr>
            </w:pPr>
          </w:p>
        </w:tc>
        <w:tc>
          <w:tcPr>
            <w:tcW w:w="1257" w:type="dxa"/>
            <w:vAlign w:val="center"/>
          </w:tcPr>
          <w:p w14:paraId="490F35A4">
            <w:pPr>
              <w:spacing w:line="360" w:lineRule="auto"/>
              <w:jc w:val="center"/>
              <w:rPr>
                <w:rFonts w:hint="eastAsia" w:ascii="宋体" w:hAnsi="宋体" w:eastAsia="宋体" w:cs="宋体"/>
                <w:color w:val="auto"/>
                <w:szCs w:val="21"/>
                <w:highlight w:val="none"/>
              </w:rPr>
            </w:pPr>
          </w:p>
        </w:tc>
        <w:tc>
          <w:tcPr>
            <w:tcW w:w="1258" w:type="dxa"/>
            <w:vAlign w:val="center"/>
          </w:tcPr>
          <w:p w14:paraId="53C143C5">
            <w:pPr>
              <w:spacing w:line="360" w:lineRule="auto"/>
              <w:jc w:val="center"/>
              <w:rPr>
                <w:rFonts w:hint="eastAsia" w:ascii="宋体" w:hAnsi="宋体" w:eastAsia="宋体" w:cs="宋体"/>
                <w:color w:val="auto"/>
                <w:szCs w:val="21"/>
                <w:highlight w:val="none"/>
              </w:rPr>
            </w:pPr>
          </w:p>
        </w:tc>
      </w:tr>
      <w:tr w14:paraId="371A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699BD8F4">
            <w:pPr>
              <w:spacing w:line="360" w:lineRule="auto"/>
              <w:jc w:val="center"/>
              <w:rPr>
                <w:rFonts w:hint="eastAsia" w:ascii="宋体" w:hAnsi="宋体" w:eastAsia="宋体" w:cs="宋体"/>
                <w:color w:val="auto"/>
                <w:szCs w:val="21"/>
                <w:highlight w:val="none"/>
              </w:rPr>
            </w:pPr>
          </w:p>
        </w:tc>
        <w:tc>
          <w:tcPr>
            <w:tcW w:w="961" w:type="dxa"/>
            <w:vAlign w:val="center"/>
          </w:tcPr>
          <w:p w14:paraId="1A372053">
            <w:pPr>
              <w:spacing w:line="360" w:lineRule="auto"/>
              <w:jc w:val="center"/>
              <w:rPr>
                <w:rFonts w:hint="eastAsia" w:ascii="宋体" w:hAnsi="宋体" w:eastAsia="宋体" w:cs="宋体"/>
                <w:color w:val="auto"/>
                <w:szCs w:val="21"/>
                <w:highlight w:val="none"/>
              </w:rPr>
            </w:pPr>
          </w:p>
        </w:tc>
        <w:tc>
          <w:tcPr>
            <w:tcW w:w="1257" w:type="dxa"/>
            <w:vAlign w:val="center"/>
          </w:tcPr>
          <w:p w14:paraId="1CFF3CB8">
            <w:pPr>
              <w:spacing w:line="360" w:lineRule="auto"/>
              <w:jc w:val="center"/>
              <w:rPr>
                <w:rFonts w:hint="eastAsia" w:ascii="宋体" w:hAnsi="宋体" w:eastAsia="宋体" w:cs="宋体"/>
                <w:color w:val="auto"/>
                <w:szCs w:val="21"/>
                <w:highlight w:val="none"/>
              </w:rPr>
            </w:pPr>
          </w:p>
        </w:tc>
        <w:tc>
          <w:tcPr>
            <w:tcW w:w="1258" w:type="dxa"/>
            <w:vAlign w:val="center"/>
          </w:tcPr>
          <w:p w14:paraId="0BB18232">
            <w:pPr>
              <w:spacing w:line="360" w:lineRule="auto"/>
              <w:jc w:val="center"/>
              <w:rPr>
                <w:rFonts w:hint="eastAsia" w:ascii="宋体" w:hAnsi="宋体" w:eastAsia="宋体" w:cs="宋体"/>
                <w:color w:val="auto"/>
                <w:szCs w:val="21"/>
                <w:highlight w:val="none"/>
              </w:rPr>
            </w:pPr>
          </w:p>
        </w:tc>
        <w:tc>
          <w:tcPr>
            <w:tcW w:w="1257" w:type="dxa"/>
            <w:vAlign w:val="center"/>
          </w:tcPr>
          <w:p w14:paraId="223A9437">
            <w:pPr>
              <w:spacing w:line="360" w:lineRule="auto"/>
              <w:jc w:val="center"/>
              <w:rPr>
                <w:rFonts w:hint="eastAsia" w:ascii="宋体" w:hAnsi="宋体" w:eastAsia="宋体" w:cs="宋体"/>
                <w:color w:val="auto"/>
                <w:szCs w:val="21"/>
                <w:highlight w:val="none"/>
              </w:rPr>
            </w:pPr>
          </w:p>
        </w:tc>
        <w:tc>
          <w:tcPr>
            <w:tcW w:w="1258" w:type="dxa"/>
            <w:vAlign w:val="center"/>
          </w:tcPr>
          <w:p w14:paraId="5C0F9994">
            <w:pPr>
              <w:spacing w:line="360" w:lineRule="auto"/>
              <w:jc w:val="center"/>
              <w:rPr>
                <w:rFonts w:hint="eastAsia" w:ascii="宋体" w:hAnsi="宋体" w:eastAsia="宋体" w:cs="宋体"/>
                <w:color w:val="auto"/>
                <w:szCs w:val="21"/>
                <w:highlight w:val="none"/>
              </w:rPr>
            </w:pPr>
          </w:p>
        </w:tc>
        <w:tc>
          <w:tcPr>
            <w:tcW w:w="1257" w:type="dxa"/>
            <w:vAlign w:val="center"/>
          </w:tcPr>
          <w:p w14:paraId="75F45628">
            <w:pPr>
              <w:spacing w:line="360" w:lineRule="auto"/>
              <w:jc w:val="center"/>
              <w:rPr>
                <w:rFonts w:hint="eastAsia" w:ascii="宋体" w:hAnsi="宋体" w:eastAsia="宋体" w:cs="宋体"/>
                <w:color w:val="auto"/>
                <w:szCs w:val="21"/>
                <w:highlight w:val="none"/>
              </w:rPr>
            </w:pPr>
          </w:p>
        </w:tc>
        <w:tc>
          <w:tcPr>
            <w:tcW w:w="1258" w:type="dxa"/>
            <w:vAlign w:val="center"/>
          </w:tcPr>
          <w:p w14:paraId="1B5139AC">
            <w:pPr>
              <w:spacing w:line="360" w:lineRule="auto"/>
              <w:jc w:val="center"/>
              <w:rPr>
                <w:rFonts w:hint="eastAsia" w:ascii="宋体" w:hAnsi="宋体" w:eastAsia="宋体" w:cs="宋体"/>
                <w:color w:val="auto"/>
                <w:szCs w:val="21"/>
                <w:highlight w:val="none"/>
              </w:rPr>
            </w:pPr>
          </w:p>
        </w:tc>
      </w:tr>
      <w:tr w14:paraId="5081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171E9F8">
            <w:pPr>
              <w:spacing w:line="360" w:lineRule="auto"/>
              <w:jc w:val="center"/>
              <w:rPr>
                <w:rFonts w:hint="eastAsia" w:ascii="宋体" w:hAnsi="宋体" w:eastAsia="宋体" w:cs="宋体"/>
                <w:color w:val="auto"/>
                <w:szCs w:val="21"/>
                <w:highlight w:val="none"/>
              </w:rPr>
            </w:pPr>
          </w:p>
        </w:tc>
        <w:tc>
          <w:tcPr>
            <w:tcW w:w="961" w:type="dxa"/>
            <w:vAlign w:val="center"/>
          </w:tcPr>
          <w:p w14:paraId="5FBD5F01">
            <w:pPr>
              <w:spacing w:line="360" w:lineRule="auto"/>
              <w:jc w:val="center"/>
              <w:rPr>
                <w:rFonts w:hint="eastAsia" w:ascii="宋体" w:hAnsi="宋体" w:eastAsia="宋体" w:cs="宋体"/>
                <w:color w:val="auto"/>
                <w:szCs w:val="21"/>
                <w:highlight w:val="none"/>
              </w:rPr>
            </w:pPr>
          </w:p>
        </w:tc>
        <w:tc>
          <w:tcPr>
            <w:tcW w:w="1257" w:type="dxa"/>
            <w:vAlign w:val="center"/>
          </w:tcPr>
          <w:p w14:paraId="64C4E602">
            <w:pPr>
              <w:spacing w:line="360" w:lineRule="auto"/>
              <w:jc w:val="center"/>
              <w:rPr>
                <w:rFonts w:hint="eastAsia" w:ascii="宋体" w:hAnsi="宋体" w:eastAsia="宋体" w:cs="宋体"/>
                <w:color w:val="auto"/>
                <w:szCs w:val="21"/>
                <w:highlight w:val="none"/>
              </w:rPr>
            </w:pPr>
          </w:p>
        </w:tc>
        <w:tc>
          <w:tcPr>
            <w:tcW w:w="1258" w:type="dxa"/>
            <w:vAlign w:val="center"/>
          </w:tcPr>
          <w:p w14:paraId="67A84FF6">
            <w:pPr>
              <w:spacing w:line="360" w:lineRule="auto"/>
              <w:jc w:val="center"/>
              <w:rPr>
                <w:rFonts w:hint="eastAsia" w:ascii="宋体" w:hAnsi="宋体" w:eastAsia="宋体" w:cs="宋体"/>
                <w:color w:val="auto"/>
                <w:szCs w:val="21"/>
                <w:highlight w:val="none"/>
              </w:rPr>
            </w:pPr>
          </w:p>
        </w:tc>
        <w:tc>
          <w:tcPr>
            <w:tcW w:w="1257" w:type="dxa"/>
            <w:vAlign w:val="center"/>
          </w:tcPr>
          <w:p w14:paraId="0A863CAE">
            <w:pPr>
              <w:spacing w:line="360" w:lineRule="auto"/>
              <w:jc w:val="center"/>
              <w:rPr>
                <w:rFonts w:hint="eastAsia" w:ascii="宋体" w:hAnsi="宋体" w:eastAsia="宋体" w:cs="宋体"/>
                <w:color w:val="auto"/>
                <w:szCs w:val="21"/>
                <w:highlight w:val="none"/>
              </w:rPr>
            </w:pPr>
          </w:p>
        </w:tc>
        <w:tc>
          <w:tcPr>
            <w:tcW w:w="1258" w:type="dxa"/>
            <w:vAlign w:val="center"/>
          </w:tcPr>
          <w:p w14:paraId="18C55936">
            <w:pPr>
              <w:spacing w:line="360" w:lineRule="auto"/>
              <w:jc w:val="center"/>
              <w:rPr>
                <w:rFonts w:hint="eastAsia" w:ascii="宋体" w:hAnsi="宋体" w:eastAsia="宋体" w:cs="宋体"/>
                <w:color w:val="auto"/>
                <w:szCs w:val="21"/>
                <w:highlight w:val="none"/>
              </w:rPr>
            </w:pPr>
          </w:p>
        </w:tc>
        <w:tc>
          <w:tcPr>
            <w:tcW w:w="1257" w:type="dxa"/>
            <w:vAlign w:val="center"/>
          </w:tcPr>
          <w:p w14:paraId="2245A5B3">
            <w:pPr>
              <w:spacing w:line="360" w:lineRule="auto"/>
              <w:jc w:val="center"/>
              <w:rPr>
                <w:rFonts w:hint="eastAsia" w:ascii="宋体" w:hAnsi="宋体" w:eastAsia="宋体" w:cs="宋体"/>
                <w:color w:val="auto"/>
                <w:szCs w:val="21"/>
                <w:highlight w:val="none"/>
              </w:rPr>
            </w:pPr>
          </w:p>
        </w:tc>
        <w:tc>
          <w:tcPr>
            <w:tcW w:w="1258" w:type="dxa"/>
            <w:vAlign w:val="center"/>
          </w:tcPr>
          <w:p w14:paraId="36B56772">
            <w:pPr>
              <w:spacing w:line="360" w:lineRule="auto"/>
              <w:jc w:val="center"/>
              <w:rPr>
                <w:rFonts w:hint="eastAsia" w:ascii="宋体" w:hAnsi="宋体" w:eastAsia="宋体" w:cs="宋体"/>
                <w:color w:val="auto"/>
                <w:szCs w:val="21"/>
                <w:highlight w:val="none"/>
              </w:rPr>
            </w:pPr>
          </w:p>
        </w:tc>
      </w:tr>
      <w:tr w14:paraId="24E2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45E801C4">
            <w:pPr>
              <w:spacing w:line="360" w:lineRule="auto"/>
              <w:jc w:val="center"/>
              <w:rPr>
                <w:rFonts w:hint="eastAsia" w:ascii="宋体" w:hAnsi="宋体" w:eastAsia="宋体" w:cs="宋体"/>
                <w:color w:val="auto"/>
                <w:szCs w:val="21"/>
                <w:highlight w:val="none"/>
              </w:rPr>
            </w:pPr>
          </w:p>
        </w:tc>
        <w:tc>
          <w:tcPr>
            <w:tcW w:w="961" w:type="dxa"/>
            <w:vAlign w:val="center"/>
          </w:tcPr>
          <w:p w14:paraId="5687D1BB">
            <w:pPr>
              <w:spacing w:line="360" w:lineRule="auto"/>
              <w:jc w:val="center"/>
              <w:rPr>
                <w:rFonts w:hint="eastAsia" w:ascii="宋体" w:hAnsi="宋体" w:eastAsia="宋体" w:cs="宋体"/>
                <w:color w:val="auto"/>
                <w:szCs w:val="21"/>
                <w:highlight w:val="none"/>
              </w:rPr>
            </w:pPr>
          </w:p>
        </w:tc>
        <w:tc>
          <w:tcPr>
            <w:tcW w:w="1257" w:type="dxa"/>
            <w:vAlign w:val="center"/>
          </w:tcPr>
          <w:p w14:paraId="70D2C039">
            <w:pPr>
              <w:spacing w:line="360" w:lineRule="auto"/>
              <w:jc w:val="center"/>
              <w:rPr>
                <w:rFonts w:hint="eastAsia" w:ascii="宋体" w:hAnsi="宋体" w:eastAsia="宋体" w:cs="宋体"/>
                <w:color w:val="auto"/>
                <w:szCs w:val="21"/>
                <w:highlight w:val="none"/>
              </w:rPr>
            </w:pPr>
          </w:p>
        </w:tc>
        <w:tc>
          <w:tcPr>
            <w:tcW w:w="1258" w:type="dxa"/>
            <w:vAlign w:val="center"/>
          </w:tcPr>
          <w:p w14:paraId="25DD6A60">
            <w:pPr>
              <w:spacing w:line="360" w:lineRule="auto"/>
              <w:jc w:val="center"/>
              <w:rPr>
                <w:rFonts w:hint="eastAsia" w:ascii="宋体" w:hAnsi="宋体" w:eastAsia="宋体" w:cs="宋体"/>
                <w:color w:val="auto"/>
                <w:szCs w:val="21"/>
                <w:highlight w:val="none"/>
              </w:rPr>
            </w:pPr>
          </w:p>
        </w:tc>
        <w:tc>
          <w:tcPr>
            <w:tcW w:w="1257" w:type="dxa"/>
            <w:vAlign w:val="center"/>
          </w:tcPr>
          <w:p w14:paraId="2246A905">
            <w:pPr>
              <w:spacing w:line="360" w:lineRule="auto"/>
              <w:jc w:val="center"/>
              <w:rPr>
                <w:rFonts w:hint="eastAsia" w:ascii="宋体" w:hAnsi="宋体" w:eastAsia="宋体" w:cs="宋体"/>
                <w:color w:val="auto"/>
                <w:szCs w:val="21"/>
                <w:highlight w:val="none"/>
              </w:rPr>
            </w:pPr>
          </w:p>
        </w:tc>
        <w:tc>
          <w:tcPr>
            <w:tcW w:w="1258" w:type="dxa"/>
            <w:vAlign w:val="center"/>
          </w:tcPr>
          <w:p w14:paraId="4461D97B">
            <w:pPr>
              <w:spacing w:line="360" w:lineRule="auto"/>
              <w:jc w:val="center"/>
              <w:rPr>
                <w:rFonts w:hint="eastAsia" w:ascii="宋体" w:hAnsi="宋体" w:eastAsia="宋体" w:cs="宋体"/>
                <w:color w:val="auto"/>
                <w:szCs w:val="21"/>
                <w:highlight w:val="none"/>
              </w:rPr>
            </w:pPr>
          </w:p>
        </w:tc>
        <w:tc>
          <w:tcPr>
            <w:tcW w:w="1257" w:type="dxa"/>
            <w:vAlign w:val="center"/>
          </w:tcPr>
          <w:p w14:paraId="7848447C">
            <w:pPr>
              <w:spacing w:line="360" w:lineRule="auto"/>
              <w:jc w:val="center"/>
              <w:rPr>
                <w:rFonts w:hint="eastAsia" w:ascii="宋体" w:hAnsi="宋体" w:eastAsia="宋体" w:cs="宋体"/>
                <w:color w:val="auto"/>
                <w:szCs w:val="21"/>
                <w:highlight w:val="none"/>
              </w:rPr>
            </w:pPr>
          </w:p>
        </w:tc>
        <w:tc>
          <w:tcPr>
            <w:tcW w:w="1258" w:type="dxa"/>
            <w:vAlign w:val="center"/>
          </w:tcPr>
          <w:p w14:paraId="7E4C31AA">
            <w:pPr>
              <w:spacing w:line="360" w:lineRule="auto"/>
              <w:jc w:val="center"/>
              <w:rPr>
                <w:rFonts w:hint="eastAsia" w:ascii="宋体" w:hAnsi="宋体" w:eastAsia="宋体" w:cs="宋体"/>
                <w:color w:val="auto"/>
                <w:szCs w:val="21"/>
                <w:highlight w:val="none"/>
              </w:rPr>
            </w:pPr>
          </w:p>
        </w:tc>
      </w:tr>
      <w:tr w14:paraId="75E6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0FF32BC8">
            <w:pPr>
              <w:spacing w:line="360" w:lineRule="auto"/>
              <w:jc w:val="center"/>
              <w:rPr>
                <w:rFonts w:hint="eastAsia" w:ascii="宋体" w:hAnsi="宋体" w:eastAsia="宋体" w:cs="宋体"/>
                <w:color w:val="auto"/>
                <w:szCs w:val="21"/>
                <w:highlight w:val="none"/>
              </w:rPr>
            </w:pPr>
          </w:p>
        </w:tc>
        <w:tc>
          <w:tcPr>
            <w:tcW w:w="961" w:type="dxa"/>
            <w:vAlign w:val="center"/>
          </w:tcPr>
          <w:p w14:paraId="54222E3D">
            <w:pPr>
              <w:spacing w:line="360" w:lineRule="auto"/>
              <w:jc w:val="center"/>
              <w:rPr>
                <w:rFonts w:hint="eastAsia" w:ascii="宋体" w:hAnsi="宋体" w:eastAsia="宋体" w:cs="宋体"/>
                <w:color w:val="auto"/>
                <w:szCs w:val="21"/>
                <w:highlight w:val="none"/>
              </w:rPr>
            </w:pPr>
          </w:p>
        </w:tc>
        <w:tc>
          <w:tcPr>
            <w:tcW w:w="1257" w:type="dxa"/>
            <w:vAlign w:val="center"/>
          </w:tcPr>
          <w:p w14:paraId="0C22A890">
            <w:pPr>
              <w:spacing w:line="360" w:lineRule="auto"/>
              <w:jc w:val="center"/>
              <w:rPr>
                <w:rFonts w:hint="eastAsia" w:ascii="宋体" w:hAnsi="宋体" w:eastAsia="宋体" w:cs="宋体"/>
                <w:color w:val="auto"/>
                <w:szCs w:val="21"/>
                <w:highlight w:val="none"/>
              </w:rPr>
            </w:pPr>
          </w:p>
        </w:tc>
        <w:tc>
          <w:tcPr>
            <w:tcW w:w="1258" w:type="dxa"/>
            <w:vAlign w:val="center"/>
          </w:tcPr>
          <w:p w14:paraId="447B4B27">
            <w:pPr>
              <w:spacing w:line="360" w:lineRule="auto"/>
              <w:jc w:val="center"/>
              <w:rPr>
                <w:rFonts w:hint="eastAsia" w:ascii="宋体" w:hAnsi="宋体" w:eastAsia="宋体" w:cs="宋体"/>
                <w:color w:val="auto"/>
                <w:szCs w:val="21"/>
                <w:highlight w:val="none"/>
              </w:rPr>
            </w:pPr>
          </w:p>
        </w:tc>
        <w:tc>
          <w:tcPr>
            <w:tcW w:w="1257" w:type="dxa"/>
            <w:vAlign w:val="center"/>
          </w:tcPr>
          <w:p w14:paraId="07B9A82A">
            <w:pPr>
              <w:spacing w:line="360" w:lineRule="auto"/>
              <w:jc w:val="center"/>
              <w:rPr>
                <w:rFonts w:hint="eastAsia" w:ascii="宋体" w:hAnsi="宋体" w:eastAsia="宋体" w:cs="宋体"/>
                <w:color w:val="auto"/>
                <w:szCs w:val="21"/>
                <w:highlight w:val="none"/>
              </w:rPr>
            </w:pPr>
          </w:p>
        </w:tc>
        <w:tc>
          <w:tcPr>
            <w:tcW w:w="1258" w:type="dxa"/>
            <w:vAlign w:val="center"/>
          </w:tcPr>
          <w:p w14:paraId="305CCFF1">
            <w:pPr>
              <w:spacing w:line="360" w:lineRule="auto"/>
              <w:jc w:val="center"/>
              <w:rPr>
                <w:rFonts w:hint="eastAsia" w:ascii="宋体" w:hAnsi="宋体" w:eastAsia="宋体" w:cs="宋体"/>
                <w:color w:val="auto"/>
                <w:szCs w:val="21"/>
                <w:highlight w:val="none"/>
              </w:rPr>
            </w:pPr>
          </w:p>
        </w:tc>
        <w:tc>
          <w:tcPr>
            <w:tcW w:w="1257" w:type="dxa"/>
            <w:vAlign w:val="center"/>
          </w:tcPr>
          <w:p w14:paraId="3A56E593">
            <w:pPr>
              <w:spacing w:line="360" w:lineRule="auto"/>
              <w:jc w:val="center"/>
              <w:rPr>
                <w:rFonts w:hint="eastAsia" w:ascii="宋体" w:hAnsi="宋体" w:eastAsia="宋体" w:cs="宋体"/>
                <w:color w:val="auto"/>
                <w:szCs w:val="21"/>
                <w:highlight w:val="none"/>
              </w:rPr>
            </w:pPr>
          </w:p>
        </w:tc>
        <w:tc>
          <w:tcPr>
            <w:tcW w:w="1258" w:type="dxa"/>
            <w:vAlign w:val="center"/>
          </w:tcPr>
          <w:p w14:paraId="4CD6CDEF">
            <w:pPr>
              <w:spacing w:line="360" w:lineRule="auto"/>
              <w:jc w:val="center"/>
              <w:rPr>
                <w:rFonts w:hint="eastAsia" w:ascii="宋体" w:hAnsi="宋体" w:eastAsia="宋体" w:cs="宋体"/>
                <w:color w:val="auto"/>
                <w:szCs w:val="21"/>
                <w:highlight w:val="none"/>
              </w:rPr>
            </w:pPr>
          </w:p>
        </w:tc>
      </w:tr>
      <w:tr w14:paraId="5D82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14:paraId="38039B91">
            <w:pPr>
              <w:spacing w:line="360" w:lineRule="auto"/>
              <w:jc w:val="center"/>
              <w:rPr>
                <w:rFonts w:hint="eastAsia" w:ascii="宋体" w:hAnsi="宋体" w:eastAsia="宋体" w:cs="宋体"/>
                <w:color w:val="auto"/>
                <w:szCs w:val="21"/>
                <w:highlight w:val="none"/>
              </w:rPr>
            </w:pPr>
          </w:p>
        </w:tc>
        <w:tc>
          <w:tcPr>
            <w:tcW w:w="961" w:type="dxa"/>
            <w:vAlign w:val="center"/>
          </w:tcPr>
          <w:p w14:paraId="43F35DCE">
            <w:pPr>
              <w:spacing w:line="360" w:lineRule="auto"/>
              <w:jc w:val="center"/>
              <w:rPr>
                <w:rFonts w:hint="eastAsia" w:ascii="宋体" w:hAnsi="宋体" w:eastAsia="宋体" w:cs="宋体"/>
                <w:color w:val="auto"/>
                <w:szCs w:val="21"/>
                <w:highlight w:val="none"/>
              </w:rPr>
            </w:pPr>
          </w:p>
        </w:tc>
        <w:tc>
          <w:tcPr>
            <w:tcW w:w="1257" w:type="dxa"/>
            <w:vAlign w:val="center"/>
          </w:tcPr>
          <w:p w14:paraId="701100E9">
            <w:pPr>
              <w:spacing w:line="360" w:lineRule="auto"/>
              <w:jc w:val="center"/>
              <w:rPr>
                <w:rFonts w:hint="eastAsia" w:ascii="宋体" w:hAnsi="宋体" w:eastAsia="宋体" w:cs="宋体"/>
                <w:color w:val="auto"/>
                <w:szCs w:val="21"/>
                <w:highlight w:val="none"/>
              </w:rPr>
            </w:pPr>
          </w:p>
        </w:tc>
        <w:tc>
          <w:tcPr>
            <w:tcW w:w="1258" w:type="dxa"/>
            <w:vAlign w:val="center"/>
          </w:tcPr>
          <w:p w14:paraId="50D90069">
            <w:pPr>
              <w:spacing w:line="360" w:lineRule="auto"/>
              <w:jc w:val="center"/>
              <w:rPr>
                <w:rFonts w:hint="eastAsia" w:ascii="宋体" w:hAnsi="宋体" w:eastAsia="宋体" w:cs="宋体"/>
                <w:color w:val="auto"/>
                <w:szCs w:val="21"/>
                <w:highlight w:val="none"/>
              </w:rPr>
            </w:pPr>
          </w:p>
        </w:tc>
        <w:tc>
          <w:tcPr>
            <w:tcW w:w="1257" w:type="dxa"/>
            <w:vAlign w:val="center"/>
          </w:tcPr>
          <w:p w14:paraId="0A9D65AB">
            <w:pPr>
              <w:spacing w:line="360" w:lineRule="auto"/>
              <w:jc w:val="center"/>
              <w:rPr>
                <w:rFonts w:hint="eastAsia" w:ascii="宋体" w:hAnsi="宋体" w:eastAsia="宋体" w:cs="宋体"/>
                <w:color w:val="auto"/>
                <w:szCs w:val="21"/>
                <w:highlight w:val="none"/>
              </w:rPr>
            </w:pPr>
          </w:p>
        </w:tc>
        <w:tc>
          <w:tcPr>
            <w:tcW w:w="1258" w:type="dxa"/>
            <w:vAlign w:val="center"/>
          </w:tcPr>
          <w:p w14:paraId="530CEC22">
            <w:pPr>
              <w:spacing w:line="360" w:lineRule="auto"/>
              <w:jc w:val="center"/>
              <w:rPr>
                <w:rFonts w:hint="eastAsia" w:ascii="宋体" w:hAnsi="宋体" w:eastAsia="宋体" w:cs="宋体"/>
                <w:color w:val="auto"/>
                <w:szCs w:val="21"/>
                <w:highlight w:val="none"/>
              </w:rPr>
            </w:pPr>
          </w:p>
        </w:tc>
        <w:tc>
          <w:tcPr>
            <w:tcW w:w="1257" w:type="dxa"/>
            <w:vAlign w:val="center"/>
          </w:tcPr>
          <w:p w14:paraId="6BA02FB5">
            <w:pPr>
              <w:spacing w:line="360" w:lineRule="auto"/>
              <w:jc w:val="center"/>
              <w:rPr>
                <w:rFonts w:hint="eastAsia" w:ascii="宋体" w:hAnsi="宋体" w:eastAsia="宋体" w:cs="宋体"/>
                <w:color w:val="auto"/>
                <w:szCs w:val="21"/>
                <w:highlight w:val="none"/>
              </w:rPr>
            </w:pPr>
          </w:p>
        </w:tc>
        <w:tc>
          <w:tcPr>
            <w:tcW w:w="1258" w:type="dxa"/>
            <w:vAlign w:val="center"/>
          </w:tcPr>
          <w:p w14:paraId="15573885">
            <w:pPr>
              <w:spacing w:line="360" w:lineRule="auto"/>
              <w:jc w:val="center"/>
              <w:rPr>
                <w:rFonts w:hint="eastAsia" w:ascii="宋体" w:hAnsi="宋体" w:eastAsia="宋体" w:cs="宋体"/>
                <w:color w:val="auto"/>
                <w:szCs w:val="21"/>
                <w:highlight w:val="none"/>
              </w:rPr>
            </w:pPr>
          </w:p>
        </w:tc>
      </w:tr>
    </w:tbl>
    <w:p w14:paraId="52A70DD3">
      <w:pPr>
        <w:rPr>
          <w:rFonts w:hint="eastAsia" w:ascii="宋体" w:hAnsi="宋体" w:eastAsia="宋体" w:cs="宋体"/>
          <w:color w:val="auto"/>
          <w:highlight w:val="none"/>
        </w:rPr>
      </w:pPr>
    </w:p>
    <w:p w14:paraId="798F7D20">
      <w:pPr>
        <w:rPr>
          <w:rFonts w:hint="eastAsia" w:ascii="宋体" w:hAnsi="宋体" w:eastAsia="宋体" w:cs="宋体"/>
          <w:b/>
          <w:color w:val="auto"/>
          <w:highlight w:val="none"/>
        </w:rPr>
      </w:pPr>
    </w:p>
    <w:p w14:paraId="3ABD1F14">
      <w:pPr>
        <w:rPr>
          <w:rFonts w:hint="eastAsia" w:ascii="宋体" w:hAnsi="宋体" w:eastAsia="宋体" w:cs="宋体"/>
          <w:color w:val="auto"/>
          <w:highlight w:val="none"/>
        </w:rPr>
      </w:pPr>
      <w:r>
        <w:rPr>
          <w:rFonts w:hint="eastAsia" w:ascii="宋体" w:hAnsi="宋体" w:eastAsia="宋体" w:cs="宋体"/>
          <w:color w:val="auto"/>
          <w:highlight w:val="none"/>
        </w:rPr>
        <w:t>附表四：计划开、竣工日期和施工进度计划（网络图或横道图）</w:t>
      </w:r>
    </w:p>
    <w:p w14:paraId="4DB1F5F5">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（1）供应商应提交施工进度计划，说明按采购文件要求的工期进行施工的各个关键日期。成交的供应商还应按合同条件有关条款的要求提交详细的施工进度计划。</w:t>
      </w:r>
    </w:p>
    <w:p w14:paraId="448C990A">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（2）施工进度计划可采用网络图（或横道图）表示，说明计划开工日期和各分项工程各阶段的完工日期和分包合同签订的日期。</w:t>
      </w:r>
    </w:p>
    <w:p w14:paraId="4DCAC940">
      <w:pPr>
        <w:spacing w:line="460" w:lineRule="exact"/>
        <w:ind w:left="-6" w:firstLine="420"/>
        <w:rPr>
          <w:rFonts w:hint="eastAsia" w:ascii="宋体" w:hAnsi="宋体" w:eastAsia="宋体" w:cs="宋体"/>
          <w:color w:val="auto"/>
          <w:highlight w:val="none"/>
        </w:rPr>
      </w:pPr>
      <w:r>
        <w:rPr>
          <w:rFonts w:hint="eastAsia" w:ascii="宋体" w:hAnsi="宋体" w:eastAsia="宋体" w:cs="宋体"/>
          <w:color w:val="auto"/>
          <w:highlight w:val="none"/>
        </w:rPr>
        <w:t>（3）施工进度计划应与施工组织设计相适应。</w:t>
      </w:r>
    </w:p>
    <w:p w14:paraId="2D11B7EC">
      <w:pPr>
        <w:rPr>
          <w:rFonts w:hint="eastAsia" w:ascii="宋体" w:hAnsi="宋体" w:eastAsia="宋体" w:cs="宋体"/>
          <w:color w:val="auto"/>
          <w:highlight w:val="none"/>
        </w:rPr>
      </w:pPr>
    </w:p>
    <w:p w14:paraId="6709ADA3">
      <w:pPr>
        <w:rPr>
          <w:rFonts w:hint="eastAsia" w:ascii="宋体" w:hAnsi="宋体" w:eastAsia="宋体" w:cs="宋体"/>
          <w:color w:val="auto"/>
          <w:highlight w:val="none"/>
        </w:rPr>
      </w:pPr>
    </w:p>
    <w:p w14:paraId="4CD8D583">
      <w:pPr>
        <w:rPr>
          <w:rFonts w:hint="eastAsia" w:ascii="宋体" w:hAnsi="宋体" w:eastAsia="宋体" w:cs="宋体"/>
          <w:color w:val="auto"/>
          <w:highlight w:val="none"/>
        </w:rPr>
      </w:pPr>
    </w:p>
    <w:p w14:paraId="1050DF44">
      <w:pPr>
        <w:rPr>
          <w:rFonts w:hint="eastAsia" w:ascii="宋体" w:hAnsi="宋体" w:eastAsia="宋体" w:cs="宋体"/>
          <w:color w:val="auto"/>
          <w:highlight w:val="none"/>
        </w:rPr>
      </w:pPr>
    </w:p>
    <w:p w14:paraId="3015A796">
      <w:pPr>
        <w:rPr>
          <w:rFonts w:hint="eastAsia" w:ascii="宋体" w:hAnsi="宋体" w:eastAsia="宋体" w:cs="宋体"/>
          <w:color w:val="auto"/>
          <w:highlight w:val="none"/>
        </w:rPr>
      </w:pPr>
      <w:r>
        <w:rPr>
          <w:rFonts w:hint="eastAsia" w:ascii="宋体" w:hAnsi="宋体" w:eastAsia="宋体" w:cs="宋体"/>
          <w:color w:val="auto"/>
          <w:highlight w:val="none"/>
        </w:rPr>
        <w:t>附表五：施工总平面图</w:t>
      </w:r>
    </w:p>
    <w:p w14:paraId="2C9FF73A">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供应商应递交一份施工总平面图，绘出现场临时设施布置图表并附文字说明，说明临时设施、加工车间、现场办公、设备及仓储、供电、供水、卫生、生活、道路、消防等设施的情况和布置。</w:t>
      </w:r>
    </w:p>
    <w:p w14:paraId="699666C2">
      <w:pPr>
        <w:rPr>
          <w:rFonts w:hint="eastAsia" w:ascii="宋体" w:hAnsi="宋体" w:eastAsia="宋体" w:cs="宋体"/>
          <w:color w:val="auto"/>
          <w:highlight w:val="none"/>
        </w:rPr>
      </w:pPr>
    </w:p>
    <w:p w14:paraId="63EDEB57">
      <w:pPr>
        <w:rPr>
          <w:rFonts w:hint="eastAsia" w:ascii="宋体" w:hAnsi="宋体" w:eastAsia="宋体" w:cs="宋体"/>
          <w:color w:val="auto"/>
          <w:highlight w:val="none"/>
        </w:rPr>
      </w:pPr>
    </w:p>
    <w:p w14:paraId="239DC311">
      <w:pPr>
        <w:rPr>
          <w:rFonts w:hint="eastAsia" w:ascii="宋体" w:hAnsi="宋体" w:eastAsia="宋体" w:cs="宋体"/>
          <w:color w:val="auto"/>
          <w:highlight w:val="none"/>
        </w:rPr>
      </w:pPr>
      <w:r>
        <w:rPr>
          <w:rFonts w:hint="eastAsia" w:ascii="宋体" w:hAnsi="宋体" w:eastAsia="宋体" w:cs="宋体"/>
          <w:color w:val="auto"/>
          <w:highlight w:val="none"/>
        </w:rPr>
        <w:t>附表六：临时用地表</w:t>
      </w:r>
    </w:p>
    <w:p w14:paraId="55867FB0">
      <w:pPr>
        <w:rPr>
          <w:rFonts w:hint="eastAsia" w:ascii="宋体" w:hAnsi="宋体" w:eastAsia="宋体" w:cs="宋体"/>
          <w:color w:val="auto"/>
          <w:highlight w:val="none"/>
        </w:rPr>
      </w:pP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1"/>
        <w:gridCol w:w="2090"/>
        <w:gridCol w:w="2091"/>
      </w:tblGrid>
      <w:tr w14:paraId="7F63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90" w:type="dxa"/>
            <w:vAlign w:val="center"/>
          </w:tcPr>
          <w:p w14:paraId="467CF47D">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用途</w:t>
            </w:r>
          </w:p>
        </w:tc>
        <w:tc>
          <w:tcPr>
            <w:tcW w:w="2091" w:type="dxa"/>
            <w:vAlign w:val="center"/>
          </w:tcPr>
          <w:p w14:paraId="34DB4755">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面积（平方米）</w:t>
            </w:r>
          </w:p>
        </w:tc>
        <w:tc>
          <w:tcPr>
            <w:tcW w:w="2090" w:type="dxa"/>
            <w:vAlign w:val="center"/>
          </w:tcPr>
          <w:p w14:paraId="08BB2CAB">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位置</w:t>
            </w:r>
          </w:p>
        </w:tc>
        <w:tc>
          <w:tcPr>
            <w:tcW w:w="2091" w:type="dxa"/>
            <w:vAlign w:val="center"/>
          </w:tcPr>
          <w:p w14:paraId="457A6FAE">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需用时间</w:t>
            </w:r>
          </w:p>
        </w:tc>
      </w:tr>
      <w:tr w14:paraId="6043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14:paraId="2AD4B841">
            <w:pPr>
              <w:rPr>
                <w:rFonts w:hint="eastAsia" w:ascii="宋体" w:hAnsi="宋体" w:eastAsia="宋体" w:cs="宋体"/>
                <w:color w:val="auto"/>
                <w:highlight w:val="none"/>
              </w:rPr>
            </w:pPr>
          </w:p>
        </w:tc>
        <w:tc>
          <w:tcPr>
            <w:tcW w:w="2091" w:type="dxa"/>
          </w:tcPr>
          <w:p w14:paraId="666A4F98">
            <w:pPr>
              <w:rPr>
                <w:rFonts w:hint="eastAsia" w:ascii="宋体" w:hAnsi="宋体" w:eastAsia="宋体" w:cs="宋体"/>
                <w:color w:val="auto"/>
                <w:highlight w:val="none"/>
              </w:rPr>
            </w:pPr>
          </w:p>
        </w:tc>
        <w:tc>
          <w:tcPr>
            <w:tcW w:w="2090" w:type="dxa"/>
          </w:tcPr>
          <w:p w14:paraId="47575B7E">
            <w:pPr>
              <w:rPr>
                <w:rFonts w:hint="eastAsia" w:ascii="宋体" w:hAnsi="宋体" w:eastAsia="宋体" w:cs="宋体"/>
                <w:color w:val="auto"/>
                <w:highlight w:val="none"/>
              </w:rPr>
            </w:pPr>
          </w:p>
        </w:tc>
        <w:tc>
          <w:tcPr>
            <w:tcW w:w="2091" w:type="dxa"/>
          </w:tcPr>
          <w:p w14:paraId="34701071">
            <w:pPr>
              <w:rPr>
                <w:rFonts w:hint="eastAsia" w:ascii="宋体" w:hAnsi="宋体" w:eastAsia="宋体" w:cs="宋体"/>
                <w:color w:val="auto"/>
                <w:highlight w:val="none"/>
              </w:rPr>
            </w:pPr>
          </w:p>
        </w:tc>
      </w:tr>
      <w:tr w14:paraId="2153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14:paraId="79D85844">
            <w:pPr>
              <w:rPr>
                <w:rFonts w:hint="eastAsia" w:ascii="宋体" w:hAnsi="宋体" w:eastAsia="宋体" w:cs="宋体"/>
                <w:color w:val="auto"/>
                <w:highlight w:val="none"/>
              </w:rPr>
            </w:pPr>
          </w:p>
        </w:tc>
        <w:tc>
          <w:tcPr>
            <w:tcW w:w="2091" w:type="dxa"/>
          </w:tcPr>
          <w:p w14:paraId="0D6F278D">
            <w:pPr>
              <w:rPr>
                <w:rFonts w:hint="eastAsia" w:ascii="宋体" w:hAnsi="宋体" w:eastAsia="宋体" w:cs="宋体"/>
                <w:color w:val="auto"/>
                <w:highlight w:val="none"/>
              </w:rPr>
            </w:pPr>
          </w:p>
        </w:tc>
        <w:tc>
          <w:tcPr>
            <w:tcW w:w="2090" w:type="dxa"/>
          </w:tcPr>
          <w:p w14:paraId="4116C6BC">
            <w:pPr>
              <w:rPr>
                <w:rFonts w:hint="eastAsia" w:ascii="宋体" w:hAnsi="宋体" w:eastAsia="宋体" w:cs="宋体"/>
                <w:color w:val="auto"/>
                <w:highlight w:val="none"/>
              </w:rPr>
            </w:pPr>
          </w:p>
        </w:tc>
        <w:tc>
          <w:tcPr>
            <w:tcW w:w="2091" w:type="dxa"/>
          </w:tcPr>
          <w:p w14:paraId="4AA64BEB">
            <w:pPr>
              <w:rPr>
                <w:rFonts w:hint="eastAsia" w:ascii="宋体" w:hAnsi="宋体" w:eastAsia="宋体" w:cs="宋体"/>
                <w:color w:val="auto"/>
                <w:highlight w:val="none"/>
              </w:rPr>
            </w:pPr>
          </w:p>
        </w:tc>
      </w:tr>
      <w:tr w14:paraId="2ED6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90" w:type="dxa"/>
          </w:tcPr>
          <w:p w14:paraId="3A6A0727">
            <w:pPr>
              <w:rPr>
                <w:rFonts w:hint="eastAsia" w:ascii="宋体" w:hAnsi="宋体" w:eastAsia="宋体" w:cs="宋体"/>
                <w:color w:val="auto"/>
                <w:highlight w:val="none"/>
              </w:rPr>
            </w:pPr>
          </w:p>
        </w:tc>
        <w:tc>
          <w:tcPr>
            <w:tcW w:w="2091" w:type="dxa"/>
          </w:tcPr>
          <w:p w14:paraId="0281407D">
            <w:pPr>
              <w:rPr>
                <w:rFonts w:hint="eastAsia" w:ascii="宋体" w:hAnsi="宋体" w:eastAsia="宋体" w:cs="宋体"/>
                <w:color w:val="auto"/>
                <w:highlight w:val="none"/>
              </w:rPr>
            </w:pPr>
          </w:p>
        </w:tc>
        <w:tc>
          <w:tcPr>
            <w:tcW w:w="2090" w:type="dxa"/>
          </w:tcPr>
          <w:p w14:paraId="3177EE9B">
            <w:pPr>
              <w:rPr>
                <w:rFonts w:hint="eastAsia" w:ascii="宋体" w:hAnsi="宋体" w:eastAsia="宋体" w:cs="宋体"/>
                <w:color w:val="auto"/>
                <w:highlight w:val="none"/>
              </w:rPr>
            </w:pPr>
          </w:p>
        </w:tc>
        <w:tc>
          <w:tcPr>
            <w:tcW w:w="2091" w:type="dxa"/>
          </w:tcPr>
          <w:p w14:paraId="1BFE9DCB">
            <w:pPr>
              <w:rPr>
                <w:rFonts w:hint="eastAsia" w:ascii="宋体" w:hAnsi="宋体" w:eastAsia="宋体" w:cs="宋体"/>
                <w:color w:val="auto"/>
                <w:highlight w:val="none"/>
              </w:rPr>
            </w:pPr>
          </w:p>
        </w:tc>
      </w:tr>
      <w:tr w14:paraId="13EC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14:paraId="019968F2">
            <w:pPr>
              <w:rPr>
                <w:rFonts w:hint="eastAsia" w:ascii="宋体" w:hAnsi="宋体" w:eastAsia="宋体" w:cs="宋体"/>
                <w:color w:val="auto"/>
                <w:highlight w:val="none"/>
              </w:rPr>
            </w:pPr>
          </w:p>
        </w:tc>
        <w:tc>
          <w:tcPr>
            <w:tcW w:w="2091" w:type="dxa"/>
          </w:tcPr>
          <w:p w14:paraId="6B837446">
            <w:pPr>
              <w:rPr>
                <w:rFonts w:hint="eastAsia" w:ascii="宋体" w:hAnsi="宋体" w:eastAsia="宋体" w:cs="宋体"/>
                <w:color w:val="auto"/>
                <w:highlight w:val="none"/>
              </w:rPr>
            </w:pPr>
          </w:p>
        </w:tc>
        <w:tc>
          <w:tcPr>
            <w:tcW w:w="2090" w:type="dxa"/>
          </w:tcPr>
          <w:p w14:paraId="4FA529D6">
            <w:pPr>
              <w:rPr>
                <w:rFonts w:hint="eastAsia" w:ascii="宋体" w:hAnsi="宋体" w:eastAsia="宋体" w:cs="宋体"/>
                <w:color w:val="auto"/>
                <w:highlight w:val="none"/>
              </w:rPr>
            </w:pPr>
          </w:p>
        </w:tc>
        <w:tc>
          <w:tcPr>
            <w:tcW w:w="2091" w:type="dxa"/>
          </w:tcPr>
          <w:p w14:paraId="4874DE83">
            <w:pPr>
              <w:rPr>
                <w:rFonts w:hint="eastAsia" w:ascii="宋体" w:hAnsi="宋体" w:eastAsia="宋体" w:cs="宋体"/>
                <w:color w:val="auto"/>
                <w:highlight w:val="none"/>
              </w:rPr>
            </w:pPr>
          </w:p>
        </w:tc>
      </w:tr>
      <w:tr w14:paraId="2DC7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14:paraId="69F1B78C">
            <w:pPr>
              <w:rPr>
                <w:rFonts w:hint="eastAsia" w:ascii="宋体" w:hAnsi="宋体" w:eastAsia="宋体" w:cs="宋体"/>
                <w:color w:val="auto"/>
                <w:highlight w:val="none"/>
              </w:rPr>
            </w:pPr>
          </w:p>
        </w:tc>
        <w:tc>
          <w:tcPr>
            <w:tcW w:w="2091" w:type="dxa"/>
          </w:tcPr>
          <w:p w14:paraId="528ABE06">
            <w:pPr>
              <w:rPr>
                <w:rFonts w:hint="eastAsia" w:ascii="宋体" w:hAnsi="宋体" w:eastAsia="宋体" w:cs="宋体"/>
                <w:color w:val="auto"/>
                <w:highlight w:val="none"/>
              </w:rPr>
            </w:pPr>
          </w:p>
        </w:tc>
        <w:tc>
          <w:tcPr>
            <w:tcW w:w="2090" w:type="dxa"/>
          </w:tcPr>
          <w:p w14:paraId="1B68EE5B">
            <w:pPr>
              <w:rPr>
                <w:rFonts w:hint="eastAsia" w:ascii="宋体" w:hAnsi="宋体" w:eastAsia="宋体" w:cs="宋体"/>
                <w:color w:val="auto"/>
                <w:highlight w:val="none"/>
              </w:rPr>
            </w:pPr>
          </w:p>
        </w:tc>
        <w:tc>
          <w:tcPr>
            <w:tcW w:w="2091" w:type="dxa"/>
          </w:tcPr>
          <w:p w14:paraId="18704F2E">
            <w:pPr>
              <w:rPr>
                <w:rFonts w:hint="eastAsia" w:ascii="宋体" w:hAnsi="宋体" w:eastAsia="宋体" w:cs="宋体"/>
                <w:color w:val="auto"/>
                <w:highlight w:val="none"/>
              </w:rPr>
            </w:pPr>
          </w:p>
        </w:tc>
      </w:tr>
    </w:tbl>
    <w:p w14:paraId="4F199938">
      <w:pPr>
        <w:rPr>
          <w:rFonts w:hint="eastAsia" w:ascii="宋体" w:hAnsi="宋体" w:eastAsia="宋体" w:cs="宋体"/>
          <w:color w:val="auto"/>
          <w:highlight w:val="none"/>
        </w:rPr>
      </w:pPr>
    </w:p>
    <w:p w14:paraId="5E686E5E">
      <w:pPr>
        <w:rPr>
          <w:rFonts w:hint="eastAsia" w:ascii="宋体" w:hAnsi="宋体" w:eastAsia="宋体" w:cs="宋体"/>
          <w:color w:val="auto"/>
          <w:highlight w:val="none"/>
        </w:rPr>
      </w:pPr>
    </w:p>
    <w:p w14:paraId="09D90C7D">
      <w:pPr>
        <w:rPr>
          <w:rFonts w:hint="eastAsia" w:ascii="宋体" w:hAnsi="宋体" w:eastAsia="宋体" w:cs="宋体"/>
          <w:color w:val="auto"/>
          <w:highlight w:val="none"/>
        </w:rPr>
      </w:pPr>
    </w:p>
    <w:p w14:paraId="36221E68">
      <w:pPr>
        <w:rPr>
          <w:rFonts w:hint="eastAsia" w:ascii="宋体" w:hAnsi="宋体" w:eastAsia="宋体" w:cs="宋体"/>
          <w:color w:val="auto"/>
          <w:highlight w:val="none"/>
        </w:rPr>
      </w:pPr>
      <w:r>
        <w:rPr>
          <w:rFonts w:hint="eastAsia" w:ascii="宋体" w:hAnsi="宋体" w:eastAsia="宋体" w:cs="宋体"/>
          <w:color w:val="auto"/>
          <w:highlight w:val="none"/>
        </w:rPr>
        <w:t>附表七：拟分包计划表</w:t>
      </w:r>
    </w:p>
    <w:p w14:paraId="6A9866E9">
      <w:pPr>
        <w:jc w:val="left"/>
        <w:rPr>
          <w:rFonts w:hint="eastAsia" w:ascii="宋体" w:hAnsi="宋体" w:eastAsia="宋体" w:cs="宋体"/>
          <w:color w:val="auto"/>
          <w:szCs w:val="21"/>
          <w:highlight w:val="none"/>
        </w:rPr>
      </w:pPr>
    </w:p>
    <w:p w14:paraId="7CFB785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如供应商须知注明不允许分包，则本表无须提供，反之须提供。</w:t>
      </w:r>
    </w:p>
    <w:p w14:paraId="6D7D9AD4">
      <w:pPr>
        <w:pStyle w:val="198"/>
        <w:jc w:val="center"/>
        <w:rPr>
          <w:rFonts w:hint="eastAsia" w:ascii="宋体" w:hAnsi="宋体" w:eastAsia="宋体" w:cs="宋体"/>
          <w:b/>
          <w:color w:val="auto"/>
          <w:sz w:val="28"/>
          <w:szCs w:val="28"/>
          <w:highlight w:val="none"/>
        </w:rPr>
      </w:pP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14:paraId="7CAD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5A8EAFB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w:t>
            </w:r>
          </w:p>
          <w:p w14:paraId="58CD28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w:t>
            </w:r>
          </w:p>
        </w:tc>
        <w:tc>
          <w:tcPr>
            <w:tcW w:w="1843" w:type="dxa"/>
            <w:vMerge w:val="restart"/>
            <w:tcMar>
              <w:left w:w="108" w:type="dxa"/>
              <w:right w:w="108" w:type="dxa"/>
            </w:tcMar>
            <w:vAlign w:val="center"/>
          </w:tcPr>
          <w:p w14:paraId="4E18C99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拟分包项目名称、范围及理由</w:t>
            </w:r>
          </w:p>
        </w:tc>
        <w:tc>
          <w:tcPr>
            <w:tcW w:w="5111" w:type="dxa"/>
            <w:gridSpan w:val="5"/>
            <w:tcMar>
              <w:left w:w="108" w:type="dxa"/>
              <w:right w:w="108" w:type="dxa"/>
            </w:tcMar>
            <w:vAlign w:val="center"/>
          </w:tcPr>
          <w:p w14:paraId="18A4325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w:t>
            </w:r>
          </w:p>
        </w:tc>
        <w:tc>
          <w:tcPr>
            <w:tcW w:w="1268" w:type="dxa"/>
            <w:vMerge w:val="restart"/>
            <w:tcMar>
              <w:left w:w="108" w:type="dxa"/>
              <w:right w:w="108" w:type="dxa"/>
            </w:tcMar>
            <w:vAlign w:val="center"/>
          </w:tcPr>
          <w:p w14:paraId="098E8E3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F7F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D26DAD4">
            <w:pPr>
              <w:jc w:val="center"/>
              <w:rPr>
                <w:rFonts w:hint="eastAsia" w:ascii="宋体" w:hAnsi="宋体" w:eastAsia="宋体" w:cs="宋体"/>
                <w:color w:val="auto"/>
                <w:szCs w:val="21"/>
                <w:highlight w:val="none"/>
              </w:rPr>
            </w:pPr>
          </w:p>
        </w:tc>
        <w:tc>
          <w:tcPr>
            <w:tcW w:w="1843" w:type="dxa"/>
            <w:vMerge w:val="continue"/>
            <w:tcMar>
              <w:left w:w="108" w:type="dxa"/>
              <w:right w:w="108" w:type="dxa"/>
            </w:tcMar>
            <w:vAlign w:val="center"/>
          </w:tcPr>
          <w:p w14:paraId="70FFA664">
            <w:pPr>
              <w:jc w:val="center"/>
              <w:rPr>
                <w:rFonts w:hint="eastAsia" w:ascii="宋体" w:hAnsi="宋体" w:eastAsia="宋体" w:cs="宋体"/>
                <w:color w:val="auto"/>
                <w:szCs w:val="21"/>
                <w:highlight w:val="none"/>
              </w:rPr>
            </w:pPr>
          </w:p>
        </w:tc>
        <w:tc>
          <w:tcPr>
            <w:tcW w:w="1701" w:type="dxa"/>
            <w:gridSpan w:val="2"/>
            <w:tcMar>
              <w:left w:w="108" w:type="dxa"/>
              <w:right w:w="108" w:type="dxa"/>
            </w:tcMar>
            <w:vAlign w:val="center"/>
          </w:tcPr>
          <w:p w14:paraId="2AD56D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拟选分包人名称</w:t>
            </w:r>
          </w:p>
        </w:tc>
        <w:tc>
          <w:tcPr>
            <w:tcW w:w="1123" w:type="dxa"/>
            <w:tcMar>
              <w:left w:w="108" w:type="dxa"/>
              <w:right w:w="108" w:type="dxa"/>
            </w:tcMar>
            <w:vAlign w:val="center"/>
          </w:tcPr>
          <w:p w14:paraId="641975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注册地点</w:t>
            </w:r>
          </w:p>
        </w:tc>
        <w:tc>
          <w:tcPr>
            <w:tcW w:w="1090" w:type="dxa"/>
            <w:tcMar>
              <w:left w:w="108" w:type="dxa"/>
              <w:right w:w="108" w:type="dxa"/>
            </w:tcMar>
            <w:vAlign w:val="center"/>
          </w:tcPr>
          <w:p w14:paraId="3A71B2E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w:t>
            </w:r>
          </w:p>
        </w:tc>
        <w:tc>
          <w:tcPr>
            <w:tcW w:w="1197" w:type="dxa"/>
            <w:tcMar>
              <w:left w:w="108" w:type="dxa"/>
              <w:right w:w="108" w:type="dxa"/>
            </w:tcMar>
            <w:vAlign w:val="center"/>
          </w:tcPr>
          <w:p w14:paraId="09F9A40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有关业绩</w:t>
            </w:r>
          </w:p>
        </w:tc>
        <w:tc>
          <w:tcPr>
            <w:tcW w:w="1268" w:type="dxa"/>
            <w:vMerge w:val="continue"/>
            <w:tcMar>
              <w:left w:w="108" w:type="dxa"/>
              <w:right w:w="108" w:type="dxa"/>
            </w:tcMar>
            <w:vAlign w:val="center"/>
          </w:tcPr>
          <w:p w14:paraId="2346B284">
            <w:pPr>
              <w:jc w:val="center"/>
              <w:rPr>
                <w:rFonts w:hint="eastAsia" w:ascii="宋体" w:hAnsi="宋体" w:eastAsia="宋体" w:cs="宋体"/>
                <w:color w:val="auto"/>
                <w:szCs w:val="21"/>
                <w:highlight w:val="none"/>
              </w:rPr>
            </w:pPr>
          </w:p>
        </w:tc>
      </w:tr>
      <w:tr w14:paraId="36FE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2A3841A0">
            <w:pPr>
              <w:jc w:val="center"/>
              <w:rPr>
                <w:rFonts w:hint="eastAsia" w:ascii="宋体" w:hAnsi="宋体" w:eastAsia="宋体" w:cs="宋体"/>
                <w:color w:val="auto"/>
                <w:szCs w:val="21"/>
                <w:highlight w:val="none"/>
              </w:rPr>
            </w:pPr>
          </w:p>
        </w:tc>
        <w:tc>
          <w:tcPr>
            <w:tcW w:w="1843" w:type="dxa"/>
            <w:vMerge w:val="restart"/>
            <w:tcMar>
              <w:left w:w="108" w:type="dxa"/>
              <w:right w:w="108" w:type="dxa"/>
            </w:tcMar>
            <w:vAlign w:val="center"/>
          </w:tcPr>
          <w:p w14:paraId="14712AE7">
            <w:pPr>
              <w:jc w:val="center"/>
              <w:rPr>
                <w:rFonts w:hint="eastAsia" w:ascii="宋体" w:hAnsi="宋体" w:eastAsia="宋体" w:cs="宋体"/>
                <w:color w:val="auto"/>
                <w:szCs w:val="21"/>
                <w:highlight w:val="none"/>
              </w:rPr>
            </w:pPr>
          </w:p>
        </w:tc>
        <w:tc>
          <w:tcPr>
            <w:tcW w:w="751" w:type="dxa"/>
            <w:tcMar>
              <w:left w:w="108" w:type="dxa"/>
              <w:right w:w="108" w:type="dxa"/>
            </w:tcMar>
            <w:vAlign w:val="center"/>
          </w:tcPr>
          <w:p w14:paraId="2EC2B2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0" w:type="dxa"/>
            <w:tcMar>
              <w:left w:w="108" w:type="dxa"/>
              <w:right w:w="108" w:type="dxa"/>
            </w:tcMar>
            <w:vAlign w:val="center"/>
          </w:tcPr>
          <w:p w14:paraId="4AAEF6EB">
            <w:pPr>
              <w:jc w:val="center"/>
              <w:rPr>
                <w:rFonts w:hint="eastAsia" w:ascii="宋体" w:hAnsi="宋体" w:eastAsia="宋体" w:cs="宋体"/>
                <w:color w:val="auto"/>
                <w:szCs w:val="21"/>
                <w:highlight w:val="none"/>
              </w:rPr>
            </w:pPr>
          </w:p>
        </w:tc>
        <w:tc>
          <w:tcPr>
            <w:tcW w:w="1123" w:type="dxa"/>
            <w:tcMar>
              <w:left w:w="108" w:type="dxa"/>
              <w:right w:w="108" w:type="dxa"/>
            </w:tcMar>
            <w:vAlign w:val="center"/>
          </w:tcPr>
          <w:p w14:paraId="1648DD02">
            <w:pPr>
              <w:jc w:val="center"/>
              <w:rPr>
                <w:rFonts w:hint="eastAsia" w:ascii="宋体" w:hAnsi="宋体" w:eastAsia="宋体" w:cs="宋体"/>
                <w:color w:val="auto"/>
                <w:szCs w:val="21"/>
                <w:highlight w:val="none"/>
              </w:rPr>
            </w:pPr>
          </w:p>
        </w:tc>
        <w:tc>
          <w:tcPr>
            <w:tcW w:w="1090" w:type="dxa"/>
            <w:tcMar>
              <w:left w:w="108" w:type="dxa"/>
              <w:right w:w="108" w:type="dxa"/>
            </w:tcMar>
            <w:vAlign w:val="center"/>
          </w:tcPr>
          <w:p w14:paraId="0EEF3F82">
            <w:pPr>
              <w:jc w:val="center"/>
              <w:rPr>
                <w:rFonts w:hint="eastAsia" w:ascii="宋体" w:hAnsi="宋体" w:eastAsia="宋体" w:cs="宋体"/>
                <w:color w:val="auto"/>
                <w:szCs w:val="21"/>
                <w:highlight w:val="none"/>
              </w:rPr>
            </w:pPr>
          </w:p>
        </w:tc>
        <w:tc>
          <w:tcPr>
            <w:tcW w:w="1197" w:type="dxa"/>
            <w:tcMar>
              <w:left w:w="108" w:type="dxa"/>
              <w:right w:w="108" w:type="dxa"/>
            </w:tcMar>
            <w:vAlign w:val="center"/>
          </w:tcPr>
          <w:p w14:paraId="6C997C8A">
            <w:pPr>
              <w:jc w:val="center"/>
              <w:rPr>
                <w:rFonts w:hint="eastAsia" w:ascii="宋体" w:hAnsi="宋体" w:eastAsia="宋体" w:cs="宋体"/>
                <w:color w:val="auto"/>
                <w:szCs w:val="21"/>
                <w:highlight w:val="none"/>
              </w:rPr>
            </w:pPr>
          </w:p>
        </w:tc>
        <w:tc>
          <w:tcPr>
            <w:tcW w:w="1268" w:type="dxa"/>
            <w:tcMar>
              <w:left w:w="108" w:type="dxa"/>
              <w:right w:w="108" w:type="dxa"/>
            </w:tcMar>
            <w:vAlign w:val="center"/>
          </w:tcPr>
          <w:p w14:paraId="1828666B">
            <w:pPr>
              <w:jc w:val="center"/>
              <w:rPr>
                <w:rFonts w:hint="eastAsia" w:ascii="宋体" w:hAnsi="宋体" w:eastAsia="宋体" w:cs="宋体"/>
                <w:color w:val="auto"/>
                <w:szCs w:val="21"/>
                <w:highlight w:val="none"/>
              </w:rPr>
            </w:pPr>
          </w:p>
        </w:tc>
      </w:tr>
      <w:tr w14:paraId="6FB8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6D699E54">
            <w:pPr>
              <w:jc w:val="center"/>
              <w:rPr>
                <w:rFonts w:hint="eastAsia" w:ascii="宋体" w:hAnsi="宋体" w:eastAsia="宋体" w:cs="宋体"/>
                <w:color w:val="auto"/>
                <w:szCs w:val="21"/>
                <w:highlight w:val="none"/>
              </w:rPr>
            </w:pPr>
          </w:p>
        </w:tc>
        <w:tc>
          <w:tcPr>
            <w:tcW w:w="1843" w:type="dxa"/>
            <w:vMerge w:val="continue"/>
            <w:tcMar>
              <w:left w:w="108" w:type="dxa"/>
              <w:right w:w="108" w:type="dxa"/>
            </w:tcMar>
            <w:vAlign w:val="center"/>
          </w:tcPr>
          <w:p w14:paraId="4F6F7B24">
            <w:pPr>
              <w:jc w:val="center"/>
              <w:rPr>
                <w:rFonts w:hint="eastAsia" w:ascii="宋体" w:hAnsi="宋体" w:eastAsia="宋体" w:cs="宋体"/>
                <w:color w:val="auto"/>
                <w:szCs w:val="21"/>
                <w:highlight w:val="none"/>
              </w:rPr>
            </w:pPr>
          </w:p>
        </w:tc>
        <w:tc>
          <w:tcPr>
            <w:tcW w:w="751" w:type="dxa"/>
            <w:tcMar>
              <w:left w:w="108" w:type="dxa"/>
              <w:right w:w="108" w:type="dxa"/>
            </w:tcMar>
            <w:vAlign w:val="center"/>
          </w:tcPr>
          <w:p w14:paraId="71FD882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0" w:type="dxa"/>
            <w:tcMar>
              <w:left w:w="108" w:type="dxa"/>
              <w:right w:w="108" w:type="dxa"/>
            </w:tcMar>
            <w:vAlign w:val="center"/>
          </w:tcPr>
          <w:p w14:paraId="2E54F776">
            <w:pPr>
              <w:jc w:val="center"/>
              <w:rPr>
                <w:rFonts w:hint="eastAsia" w:ascii="宋体" w:hAnsi="宋体" w:eastAsia="宋体" w:cs="宋体"/>
                <w:color w:val="auto"/>
                <w:szCs w:val="21"/>
                <w:highlight w:val="none"/>
              </w:rPr>
            </w:pPr>
          </w:p>
        </w:tc>
        <w:tc>
          <w:tcPr>
            <w:tcW w:w="1123" w:type="dxa"/>
            <w:tcMar>
              <w:left w:w="108" w:type="dxa"/>
              <w:right w:w="108" w:type="dxa"/>
            </w:tcMar>
            <w:vAlign w:val="center"/>
          </w:tcPr>
          <w:p w14:paraId="646624C5">
            <w:pPr>
              <w:jc w:val="center"/>
              <w:rPr>
                <w:rFonts w:hint="eastAsia" w:ascii="宋体" w:hAnsi="宋体" w:eastAsia="宋体" w:cs="宋体"/>
                <w:color w:val="auto"/>
                <w:szCs w:val="21"/>
                <w:highlight w:val="none"/>
              </w:rPr>
            </w:pPr>
          </w:p>
        </w:tc>
        <w:tc>
          <w:tcPr>
            <w:tcW w:w="1090" w:type="dxa"/>
            <w:tcMar>
              <w:left w:w="108" w:type="dxa"/>
              <w:right w:w="108" w:type="dxa"/>
            </w:tcMar>
            <w:vAlign w:val="center"/>
          </w:tcPr>
          <w:p w14:paraId="6D3A1A68">
            <w:pPr>
              <w:jc w:val="center"/>
              <w:rPr>
                <w:rFonts w:hint="eastAsia" w:ascii="宋体" w:hAnsi="宋体" w:eastAsia="宋体" w:cs="宋体"/>
                <w:color w:val="auto"/>
                <w:szCs w:val="21"/>
                <w:highlight w:val="none"/>
              </w:rPr>
            </w:pPr>
          </w:p>
        </w:tc>
        <w:tc>
          <w:tcPr>
            <w:tcW w:w="1197" w:type="dxa"/>
            <w:tcMar>
              <w:left w:w="108" w:type="dxa"/>
              <w:right w:w="108" w:type="dxa"/>
            </w:tcMar>
            <w:vAlign w:val="center"/>
          </w:tcPr>
          <w:p w14:paraId="6016B331">
            <w:pPr>
              <w:jc w:val="center"/>
              <w:rPr>
                <w:rFonts w:hint="eastAsia" w:ascii="宋体" w:hAnsi="宋体" w:eastAsia="宋体" w:cs="宋体"/>
                <w:color w:val="auto"/>
                <w:szCs w:val="21"/>
                <w:highlight w:val="none"/>
              </w:rPr>
            </w:pPr>
          </w:p>
        </w:tc>
        <w:tc>
          <w:tcPr>
            <w:tcW w:w="1268" w:type="dxa"/>
            <w:tcMar>
              <w:left w:w="108" w:type="dxa"/>
              <w:right w:w="108" w:type="dxa"/>
            </w:tcMar>
            <w:vAlign w:val="center"/>
          </w:tcPr>
          <w:p w14:paraId="27DAA058">
            <w:pPr>
              <w:jc w:val="center"/>
              <w:rPr>
                <w:rFonts w:hint="eastAsia" w:ascii="宋体" w:hAnsi="宋体" w:eastAsia="宋体" w:cs="宋体"/>
                <w:color w:val="auto"/>
                <w:szCs w:val="21"/>
                <w:highlight w:val="none"/>
              </w:rPr>
            </w:pPr>
          </w:p>
        </w:tc>
      </w:tr>
      <w:tr w14:paraId="4313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19F2DFBF">
            <w:pPr>
              <w:jc w:val="center"/>
              <w:rPr>
                <w:rFonts w:hint="eastAsia" w:ascii="宋体" w:hAnsi="宋体" w:eastAsia="宋体" w:cs="宋体"/>
                <w:color w:val="auto"/>
                <w:szCs w:val="21"/>
                <w:highlight w:val="none"/>
              </w:rPr>
            </w:pPr>
          </w:p>
        </w:tc>
        <w:tc>
          <w:tcPr>
            <w:tcW w:w="1843" w:type="dxa"/>
            <w:vMerge w:val="continue"/>
            <w:tcMar>
              <w:left w:w="108" w:type="dxa"/>
              <w:right w:w="108" w:type="dxa"/>
            </w:tcMar>
            <w:vAlign w:val="center"/>
          </w:tcPr>
          <w:p w14:paraId="7D5C7CD5">
            <w:pPr>
              <w:jc w:val="center"/>
              <w:rPr>
                <w:rFonts w:hint="eastAsia" w:ascii="宋体" w:hAnsi="宋体" w:eastAsia="宋体" w:cs="宋体"/>
                <w:color w:val="auto"/>
                <w:szCs w:val="21"/>
                <w:highlight w:val="none"/>
              </w:rPr>
            </w:pPr>
          </w:p>
        </w:tc>
        <w:tc>
          <w:tcPr>
            <w:tcW w:w="751" w:type="dxa"/>
            <w:tcMar>
              <w:left w:w="108" w:type="dxa"/>
              <w:right w:w="108" w:type="dxa"/>
            </w:tcMar>
            <w:vAlign w:val="center"/>
          </w:tcPr>
          <w:p w14:paraId="6830A24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0" w:type="dxa"/>
            <w:tcMar>
              <w:left w:w="108" w:type="dxa"/>
              <w:right w:w="108" w:type="dxa"/>
            </w:tcMar>
            <w:vAlign w:val="center"/>
          </w:tcPr>
          <w:p w14:paraId="1BB6E613">
            <w:pPr>
              <w:jc w:val="center"/>
              <w:rPr>
                <w:rFonts w:hint="eastAsia" w:ascii="宋体" w:hAnsi="宋体" w:eastAsia="宋体" w:cs="宋体"/>
                <w:color w:val="auto"/>
                <w:szCs w:val="21"/>
                <w:highlight w:val="none"/>
              </w:rPr>
            </w:pPr>
          </w:p>
        </w:tc>
        <w:tc>
          <w:tcPr>
            <w:tcW w:w="1123" w:type="dxa"/>
            <w:tcMar>
              <w:left w:w="108" w:type="dxa"/>
              <w:right w:w="108" w:type="dxa"/>
            </w:tcMar>
            <w:vAlign w:val="center"/>
          </w:tcPr>
          <w:p w14:paraId="6D7280AE">
            <w:pPr>
              <w:jc w:val="center"/>
              <w:rPr>
                <w:rFonts w:hint="eastAsia" w:ascii="宋体" w:hAnsi="宋体" w:eastAsia="宋体" w:cs="宋体"/>
                <w:color w:val="auto"/>
                <w:szCs w:val="21"/>
                <w:highlight w:val="none"/>
              </w:rPr>
            </w:pPr>
          </w:p>
        </w:tc>
        <w:tc>
          <w:tcPr>
            <w:tcW w:w="1090" w:type="dxa"/>
            <w:tcMar>
              <w:left w:w="108" w:type="dxa"/>
              <w:right w:w="108" w:type="dxa"/>
            </w:tcMar>
            <w:vAlign w:val="center"/>
          </w:tcPr>
          <w:p w14:paraId="128BB802">
            <w:pPr>
              <w:jc w:val="center"/>
              <w:rPr>
                <w:rFonts w:hint="eastAsia" w:ascii="宋体" w:hAnsi="宋体" w:eastAsia="宋体" w:cs="宋体"/>
                <w:color w:val="auto"/>
                <w:szCs w:val="21"/>
                <w:highlight w:val="none"/>
              </w:rPr>
            </w:pPr>
          </w:p>
        </w:tc>
        <w:tc>
          <w:tcPr>
            <w:tcW w:w="1197" w:type="dxa"/>
            <w:tcMar>
              <w:left w:w="108" w:type="dxa"/>
              <w:right w:w="108" w:type="dxa"/>
            </w:tcMar>
            <w:vAlign w:val="center"/>
          </w:tcPr>
          <w:p w14:paraId="5F61D191">
            <w:pPr>
              <w:jc w:val="center"/>
              <w:rPr>
                <w:rFonts w:hint="eastAsia" w:ascii="宋体" w:hAnsi="宋体" w:eastAsia="宋体" w:cs="宋体"/>
                <w:color w:val="auto"/>
                <w:szCs w:val="21"/>
                <w:highlight w:val="none"/>
              </w:rPr>
            </w:pPr>
          </w:p>
        </w:tc>
        <w:tc>
          <w:tcPr>
            <w:tcW w:w="1268" w:type="dxa"/>
            <w:tcMar>
              <w:left w:w="108" w:type="dxa"/>
              <w:right w:w="108" w:type="dxa"/>
            </w:tcMar>
            <w:vAlign w:val="center"/>
          </w:tcPr>
          <w:p w14:paraId="6AB42D68">
            <w:pPr>
              <w:jc w:val="center"/>
              <w:rPr>
                <w:rFonts w:hint="eastAsia" w:ascii="宋体" w:hAnsi="宋体" w:eastAsia="宋体" w:cs="宋体"/>
                <w:color w:val="auto"/>
                <w:szCs w:val="21"/>
                <w:highlight w:val="none"/>
              </w:rPr>
            </w:pPr>
          </w:p>
        </w:tc>
      </w:tr>
      <w:tr w14:paraId="385D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14:paraId="7FD4DD9A">
            <w:pPr>
              <w:jc w:val="center"/>
              <w:rPr>
                <w:rFonts w:hint="eastAsia" w:ascii="宋体" w:hAnsi="宋体" w:eastAsia="宋体" w:cs="宋体"/>
                <w:color w:val="auto"/>
                <w:szCs w:val="21"/>
                <w:highlight w:val="none"/>
              </w:rPr>
            </w:pPr>
          </w:p>
        </w:tc>
        <w:tc>
          <w:tcPr>
            <w:tcW w:w="1843" w:type="dxa"/>
            <w:vMerge w:val="restart"/>
            <w:tcMar>
              <w:left w:w="108" w:type="dxa"/>
              <w:right w:w="108" w:type="dxa"/>
            </w:tcMar>
            <w:vAlign w:val="center"/>
          </w:tcPr>
          <w:p w14:paraId="2E7E251D">
            <w:pPr>
              <w:jc w:val="center"/>
              <w:rPr>
                <w:rFonts w:hint="eastAsia" w:ascii="宋体" w:hAnsi="宋体" w:eastAsia="宋体" w:cs="宋体"/>
                <w:color w:val="auto"/>
                <w:szCs w:val="21"/>
                <w:highlight w:val="none"/>
              </w:rPr>
            </w:pPr>
          </w:p>
        </w:tc>
        <w:tc>
          <w:tcPr>
            <w:tcW w:w="751" w:type="dxa"/>
            <w:tcMar>
              <w:left w:w="108" w:type="dxa"/>
              <w:right w:w="108" w:type="dxa"/>
            </w:tcMar>
            <w:vAlign w:val="center"/>
          </w:tcPr>
          <w:p w14:paraId="5F7A4E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0" w:type="dxa"/>
            <w:tcMar>
              <w:left w:w="108" w:type="dxa"/>
              <w:right w:w="108" w:type="dxa"/>
            </w:tcMar>
            <w:vAlign w:val="center"/>
          </w:tcPr>
          <w:p w14:paraId="599D50D6">
            <w:pPr>
              <w:jc w:val="center"/>
              <w:rPr>
                <w:rFonts w:hint="eastAsia" w:ascii="宋体" w:hAnsi="宋体" w:eastAsia="宋体" w:cs="宋体"/>
                <w:color w:val="auto"/>
                <w:szCs w:val="21"/>
                <w:highlight w:val="none"/>
              </w:rPr>
            </w:pPr>
          </w:p>
        </w:tc>
        <w:tc>
          <w:tcPr>
            <w:tcW w:w="1123" w:type="dxa"/>
            <w:tcMar>
              <w:left w:w="108" w:type="dxa"/>
              <w:right w:w="108" w:type="dxa"/>
            </w:tcMar>
            <w:vAlign w:val="center"/>
          </w:tcPr>
          <w:p w14:paraId="1B967873">
            <w:pPr>
              <w:jc w:val="center"/>
              <w:rPr>
                <w:rFonts w:hint="eastAsia" w:ascii="宋体" w:hAnsi="宋体" w:eastAsia="宋体" w:cs="宋体"/>
                <w:color w:val="auto"/>
                <w:szCs w:val="21"/>
                <w:highlight w:val="none"/>
              </w:rPr>
            </w:pPr>
          </w:p>
        </w:tc>
        <w:tc>
          <w:tcPr>
            <w:tcW w:w="1090" w:type="dxa"/>
            <w:tcMar>
              <w:left w:w="108" w:type="dxa"/>
              <w:right w:w="108" w:type="dxa"/>
            </w:tcMar>
            <w:vAlign w:val="center"/>
          </w:tcPr>
          <w:p w14:paraId="39776F0A">
            <w:pPr>
              <w:jc w:val="center"/>
              <w:rPr>
                <w:rFonts w:hint="eastAsia" w:ascii="宋体" w:hAnsi="宋体" w:eastAsia="宋体" w:cs="宋体"/>
                <w:color w:val="auto"/>
                <w:szCs w:val="21"/>
                <w:highlight w:val="none"/>
              </w:rPr>
            </w:pPr>
          </w:p>
        </w:tc>
        <w:tc>
          <w:tcPr>
            <w:tcW w:w="1197" w:type="dxa"/>
            <w:tcMar>
              <w:left w:w="108" w:type="dxa"/>
              <w:right w:w="108" w:type="dxa"/>
            </w:tcMar>
            <w:vAlign w:val="center"/>
          </w:tcPr>
          <w:p w14:paraId="7A8B75DF">
            <w:pPr>
              <w:jc w:val="center"/>
              <w:rPr>
                <w:rFonts w:hint="eastAsia" w:ascii="宋体" w:hAnsi="宋体" w:eastAsia="宋体" w:cs="宋体"/>
                <w:color w:val="auto"/>
                <w:szCs w:val="21"/>
                <w:highlight w:val="none"/>
              </w:rPr>
            </w:pPr>
          </w:p>
        </w:tc>
        <w:tc>
          <w:tcPr>
            <w:tcW w:w="1268" w:type="dxa"/>
            <w:tcMar>
              <w:left w:w="108" w:type="dxa"/>
              <w:right w:w="108" w:type="dxa"/>
            </w:tcMar>
            <w:vAlign w:val="center"/>
          </w:tcPr>
          <w:p w14:paraId="780B2C94">
            <w:pPr>
              <w:jc w:val="center"/>
              <w:rPr>
                <w:rFonts w:hint="eastAsia" w:ascii="宋体" w:hAnsi="宋体" w:eastAsia="宋体" w:cs="宋体"/>
                <w:color w:val="auto"/>
                <w:szCs w:val="21"/>
                <w:highlight w:val="none"/>
              </w:rPr>
            </w:pPr>
          </w:p>
        </w:tc>
      </w:tr>
      <w:tr w14:paraId="0943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2F35999D">
            <w:pPr>
              <w:jc w:val="center"/>
              <w:rPr>
                <w:rFonts w:hint="eastAsia" w:ascii="宋体" w:hAnsi="宋体" w:eastAsia="宋体" w:cs="宋体"/>
                <w:color w:val="auto"/>
                <w:szCs w:val="21"/>
                <w:highlight w:val="none"/>
              </w:rPr>
            </w:pPr>
          </w:p>
        </w:tc>
        <w:tc>
          <w:tcPr>
            <w:tcW w:w="1843" w:type="dxa"/>
            <w:vMerge w:val="continue"/>
            <w:tcMar>
              <w:left w:w="108" w:type="dxa"/>
              <w:right w:w="108" w:type="dxa"/>
            </w:tcMar>
            <w:vAlign w:val="center"/>
          </w:tcPr>
          <w:p w14:paraId="605B2018">
            <w:pPr>
              <w:jc w:val="center"/>
              <w:rPr>
                <w:rFonts w:hint="eastAsia" w:ascii="宋体" w:hAnsi="宋体" w:eastAsia="宋体" w:cs="宋体"/>
                <w:color w:val="auto"/>
                <w:szCs w:val="21"/>
                <w:highlight w:val="none"/>
              </w:rPr>
            </w:pPr>
          </w:p>
        </w:tc>
        <w:tc>
          <w:tcPr>
            <w:tcW w:w="751" w:type="dxa"/>
            <w:tcMar>
              <w:left w:w="108" w:type="dxa"/>
              <w:right w:w="108" w:type="dxa"/>
            </w:tcMar>
            <w:vAlign w:val="center"/>
          </w:tcPr>
          <w:p w14:paraId="6C9577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0" w:type="dxa"/>
            <w:tcMar>
              <w:left w:w="108" w:type="dxa"/>
              <w:right w:w="108" w:type="dxa"/>
            </w:tcMar>
            <w:vAlign w:val="center"/>
          </w:tcPr>
          <w:p w14:paraId="131B1490">
            <w:pPr>
              <w:jc w:val="center"/>
              <w:rPr>
                <w:rFonts w:hint="eastAsia" w:ascii="宋体" w:hAnsi="宋体" w:eastAsia="宋体" w:cs="宋体"/>
                <w:color w:val="auto"/>
                <w:szCs w:val="21"/>
                <w:highlight w:val="none"/>
              </w:rPr>
            </w:pPr>
          </w:p>
        </w:tc>
        <w:tc>
          <w:tcPr>
            <w:tcW w:w="1123" w:type="dxa"/>
            <w:tcMar>
              <w:left w:w="108" w:type="dxa"/>
              <w:right w:w="108" w:type="dxa"/>
            </w:tcMar>
            <w:vAlign w:val="center"/>
          </w:tcPr>
          <w:p w14:paraId="5DF8EB53">
            <w:pPr>
              <w:jc w:val="center"/>
              <w:rPr>
                <w:rFonts w:hint="eastAsia" w:ascii="宋体" w:hAnsi="宋体" w:eastAsia="宋体" w:cs="宋体"/>
                <w:color w:val="auto"/>
                <w:szCs w:val="21"/>
                <w:highlight w:val="none"/>
              </w:rPr>
            </w:pPr>
          </w:p>
        </w:tc>
        <w:tc>
          <w:tcPr>
            <w:tcW w:w="1090" w:type="dxa"/>
            <w:tcMar>
              <w:left w:w="108" w:type="dxa"/>
              <w:right w:w="108" w:type="dxa"/>
            </w:tcMar>
            <w:vAlign w:val="center"/>
          </w:tcPr>
          <w:p w14:paraId="3BDE77A1">
            <w:pPr>
              <w:jc w:val="center"/>
              <w:rPr>
                <w:rFonts w:hint="eastAsia" w:ascii="宋体" w:hAnsi="宋体" w:eastAsia="宋体" w:cs="宋体"/>
                <w:color w:val="auto"/>
                <w:szCs w:val="21"/>
                <w:highlight w:val="none"/>
              </w:rPr>
            </w:pPr>
          </w:p>
        </w:tc>
        <w:tc>
          <w:tcPr>
            <w:tcW w:w="1197" w:type="dxa"/>
            <w:tcMar>
              <w:left w:w="108" w:type="dxa"/>
              <w:right w:w="108" w:type="dxa"/>
            </w:tcMar>
            <w:vAlign w:val="center"/>
          </w:tcPr>
          <w:p w14:paraId="5A0273DD">
            <w:pPr>
              <w:jc w:val="center"/>
              <w:rPr>
                <w:rFonts w:hint="eastAsia" w:ascii="宋体" w:hAnsi="宋体" w:eastAsia="宋体" w:cs="宋体"/>
                <w:color w:val="auto"/>
                <w:szCs w:val="21"/>
                <w:highlight w:val="none"/>
              </w:rPr>
            </w:pPr>
          </w:p>
        </w:tc>
        <w:tc>
          <w:tcPr>
            <w:tcW w:w="1268" w:type="dxa"/>
            <w:tcMar>
              <w:left w:w="108" w:type="dxa"/>
              <w:right w:w="108" w:type="dxa"/>
            </w:tcMar>
            <w:vAlign w:val="center"/>
          </w:tcPr>
          <w:p w14:paraId="4C5C2CEE">
            <w:pPr>
              <w:jc w:val="center"/>
              <w:rPr>
                <w:rFonts w:hint="eastAsia" w:ascii="宋体" w:hAnsi="宋体" w:eastAsia="宋体" w:cs="宋体"/>
                <w:color w:val="auto"/>
                <w:szCs w:val="21"/>
                <w:highlight w:val="none"/>
              </w:rPr>
            </w:pPr>
          </w:p>
        </w:tc>
      </w:tr>
      <w:tr w14:paraId="70CC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14:paraId="476A6CB2">
            <w:pPr>
              <w:jc w:val="center"/>
              <w:rPr>
                <w:rFonts w:hint="eastAsia" w:ascii="宋体" w:hAnsi="宋体" w:eastAsia="宋体" w:cs="宋体"/>
                <w:color w:val="auto"/>
                <w:szCs w:val="21"/>
                <w:highlight w:val="none"/>
              </w:rPr>
            </w:pPr>
          </w:p>
        </w:tc>
        <w:tc>
          <w:tcPr>
            <w:tcW w:w="1843" w:type="dxa"/>
            <w:vMerge w:val="continue"/>
            <w:tcMar>
              <w:left w:w="108" w:type="dxa"/>
              <w:right w:w="108" w:type="dxa"/>
            </w:tcMar>
            <w:vAlign w:val="center"/>
          </w:tcPr>
          <w:p w14:paraId="750BB666">
            <w:pPr>
              <w:jc w:val="center"/>
              <w:rPr>
                <w:rFonts w:hint="eastAsia" w:ascii="宋体" w:hAnsi="宋体" w:eastAsia="宋体" w:cs="宋体"/>
                <w:color w:val="auto"/>
                <w:szCs w:val="21"/>
                <w:highlight w:val="none"/>
              </w:rPr>
            </w:pPr>
          </w:p>
        </w:tc>
        <w:tc>
          <w:tcPr>
            <w:tcW w:w="751" w:type="dxa"/>
            <w:tcMar>
              <w:left w:w="108" w:type="dxa"/>
              <w:right w:w="108" w:type="dxa"/>
            </w:tcMar>
            <w:vAlign w:val="center"/>
          </w:tcPr>
          <w:p w14:paraId="675015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0" w:type="dxa"/>
            <w:tcMar>
              <w:left w:w="108" w:type="dxa"/>
              <w:right w:w="108" w:type="dxa"/>
            </w:tcMar>
            <w:vAlign w:val="center"/>
          </w:tcPr>
          <w:p w14:paraId="14CCB398">
            <w:pPr>
              <w:jc w:val="center"/>
              <w:rPr>
                <w:rFonts w:hint="eastAsia" w:ascii="宋体" w:hAnsi="宋体" w:eastAsia="宋体" w:cs="宋体"/>
                <w:color w:val="auto"/>
                <w:szCs w:val="21"/>
                <w:highlight w:val="none"/>
              </w:rPr>
            </w:pPr>
          </w:p>
        </w:tc>
        <w:tc>
          <w:tcPr>
            <w:tcW w:w="1123" w:type="dxa"/>
            <w:tcMar>
              <w:left w:w="108" w:type="dxa"/>
              <w:right w:w="108" w:type="dxa"/>
            </w:tcMar>
            <w:vAlign w:val="center"/>
          </w:tcPr>
          <w:p w14:paraId="26346F40">
            <w:pPr>
              <w:jc w:val="center"/>
              <w:rPr>
                <w:rFonts w:hint="eastAsia" w:ascii="宋体" w:hAnsi="宋体" w:eastAsia="宋体" w:cs="宋体"/>
                <w:color w:val="auto"/>
                <w:szCs w:val="21"/>
                <w:highlight w:val="none"/>
              </w:rPr>
            </w:pPr>
          </w:p>
        </w:tc>
        <w:tc>
          <w:tcPr>
            <w:tcW w:w="1090" w:type="dxa"/>
            <w:tcMar>
              <w:left w:w="108" w:type="dxa"/>
              <w:right w:w="108" w:type="dxa"/>
            </w:tcMar>
            <w:vAlign w:val="center"/>
          </w:tcPr>
          <w:p w14:paraId="48096ED3">
            <w:pPr>
              <w:jc w:val="center"/>
              <w:rPr>
                <w:rFonts w:hint="eastAsia" w:ascii="宋体" w:hAnsi="宋体" w:eastAsia="宋体" w:cs="宋体"/>
                <w:color w:val="auto"/>
                <w:szCs w:val="21"/>
                <w:highlight w:val="none"/>
              </w:rPr>
            </w:pPr>
          </w:p>
        </w:tc>
        <w:tc>
          <w:tcPr>
            <w:tcW w:w="1197" w:type="dxa"/>
            <w:tcMar>
              <w:left w:w="108" w:type="dxa"/>
              <w:right w:w="108" w:type="dxa"/>
            </w:tcMar>
            <w:vAlign w:val="center"/>
          </w:tcPr>
          <w:p w14:paraId="0B238DC6">
            <w:pPr>
              <w:jc w:val="center"/>
              <w:rPr>
                <w:rFonts w:hint="eastAsia" w:ascii="宋体" w:hAnsi="宋体" w:eastAsia="宋体" w:cs="宋体"/>
                <w:color w:val="auto"/>
                <w:szCs w:val="21"/>
                <w:highlight w:val="none"/>
              </w:rPr>
            </w:pPr>
          </w:p>
        </w:tc>
        <w:tc>
          <w:tcPr>
            <w:tcW w:w="1268" w:type="dxa"/>
            <w:tcMar>
              <w:left w:w="108" w:type="dxa"/>
              <w:right w:w="108" w:type="dxa"/>
            </w:tcMar>
            <w:vAlign w:val="center"/>
          </w:tcPr>
          <w:p w14:paraId="7DFA32DA">
            <w:pPr>
              <w:jc w:val="center"/>
              <w:rPr>
                <w:rFonts w:hint="eastAsia" w:ascii="宋体" w:hAnsi="宋体" w:eastAsia="宋体" w:cs="宋体"/>
                <w:color w:val="auto"/>
                <w:szCs w:val="21"/>
                <w:highlight w:val="none"/>
              </w:rPr>
            </w:pPr>
          </w:p>
        </w:tc>
      </w:tr>
    </w:tbl>
    <w:p w14:paraId="4E894E2E">
      <w:pPr>
        <w:spacing w:line="440" w:lineRule="exact"/>
        <w:ind w:righ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备注：本表所列分包仅限于承包人自行施工范围内的非主体、非关键工程。</w:t>
      </w:r>
    </w:p>
    <w:p w14:paraId="1340C652">
      <w:pPr>
        <w:wordWrap w:val="0"/>
        <w:spacing w:line="440" w:lineRule="exact"/>
        <w:ind w:right="420"/>
        <w:jc w:val="righ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0390D670">
      <w:pPr>
        <w:pStyle w:val="29"/>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2.近年已完成类似工程一览表</w:t>
      </w:r>
    </w:p>
    <w:tbl>
      <w:tblPr>
        <w:tblStyle w:val="56"/>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1276"/>
        <w:gridCol w:w="1134"/>
      </w:tblGrid>
      <w:tr w14:paraId="1ECD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4EEC95FC">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1" w:type="dxa"/>
            <w:vAlign w:val="center"/>
          </w:tcPr>
          <w:p w14:paraId="23243754">
            <w:pPr>
              <w:jc w:val="center"/>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1417" w:type="dxa"/>
            <w:vAlign w:val="center"/>
          </w:tcPr>
          <w:p w14:paraId="6AF36D70">
            <w:pPr>
              <w:jc w:val="center"/>
              <w:rPr>
                <w:rFonts w:hint="eastAsia" w:ascii="宋体" w:hAnsi="宋体" w:eastAsia="宋体" w:cs="宋体"/>
                <w:color w:val="auto"/>
                <w:highlight w:val="none"/>
              </w:rPr>
            </w:pPr>
            <w:r>
              <w:rPr>
                <w:rFonts w:hint="eastAsia" w:ascii="宋体" w:hAnsi="宋体" w:eastAsia="宋体" w:cs="宋体"/>
                <w:color w:val="auto"/>
                <w:highlight w:val="none"/>
              </w:rPr>
              <w:t>工程名称</w:t>
            </w:r>
          </w:p>
          <w:p w14:paraId="1FF19CA5">
            <w:pPr>
              <w:jc w:val="center"/>
              <w:rPr>
                <w:rFonts w:hint="eastAsia" w:ascii="宋体" w:hAnsi="宋体" w:eastAsia="宋体" w:cs="宋体"/>
                <w:color w:val="auto"/>
                <w:highlight w:val="none"/>
              </w:rPr>
            </w:pPr>
            <w:r>
              <w:rPr>
                <w:rFonts w:hint="eastAsia" w:ascii="宋体" w:hAnsi="宋体" w:eastAsia="宋体" w:cs="宋体"/>
                <w:color w:val="auto"/>
                <w:highlight w:val="none"/>
              </w:rPr>
              <w:t>及建设地点</w:t>
            </w:r>
          </w:p>
        </w:tc>
        <w:tc>
          <w:tcPr>
            <w:tcW w:w="851" w:type="dxa"/>
            <w:vAlign w:val="center"/>
          </w:tcPr>
          <w:p w14:paraId="499CFDA2">
            <w:pPr>
              <w:jc w:val="center"/>
              <w:rPr>
                <w:rFonts w:hint="eastAsia" w:ascii="宋体" w:hAnsi="宋体" w:eastAsia="宋体" w:cs="宋体"/>
                <w:color w:val="auto"/>
                <w:highlight w:val="none"/>
              </w:rPr>
            </w:pPr>
            <w:r>
              <w:rPr>
                <w:rFonts w:hint="eastAsia" w:ascii="宋体" w:hAnsi="宋体" w:eastAsia="宋体" w:cs="宋体"/>
                <w:color w:val="auto"/>
                <w:highlight w:val="none"/>
              </w:rPr>
              <w:t>结构</w:t>
            </w:r>
          </w:p>
          <w:p w14:paraId="5D26E128">
            <w:pPr>
              <w:jc w:val="center"/>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992" w:type="dxa"/>
            <w:vAlign w:val="center"/>
          </w:tcPr>
          <w:p w14:paraId="34EA2074">
            <w:pPr>
              <w:jc w:val="center"/>
              <w:rPr>
                <w:rFonts w:hint="eastAsia" w:ascii="宋体" w:hAnsi="宋体" w:eastAsia="宋体" w:cs="宋体"/>
                <w:color w:val="auto"/>
                <w:highlight w:val="none"/>
              </w:rPr>
            </w:pPr>
            <w:r>
              <w:rPr>
                <w:rFonts w:hint="eastAsia" w:ascii="宋体" w:hAnsi="宋体" w:eastAsia="宋体" w:cs="宋体"/>
                <w:color w:val="auto"/>
                <w:highlight w:val="none"/>
              </w:rPr>
              <w:t>建设</w:t>
            </w:r>
          </w:p>
          <w:p w14:paraId="52840D3D">
            <w:pPr>
              <w:jc w:val="center"/>
              <w:rPr>
                <w:rFonts w:hint="eastAsia" w:ascii="宋体" w:hAnsi="宋体" w:eastAsia="宋体" w:cs="宋体"/>
                <w:color w:val="auto"/>
                <w:highlight w:val="none"/>
              </w:rPr>
            </w:pPr>
            <w:r>
              <w:rPr>
                <w:rFonts w:hint="eastAsia" w:ascii="宋体" w:hAnsi="宋体" w:eastAsia="宋体" w:cs="宋体"/>
                <w:color w:val="auto"/>
                <w:highlight w:val="none"/>
              </w:rPr>
              <w:t>规模</w:t>
            </w:r>
          </w:p>
        </w:tc>
        <w:tc>
          <w:tcPr>
            <w:tcW w:w="1134" w:type="dxa"/>
            <w:vAlign w:val="center"/>
          </w:tcPr>
          <w:p w14:paraId="7502A395">
            <w:pPr>
              <w:jc w:val="center"/>
              <w:rPr>
                <w:rFonts w:hint="eastAsia" w:ascii="宋体" w:hAnsi="宋体" w:eastAsia="宋体" w:cs="宋体"/>
                <w:color w:val="auto"/>
                <w:highlight w:val="none"/>
              </w:rPr>
            </w:pPr>
            <w:r>
              <w:rPr>
                <w:rFonts w:hint="eastAsia" w:ascii="宋体" w:hAnsi="宋体" w:eastAsia="宋体" w:cs="宋体"/>
                <w:color w:val="auto"/>
                <w:highlight w:val="none"/>
              </w:rPr>
              <w:t>合同金额</w:t>
            </w:r>
          </w:p>
          <w:p w14:paraId="5D10E87F">
            <w:pPr>
              <w:jc w:val="center"/>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276" w:type="dxa"/>
            <w:vAlign w:val="center"/>
          </w:tcPr>
          <w:p w14:paraId="090C3E0E">
            <w:pPr>
              <w:jc w:val="center"/>
              <w:rPr>
                <w:rFonts w:hint="eastAsia" w:ascii="宋体" w:hAnsi="宋体" w:eastAsia="宋体" w:cs="宋体"/>
                <w:color w:val="auto"/>
                <w:highlight w:val="none"/>
              </w:rPr>
            </w:pPr>
            <w:r>
              <w:rPr>
                <w:rFonts w:hint="eastAsia" w:ascii="宋体" w:hAnsi="宋体" w:eastAsia="宋体" w:cs="宋体"/>
                <w:color w:val="auto"/>
                <w:highlight w:val="none"/>
              </w:rPr>
              <w:t>竣工达到</w:t>
            </w:r>
          </w:p>
          <w:p w14:paraId="4A04E8FE">
            <w:pPr>
              <w:jc w:val="center"/>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1134" w:type="dxa"/>
            <w:vAlign w:val="center"/>
          </w:tcPr>
          <w:p w14:paraId="2F3E1F48">
            <w:pPr>
              <w:jc w:val="center"/>
              <w:rPr>
                <w:rFonts w:hint="eastAsia" w:ascii="宋体" w:hAnsi="宋体" w:eastAsia="宋体" w:cs="宋体"/>
                <w:color w:val="auto"/>
                <w:highlight w:val="none"/>
              </w:rPr>
            </w:pPr>
            <w:r>
              <w:rPr>
                <w:rFonts w:hint="eastAsia" w:ascii="宋体" w:hAnsi="宋体" w:eastAsia="宋体" w:cs="宋体"/>
                <w:color w:val="auto"/>
                <w:highlight w:val="none"/>
              </w:rPr>
              <w:t>开竣工</w:t>
            </w:r>
          </w:p>
          <w:p w14:paraId="68B9EF51">
            <w:pPr>
              <w:jc w:val="center"/>
              <w:rPr>
                <w:rFonts w:hint="eastAsia" w:ascii="宋体" w:hAnsi="宋体" w:eastAsia="宋体" w:cs="宋体"/>
                <w:color w:val="auto"/>
                <w:highlight w:val="none"/>
              </w:rPr>
            </w:pPr>
            <w:r>
              <w:rPr>
                <w:rFonts w:hint="eastAsia" w:ascii="宋体" w:hAnsi="宋体" w:eastAsia="宋体" w:cs="宋体"/>
                <w:color w:val="auto"/>
                <w:highlight w:val="none"/>
              </w:rPr>
              <w:t>日  期</w:t>
            </w:r>
          </w:p>
        </w:tc>
      </w:tr>
      <w:tr w14:paraId="65E8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1EEAC849">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701" w:type="dxa"/>
            <w:vAlign w:val="center"/>
          </w:tcPr>
          <w:p w14:paraId="49745505">
            <w:pPr>
              <w:jc w:val="center"/>
              <w:rPr>
                <w:rFonts w:hint="eastAsia" w:ascii="宋体" w:hAnsi="宋体" w:eastAsia="宋体" w:cs="宋体"/>
                <w:color w:val="auto"/>
                <w:highlight w:val="none"/>
              </w:rPr>
            </w:pPr>
          </w:p>
        </w:tc>
        <w:tc>
          <w:tcPr>
            <w:tcW w:w="1417" w:type="dxa"/>
            <w:vAlign w:val="center"/>
          </w:tcPr>
          <w:p w14:paraId="0D2E816C">
            <w:pPr>
              <w:jc w:val="center"/>
              <w:rPr>
                <w:rFonts w:hint="eastAsia" w:ascii="宋体" w:hAnsi="宋体" w:eastAsia="宋体" w:cs="宋体"/>
                <w:color w:val="auto"/>
                <w:highlight w:val="none"/>
              </w:rPr>
            </w:pPr>
          </w:p>
        </w:tc>
        <w:tc>
          <w:tcPr>
            <w:tcW w:w="851" w:type="dxa"/>
            <w:vAlign w:val="center"/>
          </w:tcPr>
          <w:p w14:paraId="4BC90E91">
            <w:pPr>
              <w:jc w:val="center"/>
              <w:rPr>
                <w:rFonts w:hint="eastAsia" w:ascii="宋体" w:hAnsi="宋体" w:eastAsia="宋体" w:cs="宋体"/>
                <w:color w:val="auto"/>
                <w:highlight w:val="none"/>
              </w:rPr>
            </w:pPr>
          </w:p>
        </w:tc>
        <w:tc>
          <w:tcPr>
            <w:tcW w:w="992" w:type="dxa"/>
            <w:vAlign w:val="center"/>
          </w:tcPr>
          <w:p w14:paraId="48C2C688">
            <w:pPr>
              <w:jc w:val="center"/>
              <w:rPr>
                <w:rFonts w:hint="eastAsia" w:ascii="宋体" w:hAnsi="宋体" w:eastAsia="宋体" w:cs="宋体"/>
                <w:color w:val="auto"/>
                <w:highlight w:val="none"/>
              </w:rPr>
            </w:pPr>
          </w:p>
        </w:tc>
        <w:tc>
          <w:tcPr>
            <w:tcW w:w="1134" w:type="dxa"/>
            <w:vAlign w:val="center"/>
          </w:tcPr>
          <w:p w14:paraId="204865B6">
            <w:pPr>
              <w:jc w:val="center"/>
              <w:rPr>
                <w:rFonts w:hint="eastAsia" w:ascii="宋体" w:hAnsi="宋体" w:eastAsia="宋体" w:cs="宋体"/>
                <w:color w:val="auto"/>
                <w:highlight w:val="none"/>
              </w:rPr>
            </w:pPr>
          </w:p>
        </w:tc>
        <w:tc>
          <w:tcPr>
            <w:tcW w:w="1276" w:type="dxa"/>
            <w:vAlign w:val="center"/>
          </w:tcPr>
          <w:p w14:paraId="71E608B0">
            <w:pPr>
              <w:jc w:val="center"/>
              <w:rPr>
                <w:rFonts w:hint="eastAsia" w:ascii="宋体" w:hAnsi="宋体" w:eastAsia="宋体" w:cs="宋体"/>
                <w:color w:val="auto"/>
                <w:highlight w:val="none"/>
              </w:rPr>
            </w:pPr>
          </w:p>
        </w:tc>
        <w:tc>
          <w:tcPr>
            <w:tcW w:w="1134" w:type="dxa"/>
            <w:vAlign w:val="center"/>
          </w:tcPr>
          <w:p w14:paraId="37AF949A">
            <w:pPr>
              <w:jc w:val="center"/>
              <w:rPr>
                <w:rFonts w:hint="eastAsia" w:ascii="宋体" w:hAnsi="宋体" w:eastAsia="宋体" w:cs="宋体"/>
                <w:color w:val="auto"/>
                <w:highlight w:val="none"/>
              </w:rPr>
            </w:pPr>
          </w:p>
        </w:tc>
      </w:tr>
      <w:tr w14:paraId="25C2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58E7B002">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701" w:type="dxa"/>
            <w:vAlign w:val="center"/>
          </w:tcPr>
          <w:p w14:paraId="005E383B">
            <w:pPr>
              <w:jc w:val="center"/>
              <w:rPr>
                <w:rFonts w:hint="eastAsia" w:ascii="宋体" w:hAnsi="宋体" w:eastAsia="宋体" w:cs="宋体"/>
                <w:color w:val="auto"/>
                <w:highlight w:val="none"/>
              </w:rPr>
            </w:pPr>
          </w:p>
        </w:tc>
        <w:tc>
          <w:tcPr>
            <w:tcW w:w="1417" w:type="dxa"/>
            <w:vAlign w:val="center"/>
          </w:tcPr>
          <w:p w14:paraId="493560F7">
            <w:pPr>
              <w:jc w:val="center"/>
              <w:rPr>
                <w:rFonts w:hint="eastAsia" w:ascii="宋体" w:hAnsi="宋体" w:eastAsia="宋体" w:cs="宋体"/>
                <w:color w:val="auto"/>
                <w:highlight w:val="none"/>
              </w:rPr>
            </w:pPr>
          </w:p>
        </w:tc>
        <w:tc>
          <w:tcPr>
            <w:tcW w:w="851" w:type="dxa"/>
            <w:vAlign w:val="center"/>
          </w:tcPr>
          <w:p w14:paraId="39434D83">
            <w:pPr>
              <w:jc w:val="center"/>
              <w:rPr>
                <w:rFonts w:hint="eastAsia" w:ascii="宋体" w:hAnsi="宋体" w:eastAsia="宋体" w:cs="宋体"/>
                <w:color w:val="auto"/>
                <w:highlight w:val="none"/>
              </w:rPr>
            </w:pPr>
          </w:p>
        </w:tc>
        <w:tc>
          <w:tcPr>
            <w:tcW w:w="992" w:type="dxa"/>
            <w:vAlign w:val="center"/>
          </w:tcPr>
          <w:p w14:paraId="262E4911">
            <w:pPr>
              <w:jc w:val="center"/>
              <w:rPr>
                <w:rFonts w:hint="eastAsia" w:ascii="宋体" w:hAnsi="宋体" w:eastAsia="宋体" w:cs="宋体"/>
                <w:color w:val="auto"/>
                <w:highlight w:val="none"/>
              </w:rPr>
            </w:pPr>
          </w:p>
        </w:tc>
        <w:tc>
          <w:tcPr>
            <w:tcW w:w="1134" w:type="dxa"/>
            <w:vAlign w:val="center"/>
          </w:tcPr>
          <w:p w14:paraId="21D8A5F2">
            <w:pPr>
              <w:jc w:val="center"/>
              <w:rPr>
                <w:rFonts w:hint="eastAsia" w:ascii="宋体" w:hAnsi="宋体" w:eastAsia="宋体" w:cs="宋体"/>
                <w:color w:val="auto"/>
                <w:highlight w:val="none"/>
              </w:rPr>
            </w:pPr>
          </w:p>
        </w:tc>
        <w:tc>
          <w:tcPr>
            <w:tcW w:w="1276" w:type="dxa"/>
            <w:vAlign w:val="center"/>
          </w:tcPr>
          <w:p w14:paraId="19FBF94F">
            <w:pPr>
              <w:jc w:val="center"/>
              <w:rPr>
                <w:rFonts w:hint="eastAsia" w:ascii="宋体" w:hAnsi="宋体" w:eastAsia="宋体" w:cs="宋体"/>
                <w:color w:val="auto"/>
                <w:highlight w:val="none"/>
              </w:rPr>
            </w:pPr>
          </w:p>
        </w:tc>
        <w:tc>
          <w:tcPr>
            <w:tcW w:w="1134" w:type="dxa"/>
            <w:vAlign w:val="center"/>
          </w:tcPr>
          <w:p w14:paraId="488A28BF">
            <w:pPr>
              <w:jc w:val="center"/>
              <w:rPr>
                <w:rFonts w:hint="eastAsia" w:ascii="宋体" w:hAnsi="宋体" w:eastAsia="宋体" w:cs="宋体"/>
                <w:color w:val="auto"/>
                <w:highlight w:val="none"/>
              </w:rPr>
            </w:pPr>
          </w:p>
        </w:tc>
      </w:tr>
      <w:tr w14:paraId="2211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35974E62">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701" w:type="dxa"/>
            <w:vAlign w:val="center"/>
          </w:tcPr>
          <w:p w14:paraId="323BB9EA">
            <w:pPr>
              <w:jc w:val="center"/>
              <w:rPr>
                <w:rFonts w:hint="eastAsia" w:ascii="宋体" w:hAnsi="宋体" w:eastAsia="宋体" w:cs="宋体"/>
                <w:color w:val="auto"/>
                <w:highlight w:val="none"/>
              </w:rPr>
            </w:pPr>
          </w:p>
        </w:tc>
        <w:tc>
          <w:tcPr>
            <w:tcW w:w="1417" w:type="dxa"/>
            <w:vAlign w:val="center"/>
          </w:tcPr>
          <w:p w14:paraId="28EB93FA">
            <w:pPr>
              <w:jc w:val="center"/>
              <w:rPr>
                <w:rFonts w:hint="eastAsia" w:ascii="宋体" w:hAnsi="宋体" w:eastAsia="宋体" w:cs="宋体"/>
                <w:color w:val="auto"/>
                <w:highlight w:val="none"/>
              </w:rPr>
            </w:pPr>
          </w:p>
        </w:tc>
        <w:tc>
          <w:tcPr>
            <w:tcW w:w="851" w:type="dxa"/>
            <w:vAlign w:val="center"/>
          </w:tcPr>
          <w:p w14:paraId="364E6FF4">
            <w:pPr>
              <w:jc w:val="center"/>
              <w:rPr>
                <w:rFonts w:hint="eastAsia" w:ascii="宋体" w:hAnsi="宋体" w:eastAsia="宋体" w:cs="宋体"/>
                <w:color w:val="auto"/>
                <w:highlight w:val="none"/>
              </w:rPr>
            </w:pPr>
          </w:p>
        </w:tc>
        <w:tc>
          <w:tcPr>
            <w:tcW w:w="992" w:type="dxa"/>
            <w:vAlign w:val="center"/>
          </w:tcPr>
          <w:p w14:paraId="11281F7F">
            <w:pPr>
              <w:jc w:val="center"/>
              <w:rPr>
                <w:rFonts w:hint="eastAsia" w:ascii="宋体" w:hAnsi="宋体" w:eastAsia="宋体" w:cs="宋体"/>
                <w:color w:val="auto"/>
                <w:highlight w:val="none"/>
              </w:rPr>
            </w:pPr>
          </w:p>
        </w:tc>
        <w:tc>
          <w:tcPr>
            <w:tcW w:w="1134" w:type="dxa"/>
            <w:vAlign w:val="center"/>
          </w:tcPr>
          <w:p w14:paraId="7FB5316A">
            <w:pPr>
              <w:jc w:val="center"/>
              <w:rPr>
                <w:rFonts w:hint="eastAsia" w:ascii="宋体" w:hAnsi="宋体" w:eastAsia="宋体" w:cs="宋体"/>
                <w:color w:val="auto"/>
                <w:highlight w:val="none"/>
              </w:rPr>
            </w:pPr>
          </w:p>
        </w:tc>
        <w:tc>
          <w:tcPr>
            <w:tcW w:w="1276" w:type="dxa"/>
            <w:vAlign w:val="center"/>
          </w:tcPr>
          <w:p w14:paraId="1808CF23">
            <w:pPr>
              <w:jc w:val="center"/>
              <w:rPr>
                <w:rFonts w:hint="eastAsia" w:ascii="宋体" w:hAnsi="宋体" w:eastAsia="宋体" w:cs="宋体"/>
                <w:color w:val="auto"/>
                <w:highlight w:val="none"/>
              </w:rPr>
            </w:pPr>
          </w:p>
        </w:tc>
        <w:tc>
          <w:tcPr>
            <w:tcW w:w="1134" w:type="dxa"/>
            <w:vAlign w:val="center"/>
          </w:tcPr>
          <w:p w14:paraId="42CA336F">
            <w:pPr>
              <w:jc w:val="center"/>
              <w:rPr>
                <w:rFonts w:hint="eastAsia" w:ascii="宋体" w:hAnsi="宋体" w:eastAsia="宋体" w:cs="宋体"/>
                <w:color w:val="auto"/>
                <w:highlight w:val="none"/>
              </w:rPr>
            </w:pPr>
          </w:p>
        </w:tc>
      </w:tr>
      <w:tr w14:paraId="5A91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51" w:type="dxa"/>
            <w:vAlign w:val="center"/>
          </w:tcPr>
          <w:p w14:paraId="3A53A05A">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01" w:type="dxa"/>
            <w:vAlign w:val="center"/>
          </w:tcPr>
          <w:p w14:paraId="5F6276D0">
            <w:pPr>
              <w:jc w:val="center"/>
              <w:rPr>
                <w:rFonts w:hint="eastAsia" w:ascii="宋体" w:hAnsi="宋体" w:eastAsia="宋体" w:cs="宋体"/>
                <w:color w:val="auto"/>
                <w:highlight w:val="none"/>
              </w:rPr>
            </w:pPr>
          </w:p>
        </w:tc>
        <w:tc>
          <w:tcPr>
            <w:tcW w:w="1417" w:type="dxa"/>
            <w:vAlign w:val="center"/>
          </w:tcPr>
          <w:p w14:paraId="06CD4FD7">
            <w:pPr>
              <w:jc w:val="center"/>
              <w:rPr>
                <w:rFonts w:hint="eastAsia" w:ascii="宋体" w:hAnsi="宋体" w:eastAsia="宋体" w:cs="宋体"/>
                <w:color w:val="auto"/>
                <w:highlight w:val="none"/>
              </w:rPr>
            </w:pPr>
          </w:p>
        </w:tc>
        <w:tc>
          <w:tcPr>
            <w:tcW w:w="851" w:type="dxa"/>
            <w:vAlign w:val="center"/>
          </w:tcPr>
          <w:p w14:paraId="0FA2FBB9">
            <w:pPr>
              <w:jc w:val="center"/>
              <w:rPr>
                <w:rFonts w:hint="eastAsia" w:ascii="宋体" w:hAnsi="宋体" w:eastAsia="宋体" w:cs="宋体"/>
                <w:color w:val="auto"/>
                <w:highlight w:val="none"/>
              </w:rPr>
            </w:pPr>
          </w:p>
        </w:tc>
        <w:tc>
          <w:tcPr>
            <w:tcW w:w="992" w:type="dxa"/>
            <w:vAlign w:val="center"/>
          </w:tcPr>
          <w:p w14:paraId="6E55367E">
            <w:pPr>
              <w:jc w:val="center"/>
              <w:rPr>
                <w:rFonts w:hint="eastAsia" w:ascii="宋体" w:hAnsi="宋体" w:eastAsia="宋体" w:cs="宋体"/>
                <w:color w:val="auto"/>
                <w:highlight w:val="none"/>
              </w:rPr>
            </w:pPr>
          </w:p>
        </w:tc>
        <w:tc>
          <w:tcPr>
            <w:tcW w:w="1134" w:type="dxa"/>
            <w:vAlign w:val="center"/>
          </w:tcPr>
          <w:p w14:paraId="35AB4C71">
            <w:pPr>
              <w:jc w:val="center"/>
              <w:rPr>
                <w:rFonts w:hint="eastAsia" w:ascii="宋体" w:hAnsi="宋体" w:eastAsia="宋体" w:cs="宋体"/>
                <w:color w:val="auto"/>
                <w:highlight w:val="none"/>
              </w:rPr>
            </w:pPr>
          </w:p>
        </w:tc>
        <w:tc>
          <w:tcPr>
            <w:tcW w:w="1276" w:type="dxa"/>
            <w:vAlign w:val="center"/>
          </w:tcPr>
          <w:p w14:paraId="41A360E0">
            <w:pPr>
              <w:jc w:val="center"/>
              <w:rPr>
                <w:rFonts w:hint="eastAsia" w:ascii="宋体" w:hAnsi="宋体" w:eastAsia="宋体" w:cs="宋体"/>
                <w:color w:val="auto"/>
                <w:highlight w:val="none"/>
              </w:rPr>
            </w:pPr>
          </w:p>
        </w:tc>
        <w:tc>
          <w:tcPr>
            <w:tcW w:w="1134" w:type="dxa"/>
            <w:vAlign w:val="center"/>
          </w:tcPr>
          <w:p w14:paraId="30259867">
            <w:pPr>
              <w:jc w:val="center"/>
              <w:rPr>
                <w:rFonts w:hint="eastAsia" w:ascii="宋体" w:hAnsi="宋体" w:eastAsia="宋体" w:cs="宋体"/>
                <w:color w:val="auto"/>
                <w:highlight w:val="none"/>
              </w:rPr>
            </w:pPr>
          </w:p>
        </w:tc>
      </w:tr>
    </w:tbl>
    <w:p w14:paraId="59C28889">
      <w:pPr>
        <w:pStyle w:val="29"/>
        <w:tabs>
          <w:tab w:val="left" w:pos="2127"/>
        </w:tabs>
        <w:spacing w:line="340" w:lineRule="exact"/>
        <w:rPr>
          <w:rFonts w:hint="eastAsia" w:ascii="宋体" w:hAnsi="宋体" w:eastAsia="宋体" w:cs="宋体"/>
          <w:color w:val="auto"/>
          <w:highlight w:val="none"/>
        </w:rPr>
      </w:pPr>
      <w:r>
        <w:rPr>
          <w:rFonts w:hint="eastAsia" w:ascii="宋体" w:hAnsi="宋体" w:eastAsia="宋体" w:cs="宋体"/>
          <w:color w:val="auto"/>
          <w:highlight w:val="none"/>
        </w:rPr>
        <w:t>备注：</w:t>
      </w:r>
      <w:bookmarkStart w:id="226" w:name="OLE_LINK26"/>
      <w:r>
        <w:rPr>
          <w:rFonts w:hint="eastAsia" w:ascii="宋体" w:hAnsi="宋体" w:eastAsia="宋体" w:cs="宋体"/>
          <w:color w:val="auto"/>
          <w:highlight w:val="none"/>
        </w:rPr>
        <w:t>附以上类似工程的中标（成交）通知书、工程合同协议书、工程竣工验收证明材料，</w:t>
      </w:r>
      <w:bookmarkStart w:id="227" w:name="OLE_LINK22"/>
      <w:r>
        <w:rPr>
          <w:rFonts w:hint="eastAsia" w:ascii="宋体" w:hAnsi="宋体" w:eastAsia="宋体" w:cs="宋体"/>
          <w:color w:val="auto"/>
          <w:highlight w:val="none"/>
        </w:rPr>
        <w:t>以及供应商认为需要增加的其他证明材料扫描件，以上扫描件均须加盖</w:t>
      </w:r>
      <w:bookmarkEnd w:id="227"/>
      <w:r>
        <w:rPr>
          <w:rFonts w:hint="eastAsia" w:ascii="宋体" w:hAnsi="宋体" w:eastAsia="宋体" w:cs="宋体"/>
          <w:color w:val="auto"/>
          <w:highlight w:val="none"/>
        </w:rPr>
        <w:t>供应商电子签章。</w:t>
      </w:r>
      <w:bookmarkEnd w:id="226"/>
    </w:p>
    <w:p w14:paraId="613EC3D0">
      <w:pPr>
        <w:spacing w:line="360" w:lineRule="exact"/>
        <w:rPr>
          <w:rFonts w:hint="eastAsia" w:ascii="宋体" w:hAnsi="宋体" w:eastAsia="宋体" w:cs="宋体"/>
          <w:color w:val="auto"/>
          <w:szCs w:val="21"/>
          <w:highlight w:val="none"/>
        </w:rPr>
      </w:pPr>
    </w:p>
    <w:p w14:paraId="19EB3BFE">
      <w:pPr>
        <w:snapToGrid w:val="0"/>
        <w:spacing w:before="50" w:after="120" w:afterLines="5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3.</w:t>
      </w:r>
      <w:r>
        <w:rPr>
          <w:rFonts w:hint="eastAsia" w:ascii="宋体" w:hAnsi="宋体" w:eastAsia="宋体" w:cs="宋体"/>
          <w:b/>
          <w:bCs/>
          <w:color w:val="auto"/>
          <w:szCs w:val="21"/>
          <w:highlight w:val="none"/>
        </w:rPr>
        <w:t>无串标行为承诺函</w:t>
      </w:r>
    </w:p>
    <w:p w14:paraId="6B74DC4F">
      <w:pPr>
        <w:snapToGrid w:val="0"/>
        <w:spacing w:before="50" w:after="120" w:afterLines="50"/>
        <w:jc w:val="center"/>
        <w:rPr>
          <w:rFonts w:hint="eastAsia" w:ascii="宋体" w:hAnsi="宋体" w:eastAsia="宋体" w:cs="宋体"/>
          <w:color w:val="auto"/>
          <w:szCs w:val="21"/>
          <w:highlight w:val="none"/>
        </w:rPr>
      </w:pPr>
    </w:p>
    <w:p w14:paraId="1538F381">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供应商参加本项目无围标串标行为的承诺函</w:t>
      </w:r>
    </w:p>
    <w:p w14:paraId="0C8C16A7">
      <w:pPr>
        <w:snapToGrid w:val="0"/>
        <w:spacing w:before="50" w:after="120" w:afterLines="50"/>
        <w:jc w:val="left"/>
        <w:rPr>
          <w:rFonts w:hint="eastAsia" w:ascii="宋体" w:hAnsi="宋体" w:eastAsia="宋体" w:cs="宋体"/>
          <w:color w:val="auto"/>
          <w:szCs w:val="21"/>
          <w:highlight w:val="none"/>
        </w:rPr>
      </w:pPr>
    </w:p>
    <w:p w14:paraId="525B4403">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一、我方承诺无下列相互串通投标的情形：</w:t>
      </w:r>
    </w:p>
    <w:p w14:paraId="157CB50D">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1.不同供应商的响应文件由同一单位或者个人编制；或者不同供应商报名的IP地址一致的；</w:t>
      </w:r>
    </w:p>
    <w:p w14:paraId="17FE0B99">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2.不同供应商委托同一单位或者个人办理投标事宜；</w:t>
      </w:r>
    </w:p>
    <w:p w14:paraId="63E35CDD">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DE638F8">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4.不同供应商的响应文件异常一致或者投标报价呈规律性差异；</w:t>
      </w:r>
    </w:p>
    <w:p w14:paraId="79E0AF68">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96D0DEB">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14:paraId="04125B34">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二、我方承诺无下列恶意串通的情形：</w:t>
      </w:r>
    </w:p>
    <w:p w14:paraId="657552EA">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1.供应商直接或者间接从采购人或者采购代理机构处获得其他供应商的相关信息并修改其响应文件或者响应文件；</w:t>
      </w:r>
    </w:p>
    <w:p w14:paraId="6D73CFC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2.供应商按照采购人或者采购代理机构的授意撤换、修改响应文件或者响应文件；</w:t>
      </w:r>
    </w:p>
    <w:p w14:paraId="698563B5">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E32EB79">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112DD15E">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78ECC44">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769857A3">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4FFBA30D">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以上情形一经核查属实，我方愿意承担一切后果，并不再寻求任何旨在减轻或者免除法律责任的辩解。</w:t>
      </w:r>
    </w:p>
    <w:p w14:paraId="74358F28">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C684C44">
      <w:pPr>
        <w:snapToGrid w:val="0"/>
        <w:spacing w:before="50" w:after="120" w:afterLines="50"/>
        <w:jc w:val="center"/>
        <w:rPr>
          <w:rFonts w:hint="eastAsia" w:ascii="宋体" w:hAnsi="宋体" w:eastAsia="宋体" w:cs="宋体"/>
          <w:color w:val="auto"/>
          <w:szCs w:val="21"/>
          <w:highlight w:val="none"/>
        </w:rPr>
      </w:pPr>
    </w:p>
    <w:p w14:paraId="1243E085">
      <w:pPr>
        <w:snapToGrid w:val="0"/>
        <w:spacing w:before="50" w:after="120" w:afterLines="50"/>
        <w:jc w:val="center"/>
        <w:rPr>
          <w:rFonts w:hint="eastAsia" w:ascii="宋体" w:hAnsi="宋体" w:eastAsia="宋体" w:cs="宋体"/>
          <w:color w:val="auto"/>
          <w:szCs w:val="21"/>
          <w:highlight w:val="none"/>
        </w:rPr>
      </w:pPr>
    </w:p>
    <w:p w14:paraId="6094A2C5">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5D9E810">
      <w:pPr>
        <w:snapToGrid w:val="0"/>
        <w:spacing w:before="50" w:after="120" w:after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14:paraId="68D9E65F">
      <w:pPr>
        <w:spacing w:line="360" w:lineRule="exact"/>
        <w:rPr>
          <w:rFonts w:hint="eastAsia" w:ascii="宋体" w:hAnsi="宋体" w:eastAsia="宋体" w:cs="宋体"/>
          <w:color w:val="auto"/>
          <w:szCs w:val="21"/>
          <w:highlight w:val="none"/>
        </w:rPr>
      </w:pPr>
    </w:p>
    <w:p w14:paraId="18491E8D">
      <w:pPr>
        <w:spacing w:line="3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4.</w:t>
      </w:r>
      <w:r>
        <w:rPr>
          <w:rFonts w:hint="eastAsia" w:ascii="宋体" w:hAnsi="宋体" w:eastAsia="宋体" w:cs="宋体"/>
          <w:b/>
          <w:bCs/>
          <w:color w:val="auto"/>
          <w:szCs w:val="21"/>
          <w:highlight w:val="none"/>
        </w:rPr>
        <w:t>代理服务费承诺书</w:t>
      </w:r>
    </w:p>
    <w:p w14:paraId="15B8C726">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致：中经国际招标集团有限公司</w:t>
      </w:r>
    </w:p>
    <w:p w14:paraId="6C89ACCB">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我单位参加了贵方组织的磋商项目编号为</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的响应，并递交了磋商保证金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），在此我方说明如下：</w:t>
      </w:r>
    </w:p>
    <w:p w14:paraId="7DBE689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若我单位成交，保证在领取成交通知书之前，按本项目采购文件的规定标准向贵单位支付代理服务费。如我单位未按规定缴纳代理服务费，贵方可不退还我单位提交的磋商保证金，并从中扣除代理服务费，余款按下列账户退回。</w:t>
      </w:r>
    </w:p>
    <w:p w14:paraId="660EA89F">
      <w:pPr>
        <w:snapToGrid w:val="0"/>
        <w:spacing w:before="50" w:after="120" w:afterLines="50"/>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我公司选择第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种方式缴纳代理服务费。</w:t>
      </w:r>
    </w:p>
    <w:p w14:paraId="2615F0CD">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第一种方式：一次性足额缴纳代理服务费。</w:t>
      </w:r>
    </w:p>
    <w:p w14:paraId="272CCBB6">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第二种方式：从磋商保证金中抵扣代理服务费，不足部分补交。</w:t>
      </w:r>
    </w:p>
    <w:p w14:paraId="5C578B7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2．如我单位磋商保证金无法原路返回，请按下表账户信息无息退还。</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6ED6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92633B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收款户名</w:t>
            </w:r>
          </w:p>
        </w:tc>
        <w:tc>
          <w:tcPr>
            <w:tcW w:w="5431" w:type="dxa"/>
            <w:vAlign w:val="center"/>
          </w:tcPr>
          <w:p w14:paraId="7FB17B74">
            <w:pPr>
              <w:spacing w:line="360" w:lineRule="exact"/>
              <w:jc w:val="center"/>
              <w:rPr>
                <w:rFonts w:hint="eastAsia" w:ascii="宋体" w:hAnsi="宋体" w:eastAsia="宋体" w:cs="宋体"/>
                <w:color w:val="auto"/>
                <w:szCs w:val="21"/>
                <w:highlight w:val="none"/>
              </w:rPr>
            </w:pPr>
          </w:p>
        </w:tc>
      </w:tr>
      <w:tr w14:paraId="4B07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20A5BD0">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p>
        </w:tc>
        <w:tc>
          <w:tcPr>
            <w:tcW w:w="5431" w:type="dxa"/>
            <w:vAlign w:val="center"/>
          </w:tcPr>
          <w:p w14:paraId="416684A3">
            <w:pPr>
              <w:spacing w:line="360" w:lineRule="exact"/>
              <w:jc w:val="center"/>
              <w:rPr>
                <w:rFonts w:hint="eastAsia" w:ascii="宋体" w:hAnsi="宋体" w:eastAsia="宋体" w:cs="宋体"/>
                <w:color w:val="auto"/>
                <w:szCs w:val="21"/>
                <w:highlight w:val="none"/>
              </w:rPr>
            </w:pPr>
          </w:p>
        </w:tc>
      </w:tr>
      <w:tr w14:paraId="2CA8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28081A1">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5431" w:type="dxa"/>
            <w:vAlign w:val="center"/>
          </w:tcPr>
          <w:p w14:paraId="5336C885">
            <w:pPr>
              <w:spacing w:line="360" w:lineRule="exact"/>
              <w:jc w:val="center"/>
              <w:rPr>
                <w:rFonts w:hint="eastAsia" w:ascii="宋体" w:hAnsi="宋体" w:eastAsia="宋体" w:cs="宋体"/>
                <w:color w:val="auto"/>
                <w:szCs w:val="21"/>
                <w:highlight w:val="none"/>
              </w:rPr>
            </w:pPr>
          </w:p>
        </w:tc>
      </w:tr>
      <w:tr w14:paraId="59124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690068C2">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银行行号</w:t>
            </w:r>
          </w:p>
        </w:tc>
        <w:tc>
          <w:tcPr>
            <w:tcW w:w="5431" w:type="dxa"/>
            <w:vAlign w:val="center"/>
          </w:tcPr>
          <w:p w14:paraId="764DF420">
            <w:pPr>
              <w:spacing w:line="360" w:lineRule="exact"/>
              <w:jc w:val="center"/>
              <w:rPr>
                <w:rFonts w:hint="eastAsia" w:ascii="宋体" w:hAnsi="宋体" w:eastAsia="宋体" w:cs="宋体"/>
                <w:color w:val="auto"/>
                <w:szCs w:val="21"/>
                <w:highlight w:val="none"/>
              </w:rPr>
            </w:pPr>
          </w:p>
        </w:tc>
      </w:tr>
    </w:tbl>
    <w:p w14:paraId="04D91C7D">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3．如果我单位未遵守有关采购文件关于磋商保证金的规定，贵方可以没收我单位磋商保证金。</w:t>
      </w:r>
    </w:p>
    <w:p w14:paraId="0A8646F2">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我单位选择第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种方式作为代理服务费开票类型：</w:t>
      </w:r>
    </w:p>
    <w:p w14:paraId="080C92DA">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第一种方式：开具收据。</w:t>
      </w:r>
    </w:p>
    <w:p w14:paraId="08D2EF2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第二种方式：开具增值税普通发票。 1.公司名称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；2.纳税人识别号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419F163">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第三种方式：开具增值税专用发票，开票信息如下：1.公司名称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；2.纳税人识别号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；3.税局登记地址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；4.税局登记电话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；5.开户银行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；6.银行账户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7EA062C">
      <w:pPr>
        <w:spacing w:before="120" w:beforeLines="50" w:line="360" w:lineRule="auto"/>
        <w:jc w:val="left"/>
        <w:rPr>
          <w:rFonts w:hint="eastAsia" w:ascii="宋体" w:hAnsi="宋体" w:eastAsia="宋体" w:cs="宋体"/>
          <w:color w:val="auto"/>
          <w:szCs w:val="21"/>
          <w:highlight w:val="none"/>
        </w:rPr>
      </w:pPr>
    </w:p>
    <w:p w14:paraId="3CDFCDD6">
      <w:pPr>
        <w:spacing w:before="120" w:beforeLines="50"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供应商名称(电子签章)：</w:t>
      </w:r>
      <w:r>
        <w:rPr>
          <w:rFonts w:hint="eastAsia" w:ascii="宋体" w:hAnsi="宋体" w:eastAsia="宋体" w:cs="宋体"/>
          <w:color w:val="auto"/>
          <w:szCs w:val="21"/>
          <w:highlight w:val="none"/>
          <w:u w:val="single"/>
        </w:rPr>
        <w:t xml:space="preserve">                              </w:t>
      </w:r>
    </w:p>
    <w:p w14:paraId="087679C4">
      <w:pPr>
        <w:spacing w:before="120" w:beforeLines="5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供应商地址：</w:t>
      </w:r>
      <w:r>
        <w:rPr>
          <w:rFonts w:hint="eastAsia" w:ascii="宋体" w:hAnsi="宋体" w:eastAsia="宋体" w:cs="宋体"/>
          <w:color w:val="auto"/>
          <w:szCs w:val="21"/>
          <w:highlight w:val="none"/>
          <w:u w:val="single"/>
        </w:rPr>
        <w:t xml:space="preserve">                                     </w:t>
      </w:r>
    </w:p>
    <w:p w14:paraId="0BE9F4BA">
      <w:pPr>
        <w:wordWrap w:val="0"/>
        <w:spacing w:before="120" w:beforeLines="50"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A9D64CA">
      <w:pPr>
        <w:spacing w:before="120" w:before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435DAF21">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（1）为保障资金安全，上述账户不能为私人账户。</w:t>
      </w:r>
    </w:p>
    <w:p w14:paraId="69598542">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39922FEB">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（3）如供应商未及时收到退回款项，请与中经国际招标集团有限公司财务部联系。中经国际招标集团有限公司财务部联系方式：联系人：</w:t>
      </w:r>
      <w:r>
        <w:rPr>
          <w:rFonts w:hint="eastAsia" w:ascii="宋体" w:hAnsi="宋体" w:eastAsia="宋体" w:cs="宋体"/>
          <w:color w:val="auto"/>
          <w:szCs w:val="21"/>
          <w:highlight w:val="none"/>
          <w:lang w:val="en-US" w:eastAsia="zh-CN"/>
        </w:rPr>
        <w:t>黄诗宇</w:t>
      </w:r>
      <w:r>
        <w:rPr>
          <w:rFonts w:hint="eastAsia" w:ascii="宋体" w:hAnsi="宋体" w:eastAsia="宋体" w:cs="宋体"/>
          <w:color w:val="auto"/>
          <w:szCs w:val="21"/>
          <w:highlight w:val="none"/>
        </w:rPr>
        <w:t>；电话：077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3819193</w:t>
      </w:r>
      <w:r>
        <w:rPr>
          <w:rFonts w:hint="eastAsia" w:ascii="宋体" w:hAnsi="宋体" w:eastAsia="宋体" w:cs="宋体"/>
          <w:color w:val="auto"/>
          <w:szCs w:val="21"/>
          <w:highlight w:val="none"/>
        </w:rPr>
        <w:t>。</w:t>
      </w:r>
    </w:p>
    <w:p w14:paraId="0385B6BE">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5.</w:t>
      </w:r>
      <w:r>
        <w:rPr>
          <w:rFonts w:hint="eastAsia" w:ascii="宋体" w:hAnsi="宋体" w:eastAsia="宋体" w:cs="宋体"/>
          <w:b/>
          <w:bCs/>
          <w:color w:val="auto"/>
          <w:szCs w:val="21"/>
          <w:highlight w:val="none"/>
        </w:rPr>
        <w:t>现场踏勘确认表</w:t>
      </w:r>
      <w:r>
        <w:rPr>
          <w:rFonts w:hint="eastAsia" w:ascii="宋体" w:hAnsi="宋体" w:eastAsia="宋体" w:cs="宋体"/>
          <w:b/>
          <w:color w:val="auto"/>
          <w:szCs w:val="21"/>
          <w:highlight w:val="none"/>
        </w:rPr>
        <w:t>（如采购文件要求时提供）</w:t>
      </w:r>
    </w:p>
    <w:p w14:paraId="2361F199">
      <w:pPr>
        <w:jc w:val="center"/>
        <w:rPr>
          <w:rFonts w:hint="eastAsia" w:ascii="宋体" w:hAnsi="宋体" w:eastAsia="宋体" w:cs="宋体"/>
          <w:b/>
          <w:color w:val="auto"/>
          <w:szCs w:val="21"/>
          <w:highlight w:val="none"/>
        </w:rPr>
      </w:pPr>
    </w:p>
    <w:p w14:paraId="4DAD93F0">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商须知要求现场踏勘的，供应商应持踏勘授权函（格式自拟，加盖单位公章）及以下《现场踏勘证明》按规定前往指定地方踏勘，踏勘结束后采购人在《现场踏勘证明》上签字盖章，供应商将踏勘授权函及《现场踏勘证明》扫描件加盖公章放置响应文件中。《现场踏勘证明》格式如下：</w:t>
      </w:r>
    </w:p>
    <w:p w14:paraId="11A1E68E">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现场踏勘证明</w:t>
      </w:r>
    </w:p>
    <w:p w14:paraId="0A9DABA6">
      <w:pPr>
        <w:tabs>
          <w:tab w:val="left" w:pos="4860"/>
        </w:tabs>
        <w:spacing w:line="588" w:lineRule="exact"/>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项目名称：</w:t>
      </w:r>
    </w:p>
    <w:tbl>
      <w:tblPr>
        <w:tblStyle w:val="56"/>
        <w:tblW w:w="8605" w:type="dxa"/>
        <w:jc w:val="center"/>
        <w:tblLayout w:type="fixed"/>
        <w:tblCellMar>
          <w:top w:w="0" w:type="dxa"/>
          <w:left w:w="108" w:type="dxa"/>
          <w:bottom w:w="0" w:type="dxa"/>
          <w:right w:w="108" w:type="dxa"/>
        </w:tblCellMar>
      </w:tblPr>
      <w:tblGrid>
        <w:gridCol w:w="1418"/>
        <w:gridCol w:w="1993"/>
        <w:gridCol w:w="5194"/>
      </w:tblGrid>
      <w:tr w14:paraId="60427825">
        <w:tblPrEx>
          <w:tblCellMar>
            <w:top w:w="0" w:type="dxa"/>
            <w:left w:w="108" w:type="dxa"/>
            <w:bottom w:w="0" w:type="dxa"/>
            <w:right w:w="108" w:type="dxa"/>
          </w:tblCellMar>
        </w:tblPrEx>
        <w:trPr>
          <w:trHeight w:val="397" w:hRule="atLeast"/>
          <w:jc w:val="center"/>
        </w:trPr>
        <w:tc>
          <w:tcPr>
            <w:tcW w:w="1418" w:type="dxa"/>
            <w:vMerge w:val="restart"/>
            <w:tcBorders>
              <w:top w:val="single" w:color="auto" w:sz="4" w:space="0"/>
              <w:left w:val="single" w:color="auto" w:sz="6" w:space="0"/>
              <w:bottom w:val="single" w:color="auto" w:sz="6" w:space="0"/>
              <w:right w:val="single" w:color="auto" w:sz="6" w:space="0"/>
            </w:tcBorders>
            <w:vAlign w:val="center"/>
          </w:tcPr>
          <w:p w14:paraId="3016AD7C">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供应商踏勘人员信息</w:t>
            </w:r>
          </w:p>
        </w:tc>
        <w:tc>
          <w:tcPr>
            <w:tcW w:w="1993" w:type="dxa"/>
            <w:tcBorders>
              <w:top w:val="single" w:color="auto" w:sz="4" w:space="0"/>
              <w:left w:val="single" w:color="auto" w:sz="6" w:space="0"/>
              <w:bottom w:val="single" w:color="auto" w:sz="4" w:space="0"/>
              <w:right w:val="single" w:color="auto" w:sz="6" w:space="0"/>
            </w:tcBorders>
            <w:vAlign w:val="center"/>
          </w:tcPr>
          <w:p w14:paraId="5769F579">
            <w:pPr>
              <w:widowControl/>
              <w:jc w:val="center"/>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姓名</w:t>
            </w:r>
          </w:p>
        </w:tc>
        <w:tc>
          <w:tcPr>
            <w:tcW w:w="5194" w:type="dxa"/>
            <w:tcBorders>
              <w:top w:val="single" w:color="auto" w:sz="4" w:space="0"/>
              <w:left w:val="single" w:color="auto" w:sz="6" w:space="0"/>
              <w:bottom w:val="single" w:color="auto" w:sz="4" w:space="0"/>
              <w:right w:val="single" w:color="auto" w:sz="4" w:space="0"/>
            </w:tcBorders>
            <w:vAlign w:val="center"/>
          </w:tcPr>
          <w:p w14:paraId="438E38F5">
            <w:pPr>
              <w:widowControl/>
              <w:jc w:val="center"/>
              <w:rPr>
                <w:rFonts w:hint="eastAsia" w:ascii="宋体" w:hAnsi="宋体" w:eastAsia="宋体" w:cs="宋体"/>
                <w:color w:val="auto"/>
                <w:kern w:val="0"/>
                <w:szCs w:val="21"/>
                <w:highlight w:val="none"/>
              </w:rPr>
            </w:pPr>
          </w:p>
        </w:tc>
      </w:tr>
      <w:tr w14:paraId="6FFBE9CD">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47EC32B2">
            <w:pPr>
              <w:widowControl/>
              <w:jc w:val="center"/>
              <w:rPr>
                <w:rFonts w:hint="eastAsia" w:ascii="宋体" w:hAnsi="宋体" w:eastAsia="宋体" w:cs="宋体"/>
                <w:b/>
                <w:bCs/>
                <w:color w:val="auto"/>
                <w:kern w:val="0"/>
                <w:szCs w:val="21"/>
                <w:highlight w:val="none"/>
              </w:rPr>
            </w:pPr>
          </w:p>
        </w:tc>
        <w:tc>
          <w:tcPr>
            <w:tcW w:w="1993" w:type="dxa"/>
            <w:tcBorders>
              <w:top w:val="single" w:color="auto" w:sz="4" w:space="0"/>
              <w:left w:val="single" w:color="auto" w:sz="6" w:space="0"/>
              <w:bottom w:val="single" w:color="auto" w:sz="4" w:space="0"/>
              <w:right w:val="single" w:color="auto" w:sz="4" w:space="0"/>
            </w:tcBorders>
            <w:vAlign w:val="center"/>
          </w:tcPr>
          <w:p w14:paraId="315DBD47">
            <w:pPr>
              <w:widowControl/>
              <w:jc w:val="center"/>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供应商名称</w:t>
            </w:r>
          </w:p>
        </w:tc>
        <w:tc>
          <w:tcPr>
            <w:tcW w:w="5194" w:type="dxa"/>
            <w:tcBorders>
              <w:top w:val="single" w:color="auto" w:sz="4" w:space="0"/>
              <w:left w:val="nil"/>
              <w:bottom w:val="single" w:color="auto" w:sz="4" w:space="0"/>
              <w:right w:val="single" w:color="auto" w:sz="4" w:space="0"/>
            </w:tcBorders>
            <w:vAlign w:val="center"/>
          </w:tcPr>
          <w:p w14:paraId="6C864ACF">
            <w:pPr>
              <w:widowControl/>
              <w:jc w:val="center"/>
              <w:rPr>
                <w:rFonts w:hint="eastAsia" w:ascii="宋体" w:hAnsi="宋体" w:eastAsia="宋体" w:cs="宋体"/>
                <w:color w:val="auto"/>
                <w:kern w:val="0"/>
                <w:szCs w:val="21"/>
                <w:highlight w:val="none"/>
              </w:rPr>
            </w:pPr>
          </w:p>
        </w:tc>
      </w:tr>
      <w:tr w14:paraId="4A402AE6">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5610D3E7">
            <w:pPr>
              <w:widowControl/>
              <w:jc w:val="center"/>
              <w:rPr>
                <w:rFonts w:hint="eastAsia" w:ascii="宋体" w:hAnsi="宋体" w:eastAsia="宋体" w:cs="宋体"/>
                <w:b/>
                <w:bCs/>
                <w:color w:val="auto"/>
                <w:kern w:val="0"/>
                <w:szCs w:val="21"/>
                <w:highlight w:val="none"/>
              </w:rPr>
            </w:pPr>
          </w:p>
        </w:tc>
        <w:tc>
          <w:tcPr>
            <w:tcW w:w="1993" w:type="dxa"/>
            <w:tcBorders>
              <w:top w:val="nil"/>
              <w:left w:val="single" w:color="auto" w:sz="6" w:space="0"/>
              <w:bottom w:val="single" w:color="auto" w:sz="4" w:space="0"/>
              <w:right w:val="single" w:color="auto" w:sz="4" w:space="0"/>
            </w:tcBorders>
            <w:vAlign w:val="center"/>
          </w:tcPr>
          <w:p w14:paraId="654EA5F2">
            <w:pPr>
              <w:widowControl/>
              <w:jc w:val="center"/>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有效的工作证件</w:t>
            </w:r>
          </w:p>
        </w:tc>
        <w:tc>
          <w:tcPr>
            <w:tcW w:w="5194" w:type="dxa"/>
            <w:tcBorders>
              <w:top w:val="nil"/>
              <w:left w:val="nil"/>
              <w:bottom w:val="single" w:color="auto" w:sz="4" w:space="0"/>
              <w:right w:val="single" w:color="auto" w:sz="4" w:space="0"/>
            </w:tcBorders>
            <w:vAlign w:val="center"/>
          </w:tcPr>
          <w:p w14:paraId="49C609FB">
            <w:pPr>
              <w:widowControl/>
              <w:jc w:val="center"/>
              <w:rPr>
                <w:rFonts w:hint="eastAsia" w:ascii="宋体" w:hAnsi="宋体" w:eastAsia="宋体" w:cs="宋体"/>
                <w:color w:val="auto"/>
                <w:kern w:val="0"/>
                <w:szCs w:val="21"/>
                <w:highlight w:val="none"/>
              </w:rPr>
            </w:pPr>
          </w:p>
        </w:tc>
      </w:tr>
      <w:tr w14:paraId="20242C28">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7BA1467C">
            <w:pPr>
              <w:widowControl/>
              <w:jc w:val="center"/>
              <w:rPr>
                <w:rFonts w:hint="eastAsia" w:ascii="宋体" w:hAnsi="宋体" w:eastAsia="宋体" w:cs="宋体"/>
                <w:b/>
                <w:bCs/>
                <w:color w:val="auto"/>
                <w:kern w:val="0"/>
                <w:szCs w:val="21"/>
                <w:highlight w:val="none"/>
              </w:rPr>
            </w:pPr>
          </w:p>
        </w:tc>
        <w:tc>
          <w:tcPr>
            <w:tcW w:w="1993" w:type="dxa"/>
            <w:tcBorders>
              <w:top w:val="nil"/>
              <w:left w:val="single" w:color="auto" w:sz="6" w:space="0"/>
              <w:bottom w:val="single" w:color="auto" w:sz="4" w:space="0"/>
              <w:right w:val="single" w:color="auto" w:sz="4" w:space="0"/>
            </w:tcBorders>
            <w:vAlign w:val="center"/>
          </w:tcPr>
          <w:p w14:paraId="72277D73">
            <w:pPr>
              <w:widowControl/>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身份证号码</w:t>
            </w:r>
          </w:p>
        </w:tc>
        <w:tc>
          <w:tcPr>
            <w:tcW w:w="5194" w:type="dxa"/>
            <w:tcBorders>
              <w:top w:val="nil"/>
              <w:left w:val="nil"/>
              <w:bottom w:val="single" w:color="auto" w:sz="4" w:space="0"/>
              <w:right w:val="single" w:color="auto" w:sz="4" w:space="0"/>
            </w:tcBorders>
            <w:vAlign w:val="center"/>
          </w:tcPr>
          <w:p w14:paraId="3D625ED3">
            <w:pPr>
              <w:widowControl/>
              <w:jc w:val="center"/>
              <w:rPr>
                <w:rFonts w:hint="eastAsia" w:ascii="宋体" w:hAnsi="宋体" w:eastAsia="宋体" w:cs="宋体"/>
                <w:color w:val="auto"/>
                <w:kern w:val="0"/>
                <w:szCs w:val="21"/>
                <w:highlight w:val="none"/>
              </w:rPr>
            </w:pPr>
          </w:p>
        </w:tc>
      </w:tr>
      <w:tr w14:paraId="1E15B39F">
        <w:tblPrEx>
          <w:tblCellMar>
            <w:top w:w="0" w:type="dxa"/>
            <w:left w:w="108" w:type="dxa"/>
            <w:bottom w:w="0" w:type="dxa"/>
            <w:right w:w="108" w:type="dxa"/>
          </w:tblCellMar>
        </w:tblPrEx>
        <w:trPr>
          <w:trHeight w:val="397"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14:paraId="27D2DA5F">
            <w:pPr>
              <w:widowControl/>
              <w:jc w:val="center"/>
              <w:rPr>
                <w:rFonts w:hint="eastAsia" w:ascii="宋体" w:hAnsi="宋体" w:eastAsia="宋体" w:cs="宋体"/>
                <w:b/>
                <w:bCs/>
                <w:color w:val="auto"/>
                <w:kern w:val="0"/>
                <w:szCs w:val="21"/>
                <w:highlight w:val="none"/>
              </w:rPr>
            </w:pPr>
          </w:p>
        </w:tc>
        <w:tc>
          <w:tcPr>
            <w:tcW w:w="1993" w:type="dxa"/>
            <w:tcBorders>
              <w:top w:val="single" w:color="auto" w:sz="4" w:space="0"/>
              <w:left w:val="single" w:color="auto" w:sz="6" w:space="0"/>
              <w:bottom w:val="single" w:color="auto" w:sz="4" w:space="0"/>
              <w:right w:val="single" w:color="auto" w:sz="4" w:space="0"/>
            </w:tcBorders>
            <w:vAlign w:val="center"/>
          </w:tcPr>
          <w:p w14:paraId="7D6B40AC">
            <w:pPr>
              <w:widowControl/>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联系方式</w:t>
            </w:r>
          </w:p>
        </w:tc>
        <w:tc>
          <w:tcPr>
            <w:tcW w:w="5194" w:type="dxa"/>
            <w:tcBorders>
              <w:top w:val="single" w:color="auto" w:sz="4" w:space="0"/>
              <w:left w:val="nil"/>
              <w:bottom w:val="single" w:color="auto" w:sz="4" w:space="0"/>
              <w:right w:val="single" w:color="auto" w:sz="4" w:space="0"/>
            </w:tcBorders>
            <w:vAlign w:val="center"/>
          </w:tcPr>
          <w:p w14:paraId="0554F7B6">
            <w:pPr>
              <w:widowControl/>
              <w:jc w:val="center"/>
              <w:rPr>
                <w:rFonts w:hint="eastAsia" w:ascii="宋体" w:hAnsi="宋体" w:eastAsia="宋体" w:cs="宋体"/>
                <w:color w:val="auto"/>
                <w:kern w:val="0"/>
                <w:szCs w:val="21"/>
                <w:highlight w:val="none"/>
              </w:rPr>
            </w:pPr>
          </w:p>
        </w:tc>
      </w:tr>
      <w:tr w14:paraId="01873F0B">
        <w:tblPrEx>
          <w:tblCellMar>
            <w:top w:w="0" w:type="dxa"/>
            <w:left w:w="108" w:type="dxa"/>
            <w:bottom w:w="0" w:type="dxa"/>
            <w:right w:w="108" w:type="dxa"/>
          </w:tblCellMar>
        </w:tblPrEx>
        <w:trPr>
          <w:trHeight w:val="2419" w:hRule="atLeast"/>
          <w:jc w:val="center"/>
        </w:trPr>
        <w:tc>
          <w:tcPr>
            <w:tcW w:w="1418" w:type="dxa"/>
            <w:vMerge w:val="restart"/>
            <w:tcBorders>
              <w:top w:val="single" w:color="auto" w:sz="6" w:space="0"/>
              <w:left w:val="single" w:color="auto" w:sz="6" w:space="0"/>
              <w:right w:val="single" w:color="auto" w:sz="6" w:space="0"/>
            </w:tcBorders>
            <w:vAlign w:val="center"/>
          </w:tcPr>
          <w:p w14:paraId="0BE40FAF">
            <w:pPr>
              <w:widowControl/>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现场踏勘情况说明</w:t>
            </w:r>
          </w:p>
        </w:tc>
        <w:tc>
          <w:tcPr>
            <w:tcW w:w="7187" w:type="dxa"/>
            <w:gridSpan w:val="2"/>
            <w:tcBorders>
              <w:top w:val="single" w:color="auto" w:sz="4" w:space="0"/>
              <w:left w:val="single" w:color="auto" w:sz="6" w:space="0"/>
              <w:bottom w:val="single" w:color="auto" w:sz="4" w:space="0"/>
              <w:right w:val="single" w:color="auto" w:sz="4" w:space="0"/>
            </w:tcBorders>
            <w:vAlign w:val="center"/>
          </w:tcPr>
          <w:p w14:paraId="74862358">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以下由招标方踏勘经办人填写：</w:t>
            </w:r>
          </w:p>
          <w:p w14:paraId="52C6123E">
            <w:pPr>
              <w:widowControl/>
              <w:rPr>
                <w:rFonts w:hint="eastAsia" w:ascii="宋体" w:hAnsi="宋体" w:eastAsia="宋体" w:cs="宋体"/>
                <w:color w:val="auto"/>
                <w:szCs w:val="21"/>
                <w:highlight w:val="none"/>
              </w:rPr>
            </w:pPr>
          </w:p>
          <w:p w14:paraId="38D383F4">
            <w:pPr>
              <w:widowControl/>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1.供应商踏勘签到时间：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5325CB8">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2.是否按指定时间及地点参加踏勘（考察）：</w:t>
            </w:r>
          </w:p>
          <w:p w14:paraId="65CDC051">
            <w:pPr>
              <w:widowControl/>
              <w:rPr>
                <w:rFonts w:hint="eastAsia" w:ascii="宋体" w:hAnsi="宋体" w:eastAsia="宋体" w:cs="宋体"/>
                <w:color w:val="auto"/>
                <w:szCs w:val="21"/>
                <w:highlight w:val="none"/>
                <w:u w:val="single"/>
              </w:rPr>
            </w:pPr>
          </w:p>
          <w:p w14:paraId="31B2470F">
            <w:pPr>
              <w:widowControl/>
              <w:jc w:val="center"/>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sym w:font="Wingdings 2" w:char="F0A3"/>
            </w:r>
            <w:r>
              <w:rPr>
                <w:rFonts w:hint="eastAsia" w:ascii="宋体" w:hAnsi="宋体" w:eastAsia="宋体" w:cs="宋体"/>
                <w:color w:val="auto"/>
                <w:sz w:val="36"/>
                <w:szCs w:val="36"/>
                <w:highlight w:val="none"/>
              </w:rPr>
              <w:t xml:space="preserve">是   </w:t>
            </w:r>
            <w:r>
              <w:rPr>
                <w:rFonts w:hint="eastAsia" w:ascii="宋体" w:hAnsi="宋体" w:eastAsia="宋体" w:cs="宋体"/>
                <w:color w:val="auto"/>
                <w:sz w:val="36"/>
                <w:szCs w:val="36"/>
                <w:highlight w:val="none"/>
              </w:rPr>
              <w:sym w:font="Wingdings 2" w:char="F0A3"/>
            </w:r>
            <w:r>
              <w:rPr>
                <w:rFonts w:hint="eastAsia" w:ascii="宋体" w:hAnsi="宋体" w:eastAsia="宋体" w:cs="宋体"/>
                <w:color w:val="auto"/>
                <w:sz w:val="36"/>
                <w:szCs w:val="36"/>
                <w:highlight w:val="none"/>
              </w:rPr>
              <w:t>否</w:t>
            </w:r>
          </w:p>
        </w:tc>
      </w:tr>
      <w:tr w14:paraId="04C8CF08">
        <w:tblPrEx>
          <w:tblCellMar>
            <w:top w:w="0" w:type="dxa"/>
            <w:left w:w="108" w:type="dxa"/>
            <w:bottom w:w="0" w:type="dxa"/>
            <w:right w:w="108" w:type="dxa"/>
          </w:tblCellMar>
        </w:tblPrEx>
        <w:trPr>
          <w:trHeight w:val="1958" w:hRule="atLeast"/>
          <w:jc w:val="center"/>
        </w:trPr>
        <w:tc>
          <w:tcPr>
            <w:tcW w:w="1418" w:type="dxa"/>
            <w:vMerge w:val="continue"/>
            <w:tcBorders>
              <w:left w:val="single" w:color="auto" w:sz="6" w:space="0"/>
              <w:bottom w:val="single" w:color="auto" w:sz="6" w:space="0"/>
              <w:right w:val="single" w:color="auto" w:sz="6" w:space="0"/>
            </w:tcBorders>
            <w:vAlign w:val="center"/>
          </w:tcPr>
          <w:p w14:paraId="18145F83">
            <w:pPr>
              <w:widowControl/>
              <w:jc w:val="center"/>
              <w:rPr>
                <w:rFonts w:hint="eastAsia" w:ascii="宋体" w:hAnsi="宋体" w:eastAsia="宋体" w:cs="宋体"/>
                <w:b/>
                <w:bCs/>
                <w:color w:val="auto"/>
                <w:kern w:val="0"/>
                <w:szCs w:val="21"/>
                <w:highlight w:val="none"/>
              </w:rPr>
            </w:pPr>
          </w:p>
        </w:tc>
        <w:tc>
          <w:tcPr>
            <w:tcW w:w="7187" w:type="dxa"/>
            <w:gridSpan w:val="2"/>
            <w:tcBorders>
              <w:top w:val="single" w:color="auto" w:sz="4" w:space="0"/>
              <w:left w:val="single" w:color="auto" w:sz="6" w:space="0"/>
              <w:right w:val="single" w:color="auto" w:sz="4" w:space="0"/>
            </w:tcBorders>
            <w:vAlign w:val="center"/>
          </w:tcPr>
          <w:p w14:paraId="02887D6E">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以下由供应商踏勘人员填写：</w:t>
            </w:r>
          </w:p>
          <w:p w14:paraId="2636EEAA">
            <w:pPr>
              <w:widowControl/>
              <w:ind w:firstLine="210" w:firstLineChars="100"/>
              <w:rPr>
                <w:rFonts w:hint="eastAsia" w:ascii="宋体" w:hAnsi="宋体" w:eastAsia="宋体" w:cs="宋体"/>
                <w:color w:val="auto"/>
                <w:szCs w:val="21"/>
                <w:highlight w:val="none"/>
              </w:rPr>
            </w:pPr>
          </w:p>
          <w:p w14:paraId="3A180984">
            <w:pPr>
              <w:widowControl/>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以上情况属实，我方予以认可。</w:t>
            </w:r>
          </w:p>
          <w:p w14:paraId="65425574">
            <w:pPr>
              <w:widowControl/>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w:t>
            </w:r>
            <w:r>
              <w:rPr>
                <w:rFonts w:hint="eastAsia" w:ascii="宋体" w:hAnsi="宋体" w:eastAsia="宋体" w:cs="宋体"/>
                <w:color w:val="auto"/>
                <w:highlight w:val="none"/>
              </w:rPr>
              <w:t>在踏勘</w:t>
            </w:r>
            <w:r>
              <w:rPr>
                <w:rFonts w:hint="eastAsia" w:ascii="宋体" w:hAnsi="宋体" w:eastAsia="宋体" w:cs="宋体"/>
                <w:color w:val="auto"/>
                <w:szCs w:val="21"/>
                <w:highlight w:val="none"/>
              </w:rPr>
              <w:t>（考察）过程中，未向其他供应商透露磋商信息，如有该种行为我方自愿承担响应无效的后果。</w:t>
            </w:r>
          </w:p>
          <w:p w14:paraId="34BB75E5">
            <w:pPr>
              <w:widowControl/>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2.我方承诺如未按指定时间及地点参加</w:t>
            </w:r>
            <w:r>
              <w:rPr>
                <w:rFonts w:hint="eastAsia" w:ascii="宋体" w:hAnsi="宋体" w:eastAsia="宋体" w:cs="宋体"/>
                <w:color w:val="auto"/>
                <w:highlight w:val="none"/>
              </w:rPr>
              <w:t>踏勘</w:t>
            </w:r>
            <w:r>
              <w:rPr>
                <w:rFonts w:hint="eastAsia" w:ascii="宋体" w:hAnsi="宋体" w:eastAsia="宋体" w:cs="宋体"/>
                <w:color w:val="auto"/>
                <w:szCs w:val="21"/>
                <w:highlight w:val="none"/>
              </w:rPr>
              <w:t>（考察），我方自愿承担被采购人拒绝参与</w:t>
            </w:r>
            <w:r>
              <w:rPr>
                <w:rFonts w:hint="eastAsia" w:ascii="宋体" w:hAnsi="宋体" w:eastAsia="宋体" w:cs="宋体"/>
                <w:color w:val="auto"/>
                <w:highlight w:val="none"/>
              </w:rPr>
              <w:t>踏勘</w:t>
            </w:r>
            <w:r>
              <w:rPr>
                <w:rFonts w:hint="eastAsia" w:ascii="宋体" w:hAnsi="宋体" w:eastAsia="宋体" w:cs="宋体"/>
                <w:color w:val="auto"/>
                <w:szCs w:val="21"/>
                <w:highlight w:val="none"/>
              </w:rPr>
              <w:t>（考察）的后果。</w:t>
            </w:r>
          </w:p>
          <w:p w14:paraId="377C52F4">
            <w:pPr>
              <w:widowControl/>
              <w:rPr>
                <w:rFonts w:hint="eastAsia" w:ascii="宋体" w:hAnsi="宋体" w:eastAsia="宋体" w:cs="宋体"/>
                <w:color w:val="auto"/>
                <w:szCs w:val="21"/>
                <w:highlight w:val="none"/>
              </w:rPr>
            </w:pPr>
          </w:p>
          <w:p w14:paraId="6DC70780">
            <w:pPr>
              <w:widowControl/>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供应商踏勘人员签字：</w:t>
            </w:r>
          </w:p>
        </w:tc>
      </w:tr>
      <w:tr w14:paraId="490B3B83">
        <w:tblPrEx>
          <w:tblCellMar>
            <w:top w:w="0" w:type="dxa"/>
            <w:left w:w="108" w:type="dxa"/>
            <w:bottom w:w="0" w:type="dxa"/>
            <w:right w:w="108" w:type="dxa"/>
          </w:tblCellMar>
        </w:tblPrEx>
        <w:trPr>
          <w:trHeight w:val="1924" w:hRule="atLeast"/>
          <w:jc w:val="center"/>
        </w:trPr>
        <w:tc>
          <w:tcPr>
            <w:tcW w:w="8605" w:type="dxa"/>
            <w:gridSpan w:val="3"/>
            <w:tcBorders>
              <w:top w:val="single" w:color="auto" w:sz="4" w:space="0"/>
              <w:left w:val="single" w:color="auto" w:sz="4" w:space="0"/>
              <w:bottom w:val="single" w:color="auto" w:sz="4" w:space="0"/>
              <w:right w:val="single" w:color="000000" w:sz="4" w:space="0"/>
            </w:tcBorders>
            <w:vAlign w:val="bottom"/>
          </w:tcPr>
          <w:p w14:paraId="77A9AB84">
            <w:pPr>
              <w:widowControl/>
              <w:rPr>
                <w:rFonts w:hint="eastAsia" w:ascii="宋体" w:hAnsi="宋体" w:eastAsia="宋体" w:cs="宋体"/>
                <w:b/>
                <w:bCs/>
                <w:color w:val="auto"/>
                <w:kern w:val="0"/>
                <w:szCs w:val="21"/>
                <w:highlight w:val="none"/>
                <w:u w:val="single"/>
              </w:rPr>
            </w:pPr>
            <w:r>
              <w:rPr>
                <w:rFonts w:hint="eastAsia" w:ascii="宋体" w:hAnsi="宋体" w:eastAsia="宋体" w:cs="宋体"/>
                <w:b/>
                <w:color w:val="auto"/>
                <w:kern w:val="0"/>
                <w:szCs w:val="21"/>
                <w:highlight w:val="none"/>
              </w:rPr>
              <w:t>招标方踏勘经办人</w:t>
            </w:r>
            <w:r>
              <w:rPr>
                <w:rFonts w:hint="eastAsia" w:ascii="宋体" w:hAnsi="宋体" w:eastAsia="宋体" w:cs="宋体"/>
                <w:b/>
                <w:bCs/>
                <w:color w:val="auto"/>
                <w:kern w:val="0"/>
                <w:szCs w:val="21"/>
                <w:highlight w:val="none"/>
              </w:rPr>
              <w:t>签字：</w:t>
            </w:r>
            <w:r>
              <w:rPr>
                <w:rFonts w:hint="eastAsia" w:ascii="宋体" w:hAnsi="宋体" w:eastAsia="宋体" w:cs="宋体"/>
                <w:b/>
                <w:bCs/>
                <w:color w:val="auto"/>
                <w:kern w:val="0"/>
                <w:szCs w:val="21"/>
                <w:highlight w:val="none"/>
                <w:u w:val="single"/>
              </w:rPr>
              <w:t xml:space="preserve">                  </w:t>
            </w:r>
          </w:p>
          <w:p w14:paraId="139825E8">
            <w:pPr>
              <w:widowControl/>
              <w:rPr>
                <w:rFonts w:hint="eastAsia" w:ascii="宋体" w:hAnsi="宋体" w:eastAsia="宋体" w:cs="宋体"/>
                <w:b/>
                <w:bCs/>
                <w:color w:val="auto"/>
                <w:kern w:val="0"/>
                <w:szCs w:val="21"/>
                <w:highlight w:val="none"/>
                <w:u w:val="single"/>
              </w:rPr>
            </w:pPr>
          </w:p>
          <w:p w14:paraId="297099C9">
            <w:pPr>
              <w:widowControl/>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rPr>
              <w:t>联系电话：</w:t>
            </w:r>
            <w:r>
              <w:rPr>
                <w:rFonts w:hint="eastAsia" w:ascii="宋体" w:hAnsi="宋体" w:eastAsia="宋体" w:cs="宋体"/>
                <w:b/>
                <w:bCs/>
                <w:color w:val="auto"/>
                <w:kern w:val="0"/>
                <w:szCs w:val="21"/>
                <w:highlight w:val="none"/>
                <w:u w:val="single"/>
              </w:rPr>
              <w:t xml:space="preserve">                               </w:t>
            </w:r>
          </w:p>
          <w:p w14:paraId="510936C6">
            <w:pPr>
              <w:widowControl/>
              <w:rPr>
                <w:rFonts w:hint="eastAsia" w:ascii="宋体" w:hAnsi="宋体" w:eastAsia="宋体" w:cs="宋体"/>
                <w:b/>
                <w:bCs/>
                <w:color w:val="auto"/>
                <w:kern w:val="0"/>
                <w:szCs w:val="21"/>
                <w:highlight w:val="none"/>
              </w:rPr>
            </w:pPr>
          </w:p>
          <w:p w14:paraId="738D61CA">
            <w:pPr>
              <w:widowControl/>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rPr>
              <w:t>日    期：</w:t>
            </w:r>
            <w:r>
              <w:rPr>
                <w:rFonts w:hint="eastAsia" w:ascii="宋体" w:hAnsi="宋体" w:eastAsia="宋体" w:cs="宋体"/>
                <w:b/>
                <w:bCs/>
                <w:color w:val="auto"/>
                <w:kern w:val="0"/>
                <w:szCs w:val="21"/>
                <w:highlight w:val="none"/>
                <w:u w:val="single"/>
              </w:rPr>
              <w:t xml:space="preserve">                                   </w:t>
            </w:r>
          </w:p>
          <w:p w14:paraId="63935007">
            <w:pPr>
              <w:widowControl/>
              <w:rPr>
                <w:rFonts w:hint="eastAsia" w:ascii="宋体" w:hAnsi="宋体" w:eastAsia="宋体" w:cs="宋体"/>
                <w:color w:val="auto"/>
                <w:kern w:val="0"/>
                <w:szCs w:val="21"/>
                <w:highlight w:val="none"/>
              </w:rPr>
            </w:pPr>
          </w:p>
        </w:tc>
      </w:tr>
      <w:tr w14:paraId="2CBC18F5">
        <w:tblPrEx>
          <w:tblCellMar>
            <w:top w:w="0" w:type="dxa"/>
            <w:left w:w="108" w:type="dxa"/>
            <w:bottom w:w="0" w:type="dxa"/>
            <w:right w:w="108" w:type="dxa"/>
          </w:tblCellMar>
        </w:tblPrEx>
        <w:trPr>
          <w:trHeight w:val="924" w:hRule="atLeast"/>
          <w:jc w:val="center"/>
        </w:trPr>
        <w:tc>
          <w:tcPr>
            <w:tcW w:w="8605" w:type="dxa"/>
            <w:gridSpan w:val="3"/>
            <w:tcBorders>
              <w:top w:val="single" w:color="auto" w:sz="4" w:space="0"/>
              <w:left w:val="single" w:color="auto" w:sz="4" w:space="0"/>
              <w:bottom w:val="single" w:color="auto" w:sz="4" w:space="0"/>
              <w:right w:val="single" w:color="000000" w:sz="4" w:space="0"/>
            </w:tcBorders>
            <w:vAlign w:val="center"/>
          </w:tcPr>
          <w:p w14:paraId="0CD5B2C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说明：此表一式两份，供应商一份，采购人一份。</w:t>
            </w:r>
          </w:p>
        </w:tc>
      </w:tr>
    </w:tbl>
    <w:p w14:paraId="1C4B74BB">
      <w:pPr>
        <w:spacing w:line="440" w:lineRule="exact"/>
        <w:ind w:right="420"/>
        <w:jc w:val="right"/>
        <w:rPr>
          <w:rFonts w:hint="eastAsia" w:ascii="宋体" w:hAnsi="宋体" w:eastAsia="宋体" w:cs="宋体"/>
          <w:color w:val="auto"/>
          <w:szCs w:val="21"/>
          <w:highlight w:val="none"/>
        </w:rPr>
      </w:pPr>
    </w:p>
    <w:p w14:paraId="5FE26B4C">
      <w:pPr>
        <w:snapToGrid w:val="0"/>
        <w:spacing w:before="120" w:beforeLines="50" w:after="50" w:line="440" w:lineRule="exact"/>
        <w:jc w:val="center"/>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r>
        <w:rPr>
          <w:rFonts w:hint="eastAsia" w:ascii="宋体" w:hAnsi="宋体" w:eastAsia="宋体" w:cs="宋体"/>
          <w:bCs/>
          <w:color w:val="auto"/>
          <w:sz w:val="24"/>
          <w:highlight w:val="none"/>
        </w:rPr>
        <w:t>第三部分 报价文件</w:t>
      </w:r>
    </w:p>
    <w:p w14:paraId="040E246E">
      <w:pPr>
        <w:jc w:val="center"/>
        <w:rPr>
          <w:rFonts w:hint="eastAsia" w:ascii="宋体" w:hAnsi="宋体" w:eastAsia="宋体" w:cs="宋体"/>
          <w:b/>
          <w:bCs/>
          <w:color w:val="auto"/>
          <w:szCs w:val="21"/>
          <w:highlight w:val="none"/>
        </w:rPr>
      </w:pPr>
    </w:p>
    <w:p w14:paraId="362E5EE5">
      <w:pPr>
        <w:rPr>
          <w:rFonts w:hint="eastAsia" w:ascii="宋体" w:hAnsi="宋体" w:eastAsia="宋体" w:cs="宋体"/>
          <w:color w:val="auto"/>
          <w:highlight w:val="none"/>
        </w:rPr>
      </w:pPr>
      <w:r>
        <w:rPr>
          <w:rFonts w:hint="eastAsia" w:ascii="宋体" w:hAnsi="宋体" w:eastAsia="宋体" w:cs="宋体"/>
          <w:color w:val="auto"/>
          <w:highlight w:val="none"/>
        </w:rPr>
        <w:t>1．响应函格式：</w:t>
      </w:r>
    </w:p>
    <w:p w14:paraId="280BB0B2">
      <w:pPr>
        <w:jc w:val="center"/>
        <w:rPr>
          <w:rFonts w:hint="eastAsia" w:ascii="宋体" w:hAnsi="宋体" w:eastAsia="宋体" w:cs="宋体"/>
          <w:b/>
          <w:bCs/>
          <w:color w:val="auto"/>
          <w:szCs w:val="21"/>
          <w:highlight w:val="none"/>
        </w:rPr>
      </w:pPr>
    </w:p>
    <w:p w14:paraId="6F77343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 应 函</w:t>
      </w:r>
    </w:p>
    <w:p w14:paraId="05D4FCAE">
      <w:pPr>
        <w:rPr>
          <w:rFonts w:hint="eastAsia" w:ascii="宋体" w:hAnsi="宋体" w:eastAsia="宋体" w:cs="宋体"/>
          <w:b/>
          <w:color w:val="auto"/>
          <w:szCs w:val="21"/>
          <w:highlight w:val="none"/>
        </w:rPr>
      </w:pPr>
    </w:p>
    <w:p w14:paraId="1CD97442">
      <w:pPr>
        <w:snapToGrid w:val="0"/>
        <w:spacing w:before="120" w:beforeLines="50" w:after="5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bookmarkStart w:id="228" w:name="_Hlk19051378"/>
      <w:r>
        <w:rPr>
          <w:rFonts w:hint="eastAsia" w:ascii="宋体" w:hAnsi="宋体" w:eastAsia="宋体" w:cs="宋体"/>
          <w:i/>
          <w:iCs/>
          <w:color w:val="auto"/>
          <w:szCs w:val="21"/>
          <w:highlight w:val="none"/>
          <w:u w:val="single"/>
        </w:rPr>
        <w:t>（采购人名称）</w:t>
      </w:r>
      <w:bookmarkEnd w:id="228"/>
      <w:r>
        <w:rPr>
          <w:rFonts w:hint="eastAsia" w:ascii="宋体" w:hAnsi="宋体" w:eastAsia="宋体" w:cs="宋体"/>
          <w:color w:val="auto"/>
          <w:szCs w:val="21"/>
          <w:highlight w:val="none"/>
        </w:rPr>
        <w:t>：</w:t>
      </w:r>
    </w:p>
    <w:p w14:paraId="66EEFE4D">
      <w:pPr>
        <w:rPr>
          <w:rFonts w:hint="eastAsia" w:ascii="宋体" w:hAnsi="宋体" w:eastAsia="宋体" w:cs="宋体"/>
          <w:b/>
          <w:color w:val="auto"/>
          <w:szCs w:val="21"/>
          <w:highlight w:val="none"/>
        </w:rPr>
      </w:pPr>
    </w:p>
    <w:p w14:paraId="1BABDE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1.根据你方项目编号为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i/>
          <w:iCs/>
          <w:color w:val="auto"/>
          <w:szCs w:val="21"/>
          <w:highlight w:val="none"/>
          <w:u w:val="single"/>
        </w:rPr>
        <w:t>（工程项目名称）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采购文件，遵照《中华人民共和国政府采购法》、《中华人民共和国建筑法》等有关规定，经踏勘项目现场和研究上述采购文件的供应商须知、合同条款、图纸、工程建设内容和工程量清单及其他有关文件后，我方愿以人民币</w:t>
      </w:r>
      <w:r>
        <w:rPr>
          <w:rFonts w:hint="eastAsia" w:ascii="宋体" w:hAnsi="宋体" w:eastAsia="宋体" w:cs="宋体"/>
          <w:color w:val="auto"/>
          <w:szCs w:val="21"/>
          <w:highlight w:val="none"/>
          <w:u w:val="single"/>
        </w:rPr>
        <w:t>（大写）    元（RMB￥    元）</w:t>
      </w:r>
      <w:r>
        <w:rPr>
          <w:rFonts w:hint="eastAsia" w:ascii="宋体" w:hAnsi="宋体" w:eastAsia="宋体" w:cs="宋体"/>
          <w:color w:val="auto"/>
          <w:szCs w:val="21"/>
          <w:highlight w:val="none"/>
        </w:rPr>
        <w:t>的磋商报价并按上述图纸、合同条款、工程建设内容和工程量清单的条件要求承包上述工程的施工、竣工，并承担任何质量缺陷保修责任。我方保证工程质量达到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等级。</w:t>
      </w:r>
    </w:p>
    <w:p w14:paraId="6EC8ED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2.我方已详细审核全部采购文件，包括修改文件（如有时）及有关附件。</w:t>
      </w:r>
    </w:p>
    <w:p w14:paraId="07C4FE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3.我方承认响应函附录是我方响应函的组成部分。</w:t>
      </w:r>
    </w:p>
    <w:p w14:paraId="05B1BD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4.一旦我方成交，我方保证按合同书中规定的工期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日历天内完成并移交全部工程，并承诺不分包及转包他人。</w:t>
      </w:r>
    </w:p>
    <w:p w14:paraId="2D474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5.如果我方成交，我方将按照文件规定提交履约保证金作为履约担保。</w:t>
      </w:r>
    </w:p>
    <w:p w14:paraId="12A3F3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6.我方同意所提交的响应文件在采购文件的“供应商须知”中规定的响应有效期内有效，在此期间内如果成交，我方将受此约束。</w:t>
      </w:r>
    </w:p>
    <w:p w14:paraId="0FD4B6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7.除非另外达成协议并生效，你方的成交通知书和本响应文件将成为约束双方的合同文件的组成部分。</w:t>
      </w:r>
    </w:p>
    <w:p w14:paraId="7A645D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8.我方将与本响应函一起，提交人民币</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元作为磋商保证金。</w:t>
      </w:r>
    </w:p>
    <w:p w14:paraId="4BB653CC">
      <w:pPr>
        <w:spacing w:line="360" w:lineRule="auto"/>
        <w:ind w:firstLine="420" w:firstLineChars="200"/>
        <w:rPr>
          <w:rFonts w:hint="eastAsia" w:ascii="宋体" w:hAnsi="宋体" w:eastAsia="宋体" w:cs="宋体"/>
          <w:color w:val="auto"/>
          <w:szCs w:val="21"/>
          <w:highlight w:val="none"/>
        </w:rPr>
      </w:pPr>
      <w:bookmarkStart w:id="229" w:name="_Hlk33002211"/>
      <w:r>
        <w:rPr>
          <w:rFonts w:hint="eastAsia" w:ascii="宋体" w:hAnsi="宋体" w:eastAsia="宋体" w:cs="宋体"/>
          <w:color w:val="auto"/>
          <w:szCs w:val="21"/>
          <w:highlight w:val="none"/>
        </w:rPr>
        <w:t>9.</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与本项目有关的一切正式往来信函请寄：</w:t>
      </w:r>
    </w:p>
    <w:p w14:paraId="4A8614F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14:paraId="226FACA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48932F35">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供应商代表姓名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邮箱：</w:t>
      </w:r>
      <w:r>
        <w:rPr>
          <w:rFonts w:hint="eastAsia" w:ascii="宋体" w:hAnsi="宋体" w:eastAsia="宋体" w:cs="宋体"/>
          <w:color w:val="auto"/>
          <w:szCs w:val="21"/>
          <w:highlight w:val="none"/>
          <w:u w:val="single"/>
        </w:rPr>
        <w:t xml:space="preserve">              </w:t>
      </w:r>
    </w:p>
    <w:bookmarkEnd w:id="229"/>
    <w:p w14:paraId="52C9DCBD">
      <w:pPr>
        <w:spacing w:line="360" w:lineRule="auto"/>
        <w:ind w:firstLine="420" w:firstLineChars="200"/>
        <w:rPr>
          <w:rFonts w:hint="eastAsia" w:ascii="宋体" w:hAnsi="宋体" w:eastAsia="宋体" w:cs="宋体"/>
          <w:color w:val="auto"/>
          <w:szCs w:val="21"/>
          <w:highlight w:val="none"/>
        </w:rPr>
      </w:pPr>
    </w:p>
    <w:p w14:paraId="46864B49">
      <w:pPr>
        <w:spacing w:line="360" w:lineRule="auto"/>
        <w:rPr>
          <w:rFonts w:hint="eastAsia" w:ascii="宋体" w:hAnsi="宋体" w:eastAsia="宋体" w:cs="宋体"/>
          <w:color w:val="auto"/>
          <w:szCs w:val="21"/>
          <w:highlight w:val="none"/>
        </w:rPr>
      </w:pPr>
    </w:p>
    <w:p w14:paraId="73136412">
      <w:pPr>
        <w:spacing w:line="360" w:lineRule="auto"/>
        <w:rPr>
          <w:rFonts w:hint="eastAsia" w:ascii="宋体" w:hAnsi="宋体" w:eastAsia="宋体" w:cs="宋体"/>
          <w:color w:val="auto"/>
          <w:szCs w:val="21"/>
          <w:highlight w:val="none"/>
        </w:rPr>
      </w:pPr>
      <w:bookmarkStart w:id="230" w:name="_Hlk89191117"/>
      <w:r>
        <w:rPr>
          <w:rFonts w:hint="eastAsia" w:ascii="宋体" w:hAnsi="宋体" w:eastAsia="宋体" w:cs="宋体"/>
          <w:color w:val="auto"/>
          <w:szCs w:val="21"/>
          <w:highlight w:val="none"/>
        </w:rPr>
        <w:t>供应商名称(电子签章)：</w:t>
      </w:r>
      <w:r>
        <w:rPr>
          <w:rFonts w:hint="eastAsia" w:ascii="宋体" w:hAnsi="宋体" w:eastAsia="宋体" w:cs="宋体"/>
          <w:color w:val="auto"/>
          <w:szCs w:val="21"/>
          <w:highlight w:val="none"/>
          <w:u w:val="single"/>
        </w:rPr>
        <w:t xml:space="preserve">                  </w:t>
      </w:r>
    </w:p>
    <w:bookmarkEnd w:id="230"/>
    <w:p w14:paraId="54C6850C">
      <w:pPr>
        <w:spacing w:line="360" w:lineRule="auto"/>
        <w:rPr>
          <w:rFonts w:hint="eastAsia" w:ascii="宋体" w:hAnsi="宋体" w:eastAsia="宋体" w:cs="宋体"/>
          <w:color w:val="auto"/>
          <w:szCs w:val="21"/>
          <w:highlight w:val="none"/>
        </w:rPr>
      </w:pPr>
    </w:p>
    <w:p w14:paraId="7B9EF7B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77FDEA5">
      <w:pPr>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color w:val="auto"/>
          <w:highlight w:val="none"/>
        </w:rPr>
        <w:t>2．响应函附录格式：</w:t>
      </w:r>
    </w:p>
    <w:p w14:paraId="066889C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响应函附录</w:t>
      </w:r>
    </w:p>
    <w:p w14:paraId="4E42518D">
      <w:pPr>
        <w:rPr>
          <w:rFonts w:hint="eastAsia" w:ascii="宋体" w:hAnsi="宋体" w:eastAsia="宋体" w:cs="宋体"/>
          <w:b/>
          <w:color w:val="auto"/>
          <w:szCs w:val="21"/>
          <w:highlight w:val="none"/>
        </w:rPr>
      </w:pPr>
    </w:p>
    <w:p w14:paraId="51761306">
      <w:pPr>
        <w:ind w:firstLine="514" w:firstLineChars="245"/>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rPr>
        <w:t xml:space="preserve">            </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0E6C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92E4C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1985" w:type="dxa"/>
            <w:vAlign w:val="center"/>
          </w:tcPr>
          <w:p w14:paraId="6429D0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2126" w:type="dxa"/>
            <w:vAlign w:val="center"/>
          </w:tcPr>
          <w:p w14:paraId="76F4770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1984" w:type="dxa"/>
            <w:vAlign w:val="center"/>
          </w:tcPr>
          <w:p w14:paraId="024B51E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1843" w:type="dxa"/>
            <w:vAlign w:val="center"/>
          </w:tcPr>
          <w:p w14:paraId="239F19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F89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25E5D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85" w:type="dxa"/>
            <w:vAlign w:val="center"/>
          </w:tcPr>
          <w:p w14:paraId="1402924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126" w:type="dxa"/>
            <w:tcMar>
              <w:left w:w="170" w:type="dxa"/>
            </w:tcMar>
            <w:vAlign w:val="center"/>
          </w:tcPr>
          <w:p w14:paraId="187A3EC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专用条款</w:t>
            </w:r>
          </w:p>
        </w:tc>
        <w:tc>
          <w:tcPr>
            <w:tcW w:w="1984" w:type="dxa"/>
            <w:vAlign w:val="center"/>
          </w:tcPr>
          <w:p w14:paraId="114BC7D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p>
        </w:tc>
        <w:tc>
          <w:tcPr>
            <w:tcW w:w="1843" w:type="dxa"/>
            <w:vAlign w:val="center"/>
          </w:tcPr>
          <w:p w14:paraId="5754C4D2">
            <w:pPr>
              <w:jc w:val="center"/>
              <w:rPr>
                <w:rFonts w:hint="eastAsia" w:ascii="宋体" w:hAnsi="宋体" w:eastAsia="宋体" w:cs="宋体"/>
                <w:color w:val="auto"/>
                <w:szCs w:val="21"/>
                <w:highlight w:val="none"/>
              </w:rPr>
            </w:pPr>
          </w:p>
        </w:tc>
      </w:tr>
      <w:tr w14:paraId="0941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BE504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85" w:type="dxa"/>
            <w:vAlign w:val="center"/>
          </w:tcPr>
          <w:p w14:paraId="4D6C208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响应有效期</w:t>
            </w:r>
          </w:p>
        </w:tc>
        <w:tc>
          <w:tcPr>
            <w:tcW w:w="2126" w:type="dxa"/>
            <w:tcMar>
              <w:left w:w="170" w:type="dxa"/>
            </w:tcMar>
            <w:vAlign w:val="center"/>
          </w:tcPr>
          <w:p w14:paraId="4B3C9774">
            <w:pPr>
              <w:rPr>
                <w:rFonts w:hint="eastAsia" w:ascii="宋体" w:hAnsi="宋体" w:eastAsia="宋体" w:cs="宋体"/>
                <w:color w:val="auto"/>
                <w:szCs w:val="21"/>
                <w:highlight w:val="none"/>
              </w:rPr>
            </w:pPr>
          </w:p>
        </w:tc>
        <w:tc>
          <w:tcPr>
            <w:tcW w:w="1984" w:type="dxa"/>
            <w:vAlign w:val="center"/>
          </w:tcPr>
          <w:p w14:paraId="6494C36B">
            <w:pPr>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c>
          <w:tcPr>
            <w:tcW w:w="1843" w:type="dxa"/>
            <w:vAlign w:val="center"/>
          </w:tcPr>
          <w:p w14:paraId="06B2334C">
            <w:pPr>
              <w:jc w:val="center"/>
              <w:rPr>
                <w:rFonts w:hint="eastAsia" w:ascii="宋体" w:hAnsi="宋体" w:eastAsia="宋体" w:cs="宋体"/>
                <w:color w:val="auto"/>
                <w:szCs w:val="21"/>
                <w:highlight w:val="none"/>
              </w:rPr>
            </w:pPr>
          </w:p>
        </w:tc>
      </w:tr>
      <w:tr w14:paraId="18EF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563F0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85" w:type="dxa"/>
            <w:vAlign w:val="center"/>
          </w:tcPr>
          <w:p w14:paraId="029ED2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2126" w:type="dxa"/>
            <w:tcMar>
              <w:left w:w="170" w:type="dxa"/>
            </w:tcMar>
            <w:vAlign w:val="center"/>
          </w:tcPr>
          <w:p w14:paraId="361EB612">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5CB782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w:t>
            </w:r>
          </w:p>
        </w:tc>
        <w:tc>
          <w:tcPr>
            <w:tcW w:w="1843" w:type="dxa"/>
            <w:vAlign w:val="center"/>
          </w:tcPr>
          <w:p w14:paraId="5630B5A1">
            <w:pPr>
              <w:jc w:val="center"/>
              <w:rPr>
                <w:rFonts w:hint="eastAsia" w:ascii="宋体" w:hAnsi="宋体" w:eastAsia="宋体" w:cs="宋体"/>
                <w:color w:val="auto"/>
                <w:szCs w:val="21"/>
                <w:highlight w:val="none"/>
              </w:rPr>
            </w:pPr>
          </w:p>
        </w:tc>
      </w:tr>
      <w:tr w14:paraId="45B5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E92B5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85" w:type="dxa"/>
            <w:vAlign w:val="center"/>
          </w:tcPr>
          <w:p w14:paraId="6642350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2126" w:type="dxa"/>
            <w:tcMar>
              <w:left w:w="170" w:type="dxa"/>
            </w:tcMar>
            <w:vAlign w:val="center"/>
          </w:tcPr>
          <w:p w14:paraId="093A635B">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06AD661B">
            <w:pPr>
              <w:jc w:val="center"/>
              <w:rPr>
                <w:rFonts w:hint="eastAsia" w:ascii="宋体" w:hAnsi="宋体" w:eastAsia="宋体" w:cs="宋体"/>
                <w:color w:val="auto"/>
                <w:szCs w:val="21"/>
                <w:highlight w:val="none"/>
              </w:rPr>
            </w:pPr>
          </w:p>
        </w:tc>
        <w:tc>
          <w:tcPr>
            <w:tcW w:w="1843" w:type="dxa"/>
            <w:vAlign w:val="center"/>
          </w:tcPr>
          <w:p w14:paraId="572339F0">
            <w:pPr>
              <w:jc w:val="center"/>
              <w:rPr>
                <w:rFonts w:hint="eastAsia" w:ascii="宋体" w:hAnsi="宋体" w:eastAsia="宋体" w:cs="宋体"/>
                <w:color w:val="auto"/>
                <w:szCs w:val="21"/>
                <w:highlight w:val="none"/>
              </w:rPr>
            </w:pPr>
          </w:p>
        </w:tc>
      </w:tr>
      <w:tr w14:paraId="74FF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17BEB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985" w:type="dxa"/>
            <w:vAlign w:val="center"/>
          </w:tcPr>
          <w:p w14:paraId="04E93C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发包人支付担保</w:t>
            </w:r>
          </w:p>
        </w:tc>
        <w:tc>
          <w:tcPr>
            <w:tcW w:w="2126" w:type="dxa"/>
            <w:tcMar>
              <w:left w:w="170" w:type="dxa"/>
            </w:tcMar>
            <w:vAlign w:val="center"/>
          </w:tcPr>
          <w:p w14:paraId="7495C229">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43713B21">
            <w:pPr>
              <w:jc w:val="center"/>
              <w:rPr>
                <w:rFonts w:hint="eastAsia" w:ascii="宋体" w:hAnsi="宋体" w:eastAsia="宋体" w:cs="宋体"/>
                <w:color w:val="auto"/>
                <w:szCs w:val="21"/>
                <w:highlight w:val="none"/>
              </w:rPr>
            </w:pPr>
          </w:p>
        </w:tc>
        <w:tc>
          <w:tcPr>
            <w:tcW w:w="1843" w:type="dxa"/>
            <w:vAlign w:val="center"/>
          </w:tcPr>
          <w:p w14:paraId="71BAA028">
            <w:pPr>
              <w:jc w:val="center"/>
              <w:rPr>
                <w:rFonts w:hint="eastAsia" w:ascii="宋体" w:hAnsi="宋体" w:eastAsia="宋体" w:cs="宋体"/>
                <w:color w:val="auto"/>
                <w:szCs w:val="21"/>
                <w:highlight w:val="none"/>
              </w:rPr>
            </w:pPr>
          </w:p>
        </w:tc>
      </w:tr>
      <w:tr w14:paraId="12A6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967DB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985" w:type="dxa"/>
            <w:vAlign w:val="center"/>
          </w:tcPr>
          <w:p w14:paraId="0A954C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承包人履约担保金额</w:t>
            </w:r>
          </w:p>
        </w:tc>
        <w:tc>
          <w:tcPr>
            <w:tcW w:w="2126" w:type="dxa"/>
            <w:tcMar>
              <w:left w:w="170" w:type="dxa"/>
            </w:tcMar>
            <w:vAlign w:val="center"/>
          </w:tcPr>
          <w:p w14:paraId="7C905F1B">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136A60FE">
            <w:pPr>
              <w:jc w:val="center"/>
              <w:rPr>
                <w:rFonts w:hint="eastAsia" w:ascii="宋体" w:hAnsi="宋体" w:eastAsia="宋体" w:cs="宋体"/>
                <w:color w:val="auto"/>
                <w:szCs w:val="21"/>
                <w:highlight w:val="none"/>
              </w:rPr>
            </w:pPr>
          </w:p>
        </w:tc>
        <w:tc>
          <w:tcPr>
            <w:tcW w:w="1843" w:type="dxa"/>
            <w:vAlign w:val="center"/>
          </w:tcPr>
          <w:p w14:paraId="3815E6FD">
            <w:pPr>
              <w:jc w:val="center"/>
              <w:rPr>
                <w:rFonts w:hint="eastAsia" w:ascii="宋体" w:hAnsi="宋体" w:eastAsia="宋体" w:cs="宋体"/>
                <w:color w:val="auto"/>
                <w:szCs w:val="21"/>
                <w:highlight w:val="none"/>
              </w:rPr>
            </w:pPr>
          </w:p>
        </w:tc>
      </w:tr>
      <w:tr w14:paraId="78D6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7E8BE3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985" w:type="dxa"/>
            <w:vAlign w:val="center"/>
          </w:tcPr>
          <w:p w14:paraId="750E03B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2126" w:type="dxa"/>
            <w:tcMar>
              <w:left w:w="170" w:type="dxa"/>
            </w:tcMar>
            <w:vAlign w:val="center"/>
          </w:tcPr>
          <w:p w14:paraId="6B8617E3">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6980BAC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p>
        </w:tc>
        <w:tc>
          <w:tcPr>
            <w:tcW w:w="1843" w:type="dxa"/>
            <w:vAlign w:val="center"/>
          </w:tcPr>
          <w:p w14:paraId="361F85F7">
            <w:pPr>
              <w:jc w:val="center"/>
              <w:rPr>
                <w:rFonts w:hint="eastAsia" w:ascii="宋体" w:hAnsi="宋体" w:eastAsia="宋体" w:cs="宋体"/>
                <w:color w:val="auto"/>
                <w:szCs w:val="21"/>
                <w:highlight w:val="none"/>
              </w:rPr>
            </w:pPr>
          </w:p>
        </w:tc>
      </w:tr>
      <w:tr w14:paraId="7F70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95A717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985" w:type="dxa"/>
            <w:vAlign w:val="center"/>
          </w:tcPr>
          <w:p w14:paraId="18AF6DD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2126" w:type="dxa"/>
            <w:tcMar>
              <w:left w:w="170" w:type="dxa"/>
            </w:tcMar>
            <w:vAlign w:val="center"/>
          </w:tcPr>
          <w:p w14:paraId="2F692DE9">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3CE937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合同价款</w:t>
            </w:r>
            <w:r>
              <w:rPr>
                <w:rFonts w:hint="eastAsia" w:ascii="宋体" w:hAnsi="宋体" w:eastAsia="宋体" w:cs="宋体"/>
                <w:color w:val="auto"/>
                <w:szCs w:val="21"/>
                <w:highlight w:val="none"/>
                <w:u w:val="single"/>
              </w:rPr>
              <w:t xml:space="preserve">    %</w:t>
            </w:r>
          </w:p>
        </w:tc>
        <w:tc>
          <w:tcPr>
            <w:tcW w:w="1843" w:type="dxa"/>
            <w:vAlign w:val="center"/>
          </w:tcPr>
          <w:p w14:paraId="757591D3">
            <w:pPr>
              <w:jc w:val="center"/>
              <w:rPr>
                <w:rFonts w:hint="eastAsia" w:ascii="宋体" w:hAnsi="宋体" w:eastAsia="宋体" w:cs="宋体"/>
                <w:color w:val="auto"/>
                <w:szCs w:val="21"/>
                <w:highlight w:val="none"/>
              </w:rPr>
            </w:pPr>
          </w:p>
        </w:tc>
      </w:tr>
      <w:tr w14:paraId="10E1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BDBB0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985" w:type="dxa"/>
            <w:vAlign w:val="center"/>
          </w:tcPr>
          <w:p w14:paraId="1D153B2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2126" w:type="dxa"/>
            <w:tcMar>
              <w:left w:w="170" w:type="dxa"/>
            </w:tcMar>
            <w:vAlign w:val="center"/>
          </w:tcPr>
          <w:p w14:paraId="50D4C615">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509D96E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c>
          <w:tcPr>
            <w:tcW w:w="1843" w:type="dxa"/>
            <w:vAlign w:val="center"/>
          </w:tcPr>
          <w:p w14:paraId="65F542F5">
            <w:pPr>
              <w:jc w:val="center"/>
              <w:rPr>
                <w:rFonts w:hint="eastAsia" w:ascii="宋体" w:hAnsi="宋体" w:eastAsia="宋体" w:cs="宋体"/>
                <w:color w:val="auto"/>
                <w:szCs w:val="21"/>
                <w:highlight w:val="none"/>
              </w:rPr>
            </w:pPr>
          </w:p>
        </w:tc>
      </w:tr>
      <w:tr w14:paraId="6460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1B2AA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985" w:type="dxa"/>
            <w:vAlign w:val="center"/>
          </w:tcPr>
          <w:p w14:paraId="1E334EA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2126" w:type="dxa"/>
            <w:tcMar>
              <w:left w:w="170" w:type="dxa"/>
            </w:tcMar>
            <w:vAlign w:val="center"/>
          </w:tcPr>
          <w:p w14:paraId="37D968C2">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62B5D83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c>
          <w:tcPr>
            <w:tcW w:w="1843" w:type="dxa"/>
            <w:vAlign w:val="center"/>
          </w:tcPr>
          <w:p w14:paraId="1CBDB711">
            <w:pPr>
              <w:jc w:val="center"/>
              <w:rPr>
                <w:rFonts w:hint="eastAsia" w:ascii="宋体" w:hAnsi="宋体" w:eastAsia="宋体" w:cs="宋体"/>
                <w:color w:val="auto"/>
                <w:szCs w:val="21"/>
                <w:highlight w:val="none"/>
              </w:rPr>
            </w:pPr>
          </w:p>
        </w:tc>
      </w:tr>
      <w:tr w14:paraId="4AF1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B531BD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985" w:type="dxa"/>
            <w:vAlign w:val="center"/>
          </w:tcPr>
          <w:p w14:paraId="647D9BA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预付款保函金额</w:t>
            </w:r>
          </w:p>
        </w:tc>
        <w:tc>
          <w:tcPr>
            <w:tcW w:w="2126" w:type="dxa"/>
            <w:tcMar>
              <w:left w:w="170" w:type="dxa"/>
            </w:tcMar>
            <w:vAlign w:val="center"/>
          </w:tcPr>
          <w:p w14:paraId="531BBE43">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6A19025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p>
        </w:tc>
        <w:tc>
          <w:tcPr>
            <w:tcW w:w="1843" w:type="dxa"/>
            <w:vAlign w:val="center"/>
          </w:tcPr>
          <w:p w14:paraId="7D6F97FF">
            <w:pPr>
              <w:jc w:val="center"/>
              <w:rPr>
                <w:rFonts w:hint="eastAsia" w:ascii="宋体" w:hAnsi="宋体" w:eastAsia="宋体" w:cs="宋体"/>
                <w:color w:val="auto"/>
                <w:szCs w:val="21"/>
                <w:highlight w:val="none"/>
              </w:rPr>
            </w:pPr>
          </w:p>
        </w:tc>
      </w:tr>
      <w:tr w14:paraId="52E9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C50CF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985" w:type="dxa"/>
            <w:vAlign w:val="center"/>
          </w:tcPr>
          <w:p w14:paraId="11BFD42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2126" w:type="dxa"/>
            <w:tcMar>
              <w:left w:w="170" w:type="dxa"/>
            </w:tcMar>
            <w:vAlign w:val="center"/>
          </w:tcPr>
          <w:p w14:paraId="2EB12AD8">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专用条款</w:t>
            </w:r>
          </w:p>
        </w:tc>
        <w:tc>
          <w:tcPr>
            <w:tcW w:w="1984" w:type="dxa"/>
            <w:vAlign w:val="center"/>
          </w:tcPr>
          <w:p w14:paraId="060157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结算价的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tc>
        <w:tc>
          <w:tcPr>
            <w:tcW w:w="1843" w:type="dxa"/>
            <w:vAlign w:val="center"/>
          </w:tcPr>
          <w:p w14:paraId="6C63E78A">
            <w:pPr>
              <w:jc w:val="center"/>
              <w:rPr>
                <w:rFonts w:hint="eastAsia" w:ascii="宋体" w:hAnsi="宋体" w:eastAsia="宋体" w:cs="宋体"/>
                <w:color w:val="auto"/>
                <w:szCs w:val="21"/>
                <w:highlight w:val="none"/>
              </w:rPr>
            </w:pPr>
          </w:p>
        </w:tc>
      </w:tr>
      <w:tr w14:paraId="4A93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1FDABC1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985" w:type="dxa"/>
            <w:vAlign w:val="center"/>
          </w:tcPr>
          <w:p w14:paraId="4BB613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26" w:type="dxa"/>
            <w:tcMar>
              <w:left w:w="170" w:type="dxa"/>
            </w:tcMar>
            <w:vAlign w:val="center"/>
          </w:tcPr>
          <w:p w14:paraId="2890F4AF">
            <w:pPr>
              <w:jc w:val="center"/>
              <w:rPr>
                <w:rFonts w:hint="eastAsia" w:ascii="宋体" w:hAnsi="宋体" w:eastAsia="宋体" w:cs="宋体"/>
                <w:color w:val="auto"/>
                <w:szCs w:val="21"/>
                <w:highlight w:val="none"/>
              </w:rPr>
            </w:pPr>
          </w:p>
        </w:tc>
        <w:tc>
          <w:tcPr>
            <w:tcW w:w="1984" w:type="dxa"/>
            <w:vAlign w:val="center"/>
          </w:tcPr>
          <w:p w14:paraId="60844E6B">
            <w:pPr>
              <w:jc w:val="center"/>
              <w:rPr>
                <w:rFonts w:hint="eastAsia" w:ascii="宋体" w:hAnsi="宋体" w:eastAsia="宋体" w:cs="宋体"/>
                <w:color w:val="auto"/>
                <w:szCs w:val="21"/>
                <w:highlight w:val="none"/>
              </w:rPr>
            </w:pPr>
          </w:p>
        </w:tc>
        <w:tc>
          <w:tcPr>
            <w:tcW w:w="1843" w:type="dxa"/>
            <w:vAlign w:val="center"/>
          </w:tcPr>
          <w:p w14:paraId="016A64E6">
            <w:pPr>
              <w:jc w:val="center"/>
              <w:rPr>
                <w:rFonts w:hint="eastAsia" w:ascii="宋体" w:hAnsi="宋体" w:eastAsia="宋体" w:cs="宋体"/>
                <w:color w:val="auto"/>
                <w:szCs w:val="21"/>
                <w:highlight w:val="none"/>
              </w:rPr>
            </w:pPr>
          </w:p>
        </w:tc>
      </w:tr>
      <w:tr w14:paraId="15F9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4E0910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备注：供应商在响应采购文件中规定的实质性要求和条件的基础上，可做出其他有利于采购单位的承诺。此类承诺可在本表中予以补充填写。</w:t>
            </w:r>
          </w:p>
        </w:tc>
      </w:tr>
    </w:tbl>
    <w:p w14:paraId="713E4105">
      <w:pPr>
        <w:rPr>
          <w:rFonts w:hint="eastAsia" w:ascii="宋体" w:hAnsi="宋体" w:eastAsia="宋体" w:cs="宋体"/>
          <w:color w:val="auto"/>
          <w:spacing w:val="20"/>
          <w:szCs w:val="21"/>
          <w:highlight w:val="none"/>
          <w:u w:val="single"/>
        </w:rPr>
      </w:pPr>
    </w:p>
    <w:p w14:paraId="1BFA2E92">
      <w:pPr>
        <w:spacing w:line="360" w:lineRule="auto"/>
        <w:rPr>
          <w:rFonts w:hint="eastAsia" w:ascii="宋体" w:hAnsi="宋体" w:eastAsia="宋体" w:cs="宋体"/>
          <w:color w:val="auto"/>
          <w:spacing w:val="20"/>
          <w:szCs w:val="21"/>
          <w:highlight w:val="none"/>
        </w:rPr>
      </w:pPr>
    </w:p>
    <w:p w14:paraId="101D07AF">
      <w:pPr>
        <w:jc w:val="left"/>
        <w:rPr>
          <w:rFonts w:hint="eastAsia" w:ascii="宋体" w:hAnsi="宋体" w:eastAsia="宋体" w:cs="宋体"/>
          <w:color w:val="auto"/>
          <w:szCs w:val="21"/>
          <w:highlight w:val="none"/>
        </w:rPr>
      </w:pPr>
    </w:p>
    <w:p w14:paraId="0B12B4A5">
      <w:pPr>
        <w:spacing w:line="360" w:lineRule="auto"/>
        <w:rPr>
          <w:rFonts w:hint="eastAsia" w:ascii="宋体" w:hAnsi="宋体" w:eastAsia="宋体" w:cs="宋体"/>
          <w:color w:val="auto"/>
          <w:spacing w:val="20"/>
          <w:szCs w:val="21"/>
          <w:highlight w:val="none"/>
        </w:rPr>
      </w:pPr>
    </w:p>
    <w:p w14:paraId="21B0D842">
      <w:pPr>
        <w:spacing w:line="360" w:lineRule="auto"/>
        <w:rPr>
          <w:rFonts w:hint="eastAsia" w:ascii="宋体" w:hAnsi="宋体" w:eastAsia="宋体" w:cs="宋体"/>
          <w:color w:val="auto"/>
          <w:szCs w:val="21"/>
          <w:highlight w:val="none"/>
        </w:rPr>
      </w:pPr>
      <w:bookmarkStart w:id="231" w:name="_Hlk89191140"/>
      <w:r>
        <w:rPr>
          <w:rFonts w:hint="eastAsia" w:ascii="宋体" w:hAnsi="宋体" w:eastAsia="宋体" w:cs="宋体"/>
          <w:color w:val="auto"/>
          <w:szCs w:val="21"/>
          <w:highlight w:val="none"/>
        </w:rPr>
        <w:t>供应商名称（电子签章）</w:t>
      </w:r>
      <w:bookmarkEnd w:id="231"/>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DC8A5E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0CE38139">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highlight w:val="none"/>
        </w:rPr>
        <w:t>3．响应报价表格式：</w:t>
      </w:r>
    </w:p>
    <w:p w14:paraId="520797D9">
      <w:pPr>
        <w:rPr>
          <w:rFonts w:hint="eastAsia" w:ascii="宋体" w:hAnsi="宋体" w:eastAsia="宋体" w:cs="宋体"/>
          <w:color w:val="auto"/>
          <w:szCs w:val="21"/>
          <w:highlight w:val="none"/>
        </w:rPr>
      </w:pPr>
    </w:p>
    <w:p w14:paraId="50D7226C">
      <w:pPr>
        <w:ind w:left="-178" w:leftChars="-85" w:right="-512" w:rightChars="-244" w:firstLine="840" w:firstLineChars="400"/>
        <w:jc w:val="left"/>
        <w:rPr>
          <w:rFonts w:hint="eastAsia" w:ascii="宋体" w:hAnsi="宋体" w:eastAsia="宋体" w:cs="宋体"/>
          <w:color w:val="auto"/>
          <w:highlight w:val="none"/>
        </w:rPr>
      </w:pPr>
      <w:r>
        <w:rPr>
          <w:rFonts w:hint="eastAsia" w:ascii="宋体" w:hAnsi="宋体" w:eastAsia="宋体" w:cs="宋体"/>
          <w:color w:val="auto"/>
          <w:highlight w:val="none"/>
        </w:rPr>
        <w:t>工程名称：                                                  币种：人民币</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14:paraId="0AAB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00" w:type="dxa"/>
            <w:gridSpan w:val="2"/>
            <w:vAlign w:val="center"/>
          </w:tcPr>
          <w:p w14:paraId="0FE75FFA">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响应总价</w:t>
            </w:r>
          </w:p>
        </w:tc>
        <w:tc>
          <w:tcPr>
            <w:tcW w:w="1987" w:type="dxa"/>
            <w:vAlign w:val="center"/>
          </w:tcPr>
          <w:p w14:paraId="55102460">
            <w:pPr>
              <w:widowControl/>
              <w:jc w:val="right"/>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702" w:type="dxa"/>
            <w:vAlign w:val="center"/>
          </w:tcPr>
          <w:p w14:paraId="67402EAF">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F3C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vAlign w:val="center"/>
          </w:tcPr>
          <w:p w14:paraId="612487DD">
            <w:pPr>
              <w:jc w:val="center"/>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3116" w:type="dxa"/>
            <w:vAlign w:val="center"/>
          </w:tcPr>
          <w:p w14:paraId="705E6592">
            <w:pPr>
              <w:jc w:val="center"/>
              <w:rPr>
                <w:rFonts w:hint="eastAsia" w:ascii="宋体" w:hAnsi="宋体" w:eastAsia="宋体" w:cs="宋体"/>
                <w:color w:val="auto"/>
                <w:highlight w:val="none"/>
              </w:rPr>
            </w:pPr>
            <w:r>
              <w:rPr>
                <w:rFonts w:hint="eastAsia" w:ascii="宋体" w:hAnsi="宋体" w:eastAsia="宋体" w:cs="宋体"/>
                <w:color w:val="auto"/>
                <w:highlight w:val="none"/>
              </w:rPr>
              <w:t>安全生产费</w:t>
            </w:r>
          </w:p>
        </w:tc>
        <w:tc>
          <w:tcPr>
            <w:tcW w:w="1987" w:type="dxa"/>
            <w:vAlign w:val="center"/>
          </w:tcPr>
          <w:p w14:paraId="53DE0436">
            <w:pPr>
              <w:jc w:val="right"/>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702" w:type="dxa"/>
            <w:vAlign w:val="center"/>
          </w:tcPr>
          <w:p w14:paraId="31E5BE04">
            <w:pPr>
              <w:jc w:val="center"/>
              <w:rPr>
                <w:rFonts w:hint="eastAsia" w:ascii="宋体" w:hAnsi="宋体" w:eastAsia="宋体" w:cs="宋体"/>
                <w:color w:val="auto"/>
                <w:highlight w:val="none"/>
              </w:rPr>
            </w:pPr>
          </w:p>
        </w:tc>
      </w:tr>
      <w:tr w14:paraId="66D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36FCDD51">
            <w:pPr>
              <w:widowControl/>
              <w:jc w:val="center"/>
              <w:rPr>
                <w:rFonts w:hint="eastAsia" w:ascii="宋体" w:hAnsi="宋体" w:eastAsia="宋体" w:cs="宋体"/>
                <w:color w:val="auto"/>
                <w:highlight w:val="none"/>
              </w:rPr>
            </w:pPr>
          </w:p>
        </w:tc>
        <w:tc>
          <w:tcPr>
            <w:tcW w:w="3116" w:type="dxa"/>
            <w:vAlign w:val="center"/>
          </w:tcPr>
          <w:p w14:paraId="182A1F53">
            <w:pPr>
              <w:jc w:val="center"/>
              <w:rPr>
                <w:rFonts w:hint="eastAsia" w:ascii="宋体" w:hAnsi="宋体" w:eastAsia="宋体" w:cs="宋体"/>
                <w:color w:val="auto"/>
                <w:highlight w:val="none"/>
              </w:rPr>
            </w:pPr>
            <w:r>
              <w:rPr>
                <w:rFonts w:hint="eastAsia" w:ascii="宋体" w:hAnsi="宋体" w:eastAsia="宋体" w:cs="宋体"/>
                <w:color w:val="auto"/>
                <w:highlight w:val="none"/>
              </w:rPr>
              <w:t>发包人提供材料（设备）暂估价（如有）</w:t>
            </w:r>
          </w:p>
        </w:tc>
        <w:tc>
          <w:tcPr>
            <w:tcW w:w="1987" w:type="dxa"/>
            <w:vAlign w:val="center"/>
          </w:tcPr>
          <w:p w14:paraId="4BFA4D0D">
            <w:pPr>
              <w:widowControl/>
              <w:jc w:val="right"/>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702" w:type="dxa"/>
          </w:tcPr>
          <w:p w14:paraId="4FC65DAE">
            <w:pPr>
              <w:widowControl/>
              <w:ind w:right="480"/>
              <w:rPr>
                <w:rFonts w:hint="eastAsia" w:ascii="宋体" w:hAnsi="宋体" w:eastAsia="宋体" w:cs="宋体"/>
                <w:color w:val="auto"/>
                <w:highlight w:val="none"/>
              </w:rPr>
            </w:pPr>
          </w:p>
        </w:tc>
      </w:tr>
      <w:tr w14:paraId="7511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624FB7A2">
            <w:pPr>
              <w:widowControl/>
              <w:jc w:val="center"/>
              <w:rPr>
                <w:rFonts w:hint="eastAsia" w:ascii="宋体" w:hAnsi="宋体" w:eastAsia="宋体" w:cs="宋体"/>
                <w:color w:val="auto"/>
                <w:highlight w:val="none"/>
              </w:rPr>
            </w:pPr>
          </w:p>
        </w:tc>
        <w:tc>
          <w:tcPr>
            <w:tcW w:w="3116" w:type="dxa"/>
            <w:vAlign w:val="center"/>
          </w:tcPr>
          <w:p w14:paraId="52797ADE">
            <w:pPr>
              <w:widowControl/>
              <w:rPr>
                <w:rFonts w:hint="eastAsia" w:ascii="宋体" w:hAnsi="宋体" w:eastAsia="宋体" w:cs="宋体"/>
                <w:color w:val="auto"/>
                <w:highlight w:val="none"/>
              </w:rPr>
            </w:pPr>
            <w:r>
              <w:rPr>
                <w:rFonts w:hint="eastAsia" w:ascii="宋体" w:hAnsi="宋体" w:eastAsia="宋体" w:cs="宋体"/>
                <w:color w:val="auto"/>
                <w:highlight w:val="none"/>
              </w:rPr>
              <w:t>专业工程暂估价（如有）</w:t>
            </w:r>
          </w:p>
        </w:tc>
        <w:tc>
          <w:tcPr>
            <w:tcW w:w="1987" w:type="dxa"/>
            <w:vAlign w:val="center"/>
          </w:tcPr>
          <w:p w14:paraId="7D6A17F6">
            <w:pPr>
              <w:widowControl/>
              <w:jc w:val="right"/>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702" w:type="dxa"/>
          </w:tcPr>
          <w:p w14:paraId="3E8C1608">
            <w:pPr>
              <w:widowControl/>
              <w:ind w:right="480"/>
              <w:rPr>
                <w:rFonts w:hint="eastAsia" w:ascii="宋体" w:hAnsi="宋体" w:eastAsia="宋体" w:cs="宋体"/>
                <w:color w:val="auto"/>
                <w:highlight w:val="none"/>
              </w:rPr>
            </w:pPr>
          </w:p>
        </w:tc>
      </w:tr>
      <w:tr w14:paraId="0F2B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vAlign w:val="center"/>
          </w:tcPr>
          <w:p w14:paraId="2BBC9F57">
            <w:pPr>
              <w:widowControl/>
              <w:jc w:val="center"/>
              <w:rPr>
                <w:rFonts w:hint="eastAsia" w:ascii="宋体" w:hAnsi="宋体" w:eastAsia="宋体" w:cs="宋体"/>
                <w:color w:val="auto"/>
                <w:highlight w:val="none"/>
              </w:rPr>
            </w:pPr>
          </w:p>
        </w:tc>
        <w:tc>
          <w:tcPr>
            <w:tcW w:w="3116" w:type="dxa"/>
            <w:vAlign w:val="center"/>
          </w:tcPr>
          <w:p w14:paraId="6398EC5F">
            <w:pPr>
              <w:widowControl/>
              <w:ind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暂列金额（如有）</w:t>
            </w:r>
          </w:p>
        </w:tc>
        <w:tc>
          <w:tcPr>
            <w:tcW w:w="1987" w:type="dxa"/>
            <w:vAlign w:val="center"/>
          </w:tcPr>
          <w:p w14:paraId="5F4ABF79">
            <w:pPr>
              <w:widowControl/>
              <w:jc w:val="right"/>
              <w:rPr>
                <w:rFonts w:hint="eastAsia" w:ascii="宋体" w:hAnsi="宋体" w:eastAsia="宋体" w:cs="宋体"/>
                <w:color w:val="auto"/>
                <w:highlight w:val="none"/>
              </w:rPr>
            </w:pPr>
            <w:r>
              <w:rPr>
                <w:rFonts w:hint="eastAsia" w:ascii="宋体" w:hAnsi="宋体" w:eastAsia="宋体" w:cs="宋体"/>
                <w:color w:val="auto"/>
                <w:highlight w:val="none"/>
              </w:rPr>
              <w:t>万元</w:t>
            </w:r>
          </w:p>
        </w:tc>
        <w:tc>
          <w:tcPr>
            <w:tcW w:w="1702" w:type="dxa"/>
          </w:tcPr>
          <w:p w14:paraId="3B7EAB9C">
            <w:pPr>
              <w:widowControl/>
              <w:ind w:right="480"/>
              <w:rPr>
                <w:rFonts w:hint="eastAsia" w:ascii="宋体" w:hAnsi="宋体" w:eastAsia="宋体" w:cs="宋体"/>
                <w:color w:val="auto"/>
                <w:highlight w:val="none"/>
              </w:rPr>
            </w:pPr>
          </w:p>
        </w:tc>
      </w:tr>
      <w:tr w14:paraId="77FB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vAlign w:val="center"/>
          </w:tcPr>
          <w:p w14:paraId="00120C7B">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主要材料</w:t>
            </w:r>
          </w:p>
        </w:tc>
        <w:tc>
          <w:tcPr>
            <w:tcW w:w="3116" w:type="dxa"/>
            <w:vAlign w:val="center"/>
          </w:tcPr>
          <w:p w14:paraId="77CBD5C0">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钢筋</w:t>
            </w:r>
          </w:p>
        </w:tc>
        <w:tc>
          <w:tcPr>
            <w:tcW w:w="1987" w:type="dxa"/>
            <w:vAlign w:val="center"/>
          </w:tcPr>
          <w:p w14:paraId="1FD97896">
            <w:pPr>
              <w:widowControl/>
              <w:jc w:val="right"/>
              <w:rPr>
                <w:rFonts w:hint="eastAsia" w:ascii="宋体" w:hAnsi="宋体" w:eastAsia="宋体" w:cs="宋体"/>
                <w:color w:val="auto"/>
                <w:highlight w:val="none"/>
              </w:rPr>
            </w:pPr>
            <w:r>
              <w:rPr>
                <w:rFonts w:hint="eastAsia" w:ascii="宋体" w:hAnsi="宋体" w:eastAsia="宋体" w:cs="宋体"/>
                <w:color w:val="auto"/>
                <w:highlight w:val="none"/>
              </w:rPr>
              <w:t>吨</w:t>
            </w:r>
          </w:p>
        </w:tc>
        <w:tc>
          <w:tcPr>
            <w:tcW w:w="1702" w:type="dxa"/>
          </w:tcPr>
          <w:p w14:paraId="7304404D">
            <w:pPr>
              <w:widowControl/>
              <w:jc w:val="right"/>
              <w:rPr>
                <w:rFonts w:hint="eastAsia" w:ascii="宋体" w:hAnsi="宋体" w:eastAsia="宋体" w:cs="宋体"/>
                <w:color w:val="auto"/>
                <w:highlight w:val="none"/>
              </w:rPr>
            </w:pPr>
          </w:p>
        </w:tc>
      </w:tr>
      <w:tr w14:paraId="153D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vAlign w:val="center"/>
          </w:tcPr>
          <w:p w14:paraId="49983517">
            <w:pPr>
              <w:widowControl/>
              <w:jc w:val="center"/>
              <w:rPr>
                <w:rFonts w:hint="eastAsia" w:ascii="宋体" w:hAnsi="宋体" w:eastAsia="宋体" w:cs="宋体"/>
                <w:color w:val="auto"/>
                <w:highlight w:val="none"/>
              </w:rPr>
            </w:pPr>
          </w:p>
        </w:tc>
        <w:tc>
          <w:tcPr>
            <w:tcW w:w="3116" w:type="dxa"/>
            <w:vAlign w:val="center"/>
          </w:tcPr>
          <w:p w14:paraId="03D62049">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水泥（不含商品混凝土用量）</w:t>
            </w:r>
          </w:p>
        </w:tc>
        <w:tc>
          <w:tcPr>
            <w:tcW w:w="1987" w:type="dxa"/>
            <w:vAlign w:val="center"/>
          </w:tcPr>
          <w:p w14:paraId="03DEC44C">
            <w:pPr>
              <w:widowControl/>
              <w:tabs>
                <w:tab w:val="left" w:pos="2398"/>
              </w:tabs>
              <w:ind w:right="18"/>
              <w:jc w:val="right"/>
              <w:rPr>
                <w:rFonts w:hint="eastAsia" w:ascii="宋体" w:hAnsi="宋体" w:eastAsia="宋体" w:cs="宋体"/>
                <w:color w:val="auto"/>
                <w:highlight w:val="none"/>
              </w:rPr>
            </w:pPr>
            <w:r>
              <w:rPr>
                <w:rFonts w:hint="eastAsia" w:ascii="宋体" w:hAnsi="宋体" w:eastAsia="宋体" w:cs="宋体"/>
                <w:color w:val="auto"/>
                <w:highlight w:val="none"/>
              </w:rPr>
              <w:t>吨</w:t>
            </w:r>
          </w:p>
        </w:tc>
        <w:tc>
          <w:tcPr>
            <w:tcW w:w="1702" w:type="dxa"/>
          </w:tcPr>
          <w:p w14:paraId="629DE372">
            <w:pPr>
              <w:widowControl/>
              <w:jc w:val="right"/>
              <w:rPr>
                <w:rFonts w:hint="eastAsia" w:ascii="宋体" w:hAnsi="宋体" w:eastAsia="宋体" w:cs="宋体"/>
                <w:color w:val="auto"/>
                <w:highlight w:val="none"/>
              </w:rPr>
            </w:pPr>
          </w:p>
        </w:tc>
      </w:tr>
      <w:tr w14:paraId="6B67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vAlign w:val="center"/>
          </w:tcPr>
          <w:p w14:paraId="670394BA">
            <w:pPr>
              <w:widowControl/>
              <w:jc w:val="center"/>
              <w:rPr>
                <w:rFonts w:hint="eastAsia" w:ascii="宋体" w:hAnsi="宋体" w:eastAsia="宋体" w:cs="宋体"/>
                <w:color w:val="auto"/>
                <w:highlight w:val="none"/>
              </w:rPr>
            </w:pPr>
          </w:p>
        </w:tc>
        <w:tc>
          <w:tcPr>
            <w:tcW w:w="3116" w:type="dxa"/>
            <w:vAlign w:val="center"/>
          </w:tcPr>
          <w:p w14:paraId="3F9A1A2C">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商品混凝土</w:t>
            </w:r>
          </w:p>
        </w:tc>
        <w:tc>
          <w:tcPr>
            <w:tcW w:w="1987" w:type="dxa"/>
            <w:vAlign w:val="center"/>
          </w:tcPr>
          <w:p w14:paraId="36E6D2BE">
            <w:pPr>
              <w:widowControl/>
              <w:jc w:val="right"/>
              <w:rPr>
                <w:rFonts w:hint="eastAsia" w:ascii="宋体" w:hAnsi="宋体" w:eastAsia="宋体" w:cs="宋体"/>
                <w:color w:val="auto"/>
                <w:highlight w:val="none"/>
              </w:rPr>
            </w:pPr>
            <w:r>
              <w:rPr>
                <w:rFonts w:hint="eastAsia" w:ascii="宋体" w:hAnsi="宋体" w:eastAsia="宋体" w:cs="宋体"/>
                <w:color w:val="auto"/>
                <w:highlight w:val="none"/>
              </w:rPr>
              <w:t>m</w:t>
            </w:r>
            <w:r>
              <w:rPr>
                <w:rFonts w:hint="eastAsia" w:ascii="宋体" w:hAnsi="宋体" w:eastAsia="宋体" w:cs="宋体"/>
                <w:color w:val="auto"/>
                <w:highlight w:val="none"/>
                <w:vertAlign w:val="superscript"/>
              </w:rPr>
              <w:t>3</w:t>
            </w:r>
          </w:p>
        </w:tc>
        <w:tc>
          <w:tcPr>
            <w:tcW w:w="1702" w:type="dxa"/>
          </w:tcPr>
          <w:p w14:paraId="7471D03F">
            <w:pPr>
              <w:widowControl/>
              <w:jc w:val="right"/>
              <w:rPr>
                <w:rFonts w:hint="eastAsia" w:ascii="宋体" w:hAnsi="宋体" w:eastAsia="宋体" w:cs="宋体"/>
                <w:color w:val="auto"/>
                <w:highlight w:val="none"/>
              </w:rPr>
            </w:pPr>
          </w:p>
        </w:tc>
      </w:tr>
    </w:tbl>
    <w:p w14:paraId="4EB08C5A">
      <w:pPr>
        <w:ind w:left="-178" w:leftChars="-85" w:firstLine="177" w:firstLineChars="74"/>
        <w:rPr>
          <w:rFonts w:hint="eastAsia" w:ascii="宋体" w:hAnsi="宋体" w:eastAsia="宋体" w:cs="宋体"/>
          <w:color w:val="auto"/>
          <w:sz w:val="24"/>
          <w:highlight w:val="none"/>
        </w:rPr>
      </w:pPr>
    </w:p>
    <w:p w14:paraId="48917DD9">
      <w:pPr>
        <w:pStyle w:val="17"/>
        <w:rPr>
          <w:rFonts w:hint="eastAsia" w:ascii="宋体" w:hAnsi="宋体" w:eastAsia="宋体" w:cs="宋体"/>
          <w:color w:val="auto"/>
          <w:highlight w:val="none"/>
        </w:rPr>
      </w:pPr>
      <w:bookmarkStart w:id="232" w:name="_Hlk89191148"/>
      <w:r>
        <w:rPr>
          <w:rFonts w:hint="eastAsia" w:ascii="宋体" w:hAnsi="宋体" w:eastAsia="宋体" w:cs="宋体"/>
          <w:color w:val="auto"/>
          <w:szCs w:val="21"/>
          <w:highlight w:val="none"/>
        </w:rPr>
        <w:t>注：本表如</w:t>
      </w:r>
      <w:r>
        <w:rPr>
          <w:rFonts w:hint="eastAsia" w:ascii="宋体" w:hAnsi="宋体" w:eastAsia="宋体" w:cs="宋体"/>
          <w:color w:val="auto"/>
          <w:highlight w:val="none"/>
        </w:rPr>
        <w:t>与政府采购云平台不一致的，以政府采购云平台为准。</w:t>
      </w:r>
    </w:p>
    <w:bookmarkEnd w:id="232"/>
    <w:p w14:paraId="5C93E2E5">
      <w:pPr>
        <w:jc w:val="left"/>
        <w:rPr>
          <w:rFonts w:hint="eastAsia" w:ascii="宋体" w:hAnsi="宋体" w:eastAsia="宋体" w:cs="宋体"/>
          <w:color w:val="auto"/>
          <w:szCs w:val="21"/>
          <w:highlight w:val="none"/>
        </w:rPr>
      </w:pPr>
    </w:p>
    <w:p w14:paraId="16AEADA2">
      <w:pPr>
        <w:jc w:val="left"/>
        <w:rPr>
          <w:rFonts w:hint="eastAsia" w:ascii="宋体" w:hAnsi="宋体" w:eastAsia="宋体" w:cs="宋体"/>
          <w:color w:val="auto"/>
          <w:szCs w:val="21"/>
          <w:highlight w:val="none"/>
        </w:rPr>
      </w:pPr>
    </w:p>
    <w:p w14:paraId="55196846">
      <w:pPr>
        <w:spacing w:line="360" w:lineRule="auto"/>
        <w:rPr>
          <w:rFonts w:hint="eastAsia" w:ascii="宋体" w:hAnsi="宋体" w:eastAsia="宋体" w:cs="宋体"/>
          <w:color w:val="auto"/>
          <w:szCs w:val="21"/>
          <w:highlight w:val="none"/>
        </w:rPr>
      </w:pPr>
      <w:bookmarkStart w:id="233" w:name="_Hlk89191156"/>
      <w:r>
        <w:rPr>
          <w:rFonts w:hint="eastAsia" w:ascii="宋体" w:hAnsi="宋体" w:eastAsia="宋体" w:cs="宋体"/>
          <w:color w:val="auto"/>
          <w:szCs w:val="21"/>
          <w:highlight w:val="none"/>
        </w:rPr>
        <w:t>供应商名称（电子签章）</w:t>
      </w:r>
      <w:bookmarkEnd w:id="233"/>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9809F0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14:paraId="1AE6FD49">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4．已标价工程量清单：</w:t>
      </w:r>
    </w:p>
    <w:p w14:paraId="49E9F89C">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（1）已标价工程量清单应按</w:t>
      </w:r>
      <w:bookmarkStart w:id="234" w:name="_Hlk89191177"/>
      <w:r>
        <w:rPr>
          <w:rFonts w:hint="eastAsia" w:ascii="宋体" w:hAnsi="宋体" w:eastAsia="宋体" w:cs="宋体"/>
          <w:color w:val="auto"/>
          <w:szCs w:val="21"/>
          <w:highlight w:val="none"/>
        </w:rPr>
        <w:t>第二章</w:t>
      </w:r>
      <w:bookmarkEnd w:id="234"/>
      <w:r>
        <w:rPr>
          <w:rFonts w:hint="eastAsia" w:ascii="宋体" w:hAnsi="宋体" w:eastAsia="宋体" w:cs="宋体"/>
          <w:color w:val="auto"/>
          <w:szCs w:val="21"/>
          <w:highlight w:val="none"/>
        </w:rPr>
        <w:t>“工程量清单”中的相关表格及报价说明填写。构成合同文件的已标价工程量清单包括第二章“工程量清单”有关工程量清单、报价以及其他说明的内容。</w:t>
      </w:r>
    </w:p>
    <w:p w14:paraId="4650F006">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一般计税法建设工程已标价工程量清单表格按</w:t>
      </w:r>
      <w:r>
        <w:rPr>
          <w:rFonts w:hint="eastAsia" w:ascii="宋体" w:hAnsi="宋体" w:eastAsia="宋体" w:cs="宋体"/>
          <w:color w:val="auto"/>
          <w:kern w:val="0"/>
          <w:highlight w:val="none"/>
        </w:rPr>
        <w:t>《关于建筑业实施营业税改征增值税后广西壮族自治区建设工程计价依据调整的通知》（桂建标〔2016〕17号）</w:t>
      </w:r>
      <w:r>
        <w:rPr>
          <w:rFonts w:hint="eastAsia" w:ascii="宋体" w:hAnsi="宋体" w:eastAsia="宋体" w:cs="宋体"/>
          <w:color w:val="auto"/>
          <w:highlight w:val="none"/>
        </w:rPr>
        <w:t>附件“增值税一般计税方法工程计价表”要求提供，简易计税法表格按《&lt;建设工程工程量清单计价规范&gt;（GB5050-2013）广西壮族自治区实施细则》要求的表格提供，但规费和税费按照</w:t>
      </w:r>
      <w:r>
        <w:rPr>
          <w:rFonts w:hint="eastAsia" w:ascii="宋体" w:hAnsi="宋体" w:eastAsia="宋体" w:cs="宋体"/>
          <w:color w:val="auto"/>
          <w:kern w:val="0"/>
          <w:highlight w:val="none"/>
        </w:rPr>
        <w:t>《关于建筑业实施营业税改征增值税后广西壮族自治区建设工程计价依据调整的通知》（桂建标〔2016〕17号）、《自治区住房城乡建设厅关于调整建设工程计价增值税税率的通知》（桂建标〔2018〕14号）、《自治区住房城乡建设厅关于调整建设工程计价增值税税率的通知》（桂建标〔2019〕12号）</w:t>
      </w:r>
      <w:r>
        <w:rPr>
          <w:rFonts w:hint="eastAsia" w:ascii="宋体" w:hAnsi="宋体" w:eastAsia="宋体" w:cs="宋体"/>
          <w:color w:val="auto"/>
          <w:highlight w:val="none"/>
        </w:rPr>
        <w:t>调整</w:t>
      </w:r>
      <w:r>
        <w:rPr>
          <w:rFonts w:hint="eastAsia" w:ascii="宋体" w:hAnsi="宋体" w:eastAsia="宋体" w:cs="宋体"/>
          <w:color w:val="auto"/>
          <w:szCs w:val="21"/>
          <w:highlight w:val="none"/>
        </w:rPr>
        <w:t>。</w:t>
      </w:r>
    </w:p>
    <w:p w14:paraId="24849B4E">
      <w:pPr>
        <w:spacing w:line="360" w:lineRule="exact"/>
        <w:ind w:firstLine="420" w:firstLineChars="200"/>
        <w:rPr>
          <w:rFonts w:hint="eastAsia" w:ascii="宋体" w:hAnsi="宋体" w:eastAsia="宋体" w:cs="宋体"/>
          <w:color w:val="auto"/>
          <w:szCs w:val="21"/>
          <w:highlight w:val="none"/>
        </w:rPr>
      </w:pPr>
    </w:p>
    <w:p w14:paraId="4BC312D4">
      <w:pPr>
        <w:snapToGrid w:val="0"/>
        <w:spacing w:before="50" w:after="120" w:afterLines="5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5．其他文书格式</w:t>
      </w:r>
      <w:r>
        <w:rPr>
          <w:rFonts w:hint="eastAsia" w:ascii="宋体" w:hAnsi="宋体" w:eastAsia="宋体" w:cs="宋体"/>
          <w:color w:val="auto"/>
          <w:kern w:val="0"/>
          <w:szCs w:val="21"/>
          <w:highlight w:val="none"/>
        </w:rPr>
        <w:t>【备注：非专门面向中小企业采购的项目、预留份额项目中的非预留部分采购包时提供】。</w:t>
      </w:r>
    </w:p>
    <w:p w14:paraId="1EBABA6E">
      <w:pPr>
        <w:jc w:val="center"/>
        <w:rPr>
          <w:rFonts w:hint="eastAsia" w:ascii="宋体" w:hAnsi="宋体" w:eastAsia="宋体" w:cs="宋体"/>
          <w:b/>
          <w:color w:val="auto"/>
          <w:szCs w:val="21"/>
          <w:highlight w:val="none"/>
        </w:rPr>
      </w:pPr>
    </w:p>
    <w:p w14:paraId="7A97E7E6">
      <w:pPr>
        <w:rPr>
          <w:rFonts w:hint="eastAsia" w:ascii="宋体" w:hAnsi="宋体" w:eastAsia="宋体" w:cs="宋体"/>
          <w:color w:val="auto"/>
          <w:szCs w:val="21"/>
          <w:highlight w:val="none"/>
        </w:rPr>
      </w:pPr>
    </w:p>
    <w:p w14:paraId="230B583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bCs/>
          <w:color w:val="auto"/>
          <w:szCs w:val="21"/>
          <w:highlight w:val="none"/>
        </w:rPr>
        <w:t>中小企业声明函</w:t>
      </w:r>
    </w:p>
    <w:p w14:paraId="2B1C02BA">
      <w:pPr>
        <w:rPr>
          <w:rFonts w:hint="eastAsia" w:ascii="宋体" w:hAnsi="宋体" w:eastAsia="宋体" w:cs="宋体"/>
          <w:color w:val="auto"/>
          <w:szCs w:val="21"/>
          <w:highlight w:val="none"/>
        </w:rPr>
      </w:pPr>
    </w:p>
    <w:p w14:paraId="5751C793">
      <w:pPr>
        <w:spacing w:line="360" w:lineRule="auto"/>
        <w:jc w:val="both"/>
        <w:rPr>
          <w:rFonts w:hint="eastAsia" w:ascii="宋体" w:hAnsi="宋体" w:eastAsia="宋体" w:cs="宋体"/>
          <w:b/>
          <w:color w:val="auto"/>
          <w:szCs w:val="21"/>
          <w:highlight w:val="none"/>
        </w:rPr>
      </w:pPr>
      <w:bookmarkStart w:id="235" w:name="_Hlk60822128"/>
    </w:p>
    <w:p w14:paraId="523C7AEC">
      <w:pPr>
        <w:spacing w:line="360" w:lineRule="auto"/>
        <w:ind w:firstLine="420"/>
        <w:jc w:val="center"/>
        <w:rPr>
          <w:rFonts w:hint="eastAsia" w:ascii="宋体" w:hAnsi="宋体" w:eastAsia="宋体" w:cs="宋体"/>
          <w:b/>
          <w:color w:val="auto"/>
          <w:szCs w:val="21"/>
          <w:highlight w:val="none"/>
        </w:rPr>
      </w:pPr>
      <w:bookmarkStart w:id="236" w:name="_Hlk133424993"/>
      <w:r>
        <w:rPr>
          <w:rFonts w:hint="eastAsia" w:ascii="宋体" w:hAnsi="宋体" w:eastAsia="宋体" w:cs="宋体"/>
          <w:b/>
          <w:color w:val="auto"/>
          <w:szCs w:val="21"/>
          <w:highlight w:val="none"/>
        </w:rPr>
        <w:t>中小企业声明函</w:t>
      </w:r>
      <w:bookmarkEnd w:id="236"/>
      <w:r>
        <w:rPr>
          <w:rFonts w:hint="eastAsia" w:ascii="宋体" w:hAnsi="宋体" w:eastAsia="宋体" w:cs="宋体"/>
          <w:b/>
          <w:color w:val="auto"/>
          <w:szCs w:val="21"/>
          <w:highlight w:val="none"/>
        </w:rPr>
        <w:t>（工程）</w:t>
      </w:r>
    </w:p>
    <w:p w14:paraId="478E8434">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本公司（联合体）郑重声明，根据《政府采购促进中小企业发展管理办法》（财库﹝2020﹞46 号）的规定，本公司（联合体）参加</w:t>
      </w:r>
      <w:r>
        <w:rPr>
          <w:rFonts w:hint="eastAsia" w:ascii="宋体" w:hAnsi="宋体" w:eastAsia="宋体" w:cs="宋体"/>
          <w:bCs/>
          <w:color w:val="auto"/>
          <w:szCs w:val="21"/>
          <w:highlight w:val="none"/>
          <w:u w:val="single"/>
        </w:rPr>
        <w:t>（单位名称）</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u w:val="single"/>
        </w:rPr>
        <w:t>（项目名称）</w:t>
      </w:r>
      <w:r>
        <w:rPr>
          <w:rFonts w:hint="eastAsia" w:ascii="宋体" w:hAnsi="宋体" w:eastAsia="宋体" w:cs="宋体"/>
          <w:bCs/>
          <w:color w:val="auto"/>
          <w:szCs w:val="21"/>
          <w:highlight w:val="none"/>
        </w:rPr>
        <w:t>采购活动，服务全部由符合政策要求的中小企业承接。相关企业（含联合体中的中小企业、签订分包意向协议的中小企业） 的具体情况如下：</w:t>
      </w:r>
    </w:p>
    <w:p w14:paraId="0DEAA3F5">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（标的名称）</w:t>
      </w:r>
      <w:r>
        <w:rPr>
          <w:rFonts w:hint="eastAsia" w:ascii="宋体" w:hAnsi="宋体" w:eastAsia="宋体" w:cs="宋体"/>
          <w:bCs/>
          <w:color w:val="auto"/>
          <w:szCs w:val="21"/>
          <w:highlight w:val="none"/>
        </w:rPr>
        <w:t>，属于</w:t>
      </w:r>
      <w:r>
        <w:rPr>
          <w:rFonts w:hint="eastAsia" w:ascii="宋体" w:hAnsi="宋体" w:eastAsia="宋体" w:cs="宋体"/>
          <w:bCs/>
          <w:color w:val="auto"/>
          <w:szCs w:val="21"/>
          <w:highlight w:val="none"/>
          <w:u w:val="single"/>
        </w:rPr>
        <w:t>（采购文件中明确的所属行业）</w:t>
      </w:r>
      <w:r>
        <w:rPr>
          <w:rFonts w:hint="eastAsia" w:ascii="宋体" w:hAnsi="宋体" w:eastAsia="宋体" w:cs="宋体"/>
          <w:bCs/>
          <w:color w:val="auto"/>
          <w:szCs w:val="21"/>
          <w:highlight w:val="none"/>
        </w:rPr>
        <w:t>行业；承建（承接）企业为</w:t>
      </w:r>
      <w:r>
        <w:rPr>
          <w:rFonts w:hint="eastAsia" w:ascii="宋体" w:hAnsi="宋体" w:eastAsia="宋体" w:cs="宋体"/>
          <w:bCs/>
          <w:color w:val="auto"/>
          <w:szCs w:val="21"/>
          <w:highlight w:val="none"/>
          <w:u w:val="single"/>
        </w:rPr>
        <w:t>（企业名称）</w:t>
      </w:r>
      <w:r>
        <w:rPr>
          <w:rFonts w:hint="eastAsia" w:ascii="宋体" w:hAnsi="宋体" w:eastAsia="宋体" w:cs="宋体"/>
          <w:bCs/>
          <w:color w:val="auto"/>
          <w:szCs w:val="21"/>
          <w:highlight w:val="none"/>
        </w:rPr>
        <w:t>，从业人员</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人，营业收入为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万元，资产总额为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万元，属于</w:t>
      </w:r>
      <w:r>
        <w:rPr>
          <w:rFonts w:hint="eastAsia" w:ascii="宋体" w:hAnsi="宋体" w:eastAsia="宋体" w:cs="宋体"/>
          <w:bCs/>
          <w:color w:val="auto"/>
          <w:szCs w:val="21"/>
          <w:highlight w:val="none"/>
          <w:u w:val="single"/>
        </w:rPr>
        <w:t>（中型企业、小型企业、微型企业）</w:t>
      </w:r>
      <w:r>
        <w:rPr>
          <w:rFonts w:hint="eastAsia" w:ascii="宋体" w:hAnsi="宋体" w:eastAsia="宋体" w:cs="宋体"/>
          <w:bCs/>
          <w:color w:val="auto"/>
          <w:szCs w:val="21"/>
          <w:highlight w:val="none"/>
        </w:rPr>
        <w:t>；</w:t>
      </w:r>
    </w:p>
    <w:p w14:paraId="27D78F80">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u w:val="single"/>
        </w:rPr>
        <w:t>（标的名称）</w:t>
      </w:r>
      <w:r>
        <w:rPr>
          <w:rFonts w:hint="eastAsia" w:ascii="宋体" w:hAnsi="宋体" w:eastAsia="宋体" w:cs="宋体"/>
          <w:bCs/>
          <w:color w:val="auto"/>
          <w:szCs w:val="21"/>
          <w:highlight w:val="none"/>
        </w:rPr>
        <w:t>，属于</w:t>
      </w:r>
      <w:r>
        <w:rPr>
          <w:rFonts w:hint="eastAsia" w:ascii="宋体" w:hAnsi="宋体" w:eastAsia="宋体" w:cs="宋体"/>
          <w:bCs/>
          <w:color w:val="auto"/>
          <w:szCs w:val="21"/>
          <w:highlight w:val="none"/>
          <w:u w:val="single"/>
        </w:rPr>
        <w:t>（采购文件中明确的所属行业）</w:t>
      </w:r>
      <w:r>
        <w:rPr>
          <w:rFonts w:hint="eastAsia" w:ascii="宋体" w:hAnsi="宋体" w:eastAsia="宋体" w:cs="宋体"/>
          <w:bCs/>
          <w:color w:val="auto"/>
          <w:szCs w:val="21"/>
          <w:highlight w:val="none"/>
        </w:rPr>
        <w:t>行业；承建（承接）企业为</w:t>
      </w:r>
      <w:r>
        <w:rPr>
          <w:rFonts w:hint="eastAsia" w:ascii="宋体" w:hAnsi="宋体" w:eastAsia="宋体" w:cs="宋体"/>
          <w:bCs/>
          <w:color w:val="auto"/>
          <w:szCs w:val="21"/>
          <w:highlight w:val="none"/>
          <w:u w:val="single"/>
        </w:rPr>
        <w:t>（企业名称）</w:t>
      </w:r>
      <w:r>
        <w:rPr>
          <w:rFonts w:hint="eastAsia" w:ascii="宋体" w:hAnsi="宋体" w:eastAsia="宋体" w:cs="宋体"/>
          <w:bCs/>
          <w:color w:val="auto"/>
          <w:szCs w:val="21"/>
          <w:highlight w:val="none"/>
        </w:rPr>
        <w:t>，从业人员</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人，营业收入为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万元，资产总额为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万元，属于</w:t>
      </w:r>
      <w:r>
        <w:rPr>
          <w:rFonts w:hint="eastAsia" w:ascii="宋体" w:hAnsi="宋体" w:eastAsia="宋体" w:cs="宋体"/>
          <w:bCs/>
          <w:color w:val="auto"/>
          <w:szCs w:val="21"/>
          <w:highlight w:val="none"/>
          <w:u w:val="single"/>
        </w:rPr>
        <w:t>（中型企业、小型企业、微型企业）</w:t>
      </w:r>
      <w:r>
        <w:rPr>
          <w:rFonts w:hint="eastAsia" w:ascii="宋体" w:hAnsi="宋体" w:eastAsia="宋体" w:cs="宋体"/>
          <w:bCs/>
          <w:color w:val="auto"/>
          <w:szCs w:val="21"/>
          <w:highlight w:val="none"/>
        </w:rPr>
        <w:t>；</w:t>
      </w:r>
    </w:p>
    <w:p w14:paraId="7711341F">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4983921D">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以上企业，不属于大企业的分支机构，不存在控股股东为大企业的情形，也不存在与大企业的负责人为同一人的情形。</w:t>
      </w:r>
    </w:p>
    <w:p w14:paraId="25B61690">
      <w:pPr>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本企业对上述声明内容的真实性负责。如有虚假，将依法承担相应责任。</w:t>
      </w:r>
    </w:p>
    <w:p w14:paraId="3C22A87A">
      <w:pPr>
        <w:spacing w:line="360" w:lineRule="auto"/>
        <w:ind w:firstLine="3150" w:firstLineChars="15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企业名称（</w:t>
      </w:r>
      <w:bookmarkStart w:id="237" w:name="_Hlk89191194"/>
      <w:r>
        <w:rPr>
          <w:rFonts w:hint="eastAsia" w:ascii="宋体" w:hAnsi="宋体" w:eastAsia="宋体" w:cs="宋体"/>
          <w:color w:val="auto"/>
          <w:szCs w:val="21"/>
          <w:highlight w:val="none"/>
        </w:rPr>
        <w:t>电子签章</w:t>
      </w:r>
      <w:bookmarkEnd w:id="237"/>
      <w:r>
        <w:rPr>
          <w:rFonts w:hint="eastAsia" w:ascii="宋体" w:hAnsi="宋体" w:eastAsia="宋体" w:cs="宋体"/>
          <w:bCs/>
          <w:color w:val="auto"/>
          <w:szCs w:val="21"/>
          <w:highlight w:val="none"/>
        </w:rPr>
        <w:t>）：日期：</w:t>
      </w:r>
    </w:p>
    <w:bookmarkEnd w:id="235"/>
    <w:p w14:paraId="39D6360D">
      <w:pPr>
        <w:spacing w:line="360" w:lineRule="auto"/>
        <w:jc w:val="left"/>
        <w:rPr>
          <w:rFonts w:hint="eastAsia" w:ascii="宋体" w:hAnsi="宋体" w:eastAsia="宋体" w:cs="宋体"/>
          <w:bCs/>
          <w:color w:val="auto"/>
          <w:szCs w:val="21"/>
          <w:highlight w:val="none"/>
        </w:rPr>
      </w:pPr>
      <w:bookmarkStart w:id="238" w:name="_Hlk65852026"/>
      <w:r>
        <w:rPr>
          <w:rFonts w:hint="eastAsia" w:ascii="宋体" w:hAnsi="宋体" w:eastAsia="宋体" w:cs="宋体"/>
          <w:bCs/>
          <w:color w:val="auto"/>
          <w:szCs w:val="21"/>
          <w:highlight w:val="none"/>
        </w:rPr>
        <w:t>注：</w:t>
      </w:r>
      <w:bookmarkEnd w:id="238"/>
      <w:r>
        <w:rPr>
          <w:rFonts w:hint="eastAsia" w:ascii="宋体" w:hAnsi="宋体" w:eastAsia="宋体" w:cs="宋体"/>
          <w:bCs/>
          <w:color w:val="auto"/>
          <w:szCs w:val="21"/>
          <w:highlight w:val="none"/>
        </w:rPr>
        <w:t>（1）标的名称按照第二章采购需求中的货物名称填写，</w:t>
      </w:r>
      <w:r>
        <w:rPr>
          <w:rFonts w:hint="eastAsia" w:ascii="宋体" w:hAnsi="宋体" w:eastAsia="宋体" w:cs="宋体"/>
          <w:color w:val="auto"/>
          <w:szCs w:val="21"/>
          <w:highlight w:val="none"/>
        </w:rPr>
        <w:t>所属行业标明“/”的</w:t>
      </w:r>
      <w:r>
        <w:rPr>
          <w:rFonts w:hint="eastAsia" w:ascii="宋体" w:hAnsi="宋体" w:eastAsia="宋体" w:cs="宋体"/>
          <w:bCs/>
          <w:color w:val="auto"/>
          <w:szCs w:val="21"/>
          <w:highlight w:val="none"/>
        </w:rPr>
        <w:t>，无需在上表填写。</w:t>
      </w:r>
    </w:p>
    <w:p w14:paraId="4F5505DD">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（2）如供应商为联合体或分包的，声明函中“项目名称”应填写联合体中小微企业承担的具体内容或者小微企业具体分包内容。</w:t>
      </w:r>
    </w:p>
    <w:p w14:paraId="4D3EF39C">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（3）从业人员、营业收入、资产总额填报上一年度数据，无上一年度数据的新成立企业参照国务院批准的中小企业划分标准，根据企业自身情况如实判断。</w:t>
      </w:r>
    </w:p>
    <w:p w14:paraId="3D54AE6F">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4C10EA9F">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00530B70">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（6）本声明函由供应商填写，供应商应按中小企业划分标准《关于印发中小企业划型标准规定的通知》（工信部联企业〔2011〕300号</w:t>
      </w:r>
      <w:r>
        <w:rPr>
          <w:rFonts w:hint="eastAsia" w:ascii="宋体" w:hAnsi="宋体" w:eastAsia="宋体" w:cs="宋体"/>
          <w:color w:val="auto"/>
          <w:szCs w:val="21"/>
          <w:highlight w:val="none"/>
        </w:rPr>
        <w:t>以及《金融业企业划型标准规定》（银发〔2015〕309号）</w:t>
      </w:r>
      <w:r>
        <w:rPr>
          <w:rFonts w:hint="eastAsia" w:ascii="宋体" w:hAnsi="宋体" w:eastAsia="宋体" w:cs="宋体"/>
          <w:bCs/>
          <w:color w:val="auto"/>
          <w:szCs w:val="21"/>
          <w:highlight w:val="none"/>
        </w:rPr>
        <w:t>）判断是否为中小企业。</w:t>
      </w:r>
    </w:p>
    <w:p w14:paraId="13360838">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14:paraId="09511505">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0F2F4916">
      <w:pPr>
        <w:spacing w:line="360" w:lineRule="auto"/>
        <w:jc w:val="left"/>
        <w:rPr>
          <w:rFonts w:hint="eastAsia" w:ascii="宋体" w:hAnsi="宋体" w:eastAsia="宋体" w:cs="宋体"/>
          <w:color w:val="auto"/>
          <w:szCs w:val="21"/>
          <w:highlight w:val="none"/>
        </w:rPr>
      </w:pPr>
    </w:p>
    <w:p w14:paraId="518BF4DA">
      <w:pPr>
        <w:ind w:right="420" w:firstLine="5355" w:firstLineChars="2550"/>
        <w:rPr>
          <w:rFonts w:hint="eastAsia" w:ascii="宋体" w:hAnsi="宋体" w:eastAsia="宋体" w:cs="宋体"/>
          <w:color w:val="auto"/>
          <w:szCs w:val="21"/>
          <w:highlight w:val="none"/>
        </w:rPr>
      </w:pPr>
    </w:p>
    <w:p w14:paraId="18B49CAD">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监狱企业须提供最新一期《XX省监狱企业目录》或其他监狱企业证明材料。（非监狱企业无需提供）</w:t>
      </w:r>
    </w:p>
    <w:p w14:paraId="3C5EE7CB">
      <w:pPr>
        <w:snapToGrid w:val="0"/>
        <w:spacing w:before="50" w:after="120" w:afterLines="50"/>
        <w:jc w:val="left"/>
        <w:rPr>
          <w:rFonts w:hint="eastAsia" w:ascii="宋体" w:hAnsi="宋体" w:eastAsia="宋体" w:cs="宋体"/>
          <w:color w:val="auto"/>
          <w:szCs w:val="21"/>
          <w:highlight w:val="none"/>
        </w:rPr>
      </w:pPr>
    </w:p>
    <w:p w14:paraId="1815BC51">
      <w:pPr>
        <w:snapToGrid w:val="0"/>
        <w:spacing w:before="50" w:after="120" w:afterLines="50"/>
        <w:jc w:val="left"/>
        <w:rPr>
          <w:rFonts w:hint="eastAsia" w:ascii="宋体" w:hAnsi="宋体" w:eastAsia="宋体" w:cs="宋体"/>
          <w:color w:val="auto"/>
          <w:szCs w:val="21"/>
          <w:highlight w:val="none"/>
        </w:rPr>
      </w:pPr>
    </w:p>
    <w:p w14:paraId="30FF7B86">
      <w:pPr>
        <w:snapToGrid w:val="0"/>
        <w:spacing w:before="50" w:after="120" w:afterLines="50"/>
        <w:jc w:val="left"/>
        <w:rPr>
          <w:rFonts w:hint="eastAsia" w:ascii="宋体" w:hAnsi="宋体" w:eastAsia="宋体" w:cs="宋体"/>
          <w:color w:val="auto"/>
          <w:highlight w:val="none"/>
        </w:rPr>
      </w:pPr>
      <w:r>
        <w:rPr>
          <w:rFonts w:hint="eastAsia" w:ascii="宋体" w:hAnsi="宋体" w:eastAsia="宋体" w:cs="宋体"/>
          <w:color w:val="auto"/>
          <w:szCs w:val="21"/>
          <w:highlight w:val="none"/>
        </w:rPr>
        <w:t>5.3残疾人福利性单位须提供《残疾人福利性单位声明</w:t>
      </w:r>
      <w:r>
        <w:rPr>
          <w:rFonts w:hint="eastAsia" w:ascii="宋体" w:hAnsi="宋体" w:eastAsia="宋体" w:cs="宋体"/>
          <w:color w:val="auto"/>
          <w:highlight w:val="none"/>
        </w:rPr>
        <w:t>函》，格式如下。</w:t>
      </w:r>
      <w:r>
        <w:rPr>
          <w:rFonts w:hint="eastAsia" w:ascii="宋体" w:hAnsi="宋体" w:eastAsia="宋体" w:cs="宋体"/>
          <w:color w:val="auto"/>
          <w:szCs w:val="21"/>
          <w:highlight w:val="none"/>
        </w:rPr>
        <w:t>（非残疾人福利性单位无需提供）。</w:t>
      </w:r>
      <w:bookmarkStart w:id="239" w:name="OLE_LINK13"/>
      <w:bookmarkStart w:id="240" w:name="OLE_LINK14"/>
    </w:p>
    <w:p w14:paraId="123B86F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残疾人福利性单位声明函</w:t>
      </w:r>
    </w:p>
    <w:bookmarkEnd w:id="239"/>
    <w:bookmarkEnd w:id="240"/>
    <w:p w14:paraId="6E8F31F6">
      <w:pPr>
        <w:spacing w:line="588" w:lineRule="exact"/>
        <w:rPr>
          <w:rFonts w:hint="eastAsia" w:ascii="宋体" w:hAnsi="宋体" w:eastAsia="宋体" w:cs="宋体"/>
          <w:b/>
          <w:color w:val="auto"/>
          <w:spacing w:val="6"/>
          <w:sz w:val="30"/>
          <w:szCs w:val="30"/>
          <w:highlight w:val="none"/>
        </w:rPr>
      </w:pPr>
    </w:p>
    <w:p w14:paraId="34A9B6F7">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C0B4174">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761FF0EE">
      <w:pPr>
        <w:tabs>
          <w:tab w:val="left" w:pos="4860"/>
        </w:tabs>
        <w:spacing w:line="588" w:lineRule="exact"/>
        <w:ind w:right="1560" w:firstLine="62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 w:val="30"/>
          <w:szCs w:val="30"/>
          <w:highlight w:val="none"/>
        </w:rPr>
        <w:t xml:space="preserve">              </w:t>
      </w:r>
      <w:r>
        <w:rPr>
          <w:rFonts w:hint="eastAsia" w:ascii="宋体" w:hAnsi="宋体" w:eastAsia="宋体" w:cs="宋体"/>
          <w:color w:val="auto"/>
          <w:spacing w:val="6"/>
          <w:szCs w:val="21"/>
          <w:highlight w:val="none"/>
        </w:rPr>
        <w:t xml:space="preserve">     单位名称（</w:t>
      </w:r>
      <w:r>
        <w:rPr>
          <w:rFonts w:hint="eastAsia" w:ascii="宋体" w:hAnsi="宋体" w:eastAsia="宋体" w:cs="宋体"/>
          <w:color w:val="auto"/>
          <w:szCs w:val="21"/>
          <w:highlight w:val="none"/>
        </w:rPr>
        <w:t>电子签章</w:t>
      </w:r>
      <w:r>
        <w:rPr>
          <w:rFonts w:hint="eastAsia" w:ascii="宋体" w:hAnsi="宋体" w:eastAsia="宋体" w:cs="宋体"/>
          <w:color w:val="auto"/>
          <w:spacing w:val="6"/>
          <w:szCs w:val="21"/>
          <w:highlight w:val="none"/>
        </w:rPr>
        <w:t>）：</w:t>
      </w:r>
    </w:p>
    <w:p w14:paraId="41941C7D">
      <w:pPr>
        <w:snapToGrid w:val="0"/>
        <w:spacing w:before="50" w:after="120" w:afterLines="5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日  期：</w:t>
      </w:r>
      <w:bookmarkStart w:id="241" w:name="_Hlk60822154"/>
    </w:p>
    <w:p w14:paraId="6380EE6A">
      <w:pPr>
        <w:snapToGrid w:val="0"/>
        <w:spacing w:before="50" w:after="120" w:afterLines="50"/>
        <w:jc w:val="left"/>
        <w:rPr>
          <w:rFonts w:hint="eastAsia" w:ascii="宋体" w:hAnsi="宋体" w:eastAsia="宋体" w:cs="宋体"/>
          <w:color w:val="auto"/>
          <w:szCs w:val="21"/>
          <w:highlight w:val="none"/>
        </w:rPr>
      </w:pPr>
    </w:p>
    <w:p w14:paraId="6F5733FB">
      <w:pPr>
        <w:snapToGrid w:val="0"/>
        <w:spacing w:before="50" w:after="120" w:afterLines="50"/>
        <w:jc w:val="left"/>
        <w:rPr>
          <w:rFonts w:hint="eastAsia" w:ascii="宋体" w:hAnsi="宋体" w:eastAsia="宋体" w:cs="宋体"/>
          <w:color w:val="auto"/>
          <w:szCs w:val="21"/>
          <w:highlight w:val="none"/>
        </w:rPr>
      </w:pPr>
    </w:p>
    <w:bookmarkEnd w:id="241"/>
    <w:p w14:paraId="4B3CFD4C">
      <w:pPr>
        <w:snapToGrid w:val="0"/>
        <w:spacing w:before="50" w:after="120" w:after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C42348A">
      <w:pPr>
        <w:rPr>
          <w:rFonts w:hint="eastAsia" w:ascii="宋体" w:hAnsi="宋体" w:eastAsia="宋体" w:cs="宋体"/>
          <w:color w:val="auto"/>
          <w:szCs w:val="21"/>
          <w:highlight w:val="none"/>
        </w:rPr>
      </w:pPr>
    </w:p>
    <w:p w14:paraId="7603B8F2">
      <w:pPr>
        <w:rPr>
          <w:rFonts w:hint="eastAsia" w:ascii="宋体" w:hAnsi="宋体" w:eastAsia="宋体" w:cs="宋体"/>
          <w:color w:val="auto"/>
          <w:szCs w:val="21"/>
          <w:highlight w:val="none"/>
        </w:rPr>
      </w:pPr>
      <w:bookmarkStart w:id="242" w:name="_Hlk89191232"/>
    </w:p>
    <w:p w14:paraId="24A78F99">
      <w:pPr>
        <w:widowControl/>
        <w:jc w:val="left"/>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3.开标一览表</w:t>
      </w:r>
    </w:p>
    <w:p w14:paraId="088DF219">
      <w:pPr>
        <w:widowControl/>
        <w:jc w:val="left"/>
        <w:rPr>
          <w:rFonts w:hint="eastAsia" w:ascii="宋体" w:hAnsi="宋体" w:eastAsia="宋体" w:cs="宋体"/>
          <w:color w:val="auto"/>
          <w:szCs w:val="21"/>
          <w:highlight w:val="none"/>
        </w:rPr>
      </w:pPr>
    </w:p>
    <w:p w14:paraId="6FE7EDD2">
      <w:pPr>
        <w:widowControl/>
        <w:jc w:val="left"/>
        <w:rPr>
          <w:rFonts w:hint="eastAsia" w:ascii="宋体" w:hAnsi="宋体" w:eastAsia="宋体" w:cs="宋体"/>
          <w:color w:val="auto"/>
          <w:szCs w:val="21"/>
          <w:highlight w:val="none"/>
        </w:rPr>
      </w:pPr>
    </w:p>
    <w:p w14:paraId="3D54E857">
      <w:pPr>
        <w:widowControl/>
        <w:jc w:val="left"/>
        <w:rPr>
          <w:rFonts w:hint="eastAsia" w:ascii="宋体" w:hAnsi="宋体" w:eastAsia="宋体" w:cs="宋体"/>
          <w:color w:val="auto"/>
          <w:szCs w:val="21"/>
          <w:highlight w:val="none"/>
        </w:rPr>
      </w:pPr>
    </w:p>
    <w:p w14:paraId="335EB0A8">
      <w:pPr>
        <w:rPr>
          <w:rFonts w:hint="eastAsia" w:ascii="宋体" w:hAnsi="宋体" w:eastAsia="宋体" w:cs="宋体"/>
          <w:b/>
          <w:color w:val="auto"/>
          <w:szCs w:val="21"/>
          <w:highlight w:val="none"/>
        </w:rPr>
      </w:pPr>
    </w:p>
    <w:p w14:paraId="6BCE6640">
      <w:pPr>
        <w:rPr>
          <w:rFonts w:hint="eastAsia" w:ascii="宋体" w:hAnsi="宋体" w:eastAsia="宋体" w:cs="宋体"/>
          <w:b/>
          <w:color w:val="auto"/>
          <w:szCs w:val="21"/>
          <w:highlight w:val="none"/>
        </w:rPr>
      </w:pPr>
    </w:p>
    <w:p w14:paraId="21310FCE">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格式详见政府采购云平台，且仅在</w:t>
      </w:r>
      <w:r>
        <w:rPr>
          <w:rFonts w:hint="eastAsia" w:ascii="宋体" w:hAnsi="宋体" w:eastAsia="宋体" w:cs="宋体"/>
          <w:b/>
          <w:color w:val="auto"/>
          <w:szCs w:val="21"/>
          <w:highlight w:val="none"/>
          <w:lang w:val="en-US" w:eastAsia="zh-CN"/>
        </w:rPr>
        <w:t>广西</w:t>
      </w:r>
      <w:r>
        <w:rPr>
          <w:rFonts w:hint="eastAsia" w:ascii="宋体" w:hAnsi="宋体" w:eastAsia="宋体" w:cs="宋体"/>
          <w:b/>
          <w:color w:val="auto"/>
          <w:szCs w:val="21"/>
          <w:highlight w:val="none"/>
        </w:rPr>
        <w:t>政府采购云平台填写即可。</w:t>
      </w:r>
    </w:p>
    <w:bookmarkEnd w:id="242"/>
    <w:p w14:paraId="03E63873">
      <w:pPr>
        <w:rPr>
          <w:rFonts w:hint="eastAsia" w:ascii="宋体" w:hAnsi="宋体" w:eastAsia="宋体" w:cs="宋体"/>
          <w:color w:val="auto"/>
          <w:szCs w:val="21"/>
          <w:highlight w:val="none"/>
        </w:rPr>
      </w:pPr>
    </w:p>
    <w:sectPr>
      <w:headerReference r:id="rId8" w:type="default"/>
      <w:type w:val="nextColumn"/>
      <w:pgSz w:w="11906" w:h="16838"/>
      <w:pgMar w:top="1418" w:right="1274" w:bottom="1418" w:left="1418" w:header="851" w:footer="28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13C6A">
    <w:pPr>
      <w:pStyle w:val="34"/>
      <w:framePr w:wrap="around" w:vAnchor="text" w:hAnchor="margin" w:xAlign="center" w:y="1"/>
      <w:rPr>
        <w:rStyle w:val="60"/>
      </w:rPr>
    </w:pPr>
    <w:r>
      <w:fldChar w:fldCharType="begin"/>
    </w:r>
    <w:r>
      <w:rPr>
        <w:rStyle w:val="60"/>
      </w:rPr>
      <w:instrText xml:space="preserve">PAGE  </w:instrText>
    </w:r>
    <w:r>
      <w:fldChar w:fldCharType="separate"/>
    </w:r>
    <w:r>
      <w:rPr>
        <w:rStyle w:val="60"/>
      </w:rPr>
      <w:t>1</w:t>
    </w:r>
    <w:r>
      <w:fldChar w:fldCharType="end"/>
    </w:r>
  </w:p>
  <w:p w14:paraId="0F05C596">
    <w:pPr>
      <w:pStyle w:val="3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9C3D">
    <w:pPr>
      <w:pStyle w:val="34"/>
      <w:framePr w:wrap="around" w:vAnchor="text" w:hAnchor="margin" w:xAlign="center" w:y="1"/>
      <w:rPr>
        <w:rStyle w:val="60"/>
      </w:rPr>
    </w:pPr>
    <w:r>
      <w:fldChar w:fldCharType="begin"/>
    </w:r>
    <w:r>
      <w:rPr>
        <w:rStyle w:val="60"/>
      </w:rPr>
      <w:instrText xml:space="preserve">PAGE  </w:instrText>
    </w:r>
    <w:r>
      <w:fldChar w:fldCharType="end"/>
    </w:r>
  </w:p>
  <w:p w14:paraId="3C26251F">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B666">
    <w:pPr>
      <w:pStyle w:val="34"/>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C7A7">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E864A">
    <w:pPr>
      <w:pStyle w:val="36"/>
      <w:jc w:val="left"/>
    </w:pPr>
    <w:r>
      <w:rPr>
        <w:rFonts w:hint="eastAsia"/>
      </w:rPr>
      <w:t>中经国际招标集团有限公司</w:t>
    </w:r>
    <w:r>
      <w:rPr>
        <w:rFonts w:hint="eastAsia"/>
        <w:lang w:val="en-US" w:eastAsia="zh-CN"/>
      </w:rPr>
      <w:t>磋商</w:t>
    </w:r>
    <w:r>
      <w:rPr>
        <w:rFonts w:hint="eastAsia"/>
      </w:rPr>
      <w:t xml:space="preserve">文件                                                               </w:t>
    </w:r>
  </w:p>
  <w:p w14:paraId="03C01F8F">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0BF48">
    <w:pPr>
      <w:rPr>
        <w:sz w:val="18"/>
        <w:szCs w:val="18"/>
        <w:u w:val="single"/>
      </w:rPr>
    </w:pPr>
    <w:r>
      <w:rPr>
        <w:rFonts w:hint="eastAsia"/>
        <w:sz w:val="18"/>
        <w:szCs w:val="18"/>
        <w:u w:val="single"/>
      </w:rPr>
      <w:t xml:space="preserve">中经国际招标集团有限公司采购文件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86C9CE"/>
    <w:multiLevelType w:val="singleLevel"/>
    <w:tmpl w:val="1D86C9CE"/>
    <w:lvl w:ilvl="0" w:tentative="0">
      <w:start w:val="4"/>
      <w:numFmt w:val="decimal"/>
      <w:lvlText w:val="%1."/>
      <w:lvlJc w:val="left"/>
      <w:pPr>
        <w:tabs>
          <w:tab w:val="left" w:pos="312"/>
        </w:tabs>
      </w:pPr>
    </w:lvl>
  </w:abstractNum>
  <w:abstractNum w:abstractNumId="2">
    <w:nsid w:val="21B60BBD"/>
    <w:multiLevelType w:val="singleLevel"/>
    <w:tmpl w:val="21B60BBD"/>
    <w:lvl w:ilvl="0" w:tentative="0">
      <w:start w:val="3"/>
      <w:numFmt w:val="decimal"/>
      <w:suff w:val="space"/>
      <w:lvlText w:val="%1."/>
      <w:lvlJc w:val="left"/>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decimal"/>
      <w:suff w:val="nothing"/>
      <w:lvlText w:val=""/>
      <w:lvlJc w:val="left"/>
      <w:pPr>
        <w:ind w:left="0" w:firstLine="0"/>
      </w:pPr>
      <w:rPr>
        <w:rFonts w:hint="eastAsia"/>
      </w:rPr>
    </w:lvl>
    <w:lvl w:ilvl="2" w:tentative="0">
      <w:start w:val="1"/>
      <w:numFmt w:val="decimal"/>
      <w:suff w:val="nothing"/>
      <w:lvlText w:val=""/>
      <w:lvlJc w:val="left"/>
      <w:pPr>
        <w:ind w:left="0" w:firstLine="0"/>
      </w:pPr>
      <w:rPr>
        <w:rFonts w:hint="eastAsia"/>
      </w:rPr>
    </w:lvl>
    <w:lvl w:ilvl="3" w:tentative="0">
      <w:start w:val="1"/>
      <w:numFmt w:val="decimal"/>
      <w:suff w:val="nothing"/>
      <w:lvlText w:val=""/>
      <w:lvlJc w:val="left"/>
      <w:pPr>
        <w:ind w:left="0" w:firstLine="0"/>
      </w:pPr>
      <w:rPr>
        <w:rFonts w:hint="eastAsia"/>
      </w:rPr>
    </w:lvl>
    <w:lvl w:ilvl="4" w:tentative="0">
      <w:start w:val="1"/>
      <w:numFmt w:val="decimal"/>
      <w:pStyle w:val="391"/>
      <w:suff w:val="nothing"/>
      <w:lvlText w:val=""/>
      <w:lvlJc w:val="left"/>
      <w:pPr>
        <w:ind w:left="0" w:firstLine="0"/>
      </w:pPr>
      <w:rPr>
        <w:rFonts w:hint="eastAsia"/>
      </w:rPr>
    </w:lvl>
    <w:lvl w:ilvl="5" w:tentative="0">
      <w:start w:val="1"/>
      <w:numFmt w:val="decimal"/>
      <w:suff w:val="nothing"/>
      <w:lvlText w:val=""/>
      <w:lvlJc w:val="left"/>
      <w:pPr>
        <w:ind w:left="0"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nothing"/>
      <w:lvlText w:val=""/>
      <w:lvlJc w:val="left"/>
      <w:pPr>
        <w:ind w:left="0" w:firstLine="0"/>
      </w:pPr>
      <w:rPr>
        <w:rFonts w:hint="eastAsia"/>
      </w:rPr>
    </w:lvl>
    <w:lvl w:ilvl="8" w:tentative="0">
      <w:start w:val="1"/>
      <w:numFmt w:val="decimal"/>
      <w:suff w:val="nothing"/>
      <w:lvlText w:val=""/>
      <w:lvlJc w:val="left"/>
      <w:pPr>
        <w:ind w:left="0" w:firstLine="0"/>
      </w:pPr>
      <w:rPr>
        <w:rFonts w:hint="eastAsia"/>
      </w:rPr>
    </w:lvl>
  </w:abstractNum>
  <w:abstractNum w:abstractNumId="4">
    <w:nsid w:val="6134B8DC"/>
    <w:multiLevelType w:val="singleLevel"/>
    <w:tmpl w:val="6134B8DC"/>
    <w:lvl w:ilvl="0" w:tentative="0">
      <w:start w:val="1"/>
      <w:numFmt w:val="decimal"/>
      <w:suff w:val="nothing"/>
      <w:lvlText w:val="（%1）"/>
      <w:lvlJc w:val="left"/>
    </w:lvl>
  </w:abstractNum>
  <w:abstractNum w:abstractNumId="5">
    <w:nsid w:val="6EDD6596"/>
    <w:multiLevelType w:val="singleLevel"/>
    <w:tmpl w:val="6EDD6596"/>
    <w:lvl w:ilvl="0" w:tentative="0">
      <w:start w:val="1"/>
      <w:numFmt w:val="decimal"/>
      <w:suff w:val="space"/>
      <w:lvlText w:val="%1."/>
      <w:lvlJc w:val="left"/>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172A27"/>
    <w:rsid w:val="000003EF"/>
    <w:rsid w:val="0000091B"/>
    <w:rsid w:val="00000D0A"/>
    <w:rsid w:val="00000D19"/>
    <w:rsid w:val="00000D8B"/>
    <w:rsid w:val="00000E1A"/>
    <w:rsid w:val="00001B3E"/>
    <w:rsid w:val="00001B8A"/>
    <w:rsid w:val="00001CD6"/>
    <w:rsid w:val="00002DDA"/>
    <w:rsid w:val="000030E9"/>
    <w:rsid w:val="00003DAE"/>
    <w:rsid w:val="00004D3E"/>
    <w:rsid w:val="000058D7"/>
    <w:rsid w:val="00005E55"/>
    <w:rsid w:val="00006E2C"/>
    <w:rsid w:val="000079FF"/>
    <w:rsid w:val="00007B0D"/>
    <w:rsid w:val="00007D2F"/>
    <w:rsid w:val="000102A9"/>
    <w:rsid w:val="000105E8"/>
    <w:rsid w:val="00011D72"/>
    <w:rsid w:val="00012078"/>
    <w:rsid w:val="00013748"/>
    <w:rsid w:val="00013D41"/>
    <w:rsid w:val="000143A3"/>
    <w:rsid w:val="00014DD6"/>
    <w:rsid w:val="0001598C"/>
    <w:rsid w:val="00015C2A"/>
    <w:rsid w:val="00016C31"/>
    <w:rsid w:val="000178A5"/>
    <w:rsid w:val="00017C54"/>
    <w:rsid w:val="0002040C"/>
    <w:rsid w:val="00020B37"/>
    <w:rsid w:val="00020BB1"/>
    <w:rsid w:val="00020BF0"/>
    <w:rsid w:val="0002150B"/>
    <w:rsid w:val="000215B7"/>
    <w:rsid w:val="000217BF"/>
    <w:rsid w:val="00021C98"/>
    <w:rsid w:val="00021CCD"/>
    <w:rsid w:val="00021EE3"/>
    <w:rsid w:val="00022132"/>
    <w:rsid w:val="000228AB"/>
    <w:rsid w:val="000233CA"/>
    <w:rsid w:val="00023652"/>
    <w:rsid w:val="000240D4"/>
    <w:rsid w:val="0002424E"/>
    <w:rsid w:val="00024633"/>
    <w:rsid w:val="0002560A"/>
    <w:rsid w:val="00025DA0"/>
    <w:rsid w:val="0002696D"/>
    <w:rsid w:val="0002754D"/>
    <w:rsid w:val="00027666"/>
    <w:rsid w:val="000276B2"/>
    <w:rsid w:val="00027A46"/>
    <w:rsid w:val="00027AF3"/>
    <w:rsid w:val="00030024"/>
    <w:rsid w:val="00030124"/>
    <w:rsid w:val="000305FD"/>
    <w:rsid w:val="000306E8"/>
    <w:rsid w:val="0003084F"/>
    <w:rsid w:val="00030B45"/>
    <w:rsid w:val="00030C2F"/>
    <w:rsid w:val="00030DAA"/>
    <w:rsid w:val="000311F9"/>
    <w:rsid w:val="00031757"/>
    <w:rsid w:val="00032686"/>
    <w:rsid w:val="0003274B"/>
    <w:rsid w:val="00032AD8"/>
    <w:rsid w:val="000331CC"/>
    <w:rsid w:val="0003322E"/>
    <w:rsid w:val="00033927"/>
    <w:rsid w:val="00035840"/>
    <w:rsid w:val="00035844"/>
    <w:rsid w:val="00036BAA"/>
    <w:rsid w:val="000370C6"/>
    <w:rsid w:val="00037C63"/>
    <w:rsid w:val="00037CE4"/>
    <w:rsid w:val="00037E01"/>
    <w:rsid w:val="00040187"/>
    <w:rsid w:val="00040351"/>
    <w:rsid w:val="00040AC1"/>
    <w:rsid w:val="00040D93"/>
    <w:rsid w:val="000418B1"/>
    <w:rsid w:val="00042BF9"/>
    <w:rsid w:val="00043295"/>
    <w:rsid w:val="00043592"/>
    <w:rsid w:val="00043796"/>
    <w:rsid w:val="00044708"/>
    <w:rsid w:val="00045069"/>
    <w:rsid w:val="00045443"/>
    <w:rsid w:val="00045947"/>
    <w:rsid w:val="000462A8"/>
    <w:rsid w:val="00046360"/>
    <w:rsid w:val="00046485"/>
    <w:rsid w:val="0004653D"/>
    <w:rsid w:val="000465AB"/>
    <w:rsid w:val="000467A3"/>
    <w:rsid w:val="00046E59"/>
    <w:rsid w:val="000471CF"/>
    <w:rsid w:val="000472E6"/>
    <w:rsid w:val="000479CD"/>
    <w:rsid w:val="00047FD9"/>
    <w:rsid w:val="000500E6"/>
    <w:rsid w:val="000504FE"/>
    <w:rsid w:val="00050F9F"/>
    <w:rsid w:val="00052A50"/>
    <w:rsid w:val="00052C85"/>
    <w:rsid w:val="00053BFC"/>
    <w:rsid w:val="00053D00"/>
    <w:rsid w:val="0005428F"/>
    <w:rsid w:val="00054870"/>
    <w:rsid w:val="00054ABD"/>
    <w:rsid w:val="00054F7D"/>
    <w:rsid w:val="00055230"/>
    <w:rsid w:val="00055557"/>
    <w:rsid w:val="00055A8A"/>
    <w:rsid w:val="00055E6D"/>
    <w:rsid w:val="0005625F"/>
    <w:rsid w:val="0005649E"/>
    <w:rsid w:val="00056597"/>
    <w:rsid w:val="0005700C"/>
    <w:rsid w:val="00057393"/>
    <w:rsid w:val="00057E45"/>
    <w:rsid w:val="000606B6"/>
    <w:rsid w:val="0006192F"/>
    <w:rsid w:val="00061AB7"/>
    <w:rsid w:val="00061F82"/>
    <w:rsid w:val="00062637"/>
    <w:rsid w:val="000631AC"/>
    <w:rsid w:val="000631B7"/>
    <w:rsid w:val="000639D4"/>
    <w:rsid w:val="00064A48"/>
    <w:rsid w:val="00064C80"/>
    <w:rsid w:val="00065AB7"/>
    <w:rsid w:val="00065D71"/>
    <w:rsid w:val="00066111"/>
    <w:rsid w:val="000673D8"/>
    <w:rsid w:val="00067DD2"/>
    <w:rsid w:val="00067DE7"/>
    <w:rsid w:val="00067ED4"/>
    <w:rsid w:val="00070500"/>
    <w:rsid w:val="000706AC"/>
    <w:rsid w:val="00070950"/>
    <w:rsid w:val="000709D3"/>
    <w:rsid w:val="00070B1F"/>
    <w:rsid w:val="000712F8"/>
    <w:rsid w:val="00071587"/>
    <w:rsid w:val="00071A6A"/>
    <w:rsid w:val="00071C95"/>
    <w:rsid w:val="0007216A"/>
    <w:rsid w:val="00072A95"/>
    <w:rsid w:val="00072C12"/>
    <w:rsid w:val="000737A9"/>
    <w:rsid w:val="00074923"/>
    <w:rsid w:val="000750EA"/>
    <w:rsid w:val="00075DF5"/>
    <w:rsid w:val="00075E3B"/>
    <w:rsid w:val="00077698"/>
    <w:rsid w:val="00077891"/>
    <w:rsid w:val="0007797E"/>
    <w:rsid w:val="00077D86"/>
    <w:rsid w:val="0008017C"/>
    <w:rsid w:val="00080AA6"/>
    <w:rsid w:val="00081751"/>
    <w:rsid w:val="00081C1C"/>
    <w:rsid w:val="00082255"/>
    <w:rsid w:val="000822F0"/>
    <w:rsid w:val="00082611"/>
    <w:rsid w:val="0008264F"/>
    <w:rsid w:val="0008372E"/>
    <w:rsid w:val="00083A64"/>
    <w:rsid w:val="00083B97"/>
    <w:rsid w:val="00084575"/>
    <w:rsid w:val="00084AB1"/>
    <w:rsid w:val="00084F10"/>
    <w:rsid w:val="0008521D"/>
    <w:rsid w:val="00085A04"/>
    <w:rsid w:val="000866A9"/>
    <w:rsid w:val="00086EC2"/>
    <w:rsid w:val="00087358"/>
    <w:rsid w:val="000873F5"/>
    <w:rsid w:val="000900DF"/>
    <w:rsid w:val="00090193"/>
    <w:rsid w:val="0009021F"/>
    <w:rsid w:val="00091D8D"/>
    <w:rsid w:val="00091EDA"/>
    <w:rsid w:val="00092713"/>
    <w:rsid w:val="0009353F"/>
    <w:rsid w:val="00093DF8"/>
    <w:rsid w:val="000941F6"/>
    <w:rsid w:val="000945C5"/>
    <w:rsid w:val="00094ECF"/>
    <w:rsid w:val="0009592E"/>
    <w:rsid w:val="00095FB4"/>
    <w:rsid w:val="00096224"/>
    <w:rsid w:val="0009715C"/>
    <w:rsid w:val="000A10DB"/>
    <w:rsid w:val="000A1429"/>
    <w:rsid w:val="000A2968"/>
    <w:rsid w:val="000A29DC"/>
    <w:rsid w:val="000A3515"/>
    <w:rsid w:val="000A3518"/>
    <w:rsid w:val="000A487D"/>
    <w:rsid w:val="000A6F1D"/>
    <w:rsid w:val="000A70C7"/>
    <w:rsid w:val="000A7238"/>
    <w:rsid w:val="000A791D"/>
    <w:rsid w:val="000B09FE"/>
    <w:rsid w:val="000B15EF"/>
    <w:rsid w:val="000B26D6"/>
    <w:rsid w:val="000B316D"/>
    <w:rsid w:val="000B3194"/>
    <w:rsid w:val="000B33E8"/>
    <w:rsid w:val="000B3CFE"/>
    <w:rsid w:val="000B4164"/>
    <w:rsid w:val="000B4397"/>
    <w:rsid w:val="000B4EF3"/>
    <w:rsid w:val="000B554C"/>
    <w:rsid w:val="000B5D87"/>
    <w:rsid w:val="000B63FE"/>
    <w:rsid w:val="000B642F"/>
    <w:rsid w:val="000B6F18"/>
    <w:rsid w:val="000B7E6D"/>
    <w:rsid w:val="000C1414"/>
    <w:rsid w:val="000C350A"/>
    <w:rsid w:val="000C4988"/>
    <w:rsid w:val="000C591F"/>
    <w:rsid w:val="000C59D1"/>
    <w:rsid w:val="000C5FC6"/>
    <w:rsid w:val="000C60D0"/>
    <w:rsid w:val="000C7045"/>
    <w:rsid w:val="000C757A"/>
    <w:rsid w:val="000C7D9F"/>
    <w:rsid w:val="000C7DC8"/>
    <w:rsid w:val="000D0974"/>
    <w:rsid w:val="000D1B95"/>
    <w:rsid w:val="000D3613"/>
    <w:rsid w:val="000D3E1B"/>
    <w:rsid w:val="000D4061"/>
    <w:rsid w:val="000D471A"/>
    <w:rsid w:val="000D4860"/>
    <w:rsid w:val="000D48FB"/>
    <w:rsid w:val="000D4B4F"/>
    <w:rsid w:val="000D4EC1"/>
    <w:rsid w:val="000D4EF1"/>
    <w:rsid w:val="000D55FD"/>
    <w:rsid w:val="000D5F11"/>
    <w:rsid w:val="000D7588"/>
    <w:rsid w:val="000D7BE7"/>
    <w:rsid w:val="000E0106"/>
    <w:rsid w:val="000E01DF"/>
    <w:rsid w:val="000E16B2"/>
    <w:rsid w:val="000E173A"/>
    <w:rsid w:val="000E1C04"/>
    <w:rsid w:val="000E216E"/>
    <w:rsid w:val="000E2AD1"/>
    <w:rsid w:val="000E2D70"/>
    <w:rsid w:val="000E3898"/>
    <w:rsid w:val="000E3C38"/>
    <w:rsid w:val="000E3D2F"/>
    <w:rsid w:val="000E4712"/>
    <w:rsid w:val="000E612C"/>
    <w:rsid w:val="000E6CF4"/>
    <w:rsid w:val="000E6D38"/>
    <w:rsid w:val="000E72E7"/>
    <w:rsid w:val="000E72F6"/>
    <w:rsid w:val="000E75B3"/>
    <w:rsid w:val="000E763C"/>
    <w:rsid w:val="000E7CC8"/>
    <w:rsid w:val="000F03A5"/>
    <w:rsid w:val="000F10D4"/>
    <w:rsid w:val="000F1B78"/>
    <w:rsid w:val="000F1BF5"/>
    <w:rsid w:val="000F1F51"/>
    <w:rsid w:val="000F1FB0"/>
    <w:rsid w:val="000F2181"/>
    <w:rsid w:val="000F24AC"/>
    <w:rsid w:val="000F2F60"/>
    <w:rsid w:val="000F4B3A"/>
    <w:rsid w:val="000F5331"/>
    <w:rsid w:val="000F55C9"/>
    <w:rsid w:val="000F6242"/>
    <w:rsid w:val="000F6F32"/>
    <w:rsid w:val="000F708C"/>
    <w:rsid w:val="000F75A8"/>
    <w:rsid w:val="000F76E0"/>
    <w:rsid w:val="00100331"/>
    <w:rsid w:val="00100DD5"/>
    <w:rsid w:val="00101255"/>
    <w:rsid w:val="001016BB"/>
    <w:rsid w:val="0010251A"/>
    <w:rsid w:val="00102BC3"/>
    <w:rsid w:val="001033BA"/>
    <w:rsid w:val="00103458"/>
    <w:rsid w:val="001047E3"/>
    <w:rsid w:val="00104AFF"/>
    <w:rsid w:val="00105A06"/>
    <w:rsid w:val="001070CD"/>
    <w:rsid w:val="001076E0"/>
    <w:rsid w:val="001078F4"/>
    <w:rsid w:val="00110001"/>
    <w:rsid w:val="00110797"/>
    <w:rsid w:val="00110E81"/>
    <w:rsid w:val="00111ECD"/>
    <w:rsid w:val="001121DD"/>
    <w:rsid w:val="00112592"/>
    <w:rsid w:val="00112DBF"/>
    <w:rsid w:val="00113646"/>
    <w:rsid w:val="0011487E"/>
    <w:rsid w:val="00114BB0"/>
    <w:rsid w:val="00116258"/>
    <w:rsid w:val="0011630D"/>
    <w:rsid w:val="00117559"/>
    <w:rsid w:val="0012077F"/>
    <w:rsid w:val="00120813"/>
    <w:rsid w:val="0012099E"/>
    <w:rsid w:val="00120E60"/>
    <w:rsid w:val="0012130E"/>
    <w:rsid w:val="001213B0"/>
    <w:rsid w:val="00121724"/>
    <w:rsid w:val="00121741"/>
    <w:rsid w:val="00121832"/>
    <w:rsid w:val="0012235C"/>
    <w:rsid w:val="00122A75"/>
    <w:rsid w:val="00122D41"/>
    <w:rsid w:val="001241D1"/>
    <w:rsid w:val="00124985"/>
    <w:rsid w:val="00124A27"/>
    <w:rsid w:val="00125609"/>
    <w:rsid w:val="0012573D"/>
    <w:rsid w:val="0012598F"/>
    <w:rsid w:val="0012611E"/>
    <w:rsid w:val="00126655"/>
    <w:rsid w:val="00126707"/>
    <w:rsid w:val="001269E0"/>
    <w:rsid w:val="00126CE5"/>
    <w:rsid w:val="001303CD"/>
    <w:rsid w:val="00130612"/>
    <w:rsid w:val="00130C61"/>
    <w:rsid w:val="0013190A"/>
    <w:rsid w:val="00131C94"/>
    <w:rsid w:val="00131DE6"/>
    <w:rsid w:val="001326DF"/>
    <w:rsid w:val="00132AD8"/>
    <w:rsid w:val="00132CCE"/>
    <w:rsid w:val="00133884"/>
    <w:rsid w:val="00133D01"/>
    <w:rsid w:val="001341B0"/>
    <w:rsid w:val="00134510"/>
    <w:rsid w:val="0013590D"/>
    <w:rsid w:val="00136073"/>
    <w:rsid w:val="001361F7"/>
    <w:rsid w:val="00136606"/>
    <w:rsid w:val="00136806"/>
    <w:rsid w:val="001369A6"/>
    <w:rsid w:val="00136BD6"/>
    <w:rsid w:val="00136DBC"/>
    <w:rsid w:val="00136F77"/>
    <w:rsid w:val="00137856"/>
    <w:rsid w:val="00137877"/>
    <w:rsid w:val="00137BD8"/>
    <w:rsid w:val="00140221"/>
    <w:rsid w:val="00140291"/>
    <w:rsid w:val="001404CD"/>
    <w:rsid w:val="001406D8"/>
    <w:rsid w:val="00140823"/>
    <w:rsid w:val="001422D4"/>
    <w:rsid w:val="00142632"/>
    <w:rsid w:val="0014309F"/>
    <w:rsid w:val="001442C2"/>
    <w:rsid w:val="001449E1"/>
    <w:rsid w:val="00144D5F"/>
    <w:rsid w:val="001454DB"/>
    <w:rsid w:val="0014560F"/>
    <w:rsid w:val="00145878"/>
    <w:rsid w:val="0014647C"/>
    <w:rsid w:val="00146D04"/>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A52"/>
    <w:rsid w:val="00154103"/>
    <w:rsid w:val="00154304"/>
    <w:rsid w:val="0015477A"/>
    <w:rsid w:val="00154F0A"/>
    <w:rsid w:val="0015516F"/>
    <w:rsid w:val="00156891"/>
    <w:rsid w:val="00156BA3"/>
    <w:rsid w:val="00156D2F"/>
    <w:rsid w:val="00157320"/>
    <w:rsid w:val="00157505"/>
    <w:rsid w:val="001579B9"/>
    <w:rsid w:val="001602EB"/>
    <w:rsid w:val="001610EB"/>
    <w:rsid w:val="001619B6"/>
    <w:rsid w:val="00161C1F"/>
    <w:rsid w:val="00161C2F"/>
    <w:rsid w:val="001620B6"/>
    <w:rsid w:val="00162664"/>
    <w:rsid w:val="001627CA"/>
    <w:rsid w:val="00163005"/>
    <w:rsid w:val="00163194"/>
    <w:rsid w:val="00163311"/>
    <w:rsid w:val="00163DB9"/>
    <w:rsid w:val="001642FB"/>
    <w:rsid w:val="00164475"/>
    <w:rsid w:val="00164F8F"/>
    <w:rsid w:val="0016529F"/>
    <w:rsid w:val="001658F5"/>
    <w:rsid w:val="00165F38"/>
    <w:rsid w:val="001661B8"/>
    <w:rsid w:val="00166237"/>
    <w:rsid w:val="0016644D"/>
    <w:rsid w:val="00166EE6"/>
    <w:rsid w:val="001672AF"/>
    <w:rsid w:val="00170A14"/>
    <w:rsid w:val="00170E8E"/>
    <w:rsid w:val="0017112B"/>
    <w:rsid w:val="001726CF"/>
    <w:rsid w:val="00172A27"/>
    <w:rsid w:val="00172BAF"/>
    <w:rsid w:val="00172BD9"/>
    <w:rsid w:val="00172C93"/>
    <w:rsid w:val="00172EC0"/>
    <w:rsid w:val="00173191"/>
    <w:rsid w:val="001731C7"/>
    <w:rsid w:val="00173704"/>
    <w:rsid w:val="001737FE"/>
    <w:rsid w:val="0017426E"/>
    <w:rsid w:val="001742BE"/>
    <w:rsid w:val="001758FF"/>
    <w:rsid w:val="00176E50"/>
    <w:rsid w:val="0017723E"/>
    <w:rsid w:val="00177470"/>
    <w:rsid w:val="001775DA"/>
    <w:rsid w:val="00177AD0"/>
    <w:rsid w:val="001810F6"/>
    <w:rsid w:val="00181135"/>
    <w:rsid w:val="00181C0B"/>
    <w:rsid w:val="00182382"/>
    <w:rsid w:val="00182DF8"/>
    <w:rsid w:val="00182FF0"/>
    <w:rsid w:val="00183F76"/>
    <w:rsid w:val="001844C2"/>
    <w:rsid w:val="00185C66"/>
    <w:rsid w:val="00185C84"/>
    <w:rsid w:val="00187892"/>
    <w:rsid w:val="00187DFB"/>
    <w:rsid w:val="00187FF5"/>
    <w:rsid w:val="00190463"/>
    <w:rsid w:val="00191435"/>
    <w:rsid w:val="00192213"/>
    <w:rsid w:val="001927A2"/>
    <w:rsid w:val="001927AF"/>
    <w:rsid w:val="0019335B"/>
    <w:rsid w:val="0019423A"/>
    <w:rsid w:val="00195648"/>
    <w:rsid w:val="001959DC"/>
    <w:rsid w:val="00195F44"/>
    <w:rsid w:val="00196019"/>
    <w:rsid w:val="00196C83"/>
    <w:rsid w:val="00196E92"/>
    <w:rsid w:val="001A0896"/>
    <w:rsid w:val="001A2362"/>
    <w:rsid w:val="001A3116"/>
    <w:rsid w:val="001A315B"/>
    <w:rsid w:val="001A3856"/>
    <w:rsid w:val="001A3C38"/>
    <w:rsid w:val="001A3F6D"/>
    <w:rsid w:val="001A4C94"/>
    <w:rsid w:val="001A4E6D"/>
    <w:rsid w:val="001A5DA1"/>
    <w:rsid w:val="001A6E3F"/>
    <w:rsid w:val="001A6EBA"/>
    <w:rsid w:val="001A70D4"/>
    <w:rsid w:val="001A775C"/>
    <w:rsid w:val="001A7CBA"/>
    <w:rsid w:val="001B02BE"/>
    <w:rsid w:val="001B1736"/>
    <w:rsid w:val="001B1AE6"/>
    <w:rsid w:val="001B32D3"/>
    <w:rsid w:val="001B32E4"/>
    <w:rsid w:val="001B35B1"/>
    <w:rsid w:val="001B3778"/>
    <w:rsid w:val="001B3E30"/>
    <w:rsid w:val="001B4794"/>
    <w:rsid w:val="001B4B55"/>
    <w:rsid w:val="001B4ED3"/>
    <w:rsid w:val="001B50CC"/>
    <w:rsid w:val="001B5355"/>
    <w:rsid w:val="001B6049"/>
    <w:rsid w:val="001B60D4"/>
    <w:rsid w:val="001B6482"/>
    <w:rsid w:val="001B7014"/>
    <w:rsid w:val="001B76D5"/>
    <w:rsid w:val="001B7C32"/>
    <w:rsid w:val="001B7CBF"/>
    <w:rsid w:val="001C0279"/>
    <w:rsid w:val="001C0352"/>
    <w:rsid w:val="001C148A"/>
    <w:rsid w:val="001C15DB"/>
    <w:rsid w:val="001C1814"/>
    <w:rsid w:val="001C1A4B"/>
    <w:rsid w:val="001C3D80"/>
    <w:rsid w:val="001C405C"/>
    <w:rsid w:val="001C4361"/>
    <w:rsid w:val="001C51A3"/>
    <w:rsid w:val="001C5358"/>
    <w:rsid w:val="001C56D1"/>
    <w:rsid w:val="001C6921"/>
    <w:rsid w:val="001C7A8C"/>
    <w:rsid w:val="001C7DB6"/>
    <w:rsid w:val="001D04A2"/>
    <w:rsid w:val="001D15D9"/>
    <w:rsid w:val="001D23EF"/>
    <w:rsid w:val="001D23F7"/>
    <w:rsid w:val="001D3534"/>
    <w:rsid w:val="001D40F4"/>
    <w:rsid w:val="001D537F"/>
    <w:rsid w:val="001D5BDC"/>
    <w:rsid w:val="001D6910"/>
    <w:rsid w:val="001D723E"/>
    <w:rsid w:val="001D746C"/>
    <w:rsid w:val="001D7681"/>
    <w:rsid w:val="001E131D"/>
    <w:rsid w:val="001E1F3F"/>
    <w:rsid w:val="001E1FA3"/>
    <w:rsid w:val="001E21AC"/>
    <w:rsid w:val="001E24A4"/>
    <w:rsid w:val="001E2754"/>
    <w:rsid w:val="001E28CC"/>
    <w:rsid w:val="001E2EC4"/>
    <w:rsid w:val="001E321D"/>
    <w:rsid w:val="001E3451"/>
    <w:rsid w:val="001E38B1"/>
    <w:rsid w:val="001E3991"/>
    <w:rsid w:val="001E478C"/>
    <w:rsid w:val="001E4C00"/>
    <w:rsid w:val="001E4D12"/>
    <w:rsid w:val="001E4D56"/>
    <w:rsid w:val="001E4DF5"/>
    <w:rsid w:val="001E5E13"/>
    <w:rsid w:val="001E63D0"/>
    <w:rsid w:val="001E6879"/>
    <w:rsid w:val="001E72E0"/>
    <w:rsid w:val="001E76D5"/>
    <w:rsid w:val="001F0064"/>
    <w:rsid w:val="001F02AE"/>
    <w:rsid w:val="001F03EF"/>
    <w:rsid w:val="001F0487"/>
    <w:rsid w:val="001F0F38"/>
    <w:rsid w:val="001F16DF"/>
    <w:rsid w:val="001F1960"/>
    <w:rsid w:val="001F1E4A"/>
    <w:rsid w:val="001F3706"/>
    <w:rsid w:val="001F3995"/>
    <w:rsid w:val="001F3BF9"/>
    <w:rsid w:val="001F3DAE"/>
    <w:rsid w:val="001F4685"/>
    <w:rsid w:val="001F4A98"/>
    <w:rsid w:val="001F5245"/>
    <w:rsid w:val="001F55F3"/>
    <w:rsid w:val="001F6159"/>
    <w:rsid w:val="001F6680"/>
    <w:rsid w:val="001F6B74"/>
    <w:rsid w:val="001F6FB6"/>
    <w:rsid w:val="001F740D"/>
    <w:rsid w:val="001F792F"/>
    <w:rsid w:val="001F7AC9"/>
    <w:rsid w:val="001F7B9E"/>
    <w:rsid w:val="001F7BE1"/>
    <w:rsid w:val="001F7C97"/>
    <w:rsid w:val="0020095B"/>
    <w:rsid w:val="00200A84"/>
    <w:rsid w:val="002014F7"/>
    <w:rsid w:val="00201CB4"/>
    <w:rsid w:val="00201ED0"/>
    <w:rsid w:val="00201FFC"/>
    <w:rsid w:val="00202576"/>
    <w:rsid w:val="00202B50"/>
    <w:rsid w:val="00202EF9"/>
    <w:rsid w:val="00203041"/>
    <w:rsid w:val="00203204"/>
    <w:rsid w:val="00203236"/>
    <w:rsid w:val="002036E8"/>
    <w:rsid w:val="00203946"/>
    <w:rsid w:val="00203B3F"/>
    <w:rsid w:val="002045CB"/>
    <w:rsid w:val="002048AD"/>
    <w:rsid w:val="0020494A"/>
    <w:rsid w:val="00204AF8"/>
    <w:rsid w:val="002051F7"/>
    <w:rsid w:val="002052C4"/>
    <w:rsid w:val="0020531C"/>
    <w:rsid w:val="00205EF5"/>
    <w:rsid w:val="002062B5"/>
    <w:rsid w:val="002067D2"/>
    <w:rsid w:val="0020708A"/>
    <w:rsid w:val="00207642"/>
    <w:rsid w:val="00207F6A"/>
    <w:rsid w:val="00207F97"/>
    <w:rsid w:val="00210256"/>
    <w:rsid w:val="00210394"/>
    <w:rsid w:val="0021076E"/>
    <w:rsid w:val="00210B83"/>
    <w:rsid w:val="00210E82"/>
    <w:rsid w:val="00212B08"/>
    <w:rsid w:val="00213289"/>
    <w:rsid w:val="00213825"/>
    <w:rsid w:val="00214189"/>
    <w:rsid w:val="00214ADD"/>
    <w:rsid w:val="0021525B"/>
    <w:rsid w:val="0021565D"/>
    <w:rsid w:val="00216998"/>
    <w:rsid w:val="00216B19"/>
    <w:rsid w:val="00216CCC"/>
    <w:rsid w:val="00216E16"/>
    <w:rsid w:val="0021738B"/>
    <w:rsid w:val="002176D8"/>
    <w:rsid w:val="00220082"/>
    <w:rsid w:val="002203BD"/>
    <w:rsid w:val="0022040C"/>
    <w:rsid w:val="0022054A"/>
    <w:rsid w:val="00220771"/>
    <w:rsid w:val="00220776"/>
    <w:rsid w:val="00220C7C"/>
    <w:rsid w:val="002221C3"/>
    <w:rsid w:val="002223BA"/>
    <w:rsid w:val="0022299A"/>
    <w:rsid w:val="00222B91"/>
    <w:rsid w:val="002230FD"/>
    <w:rsid w:val="002232B3"/>
    <w:rsid w:val="002242A5"/>
    <w:rsid w:val="002242DB"/>
    <w:rsid w:val="00224756"/>
    <w:rsid w:val="00224878"/>
    <w:rsid w:val="0022514D"/>
    <w:rsid w:val="00225CEE"/>
    <w:rsid w:val="00226447"/>
    <w:rsid w:val="002266DB"/>
    <w:rsid w:val="002267DA"/>
    <w:rsid w:val="00226894"/>
    <w:rsid w:val="002268B0"/>
    <w:rsid w:val="00227577"/>
    <w:rsid w:val="002277E9"/>
    <w:rsid w:val="00227BB3"/>
    <w:rsid w:val="002303A6"/>
    <w:rsid w:val="0023069A"/>
    <w:rsid w:val="00230894"/>
    <w:rsid w:val="002308E9"/>
    <w:rsid w:val="00231442"/>
    <w:rsid w:val="00231468"/>
    <w:rsid w:val="00231B36"/>
    <w:rsid w:val="00231F9E"/>
    <w:rsid w:val="00232498"/>
    <w:rsid w:val="0023254E"/>
    <w:rsid w:val="00232918"/>
    <w:rsid w:val="00233114"/>
    <w:rsid w:val="0023350C"/>
    <w:rsid w:val="002336EE"/>
    <w:rsid w:val="00233974"/>
    <w:rsid w:val="00233D53"/>
    <w:rsid w:val="00233E70"/>
    <w:rsid w:val="00234281"/>
    <w:rsid w:val="00234A21"/>
    <w:rsid w:val="00234F9A"/>
    <w:rsid w:val="00234FD3"/>
    <w:rsid w:val="0023515B"/>
    <w:rsid w:val="00236B90"/>
    <w:rsid w:val="002371BF"/>
    <w:rsid w:val="00237A87"/>
    <w:rsid w:val="002404C3"/>
    <w:rsid w:val="00241129"/>
    <w:rsid w:val="002417E9"/>
    <w:rsid w:val="00241840"/>
    <w:rsid w:val="00241C36"/>
    <w:rsid w:val="002422D1"/>
    <w:rsid w:val="002427EB"/>
    <w:rsid w:val="002427F0"/>
    <w:rsid w:val="002428BD"/>
    <w:rsid w:val="00242E09"/>
    <w:rsid w:val="002432B7"/>
    <w:rsid w:val="002440B2"/>
    <w:rsid w:val="00244CC2"/>
    <w:rsid w:val="00245019"/>
    <w:rsid w:val="002452D5"/>
    <w:rsid w:val="002458CE"/>
    <w:rsid w:val="0024635A"/>
    <w:rsid w:val="0024638F"/>
    <w:rsid w:val="00246513"/>
    <w:rsid w:val="00246B1D"/>
    <w:rsid w:val="00247BDE"/>
    <w:rsid w:val="002507C4"/>
    <w:rsid w:val="00250B11"/>
    <w:rsid w:val="00251257"/>
    <w:rsid w:val="00251EB3"/>
    <w:rsid w:val="00252159"/>
    <w:rsid w:val="002531E5"/>
    <w:rsid w:val="0025329B"/>
    <w:rsid w:val="002538BA"/>
    <w:rsid w:val="00253EC4"/>
    <w:rsid w:val="0025418A"/>
    <w:rsid w:val="00254240"/>
    <w:rsid w:val="002545D0"/>
    <w:rsid w:val="00255255"/>
    <w:rsid w:val="00255BC2"/>
    <w:rsid w:val="00256113"/>
    <w:rsid w:val="00256539"/>
    <w:rsid w:val="00256DEA"/>
    <w:rsid w:val="00257C49"/>
    <w:rsid w:val="00260271"/>
    <w:rsid w:val="0026072F"/>
    <w:rsid w:val="00260952"/>
    <w:rsid w:val="00261192"/>
    <w:rsid w:val="00261A11"/>
    <w:rsid w:val="00261CB5"/>
    <w:rsid w:val="002625F2"/>
    <w:rsid w:val="00262F10"/>
    <w:rsid w:val="0026323A"/>
    <w:rsid w:val="00263413"/>
    <w:rsid w:val="0026431A"/>
    <w:rsid w:val="002644A4"/>
    <w:rsid w:val="00265066"/>
    <w:rsid w:val="00265238"/>
    <w:rsid w:val="00265C93"/>
    <w:rsid w:val="00265F00"/>
    <w:rsid w:val="00266300"/>
    <w:rsid w:val="00266BD0"/>
    <w:rsid w:val="002675AE"/>
    <w:rsid w:val="00267702"/>
    <w:rsid w:val="002700AA"/>
    <w:rsid w:val="002708B2"/>
    <w:rsid w:val="00270B46"/>
    <w:rsid w:val="00271150"/>
    <w:rsid w:val="00273F48"/>
    <w:rsid w:val="002747CC"/>
    <w:rsid w:val="00274830"/>
    <w:rsid w:val="00274DF9"/>
    <w:rsid w:val="00275170"/>
    <w:rsid w:val="00275A41"/>
    <w:rsid w:val="00275D77"/>
    <w:rsid w:val="0027695D"/>
    <w:rsid w:val="002778F2"/>
    <w:rsid w:val="00277F52"/>
    <w:rsid w:val="002809A3"/>
    <w:rsid w:val="00281979"/>
    <w:rsid w:val="00281E85"/>
    <w:rsid w:val="00282B8A"/>
    <w:rsid w:val="002837F8"/>
    <w:rsid w:val="00283ACF"/>
    <w:rsid w:val="00283C99"/>
    <w:rsid w:val="0028473D"/>
    <w:rsid w:val="00284850"/>
    <w:rsid w:val="00284D22"/>
    <w:rsid w:val="00285326"/>
    <w:rsid w:val="00285587"/>
    <w:rsid w:val="00285A10"/>
    <w:rsid w:val="00285DE8"/>
    <w:rsid w:val="00286213"/>
    <w:rsid w:val="0029007B"/>
    <w:rsid w:val="00290891"/>
    <w:rsid w:val="00291493"/>
    <w:rsid w:val="00291DA9"/>
    <w:rsid w:val="00292608"/>
    <w:rsid w:val="00292773"/>
    <w:rsid w:val="002927AC"/>
    <w:rsid w:val="0029469F"/>
    <w:rsid w:val="00295405"/>
    <w:rsid w:val="002954FB"/>
    <w:rsid w:val="00295DF7"/>
    <w:rsid w:val="0029618D"/>
    <w:rsid w:val="002965BA"/>
    <w:rsid w:val="00296814"/>
    <w:rsid w:val="00296D06"/>
    <w:rsid w:val="002970BE"/>
    <w:rsid w:val="0029716C"/>
    <w:rsid w:val="002A0DD4"/>
    <w:rsid w:val="002A2537"/>
    <w:rsid w:val="002A2AB8"/>
    <w:rsid w:val="002A2B8E"/>
    <w:rsid w:val="002A30E1"/>
    <w:rsid w:val="002A3E01"/>
    <w:rsid w:val="002A50ED"/>
    <w:rsid w:val="002A5126"/>
    <w:rsid w:val="002A5536"/>
    <w:rsid w:val="002A560A"/>
    <w:rsid w:val="002A5774"/>
    <w:rsid w:val="002A5948"/>
    <w:rsid w:val="002A5A54"/>
    <w:rsid w:val="002A5C00"/>
    <w:rsid w:val="002A64F2"/>
    <w:rsid w:val="002A6590"/>
    <w:rsid w:val="002A6F79"/>
    <w:rsid w:val="002A7478"/>
    <w:rsid w:val="002A7B26"/>
    <w:rsid w:val="002B01AD"/>
    <w:rsid w:val="002B047F"/>
    <w:rsid w:val="002B1791"/>
    <w:rsid w:val="002B1FDA"/>
    <w:rsid w:val="002B2B0C"/>
    <w:rsid w:val="002B2D78"/>
    <w:rsid w:val="002B32C9"/>
    <w:rsid w:val="002B3736"/>
    <w:rsid w:val="002B4054"/>
    <w:rsid w:val="002B46FF"/>
    <w:rsid w:val="002B497D"/>
    <w:rsid w:val="002B4A06"/>
    <w:rsid w:val="002B4D0E"/>
    <w:rsid w:val="002B542A"/>
    <w:rsid w:val="002B5495"/>
    <w:rsid w:val="002B54C5"/>
    <w:rsid w:val="002B55E5"/>
    <w:rsid w:val="002B612D"/>
    <w:rsid w:val="002B653E"/>
    <w:rsid w:val="002B6703"/>
    <w:rsid w:val="002B6D69"/>
    <w:rsid w:val="002B6F67"/>
    <w:rsid w:val="002B7411"/>
    <w:rsid w:val="002B7B88"/>
    <w:rsid w:val="002B7F1B"/>
    <w:rsid w:val="002B7F30"/>
    <w:rsid w:val="002B7F5B"/>
    <w:rsid w:val="002C0083"/>
    <w:rsid w:val="002C032E"/>
    <w:rsid w:val="002C081A"/>
    <w:rsid w:val="002C108A"/>
    <w:rsid w:val="002C1553"/>
    <w:rsid w:val="002C2CCD"/>
    <w:rsid w:val="002C2F7F"/>
    <w:rsid w:val="002C2FB4"/>
    <w:rsid w:val="002C2FD3"/>
    <w:rsid w:val="002C3683"/>
    <w:rsid w:val="002C369F"/>
    <w:rsid w:val="002C41BC"/>
    <w:rsid w:val="002C6751"/>
    <w:rsid w:val="002C6DC2"/>
    <w:rsid w:val="002C6DDA"/>
    <w:rsid w:val="002C713E"/>
    <w:rsid w:val="002D053D"/>
    <w:rsid w:val="002D0A97"/>
    <w:rsid w:val="002D0B99"/>
    <w:rsid w:val="002D10FA"/>
    <w:rsid w:val="002D1936"/>
    <w:rsid w:val="002D1CE8"/>
    <w:rsid w:val="002D2FB2"/>
    <w:rsid w:val="002D337C"/>
    <w:rsid w:val="002D3782"/>
    <w:rsid w:val="002D3EBD"/>
    <w:rsid w:val="002D48E6"/>
    <w:rsid w:val="002D5B16"/>
    <w:rsid w:val="002D6AAE"/>
    <w:rsid w:val="002D769A"/>
    <w:rsid w:val="002D7789"/>
    <w:rsid w:val="002D77B7"/>
    <w:rsid w:val="002D7CC4"/>
    <w:rsid w:val="002D7DBC"/>
    <w:rsid w:val="002E0C21"/>
    <w:rsid w:val="002E0FA4"/>
    <w:rsid w:val="002E192A"/>
    <w:rsid w:val="002E1AE0"/>
    <w:rsid w:val="002E2471"/>
    <w:rsid w:val="002E2B84"/>
    <w:rsid w:val="002E2C75"/>
    <w:rsid w:val="002E2DD9"/>
    <w:rsid w:val="002E300A"/>
    <w:rsid w:val="002E3543"/>
    <w:rsid w:val="002E3B50"/>
    <w:rsid w:val="002E3B82"/>
    <w:rsid w:val="002E3C95"/>
    <w:rsid w:val="002E40D7"/>
    <w:rsid w:val="002E4BB3"/>
    <w:rsid w:val="002E56CE"/>
    <w:rsid w:val="002E59BE"/>
    <w:rsid w:val="002E5F0D"/>
    <w:rsid w:val="002E6EE7"/>
    <w:rsid w:val="002E74A9"/>
    <w:rsid w:val="002E758B"/>
    <w:rsid w:val="002F07FF"/>
    <w:rsid w:val="002F0C6B"/>
    <w:rsid w:val="002F1CD0"/>
    <w:rsid w:val="002F1D5C"/>
    <w:rsid w:val="002F207F"/>
    <w:rsid w:val="002F24AF"/>
    <w:rsid w:val="002F32ED"/>
    <w:rsid w:val="002F34EA"/>
    <w:rsid w:val="002F3799"/>
    <w:rsid w:val="002F43B6"/>
    <w:rsid w:val="002F49F9"/>
    <w:rsid w:val="002F515D"/>
    <w:rsid w:val="002F594A"/>
    <w:rsid w:val="002F6291"/>
    <w:rsid w:val="002F6673"/>
    <w:rsid w:val="002F66DB"/>
    <w:rsid w:val="002F6DBD"/>
    <w:rsid w:val="002F7256"/>
    <w:rsid w:val="002F74B2"/>
    <w:rsid w:val="002F7EB8"/>
    <w:rsid w:val="0030086D"/>
    <w:rsid w:val="00300D86"/>
    <w:rsid w:val="003016E9"/>
    <w:rsid w:val="003017E1"/>
    <w:rsid w:val="00302F6A"/>
    <w:rsid w:val="003038C6"/>
    <w:rsid w:val="00303B54"/>
    <w:rsid w:val="003040C0"/>
    <w:rsid w:val="00305CC7"/>
    <w:rsid w:val="00305F62"/>
    <w:rsid w:val="0030688B"/>
    <w:rsid w:val="00306A10"/>
    <w:rsid w:val="003074FD"/>
    <w:rsid w:val="00307A2D"/>
    <w:rsid w:val="00310204"/>
    <w:rsid w:val="00310272"/>
    <w:rsid w:val="00310C36"/>
    <w:rsid w:val="00310D86"/>
    <w:rsid w:val="00310F34"/>
    <w:rsid w:val="00311FC0"/>
    <w:rsid w:val="00312321"/>
    <w:rsid w:val="00312AF6"/>
    <w:rsid w:val="00312CB7"/>
    <w:rsid w:val="00312E68"/>
    <w:rsid w:val="0031351A"/>
    <w:rsid w:val="003161E5"/>
    <w:rsid w:val="0031654B"/>
    <w:rsid w:val="00316C18"/>
    <w:rsid w:val="00317071"/>
    <w:rsid w:val="003170F2"/>
    <w:rsid w:val="00320199"/>
    <w:rsid w:val="003204DA"/>
    <w:rsid w:val="00320582"/>
    <w:rsid w:val="003206BE"/>
    <w:rsid w:val="00321282"/>
    <w:rsid w:val="0032130E"/>
    <w:rsid w:val="0032187E"/>
    <w:rsid w:val="003218EA"/>
    <w:rsid w:val="00321F93"/>
    <w:rsid w:val="0032278A"/>
    <w:rsid w:val="0032279E"/>
    <w:rsid w:val="00322A25"/>
    <w:rsid w:val="0032318E"/>
    <w:rsid w:val="00323440"/>
    <w:rsid w:val="00323480"/>
    <w:rsid w:val="00324A14"/>
    <w:rsid w:val="00325085"/>
    <w:rsid w:val="00325665"/>
    <w:rsid w:val="00325668"/>
    <w:rsid w:val="003262AB"/>
    <w:rsid w:val="0032659C"/>
    <w:rsid w:val="00326D8F"/>
    <w:rsid w:val="00327292"/>
    <w:rsid w:val="003272FD"/>
    <w:rsid w:val="0032744E"/>
    <w:rsid w:val="00327480"/>
    <w:rsid w:val="0032757F"/>
    <w:rsid w:val="00330A37"/>
    <w:rsid w:val="00330B81"/>
    <w:rsid w:val="00332C4C"/>
    <w:rsid w:val="003332AB"/>
    <w:rsid w:val="00333A15"/>
    <w:rsid w:val="00333A6D"/>
    <w:rsid w:val="00333EC2"/>
    <w:rsid w:val="00333F1D"/>
    <w:rsid w:val="003353F1"/>
    <w:rsid w:val="00335776"/>
    <w:rsid w:val="00336075"/>
    <w:rsid w:val="003374B9"/>
    <w:rsid w:val="003375AB"/>
    <w:rsid w:val="003378B1"/>
    <w:rsid w:val="003408E2"/>
    <w:rsid w:val="003415A2"/>
    <w:rsid w:val="0034312D"/>
    <w:rsid w:val="0034330F"/>
    <w:rsid w:val="00343669"/>
    <w:rsid w:val="00343C67"/>
    <w:rsid w:val="0034413A"/>
    <w:rsid w:val="0034446D"/>
    <w:rsid w:val="00344BA3"/>
    <w:rsid w:val="00344BDC"/>
    <w:rsid w:val="00344D5E"/>
    <w:rsid w:val="00345475"/>
    <w:rsid w:val="00345FC8"/>
    <w:rsid w:val="003467F2"/>
    <w:rsid w:val="00346844"/>
    <w:rsid w:val="00346945"/>
    <w:rsid w:val="00346AE5"/>
    <w:rsid w:val="00346C56"/>
    <w:rsid w:val="00347782"/>
    <w:rsid w:val="00347D51"/>
    <w:rsid w:val="00347E11"/>
    <w:rsid w:val="003500C9"/>
    <w:rsid w:val="00350268"/>
    <w:rsid w:val="00350594"/>
    <w:rsid w:val="003508FB"/>
    <w:rsid w:val="00350C4A"/>
    <w:rsid w:val="003518DC"/>
    <w:rsid w:val="00352542"/>
    <w:rsid w:val="0035269B"/>
    <w:rsid w:val="00352F72"/>
    <w:rsid w:val="00353202"/>
    <w:rsid w:val="0035326A"/>
    <w:rsid w:val="0035327A"/>
    <w:rsid w:val="003534CB"/>
    <w:rsid w:val="00353FC5"/>
    <w:rsid w:val="00354112"/>
    <w:rsid w:val="00354407"/>
    <w:rsid w:val="00354730"/>
    <w:rsid w:val="00354CDA"/>
    <w:rsid w:val="003555CF"/>
    <w:rsid w:val="00355B59"/>
    <w:rsid w:val="0035620E"/>
    <w:rsid w:val="003564B6"/>
    <w:rsid w:val="0035659C"/>
    <w:rsid w:val="0035669E"/>
    <w:rsid w:val="00356C67"/>
    <w:rsid w:val="003574FA"/>
    <w:rsid w:val="00357700"/>
    <w:rsid w:val="00357C05"/>
    <w:rsid w:val="00357DE5"/>
    <w:rsid w:val="00360509"/>
    <w:rsid w:val="0036056F"/>
    <w:rsid w:val="0036071E"/>
    <w:rsid w:val="00360E9D"/>
    <w:rsid w:val="0036171C"/>
    <w:rsid w:val="00362E59"/>
    <w:rsid w:val="00363B12"/>
    <w:rsid w:val="0036402D"/>
    <w:rsid w:val="0036423C"/>
    <w:rsid w:val="003648BB"/>
    <w:rsid w:val="003649CB"/>
    <w:rsid w:val="00364D59"/>
    <w:rsid w:val="003654BE"/>
    <w:rsid w:val="003654DD"/>
    <w:rsid w:val="00365D2E"/>
    <w:rsid w:val="00365DBB"/>
    <w:rsid w:val="00366EE9"/>
    <w:rsid w:val="00367202"/>
    <w:rsid w:val="003673E6"/>
    <w:rsid w:val="003675F0"/>
    <w:rsid w:val="00367A90"/>
    <w:rsid w:val="003703EC"/>
    <w:rsid w:val="00370963"/>
    <w:rsid w:val="00371009"/>
    <w:rsid w:val="00371BC4"/>
    <w:rsid w:val="003722E8"/>
    <w:rsid w:val="00372733"/>
    <w:rsid w:val="0037280D"/>
    <w:rsid w:val="003728E1"/>
    <w:rsid w:val="00372968"/>
    <w:rsid w:val="00372C4C"/>
    <w:rsid w:val="00373496"/>
    <w:rsid w:val="003736A7"/>
    <w:rsid w:val="00373B43"/>
    <w:rsid w:val="00373B9D"/>
    <w:rsid w:val="00373E1B"/>
    <w:rsid w:val="00374508"/>
    <w:rsid w:val="003745D0"/>
    <w:rsid w:val="003748B9"/>
    <w:rsid w:val="00374FD6"/>
    <w:rsid w:val="00375B8A"/>
    <w:rsid w:val="00375E04"/>
    <w:rsid w:val="0037642E"/>
    <w:rsid w:val="003776AD"/>
    <w:rsid w:val="00377D45"/>
    <w:rsid w:val="003801DC"/>
    <w:rsid w:val="00380720"/>
    <w:rsid w:val="00380E15"/>
    <w:rsid w:val="00380F51"/>
    <w:rsid w:val="00381301"/>
    <w:rsid w:val="003817B5"/>
    <w:rsid w:val="00381993"/>
    <w:rsid w:val="00381B3A"/>
    <w:rsid w:val="00381F75"/>
    <w:rsid w:val="0038248C"/>
    <w:rsid w:val="003829A5"/>
    <w:rsid w:val="00383E24"/>
    <w:rsid w:val="00384837"/>
    <w:rsid w:val="00384A4B"/>
    <w:rsid w:val="00384C2C"/>
    <w:rsid w:val="00384CEB"/>
    <w:rsid w:val="003856C6"/>
    <w:rsid w:val="00385E25"/>
    <w:rsid w:val="00385E50"/>
    <w:rsid w:val="0038685F"/>
    <w:rsid w:val="00386B43"/>
    <w:rsid w:val="00386B52"/>
    <w:rsid w:val="00386CBA"/>
    <w:rsid w:val="00386FC4"/>
    <w:rsid w:val="00390BA6"/>
    <w:rsid w:val="00391901"/>
    <w:rsid w:val="00391AC1"/>
    <w:rsid w:val="00391B2B"/>
    <w:rsid w:val="003923E6"/>
    <w:rsid w:val="003930D6"/>
    <w:rsid w:val="003934D5"/>
    <w:rsid w:val="00393FE9"/>
    <w:rsid w:val="0039476B"/>
    <w:rsid w:val="0039525C"/>
    <w:rsid w:val="00396113"/>
    <w:rsid w:val="00396F26"/>
    <w:rsid w:val="003973FD"/>
    <w:rsid w:val="00397413"/>
    <w:rsid w:val="003976E4"/>
    <w:rsid w:val="00397E21"/>
    <w:rsid w:val="00397FDC"/>
    <w:rsid w:val="003A04AE"/>
    <w:rsid w:val="003A0667"/>
    <w:rsid w:val="003A0696"/>
    <w:rsid w:val="003A19D6"/>
    <w:rsid w:val="003A2D4E"/>
    <w:rsid w:val="003A3999"/>
    <w:rsid w:val="003A4220"/>
    <w:rsid w:val="003A4462"/>
    <w:rsid w:val="003A4663"/>
    <w:rsid w:val="003A4BFF"/>
    <w:rsid w:val="003A4F4E"/>
    <w:rsid w:val="003A5575"/>
    <w:rsid w:val="003A5597"/>
    <w:rsid w:val="003A5D90"/>
    <w:rsid w:val="003A62DA"/>
    <w:rsid w:val="003A7B14"/>
    <w:rsid w:val="003A7B7B"/>
    <w:rsid w:val="003A7D2A"/>
    <w:rsid w:val="003A7D38"/>
    <w:rsid w:val="003B08CD"/>
    <w:rsid w:val="003B14FD"/>
    <w:rsid w:val="003B2427"/>
    <w:rsid w:val="003B2D7D"/>
    <w:rsid w:val="003B3C57"/>
    <w:rsid w:val="003B3DC3"/>
    <w:rsid w:val="003B3E12"/>
    <w:rsid w:val="003B3E38"/>
    <w:rsid w:val="003B42B7"/>
    <w:rsid w:val="003B4696"/>
    <w:rsid w:val="003B4E65"/>
    <w:rsid w:val="003B4EB6"/>
    <w:rsid w:val="003B5038"/>
    <w:rsid w:val="003B5EBF"/>
    <w:rsid w:val="003B6031"/>
    <w:rsid w:val="003B6E81"/>
    <w:rsid w:val="003B77E5"/>
    <w:rsid w:val="003B7E05"/>
    <w:rsid w:val="003C0480"/>
    <w:rsid w:val="003C052A"/>
    <w:rsid w:val="003C131E"/>
    <w:rsid w:val="003C14CC"/>
    <w:rsid w:val="003C19A5"/>
    <w:rsid w:val="003C1C85"/>
    <w:rsid w:val="003C1F69"/>
    <w:rsid w:val="003C2D12"/>
    <w:rsid w:val="003C37E3"/>
    <w:rsid w:val="003C3A2A"/>
    <w:rsid w:val="003C3E7F"/>
    <w:rsid w:val="003C4482"/>
    <w:rsid w:val="003C4B8F"/>
    <w:rsid w:val="003C4E73"/>
    <w:rsid w:val="003C4F92"/>
    <w:rsid w:val="003C5260"/>
    <w:rsid w:val="003C612F"/>
    <w:rsid w:val="003C6468"/>
    <w:rsid w:val="003C752B"/>
    <w:rsid w:val="003D0AF6"/>
    <w:rsid w:val="003D0BFD"/>
    <w:rsid w:val="003D114D"/>
    <w:rsid w:val="003D11D9"/>
    <w:rsid w:val="003D1494"/>
    <w:rsid w:val="003D156A"/>
    <w:rsid w:val="003D1938"/>
    <w:rsid w:val="003D1E5A"/>
    <w:rsid w:val="003D2D69"/>
    <w:rsid w:val="003D3990"/>
    <w:rsid w:val="003D42B5"/>
    <w:rsid w:val="003D42CB"/>
    <w:rsid w:val="003D43E2"/>
    <w:rsid w:val="003D4B62"/>
    <w:rsid w:val="003D4E9A"/>
    <w:rsid w:val="003D51F4"/>
    <w:rsid w:val="003D5589"/>
    <w:rsid w:val="003D5811"/>
    <w:rsid w:val="003D58C5"/>
    <w:rsid w:val="003D6638"/>
    <w:rsid w:val="003D7786"/>
    <w:rsid w:val="003D7DB8"/>
    <w:rsid w:val="003D7FC4"/>
    <w:rsid w:val="003E0354"/>
    <w:rsid w:val="003E08DC"/>
    <w:rsid w:val="003E1802"/>
    <w:rsid w:val="003E184A"/>
    <w:rsid w:val="003E1887"/>
    <w:rsid w:val="003E18C9"/>
    <w:rsid w:val="003E19E2"/>
    <w:rsid w:val="003E2538"/>
    <w:rsid w:val="003E278F"/>
    <w:rsid w:val="003E2B0B"/>
    <w:rsid w:val="003E2E55"/>
    <w:rsid w:val="003E2F98"/>
    <w:rsid w:val="003E3327"/>
    <w:rsid w:val="003E3F81"/>
    <w:rsid w:val="003E4296"/>
    <w:rsid w:val="003E43C8"/>
    <w:rsid w:val="003E4B5F"/>
    <w:rsid w:val="003E530F"/>
    <w:rsid w:val="003E5A33"/>
    <w:rsid w:val="003E5FD7"/>
    <w:rsid w:val="003E63B5"/>
    <w:rsid w:val="003E65FD"/>
    <w:rsid w:val="003E69CF"/>
    <w:rsid w:val="003E6B2B"/>
    <w:rsid w:val="003E6DA0"/>
    <w:rsid w:val="003E72DA"/>
    <w:rsid w:val="003E7915"/>
    <w:rsid w:val="003E7D34"/>
    <w:rsid w:val="003F031C"/>
    <w:rsid w:val="003F132C"/>
    <w:rsid w:val="003F1622"/>
    <w:rsid w:val="003F1AA3"/>
    <w:rsid w:val="003F25EF"/>
    <w:rsid w:val="003F2E1D"/>
    <w:rsid w:val="003F3277"/>
    <w:rsid w:val="003F4C79"/>
    <w:rsid w:val="003F4E06"/>
    <w:rsid w:val="003F5819"/>
    <w:rsid w:val="003F5925"/>
    <w:rsid w:val="003F5E3F"/>
    <w:rsid w:val="003F67CB"/>
    <w:rsid w:val="003F759C"/>
    <w:rsid w:val="003F7E6D"/>
    <w:rsid w:val="00401A8B"/>
    <w:rsid w:val="00401CD0"/>
    <w:rsid w:val="00402608"/>
    <w:rsid w:val="0040276A"/>
    <w:rsid w:val="00402A5A"/>
    <w:rsid w:val="00403542"/>
    <w:rsid w:val="00403A15"/>
    <w:rsid w:val="00404115"/>
    <w:rsid w:val="00405461"/>
    <w:rsid w:val="00405477"/>
    <w:rsid w:val="0040566B"/>
    <w:rsid w:val="0040604A"/>
    <w:rsid w:val="004067F1"/>
    <w:rsid w:val="004068A7"/>
    <w:rsid w:val="00406C91"/>
    <w:rsid w:val="004071C3"/>
    <w:rsid w:val="00410441"/>
    <w:rsid w:val="00410650"/>
    <w:rsid w:val="00410747"/>
    <w:rsid w:val="0041078F"/>
    <w:rsid w:val="00410B78"/>
    <w:rsid w:val="00410F4A"/>
    <w:rsid w:val="0041102C"/>
    <w:rsid w:val="00411154"/>
    <w:rsid w:val="00412BDE"/>
    <w:rsid w:val="00413E42"/>
    <w:rsid w:val="004146E5"/>
    <w:rsid w:val="00414DE0"/>
    <w:rsid w:val="004150A6"/>
    <w:rsid w:val="004150FE"/>
    <w:rsid w:val="004157FA"/>
    <w:rsid w:val="004158A0"/>
    <w:rsid w:val="00415D69"/>
    <w:rsid w:val="00415FAD"/>
    <w:rsid w:val="0041619C"/>
    <w:rsid w:val="0041747C"/>
    <w:rsid w:val="00417701"/>
    <w:rsid w:val="00417C68"/>
    <w:rsid w:val="00417D7A"/>
    <w:rsid w:val="004203AA"/>
    <w:rsid w:val="00420BA6"/>
    <w:rsid w:val="0042121D"/>
    <w:rsid w:val="004213E0"/>
    <w:rsid w:val="0042181C"/>
    <w:rsid w:val="00421BAA"/>
    <w:rsid w:val="00422508"/>
    <w:rsid w:val="0042267A"/>
    <w:rsid w:val="00422C59"/>
    <w:rsid w:val="00422CFC"/>
    <w:rsid w:val="0042412E"/>
    <w:rsid w:val="0042472D"/>
    <w:rsid w:val="0042505E"/>
    <w:rsid w:val="004252E0"/>
    <w:rsid w:val="004257A7"/>
    <w:rsid w:val="00425EF9"/>
    <w:rsid w:val="00425F92"/>
    <w:rsid w:val="0042613E"/>
    <w:rsid w:val="0042754D"/>
    <w:rsid w:val="00430459"/>
    <w:rsid w:val="004305C5"/>
    <w:rsid w:val="004318F9"/>
    <w:rsid w:val="00431B6B"/>
    <w:rsid w:val="00432B95"/>
    <w:rsid w:val="00432B9E"/>
    <w:rsid w:val="004330F7"/>
    <w:rsid w:val="00433D08"/>
    <w:rsid w:val="004341A0"/>
    <w:rsid w:val="004342CB"/>
    <w:rsid w:val="00434374"/>
    <w:rsid w:val="00435197"/>
    <w:rsid w:val="004360AB"/>
    <w:rsid w:val="004364B8"/>
    <w:rsid w:val="0043678E"/>
    <w:rsid w:val="00437B57"/>
    <w:rsid w:val="00440E6C"/>
    <w:rsid w:val="00440F46"/>
    <w:rsid w:val="004410BC"/>
    <w:rsid w:val="00441164"/>
    <w:rsid w:val="004414D3"/>
    <w:rsid w:val="00441A6C"/>
    <w:rsid w:val="004420F9"/>
    <w:rsid w:val="00442BD0"/>
    <w:rsid w:val="004435D7"/>
    <w:rsid w:val="00444188"/>
    <w:rsid w:val="00444473"/>
    <w:rsid w:val="0044482D"/>
    <w:rsid w:val="00444927"/>
    <w:rsid w:val="00444FEA"/>
    <w:rsid w:val="00445367"/>
    <w:rsid w:val="00445837"/>
    <w:rsid w:val="004458AB"/>
    <w:rsid w:val="00445C9F"/>
    <w:rsid w:val="00446409"/>
    <w:rsid w:val="00446D64"/>
    <w:rsid w:val="00447C52"/>
    <w:rsid w:val="004503A1"/>
    <w:rsid w:val="00450674"/>
    <w:rsid w:val="004516E4"/>
    <w:rsid w:val="0045201A"/>
    <w:rsid w:val="00452210"/>
    <w:rsid w:val="0045241D"/>
    <w:rsid w:val="004530D0"/>
    <w:rsid w:val="00453779"/>
    <w:rsid w:val="00453A77"/>
    <w:rsid w:val="00453DB3"/>
    <w:rsid w:val="00454B8F"/>
    <w:rsid w:val="00454C20"/>
    <w:rsid w:val="00454C71"/>
    <w:rsid w:val="0045521F"/>
    <w:rsid w:val="004558FA"/>
    <w:rsid w:val="00455CAE"/>
    <w:rsid w:val="00455E9B"/>
    <w:rsid w:val="00456D15"/>
    <w:rsid w:val="004572D8"/>
    <w:rsid w:val="004578E3"/>
    <w:rsid w:val="00457ADE"/>
    <w:rsid w:val="004602D4"/>
    <w:rsid w:val="00460A4B"/>
    <w:rsid w:val="00461252"/>
    <w:rsid w:val="0046159B"/>
    <w:rsid w:val="00461A84"/>
    <w:rsid w:val="00461D60"/>
    <w:rsid w:val="00462286"/>
    <w:rsid w:val="00462F25"/>
    <w:rsid w:val="00462FE8"/>
    <w:rsid w:val="004631A1"/>
    <w:rsid w:val="0046330C"/>
    <w:rsid w:val="00463717"/>
    <w:rsid w:val="00463754"/>
    <w:rsid w:val="004637CD"/>
    <w:rsid w:val="00463F45"/>
    <w:rsid w:val="004644D1"/>
    <w:rsid w:val="004648BA"/>
    <w:rsid w:val="00464F7F"/>
    <w:rsid w:val="004653AD"/>
    <w:rsid w:val="00465498"/>
    <w:rsid w:val="00465A3C"/>
    <w:rsid w:val="00465F55"/>
    <w:rsid w:val="0046615C"/>
    <w:rsid w:val="00466742"/>
    <w:rsid w:val="00466AE4"/>
    <w:rsid w:val="00466D82"/>
    <w:rsid w:val="0046756D"/>
    <w:rsid w:val="00467B68"/>
    <w:rsid w:val="0047045E"/>
    <w:rsid w:val="00471361"/>
    <w:rsid w:val="00472834"/>
    <w:rsid w:val="00472ADA"/>
    <w:rsid w:val="00472AF9"/>
    <w:rsid w:val="00472CD8"/>
    <w:rsid w:val="00472E87"/>
    <w:rsid w:val="004738FD"/>
    <w:rsid w:val="00474322"/>
    <w:rsid w:val="00474620"/>
    <w:rsid w:val="00474E06"/>
    <w:rsid w:val="004753CD"/>
    <w:rsid w:val="0047548C"/>
    <w:rsid w:val="004761F1"/>
    <w:rsid w:val="00476446"/>
    <w:rsid w:val="00476A2F"/>
    <w:rsid w:val="004779AB"/>
    <w:rsid w:val="00477FA2"/>
    <w:rsid w:val="004801BA"/>
    <w:rsid w:val="0048028B"/>
    <w:rsid w:val="00480455"/>
    <w:rsid w:val="00481C87"/>
    <w:rsid w:val="004827D8"/>
    <w:rsid w:val="004828B4"/>
    <w:rsid w:val="00482F94"/>
    <w:rsid w:val="004840B7"/>
    <w:rsid w:val="00485352"/>
    <w:rsid w:val="00485776"/>
    <w:rsid w:val="00485B53"/>
    <w:rsid w:val="0048639E"/>
    <w:rsid w:val="00486E14"/>
    <w:rsid w:val="004876C2"/>
    <w:rsid w:val="004878B6"/>
    <w:rsid w:val="00487EBB"/>
    <w:rsid w:val="00490370"/>
    <w:rsid w:val="00490831"/>
    <w:rsid w:val="00491095"/>
    <w:rsid w:val="004918B1"/>
    <w:rsid w:val="00491A74"/>
    <w:rsid w:val="00492C56"/>
    <w:rsid w:val="00492DA7"/>
    <w:rsid w:val="00492F1A"/>
    <w:rsid w:val="00493782"/>
    <w:rsid w:val="00493CF5"/>
    <w:rsid w:val="00493E2D"/>
    <w:rsid w:val="00494B2E"/>
    <w:rsid w:val="00494C91"/>
    <w:rsid w:val="0049521E"/>
    <w:rsid w:val="004952A2"/>
    <w:rsid w:val="0049590C"/>
    <w:rsid w:val="00495D9A"/>
    <w:rsid w:val="004966E0"/>
    <w:rsid w:val="00496AD7"/>
    <w:rsid w:val="004A0CEF"/>
    <w:rsid w:val="004A0E02"/>
    <w:rsid w:val="004A0ECC"/>
    <w:rsid w:val="004A1246"/>
    <w:rsid w:val="004A17FA"/>
    <w:rsid w:val="004A25D9"/>
    <w:rsid w:val="004A3F18"/>
    <w:rsid w:val="004A4D06"/>
    <w:rsid w:val="004A4FC8"/>
    <w:rsid w:val="004A51CD"/>
    <w:rsid w:val="004A5232"/>
    <w:rsid w:val="004A558B"/>
    <w:rsid w:val="004A59C2"/>
    <w:rsid w:val="004A7125"/>
    <w:rsid w:val="004A76F0"/>
    <w:rsid w:val="004B0727"/>
    <w:rsid w:val="004B0A5F"/>
    <w:rsid w:val="004B11AD"/>
    <w:rsid w:val="004B15CE"/>
    <w:rsid w:val="004B2630"/>
    <w:rsid w:val="004B26E4"/>
    <w:rsid w:val="004B51A3"/>
    <w:rsid w:val="004B534E"/>
    <w:rsid w:val="004B557C"/>
    <w:rsid w:val="004B586C"/>
    <w:rsid w:val="004B59CB"/>
    <w:rsid w:val="004B5E58"/>
    <w:rsid w:val="004B5FD0"/>
    <w:rsid w:val="004B6901"/>
    <w:rsid w:val="004B6E67"/>
    <w:rsid w:val="004B6F05"/>
    <w:rsid w:val="004B776B"/>
    <w:rsid w:val="004B7963"/>
    <w:rsid w:val="004C0712"/>
    <w:rsid w:val="004C0F0D"/>
    <w:rsid w:val="004C1639"/>
    <w:rsid w:val="004C1838"/>
    <w:rsid w:val="004C1CE3"/>
    <w:rsid w:val="004C2605"/>
    <w:rsid w:val="004C3B2D"/>
    <w:rsid w:val="004C3FD7"/>
    <w:rsid w:val="004C4B3E"/>
    <w:rsid w:val="004C5AA1"/>
    <w:rsid w:val="004C600D"/>
    <w:rsid w:val="004C6374"/>
    <w:rsid w:val="004C64D0"/>
    <w:rsid w:val="004C683A"/>
    <w:rsid w:val="004C6B4F"/>
    <w:rsid w:val="004C6D63"/>
    <w:rsid w:val="004C6DF5"/>
    <w:rsid w:val="004C755F"/>
    <w:rsid w:val="004C79D9"/>
    <w:rsid w:val="004D0FA3"/>
    <w:rsid w:val="004D25E2"/>
    <w:rsid w:val="004D2602"/>
    <w:rsid w:val="004D3A17"/>
    <w:rsid w:val="004D4AC2"/>
    <w:rsid w:val="004D5038"/>
    <w:rsid w:val="004D5710"/>
    <w:rsid w:val="004D5891"/>
    <w:rsid w:val="004D5EBD"/>
    <w:rsid w:val="004D6314"/>
    <w:rsid w:val="004D6A67"/>
    <w:rsid w:val="004D7312"/>
    <w:rsid w:val="004D7420"/>
    <w:rsid w:val="004D757A"/>
    <w:rsid w:val="004E054D"/>
    <w:rsid w:val="004E07DA"/>
    <w:rsid w:val="004E1454"/>
    <w:rsid w:val="004E1968"/>
    <w:rsid w:val="004E2242"/>
    <w:rsid w:val="004E234B"/>
    <w:rsid w:val="004E2921"/>
    <w:rsid w:val="004E2BC5"/>
    <w:rsid w:val="004E305F"/>
    <w:rsid w:val="004E3C85"/>
    <w:rsid w:val="004E3FB6"/>
    <w:rsid w:val="004E4100"/>
    <w:rsid w:val="004E41AF"/>
    <w:rsid w:val="004E4277"/>
    <w:rsid w:val="004E4F95"/>
    <w:rsid w:val="004E53FC"/>
    <w:rsid w:val="004E578F"/>
    <w:rsid w:val="004E596F"/>
    <w:rsid w:val="004E5A30"/>
    <w:rsid w:val="004E5CF5"/>
    <w:rsid w:val="004E750F"/>
    <w:rsid w:val="004E7540"/>
    <w:rsid w:val="004E7FC0"/>
    <w:rsid w:val="004F05B8"/>
    <w:rsid w:val="004F07A6"/>
    <w:rsid w:val="004F1A7E"/>
    <w:rsid w:val="004F2B0B"/>
    <w:rsid w:val="004F2D06"/>
    <w:rsid w:val="004F2F35"/>
    <w:rsid w:val="004F3046"/>
    <w:rsid w:val="004F3141"/>
    <w:rsid w:val="004F341C"/>
    <w:rsid w:val="004F3442"/>
    <w:rsid w:val="004F3723"/>
    <w:rsid w:val="004F38BC"/>
    <w:rsid w:val="004F3BE6"/>
    <w:rsid w:val="004F3D20"/>
    <w:rsid w:val="004F3F17"/>
    <w:rsid w:val="004F4978"/>
    <w:rsid w:val="004F4F47"/>
    <w:rsid w:val="004F56ED"/>
    <w:rsid w:val="004F5D56"/>
    <w:rsid w:val="004F5FA0"/>
    <w:rsid w:val="004F6045"/>
    <w:rsid w:val="004F6147"/>
    <w:rsid w:val="004F614F"/>
    <w:rsid w:val="004F69FE"/>
    <w:rsid w:val="004F752A"/>
    <w:rsid w:val="004F781C"/>
    <w:rsid w:val="004F7918"/>
    <w:rsid w:val="0050029F"/>
    <w:rsid w:val="0050084B"/>
    <w:rsid w:val="0050098F"/>
    <w:rsid w:val="00500CC6"/>
    <w:rsid w:val="0050145C"/>
    <w:rsid w:val="00501758"/>
    <w:rsid w:val="005020D3"/>
    <w:rsid w:val="005029A6"/>
    <w:rsid w:val="00503797"/>
    <w:rsid w:val="0050398F"/>
    <w:rsid w:val="00503C92"/>
    <w:rsid w:val="00503F6D"/>
    <w:rsid w:val="00504F8A"/>
    <w:rsid w:val="00505B35"/>
    <w:rsid w:val="005064B5"/>
    <w:rsid w:val="00506536"/>
    <w:rsid w:val="005067EB"/>
    <w:rsid w:val="00506B64"/>
    <w:rsid w:val="005111E1"/>
    <w:rsid w:val="00511F82"/>
    <w:rsid w:val="0051227C"/>
    <w:rsid w:val="0051254F"/>
    <w:rsid w:val="005130A1"/>
    <w:rsid w:val="00513B6A"/>
    <w:rsid w:val="00513E25"/>
    <w:rsid w:val="0051430B"/>
    <w:rsid w:val="005144B5"/>
    <w:rsid w:val="00514710"/>
    <w:rsid w:val="00515B13"/>
    <w:rsid w:val="005162F1"/>
    <w:rsid w:val="00516603"/>
    <w:rsid w:val="00516AD0"/>
    <w:rsid w:val="0051766E"/>
    <w:rsid w:val="0051788F"/>
    <w:rsid w:val="005205CA"/>
    <w:rsid w:val="00520C96"/>
    <w:rsid w:val="00521896"/>
    <w:rsid w:val="005219BF"/>
    <w:rsid w:val="00522928"/>
    <w:rsid w:val="005234BC"/>
    <w:rsid w:val="00523D53"/>
    <w:rsid w:val="00523F12"/>
    <w:rsid w:val="00523FCF"/>
    <w:rsid w:val="00524E9C"/>
    <w:rsid w:val="00525285"/>
    <w:rsid w:val="0052553B"/>
    <w:rsid w:val="00525BBB"/>
    <w:rsid w:val="00526118"/>
    <w:rsid w:val="00526346"/>
    <w:rsid w:val="005263EB"/>
    <w:rsid w:val="0052699C"/>
    <w:rsid w:val="0052700A"/>
    <w:rsid w:val="00527056"/>
    <w:rsid w:val="00527A5E"/>
    <w:rsid w:val="00527BA9"/>
    <w:rsid w:val="00527D95"/>
    <w:rsid w:val="00530166"/>
    <w:rsid w:val="00530771"/>
    <w:rsid w:val="00530783"/>
    <w:rsid w:val="00530833"/>
    <w:rsid w:val="00530DE9"/>
    <w:rsid w:val="00531C5F"/>
    <w:rsid w:val="005320EA"/>
    <w:rsid w:val="005327B6"/>
    <w:rsid w:val="0053625D"/>
    <w:rsid w:val="00536871"/>
    <w:rsid w:val="00536F59"/>
    <w:rsid w:val="00537507"/>
    <w:rsid w:val="00537A32"/>
    <w:rsid w:val="0054077E"/>
    <w:rsid w:val="00540889"/>
    <w:rsid w:val="00540997"/>
    <w:rsid w:val="005410A4"/>
    <w:rsid w:val="00541214"/>
    <w:rsid w:val="005412F3"/>
    <w:rsid w:val="0054133F"/>
    <w:rsid w:val="00541413"/>
    <w:rsid w:val="00541F64"/>
    <w:rsid w:val="00542F75"/>
    <w:rsid w:val="005431F0"/>
    <w:rsid w:val="005431FC"/>
    <w:rsid w:val="0054327C"/>
    <w:rsid w:val="005442D2"/>
    <w:rsid w:val="00544329"/>
    <w:rsid w:val="00544453"/>
    <w:rsid w:val="005446AA"/>
    <w:rsid w:val="00544DD3"/>
    <w:rsid w:val="00545215"/>
    <w:rsid w:val="00545E44"/>
    <w:rsid w:val="0054766B"/>
    <w:rsid w:val="005507D5"/>
    <w:rsid w:val="00550AA6"/>
    <w:rsid w:val="00550B24"/>
    <w:rsid w:val="005516BD"/>
    <w:rsid w:val="00552E58"/>
    <w:rsid w:val="005530E3"/>
    <w:rsid w:val="00553133"/>
    <w:rsid w:val="00553457"/>
    <w:rsid w:val="00553838"/>
    <w:rsid w:val="00553860"/>
    <w:rsid w:val="005539EC"/>
    <w:rsid w:val="00553A0B"/>
    <w:rsid w:val="00553E32"/>
    <w:rsid w:val="00554607"/>
    <w:rsid w:val="00554627"/>
    <w:rsid w:val="005547FF"/>
    <w:rsid w:val="00555E12"/>
    <w:rsid w:val="005563C9"/>
    <w:rsid w:val="005569F0"/>
    <w:rsid w:val="005572AA"/>
    <w:rsid w:val="0055735D"/>
    <w:rsid w:val="005574F9"/>
    <w:rsid w:val="00560031"/>
    <w:rsid w:val="00560624"/>
    <w:rsid w:val="00560894"/>
    <w:rsid w:val="005608D0"/>
    <w:rsid w:val="00560C38"/>
    <w:rsid w:val="00560DE2"/>
    <w:rsid w:val="00560FAC"/>
    <w:rsid w:val="005612D4"/>
    <w:rsid w:val="005613A3"/>
    <w:rsid w:val="005613A7"/>
    <w:rsid w:val="005619B7"/>
    <w:rsid w:val="00561A59"/>
    <w:rsid w:val="00561C1C"/>
    <w:rsid w:val="00562E3D"/>
    <w:rsid w:val="00563ADB"/>
    <w:rsid w:val="00563F75"/>
    <w:rsid w:val="005640EB"/>
    <w:rsid w:val="00565514"/>
    <w:rsid w:val="00565A6B"/>
    <w:rsid w:val="00565D96"/>
    <w:rsid w:val="00566845"/>
    <w:rsid w:val="00566EC1"/>
    <w:rsid w:val="00570584"/>
    <w:rsid w:val="00570871"/>
    <w:rsid w:val="00570DD9"/>
    <w:rsid w:val="005712D6"/>
    <w:rsid w:val="00571812"/>
    <w:rsid w:val="0057190F"/>
    <w:rsid w:val="00571DCD"/>
    <w:rsid w:val="0057218C"/>
    <w:rsid w:val="00572C81"/>
    <w:rsid w:val="00572E70"/>
    <w:rsid w:val="00572F0A"/>
    <w:rsid w:val="00573369"/>
    <w:rsid w:val="005739FF"/>
    <w:rsid w:val="00573AA7"/>
    <w:rsid w:val="00573C20"/>
    <w:rsid w:val="00574135"/>
    <w:rsid w:val="0057418A"/>
    <w:rsid w:val="0057459F"/>
    <w:rsid w:val="00574923"/>
    <w:rsid w:val="00574D59"/>
    <w:rsid w:val="00575C24"/>
    <w:rsid w:val="00576226"/>
    <w:rsid w:val="005762EA"/>
    <w:rsid w:val="005767AE"/>
    <w:rsid w:val="00580390"/>
    <w:rsid w:val="005817B2"/>
    <w:rsid w:val="005819F7"/>
    <w:rsid w:val="00581C35"/>
    <w:rsid w:val="00582102"/>
    <w:rsid w:val="0058214E"/>
    <w:rsid w:val="005824C6"/>
    <w:rsid w:val="00582674"/>
    <w:rsid w:val="0058271E"/>
    <w:rsid w:val="00582761"/>
    <w:rsid w:val="0058283F"/>
    <w:rsid w:val="00583296"/>
    <w:rsid w:val="00583930"/>
    <w:rsid w:val="00583BFE"/>
    <w:rsid w:val="00583D8A"/>
    <w:rsid w:val="005840EF"/>
    <w:rsid w:val="005845A3"/>
    <w:rsid w:val="005848F8"/>
    <w:rsid w:val="00584E2F"/>
    <w:rsid w:val="00585049"/>
    <w:rsid w:val="00585151"/>
    <w:rsid w:val="0058525B"/>
    <w:rsid w:val="00585C03"/>
    <w:rsid w:val="0058619F"/>
    <w:rsid w:val="00586637"/>
    <w:rsid w:val="00587C46"/>
    <w:rsid w:val="00587F56"/>
    <w:rsid w:val="00587FD9"/>
    <w:rsid w:val="00590065"/>
    <w:rsid w:val="0059008C"/>
    <w:rsid w:val="005908B9"/>
    <w:rsid w:val="00591265"/>
    <w:rsid w:val="00591283"/>
    <w:rsid w:val="005915A4"/>
    <w:rsid w:val="00591C3C"/>
    <w:rsid w:val="005924D3"/>
    <w:rsid w:val="005924F1"/>
    <w:rsid w:val="005925E3"/>
    <w:rsid w:val="00592A7A"/>
    <w:rsid w:val="0059304D"/>
    <w:rsid w:val="005933AE"/>
    <w:rsid w:val="00593554"/>
    <w:rsid w:val="00593F60"/>
    <w:rsid w:val="0059420C"/>
    <w:rsid w:val="00594579"/>
    <w:rsid w:val="00595156"/>
    <w:rsid w:val="00595677"/>
    <w:rsid w:val="00596322"/>
    <w:rsid w:val="00596832"/>
    <w:rsid w:val="00596CCB"/>
    <w:rsid w:val="00596DB6"/>
    <w:rsid w:val="00597753"/>
    <w:rsid w:val="00597BED"/>
    <w:rsid w:val="00597E6F"/>
    <w:rsid w:val="005A0203"/>
    <w:rsid w:val="005A052F"/>
    <w:rsid w:val="005A06BA"/>
    <w:rsid w:val="005A0D34"/>
    <w:rsid w:val="005A0EFC"/>
    <w:rsid w:val="005A1018"/>
    <w:rsid w:val="005A1099"/>
    <w:rsid w:val="005A12EF"/>
    <w:rsid w:val="005A1980"/>
    <w:rsid w:val="005A1A26"/>
    <w:rsid w:val="005A1C52"/>
    <w:rsid w:val="005A1F74"/>
    <w:rsid w:val="005A2593"/>
    <w:rsid w:val="005A3196"/>
    <w:rsid w:val="005A339E"/>
    <w:rsid w:val="005A408B"/>
    <w:rsid w:val="005A582B"/>
    <w:rsid w:val="005A5AD3"/>
    <w:rsid w:val="005A6F80"/>
    <w:rsid w:val="005A6FBA"/>
    <w:rsid w:val="005A7215"/>
    <w:rsid w:val="005A726F"/>
    <w:rsid w:val="005A7629"/>
    <w:rsid w:val="005A782E"/>
    <w:rsid w:val="005A791B"/>
    <w:rsid w:val="005A793B"/>
    <w:rsid w:val="005A79AE"/>
    <w:rsid w:val="005B0150"/>
    <w:rsid w:val="005B0489"/>
    <w:rsid w:val="005B0566"/>
    <w:rsid w:val="005B2054"/>
    <w:rsid w:val="005B2607"/>
    <w:rsid w:val="005B26FD"/>
    <w:rsid w:val="005B40A1"/>
    <w:rsid w:val="005B429E"/>
    <w:rsid w:val="005B44D0"/>
    <w:rsid w:val="005B4CD8"/>
    <w:rsid w:val="005B5B11"/>
    <w:rsid w:val="005B5DAB"/>
    <w:rsid w:val="005B5E15"/>
    <w:rsid w:val="005B60BD"/>
    <w:rsid w:val="005B6184"/>
    <w:rsid w:val="005B6837"/>
    <w:rsid w:val="005B78D4"/>
    <w:rsid w:val="005C0607"/>
    <w:rsid w:val="005C0A76"/>
    <w:rsid w:val="005C0BE5"/>
    <w:rsid w:val="005C0F51"/>
    <w:rsid w:val="005C11E6"/>
    <w:rsid w:val="005C152C"/>
    <w:rsid w:val="005C1F3B"/>
    <w:rsid w:val="005C208C"/>
    <w:rsid w:val="005C210A"/>
    <w:rsid w:val="005C2E67"/>
    <w:rsid w:val="005C35ED"/>
    <w:rsid w:val="005C35FA"/>
    <w:rsid w:val="005C3CEA"/>
    <w:rsid w:val="005C4122"/>
    <w:rsid w:val="005C4351"/>
    <w:rsid w:val="005C4D24"/>
    <w:rsid w:val="005C4DD7"/>
    <w:rsid w:val="005C539A"/>
    <w:rsid w:val="005C53BB"/>
    <w:rsid w:val="005C5ADF"/>
    <w:rsid w:val="005C5CAB"/>
    <w:rsid w:val="005C6F81"/>
    <w:rsid w:val="005C778A"/>
    <w:rsid w:val="005C794A"/>
    <w:rsid w:val="005C7B1F"/>
    <w:rsid w:val="005D00EF"/>
    <w:rsid w:val="005D05AF"/>
    <w:rsid w:val="005D0923"/>
    <w:rsid w:val="005D1184"/>
    <w:rsid w:val="005D12BF"/>
    <w:rsid w:val="005D14E9"/>
    <w:rsid w:val="005D1B75"/>
    <w:rsid w:val="005D1C71"/>
    <w:rsid w:val="005D1DA4"/>
    <w:rsid w:val="005D21A6"/>
    <w:rsid w:val="005D29D5"/>
    <w:rsid w:val="005D30B1"/>
    <w:rsid w:val="005D32CB"/>
    <w:rsid w:val="005D3E97"/>
    <w:rsid w:val="005D3EF3"/>
    <w:rsid w:val="005D4095"/>
    <w:rsid w:val="005D4641"/>
    <w:rsid w:val="005D49FF"/>
    <w:rsid w:val="005D4D0A"/>
    <w:rsid w:val="005D5695"/>
    <w:rsid w:val="005D63D6"/>
    <w:rsid w:val="005D77A0"/>
    <w:rsid w:val="005D7ED3"/>
    <w:rsid w:val="005E0862"/>
    <w:rsid w:val="005E0F9E"/>
    <w:rsid w:val="005E1375"/>
    <w:rsid w:val="005E147F"/>
    <w:rsid w:val="005E1CEB"/>
    <w:rsid w:val="005E2A30"/>
    <w:rsid w:val="005E2FF1"/>
    <w:rsid w:val="005E3850"/>
    <w:rsid w:val="005E39F3"/>
    <w:rsid w:val="005E3B89"/>
    <w:rsid w:val="005E3DEF"/>
    <w:rsid w:val="005E46C1"/>
    <w:rsid w:val="005E4C8F"/>
    <w:rsid w:val="005E4E97"/>
    <w:rsid w:val="005E4FA2"/>
    <w:rsid w:val="005E51C5"/>
    <w:rsid w:val="005E58D5"/>
    <w:rsid w:val="005E5C65"/>
    <w:rsid w:val="005E5DFA"/>
    <w:rsid w:val="005E682E"/>
    <w:rsid w:val="005E6F86"/>
    <w:rsid w:val="005E7479"/>
    <w:rsid w:val="005E7892"/>
    <w:rsid w:val="005F0245"/>
    <w:rsid w:val="005F0652"/>
    <w:rsid w:val="005F07BE"/>
    <w:rsid w:val="005F1146"/>
    <w:rsid w:val="005F2463"/>
    <w:rsid w:val="005F352E"/>
    <w:rsid w:val="005F3CEA"/>
    <w:rsid w:val="005F4A97"/>
    <w:rsid w:val="005F4E85"/>
    <w:rsid w:val="005F546F"/>
    <w:rsid w:val="005F5479"/>
    <w:rsid w:val="005F5B32"/>
    <w:rsid w:val="005F62D7"/>
    <w:rsid w:val="005F66DC"/>
    <w:rsid w:val="005F731B"/>
    <w:rsid w:val="006002D9"/>
    <w:rsid w:val="006006C9"/>
    <w:rsid w:val="006013FB"/>
    <w:rsid w:val="00601BBE"/>
    <w:rsid w:val="00601F1A"/>
    <w:rsid w:val="00601FAB"/>
    <w:rsid w:val="00602746"/>
    <w:rsid w:val="0060294C"/>
    <w:rsid w:val="00603073"/>
    <w:rsid w:val="00603128"/>
    <w:rsid w:val="006031A0"/>
    <w:rsid w:val="0060359E"/>
    <w:rsid w:val="006036E2"/>
    <w:rsid w:val="006037C5"/>
    <w:rsid w:val="00603BCB"/>
    <w:rsid w:val="00603DE5"/>
    <w:rsid w:val="0060471F"/>
    <w:rsid w:val="0060483C"/>
    <w:rsid w:val="00604D4B"/>
    <w:rsid w:val="00604F87"/>
    <w:rsid w:val="006052B9"/>
    <w:rsid w:val="00605607"/>
    <w:rsid w:val="00605E4D"/>
    <w:rsid w:val="00606050"/>
    <w:rsid w:val="00606458"/>
    <w:rsid w:val="00606CC5"/>
    <w:rsid w:val="00606D2A"/>
    <w:rsid w:val="00607141"/>
    <w:rsid w:val="00607B23"/>
    <w:rsid w:val="00611189"/>
    <w:rsid w:val="006114F8"/>
    <w:rsid w:val="006125C5"/>
    <w:rsid w:val="0061276D"/>
    <w:rsid w:val="0061278B"/>
    <w:rsid w:val="00613A41"/>
    <w:rsid w:val="006144BB"/>
    <w:rsid w:val="006145A4"/>
    <w:rsid w:val="00614B54"/>
    <w:rsid w:val="00616900"/>
    <w:rsid w:val="00616ACC"/>
    <w:rsid w:val="00616B2A"/>
    <w:rsid w:val="00617440"/>
    <w:rsid w:val="0061744E"/>
    <w:rsid w:val="0061799E"/>
    <w:rsid w:val="00617CDA"/>
    <w:rsid w:val="006204D9"/>
    <w:rsid w:val="006205AD"/>
    <w:rsid w:val="00620CAC"/>
    <w:rsid w:val="00621934"/>
    <w:rsid w:val="00622007"/>
    <w:rsid w:val="00623C5C"/>
    <w:rsid w:val="00623D94"/>
    <w:rsid w:val="00623F1D"/>
    <w:rsid w:val="006240EA"/>
    <w:rsid w:val="00624B58"/>
    <w:rsid w:val="00624D93"/>
    <w:rsid w:val="006254B1"/>
    <w:rsid w:val="0062711B"/>
    <w:rsid w:val="00630007"/>
    <w:rsid w:val="006305AE"/>
    <w:rsid w:val="00630940"/>
    <w:rsid w:val="00630B6A"/>
    <w:rsid w:val="006312F7"/>
    <w:rsid w:val="00631585"/>
    <w:rsid w:val="006320CB"/>
    <w:rsid w:val="00632656"/>
    <w:rsid w:val="00632F67"/>
    <w:rsid w:val="00633CF5"/>
    <w:rsid w:val="006345ED"/>
    <w:rsid w:val="006345EE"/>
    <w:rsid w:val="00635387"/>
    <w:rsid w:val="00635D9C"/>
    <w:rsid w:val="00636367"/>
    <w:rsid w:val="00636BD8"/>
    <w:rsid w:val="00636F99"/>
    <w:rsid w:val="00640005"/>
    <w:rsid w:val="0064043A"/>
    <w:rsid w:val="0064099A"/>
    <w:rsid w:val="00641758"/>
    <w:rsid w:val="00641C1A"/>
    <w:rsid w:val="00641DF1"/>
    <w:rsid w:val="00642B83"/>
    <w:rsid w:val="0064341D"/>
    <w:rsid w:val="006436ED"/>
    <w:rsid w:val="00643ACA"/>
    <w:rsid w:val="00645164"/>
    <w:rsid w:val="00645E35"/>
    <w:rsid w:val="006469A2"/>
    <w:rsid w:val="00646AB8"/>
    <w:rsid w:val="00646D0D"/>
    <w:rsid w:val="006471F9"/>
    <w:rsid w:val="0064782E"/>
    <w:rsid w:val="006507E9"/>
    <w:rsid w:val="00650822"/>
    <w:rsid w:val="00650A98"/>
    <w:rsid w:val="00652863"/>
    <w:rsid w:val="0065290E"/>
    <w:rsid w:val="00652921"/>
    <w:rsid w:val="00653C4B"/>
    <w:rsid w:val="00653D6D"/>
    <w:rsid w:val="00654978"/>
    <w:rsid w:val="006560A2"/>
    <w:rsid w:val="00656401"/>
    <w:rsid w:val="00656989"/>
    <w:rsid w:val="00656A0C"/>
    <w:rsid w:val="00656B33"/>
    <w:rsid w:val="006572C7"/>
    <w:rsid w:val="006578FA"/>
    <w:rsid w:val="0066025F"/>
    <w:rsid w:val="0066047B"/>
    <w:rsid w:val="00660E13"/>
    <w:rsid w:val="0066141F"/>
    <w:rsid w:val="00661B9D"/>
    <w:rsid w:val="0066220A"/>
    <w:rsid w:val="00662A45"/>
    <w:rsid w:val="00662E8A"/>
    <w:rsid w:val="00663136"/>
    <w:rsid w:val="00663832"/>
    <w:rsid w:val="00663BB8"/>
    <w:rsid w:val="0066419D"/>
    <w:rsid w:val="0066434A"/>
    <w:rsid w:val="00664A82"/>
    <w:rsid w:val="0066555D"/>
    <w:rsid w:val="006655C3"/>
    <w:rsid w:val="00665844"/>
    <w:rsid w:val="006661AE"/>
    <w:rsid w:val="006661E7"/>
    <w:rsid w:val="006668DC"/>
    <w:rsid w:val="0066711D"/>
    <w:rsid w:val="006674AF"/>
    <w:rsid w:val="00667861"/>
    <w:rsid w:val="00667EF3"/>
    <w:rsid w:val="00667FEE"/>
    <w:rsid w:val="006701A1"/>
    <w:rsid w:val="006707CC"/>
    <w:rsid w:val="00670E7B"/>
    <w:rsid w:val="00670ECD"/>
    <w:rsid w:val="0067129B"/>
    <w:rsid w:val="00671D95"/>
    <w:rsid w:val="0067241E"/>
    <w:rsid w:val="00672AFD"/>
    <w:rsid w:val="00673BEE"/>
    <w:rsid w:val="006740EF"/>
    <w:rsid w:val="006746D0"/>
    <w:rsid w:val="00675115"/>
    <w:rsid w:val="00675FA0"/>
    <w:rsid w:val="00676A07"/>
    <w:rsid w:val="00677B79"/>
    <w:rsid w:val="00677FAC"/>
    <w:rsid w:val="00680B1F"/>
    <w:rsid w:val="00680E20"/>
    <w:rsid w:val="006810EF"/>
    <w:rsid w:val="00681D97"/>
    <w:rsid w:val="00681F24"/>
    <w:rsid w:val="006826D6"/>
    <w:rsid w:val="00682983"/>
    <w:rsid w:val="00682F41"/>
    <w:rsid w:val="00682F49"/>
    <w:rsid w:val="006838FF"/>
    <w:rsid w:val="00683AED"/>
    <w:rsid w:val="006840C7"/>
    <w:rsid w:val="0068441B"/>
    <w:rsid w:val="0068476F"/>
    <w:rsid w:val="00684C89"/>
    <w:rsid w:val="0068553C"/>
    <w:rsid w:val="00685567"/>
    <w:rsid w:val="006860EB"/>
    <w:rsid w:val="00686E4A"/>
    <w:rsid w:val="00686F72"/>
    <w:rsid w:val="0068744E"/>
    <w:rsid w:val="00687644"/>
    <w:rsid w:val="00687A58"/>
    <w:rsid w:val="00687CF6"/>
    <w:rsid w:val="00687D00"/>
    <w:rsid w:val="0069098B"/>
    <w:rsid w:val="006914F0"/>
    <w:rsid w:val="00691E08"/>
    <w:rsid w:val="00692051"/>
    <w:rsid w:val="00692724"/>
    <w:rsid w:val="00692FA9"/>
    <w:rsid w:val="006930F8"/>
    <w:rsid w:val="00693912"/>
    <w:rsid w:val="00693BDB"/>
    <w:rsid w:val="006940D3"/>
    <w:rsid w:val="006940F0"/>
    <w:rsid w:val="00694113"/>
    <w:rsid w:val="006949CD"/>
    <w:rsid w:val="00695C9D"/>
    <w:rsid w:val="006964AC"/>
    <w:rsid w:val="006966DF"/>
    <w:rsid w:val="006968F8"/>
    <w:rsid w:val="00697D39"/>
    <w:rsid w:val="006A0747"/>
    <w:rsid w:val="006A13E2"/>
    <w:rsid w:val="006A178A"/>
    <w:rsid w:val="006A18E6"/>
    <w:rsid w:val="006A1DBF"/>
    <w:rsid w:val="006A1F3C"/>
    <w:rsid w:val="006A2901"/>
    <w:rsid w:val="006A29F8"/>
    <w:rsid w:val="006A2DA4"/>
    <w:rsid w:val="006A31DF"/>
    <w:rsid w:val="006A55B0"/>
    <w:rsid w:val="006A5615"/>
    <w:rsid w:val="006A6C1F"/>
    <w:rsid w:val="006A728C"/>
    <w:rsid w:val="006A77AB"/>
    <w:rsid w:val="006A7D09"/>
    <w:rsid w:val="006B0557"/>
    <w:rsid w:val="006B059E"/>
    <w:rsid w:val="006B0723"/>
    <w:rsid w:val="006B0794"/>
    <w:rsid w:val="006B1043"/>
    <w:rsid w:val="006B14B4"/>
    <w:rsid w:val="006B1692"/>
    <w:rsid w:val="006B230A"/>
    <w:rsid w:val="006B25B8"/>
    <w:rsid w:val="006B37BB"/>
    <w:rsid w:val="006B3E1A"/>
    <w:rsid w:val="006B3F37"/>
    <w:rsid w:val="006B51B9"/>
    <w:rsid w:val="006B679F"/>
    <w:rsid w:val="006B68A7"/>
    <w:rsid w:val="006B6AD5"/>
    <w:rsid w:val="006B75B6"/>
    <w:rsid w:val="006B7772"/>
    <w:rsid w:val="006C0484"/>
    <w:rsid w:val="006C05A9"/>
    <w:rsid w:val="006C179E"/>
    <w:rsid w:val="006C1850"/>
    <w:rsid w:val="006C2DCD"/>
    <w:rsid w:val="006C3AB5"/>
    <w:rsid w:val="006C562C"/>
    <w:rsid w:val="006C57D9"/>
    <w:rsid w:val="006C61A8"/>
    <w:rsid w:val="006C65A0"/>
    <w:rsid w:val="006C68FB"/>
    <w:rsid w:val="006C6E7A"/>
    <w:rsid w:val="006C76C7"/>
    <w:rsid w:val="006C7C2E"/>
    <w:rsid w:val="006C7EC3"/>
    <w:rsid w:val="006D0793"/>
    <w:rsid w:val="006D0A2D"/>
    <w:rsid w:val="006D0F97"/>
    <w:rsid w:val="006D127D"/>
    <w:rsid w:val="006D1436"/>
    <w:rsid w:val="006D1FF9"/>
    <w:rsid w:val="006D22A2"/>
    <w:rsid w:val="006D348B"/>
    <w:rsid w:val="006D3522"/>
    <w:rsid w:val="006D3530"/>
    <w:rsid w:val="006D3751"/>
    <w:rsid w:val="006D4300"/>
    <w:rsid w:val="006D4415"/>
    <w:rsid w:val="006D47F4"/>
    <w:rsid w:val="006D5425"/>
    <w:rsid w:val="006D5683"/>
    <w:rsid w:val="006D60C9"/>
    <w:rsid w:val="006D7B59"/>
    <w:rsid w:val="006D7EAC"/>
    <w:rsid w:val="006E17E8"/>
    <w:rsid w:val="006E1A47"/>
    <w:rsid w:val="006E202A"/>
    <w:rsid w:val="006E566E"/>
    <w:rsid w:val="006E6232"/>
    <w:rsid w:val="006E6FDA"/>
    <w:rsid w:val="006E7361"/>
    <w:rsid w:val="006E737E"/>
    <w:rsid w:val="006E7CBD"/>
    <w:rsid w:val="006F003B"/>
    <w:rsid w:val="006F007B"/>
    <w:rsid w:val="006F130B"/>
    <w:rsid w:val="006F27E3"/>
    <w:rsid w:val="006F28FB"/>
    <w:rsid w:val="006F2DA1"/>
    <w:rsid w:val="006F316D"/>
    <w:rsid w:val="006F39CD"/>
    <w:rsid w:val="006F3BAC"/>
    <w:rsid w:val="006F3DAA"/>
    <w:rsid w:val="006F53B3"/>
    <w:rsid w:val="006F7DDF"/>
    <w:rsid w:val="00700123"/>
    <w:rsid w:val="007004A0"/>
    <w:rsid w:val="0070109F"/>
    <w:rsid w:val="00701447"/>
    <w:rsid w:val="007016D3"/>
    <w:rsid w:val="00701979"/>
    <w:rsid w:val="00701F65"/>
    <w:rsid w:val="007021DE"/>
    <w:rsid w:val="007023A5"/>
    <w:rsid w:val="007023F8"/>
    <w:rsid w:val="00702F78"/>
    <w:rsid w:val="00702F7F"/>
    <w:rsid w:val="00703C9A"/>
    <w:rsid w:val="00703E2E"/>
    <w:rsid w:val="00703FAC"/>
    <w:rsid w:val="0070489F"/>
    <w:rsid w:val="00704A0E"/>
    <w:rsid w:val="00705495"/>
    <w:rsid w:val="007055DE"/>
    <w:rsid w:val="007056E8"/>
    <w:rsid w:val="0070606F"/>
    <w:rsid w:val="007068CB"/>
    <w:rsid w:val="0070698D"/>
    <w:rsid w:val="00706A6B"/>
    <w:rsid w:val="00706F45"/>
    <w:rsid w:val="00706FCE"/>
    <w:rsid w:val="00707892"/>
    <w:rsid w:val="007104CC"/>
    <w:rsid w:val="007104DD"/>
    <w:rsid w:val="00710C50"/>
    <w:rsid w:val="00711196"/>
    <w:rsid w:val="00711B3F"/>
    <w:rsid w:val="00711C22"/>
    <w:rsid w:val="007121B4"/>
    <w:rsid w:val="00712320"/>
    <w:rsid w:val="00712886"/>
    <w:rsid w:val="0071340D"/>
    <w:rsid w:val="00714306"/>
    <w:rsid w:val="007150D4"/>
    <w:rsid w:val="0071614C"/>
    <w:rsid w:val="00716D7F"/>
    <w:rsid w:val="00717B75"/>
    <w:rsid w:val="00717ECB"/>
    <w:rsid w:val="00717FE8"/>
    <w:rsid w:val="007203E3"/>
    <w:rsid w:val="007203F0"/>
    <w:rsid w:val="00720C72"/>
    <w:rsid w:val="00720E6C"/>
    <w:rsid w:val="007213E4"/>
    <w:rsid w:val="0072163E"/>
    <w:rsid w:val="0072193D"/>
    <w:rsid w:val="00721998"/>
    <w:rsid w:val="00721D82"/>
    <w:rsid w:val="00723CE2"/>
    <w:rsid w:val="00723F70"/>
    <w:rsid w:val="00724E2D"/>
    <w:rsid w:val="0072578A"/>
    <w:rsid w:val="00726518"/>
    <w:rsid w:val="00726599"/>
    <w:rsid w:val="0072662E"/>
    <w:rsid w:val="00726A7E"/>
    <w:rsid w:val="00726CE0"/>
    <w:rsid w:val="007272A9"/>
    <w:rsid w:val="00730355"/>
    <w:rsid w:val="00730888"/>
    <w:rsid w:val="00730BAB"/>
    <w:rsid w:val="0073158E"/>
    <w:rsid w:val="0073172A"/>
    <w:rsid w:val="00732773"/>
    <w:rsid w:val="0073289F"/>
    <w:rsid w:val="00732EBC"/>
    <w:rsid w:val="00733672"/>
    <w:rsid w:val="0073379C"/>
    <w:rsid w:val="00733FFC"/>
    <w:rsid w:val="0073414D"/>
    <w:rsid w:val="00734289"/>
    <w:rsid w:val="007345C7"/>
    <w:rsid w:val="00735101"/>
    <w:rsid w:val="00735263"/>
    <w:rsid w:val="00735626"/>
    <w:rsid w:val="00735C2D"/>
    <w:rsid w:val="00735E52"/>
    <w:rsid w:val="00736733"/>
    <w:rsid w:val="0073687B"/>
    <w:rsid w:val="007371A6"/>
    <w:rsid w:val="00737264"/>
    <w:rsid w:val="00737BA6"/>
    <w:rsid w:val="007402CB"/>
    <w:rsid w:val="007409B2"/>
    <w:rsid w:val="00741510"/>
    <w:rsid w:val="007415A7"/>
    <w:rsid w:val="00743ADC"/>
    <w:rsid w:val="00744416"/>
    <w:rsid w:val="00744493"/>
    <w:rsid w:val="00744C97"/>
    <w:rsid w:val="00745217"/>
    <w:rsid w:val="007462EC"/>
    <w:rsid w:val="007463E6"/>
    <w:rsid w:val="00746589"/>
    <w:rsid w:val="0074663B"/>
    <w:rsid w:val="00747835"/>
    <w:rsid w:val="00747A0B"/>
    <w:rsid w:val="0075090A"/>
    <w:rsid w:val="00750B94"/>
    <w:rsid w:val="00751195"/>
    <w:rsid w:val="00751BBA"/>
    <w:rsid w:val="00751FBE"/>
    <w:rsid w:val="007522AF"/>
    <w:rsid w:val="007524B5"/>
    <w:rsid w:val="00752528"/>
    <w:rsid w:val="007533C9"/>
    <w:rsid w:val="007539CB"/>
    <w:rsid w:val="007544A9"/>
    <w:rsid w:val="0075460F"/>
    <w:rsid w:val="00755D9A"/>
    <w:rsid w:val="007560F8"/>
    <w:rsid w:val="00756B31"/>
    <w:rsid w:val="00756D76"/>
    <w:rsid w:val="00757425"/>
    <w:rsid w:val="007600C9"/>
    <w:rsid w:val="00761AC8"/>
    <w:rsid w:val="0076206F"/>
    <w:rsid w:val="00762606"/>
    <w:rsid w:val="00762CF0"/>
    <w:rsid w:val="00762F5F"/>
    <w:rsid w:val="007632E0"/>
    <w:rsid w:val="007637E0"/>
    <w:rsid w:val="00764453"/>
    <w:rsid w:val="00764801"/>
    <w:rsid w:val="00764C4A"/>
    <w:rsid w:val="0076515D"/>
    <w:rsid w:val="007655FA"/>
    <w:rsid w:val="007658E5"/>
    <w:rsid w:val="00765AA7"/>
    <w:rsid w:val="00766A81"/>
    <w:rsid w:val="00767451"/>
    <w:rsid w:val="007679EB"/>
    <w:rsid w:val="00770488"/>
    <w:rsid w:val="00770D94"/>
    <w:rsid w:val="00771631"/>
    <w:rsid w:val="00771F9B"/>
    <w:rsid w:val="0077261D"/>
    <w:rsid w:val="0077271B"/>
    <w:rsid w:val="00772ADE"/>
    <w:rsid w:val="00775F72"/>
    <w:rsid w:val="0077621A"/>
    <w:rsid w:val="007762CD"/>
    <w:rsid w:val="007768E1"/>
    <w:rsid w:val="0077713B"/>
    <w:rsid w:val="00777290"/>
    <w:rsid w:val="007777C3"/>
    <w:rsid w:val="00777CF3"/>
    <w:rsid w:val="00777F49"/>
    <w:rsid w:val="00780273"/>
    <w:rsid w:val="00780956"/>
    <w:rsid w:val="0078155A"/>
    <w:rsid w:val="0078233F"/>
    <w:rsid w:val="00782D8F"/>
    <w:rsid w:val="00782F00"/>
    <w:rsid w:val="00782FC5"/>
    <w:rsid w:val="0078357E"/>
    <w:rsid w:val="0078385A"/>
    <w:rsid w:val="007839E7"/>
    <w:rsid w:val="007841FF"/>
    <w:rsid w:val="00784828"/>
    <w:rsid w:val="00785009"/>
    <w:rsid w:val="00785E26"/>
    <w:rsid w:val="00785EFF"/>
    <w:rsid w:val="00786556"/>
    <w:rsid w:val="00786824"/>
    <w:rsid w:val="0078724C"/>
    <w:rsid w:val="007872AD"/>
    <w:rsid w:val="007872E4"/>
    <w:rsid w:val="00787C9D"/>
    <w:rsid w:val="007906CA"/>
    <w:rsid w:val="00791503"/>
    <w:rsid w:val="00791FAF"/>
    <w:rsid w:val="00792289"/>
    <w:rsid w:val="00793054"/>
    <w:rsid w:val="0079347A"/>
    <w:rsid w:val="007934D4"/>
    <w:rsid w:val="007939BD"/>
    <w:rsid w:val="00793C16"/>
    <w:rsid w:val="00793FBD"/>
    <w:rsid w:val="00794198"/>
    <w:rsid w:val="00795610"/>
    <w:rsid w:val="00795792"/>
    <w:rsid w:val="00796AC3"/>
    <w:rsid w:val="00796C5E"/>
    <w:rsid w:val="0079775B"/>
    <w:rsid w:val="007977F9"/>
    <w:rsid w:val="007A0253"/>
    <w:rsid w:val="007A0692"/>
    <w:rsid w:val="007A0B62"/>
    <w:rsid w:val="007A11B0"/>
    <w:rsid w:val="007A1236"/>
    <w:rsid w:val="007A1816"/>
    <w:rsid w:val="007A1D32"/>
    <w:rsid w:val="007A1EA0"/>
    <w:rsid w:val="007A21A0"/>
    <w:rsid w:val="007A2A69"/>
    <w:rsid w:val="007A2A6F"/>
    <w:rsid w:val="007A39D3"/>
    <w:rsid w:val="007A3BDD"/>
    <w:rsid w:val="007A3E4D"/>
    <w:rsid w:val="007A4385"/>
    <w:rsid w:val="007A4506"/>
    <w:rsid w:val="007A50EE"/>
    <w:rsid w:val="007A55B9"/>
    <w:rsid w:val="007A57AE"/>
    <w:rsid w:val="007A5801"/>
    <w:rsid w:val="007A5B4D"/>
    <w:rsid w:val="007A6285"/>
    <w:rsid w:val="007A6E20"/>
    <w:rsid w:val="007A73DA"/>
    <w:rsid w:val="007A74B2"/>
    <w:rsid w:val="007B07C4"/>
    <w:rsid w:val="007B07E3"/>
    <w:rsid w:val="007B0982"/>
    <w:rsid w:val="007B0B94"/>
    <w:rsid w:val="007B11EC"/>
    <w:rsid w:val="007B1F57"/>
    <w:rsid w:val="007B2F7B"/>
    <w:rsid w:val="007B31E9"/>
    <w:rsid w:val="007B37DB"/>
    <w:rsid w:val="007B3EBC"/>
    <w:rsid w:val="007B43B6"/>
    <w:rsid w:val="007B4597"/>
    <w:rsid w:val="007B47A0"/>
    <w:rsid w:val="007B5174"/>
    <w:rsid w:val="007B5336"/>
    <w:rsid w:val="007B55C5"/>
    <w:rsid w:val="007B57D2"/>
    <w:rsid w:val="007B5E43"/>
    <w:rsid w:val="007B60DF"/>
    <w:rsid w:val="007B70FB"/>
    <w:rsid w:val="007B74DB"/>
    <w:rsid w:val="007B79AC"/>
    <w:rsid w:val="007B7A1A"/>
    <w:rsid w:val="007C0482"/>
    <w:rsid w:val="007C0D56"/>
    <w:rsid w:val="007C123C"/>
    <w:rsid w:val="007C1DC9"/>
    <w:rsid w:val="007C20FE"/>
    <w:rsid w:val="007C2678"/>
    <w:rsid w:val="007C3435"/>
    <w:rsid w:val="007C369F"/>
    <w:rsid w:val="007C376A"/>
    <w:rsid w:val="007C3E04"/>
    <w:rsid w:val="007C4A77"/>
    <w:rsid w:val="007C4D6B"/>
    <w:rsid w:val="007C55BE"/>
    <w:rsid w:val="007C5AB5"/>
    <w:rsid w:val="007C766F"/>
    <w:rsid w:val="007C7AD6"/>
    <w:rsid w:val="007C7C59"/>
    <w:rsid w:val="007C7DC7"/>
    <w:rsid w:val="007D01C5"/>
    <w:rsid w:val="007D0BB9"/>
    <w:rsid w:val="007D0D62"/>
    <w:rsid w:val="007D0E7B"/>
    <w:rsid w:val="007D10C0"/>
    <w:rsid w:val="007D17E9"/>
    <w:rsid w:val="007D2A26"/>
    <w:rsid w:val="007D2C76"/>
    <w:rsid w:val="007D33F7"/>
    <w:rsid w:val="007D36B7"/>
    <w:rsid w:val="007D40F5"/>
    <w:rsid w:val="007D41FB"/>
    <w:rsid w:val="007D4385"/>
    <w:rsid w:val="007D46D8"/>
    <w:rsid w:val="007D4892"/>
    <w:rsid w:val="007D48E9"/>
    <w:rsid w:val="007D5207"/>
    <w:rsid w:val="007D53CB"/>
    <w:rsid w:val="007D5857"/>
    <w:rsid w:val="007D5A2E"/>
    <w:rsid w:val="007D6F86"/>
    <w:rsid w:val="007D723C"/>
    <w:rsid w:val="007D72EB"/>
    <w:rsid w:val="007D7CD6"/>
    <w:rsid w:val="007E0F37"/>
    <w:rsid w:val="007E0F8F"/>
    <w:rsid w:val="007E1DA1"/>
    <w:rsid w:val="007E317C"/>
    <w:rsid w:val="007E38F5"/>
    <w:rsid w:val="007E3DBA"/>
    <w:rsid w:val="007E3E82"/>
    <w:rsid w:val="007E4225"/>
    <w:rsid w:val="007E44F9"/>
    <w:rsid w:val="007E49AE"/>
    <w:rsid w:val="007E54D0"/>
    <w:rsid w:val="007E5E79"/>
    <w:rsid w:val="007E5ED9"/>
    <w:rsid w:val="007E5EDC"/>
    <w:rsid w:val="007E5F31"/>
    <w:rsid w:val="007E6646"/>
    <w:rsid w:val="007E6C51"/>
    <w:rsid w:val="007E7232"/>
    <w:rsid w:val="007E72AB"/>
    <w:rsid w:val="007F0378"/>
    <w:rsid w:val="007F0684"/>
    <w:rsid w:val="007F06B6"/>
    <w:rsid w:val="007F06E8"/>
    <w:rsid w:val="007F0AF8"/>
    <w:rsid w:val="007F1411"/>
    <w:rsid w:val="007F20F1"/>
    <w:rsid w:val="007F219A"/>
    <w:rsid w:val="007F3F16"/>
    <w:rsid w:val="007F43AE"/>
    <w:rsid w:val="007F4981"/>
    <w:rsid w:val="007F5AA1"/>
    <w:rsid w:val="007F5DA6"/>
    <w:rsid w:val="007F65DB"/>
    <w:rsid w:val="007F6761"/>
    <w:rsid w:val="007F6BC4"/>
    <w:rsid w:val="007F70D4"/>
    <w:rsid w:val="007F76B6"/>
    <w:rsid w:val="0080009A"/>
    <w:rsid w:val="00800120"/>
    <w:rsid w:val="0080073F"/>
    <w:rsid w:val="0080085D"/>
    <w:rsid w:val="00800E5E"/>
    <w:rsid w:val="0080155D"/>
    <w:rsid w:val="00801CB1"/>
    <w:rsid w:val="00802AA7"/>
    <w:rsid w:val="00802B43"/>
    <w:rsid w:val="00802B6F"/>
    <w:rsid w:val="00803A0C"/>
    <w:rsid w:val="00803ACE"/>
    <w:rsid w:val="008051E1"/>
    <w:rsid w:val="00805B99"/>
    <w:rsid w:val="00806A74"/>
    <w:rsid w:val="00806E9B"/>
    <w:rsid w:val="00806F6F"/>
    <w:rsid w:val="00807090"/>
    <w:rsid w:val="008071E0"/>
    <w:rsid w:val="00807926"/>
    <w:rsid w:val="00807A15"/>
    <w:rsid w:val="00807AA4"/>
    <w:rsid w:val="00807AB5"/>
    <w:rsid w:val="008100A2"/>
    <w:rsid w:val="008101CB"/>
    <w:rsid w:val="008103E2"/>
    <w:rsid w:val="0081040A"/>
    <w:rsid w:val="008107F5"/>
    <w:rsid w:val="00810E30"/>
    <w:rsid w:val="00810ED7"/>
    <w:rsid w:val="00810F19"/>
    <w:rsid w:val="0081355C"/>
    <w:rsid w:val="00813AEB"/>
    <w:rsid w:val="008146E1"/>
    <w:rsid w:val="00814CAD"/>
    <w:rsid w:val="00815D4E"/>
    <w:rsid w:val="00816EFC"/>
    <w:rsid w:val="00817D96"/>
    <w:rsid w:val="00817F9A"/>
    <w:rsid w:val="0082093A"/>
    <w:rsid w:val="00822459"/>
    <w:rsid w:val="008227FA"/>
    <w:rsid w:val="008229A2"/>
    <w:rsid w:val="00822BCB"/>
    <w:rsid w:val="008231C0"/>
    <w:rsid w:val="00823F22"/>
    <w:rsid w:val="0082443D"/>
    <w:rsid w:val="00824A9E"/>
    <w:rsid w:val="008254DF"/>
    <w:rsid w:val="00825EA0"/>
    <w:rsid w:val="00825F58"/>
    <w:rsid w:val="008268CF"/>
    <w:rsid w:val="00826C5B"/>
    <w:rsid w:val="008270EE"/>
    <w:rsid w:val="00827497"/>
    <w:rsid w:val="00827A1F"/>
    <w:rsid w:val="0083026B"/>
    <w:rsid w:val="00830BC7"/>
    <w:rsid w:val="00831472"/>
    <w:rsid w:val="00831689"/>
    <w:rsid w:val="008329FF"/>
    <w:rsid w:val="00832ECB"/>
    <w:rsid w:val="00833526"/>
    <w:rsid w:val="008340EC"/>
    <w:rsid w:val="008347FA"/>
    <w:rsid w:val="00834B47"/>
    <w:rsid w:val="00835459"/>
    <w:rsid w:val="00837C41"/>
    <w:rsid w:val="00837C92"/>
    <w:rsid w:val="00837F0F"/>
    <w:rsid w:val="008416E5"/>
    <w:rsid w:val="00841BEA"/>
    <w:rsid w:val="0084210C"/>
    <w:rsid w:val="00842BBA"/>
    <w:rsid w:val="00842D41"/>
    <w:rsid w:val="00843029"/>
    <w:rsid w:val="00843420"/>
    <w:rsid w:val="00843B5D"/>
    <w:rsid w:val="008447D4"/>
    <w:rsid w:val="00845029"/>
    <w:rsid w:val="0084506C"/>
    <w:rsid w:val="008454BD"/>
    <w:rsid w:val="00845692"/>
    <w:rsid w:val="008463F3"/>
    <w:rsid w:val="00846D76"/>
    <w:rsid w:val="0085005F"/>
    <w:rsid w:val="0085062F"/>
    <w:rsid w:val="00850CB2"/>
    <w:rsid w:val="00851307"/>
    <w:rsid w:val="008515B1"/>
    <w:rsid w:val="00852508"/>
    <w:rsid w:val="00852E5B"/>
    <w:rsid w:val="00852EAC"/>
    <w:rsid w:val="00853677"/>
    <w:rsid w:val="008536B3"/>
    <w:rsid w:val="00853ACD"/>
    <w:rsid w:val="00853ACF"/>
    <w:rsid w:val="00853F1F"/>
    <w:rsid w:val="008544D3"/>
    <w:rsid w:val="00854659"/>
    <w:rsid w:val="008558A1"/>
    <w:rsid w:val="0085642F"/>
    <w:rsid w:val="008573AF"/>
    <w:rsid w:val="00857645"/>
    <w:rsid w:val="008577C4"/>
    <w:rsid w:val="00857A98"/>
    <w:rsid w:val="00857D80"/>
    <w:rsid w:val="008602FC"/>
    <w:rsid w:val="008607D5"/>
    <w:rsid w:val="00860989"/>
    <w:rsid w:val="00860CF9"/>
    <w:rsid w:val="008617FB"/>
    <w:rsid w:val="008622D3"/>
    <w:rsid w:val="0086257B"/>
    <w:rsid w:val="0086268A"/>
    <w:rsid w:val="008639A2"/>
    <w:rsid w:val="00863BBB"/>
    <w:rsid w:val="00863E4F"/>
    <w:rsid w:val="008640FD"/>
    <w:rsid w:val="0086426C"/>
    <w:rsid w:val="0086564F"/>
    <w:rsid w:val="00865681"/>
    <w:rsid w:val="0086583F"/>
    <w:rsid w:val="00866618"/>
    <w:rsid w:val="00866658"/>
    <w:rsid w:val="008666EF"/>
    <w:rsid w:val="00867B6B"/>
    <w:rsid w:val="0087032E"/>
    <w:rsid w:val="0087057E"/>
    <w:rsid w:val="00870AFC"/>
    <w:rsid w:val="008715CC"/>
    <w:rsid w:val="00872589"/>
    <w:rsid w:val="00872770"/>
    <w:rsid w:val="00873754"/>
    <w:rsid w:val="00873C68"/>
    <w:rsid w:val="00873CFE"/>
    <w:rsid w:val="008752FC"/>
    <w:rsid w:val="00875FA4"/>
    <w:rsid w:val="008763C8"/>
    <w:rsid w:val="00877D6E"/>
    <w:rsid w:val="00877E35"/>
    <w:rsid w:val="0088014E"/>
    <w:rsid w:val="00880BAB"/>
    <w:rsid w:val="00880BC0"/>
    <w:rsid w:val="0088130D"/>
    <w:rsid w:val="008817FF"/>
    <w:rsid w:val="00881D3D"/>
    <w:rsid w:val="00881E98"/>
    <w:rsid w:val="0088239C"/>
    <w:rsid w:val="00882745"/>
    <w:rsid w:val="0088286E"/>
    <w:rsid w:val="008828F7"/>
    <w:rsid w:val="00882941"/>
    <w:rsid w:val="00882A65"/>
    <w:rsid w:val="00882E58"/>
    <w:rsid w:val="00882F87"/>
    <w:rsid w:val="008835B1"/>
    <w:rsid w:val="00883B3F"/>
    <w:rsid w:val="00884A5C"/>
    <w:rsid w:val="008851BE"/>
    <w:rsid w:val="00885538"/>
    <w:rsid w:val="00885691"/>
    <w:rsid w:val="0088600C"/>
    <w:rsid w:val="00886188"/>
    <w:rsid w:val="00887063"/>
    <w:rsid w:val="008874AA"/>
    <w:rsid w:val="00887F1B"/>
    <w:rsid w:val="00887FD1"/>
    <w:rsid w:val="008900CF"/>
    <w:rsid w:val="00890CE5"/>
    <w:rsid w:val="008917C0"/>
    <w:rsid w:val="00891CE4"/>
    <w:rsid w:val="008922CF"/>
    <w:rsid w:val="008923D1"/>
    <w:rsid w:val="008925B9"/>
    <w:rsid w:val="00892A4E"/>
    <w:rsid w:val="008937CB"/>
    <w:rsid w:val="0089427B"/>
    <w:rsid w:val="008945A4"/>
    <w:rsid w:val="0089483C"/>
    <w:rsid w:val="00894A6B"/>
    <w:rsid w:val="00894A7F"/>
    <w:rsid w:val="00895E5A"/>
    <w:rsid w:val="00896EB4"/>
    <w:rsid w:val="00896F0D"/>
    <w:rsid w:val="00897502"/>
    <w:rsid w:val="008976C8"/>
    <w:rsid w:val="00897813"/>
    <w:rsid w:val="00897855"/>
    <w:rsid w:val="008A06A1"/>
    <w:rsid w:val="008A0E63"/>
    <w:rsid w:val="008A109A"/>
    <w:rsid w:val="008A173F"/>
    <w:rsid w:val="008A1EFD"/>
    <w:rsid w:val="008A2790"/>
    <w:rsid w:val="008A2C5D"/>
    <w:rsid w:val="008A3C32"/>
    <w:rsid w:val="008A3D8A"/>
    <w:rsid w:val="008A40AB"/>
    <w:rsid w:val="008A4EBA"/>
    <w:rsid w:val="008A4F57"/>
    <w:rsid w:val="008A52CE"/>
    <w:rsid w:val="008A574C"/>
    <w:rsid w:val="008A6A25"/>
    <w:rsid w:val="008A7D28"/>
    <w:rsid w:val="008B0BA7"/>
    <w:rsid w:val="008B0C78"/>
    <w:rsid w:val="008B1242"/>
    <w:rsid w:val="008B1E06"/>
    <w:rsid w:val="008B1F77"/>
    <w:rsid w:val="008B20A4"/>
    <w:rsid w:val="008B284C"/>
    <w:rsid w:val="008B2EF5"/>
    <w:rsid w:val="008B2F1A"/>
    <w:rsid w:val="008B31AD"/>
    <w:rsid w:val="008B3278"/>
    <w:rsid w:val="008B331F"/>
    <w:rsid w:val="008B3A87"/>
    <w:rsid w:val="008B3C1F"/>
    <w:rsid w:val="008B3FAC"/>
    <w:rsid w:val="008B4243"/>
    <w:rsid w:val="008B4953"/>
    <w:rsid w:val="008B4B1A"/>
    <w:rsid w:val="008B4E19"/>
    <w:rsid w:val="008B4F72"/>
    <w:rsid w:val="008B5F58"/>
    <w:rsid w:val="008B60CB"/>
    <w:rsid w:val="008B6367"/>
    <w:rsid w:val="008B63AD"/>
    <w:rsid w:val="008B7546"/>
    <w:rsid w:val="008C01E2"/>
    <w:rsid w:val="008C0557"/>
    <w:rsid w:val="008C055E"/>
    <w:rsid w:val="008C0771"/>
    <w:rsid w:val="008C0845"/>
    <w:rsid w:val="008C15A7"/>
    <w:rsid w:val="008C1715"/>
    <w:rsid w:val="008C1779"/>
    <w:rsid w:val="008C1DC1"/>
    <w:rsid w:val="008C28B3"/>
    <w:rsid w:val="008C3591"/>
    <w:rsid w:val="008C3A88"/>
    <w:rsid w:val="008C3AC1"/>
    <w:rsid w:val="008C4EB8"/>
    <w:rsid w:val="008C61B0"/>
    <w:rsid w:val="008C6282"/>
    <w:rsid w:val="008C68A8"/>
    <w:rsid w:val="008C6FD3"/>
    <w:rsid w:val="008C70EB"/>
    <w:rsid w:val="008C7FA7"/>
    <w:rsid w:val="008D0065"/>
    <w:rsid w:val="008D0F7D"/>
    <w:rsid w:val="008D155D"/>
    <w:rsid w:val="008D15E6"/>
    <w:rsid w:val="008D19DB"/>
    <w:rsid w:val="008D229E"/>
    <w:rsid w:val="008D24C5"/>
    <w:rsid w:val="008D36D2"/>
    <w:rsid w:val="008D3FE4"/>
    <w:rsid w:val="008D415F"/>
    <w:rsid w:val="008D5506"/>
    <w:rsid w:val="008D56FC"/>
    <w:rsid w:val="008D5DAB"/>
    <w:rsid w:val="008D6641"/>
    <w:rsid w:val="008D6847"/>
    <w:rsid w:val="008D6968"/>
    <w:rsid w:val="008D6B22"/>
    <w:rsid w:val="008D6C68"/>
    <w:rsid w:val="008D6F7F"/>
    <w:rsid w:val="008D71F3"/>
    <w:rsid w:val="008D7AFD"/>
    <w:rsid w:val="008D7E3E"/>
    <w:rsid w:val="008D7EA6"/>
    <w:rsid w:val="008D7FCC"/>
    <w:rsid w:val="008E0029"/>
    <w:rsid w:val="008E01BA"/>
    <w:rsid w:val="008E0219"/>
    <w:rsid w:val="008E0253"/>
    <w:rsid w:val="008E0C73"/>
    <w:rsid w:val="008E0DE2"/>
    <w:rsid w:val="008E1746"/>
    <w:rsid w:val="008E1CA4"/>
    <w:rsid w:val="008E2BCC"/>
    <w:rsid w:val="008E5A4E"/>
    <w:rsid w:val="008E6A58"/>
    <w:rsid w:val="008E6D37"/>
    <w:rsid w:val="008E6F6B"/>
    <w:rsid w:val="008E7155"/>
    <w:rsid w:val="008E71FB"/>
    <w:rsid w:val="008E7365"/>
    <w:rsid w:val="008E7F33"/>
    <w:rsid w:val="008F0248"/>
    <w:rsid w:val="008F07B8"/>
    <w:rsid w:val="008F0932"/>
    <w:rsid w:val="008F0EF5"/>
    <w:rsid w:val="008F0FE8"/>
    <w:rsid w:val="008F1238"/>
    <w:rsid w:val="008F232D"/>
    <w:rsid w:val="008F257A"/>
    <w:rsid w:val="008F35D9"/>
    <w:rsid w:val="008F3793"/>
    <w:rsid w:val="008F438C"/>
    <w:rsid w:val="008F525C"/>
    <w:rsid w:val="008F540C"/>
    <w:rsid w:val="008F6060"/>
    <w:rsid w:val="008F6426"/>
    <w:rsid w:val="008F6B8B"/>
    <w:rsid w:val="008F77B4"/>
    <w:rsid w:val="00900B52"/>
    <w:rsid w:val="00900C3B"/>
    <w:rsid w:val="0090146E"/>
    <w:rsid w:val="00901E4D"/>
    <w:rsid w:val="00901F1F"/>
    <w:rsid w:val="00902957"/>
    <w:rsid w:val="00902C22"/>
    <w:rsid w:val="00903424"/>
    <w:rsid w:val="00903553"/>
    <w:rsid w:val="00903D84"/>
    <w:rsid w:val="00904206"/>
    <w:rsid w:val="009042F1"/>
    <w:rsid w:val="009047F2"/>
    <w:rsid w:val="00905456"/>
    <w:rsid w:val="0090621C"/>
    <w:rsid w:val="00906618"/>
    <w:rsid w:val="00906C4A"/>
    <w:rsid w:val="0090791F"/>
    <w:rsid w:val="00907C2A"/>
    <w:rsid w:val="00910866"/>
    <w:rsid w:val="009110AD"/>
    <w:rsid w:val="009111CC"/>
    <w:rsid w:val="009114FF"/>
    <w:rsid w:val="00911888"/>
    <w:rsid w:val="00911A79"/>
    <w:rsid w:val="00911D8B"/>
    <w:rsid w:val="009127CC"/>
    <w:rsid w:val="009130D1"/>
    <w:rsid w:val="009133D6"/>
    <w:rsid w:val="009158B9"/>
    <w:rsid w:val="00915FE3"/>
    <w:rsid w:val="0091620A"/>
    <w:rsid w:val="00916863"/>
    <w:rsid w:val="00917458"/>
    <w:rsid w:val="00917BB3"/>
    <w:rsid w:val="0092096D"/>
    <w:rsid w:val="00920CDF"/>
    <w:rsid w:val="00921B73"/>
    <w:rsid w:val="00921E56"/>
    <w:rsid w:val="009221ED"/>
    <w:rsid w:val="00922318"/>
    <w:rsid w:val="0092259C"/>
    <w:rsid w:val="00923187"/>
    <w:rsid w:val="00926F12"/>
    <w:rsid w:val="00927309"/>
    <w:rsid w:val="00927DE3"/>
    <w:rsid w:val="00930212"/>
    <w:rsid w:val="00930591"/>
    <w:rsid w:val="00930609"/>
    <w:rsid w:val="00930B72"/>
    <w:rsid w:val="0093196E"/>
    <w:rsid w:val="00931A58"/>
    <w:rsid w:val="00931C19"/>
    <w:rsid w:val="0093207F"/>
    <w:rsid w:val="00932113"/>
    <w:rsid w:val="00932239"/>
    <w:rsid w:val="00932AD7"/>
    <w:rsid w:val="00932E71"/>
    <w:rsid w:val="00934640"/>
    <w:rsid w:val="009352C5"/>
    <w:rsid w:val="00935534"/>
    <w:rsid w:val="0093562F"/>
    <w:rsid w:val="00935F61"/>
    <w:rsid w:val="009360BB"/>
    <w:rsid w:val="00936B1F"/>
    <w:rsid w:val="009379F0"/>
    <w:rsid w:val="00937A14"/>
    <w:rsid w:val="00937A67"/>
    <w:rsid w:val="00940946"/>
    <w:rsid w:val="009429A0"/>
    <w:rsid w:val="00942B2E"/>
    <w:rsid w:val="00942D2B"/>
    <w:rsid w:val="009431F7"/>
    <w:rsid w:val="00943238"/>
    <w:rsid w:val="00943CFE"/>
    <w:rsid w:val="00943E5A"/>
    <w:rsid w:val="00943F96"/>
    <w:rsid w:val="00943FA2"/>
    <w:rsid w:val="0094494D"/>
    <w:rsid w:val="00944E59"/>
    <w:rsid w:val="00945225"/>
    <w:rsid w:val="00945401"/>
    <w:rsid w:val="009459F4"/>
    <w:rsid w:val="00945ABE"/>
    <w:rsid w:val="00945E58"/>
    <w:rsid w:val="00946127"/>
    <w:rsid w:val="00946907"/>
    <w:rsid w:val="00950CAE"/>
    <w:rsid w:val="009512EC"/>
    <w:rsid w:val="009519A8"/>
    <w:rsid w:val="00951D65"/>
    <w:rsid w:val="00952499"/>
    <w:rsid w:val="0095315A"/>
    <w:rsid w:val="009534DD"/>
    <w:rsid w:val="0095356B"/>
    <w:rsid w:val="009535C2"/>
    <w:rsid w:val="00953A73"/>
    <w:rsid w:val="00954926"/>
    <w:rsid w:val="00954D5A"/>
    <w:rsid w:val="009551A8"/>
    <w:rsid w:val="00955645"/>
    <w:rsid w:val="00956510"/>
    <w:rsid w:val="00956B6C"/>
    <w:rsid w:val="00957B5B"/>
    <w:rsid w:val="009601CB"/>
    <w:rsid w:val="0096059A"/>
    <w:rsid w:val="0096081E"/>
    <w:rsid w:val="00960D39"/>
    <w:rsid w:val="00960F7E"/>
    <w:rsid w:val="00961022"/>
    <w:rsid w:val="009611A5"/>
    <w:rsid w:val="0096193B"/>
    <w:rsid w:val="00961BC2"/>
    <w:rsid w:val="00963188"/>
    <w:rsid w:val="00963240"/>
    <w:rsid w:val="00963B82"/>
    <w:rsid w:val="00964475"/>
    <w:rsid w:val="0096456D"/>
    <w:rsid w:val="00964A6E"/>
    <w:rsid w:val="00964FB4"/>
    <w:rsid w:val="00965084"/>
    <w:rsid w:val="0096516C"/>
    <w:rsid w:val="009666BD"/>
    <w:rsid w:val="0096670E"/>
    <w:rsid w:val="00966BFB"/>
    <w:rsid w:val="00967CDA"/>
    <w:rsid w:val="00970048"/>
    <w:rsid w:val="009701AF"/>
    <w:rsid w:val="00971366"/>
    <w:rsid w:val="00971831"/>
    <w:rsid w:val="0097216D"/>
    <w:rsid w:val="00972C88"/>
    <w:rsid w:val="00972D8F"/>
    <w:rsid w:val="0097396E"/>
    <w:rsid w:val="00973C2B"/>
    <w:rsid w:val="0097437B"/>
    <w:rsid w:val="0097441E"/>
    <w:rsid w:val="0097529C"/>
    <w:rsid w:val="00975680"/>
    <w:rsid w:val="00975FB0"/>
    <w:rsid w:val="009762C7"/>
    <w:rsid w:val="0097670F"/>
    <w:rsid w:val="00976C61"/>
    <w:rsid w:val="009776B1"/>
    <w:rsid w:val="00977E1E"/>
    <w:rsid w:val="009803E7"/>
    <w:rsid w:val="009803EC"/>
    <w:rsid w:val="0098048D"/>
    <w:rsid w:val="00981215"/>
    <w:rsid w:val="009812FC"/>
    <w:rsid w:val="009813BF"/>
    <w:rsid w:val="00981987"/>
    <w:rsid w:val="009819CD"/>
    <w:rsid w:val="00982C0D"/>
    <w:rsid w:val="009832E2"/>
    <w:rsid w:val="00983D98"/>
    <w:rsid w:val="00983F22"/>
    <w:rsid w:val="009844B4"/>
    <w:rsid w:val="0098453B"/>
    <w:rsid w:val="00984D82"/>
    <w:rsid w:val="0098572B"/>
    <w:rsid w:val="00985CDA"/>
    <w:rsid w:val="0098603A"/>
    <w:rsid w:val="00986137"/>
    <w:rsid w:val="009865B1"/>
    <w:rsid w:val="00986B96"/>
    <w:rsid w:val="0098740B"/>
    <w:rsid w:val="00987C6F"/>
    <w:rsid w:val="0099018C"/>
    <w:rsid w:val="00990708"/>
    <w:rsid w:val="00990C3D"/>
    <w:rsid w:val="009915EB"/>
    <w:rsid w:val="0099199D"/>
    <w:rsid w:val="00991B9A"/>
    <w:rsid w:val="00993499"/>
    <w:rsid w:val="009934DB"/>
    <w:rsid w:val="009939CB"/>
    <w:rsid w:val="00993D95"/>
    <w:rsid w:val="009940EA"/>
    <w:rsid w:val="009948FE"/>
    <w:rsid w:val="00995756"/>
    <w:rsid w:val="00997125"/>
    <w:rsid w:val="009A0208"/>
    <w:rsid w:val="009A09C0"/>
    <w:rsid w:val="009A0B05"/>
    <w:rsid w:val="009A17B5"/>
    <w:rsid w:val="009A1B80"/>
    <w:rsid w:val="009A21EE"/>
    <w:rsid w:val="009A24D2"/>
    <w:rsid w:val="009A253B"/>
    <w:rsid w:val="009A3C6E"/>
    <w:rsid w:val="009A4532"/>
    <w:rsid w:val="009A640C"/>
    <w:rsid w:val="009A6A04"/>
    <w:rsid w:val="009A6A34"/>
    <w:rsid w:val="009A6FB1"/>
    <w:rsid w:val="009A78A6"/>
    <w:rsid w:val="009B01AE"/>
    <w:rsid w:val="009B0346"/>
    <w:rsid w:val="009B04F2"/>
    <w:rsid w:val="009B0A43"/>
    <w:rsid w:val="009B0DBE"/>
    <w:rsid w:val="009B123D"/>
    <w:rsid w:val="009B1462"/>
    <w:rsid w:val="009B1C1B"/>
    <w:rsid w:val="009B1E55"/>
    <w:rsid w:val="009B1EB7"/>
    <w:rsid w:val="009B21E5"/>
    <w:rsid w:val="009B35BF"/>
    <w:rsid w:val="009B4B37"/>
    <w:rsid w:val="009B4C3E"/>
    <w:rsid w:val="009B4D2F"/>
    <w:rsid w:val="009B5038"/>
    <w:rsid w:val="009B56BE"/>
    <w:rsid w:val="009B573C"/>
    <w:rsid w:val="009B6E0F"/>
    <w:rsid w:val="009B6FC0"/>
    <w:rsid w:val="009B7356"/>
    <w:rsid w:val="009B7A8A"/>
    <w:rsid w:val="009B7E1C"/>
    <w:rsid w:val="009C099B"/>
    <w:rsid w:val="009C0B86"/>
    <w:rsid w:val="009C1604"/>
    <w:rsid w:val="009C1ADB"/>
    <w:rsid w:val="009C3452"/>
    <w:rsid w:val="009C37BF"/>
    <w:rsid w:val="009C398A"/>
    <w:rsid w:val="009C4676"/>
    <w:rsid w:val="009C4DCF"/>
    <w:rsid w:val="009C5C73"/>
    <w:rsid w:val="009C5FC3"/>
    <w:rsid w:val="009C60E9"/>
    <w:rsid w:val="009C65B1"/>
    <w:rsid w:val="009C6629"/>
    <w:rsid w:val="009C6D24"/>
    <w:rsid w:val="009C6DDC"/>
    <w:rsid w:val="009C6E65"/>
    <w:rsid w:val="009C758C"/>
    <w:rsid w:val="009C7896"/>
    <w:rsid w:val="009D0530"/>
    <w:rsid w:val="009D0C23"/>
    <w:rsid w:val="009D0CF4"/>
    <w:rsid w:val="009D0D52"/>
    <w:rsid w:val="009D0E1C"/>
    <w:rsid w:val="009D140A"/>
    <w:rsid w:val="009D1A74"/>
    <w:rsid w:val="009D2988"/>
    <w:rsid w:val="009D2B87"/>
    <w:rsid w:val="009D3160"/>
    <w:rsid w:val="009D39E1"/>
    <w:rsid w:val="009D3D90"/>
    <w:rsid w:val="009D43C4"/>
    <w:rsid w:val="009D4C5D"/>
    <w:rsid w:val="009D645F"/>
    <w:rsid w:val="009D6D3F"/>
    <w:rsid w:val="009D7206"/>
    <w:rsid w:val="009D7410"/>
    <w:rsid w:val="009D7601"/>
    <w:rsid w:val="009D7622"/>
    <w:rsid w:val="009D7D34"/>
    <w:rsid w:val="009E075E"/>
    <w:rsid w:val="009E1908"/>
    <w:rsid w:val="009E2463"/>
    <w:rsid w:val="009E24F0"/>
    <w:rsid w:val="009E2B4C"/>
    <w:rsid w:val="009E2C55"/>
    <w:rsid w:val="009E2E3F"/>
    <w:rsid w:val="009E2EA8"/>
    <w:rsid w:val="009E2FAC"/>
    <w:rsid w:val="009E3197"/>
    <w:rsid w:val="009E3A1D"/>
    <w:rsid w:val="009E44A4"/>
    <w:rsid w:val="009E4A34"/>
    <w:rsid w:val="009E4D58"/>
    <w:rsid w:val="009E4E3B"/>
    <w:rsid w:val="009E5198"/>
    <w:rsid w:val="009E59F4"/>
    <w:rsid w:val="009E5A45"/>
    <w:rsid w:val="009E6113"/>
    <w:rsid w:val="009E61B0"/>
    <w:rsid w:val="009E63F0"/>
    <w:rsid w:val="009E6B44"/>
    <w:rsid w:val="009E7BCD"/>
    <w:rsid w:val="009F012F"/>
    <w:rsid w:val="009F016E"/>
    <w:rsid w:val="009F056D"/>
    <w:rsid w:val="009F05AC"/>
    <w:rsid w:val="009F086C"/>
    <w:rsid w:val="009F0A4A"/>
    <w:rsid w:val="009F1443"/>
    <w:rsid w:val="009F14F3"/>
    <w:rsid w:val="009F1544"/>
    <w:rsid w:val="009F1778"/>
    <w:rsid w:val="009F1EEE"/>
    <w:rsid w:val="009F239C"/>
    <w:rsid w:val="009F2545"/>
    <w:rsid w:val="009F2E88"/>
    <w:rsid w:val="009F4825"/>
    <w:rsid w:val="009F49FF"/>
    <w:rsid w:val="009F5B77"/>
    <w:rsid w:val="009F5CE6"/>
    <w:rsid w:val="009F60E0"/>
    <w:rsid w:val="009F6125"/>
    <w:rsid w:val="009F68A3"/>
    <w:rsid w:val="009F6B75"/>
    <w:rsid w:val="009F6C90"/>
    <w:rsid w:val="009F73D9"/>
    <w:rsid w:val="009F74DB"/>
    <w:rsid w:val="009F77DF"/>
    <w:rsid w:val="009F7813"/>
    <w:rsid w:val="009F78B6"/>
    <w:rsid w:val="00A00221"/>
    <w:rsid w:val="00A00437"/>
    <w:rsid w:val="00A00AB9"/>
    <w:rsid w:val="00A00DDA"/>
    <w:rsid w:val="00A01057"/>
    <w:rsid w:val="00A01385"/>
    <w:rsid w:val="00A01B4F"/>
    <w:rsid w:val="00A01B9D"/>
    <w:rsid w:val="00A02C0A"/>
    <w:rsid w:val="00A03652"/>
    <w:rsid w:val="00A03A2A"/>
    <w:rsid w:val="00A03B1A"/>
    <w:rsid w:val="00A03D17"/>
    <w:rsid w:val="00A04482"/>
    <w:rsid w:val="00A0480E"/>
    <w:rsid w:val="00A04844"/>
    <w:rsid w:val="00A04B36"/>
    <w:rsid w:val="00A050B2"/>
    <w:rsid w:val="00A05EC4"/>
    <w:rsid w:val="00A064E2"/>
    <w:rsid w:val="00A06ED8"/>
    <w:rsid w:val="00A07570"/>
    <w:rsid w:val="00A07B75"/>
    <w:rsid w:val="00A10103"/>
    <w:rsid w:val="00A104EC"/>
    <w:rsid w:val="00A11137"/>
    <w:rsid w:val="00A111EA"/>
    <w:rsid w:val="00A1135E"/>
    <w:rsid w:val="00A11447"/>
    <w:rsid w:val="00A11B67"/>
    <w:rsid w:val="00A11DEE"/>
    <w:rsid w:val="00A12996"/>
    <w:rsid w:val="00A12B28"/>
    <w:rsid w:val="00A12F3C"/>
    <w:rsid w:val="00A138E4"/>
    <w:rsid w:val="00A13EAB"/>
    <w:rsid w:val="00A14237"/>
    <w:rsid w:val="00A143DD"/>
    <w:rsid w:val="00A162DF"/>
    <w:rsid w:val="00A16324"/>
    <w:rsid w:val="00A17013"/>
    <w:rsid w:val="00A175C6"/>
    <w:rsid w:val="00A178DD"/>
    <w:rsid w:val="00A17AF1"/>
    <w:rsid w:val="00A17B4D"/>
    <w:rsid w:val="00A17B91"/>
    <w:rsid w:val="00A17ED1"/>
    <w:rsid w:val="00A20220"/>
    <w:rsid w:val="00A20CAE"/>
    <w:rsid w:val="00A21440"/>
    <w:rsid w:val="00A216BF"/>
    <w:rsid w:val="00A21A99"/>
    <w:rsid w:val="00A21BFD"/>
    <w:rsid w:val="00A21C7C"/>
    <w:rsid w:val="00A22E21"/>
    <w:rsid w:val="00A22FBA"/>
    <w:rsid w:val="00A23269"/>
    <w:rsid w:val="00A23900"/>
    <w:rsid w:val="00A23F95"/>
    <w:rsid w:val="00A25E6E"/>
    <w:rsid w:val="00A26462"/>
    <w:rsid w:val="00A265C3"/>
    <w:rsid w:val="00A26700"/>
    <w:rsid w:val="00A26B21"/>
    <w:rsid w:val="00A274E2"/>
    <w:rsid w:val="00A30B97"/>
    <w:rsid w:val="00A30BDB"/>
    <w:rsid w:val="00A31193"/>
    <w:rsid w:val="00A312FC"/>
    <w:rsid w:val="00A31F9A"/>
    <w:rsid w:val="00A3288D"/>
    <w:rsid w:val="00A32CA4"/>
    <w:rsid w:val="00A32D72"/>
    <w:rsid w:val="00A3307A"/>
    <w:rsid w:val="00A33B96"/>
    <w:rsid w:val="00A34BDA"/>
    <w:rsid w:val="00A358DC"/>
    <w:rsid w:val="00A362FE"/>
    <w:rsid w:val="00A37A3E"/>
    <w:rsid w:val="00A4164A"/>
    <w:rsid w:val="00A4189A"/>
    <w:rsid w:val="00A41C3D"/>
    <w:rsid w:val="00A41F2E"/>
    <w:rsid w:val="00A4265F"/>
    <w:rsid w:val="00A432A0"/>
    <w:rsid w:val="00A4354B"/>
    <w:rsid w:val="00A43EDD"/>
    <w:rsid w:val="00A43F0A"/>
    <w:rsid w:val="00A43FF9"/>
    <w:rsid w:val="00A4404B"/>
    <w:rsid w:val="00A44085"/>
    <w:rsid w:val="00A44220"/>
    <w:rsid w:val="00A465E9"/>
    <w:rsid w:val="00A46A4B"/>
    <w:rsid w:val="00A47774"/>
    <w:rsid w:val="00A47BC1"/>
    <w:rsid w:val="00A50899"/>
    <w:rsid w:val="00A508F1"/>
    <w:rsid w:val="00A50B69"/>
    <w:rsid w:val="00A512A2"/>
    <w:rsid w:val="00A5216F"/>
    <w:rsid w:val="00A52254"/>
    <w:rsid w:val="00A52401"/>
    <w:rsid w:val="00A5287D"/>
    <w:rsid w:val="00A539C0"/>
    <w:rsid w:val="00A550F7"/>
    <w:rsid w:val="00A559A4"/>
    <w:rsid w:val="00A55E33"/>
    <w:rsid w:val="00A562BE"/>
    <w:rsid w:val="00A56A4F"/>
    <w:rsid w:val="00A56DDE"/>
    <w:rsid w:val="00A5787F"/>
    <w:rsid w:val="00A57E73"/>
    <w:rsid w:val="00A60436"/>
    <w:rsid w:val="00A607D9"/>
    <w:rsid w:val="00A60C3A"/>
    <w:rsid w:val="00A619C8"/>
    <w:rsid w:val="00A621B7"/>
    <w:rsid w:val="00A63037"/>
    <w:rsid w:val="00A6323E"/>
    <w:rsid w:val="00A637A2"/>
    <w:rsid w:val="00A63AF3"/>
    <w:rsid w:val="00A6419E"/>
    <w:rsid w:val="00A64E8C"/>
    <w:rsid w:val="00A64EF8"/>
    <w:rsid w:val="00A65894"/>
    <w:rsid w:val="00A65E01"/>
    <w:rsid w:val="00A664B6"/>
    <w:rsid w:val="00A6677B"/>
    <w:rsid w:val="00A67643"/>
    <w:rsid w:val="00A6771B"/>
    <w:rsid w:val="00A67D1C"/>
    <w:rsid w:val="00A710AC"/>
    <w:rsid w:val="00A717AD"/>
    <w:rsid w:val="00A7186E"/>
    <w:rsid w:val="00A71FC9"/>
    <w:rsid w:val="00A725DB"/>
    <w:rsid w:val="00A7275A"/>
    <w:rsid w:val="00A73738"/>
    <w:rsid w:val="00A73D7C"/>
    <w:rsid w:val="00A73E8F"/>
    <w:rsid w:val="00A747DC"/>
    <w:rsid w:val="00A74904"/>
    <w:rsid w:val="00A74B57"/>
    <w:rsid w:val="00A74D4E"/>
    <w:rsid w:val="00A74E90"/>
    <w:rsid w:val="00A7511E"/>
    <w:rsid w:val="00A753BD"/>
    <w:rsid w:val="00A761EE"/>
    <w:rsid w:val="00A76B33"/>
    <w:rsid w:val="00A77933"/>
    <w:rsid w:val="00A77F98"/>
    <w:rsid w:val="00A80813"/>
    <w:rsid w:val="00A80EA4"/>
    <w:rsid w:val="00A81446"/>
    <w:rsid w:val="00A819BA"/>
    <w:rsid w:val="00A819DD"/>
    <w:rsid w:val="00A81C95"/>
    <w:rsid w:val="00A83A16"/>
    <w:rsid w:val="00A83CA5"/>
    <w:rsid w:val="00A83FDA"/>
    <w:rsid w:val="00A84336"/>
    <w:rsid w:val="00A84863"/>
    <w:rsid w:val="00A84EBD"/>
    <w:rsid w:val="00A84EDD"/>
    <w:rsid w:val="00A84F34"/>
    <w:rsid w:val="00A850D0"/>
    <w:rsid w:val="00A85382"/>
    <w:rsid w:val="00A85880"/>
    <w:rsid w:val="00A8620E"/>
    <w:rsid w:val="00A864E9"/>
    <w:rsid w:val="00A86CC9"/>
    <w:rsid w:val="00A86EAC"/>
    <w:rsid w:val="00A87906"/>
    <w:rsid w:val="00A87958"/>
    <w:rsid w:val="00A87E9E"/>
    <w:rsid w:val="00A901BE"/>
    <w:rsid w:val="00A904E2"/>
    <w:rsid w:val="00A90D2E"/>
    <w:rsid w:val="00A912E7"/>
    <w:rsid w:val="00A915A0"/>
    <w:rsid w:val="00A91E97"/>
    <w:rsid w:val="00A92BCF"/>
    <w:rsid w:val="00A93095"/>
    <w:rsid w:val="00A93246"/>
    <w:rsid w:val="00A93456"/>
    <w:rsid w:val="00A940BD"/>
    <w:rsid w:val="00A9479E"/>
    <w:rsid w:val="00A9520C"/>
    <w:rsid w:val="00A958FD"/>
    <w:rsid w:val="00A96085"/>
    <w:rsid w:val="00A96424"/>
    <w:rsid w:val="00A97744"/>
    <w:rsid w:val="00AA19A6"/>
    <w:rsid w:val="00AA1AED"/>
    <w:rsid w:val="00AA20B1"/>
    <w:rsid w:val="00AA262E"/>
    <w:rsid w:val="00AA2C89"/>
    <w:rsid w:val="00AA33FB"/>
    <w:rsid w:val="00AA3442"/>
    <w:rsid w:val="00AA3451"/>
    <w:rsid w:val="00AA3915"/>
    <w:rsid w:val="00AA43BD"/>
    <w:rsid w:val="00AA46E6"/>
    <w:rsid w:val="00AA48C1"/>
    <w:rsid w:val="00AA4B21"/>
    <w:rsid w:val="00AA5ADB"/>
    <w:rsid w:val="00AA604E"/>
    <w:rsid w:val="00AA60A4"/>
    <w:rsid w:val="00AA6240"/>
    <w:rsid w:val="00AA6C66"/>
    <w:rsid w:val="00AA73A8"/>
    <w:rsid w:val="00AA7827"/>
    <w:rsid w:val="00AA7DBA"/>
    <w:rsid w:val="00AB006F"/>
    <w:rsid w:val="00AB0AFE"/>
    <w:rsid w:val="00AB0EA2"/>
    <w:rsid w:val="00AB1A9F"/>
    <w:rsid w:val="00AB29BA"/>
    <w:rsid w:val="00AB3037"/>
    <w:rsid w:val="00AB3184"/>
    <w:rsid w:val="00AB33F9"/>
    <w:rsid w:val="00AB362C"/>
    <w:rsid w:val="00AB3661"/>
    <w:rsid w:val="00AB3CEC"/>
    <w:rsid w:val="00AB3E8B"/>
    <w:rsid w:val="00AB4AFF"/>
    <w:rsid w:val="00AB4D98"/>
    <w:rsid w:val="00AB537C"/>
    <w:rsid w:val="00AB5887"/>
    <w:rsid w:val="00AB5B81"/>
    <w:rsid w:val="00AB5C13"/>
    <w:rsid w:val="00AB5D24"/>
    <w:rsid w:val="00AB600F"/>
    <w:rsid w:val="00AB64E5"/>
    <w:rsid w:val="00AB6C31"/>
    <w:rsid w:val="00AB7213"/>
    <w:rsid w:val="00AB7442"/>
    <w:rsid w:val="00AB76D7"/>
    <w:rsid w:val="00AB7900"/>
    <w:rsid w:val="00AB7B70"/>
    <w:rsid w:val="00AC0846"/>
    <w:rsid w:val="00AC1226"/>
    <w:rsid w:val="00AC1686"/>
    <w:rsid w:val="00AC179A"/>
    <w:rsid w:val="00AC24F6"/>
    <w:rsid w:val="00AC2875"/>
    <w:rsid w:val="00AC299E"/>
    <w:rsid w:val="00AC2DD1"/>
    <w:rsid w:val="00AC388B"/>
    <w:rsid w:val="00AC4647"/>
    <w:rsid w:val="00AC4DEB"/>
    <w:rsid w:val="00AC5C6A"/>
    <w:rsid w:val="00AC65AF"/>
    <w:rsid w:val="00AC679D"/>
    <w:rsid w:val="00AC68C9"/>
    <w:rsid w:val="00AC7052"/>
    <w:rsid w:val="00AC7703"/>
    <w:rsid w:val="00AC7721"/>
    <w:rsid w:val="00AC7AB4"/>
    <w:rsid w:val="00AC7E57"/>
    <w:rsid w:val="00AC7E75"/>
    <w:rsid w:val="00AD0558"/>
    <w:rsid w:val="00AD0958"/>
    <w:rsid w:val="00AD10E5"/>
    <w:rsid w:val="00AD1592"/>
    <w:rsid w:val="00AD1FF4"/>
    <w:rsid w:val="00AD23CC"/>
    <w:rsid w:val="00AD2EE8"/>
    <w:rsid w:val="00AD31EC"/>
    <w:rsid w:val="00AD339F"/>
    <w:rsid w:val="00AD35A4"/>
    <w:rsid w:val="00AD37F0"/>
    <w:rsid w:val="00AD3C2A"/>
    <w:rsid w:val="00AD3E6B"/>
    <w:rsid w:val="00AD4379"/>
    <w:rsid w:val="00AD44D9"/>
    <w:rsid w:val="00AD4C0B"/>
    <w:rsid w:val="00AD51BE"/>
    <w:rsid w:val="00AD5D9A"/>
    <w:rsid w:val="00AD5FB3"/>
    <w:rsid w:val="00AD6676"/>
    <w:rsid w:val="00AD6833"/>
    <w:rsid w:val="00AD6861"/>
    <w:rsid w:val="00AD715B"/>
    <w:rsid w:val="00AD77FA"/>
    <w:rsid w:val="00AD7B4D"/>
    <w:rsid w:val="00AD7F39"/>
    <w:rsid w:val="00AE1212"/>
    <w:rsid w:val="00AE1923"/>
    <w:rsid w:val="00AE1D4C"/>
    <w:rsid w:val="00AE252A"/>
    <w:rsid w:val="00AE48A4"/>
    <w:rsid w:val="00AE4F38"/>
    <w:rsid w:val="00AE507F"/>
    <w:rsid w:val="00AE5D92"/>
    <w:rsid w:val="00AE5F47"/>
    <w:rsid w:val="00AE6873"/>
    <w:rsid w:val="00AE6D21"/>
    <w:rsid w:val="00AE7F9B"/>
    <w:rsid w:val="00AF0F0A"/>
    <w:rsid w:val="00AF1434"/>
    <w:rsid w:val="00AF1DE2"/>
    <w:rsid w:val="00AF2806"/>
    <w:rsid w:val="00AF31A2"/>
    <w:rsid w:val="00AF3C6E"/>
    <w:rsid w:val="00AF406C"/>
    <w:rsid w:val="00AF4076"/>
    <w:rsid w:val="00AF428A"/>
    <w:rsid w:val="00AF498E"/>
    <w:rsid w:val="00AF4AF0"/>
    <w:rsid w:val="00AF4BBB"/>
    <w:rsid w:val="00AF4E90"/>
    <w:rsid w:val="00AF5912"/>
    <w:rsid w:val="00AF5D8B"/>
    <w:rsid w:val="00AF63E5"/>
    <w:rsid w:val="00AF7341"/>
    <w:rsid w:val="00B0036F"/>
    <w:rsid w:val="00B0063B"/>
    <w:rsid w:val="00B00F17"/>
    <w:rsid w:val="00B00FC3"/>
    <w:rsid w:val="00B01DB9"/>
    <w:rsid w:val="00B01E36"/>
    <w:rsid w:val="00B01E94"/>
    <w:rsid w:val="00B0234A"/>
    <w:rsid w:val="00B036AC"/>
    <w:rsid w:val="00B04C10"/>
    <w:rsid w:val="00B0575B"/>
    <w:rsid w:val="00B05FCA"/>
    <w:rsid w:val="00B068E4"/>
    <w:rsid w:val="00B068FF"/>
    <w:rsid w:val="00B06960"/>
    <w:rsid w:val="00B06E84"/>
    <w:rsid w:val="00B07609"/>
    <w:rsid w:val="00B07D30"/>
    <w:rsid w:val="00B115ED"/>
    <w:rsid w:val="00B117CB"/>
    <w:rsid w:val="00B117D7"/>
    <w:rsid w:val="00B12121"/>
    <w:rsid w:val="00B1217E"/>
    <w:rsid w:val="00B12732"/>
    <w:rsid w:val="00B13480"/>
    <w:rsid w:val="00B13785"/>
    <w:rsid w:val="00B13B8E"/>
    <w:rsid w:val="00B13DEF"/>
    <w:rsid w:val="00B142E0"/>
    <w:rsid w:val="00B14E3F"/>
    <w:rsid w:val="00B15237"/>
    <w:rsid w:val="00B15293"/>
    <w:rsid w:val="00B16423"/>
    <w:rsid w:val="00B16A9E"/>
    <w:rsid w:val="00B17198"/>
    <w:rsid w:val="00B20FA4"/>
    <w:rsid w:val="00B21EF0"/>
    <w:rsid w:val="00B231BC"/>
    <w:rsid w:val="00B23573"/>
    <w:rsid w:val="00B23ABE"/>
    <w:rsid w:val="00B23B67"/>
    <w:rsid w:val="00B23BE1"/>
    <w:rsid w:val="00B24B78"/>
    <w:rsid w:val="00B24C0D"/>
    <w:rsid w:val="00B24E5B"/>
    <w:rsid w:val="00B253CC"/>
    <w:rsid w:val="00B26797"/>
    <w:rsid w:val="00B26C98"/>
    <w:rsid w:val="00B26E4F"/>
    <w:rsid w:val="00B271E8"/>
    <w:rsid w:val="00B275D8"/>
    <w:rsid w:val="00B27AC3"/>
    <w:rsid w:val="00B27EC5"/>
    <w:rsid w:val="00B3067B"/>
    <w:rsid w:val="00B30BFE"/>
    <w:rsid w:val="00B313F6"/>
    <w:rsid w:val="00B32506"/>
    <w:rsid w:val="00B32CD4"/>
    <w:rsid w:val="00B32F66"/>
    <w:rsid w:val="00B32F7E"/>
    <w:rsid w:val="00B33678"/>
    <w:rsid w:val="00B33DDF"/>
    <w:rsid w:val="00B33E80"/>
    <w:rsid w:val="00B33FD6"/>
    <w:rsid w:val="00B343CF"/>
    <w:rsid w:val="00B34AFD"/>
    <w:rsid w:val="00B3512D"/>
    <w:rsid w:val="00B354E2"/>
    <w:rsid w:val="00B358C1"/>
    <w:rsid w:val="00B35DD5"/>
    <w:rsid w:val="00B36705"/>
    <w:rsid w:val="00B37073"/>
    <w:rsid w:val="00B37F97"/>
    <w:rsid w:val="00B40037"/>
    <w:rsid w:val="00B403F2"/>
    <w:rsid w:val="00B41861"/>
    <w:rsid w:val="00B4194B"/>
    <w:rsid w:val="00B41A1A"/>
    <w:rsid w:val="00B42107"/>
    <w:rsid w:val="00B42370"/>
    <w:rsid w:val="00B42739"/>
    <w:rsid w:val="00B440D1"/>
    <w:rsid w:val="00B44A28"/>
    <w:rsid w:val="00B4527C"/>
    <w:rsid w:val="00B453BC"/>
    <w:rsid w:val="00B457F9"/>
    <w:rsid w:val="00B45BBA"/>
    <w:rsid w:val="00B462D8"/>
    <w:rsid w:val="00B46347"/>
    <w:rsid w:val="00B46444"/>
    <w:rsid w:val="00B47432"/>
    <w:rsid w:val="00B4762E"/>
    <w:rsid w:val="00B4766C"/>
    <w:rsid w:val="00B507E3"/>
    <w:rsid w:val="00B520DE"/>
    <w:rsid w:val="00B52EAD"/>
    <w:rsid w:val="00B52F36"/>
    <w:rsid w:val="00B53343"/>
    <w:rsid w:val="00B53BFF"/>
    <w:rsid w:val="00B5474A"/>
    <w:rsid w:val="00B54B97"/>
    <w:rsid w:val="00B550D4"/>
    <w:rsid w:val="00B55825"/>
    <w:rsid w:val="00B55E9E"/>
    <w:rsid w:val="00B571CA"/>
    <w:rsid w:val="00B57320"/>
    <w:rsid w:val="00B57321"/>
    <w:rsid w:val="00B574FC"/>
    <w:rsid w:val="00B577AE"/>
    <w:rsid w:val="00B600F2"/>
    <w:rsid w:val="00B60A1A"/>
    <w:rsid w:val="00B60E24"/>
    <w:rsid w:val="00B61068"/>
    <w:rsid w:val="00B6118D"/>
    <w:rsid w:val="00B61B11"/>
    <w:rsid w:val="00B636FD"/>
    <w:rsid w:val="00B6471F"/>
    <w:rsid w:val="00B65759"/>
    <w:rsid w:val="00B65A9D"/>
    <w:rsid w:val="00B674BE"/>
    <w:rsid w:val="00B67A5D"/>
    <w:rsid w:val="00B67BF5"/>
    <w:rsid w:val="00B70240"/>
    <w:rsid w:val="00B706E0"/>
    <w:rsid w:val="00B70E68"/>
    <w:rsid w:val="00B71BEA"/>
    <w:rsid w:val="00B71D0E"/>
    <w:rsid w:val="00B71D2A"/>
    <w:rsid w:val="00B71D57"/>
    <w:rsid w:val="00B72616"/>
    <w:rsid w:val="00B72B0E"/>
    <w:rsid w:val="00B72CAF"/>
    <w:rsid w:val="00B7346A"/>
    <w:rsid w:val="00B7351F"/>
    <w:rsid w:val="00B73E32"/>
    <w:rsid w:val="00B743DF"/>
    <w:rsid w:val="00B744BA"/>
    <w:rsid w:val="00B74B6F"/>
    <w:rsid w:val="00B752A3"/>
    <w:rsid w:val="00B754ED"/>
    <w:rsid w:val="00B75640"/>
    <w:rsid w:val="00B75690"/>
    <w:rsid w:val="00B75B01"/>
    <w:rsid w:val="00B76191"/>
    <w:rsid w:val="00B77355"/>
    <w:rsid w:val="00B77E94"/>
    <w:rsid w:val="00B80265"/>
    <w:rsid w:val="00B80321"/>
    <w:rsid w:val="00B805B9"/>
    <w:rsid w:val="00B80E01"/>
    <w:rsid w:val="00B81361"/>
    <w:rsid w:val="00B8186C"/>
    <w:rsid w:val="00B826B3"/>
    <w:rsid w:val="00B83A02"/>
    <w:rsid w:val="00B85FC8"/>
    <w:rsid w:val="00B863E7"/>
    <w:rsid w:val="00B8778B"/>
    <w:rsid w:val="00B9031C"/>
    <w:rsid w:val="00B90653"/>
    <w:rsid w:val="00B90BB3"/>
    <w:rsid w:val="00B91035"/>
    <w:rsid w:val="00B925DB"/>
    <w:rsid w:val="00B92CAE"/>
    <w:rsid w:val="00B92D7E"/>
    <w:rsid w:val="00B9333B"/>
    <w:rsid w:val="00B938E4"/>
    <w:rsid w:val="00B93E85"/>
    <w:rsid w:val="00B947BF"/>
    <w:rsid w:val="00B94BC1"/>
    <w:rsid w:val="00B94E55"/>
    <w:rsid w:val="00B94F87"/>
    <w:rsid w:val="00B951C1"/>
    <w:rsid w:val="00B9556E"/>
    <w:rsid w:val="00B95B14"/>
    <w:rsid w:val="00B95DC7"/>
    <w:rsid w:val="00B96502"/>
    <w:rsid w:val="00B96BF1"/>
    <w:rsid w:val="00B96C53"/>
    <w:rsid w:val="00B975CF"/>
    <w:rsid w:val="00B977E6"/>
    <w:rsid w:val="00BA0E91"/>
    <w:rsid w:val="00BA0F89"/>
    <w:rsid w:val="00BA1049"/>
    <w:rsid w:val="00BA15EC"/>
    <w:rsid w:val="00BA179D"/>
    <w:rsid w:val="00BA1A50"/>
    <w:rsid w:val="00BA1AFD"/>
    <w:rsid w:val="00BA1E95"/>
    <w:rsid w:val="00BA217B"/>
    <w:rsid w:val="00BA2A85"/>
    <w:rsid w:val="00BA2EC7"/>
    <w:rsid w:val="00BA3490"/>
    <w:rsid w:val="00BA4525"/>
    <w:rsid w:val="00BA4BFB"/>
    <w:rsid w:val="00BA51F6"/>
    <w:rsid w:val="00BA5B47"/>
    <w:rsid w:val="00BA5ED6"/>
    <w:rsid w:val="00BA648B"/>
    <w:rsid w:val="00BA6818"/>
    <w:rsid w:val="00BA6862"/>
    <w:rsid w:val="00BA77DE"/>
    <w:rsid w:val="00BA782E"/>
    <w:rsid w:val="00BA7A25"/>
    <w:rsid w:val="00BB05F4"/>
    <w:rsid w:val="00BB0630"/>
    <w:rsid w:val="00BB12F6"/>
    <w:rsid w:val="00BB13AC"/>
    <w:rsid w:val="00BB2485"/>
    <w:rsid w:val="00BB3436"/>
    <w:rsid w:val="00BB3882"/>
    <w:rsid w:val="00BB3A7C"/>
    <w:rsid w:val="00BB3D9E"/>
    <w:rsid w:val="00BB48F9"/>
    <w:rsid w:val="00BB4D20"/>
    <w:rsid w:val="00BB51DC"/>
    <w:rsid w:val="00BB5776"/>
    <w:rsid w:val="00BB5ACB"/>
    <w:rsid w:val="00BB5B56"/>
    <w:rsid w:val="00BB6172"/>
    <w:rsid w:val="00BB62E3"/>
    <w:rsid w:val="00BB6853"/>
    <w:rsid w:val="00BB6B0B"/>
    <w:rsid w:val="00BB6C0B"/>
    <w:rsid w:val="00BB6DEB"/>
    <w:rsid w:val="00BB6F1C"/>
    <w:rsid w:val="00BB753B"/>
    <w:rsid w:val="00BB772D"/>
    <w:rsid w:val="00BB7DA0"/>
    <w:rsid w:val="00BB7EAC"/>
    <w:rsid w:val="00BC091B"/>
    <w:rsid w:val="00BC13E1"/>
    <w:rsid w:val="00BC23C0"/>
    <w:rsid w:val="00BC265B"/>
    <w:rsid w:val="00BC265E"/>
    <w:rsid w:val="00BC2978"/>
    <w:rsid w:val="00BC3563"/>
    <w:rsid w:val="00BC3677"/>
    <w:rsid w:val="00BC5C51"/>
    <w:rsid w:val="00BC60E1"/>
    <w:rsid w:val="00BC63AD"/>
    <w:rsid w:val="00BC6794"/>
    <w:rsid w:val="00BC730B"/>
    <w:rsid w:val="00BC7C23"/>
    <w:rsid w:val="00BD0750"/>
    <w:rsid w:val="00BD0DE3"/>
    <w:rsid w:val="00BD0E33"/>
    <w:rsid w:val="00BD1C8B"/>
    <w:rsid w:val="00BD1D83"/>
    <w:rsid w:val="00BD27DF"/>
    <w:rsid w:val="00BD2828"/>
    <w:rsid w:val="00BD35F1"/>
    <w:rsid w:val="00BD37BA"/>
    <w:rsid w:val="00BD383C"/>
    <w:rsid w:val="00BD45DA"/>
    <w:rsid w:val="00BD4720"/>
    <w:rsid w:val="00BD4CCC"/>
    <w:rsid w:val="00BD4EE6"/>
    <w:rsid w:val="00BD5BC3"/>
    <w:rsid w:val="00BD5CA3"/>
    <w:rsid w:val="00BD601C"/>
    <w:rsid w:val="00BD70AE"/>
    <w:rsid w:val="00BE0DCB"/>
    <w:rsid w:val="00BE1859"/>
    <w:rsid w:val="00BE24E9"/>
    <w:rsid w:val="00BE2CF2"/>
    <w:rsid w:val="00BE2D0C"/>
    <w:rsid w:val="00BE538C"/>
    <w:rsid w:val="00BE5CC6"/>
    <w:rsid w:val="00BE5FDD"/>
    <w:rsid w:val="00BE6339"/>
    <w:rsid w:val="00BE6738"/>
    <w:rsid w:val="00BE6981"/>
    <w:rsid w:val="00BE6A48"/>
    <w:rsid w:val="00BE756C"/>
    <w:rsid w:val="00BE7822"/>
    <w:rsid w:val="00BE7934"/>
    <w:rsid w:val="00BE7AC2"/>
    <w:rsid w:val="00BF01F1"/>
    <w:rsid w:val="00BF04AD"/>
    <w:rsid w:val="00BF07D6"/>
    <w:rsid w:val="00BF07EA"/>
    <w:rsid w:val="00BF16B9"/>
    <w:rsid w:val="00BF1740"/>
    <w:rsid w:val="00BF181A"/>
    <w:rsid w:val="00BF1A83"/>
    <w:rsid w:val="00BF1D78"/>
    <w:rsid w:val="00BF1E65"/>
    <w:rsid w:val="00BF2184"/>
    <w:rsid w:val="00BF2338"/>
    <w:rsid w:val="00BF27BB"/>
    <w:rsid w:val="00BF381C"/>
    <w:rsid w:val="00BF3965"/>
    <w:rsid w:val="00BF4733"/>
    <w:rsid w:val="00BF498B"/>
    <w:rsid w:val="00BF4EB8"/>
    <w:rsid w:val="00BF5D42"/>
    <w:rsid w:val="00BF6690"/>
    <w:rsid w:val="00BF69FE"/>
    <w:rsid w:val="00BF7E99"/>
    <w:rsid w:val="00C00032"/>
    <w:rsid w:val="00C00469"/>
    <w:rsid w:val="00C0047B"/>
    <w:rsid w:val="00C010FA"/>
    <w:rsid w:val="00C012AA"/>
    <w:rsid w:val="00C01807"/>
    <w:rsid w:val="00C01BB0"/>
    <w:rsid w:val="00C021A6"/>
    <w:rsid w:val="00C03FC3"/>
    <w:rsid w:val="00C042FB"/>
    <w:rsid w:val="00C05422"/>
    <w:rsid w:val="00C05541"/>
    <w:rsid w:val="00C0591B"/>
    <w:rsid w:val="00C059F2"/>
    <w:rsid w:val="00C0643E"/>
    <w:rsid w:val="00C06AC7"/>
    <w:rsid w:val="00C06FD8"/>
    <w:rsid w:val="00C07AE4"/>
    <w:rsid w:val="00C10414"/>
    <w:rsid w:val="00C10E4A"/>
    <w:rsid w:val="00C10F84"/>
    <w:rsid w:val="00C11958"/>
    <w:rsid w:val="00C11E76"/>
    <w:rsid w:val="00C121E3"/>
    <w:rsid w:val="00C129C1"/>
    <w:rsid w:val="00C13EC6"/>
    <w:rsid w:val="00C14145"/>
    <w:rsid w:val="00C14D49"/>
    <w:rsid w:val="00C15346"/>
    <w:rsid w:val="00C15E18"/>
    <w:rsid w:val="00C16DA8"/>
    <w:rsid w:val="00C1791A"/>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886"/>
    <w:rsid w:val="00C24A19"/>
    <w:rsid w:val="00C24A20"/>
    <w:rsid w:val="00C24ADB"/>
    <w:rsid w:val="00C25770"/>
    <w:rsid w:val="00C2620F"/>
    <w:rsid w:val="00C262DD"/>
    <w:rsid w:val="00C2636E"/>
    <w:rsid w:val="00C268C6"/>
    <w:rsid w:val="00C27904"/>
    <w:rsid w:val="00C27F83"/>
    <w:rsid w:val="00C3074B"/>
    <w:rsid w:val="00C30904"/>
    <w:rsid w:val="00C318AF"/>
    <w:rsid w:val="00C321FC"/>
    <w:rsid w:val="00C324F0"/>
    <w:rsid w:val="00C3267E"/>
    <w:rsid w:val="00C327BC"/>
    <w:rsid w:val="00C3385B"/>
    <w:rsid w:val="00C33C75"/>
    <w:rsid w:val="00C33F3D"/>
    <w:rsid w:val="00C34193"/>
    <w:rsid w:val="00C34711"/>
    <w:rsid w:val="00C35323"/>
    <w:rsid w:val="00C35747"/>
    <w:rsid w:val="00C35A2D"/>
    <w:rsid w:val="00C3671C"/>
    <w:rsid w:val="00C368B2"/>
    <w:rsid w:val="00C36FB7"/>
    <w:rsid w:val="00C37102"/>
    <w:rsid w:val="00C37A49"/>
    <w:rsid w:val="00C40850"/>
    <w:rsid w:val="00C4192E"/>
    <w:rsid w:val="00C4227F"/>
    <w:rsid w:val="00C43770"/>
    <w:rsid w:val="00C43DB2"/>
    <w:rsid w:val="00C43F3C"/>
    <w:rsid w:val="00C44B2F"/>
    <w:rsid w:val="00C4508E"/>
    <w:rsid w:val="00C45ADD"/>
    <w:rsid w:val="00C46477"/>
    <w:rsid w:val="00C46905"/>
    <w:rsid w:val="00C4690C"/>
    <w:rsid w:val="00C4786D"/>
    <w:rsid w:val="00C478FD"/>
    <w:rsid w:val="00C47DE2"/>
    <w:rsid w:val="00C50543"/>
    <w:rsid w:val="00C505BA"/>
    <w:rsid w:val="00C5085D"/>
    <w:rsid w:val="00C509B4"/>
    <w:rsid w:val="00C512A2"/>
    <w:rsid w:val="00C51566"/>
    <w:rsid w:val="00C5157D"/>
    <w:rsid w:val="00C51C34"/>
    <w:rsid w:val="00C52281"/>
    <w:rsid w:val="00C52CEE"/>
    <w:rsid w:val="00C530B7"/>
    <w:rsid w:val="00C53203"/>
    <w:rsid w:val="00C53C97"/>
    <w:rsid w:val="00C56DA7"/>
    <w:rsid w:val="00C56EA1"/>
    <w:rsid w:val="00C57A60"/>
    <w:rsid w:val="00C57BE5"/>
    <w:rsid w:val="00C57C31"/>
    <w:rsid w:val="00C60D5C"/>
    <w:rsid w:val="00C61102"/>
    <w:rsid w:val="00C61EC0"/>
    <w:rsid w:val="00C620C3"/>
    <w:rsid w:val="00C624A9"/>
    <w:rsid w:val="00C62B22"/>
    <w:rsid w:val="00C63304"/>
    <w:rsid w:val="00C63B94"/>
    <w:rsid w:val="00C63BC0"/>
    <w:rsid w:val="00C63D1F"/>
    <w:rsid w:val="00C63D7F"/>
    <w:rsid w:val="00C64D09"/>
    <w:rsid w:val="00C6582D"/>
    <w:rsid w:val="00C65AE0"/>
    <w:rsid w:val="00C661CD"/>
    <w:rsid w:val="00C663A7"/>
    <w:rsid w:val="00C66614"/>
    <w:rsid w:val="00C66925"/>
    <w:rsid w:val="00C66FFA"/>
    <w:rsid w:val="00C6779C"/>
    <w:rsid w:val="00C67BA4"/>
    <w:rsid w:val="00C709A2"/>
    <w:rsid w:val="00C7112E"/>
    <w:rsid w:val="00C71928"/>
    <w:rsid w:val="00C71A7E"/>
    <w:rsid w:val="00C71C06"/>
    <w:rsid w:val="00C72009"/>
    <w:rsid w:val="00C7346A"/>
    <w:rsid w:val="00C736A6"/>
    <w:rsid w:val="00C73BEB"/>
    <w:rsid w:val="00C73F09"/>
    <w:rsid w:val="00C7524C"/>
    <w:rsid w:val="00C759CB"/>
    <w:rsid w:val="00C762D7"/>
    <w:rsid w:val="00C766FC"/>
    <w:rsid w:val="00C76D6D"/>
    <w:rsid w:val="00C77248"/>
    <w:rsid w:val="00C776FD"/>
    <w:rsid w:val="00C77C40"/>
    <w:rsid w:val="00C8020F"/>
    <w:rsid w:val="00C804E2"/>
    <w:rsid w:val="00C81842"/>
    <w:rsid w:val="00C8225E"/>
    <w:rsid w:val="00C823CB"/>
    <w:rsid w:val="00C826EE"/>
    <w:rsid w:val="00C82B3B"/>
    <w:rsid w:val="00C82CB0"/>
    <w:rsid w:val="00C83948"/>
    <w:rsid w:val="00C83FC0"/>
    <w:rsid w:val="00C84351"/>
    <w:rsid w:val="00C848BA"/>
    <w:rsid w:val="00C84F98"/>
    <w:rsid w:val="00C852CD"/>
    <w:rsid w:val="00C85810"/>
    <w:rsid w:val="00C85898"/>
    <w:rsid w:val="00C85A8A"/>
    <w:rsid w:val="00C86A07"/>
    <w:rsid w:val="00C8799A"/>
    <w:rsid w:val="00C903B9"/>
    <w:rsid w:val="00C9072A"/>
    <w:rsid w:val="00C912F5"/>
    <w:rsid w:val="00C91C46"/>
    <w:rsid w:val="00C92372"/>
    <w:rsid w:val="00C93087"/>
    <w:rsid w:val="00C935C5"/>
    <w:rsid w:val="00C93944"/>
    <w:rsid w:val="00C9424C"/>
    <w:rsid w:val="00C94546"/>
    <w:rsid w:val="00C94660"/>
    <w:rsid w:val="00C94796"/>
    <w:rsid w:val="00C94C8D"/>
    <w:rsid w:val="00C951F5"/>
    <w:rsid w:val="00C955D7"/>
    <w:rsid w:val="00C95736"/>
    <w:rsid w:val="00C95F4E"/>
    <w:rsid w:val="00C96502"/>
    <w:rsid w:val="00C96D8A"/>
    <w:rsid w:val="00C96FF8"/>
    <w:rsid w:val="00C971AB"/>
    <w:rsid w:val="00C97C88"/>
    <w:rsid w:val="00CA043B"/>
    <w:rsid w:val="00CA062B"/>
    <w:rsid w:val="00CA0C6E"/>
    <w:rsid w:val="00CA0CFC"/>
    <w:rsid w:val="00CA1D40"/>
    <w:rsid w:val="00CA2076"/>
    <w:rsid w:val="00CA2AFD"/>
    <w:rsid w:val="00CA2BA3"/>
    <w:rsid w:val="00CA2E6A"/>
    <w:rsid w:val="00CA301A"/>
    <w:rsid w:val="00CA3981"/>
    <w:rsid w:val="00CA4024"/>
    <w:rsid w:val="00CA46A4"/>
    <w:rsid w:val="00CA4B8E"/>
    <w:rsid w:val="00CA4CB1"/>
    <w:rsid w:val="00CA57FE"/>
    <w:rsid w:val="00CA5A78"/>
    <w:rsid w:val="00CA6399"/>
    <w:rsid w:val="00CA64DD"/>
    <w:rsid w:val="00CA68D4"/>
    <w:rsid w:val="00CB0479"/>
    <w:rsid w:val="00CB0A16"/>
    <w:rsid w:val="00CB0CC8"/>
    <w:rsid w:val="00CB1696"/>
    <w:rsid w:val="00CB1DCD"/>
    <w:rsid w:val="00CB2774"/>
    <w:rsid w:val="00CB2A32"/>
    <w:rsid w:val="00CB4562"/>
    <w:rsid w:val="00CB47F9"/>
    <w:rsid w:val="00CB4E03"/>
    <w:rsid w:val="00CB5679"/>
    <w:rsid w:val="00CB5713"/>
    <w:rsid w:val="00CB5F3C"/>
    <w:rsid w:val="00CB68A2"/>
    <w:rsid w:val="00CB731B"/>
    <w:rsid w:val="00CB7F3B"/>
    <w:rsid w:val="00CC01EB"/>
    <w:rsid w:val="00CC03AE"/>
    <w:rsid w:val="00CC0A7F"/>
    <w:rsid w:val="00CC150E"/>
    <w:rsid w:val="00CC25FD"/>
    <w:rsid w:val="00CC2CA2"/>
    <w:rsid w:val="00CC31C4"/>
    <w:rsid w:val="00CC327F"/>
    <w:rsid w:val="00CC3697"/>
    <w:rsid w:val="00CC3D07"/>
    <w:rsid w:val="00CC41B7"/>
    <w:rsid w:val="00CC474A"/>
    <w:rsid w:val="00CC4C03"/>
    <w:rsid w:val="00CC52EC"/>
    <w:rsid w:val="00CC57D3"/>
    <w:rsid w:val="00CC5F28"/>
    <w:rsid w:val="00CC61AA"/>
    <w:rsid w:val="00CC6D64"/>
    <w:rsid w:val="00CC71A0"/>
    <w:rsid w:val="00CC75C2"/>
    <w:rsid w:val="00CC778A"/>
    <w:rsid w:val="00CC7F41"/>
    <w:rsid w:val="00CD0246"/>
    <w:rsid w:val="00CD05A3"/>
    <w:rsid w:val="00CD0842"/>
    <w:rsid w:val="00CD134D"/>
    <w:rsid w:val="00CD157B"/>
    <w:rsid w:val="00CD21B3"/>
    <w:rsid w:val="00CD2323"/>
    <w:rsid w:val="00CD23D6"/>
    <w:rsid w:val="00CD2656"/>
    <w:rsid w:val="00CD2ADC"/>
    <w:rsid w:val="00CD365A"/>
    <w:rsid w:val="00CD3F18"/>
    <w:rsid w:val="00CD442A"/>
    <w:rsid w:val="00CD45E3"/>
    <w:rsid w:val="00CD4B8D"/>
    <w:rsid w:val="00CD4F71"/>
    <w:rsid w:val="00CD5857"/>
    <w:rsid w:val="00CD5FFD"/>
    <w:rsid w:val="00CD688F"/>
    <w:rsid w:val="00CE02E6"/>
    <w:rsid w:val="00CE1043"/>
    <w:rsid w:val="00CE151A"/>
    <w:rsid w:val="00CE1EC6"/>
    <w:rsid w:val="00CE1F54"/>
    <w:rsid w:val="00CE24FA"/>
    <w:rsid w:val="00CE31E5"/>
    <w:rsid w:val="00CE3564"/>
    <w:rsid w:val="00CE36BB"/>
    <w:rsid w:val="00CE495D"/>
    <w:rsid w:val="00CE49BA"/>
    <w:rsid w:val="00CE4F45"/>
    <w:rsid w:val="00CE51F8"/>
    <w:rsid w:val="00CE628D"/>
    <w:rsid w:val="00CE6528"/>
    <w:rsid w:val="00CE67DA"/>
    <w:rsid w:val="00CE6804"/>
    <w:rsid w:val="00CE6B16"/>
    <w:rsid w:val="00CE6BB0"/>
    <w:rsid w:val="00CE6C89"/>
    <w:rsid w:val="00CE6F27"/>
    <w:rsid w:val="00CE79FE"/>
    <w:rsid w:val="00CE7E16"/>
    <w:rsid w:val="00CF010F"/>
    <w:rsid w:val="00CF072B"/>
    <w:rsid w:val="00CF0ADD"/>
    <w:rsid w:val="00CF0AFE"/>
    <w:rsid w:val="00CF0D20"/>
    <w:rsid w:val="00CF2363"/>
    <w:rsid w:val="00CF23EE"/>
    <w:rsid w:val="00CF28EE"/>
    <w:rsid w:val="00CF3159"/>
    <w:rsid w:val="00CF402D"/>
    <w:rsid w:val="00CF431B"/>
    <w:rsid w:val="00CF4820"/>
    <w:rsid w:val="00CF5388"/>
    <w:rsid w:val="00CF5577"/>
    <w:rsid w:val="00CF5DAF"/>
    <w:rsid w:val="00CF61B5"/>
    <w:rsid w:val="00CF62A8"/>
    <w:rsid w:val="00CF6DF4"/>
    <w:rsid w:val="00CF6EA7"/>
    <w:rsid w:val="00CF7684"/>
    <w:rsid w:val="00D0212E"/>
    <w:rsid w:val="00D0225B"/>
    <w:rsid w:val="00D02A19"/>
    <w:rsid w:val="00D04F7B"/>
    <w:rsid w:val="00D0512C"/>
    <w:rsid w:val="00D05E29"/>
    <w:rsid w:val="00D06211"/>
    <w:rsid w:val="00D06DF6"/>
    <w:rsid w:val="00D06E9F"/>
    <w:rsid w:val="00D06FFF"/>
    <w:rsid w:val="00D0757E"/>
    <w:rsid w:val="00D07B7D"/>
    <w:rsid w:val="00D07E7E"/>
    <w:rsid w:val="00D07F6D"/>
    <w:rsid w:val="00D113E7"/>
    <w:rsid w:val="00D116F0"/>
    <w:rsid w:val="00D119B8"/>
    <w:rsid w:val="00D11B26"/>
    <w:rsid w:val="00D122BD"/>
    <w:rsid w:val="00D12A77"/>
    <w:rsid w:val="00D12AB4"/>
    <w:rsid w:val="00D12E24"/>
    <w:rsid w:val="00D13CD4"/>
    <w:rsid w:val="00D13DBC"/>
    <w:rsid w:val="00D14332"/>
    <w:rsid w:val="00D15178"/>
    <w:rsid w:val="00D1522A"/>
    <w:rsid w:val="00D15B0C"/>
    <w:rsid w:val="00D167E6"/>
    <w:rsid w:val="00D16F9B"/>
    <w:rsid w:val="00D17611"/>
    <w:rsid w:val="00D17E36"/>
    <w:rsid w:val="00D200B1"/>
    <w:rsid w:val="00D201F2"/>
    <w:rsid w:val="00D20389"/>
    <w:rsid w:val="00D214CE"/>
    <w:rsid w:val="00D21901"/>
    <w:rsid w:val="00D21A5A"/>
    <w:rsid w:val="00D21DA4"/>
    <w:rsid w:val="00D22863"/>
    <w:rsid w:val="00D22A36"/>
    <w:rsid w:val="00D23502"/>
    <w:rsid w:val="00D24778"/>
    <w:rsid w:val="00D25322"/>
    <w:rsid w:val="00D25ADF"/>
    <w:rsid w:val="00D25BE6"/>
    <w:rsid w:val="00D25C2E"/>
    <w:rsid w:val="00D25FFA"/>
    <w:rsid w:val="00D26186"/>
    <w:rsid w:val="00D264A4"/>
    <w:rsid w:val="00D2674F"/>
    <w:rsid w:val="00D26DF4"/>
    <w:rsid w:val="00D26E87"/>
    <w:rsid w:val="00D27086"/>
    <w:rsid w:val="00D27715"/>
    <w:rsid w:val="00D27CDB"/>
    <w:rsid w:val="00D301B3"/>
    <w:rsid w:val="00D30458"/>
    <w:rsid w:val="00D30B67"/>
    <w:rsid w:val="00D30D2F"/>
    <w:rsid w:val="00D31529"/>
    <w:rsid w:val="00D3190D"/>
    <w:rsid w:val="00D3255F"/>
    <w:rsid w:val="00D3345B"/>
    <w:rsid w:val="00D334F0"/>
    <w:rsid w:val="00D33974"/>
    <w:rsid w:val="00D33C7E"/>
    <w:rsid w:val="00D34005"/>
    <w:rsid w:val="00D346EB"/>
    <w:rsid w:val="00D35DEF"/>
    <w:rsid w:val="00D35F0E"/>
    <w:rsid w:val="00D362D1"/>
    <w:rsid w:val="00D36FEC"/>
    <w:rsid w:val="00D3723B"/>
    <w:rsid w:val="00D377B1"/>
    <w:rsid w:val="00D37996"/>
    <w:rsid w:val="00D37DF7"/>
    <w:rsid w:val="00D405B2"/>
    <w:rsid w:val="00D40E5F"/>
    <w:rsid w:val="00D4101C"/>
    <w:rsid w:val="00D4115A"/>
    <w:rsid w:val="00D411AB"/>
    <w:rsid w:val="00D41BD7"/>
    <w:rsid w:val="00D41E32"/>
    <w:rsid w:val="00D42078"/>
    <w:rsid w:val="00D421C9"/>
    <w:rsid w:val="00D42CC1"/>
    <w:rsid w:val="00D42F6C"/>
    <w:rsid w:val="00D43A1F"/>
    <w:rsid w:val="00D44755"/>
    <w:rsid w:val="00D44B50"/>
    <w:rsid w:val="00D45EDA"/>
    <w:rsid w:val="00D45F80"/>
    <w:rsid w:val="00D46126"/>
    <w:rsid w:val="00D508A9"/>
    <w:rsid w:val="00D50DFF"/>
    <w:rsid w:val="00D512A4"/>
    <w:rsid w:val="00D5133C"/>
    <w:rsid w:val="00D5138A"/>
    <w:rsid w:val="00D51A7A"/>
    <w:rsid w:val="00D521C2"/>
    <w:rsid w:val="00D53401"/>
    <w:rsid w:val="00D5370C"/>
    <w:rsid w:val="00D53A72"/>
    <w:rsid w:val="00D54213"/>
    <w:rsid w:val="00D54416"/>
    <w:rsid w:val="00D54F96"/>
    <w:rsid w:val="00D5509A"/>
    <w:rsid w:val="00D5545B"/>
    <w:rsid w:val="00D557D8"/>
    <w:rsid w:val="00D569FE"/>
    <w:rsid w:val="00D56CC0"/>
    <w:rsid w:val="00D57027"/>
    <w:rsid w:val="00D578DF"/>
    <w:rsid w:val="00D60147"/>
    <w:rsid w:val="00D60291"/>
    <w:rsid w:val="00D60DEF"/>
    <w:rsid w:val="00D61D9D"/>
    <w:rsid w:val="00D6217D"/>
    <w:rsid w:val="00D6231B"/>
    <w:rsid w:val="00D625C5"/>
    <w:rsid w:val="00D62DFA"/>
    <w:rsid w:val="00D63ACC"/>
    <w:rsid w:val="00D663F0"/>
    <w:rsid w:val="00D66636"/>
    <w:rsid w:val="00D66949"/>
    <w:rsid w:val="00D672C4"/>
    <w:rsid w:val="00D67658"/>
    <w:rsid w:val="00D67A60"/>
    <w:rsid w:val="00D70016"/>
    <w:rsid w:val="00D70178"/>
    <w:rsid w:val="00D701D4"/>
    <w:rsid w:val="00D7100B"/>
    <w:rsid w:val="00D71336"/>
    <w:rsid w:val="00D71461"/>
    <w:rsid w:val="00D71471"/>
    <w:rsid w:val="00D71590"/>
    <w:rsid w:val="00D71AF4"/>
    <w:rsid w:val="00D71C56"/>
    <w:rsid w:val="00D73963"/>
    <w:rsid w:val="00D73C72"/>
    <w:rsid w:val="00D73DDB"/>
    <w:rsid w:val="00D7519D"/>
    <w:rsid w:val="00D75281"/>
    <w:rsid w:val="00D75B25"/>
    <w:rsid w:val="00D75D19"/>
    <w:rsid w:val="00D7657C"/>
    <w:rsid w:val="00D7676B"/>
    <w:rsid w:val="00D76BAD"/>
    <w:rsid w:val="00D76E8B"/>
    <w:rsid w:val="00D7706C"/>
    <w:rsid w:val="00D77359"/>
    <w:rsid w:val="00D77433"/>
    <w:rsid w:val="00D80F0E"/>
    <w:rsid w:val="00D810BB"/>
    <w:rsid w:val="00D81801"/>
    <w:rsid w:val="00D8205D"/>
    <w:rsid w:val="00D82646"/>
    <w:rsid w:val="00D82A69"/>
    <w:rsid w:val="00D83B93"/>
    <w:rsid w:val="00D844C1"/>
    <w:rsid w:val="00D846FB"/>
    <w:rsid w:val="00D847F9"/>
    <w:rsid w:val="00D84B28"/>
    <w:rsid w:val="00D84E58"/>
    <w:rsid w:val="00D85309"/>
    <w:rsid w:val="00D8567A"/>
    <w:rsid w:val="00D860C6"/>
    <w:rsid w:val="00D86512"/>
    <w:rsid w:val="00D86695"/>
    <w:rsid w:val="00D867A8"/>
    <w:rsid w:val="00D86A06"/>
    <w:rsid w:val="00D86ABB"/>
    <w:rsid w:val="00D86AD8"/>
    <w:rsid w:val="00D87080"/>
    <w:rsid w:val="00D87115"/>
    <w:rsid w:val="00D879C1"/>
    <w:rsid w:val="00D87D24"/>
    <w:rsid w:val="00D90453"/>
    <w:rsid w:val="00D90A07"/>
    <w:rsid w:val="00D90A77"/>
    <w:rsid w:val="00D90BA1"/>
    <w:rsid w:val="00D91911"/>
    <w:rsid w:val="00D919E3"/>
    <w:rsid w:val="00D91B8A"/>
    <w:rsid w:val="00D91D38"/>
    <w:rsid w:val="00D9376B"/>
    <w:rsid w:val="00D937CC"/>
    <w:rsid w:val="00D93E10"/>
    <w:rsid w:val="00D93E53"/>
    <w:rsid w:val="00D93EA5"/>
    <w:rsid w:val="00D93F56"/>
    <w:rsid w:val="00D9449B"/>
    <w:rsid w:val="00D94A33"/>
    <w:rsid w:val="00D94BC1"/>
    <w:rsid w:val="00D9550F"/>
    <w:rsid w:val="00D9562E"/>
    <w:rsid w:val="00D95B44"/>
    <w:rsid w:val="00D97CB3"/>
    <w:rsid w:val="00DA037D"/>
    <w:rsid w:val="00DA06CD"/>
    <w:rsid w:val="00DA182E"/>
    <w:rsid w:val="00DA18A4"/>
    <w:rsid w:val="00DA1E23"/>
    <w:rsid w:val="00DA30CC"/>
    <w:rsid w:val="00DA32AF"/>
    <w:rsid w:val="00DA33EF"/>
    <w:rsid w:val="00DA35AD"/>
    <w:rsid w:val="00DA3A33"/>
    <w:rsid w:val="00DA3EAD"/>
    <w:rsid w:val="00DA4370"/>
    <w:rsid w:val="00DA44F1"/>
    <w:rsid w:val="00DA477A"/>
    <w:rsid w:val="00DA4973"/>
    <w:rsid w:val="00DA5172"/>
    <w:rsid w:val="00DA5259"/>
    <w:rsid w:val="00DA545B"/>
    <w:rsid w:val="00DA5925"/>
    <w:rsid w:val="00DA6434"/>
    <w:rsid w:val="00DA67B4"/>
    <w:rsid w:val="00DA6B61"/>
    <w:rsid w:val="00DA6CF4"/>
    <w:rsid w:val="00DA70E8"/>
    <w:rsid w:val="00DA73AF"/>
    <w:rsid w:val="00DA7CFE"/>
    <w:rsid w:val="00DB0056"/>
    <w:rsid w:val="00DB016D"/>
    <w:rsid w:val="00DB0DD9"/>
    <w:rsid w:val="00DB30F4"/>
    <w:rsid w:val="00DB3165"/>
    <w:rsid w:val="00DB34B8"/>
    <w:rsid w:val="00DB38FF"/>
    <w:rsid w:val="00DB3A12"/>
    <w:rsid w:val="00DB3D95"/>
    <w:rsid w:val="00DB49CD"/>
    <w:rsid w:val="00DB59FC"/>
    <w:rsid w:val="00DB6CA0"/>
    <w:rsid w:val="00DB6E07"/>
    <w:rsid w:val="00DB73D7"/>
    <w:rsid w:val="00DB7934"/>
    <w:rsid w:val="00DB7BD2"/>
    <w:rsid w:val="00DB7ED2"/>
    <w:rsid w:val="00DC0D2B"/>
    <w:rsid w:val="00DC18B2"/>
    <w:rsid w:val="00DC1926"/>
    <w:rsid w:val="00DC1B1E"/>
    <w:rsid w:val="00DC1C01"/>
    <w:rsid w:val="00DC1E36"/>
    <w:rsid w:val="00DC274D"/>
    <w:rsid w:val="00DC2886"/>
    <w:rsid w:val="00DC2B8D"/>
    <w:rsid w:val="00DC390F"/>
    <w:rsid w:val="00DC3A85"/>
    <w:rsid w:val="00DC5DB6"/>
    <w:rsid w:val="00DC6928"/>
    <w:rsid w:val="00DC747E"/>
    <w:rsid w:val="00DC7C54"/>
    <w:rsid w:val="00DD0B8C"/>
    <w:rsid w:val="00DD1520"/>
    <w:rsid w:val="00DD18B5"/>
    <w:rsid w:val="00DD2301"/>
    <w:rsid w:val="00DD2520"/>
    <w:rsid w:val="00DD28FB"/>
    <w:rsid w:val="00DD30CB"/>
    <w:rsid w:val="00DD3791"/>
    <w:rsid w:val="00DD3820"/>
    <w:rsid w:val="00DD3A1E"/>
    <w:rsid w:val="00DD3D1C"/>
    <w:rsid w:val="00DD3EF2"/>
    <w:rsid w:val="00DD4752"/>
    <w:rsid w:val="00DD488F"/>
    <w:rsid w:val="00DD4D46"/>
    <w:rsid w:val="00DD4DAF"/>
    <w:rsid w:val="00DD521E"/>
    <w:rsid w:val="00DD57FF"/>
    <w:rsid w:val="00DD5948"/>
    <w:rsid w:val="00DD5AEB"/>
    <w:rsid w:val="00DD6294"/>
    <w:rsid w:val="00DD67E5"/>
    <w:rsid w:val="00DD6A57"/>
    <w:rsid w:val="00DD6A5E"/>
    <w:rsid w:val="00DD6A63"/>
    <w:rsid w:val="00DD6DE4"/>
    <w:rsid w:val="00DD7848"/>
    <w:rsid w:val="00DD7EAF"/>
    <w:rsid w:val="00DE0FBE"/>
    <w:rsid w:val="00DE1B18"/>
    <w:rsid w:val="00DE1D5F"/>
    <w:rsid w:val="00DE20F1"/>
    <w:rsid w:val="00DE21F5"/>
    <w:rsid w:val="00DE2445"/>
    <w:rsid w:val="00DE2792"/>
    <w:rsid w:val="00DE2EB4"/>
    <w:rsid w:val="00DE34E7"/>
    <w:rsid w:val="00DE357C"/>
    <w:rsid w:val="00DE38E9"/>
    <w:rsid w:val="00DE3A21"/>
    <w:rsid w:val="00DE3CE5"/>
    <w:rsid w:val="00DE4063"/>
    <w:rsid w:val="00DE4360"/>
    <w:rsid w:val="00DE472C"/>
    <w:rsid w:val="00DE4829"/>
    <w:rsid w:val="00DE6EB9"/>
    <w:rsid w:val="00DE7B6E"/>
    <w:rsid w:val="00DE7F9D"/>
    <w:rsid w:val="00DF074F"/>
    <w:rsid w:val="00DF12B3"/>
    <w:rsid w:val="00DF151A"/>
    <w:rsid w:val="00DF1A16"/>
    <w:rsid w:val="00DF1C08"/>
    <w:rsid w:val="00DF1E44"/>
    <w:rsid w:val="00DF21F4"/>
    <w:rsid w:val="00DF2583"/>
    <w:rsid w:val="00DF26B1"/>
    <w:rsid w:val="00DF2CE5"/>
    <w:rsid w:val="00DF2E7F"/>
    <w:rsid w:val="00DF3158"/>
    <w:rsid w:val="00DF3219"/>
    <w:rsid w:val="00DF3DA5"/>
    <w:rsid w:val="00DF45A1"/>
    <w:rsid w:val="00DF4FB9"/>
    <w:rsid w:val="00DF57F5"/>
    <w:rsid w:val="00DF6037"/>
    <w:rsid w:val="00DF7113"/>
    <w:rsid w:val="00E00775"/>
    <w:rsid w:val="00E0085F"/>
    <w:rsid w:val="00E011E9"/>
    <w:rsid w:val="00E01CA7"/>
    <w:rsid w:val="00E01F7A"/>
    <w:rsid w:val="00E02E95"/>
    <w:rsid w:val="00E033BA"/>
    <w:rsid w:val="00E03692"/>
    <w:rsid w:val="00E0382F"/>
    <w:rsid w:val="00E03980"/>
    <w:rsid w:val="00E041EC"/>
    <w:rsid w:val="00E047AD"/>
    <w:rsid w:val="00E054C6"/>
    <w:rsid w:val="00E058EE"/>
    <w:rsid w:val="00E06676"/>
    <w:rsid w:val="00E06A0D"/>
    <w:rsid w:val="00E06F9C"/>
    <w:rsid w:val="00E075DE"/>
    <w:rsid w:val="00E07AA3"/>
    <w:rsid w:val="00E07AB5"/>
    <w:rsid w:val="00E11DB0"/>
    <w:rsid w:val="00E1213E"/>
    <w:rsid w:val="00E128EB"/>
    <w:rsid w:val="00E12CBB"/>
    <w:rsid w:val="00E12D6C"/>
    <w:rsid w:val="00E12EDF"/>
    <w:rsid w:val="00E13299"/>
    <w:rsid w:val="00E1448C"/>
    <w:rsid w:val="00E147A2"/>
    <w:rsid w:val="00E14B7B"/>
    <w:rsid w:val="00E14D04"/>
    <w:rsid w:val="00E1520B"/>
    <w:rsid w:val="00E15B76"/>
    <w:rsid w:val="00E1663B"/>
    <w:rsid w:val="00E16B28"/>
    <w:rsid w:val="00E16D2F"/>
    <w:rsid w:val="00E17B40"/>
    <w:rsid w:val="00E17D6E"/>
    <w:rsid w:val="00E17F71"/>
    <w:rsid w:val="00E200CB"/>
    <w:rsid w:val="00E21224"/>
    <w:rsid w:val="00E22E87"/>
    <w:rsid w:val="00E2360B"/>
    <w:rsid w:val="00E23B81"/>
    <w:rsid w:val="00E23C52"/>
    <w:rsid w:val="00E23C67"/>
    <w:rsid w:val="00E23CEF"/>
    <w:rsid w:val="00E25073"/>
    <w:rsid w:val="00E250FA"/>
    <w:rsid w:val="00E25B09"/>
    <w:rsid w:val="00E26231"/>
    <w:rsid w:val="00E2631F"/>
    <w:rsid w:val="00E26729"/>
    <w:rsid w:val="00E26A6B"/>
    <w:rsid w:val="00E27665"/>
    <w:rsid w:val="00E278AC"/>
    <w:rsid w:val="00E27BEE"/>
    <w:rsid w:val="00E303AF"/>
    <w:rsid w:val="00E3052B"/>
    <w:rsid w:val="00E30807"/>
    <w:rsid w:val="00E31710"/>
    <w:rsid w:val="00E31C61"/>
    <w:rsid w:val="00E32188"/>
    <w:rsid w:val="00E323E7"/>
    <w:rsid w:val="00E32490"/>
    <w:rsid w:val="00E32616"/>
    <w:rsid w:val="00E328D8"/>
    <w:rsid w:val="00E32CE2"/>
    <w:rsid w:val="00E32D37"/>
    <w:rsid w:val="00E33C12"/>
    <w:rsid w:val="00E33F65"/>
    <w:rsid w:val="00E34142"/>
    <w:rsid w:val="00E348A9"/>
    <w:rsid w:val="00E3495E"/>
    <w:rsid w:val="00E34A32"/>
    <w:rsid w:val="00E3591A"/>
    <w:rsid w:val="00E35FEA"/>
    <w:rsid w:val="00E36E69"/>
    <w:rsid w:val="00E37667"/>
    <w:rsid w:val="00E406DA"/>
    <w:rsid w:val="00E40709"/>
    <w:rsid w:val="00E40ADA"/>
    <w:rsid w:val="00E40B89"/>
    <w:rsid w:val="00E415FC"/>
    <w:rsid w:val="00E4170E"/>
    <w:rsid w:val="00E419DD"/>
    <w:rsid w:val="00E41CC9"/>
    <w:rsid w:val="00E41D81"/>
    <w:rsid w:val="00E42F2A"/>
    <w:rsid w:val="00E4307E"/>
    <w:rsid w:val="00E43398"/>
    <w:rsid w:val="00E43559"/>
    <w:rsid w:val="00E43FB8"/>
    <w:rsid w:val="00E44214"/>
    <w:rsid w:val="00E44A83"/>
    <w:rsid w:val="00E44BFF"/>
    <w:rsid w:val="00E44C59"/>
    <w:rsid w:val="00E44E8D"/>
    <w:rsid w:val="00E4549D"/>
    <w:rsid w:val="00E45BF2"/>
    <w:rsid w:val="00E45DEA"/>
    <w:rsid w:val="00E469E5"/>
    <w:rsid w:val="00E47684"/>
    <w:rsid w:val="00E47FA6"/>
    <w:rsid w:val="00E50C4C"/>
    <w:rsid w:val="00E51829"/>
    <w:rsid w:val="00E51A0D"/>
    <w:rsid w:val="00E51E11"/>
    <w:rsid w:val="00E526E2"/>
    <w:rsid w:val="00E53BD5"/>
    <w:rsid w:val="00E54291"/>
    <w:rsid w:val="00E5459C"/>
    <w:rsid w:val="00E549C2"/>
    <w:rsid w:val="00E557B5"/>
    <w:rsid w:val="00E563A7"/>
    <w:rsid w:val="00E56BD8"/>
    <w:rsid w:val="00E56F3C"/>
    <w:rsid w:val="00E57B6A"/>
    <w:rsid w:val="00E57B77"/>
    <w:rsid w:val="00E60733"/>
    <w:rsid w:val="00E60952"/>
    <w:rsid w:val="00E61A4C"/>
    <w:rsid w:val="00E61E23"/>
    <w:rsid w:val="00E620A6"/>
    <w:rsid w:val="00E6210D"/>
    <w:rsid w:val="00E62171"/>
    <w:rsid w:val="00E62768"/>
    <w:rsid w:val="00E62966"/>
    <w:rsid w:val="00E6462C"/>
    <w:rsid w:val="00E649F9"/>
    <w:rsid w:val="00E65BCA"/>
    <w:rsid w:val="00E66365"/>
    <w:rsid w:val="00E672FB"/>
    <w:rsid w:val="00E676F9"/>
    <w:rsid w:val="00E70455"/>
    <w:rsid w:val="00E71702"/>
    <w:rsid w:val="00E719D3"/>
    <w:rsid w:val="00E71E37"/>
    <w:rsid w:val="00E720E5"/>
    <w:rsid w:val="00E720FE"/>
    <w:rsid w:val="00E72A86"/>
    <w:rsid w:val="00E72C29"/>
    <w:rsid w:val="00E730D2"/>
    <w:rsid w:val="00E73583"/>
    <w:rsid w:val="00E73996"/>
    <w:rsid w:val="00E74EE7"/>
    <w:rsid w:val="00E74FD9"/>
    <w:rsid w:val="00E76782"/>
    <w:rsid w:val="00E76956"/>
    <w:rsid w:val="00E77008"/>
    <w:rsid w:val="00E77030"/>
    <w:rsid w:val="00E779CB"/>
    <w:rsid w:val="00E80B80"/>
    <w:rsid w:val="00E814BC"/>
    <w:rsid w:val="00E81603"/>
    <w:rsid w:val="00E81A4E"/>
    <w:rsid w:val="00E82103"/>
    <w:rsid w:val="00E83D1B"/>
    <w:rsid w:val="00E84031"/>
    <w:rsid w:val="00E84AB4"/>
    <w:rsid w:val="00E84B48"/>
    <w:rsid w:val="00E84EBF"/>
    <w:rsid w:val="00E8590A"/>
    <w:rsid w:val="00E85F38"/>
    <w:rsid w:val="00E861A8"/>
    <w:rsid w:val="00E86216"/>
    <w:rsid w:val="00E869C0"/>
    <w:rsid w:val="00E86ED2"/>
    <w:rsid w:val="00E87629"/>
    <w:rsid w:val="00E87846"/>
    <w:rsid w:val="00E87853"/>
    <w:rsid w:val="00E90423"/>
    <w:rsid w:val="00E9047F"/>
    <w:rsid w:val="00E90630"/>
    <w:rsid w:val="00E91621"/>
    <w:rsid w:val="00E91C47"/>
    <w:rsid w:val="00E91D26"/>
    <w:rsid w:val="00E91D47"/>
    <w:rsid w:val="00E92935"/>
    <w:rsid w:val="00E93CE0"/>
    <w:rsid w:val="00E949D3"/>
    <w:rsid w:val="00E94C45"/>
    <w:rsid w:val="00E94C9C"/>
    <w:rsid w:val="00E957E1"/>
    <w:rsid w:val="00E95E9B"/>
    <w:rsid w:val="00E96473"/>
    <w:rsid w:val="00E96648"/>
    <w:rsid w:val="00E9686D"/>
    <w:rsid w:val="00E96BD9"/>
    <w:rsid w:val="00E97928"/>
    <w:rsid w:val="00E97A5E"/>
    <w:rsid w:val="00E97BD9"/>
    <w:rsid w:val="00EA0284"/>
    <w:rsid w:val="00EA046C"/>
    <w:rsid w:val="00EA06E9"/>
    <w:rsid w:val="00EA0D57"/>
    <w:rsid w:val="00EA0E45"/>
    <w:rsid w:val="00EA1A61"/>
    <w:rsid w:val="00EA1EAD"/>
    <w:rsid w:val="00EA1F92"/>
    <w:rsid w:val="00EA205B"/>
    <w:rsid w:val="00EA2486"/>
    <w:rsid w:val="00EA3682"/>
    <w:rsid w:val="00EA4907"/>
    <w:rsid w:val="00EA4974"/>
    <w:rsid w:val="00EA4A2E"/>
    <w:rsid w:val="00EA4C2C"/>
    <w:rsid w:val="00EA5618"/>
    <w:rsid w:val="00EA570D"/>
    <w:rsid w:val="00EA6303"/>
    <w:rsid w:val="00EA66D9"/>
    <w:rsid w:val="00EA67A1"/>
    <w:rsid w:val="00EA6872"/>
    <w:rsid w:val="00EA6B90"/>
    <w:rsid w:val="00EA6EA1"/>
    <w:rsid w:val="00EA7A0F"/>
    <w:rsid w:val="00EA7FDA"/>
    <w:rsid w:val="00EB04B5"/>
    <w:rsid w:val="00EB1073"/>
    <w:rsid w:val="00EB199B"/>
    <w:rsid w:val="00EB1E61"/>
    <w:rsid w:val="00EB210B"/>
    <w:rsid w:val="00EB269D"/>
    <w:rsid w:val="00EB2979"/>
    <w:rsid w:val="00EB2B62"/>
    <w:rsid w:val="00EB39F9"/>
    <w:rsid w:val="00EB3BCE"/>
    <w:rsid w:val="00EB47E5"/>
    <w:rsid w:val="00EB480C"/>
    <w:rsid w:val="00EB498A"/>
    <w:rsid w:val="00EB54B2"/>
    <w:rsid w:val="00EB57CB"/>
    <w:rsid w:val="00EB5877"/>
    <w:rsid w:val="00EB5CAD"/>
    <w:rsid w:val="00EB621E"/>
    <w:rsid w:val="00EB65A1"/>
    <w:rsid w:val="00EB6633"/>
    <w:rsid w:val="00EB684B"/>
    <w:rsid w:val="00EB6D95"/>
    <w:rsid w:val="00EB7939"/>
    <w:rsid w:val="00EB7A37"/>
    <w:rsid w:val="00EB7C89"/>
    <w:rsid w:val="00EB7CD7"/>
    <w:rsid w:val="00EB7CFF"/>
    <w:rsid w:val="00EB7D0A"/>
    <w:rsid w:val="00EC0054"/>
    <w:rsid w:val="00EC0DD2"/>
    <w:rsid w:val="00EC0E73"/>
    <w:rsid w:val="00EC1543"/>
    <w:rsid w:val="00EC23B5"/>
    <w:rsid w:val="00EC2C2F"/>
    <w:rsid w:val="00EC2CF2"/>
    <w:rsid w:val="00EC3159"/>
    <w:rsid w:val="00EC323A"/>
    <w:rsid w:val="00EC34E3"/>
    <w:rsid w:val="00EC3D4A"/>
    <w:rsid w:val="00EC43D9"/>
    <w:rsid w:val="00EC4820"/>
    <w:rsid w:val="00EC52C7"/>
    <w:rsid w:val="00EC55F5"/>
    <w:rsid w:val="00EC5DD1"/>
    <w:rsid w:val="00EC70F7"/>
    <w:rsid w:val="00EC7EB7"/>
    <w:rsid w:val="00ED02EF"/>
    <w:rsid w:val="00ED053F"/>
    <w:rsid w:val="00ED1A2D"/>
    <w:rsid w:val="00ED241C"/>
    <w:rsid w:val="00ED28D4"/>
    <w:rsid w:val="00ED2F2E"/>
    <w:rsid w:val="00ED3A50"/>
    <w:rsid w:val="00ED44D1"/>
    <w:rsid w:val="00ED46D7"/>
    <w:rsid w:val="00ED542F"/>
    <w:rsid w:val="00ED56A7"/>
    <w:rsid w:val="00ED57AB"/>
    <w:rsid w:val="00ED6A8D"/>
    <w:rsid w:val="00ED6B2E"/>
    <w:rsid w:val="00ED710B"/>
    <w:rsid w:val="00ED7133"/>
    <w:rsid w:val="00ED78EF"/>
    <w:rsid w:val="00EE0223"/>
    <w:rsid w:val="00EE11F8"/>
    <w:rsid w:val="00EE1C45"/>
    <w:rsid w:val="00EE27E2"/>
    <w:rsid w:val="00EE2819"/>
    <w:rsid w:val="00EE2EC4"/>
    <w:rsid w:val="00EE33D3"/>
    <w:rsid w:val="00EE38B4"/>
    <w:rsid w:val="00EE392A"/>
    <w:rsid w:val="00EE3F23"/>
    <w:rsid w:val="00EE450F"/>
    <w:rsid w:val="00EE46F6"/>
    <w:rsid w:val="00EE59ED"/>
    <w:rsid w:val="00EE6168"/>
    <w:rsid w:val="00EE64FA"/>
    <w:rsid w:val="00EE6853"/>
    <w:rsid w:val="00EE6C9F"/>
    <w:rsid w:val="00EE7E5F"/>
    <w:rsid w:val="00EF04B9"/>
    <w:rsid w:val="00EF067D"/>
    <w:rsid w:val="00EF105D"/>
    <w:rsid w:val="00EF24F5"/>
    <w:rsid w:val="00EF2565"/>
    <w:rsid w:val="00EF27D0"/>
    <w:rsid w:val="00EF28B1"/>
    <w:rsid w:val="00EF2C41"/>
    <w:rsid w:val="00EF2DE8"/>
    <w:rsid w:val="00EF32F6"/>
    <w:rsid w:val="00EF36E5"/>
    <w:rsid w:val="00EF38E8"/>
    <w:rsid w:val="00EF4580"/>
    <w:rsid w:val="00EF503A"/>
    <w:rsid w:val="00EF539F"/>
    <w:rsid w:val="00EF662C"/>
    <w:rsid w:val="00EF6928"/>
    <w:rsid w:val="00F00C4E"/>
    <w:rsid w:val="00F01326"/>
    <w:rsid w:val="00F016E4"/>
    <w:rsid w:val="00F01B75"/>
    <w:rsid w:val="00F02297"/>
    <w:rsid w:val="00F023D3"/>
    <w:rsid w:val="00F0259B"/>
    <w:rsid w:val="00F03C06"/>
    <w:rsid w:val="00F04097"/>
    <w:rsid w:val="00F045E2"/>
    <w:rsid w:val="00F04B52"/>
    <w:rsid w:val="00F05409"/>
    <w:rsid w:val="00F0689B"/>
    <w:rsid w:val="00F06B5E"/>
    <w:rsid w:val="00F06E52"/>
    <w:rsid w:val="00F06F62"/>
    <w:rsid w:val="00F07EC3"/>
    <w:rsid w:val="00F100E0"/>
    <w:rsid w:val="00F10625"/>
    <w:rsid w:val="00F1079D"/>
    <w:rsid w:val="00F107E8"/>
    <w:rsid w:val="00F11209"/>
    <w:rsid w:val="00F1147E"/>
    <w:rsid w:val="00F11C39"/>
    <w:rsid w:val="00F11CEB"/>
    <w:rsid w:val="00F1248F"/>
    <w:rsid w:val="00F1264C"/>
    <w:rsid w:val="00F13573"/>
    <w:rsid w:val="00F13AB7"/>
    <w:rsid w:val="00F1432C"/>
    <w:rsid w:val="00F14673"/>
    <w:rsid w:val="00F1469A"/>
    <w:rsid w:val="00F1480E"/>
    <w:rsid w:val="00F149A3"/>
    <w:rsid w:val="00F153A2"/>
    <w:rsid w:val="00F15443"/>
    <w:rsid w:val="00F15BD1"/>
    <w:rsid w:val="00F1677E"/>
    <w:rsid w:val="00F16BB0"/>
    <w:rsid w:val="00F1767B"/>
    <w:rsid w:val="00F20D77"/>
    <w:rsid w:val="00F20E6E"/>
    <w:rsid w:val="00F210A3"/>
    <w:rsid w:val="00F211C1"/>
    <w:rsid w:val="00F21309"/>
    <w:rsid w:val="00F21537"/>
    <w:rsid w:val="00F21EEB"/>
    <w:rsid w:val="00F226EF"/>
    <w:rsid w:val="00F23077"/>
    <w:rsid w:val="00F234F2"/>
    <w:rsid w:val="00F23B62"/>
    <w:rsid w:val="00F24313"/>
    <w:rsid w:val="00F24A2F"/>
    <w:rsid w:val="00F252F7"/>
    <w:rsid w:val="00F25AC7"/>
    <w:rsid w:val="00F25F15"/>
    <w:rsid w:val="00F26171"/>
    <w:rsid w:val="00F261FF"/>
    <w:rsid w:val="00F2662F"/>
    <w:rsid w:val="00F26877"/>
    <w:rsid w:val="00F26C20"/>
    <w:rsid w:val="00F30562"/>
    <w:rsid w:val="00F30A69"/>
    <w:rsid w:val="00F30AD8"/>
    <w:rsid w:val="00F30CB3"/>
    <w:rsid w:val="00F315BC"/>
    <w:rsid w:val="00F3163A"/>
    <w:rsid w:val="00F31A97"/>
    <w:rsid w:val="00F31E33"/>
    <w:rsid w:val="00F320EB"/>
    <w:rsid w:val="00F32E30"/>
    <w:rsid w:val="00F3344A"/>
    <w:rsid w:val="00F3372C"/>
    <w:rsid w:val="00F33FEC"/>
    <w:rsid w:val="00F35842"/>
    <w:rsid w:val="00F36501"/>
    <w:rsid w:val="00F36694"/>
    <w:rsid w:val="00F367FB"/>
    <w:rsid w:val="00F36CD4"/>
    <w:rsid w:val="00F3767D"/>
    <w:rsid w:val="00F400F5"/>
    <w:rsid w:val="00F4093E"/>
    <w:rsid w:val="00F4170C"/>
    <w:rsid w:val="00F41879"/>
    <w:rsid w:val="00F41AD6"/>
    <w:rsid w:val="00F41B4F"/>
    <w:rsid w:val="00F41CFF"/>
    <w:rsid w:val="00F4243B"/>
    <w:rsid w:val="00F42646"/>
    <w:rsid w:val="00F42EA6"/>
    <w:rsid w:val="00F43598"/>
    <w:rsid w:val="00F43A0D"/>
    <w:rsid w:val="00F43A22"/>
    <w:rsid w:val="00F43F6D"/>
    <w:rsid w:val="00F4658D"/>
    <w:rsid w:val="00F4667C"/>
    <w:rsid w:val="00F46963"/>
    <w:rsid w:val="00F47047"/>
    <w:rsid w:val="00F50354"/>
    <w:rsid w:val="00F50392"/>
    <w:rsid w:val="00F50828"/>
    <w:rsid w:val="00F50AA7"/>
    <w:rsid w:val="00F50BC0"/>
    <w:rsid w:val="00F516EF"/>
    <w:rsid w:val="00F52F00"/>
    <w:rsid w:val="00F53002"/>
    <w:rsid w:val="00F541FA"/>
    <w:rsid w:val="00F54714"/>
    <w:rsid w:val="00F54BA2"/>
    <w:rsid w:val="00F558D4"/>
    <w:rsid w:val="00F55FFC"/>
    <w:rsid w:val="00F56F60"/>
    <w:rsid w:val="00F574F8"/>
    <w:rsid w:val="00F577C6"/>
    <w:rsid w:val="00F57800"/>
    <w:rsid w:val="00F603F5"/>
    <w:rsid w:val="00F604D4"/>
    <w:rsid w:val="00F60928"/>
    <w:rsid w:val="00F60A35"/>
    <w:rsid w:val="00F6185D"/>
    <w:rsid w:val="00F62238"/>
    <w:rsid w:val="00F62391"/>
    <w:rsid w:val="00F62A2D"/>
    <w:rsid w:val="00F62C03"/>
    <w:rsid w:val="00F62D5E"/>
    <w:rsid w:val="00F63A0E"/>
    <w:rsid w:val="00F63CF0"/>
    <w:rsid w:val="00F642E8"/>
    <w:rsid w:val="00F64B72"/>
    <w:rsid w:val="00F64FC3"/>
    <w:rsid w:val="00F65A96"/>
    <w:rsid w:val="00F65B4B"/>
    <w:rsid w:val="00F66F43"/>
    <w:rsid w:val="00F70DE2"/>
    <w:rsid w:val="00F7113A"/>
    <w:rsid w:val="00F7132A"/>
    <w:rsid w:val="00F71783"/>
    <w:rsid w:val="00F721E8"/>
    <w:rsid w:val="00F721EA"/>
    <w:rsid w:val="00F72B0E"/>
    <w:rsid w:val="00F72BF8"/>
    <w:rsid w:val="00F72D40"/>
    <w:rsid w:val="00F72F42"/>
    <w:rsid w:val="00F731D2"/>
    <w:rsid w:val="00F73A5D"/>
    <w:rsid w:val="00F73C9D"/>
    <w:rsid w:val="00F73E94"/>
    <w:rsid w:val="00F740E5"/>
    <w:rsid w:val="00F743FE"/>
    <w:rsid w:val="00F747EF"/>
    <w:rsid w:val="00F74FA0"/>
    <w:rsid w:val="00F75320"/>
    <w:rsid w:val="00F75451"/>
    <w:rsid w:val="00F75913"/>
    <w:rsid w:val="00F75D82"/>
    <w:rsid w:val="00F76222"/>
    <w:rsid w:val="00F763DC"/>
    <w:rsid w:val="00F767A8"/>
    <w:rsid w:val="00F76D63"/>
    <w:rsid w:val="00F77748"/>
    <w:rsid w:val="00F77DB8"/>
    <w:rsid w:val="00F77E2A"/>
    <w:rsid w:val="00F8050A"/>
    <w:rsid w:val="00F8067F"/>
    <w:rsid w:val="00F80C8A"/>
    <w:rsid w:val="00F81169"/>
    <w:rsid w:val="00F8120A"/>
    <w:rsid w:val="00F82251"/>
    <w:rsid w:val="00F83029"/>
    <w:rsid w:val="00F83339"/>
    <w:rsid w:val="00F83410"/>
    <w:rsid w:val="00F8345E"/>
    <w:rsid w:val="00F83651"/>
    <w:rsid w:val="00F84CA9"/>
    <w:rsid w:val="00F858A2"/>
    <w:rsid w:val="00F85A8A"/>
    <w:rsid w:val="00F85DB9"/>
    <w:rsid w:val="00F85E5F"/>
    <w:rsid w:val="00F8681C"/>
    <w:rsid w:val="00F86C07"/>
    <w:rsid w:val="00F870E1"/>
    <w:rsid w:val="00F87558"/>
    <w:rsid w:val="00F8775E"/>
    <w:rsid w:val="00F87A7C"/>
    <w:rsid w:val="00F9103A"/>
    <w:rsid w:val="00F912FF"/>
    <w:rsid w:val="00F938D7"/>
    <w:rsid w:val="00F9431A"/>
    <w:rsid w:val="00F94466"/>
    <w:rsid w:val="00F9465E"/>
    <w:rsid w:val="00F94CF3"/>
    <w:rsid w:val="00F94E66"/>
    <w:rsid w:val="00F957C9"/>
    <w:rsid w:val="00F96182"/>
    <w:rsid w:val="00F963DA"/>
    <w:rsid w:val="00F9643D"/>
    <w:rsid w:val="00F967F7"/>
    <w:rsid w:val="00F9702D"/>
    <w:rsid w:val="00F97BDC"/>
    <w:rsid w:val="00FA0311"/>
    <w:rsid w:val="00FA0D97"/>
    <w:rsid w:val="00FA106A"/>
    <w:rsid w:val="00FA15C8"/>
    <w:rsid w:val="00FA2240"/>
    <w:rsid w:val="00FA27B3"/>
    <w:rsid w:val="00FA33D4"/>
    <w:rsid w:val="00FA35F0"/>
    <w:rsid w:val="00FA560A"/>
    <w:rsid w:val="00FA5B44"/>
    <w:rsid w:val="00FA68B5"/>
    <w:rsid w:val="00FA7075"/>
    <w:rsid w:val="00FA7753"/>
    <w:rsid w:val="00FA77BD"/>
    <w:rsid w:val="00FB04B0"/>
    <w:rsid w:val="00FB188E"/>
    <w:rsid w:val="00FB20FB"/>
    <w:rsid w:val="00FB21C9"/>
    <w:rsid w:val="00FB240E"/>
    <w:rsid w:val="00FB280F"/>
    <w:rsid w:val="00FB3415"/>
    <w:rsid w:val="00FB35FD"/>
    <w:rsid w:val="00FB44B4"/>
    <w:rsid w:val="00FB4FC9"/>
    <w:rsid w:val="00FB5814"/>
    <w:rsid w:val="00FB599F"/>
    <w:rsid w:val="00FB5F79"/>
    <w:rsid w:val="00FB6AE0"/>
    <w:rsid w:val="00FB791F"/>
    <w:rsid w:val="00FB7943"/>
    <w:rsid w:val="00FB7C6D"/>
    <w:rsid w:val="00FB7F47"/>
    <w:rsid w:val="00FC0372"/>
    <w:rsid w:val="00FC100B"/>
    <w:rsid w:val="00FC1B2C"/>
    <w:rsid w:val="00FC1F2F"/>
    <w:rsid w:val="00FC2034"/>
    <w:rsid w:val="00FC2109"/>
    <w:rsid w:val="00FC247E"/>
    <w:rsid w:val="00FC2DF9"/>
    <w:rsid w:val="00FC2EDD"/>
    <w:rsid w:val="00FC317E"/>
    <w:rsid w:val="00FC3FA0"/>
    <w:rsid w:val="00FC49E2"/>
    <w:rsid w:val="00FC503A"/>
    <w:rsid w:val="00FC58F4"/>
    <w:rsid w:val="00FC6803"/>
    <w:rsid w:val="00FC6D9B"/>
    <w:rsid w:val="00FC705B"/>
    <w:rsid w:val="00FC7517"/>
    <w:rsid w:val="00FC799F"/>
    <w:rsid w:val="00FC7B18"/>
    <w:rsid w:val="00FD0020"/>
    <w:rsid w:val="00FD007A"/>
    <w:rsid w:val="00FD11D9"/>
    <w:rsid w:val="00FD11F8"/>
    <w:rsid w:val="00FD1613"/>
    <w:rsid w:val="00FD22D4"/>
    <w:rsid w:val="00FD24B0"/>
    <w:rsid w:val="00FD3237"/>
    <w:rsid w:val="00FD36F8"/>
    <w:rsid w:val="00FD3917"/>
    <w:rsid w:val="00FD4326"/>
    <w:rsid w:val="00FD4BC6"/>
    <w:rsid w:val="00FD5554"/>
    <w:rsid w:val="00FD5C7D"/>
    <w:rsid w:val="00FD64EB"/>
    <w:rsid w:val="00FD6A99"/>
    <w:rsid w:val="00FD7A3D"/>
    <w:rsid w:val="00FD7C5E"/>
    <w:rsid w:val="00FE098C"/>
    <w:rsid w:val="00FE0AF5"/>
    <w:rsid w:val="00FE0D21"/>
    <w:rsid w:val="00FE162B"/>
    <w:rsid w:val="00FE21E9"/>
    <w:rsid w:val="00FE29CF"/>
    <w:rsid w:val="00FE2D16"/>
    <w:rsid w:val="00FE31B2"/>
    <w:rsid w:val="00FE3716"/>
    <w:rsid w:val="00FE4D74"/>
    <w:rsid w:val="00FE4F70"/>
    <w:rsid w:val="00FE4FCE"/>
    <w:rsid w:val="00FE559F"/>
    <w:rsid w:val="00FE6C1B"/>
    <w:rsid w:val="00FE712A"/>
    <w:rsid w:val="00FE721A"/>
    <w:rsid w:val="00FE7473"/>
    <w:rsid w:val="00FE77A6"/>
    <w:rsid w:val="00FE7B51"/>
    <w:rsid w:val="00FF0CD1"/>
    <w:rsid w:val="00FF0F4C"/>
    <w:rsid w:val="00FF1197"/>
    <w:rsid w:val="00FF12BE"/>
    <w:rsid w:val="00FF33A9"/>
    <w:rsid w:val="00FF34B4"/>
    <w:rsid w:val="00FF3582"/>
    <w:rsid w:val="00FF36DA"/>
    <w:rsid w:val="00FF3907"/>
    <w:rsid w:val="00FF3BC9"/>
    <w:rsid w:val="00FF4F68"/>
    <w:rsid w:val="00FF5044"/>
    <w:rsid w:val="00FF52DE"/>
    <w:rsid w:val="00FF565C"/>
    <w:rsid w:val="00FF5F0C"/>
    <w:rsid w:val="00FF601C"/>
    <w:rsid w:val="00FF61B2"/>
    <w:rsid w:val="00FF64BE"/>
    <w:rsid w:val="00FF70B5"/>
    <w:rsid w:val="00FF7189"/>
    <w:rsid w:val="00FF74A0"/>
    <w:rsid w:val="00FF7721"/>
    <w:rsid w:val="00FF7B45"/>
    <w:rsid w:val="00FF7F30"/>
    <w:rsid w:val="011A11A4"/>
    <w:rsid w:val="014B5B44"/>
    <w:rsid w:val="018C5F7F"/>
    <w:rsid w:val="01BE4069"/>
    <w:rsid w:val="01BE5800"/>
    <w:rsid w:val="01E46F65"/>
    <w:rsid w:val="02E536DD"/>
    <w:rsid w:val="03337904"/>
    <w:rsid w:val="03F06C42"/>
    <w:rsid w:val="041B3357"/>
    <w:rsid w:val="04C34346"/>
    <w:rsid w:val="04E30437"/>
    <w:rsid w:val="05CD222A"/>
    <w:rsid w:val="05F41FAA"/>
    <w:rsid w:val="063B78DC"/>
    <w:rsid w:val="076E0F6D"/>
    <w:rsid w:val="07E84F31"/>
    <w:rsid w:val="0839529D"/>
    <w:rsid w:val="08A90D2D"/>
    <w:rsid w:val="09974C33"/>
    <w:rsid w:val="09B82947"/>
    <w:rsid w:val="0A560A40"/>
    <w:rsid w:val="0BF958C7"/>
    <w:rsid w:val="0C3F3332"/>
    <w:rsid w:val="0C5A09A9"/>
    <w:rsid w:val="0C7E427E"/>
    <w:rsid w:val="0CDB719E"/>
    <w:rsid w:val="0D993821"/>
    <w:rsid w:val="0DEB76F2"/>
    <w:rsid w:val="0E0812B7"/>
    <w:rsid w:val="0EAB6A73"/>
    <w:rsid w:val="0EAD2BF9"/>
    <w:rsid w:val="0F4D0707"/>
    <w:rsid w:val="0F4E0881"/>
    <w:rsid w:val="0FBA2A45"/>
    <w:rsid w:val="0FC41654"/>
    <w:rsid w:val="0FDE7285"/>
    <w:rsid w:val="11126974"/>
    <w:rsid w:val="118C2ED5"/>
    <w:rsid w:val="11B83D31"/>
    <w:rsid w:val="12795B29"/>
    <w:rsid w:val="12F62B63"/>
    <w:rsid w:val="13696837"/>
    <w:rsid w:val="139A411A"/>
    <w:rsid w:val="13B31AEC"/>
    <w:rsid w:val="13FE3FBA"/>
    <w:rsid w:val="140E1568"/>
    <w:rsid w:val="14404369"/>
    <w:rsid w:val="14535FF1"/>
    <w:rsid w:val="164D719B"/>
    <w:rsid w:val="175D674F"/>
    <w:rsid w:val="17CD2550"/>
    <w:rsid w:val="18114189"/>
    <w:rsid w:val="18A4506D"/>
    <w:rsid w:val="18F06F2D"/>
    <w:rsid w:val="19AD7F51"/>
    <w:rsid w:val="1A1B310D"/>
    <w:rsid w:val="1B8C2514"/>
    <w:rsid w:val="1BA50D14"/>
    <w:rsid w:val="1BA677E7"/>
    <w:rsid w:val="1BE340FE"/>
    <w:rsid w:val="1C625D30"/>
    <w:rsid w:val="1C7671E3"/>
    <w:rsid w:val="1C777601"/>
    <w:rsid w:val="1C8A493E"/>
    <w:rsid w:val="1CCB6998"/>
    <w:rsid w:val="1CD6623F"/>
    <w:rsid w:val="1CF90898"/>
    <w:rsid w:val="1CFA0FE7"/>
    <w:rsid w:val="1D214EDE"/>
    <w:rsid w:val="1D8C69C4"/>
    <w:rsid w:val="1E1C7C6C"/>
    <w:rsid w:val="1E786F00"/>
    <w:rsid w:val="1EF80AFA"/>
    <w:rsid w:val="1F1F65F5"/>
    <w:rsid w:val="1F343C02"/>
    <w:rsid w:val="1FAC7E53"/>
    <w:rsid w:val="1FCD4EA9"/>
    <w:rsid w:val="20517FE3"/>
    <w:rsid w:val="20580C17"/>
    <w:rsid w:val="20CE2C18"/>
    <w:rsid w:val="20F36B91"/>
    <w:rsid w:val="211F7986"/>
    <w:rsid w:val="217C1DAF"/>
    <w:rsid w:val="218220DE"/>
    <w:rsid w:val="222C76C6"/>
    <w:rsid w:val="22466CF3"/>
    <w:rsid w:val="22A344E7"/>
    <w:rsid w:val="22DE3197"/>
    <w:rsid w:val="230E0741"/>
    <w:rsid w:val="2346744C"/>
    <w:rsid w:val="23F63E16"/>
    <w:rsid w:val="243A32C2"/>
    <w:rsid w:val="25093A3B"/>
    <w:rsid w:val="25236D0D"/>
    <w:rsid w:val="252F645D"/>
    <w:rsid w:val="258858A9"/>
    <w:rsid w:val="26757E2C"/>
    <w:rsid w:val="26790701"/>
    <w:rsid w:val="26CA1A38"/>
    <w:rsid w:val="273508EE"/>
    <w:rsid w:val="27483692"/>
    <w:rsid w:val="276F6E45"/>
    <w:rsid w:val="278066D7"/>
    <w:rsid w:val="27827B0F"/>
    <w:rsid w:val="27886287"/>
    <w:rsid w:val="27F53526"/>
    <w:rsid w:val="27FA5E76"/>
    <w:rsid w:val="28690FE5"/>
    <w:rsid w:val="288E2BD2"/>
    <w:rsid w:val="28DC50AB"/>
    <w:rsid w:val="28E55271"/>
    <w:rsid w:val="291D0147"/>
    <w:rsid w:val="2923374B"/>
    <w:rsid w:val="29BD796F"/>
    <w:rsid w:val="2AAC3644"/>
    <w:rsid w:val="2B2D7144"/>
    <w:rsid w:val="2B8946FF"/>
    <w:rsid w:val="2C0A4741"/>
    <w:rsid w:val="2CD62B66"/>
    <w:rsid w:val="2CF86E08"/>
    <w:rsid w:val="2D2F71A3"/>
    <w:rsid w:val="2D9B15EF"/>
    <w:rsid w:val="2E304308"/>
    <w:rsid w:val="2EB26D79"/>
    <w:rsid w:val="2F2E4A11"/>
    <w:rsid w:val="2F7145F4"/>
    <w:rsid w:val="30580298"/>
    <w:rsid w:val="30646F90"/>
    <w:rsid w:val="30945B60"/>
    <w:rsid w:val="30952AC5"/>
    <w:rsid w:val="30CB0402"/>
    <w:rsid w:val="31727F75"/>
    <w:rsid w:val="324D2681"/>
    <w:rsid w:val="32E7407C"/>
    <w:rsid w:val="34014CC9"/>
    <w:rsid w:val="34457450"/>
    <w:rsid w:val="35310C1F"/>
    <w:rsid w:val="35373F98"/>
    <w:rsid w:val="363B7932"/>
    <w:rsid w:val="36D15C2A"/>
    <w:rsid w:val="36EB6463"/>
    <w:rsid w:val="36FA4BBC"/>
    <w:rsid w:val="371D61FE"/>
    <w:rsid w:val="374B5AC3"/>
    <w:rsid w:val="38187E4F"/>
    <w:rsid w:val="3820445B"/>
    <w:rsid w:val="38210467"/>
    <w:rsid w:val="38401B73"/>
    <w:rsid w:val="384B1D2A"/>
    <w:rsid w:val="39227BBC"/>
    <w:rsid w:val="39780BBB"/>
    <w:rsid w:val="398B39B3"/>
    <w:rsid w:val="39D617F2"/>
    <w:rsid w:val="3A834553"/>
    <w:rsid w:val="3B731AB5"/>
    <w:rsid w:val="3B833738"/>
    <w:rsid w:val="3B874762"/>
    <w:rsid w:val="3C2527C5"/>
    <w:rsid w:val="3C2D6FA3"/>
    <w:rsid w:val="3C4C0CDA"/>
    <w:rsid w:val="3D202664"/>
    <w:rsid w:val="3D6F75C9"/>
    <w:rsid w:val="3DE71075"/>
    <w:rsid w:val="3DE90F01"/>
    <w:rsid w:val="3E266E35"/>
    <w:rsid w:val="3F7F04D5"/>
    <w:rsid w:val="4033445D"/>
    <w:rsid w:val="40442B0E"/>
    <w:rsid w:val="40A005F0"/>
    <w:rsid w:val="40D70742"/>
    <w:rsid w:val="414323CD"/>
    <w:rsid w:val="417E1386"/>
    <w:rsid w:val="41AE48B5"/>
    <w:rsid w:val="422B6BF4"/>
    <w:rsid w:val="42347713"/>
    <w:rsid w:val="43B00A8F"/>
    <w:rsid w:val="43C50593"/>
    <w:rsid w:val="44605C18"/>
    <w:rsid w:val="44882ABA"/>
    <w:rsid w:val="45511B47"/>
    <w:rsid w:val="45A15DDB"/>
    <w:rsid w:val="45B22926"/>
    <w:rsid w:val="46120473"/>
    <w:rsid w:val="4642189D"/>
    <w:rsid w:val="4681712C"/>
    <w:rsid w:val="468B6718"/>
    <w:rsid w:val="473B23EB"/>
    <w:rsid w:val="4759345D"/>
    <w:rsid w:val="47B32EAB"/>
    <w:rsid w:val="47C40E8C"/>
    <w:rsid w:val="47CF53B3"/>
    <w:rsid w:val="47F92430"/>
    <w:rsid w:val="48B1218F"/>
    <w:rsid w:val="48B14AB0"/>
    <w:rsid w:val="48D6123C"/>
    <w:rsid w:val="49150F51"/>
    <w:rsid w:val="49480BD4"/>
    <w:rsid w:val="499F04DF"/>
    <w:rsid w:val="49C76CAB"/>
    <w:rsid w:val="49CB3BFF"/>
    <w:rsid w:val="49CE2F31"/>
    <w:rsid w:val="4AA4619B"/>
    <w:rsid w:val="4B284D77"/>
    <w:rsid w:val="4BEC1507"/>
    <w:rsid w:val="4CD363C9"/>
    <w:rsid w:val="4D267588"/>
    <w:rsid w:val="4D662315"/>
    <w:rsid w:val="4D7F6702"/>
    <w:rsid w:val="4E1C6E78"/>
    <w:rsid w:val="4F123950"/>
    <w:rsid w:val="4F134C73"/>
    <w:rsid w:val="4F164022"/>
    <w:rsid w:val="4F786330"/>
    <w:rsid w:val="507519D9"/>
    <w:rsid w:val="50EC442B"/>
    <w:rsid w:val="52127D7D"/>
    <w:rsid w:val="52412A63"/>
    <w:rsid w:val="53763D4D"/>
    <w:rsid w:val="540D34EB"/>
    <w:rsid w:val="54135280"/>
    <w:rsid w:val="543842E0"/>
    <w:rsid w:val="5526139C"/>
    <w:rsid w:val="552B2D26"/>
    <w:rsid w:val="554E1470"/>
    <w:rsid w:val="55651104"/>
    <w:rsid w:val="55986D51"/>
    <w:rsid w:val="55D42624"/>
    <w:rsid w:val="56133CA0"/>
    <w:rsid w:val="56DD4ABD"/>
    <w:rsid w:val="5703231E"/>
    <w:rsid w:val="57116442"/>
    <w:rsid w:val="578D3493"/>
    <w:rsid w:val="586A7A45"/>
    <w:rsid w:val="58914C8B"/>
    <w:rsid w:val="58D97E3F"/>
    <w:rsid w:val="58E3423E"/>
    <w:rsid w:val="58F23ED5"/>
    <w:rsid w:val="5956205C"/>
    <w:rsid w:val="599E6CB8"/>
    <w:rsid w:val="59E031E2"/>
    <w:rsid w:val="5A9B2ED2"/>
    <w:rsid w:val="5AA974E8"/>
    <w:rsid w:val="5B123195"/>
    <w:rsid w:val="5B8340E7"/>
    <w:rsid w:val="5B8D0599"/>
    <w:rsid w:val="5B937814"/>
    <w:rsid w:val="5BA627EA"/>
    <w:rsid w:val="5BAA125C"/>
    <w:rsid w:val="5BE924D8"/>
    <w:rsid w:val="5C6E79F1"/>
    <w:rsid w:val="5C8657B1"/>
    <w:rsid w:val="5CA73484"/>
    <w:rsid w:val="5CE5499C"/>
    <w:rsid w:val="5D30024A"/>
    <w:rsid w:val="5D77243C"/>
    <w:rsid w:val="5E2F13E4"/>
    <w:rsid w:val="5EB153BA"/>
    <w:rsid w:val="5EC546B7"/>
    <w:rsid w:val="5EE01513"/>
    <w:rsid w:val="5EE25574"/>
    <w:rsid w:val="5FA9036D"/>
    <w:rsid w:val="5FE20A6A"/>
    <w:rsid w:val="5FE80DF1"/>
    <w:rsid w:val="60394F33"/>
    <w:rsid w:val="60396754"/>
    <w:rsid w:val="607A028C"/>
    <w:rsid w:val="61827CD9"/>
    <w:rsid w:val="61904268"/>
    <w:rsid w:val="61922827"/>
    <w:rsid w:val="61985AAE"/>
    <w:rsid w:val="619B21A0"/>
    <w:rsid w:val="61C95215"/>
    <w:rsid w:val="620374FB"/>
    <w:rsid w:val="620863D2"/>
    <w:rsid w:val="626058BD"/>
    <w:rsid w:val="62D70238"/>
    <w:rsid w:val="634E5810"/>
    <w:rsid w:val="63A81226"/>
    <w:rsid w:val="63B86E7E"/>
    <w:rsid w:val="63D47B81"/>
    <w:rsid w:val="650A079C"/>
    <w:rsid w:val="65B55B98"/>
    <w:rsid w:val="65C95A3A"/>
    <w:rsid w:val="65E5355A"/>
    <w:rsid w:val="66387223"/>
    <w:rsid w:val="674A3D4F"/>
    <w:rsid w:val="679006E0"/>
    <w:rsid w:val="67D77C40"/>
    <w:rsid w:val="6864772D"/>
    <w:rsid w:val="68724940"/>
    <w:rsid w:val="68BC6A3B"/>
    <w:rsid w:val="69E228CC"/>
    <w:rsid w:val="6A121AD7"/>
    <w:rsid w:val="6A3C248C"/>
    <w:rsid w:val="6AD23B35"/>
    <w:rsid w:val="6B3929BF"/>
    <w:rsid w:val="6BC25D3C"/>
    <w:rsid w:val="6BDF7DEE"/>
    <w:rsid w:val="6BEB23CA"/>
    <w:rsid w:val="6C094C0B"/>
    <w:rsid w:val="6C3226C6"/>
    <w:rsid w:val="6C545FF5"/>
    <w:rsid w:val="6C591BE2"/>
    <w:rsid w:val="6DB812D7"/>
    <w:rsid w:val="6DCB48A0"/>
    <w:rsid w:val="6E0A4A26"/>
    <w:rsid w:val="6E5E1B6C"/>
    <w:rsid w:val="6EEF71D1"/>
    <w:rsid w:val="6F021A16"/>
    <w:rsid w:val="6F1D40CE"/>
    <w:rsid w:val="6FB53F9A"/>
    <w:rsid w:val="7051517A"/>
    <w:rsid w:val="70D85BD1"/>
    <w:rsid w:val="715B338A"/>
    <w:rsid w:val="71600CA6"/>
    <w:rsid w:val="716A7ADC"/>
    <w:rsid w:val="71DE2E53"/>
    <w:rsid w:val="721F39FF"/>
    <w:rsid w:val="729E121E"/>
    <w:rsid w:val="72D11FC9"/>
    <w:rsid w:val="72E23A7A"/>
    <w:rsid w:val="72F6179B"/>
    <w:rsid w:val="72F95F65"/>
    <w:rsid w:val="72FF5E8C"/>
    <w:rsid w:val="738003CA"/>
    <w:rsid w:val="73AA26AC"/>
    <w:rsid w:val="73C56EED"/>
    <w:rsid w:val="74324450"/>
    <w:rsid w:val="74B51309"/>
    <w:rsid w:val="753876AB"/>
    <w:rsid w:val="758D4AB4"/>
    <w:rsid w:val="75CB06B8"/>
    <w:rsid w:val="75D12961"/>
    <w:rsid w:val="765941C5"/>
    <w:rsid w:val="773B6CD4"/>
    <w:rsid w:val="77E30949"/>
    <w:rsid w:val="77F16A53"/>
    <w:rsid w:val="783525A0"/>
    <w:rsid w:val="786F12BD"/>
    <w:rsid w:val="786F1AA9"/>
    <w:rsid w:val="7872551D"/>
    <w:rsid w:val="78F61EF0"/>
    <w:rsid w:val="7920071D"/>
    <w:rsid w:val="79C52BC7"/>
    <w:rsid w:val="79C747F6"/>
    <w:rsid w:val="7A121548"/>
    <w:rsid w:val="7A36659D"/>
    <w:rsid w:val="7A6027C1"/>
    <w:rsid w:val="7A854A12"/>
    <w:rsid w:val="7A922F8F"/>
    <w:rsid w:val="7B237820"/>
    <w:rsid w:val="7B974622"/>
    <w:rsid w:val="7BDE5BEE"/>
    <w:rsid w:val="7D4E72F0"/>
    <w:rsid w:val="7E8A52E3"/>
    <w:rsid w:val="7E9219F9"/>
    <w:rsid w:val="7EF87B3E"/>
    <w:rsid w:val="7F141322"/>
    <w:rsid w:val="7F3917C7"/>
    <w:rsid w:val="7F601843"/>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5"/>
    <w:autoRedefine/>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109"/>
    <w:autoRedefine/>
    <w:qFormat/>
    <w:uiPriority w:val="0"/>
    <w:pPr>
      <w:keepNext/>
      <w:keepLines/>
      <w:spacing w:before="260" w:after="260" w:line="413" w:lineRule="auto"/>
      <w:outlineLvl w:val="2"/>
    </w:pPr>
    <w:rPr>
      <w:b/>
      <w:bCs/>
      <w:sz w:val="32"/>
      <w:szCs w:val="32"/>
    </w:rPr>
  </w:style>
  <w:style w:type="paragraph" w:styleId="5">
    <w:name w:val="heading 4"/>
    <w:basedOn w:val="1"/>
    <w:next w:val="1"/>
    <w:link w:val="76"/>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03"/>
    <w:autoRedefine/>
    <w:qFormat/>
    <w:uiPriority w:val="0"/>
    <w:pPr>
      <w:keepNext/>
      <w:keepLines/>
      <w:spacing w:before="280" w:after="290" w:line="372" w:lineRule="auto"/>
      <w:outlineLvl w:val="4"/>
    </w:pPr>
    <w:rPr>
      <w:b/>
      <w:sz w:val="28"/>
    </w:rPr>
  </w:style>
  <w:style w:type="paragraph" w:styleId="8">
    <w:name w:val="heading 6"/>
    <w:basedOn w:val="1"/>
    <w:next w:val="7"/>
    <w:link w:val="69"/>
    <w:autoRedefine/>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92"/>
    <w:autoRedefine/>
    <w:qFormat/>
    <w:uiPriority w:val="0"/>
    <w:pPr>
      <w:keepNext/>
      <w:keepLines/>
      <w:spacing w:before="240" w:after="64" w:line="317" w:lineRule="auto"/>
      <w:outlineLvl w:val="6"/>
    </w:pPr>
    <w:rPr>
      <w:b/>
      <w:sz w:val="24"/>
    </w:rPr>
  </w:style>
  <w:style w:type="paragraph" w:styleId="10">
    <w:name w:val="heading 8"/>
    <w:basedOn w:val="1"/>
    <w:next w:val="7"/>
    <w:link w:val="84"/>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11"/>
    <w:autoRedefine/>
    <w:qFormat/>
    <w:uiPriority w:val="0"/>
    <w:pPr>
      <w:keepNext/>
      <w:keepLines/>
      <w:spacing w:before="240" w:after="64" w:line="317" w:lineRule="auto"/>
      <w:outlineLvl w:val="8"/>
    </w:pPr>
    <w:rPr>
      <w:rFonts w:ascii="Arial" w:hAnsi="Arial" w:eastAsia="黑体"/>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46"/>
    <w:autoRedefine/>
    <w:qFormat/>
    <w:uiPriority w:val="0"/>
    <w:pPr>
      <w:ind w:firstLine="420"/>
    </w:pPr>
    <w:rPr>
      <w:szCs w:val="20"/>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qFormat/>
    <w:uiPriority w:val="39"/>
    <w:pPr>
      <w:tabs>
        <w:tab w:val="right" w:leader="dot" w:pos="9185"/>
      </w:tabs>
      <w:adjustRightInd w:val="0"/>
      <w:spacing w:line="312" w:lineRule="atLeast"/>
      <w:ind w:left="2520"/>
      <w:textAlignment w:val="baseline"/>
    </w:pPr>
    <w:rPr>
      <w:kern w:val="0"/>
      <w:szCs w:val="20"/>
    </w:rPr>
  </w:style>
  <w:style w:type="paragraph" w:styleId="14">
    <w:name w:val="List Number"/>
    <w:basedOn w:val="1"/>
    <w:autoRedefine/>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66"/>
    <w:autoRedefine/>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67"/>
    <w:autoRedefine/>
    <w:qFormat/>
    <w:uiPriority w:val="0"/>
    <w:pPr>
      <w:jc w:val="left"/>
    </w:pPr>
  </w:style>
  <w:style w:type="paragraph" w:styleId="18">
    <w:name w:val="Body Text 3"/>
    <w:basedOn w:val="1"/>
    <w:link w:val="89"/>
    <w:autoRedefine/>
    <w:qFormat/>
    <w:uiPriority w:val="0"/>
    <w:pPr>
      <w:spacing w:line="500" w:lineRule="exact"/>
    </w:pPr>
    <w:rPr>
      <w:b/>
      <w:bCs/>
      <w:sz w:val="24"/>
    </w:rPr>
  </w:style>
  <w:style w:type="paragraph" w:styleId="19">
    <w:name w:val="Body Text"/>
    <w:basedOn w:val="1"/>
    <w:next w:val="20"/>
    <w:link w:val="70"/>
    <w:autoRedefine/>
    <w:qFormat/>
    <w:uiPriority w:val="0"/>
    <w:pPr>
      <w:spacing w:line="380" w:lineRule="exact"/>
    </w:pPr>
    <w:rPr>
      <w:sz w:val="24"/>
    </w:rPr>
  </w:style>
  <w:style w:type="paragraph" w:styleId="20">
    <w:name w:val="Body Text First Indent"/>
    <w:basedOn w:val="19"/>
    <w:next w:val="21"/>
    <w:link w:val="112"/>
    <w:autoRedefine/>
    <w:qFormat/>
    <w:uiPriority w:val="0"/>
    <w:pPr>
      <w:spacing w:after="120" w:line="240" w:lineRule="auto"/>
      <w:ind w:firstLine="420" w:firstLineChars="100"/>
    </w:pPr>
    <w:rPr>
      <w:sz w:val="21"/>
    </w:rPr>
  </w:style>
  <w:style w:type="paragraph" w:styleId="21">
    <w:name w:val="toc 6"/>
    <w:basedOn w:val="1"/>
    <w:next w:val="1"/>
    <w:autoRedefine/>
    <w:qFormat/>
    <w:uiPriority w:val="39"/>
    <w:pPr>
      <w:tabs>
        <w:tab w:val="right" w:leader="dot" w:pos="9185"/>
      </w:tabs>
      <w:adjustRightInd w:val="0"/>
      <w:spacing w:line="312" w:lineRule="atLeast"/>
      <w:ind w:left="2100"/>
      <w:textAlignment w:val="baseline"/>
    </w:pPr>
    <w:rPr>
      <w:kern w:val="0"/>
      <w:szCs w:val="20"/>
    </w:rPr>
  </w:style>
  <w:style w:type="paragraph" w:styleId="22">
    <w:name w:val="Body Text Indent"/>
    <w:basedOn w:val="1"/>
    <w:link w:val="83"/>
    <w:autoRedefine/>
    <w:qFormat/>
    <w:uiPriority w:val="0"/>
    <w:pPr>
      <w:ind w:firstLine="830" w:firstLineChars="352"/>
    </w:pPr>
    <w:rPr>
      <w:rFonts w:ascii="仿宋_GB2312" w:eastAsia="仿宋_GB2312"/>
      <w:sz w:val="32"/>
      <w:szCs w:val="20"/>
    </w:rPr>
  </w:style>
  <w:style w:type="paragraph" w:styleId="23">
    <w:name w:val="List Number 3"/>
    <w:basedOn w:val="1"/>
    <w:autoRedefine/>
    <w:qFormat/>
    <w:uiPriority w:val="0"/>
    <w:pPr>
      <w:tabs>
        <w:tab w:val="left" w:pos="1200"/>
      </w:tabs>
      <w:ind w:left="1200" w:leftChars="400" w:hanging="360" w:hangingChars="200"/>
    </w:pPr>
  </w:style>
  <w:style w:type="paragraph" w:styleId="24">
    <w:name w:val="List 2"/>
    <w:basedOn w:val="1"/>
    <w:autoRedefine/>
    <w:qFormat/>
    <w:uiPriority w:val="0"/>
    <w:pPr>
      <w:ind w:left="100" w:leftChars="200" w:hanging="200" w:hangingChars="200"/>
    </w:pPr>
    <w:rPr>
      <w:sz w:val="28"/>
    </w:rPr>
  </w:style>
  <w:style w:type="paragraph" w:styleId="25">
    <w:name w:val="Block Text"/>
    <w:basedOn w:val="1"/>
    <w:autoRedefine/>
    <w:qFormat/>
    <w:uiPriority w:val="0"/>
    <w:pPr>
      <w:adjustRightInd w:val="0"/>
      <w:ind w:left="420" w:right="33"/>
      <w:jc w:val="left"/>
      <w:textAlignment w:val="baseline"/>
    </w:pPr>
    <w:rPr>
      <w:kern w:val="0"/>
      <w:sz w:val="24"/>
      <w:szCs w:val="20"/>
    </w:rPr>
  </w:style>
  <w:style w:type="paragraph" w:styleId="26">
    <w:name w:val="index 4"/>
    <w:basedOn w:val="1"/>
    <w:next w:val="1"/>
    <w:autoRedefine/>
    <w:qFormat/>
    <w:uiPriority w:val="99"/>
    <w:pPr>
      <w:ind w:left="600" w:leftChars="600"/>
    </w:pPr>
  </w:style>
  <w:style w:type="paragraph" w:styleId="27">
    <w:name w:val="toc 5"/>
    <w:basedOn w:val="1"/>
    <w:next w:val="1"/>
    <w:autoRedefine/>
    <w:qFormat/>
    <w:uiPriority w:val="39"/>
    <w:pPr>
      <w:tabs>
        <w:tab w:val="right" w:leader="dot" w:pos="9185"/>
      </w:tabs>
      <w:adjustRightInd w:val="0"/>
      <w:spacing w:line="312" w:lineRule="atLeast"/>
      <w:ind w:left="1680"/>
      <w:textAlignment w:val="baseline"/>
    </w:pPr>
    <w:rPr>
      <w:kern w:val="0"/>
      <w:szCs w:val="20"/>
    </w:rPr>
  </w:style>
  <w:style w:type="paragraph" w:styleId="28">
    <w:name w:val="toc 3"/>
    <w:basedOn w:val="1"/>
    <w:next w:val="1"/>
    <w:autoRedefine/>
    <w:qFormat/>
    <w:uiPriority w:val="0"/>
    <w:pPr>
      <w:ind w:left="840" w:leftChars="400"/>
    </w:pPr>
  </w:style>
  <w:style w:type="paragraph" w:styleId="29">
    <w:name w:val="Plain Text"/>
    <w:basedOn w:val="1"/>
    <w:next w:val="1"/>
    <w:link w:val="79"/>
    <w:autoRedefine/>
    <w:qFormat/>
    <w:uiPriority w:val="0"/>
    <w:rPr>
      <w:rFonts w:ascii="宋体" w:hAnsi="Courier New" w:cs="Courier New"/>
      <w:szCs w:val="21"/>
    </w:rPr>
  </w:style>
  <w:style w:type="paragraph" w:styleId="30">
    <w:name w:val="toc 8"/>
    <w:basedOn w:val="1"/>
    <w:next w:val="1"/>
    <w:autoRedefine/>
    <w:qFormat/>
    <w:uiPriority w:val="39"/>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2"/>
    <w:autoRedefine/>
    <w:qFormat/>
    <w:uiPriority w:val="0"/>
    <w:pPr>
      <w:ind w:left="100" w:leftChars="2500"/>
    </w:pPr>
    <w:rPr>
      <w:rFonts w:ascii="宋体" w:hAnsi="Courier New"/>
      <w:szCs w:val="21"/>
    </w:rPr>
  </w:style>
  <w:style w:type="paragraph" w:styleId="32">
    <w:name w:val="Body Text Indent 2"/>
    <w:basedOn w:val="1"/>
    <w:link w:val="85"/>
    <w:autoRedefine/>
    <w:qFormat/>
    <w:uiPriority w:val="99"/>
    <w:pPr>
      <w:ind w:firstLine="630"/>
    </w:pPr>
    <w:rPr>
      <w:sz w:val="32"/>
      <w:szCs w:val="20"/>
    </w:rPr>
  </w:style>
  <w:style w:type="paragraph" w:styleId="33">
    <w:name w:val="Balloon Text"/>
    <w:basedOn w:val="1"/>
    <w:link w:val="107"/>
    <w:autoRedefine/>
    <w:qFormat/>
    <w:uiPriority w:val="0"/>
    <w:rPr>
      <w:sz w:val="18"/>
      <w:szCs w:val="18"/>
    </w:rPr>
  </w:style>
  <w:style w:type="paragraph" w:styleId="34">
    <w:name w:val="footer"/>
    <w:basedOn w:val="1"/>
    <w:link w:val="80"/>
    <w:autoRedefine/>
    <w:qFormat/>
    <w:uiPriority w:val="99"/>
    <w:pPr>
      <w:tabs>
        <w:tab w:val="center" w:pos="4153"/>
        <w:tab w:val="right" w:pos="8306"/>
      </w:tabs>
      <w:snapToGrid w:val="0"/>
      <w:jc w:val="left"/>
    </w:pPr>
    <w:rPr>
      <w:sz w:val="18"/>
      <w:szCs w:val="18"/>
    </w:rPr>
  </w:style>
  <w:style w:type="paragraph" w:styleId="35">
    <w:name w:val="envelope return"/>
    <w:basedOn w:val="1"/>
    <w:autoRedefine/>
    <w:qFormat/>
    <w:uiPriority w:val="0"/>
    <w:pPr>
      <w:snapToGrid w:val="0"/>
    </w:pPr>
    <w:rPr>
      <w:rFonts w:ascii="Cambria" w:hAnsi="Cambria"/>
    </w:rPr>
  </w:style>
  <w:style w:type="paragraph" w:styleId="36">
    <w:name w:val="header"/>
    <w:basedOn w:val="1"/>
    <w:link w:val="86"/>
    <w:autoRedefine/>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0"/>
    <w:pPr>
      <w:tabs>
        <w:tab w:val="right" w:leader="dot" w:pos="8398"/>
      </w:tabs>
      <w:spacing w:before="120" w:after="120"/>
      <w:ind w:firstLine="240" w:firstLineChars="100"/>
      <w:jc w:val="left"/>
    </w:pPr>
    <w:rPr>
      <w:rFonts w:ascii="宋体" w:hAnsi="宋体"/>
      <w:b/>
      <w:bCs/>
      <w:caps/>
      <w:sz w:val="24"/>
    </w:rPr>
  </w:style>
  <w:style w:type="paragraph" w:styleId="38">
    <w:name w:val="toc 4"/>
    <w:basedOn w:val="1"/>
    <w:next w:val="1"/>
    <w:autoRedefine/>
    <w:qFormat/>
    <w:uiPriority w:val="39"/>
    <w:pPr>
      <w:tabs>
        <w:tab w:val="right" w:leader="dot" w:pos="9185"/>
      </w:tabs>
      <w:adjustRightInd w:val="0"/>
      <w:spacing w:line="312" w:lineRule="atLeast"/>
      <w:ind w:left="1260"/>
      <w:textAlignment w:val="baseline"/>
    </w:pPr>
    <w:rPr>
      <w:kern w:val="0"/>
      <w:szCs w:val="20"/>
    </w:rPr>
  </w:style>
  <w:style w:type="paragraph" w:styleId="39">
    <w:name w:val="index heading"/>
    <w:basedOn w:val="1"/>
    <w:next w:val="40"/>
    <w:qFormat/>
    <w:uiPriority w:val="0"/>
    <w:rPr>
      <w:szCs w:val="21"/>
    </w:rPr>
  </w:style>
  <w:style w:type="paragraph" w:styleId="40">
    <w:name w:val="index 1"/>
    <w:basedOn w:val="1"/>
    <w:next w:val="1"/>
    <w:autoRedefine/>
    <w:qFormat/>
    <w:uiPriority w:val="0"/>
    <w:pPr>
      <w:spacing w:line="400" w:lineRule="exact"/>
      <w:ind w:firstLine="420" w:firstLineChars="200"/>
    </w:pPr>
    <w:rPr>
      <w:rFonts w:ascii="宋体" w:hAnsi="Courier New"/>
      <w:b/>
      <w:szCs w:val="20"/>
    </w:rPr>
  </w:style>
  <w:style w:type="paragraph" w:styleId="41">
    <w:name w:val="Subtitle"/>
    <w:basedOn w:val="1"/>
    <w:next w:val="1"/>
    <w:link w:val="186"/>
    <w:autoRedefine/>
    <w:qFormat/>
    <w:uiPriority w:val="11"/>
    <w:pPr>
      <w:spacing w:before="240" w:after="60" w:line="312" w:lineRule="auto"/>
      <w:jc w:val="center"/>
      <w:outlineLvl w:val="1"/>
    </w:pPr>
    <w:rPr>
      <w:rFonts w:ascii="Cambria" w:hAnsi="Cambria"/>
      <w:b/>
      <w:bCs/>
      <w:kern w:val="28"/>
      <w:sz w:val="32"/>
      <w:szCs w:val="32"/>
    </w:rPr>
  </w:style>
  <w:style w:type="paragraph" w:styleId="42">
    <w:name w:val="List"/>
    <w:basedOn w:val="1"/>
    <w:autoRedefine/>
    <w:qFormat/>
    <w:uiPriority w:val="0"/>
    <w:pPr>
      <w:ind w:left="200" w:hanging="200" w:hangingChars="200"/>
    </w:pPr>
    <w:rPr>
      <w:sz w:val="28"/>
    </w:rPr>
  </w:style>
  <w:style w:type="paragraph" w:styleId="43">
    <w:name w:val="footnote text"/>
    <w:basedOn w:val="1"/>
    <w:link w:val="222"/>
    <w:autoRedefine/>
    <w:qFormat/>
    <w:uiPriority w:val="99"/>
    <w:pPr>
      <w:adjustRightInd w:val="0"/>
      <w:spacing w:line="312" w:lineRule="atLeast"/>
      <w:jc w:val="left"/>
      <w:textAlignment w:val="baseline"/>
    </w:pPr>
    <w:rPr>
      <w:kern w:val="0"/>
      <w:sz w:val="18"/>
      <w:szCs w:val="20"/>
    </w:rPr>
  </w:style>
  <w:style w:type="paragraph" w:styleId="44">
    <w:name w:val="List 5"/>
    <w:basedOn w:val="1"/>
    <w:autoRedefine/>
    <w:qFormat/>
    <w:uiPriority w:val="0"/>
    <w:pPr>
      <w:ind w:left="2100" w:hanging="420"/>
    </w:pPr>
    <w:rPr>
      <w:szCs w:val="20"/>
    </w:rPr>
  </w:style>
  <w:style w:type="paragraph" w:styleId="45">
    <w:name w:val="Body Text Indent 3"/>
    <w:basedOn w:val="1"/>
    <w:link w:val="101"/>
    <w:autoRedefine/>
    <w:qFormat/>
    <w:uiPriority w:val="0"/>
    <w:pPr>
      <w:spacing w:after="120"/>
      <w:ind w:left="420" w:leftChars="200"/>
    </w:pPr>
    <w:rPr>
      <w:sz w:val="16"/>
      <w:szCs w:val="16"/>
    </w:rPr>
  </w:style>
  <w:style w:type="paragraph" w:styleId="46">
    <w:name w:val="toc 2"/>
    <w:basedOn w:val="1"/>
    <w:next w:val="1"/>
    <w:autoRedefine/>
    <w:qFormat/>
    <w:uiPriority w:val="0"/>
    <w:pPr>
      <w:ind w:left="420" w:leftChars="200"/>
    </w:pPr>
  </w:style>
  <w:style w:type="paragraph" w:styleId="47">
    <w:name w:val="toc 9"/>
    <w:basedOn w:val="1"/>
    <w:next w:val="1"/>
    <w:autoRedefine/>
    <w:qFormat/>
    <w:uiPriority w:val="39"/>
    <w:pPr>
      <w:tabs>
        <w:tab w:val="right" w:leader="dot" w:pos="9185"/>
      </w:tabs>
      <w:adjustRightInd w:val="0"/>
      <w:spacing w:line="312" w:lineRule="atLeast"/>
      <w:ind w:left="3360"/>
      <w:textAlignment w:val="baseline"/>
    </w:pPr>
    <w:rPr>
      <w:kern w:val="0"/>
      <w:szCs w:val="20"/>
    </w:rPr>
  </w:style>
  <w:style w:type="paragraph" w:styleId="48">
    <w:name w:val="Body Text 2"/>
    <w:basedOn w:val="1"/>
    <w:link w:val="113"/>
    <w:autoRedefine/>
    <w:qFormat/>
    <w:uiPriority w:val="0"/>
    <w:pPr>
      <w:spacing w:after="120" w:line="480" w:lineRule="auto"/>
    </w:pPr>
  </w:style>
  <w:style w:type="paragraph" w:styleId="49">
    <w:name w:val="List 4"/>
    <w:basedOn w:val="1"/>
    <w:autoRedefine/>
    <w:qFormat/>
    <w:uiPriority w:val="0"/>
    <w:pPr>
      <w:ind w:left="100" w:leftChars="600" w:hanging="200" w:hangingChars="200"/>
    </w:pPr>
  </w:style>
  <w:style w:type="paragraph" w:styleId="50">
    <w:name w:val="List Continue 2"/>
    <w:basedOn w:val="1"/>
    <w:autoRedefine/>
    <w:qFormat/>
    <w:uiPriority w:val="0"/>
    <w:pPr>
      <w:spacing w:after="120"/>
      <w:ind w:left="840" w:leftChars="400"/>
    </w:pPr>
  </w:style>
  <w:style w:type="paragraph" w:styleId="51">
    <w:name w:val="HTML Preformatted"/>
    <w:basedOn w:val="1"/>
    <w:link w:val="11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3">
    <w:name w:val="Title"/>
    <w:basedOn w:val="1"/>
    <w:link w:val="68"/>
    <w:autoRedefine/>
    <w:qFormat/>
    <w:uiPriority w:val="99"/>
    <w:pPr>
      <w:jc w:val="center"/>
    </w:pPr>
    <w:rPr>
      <w:sz w:val="30"/>
    </w:rPr>
  </w:style>
  <w:style w:type="paragraph" w:styleId="54">
    <w:name w:val="annotation subject"/>
    <w:basedOn w:val="17"/>
    <w:next w:val="17"/>
    <w:link w:val="71"/>
    <w:autoRedefine/>
    <w:qFormat/>
    <w:uiPriority w:val="0"/>
    <w:rPr>
      <w:b/>
      <w:bCs/>
    </w:rPr>
  </w:style>
  <w:style w:type="paragraph" w:styleId="55">
    <w:name w:val="Body Text First Indent 2"/>
    <w:basedOn w:val="22"/>
    <w:link w:val="93"/>
    <w:autoRedefine/>
    <w:qFormat/>
    <w:uiPriority w:val="0"/>
    <w:pPr>
      <w:spacing w:after="120"/>
      <w:ind w:left="420" w:leftChars="200" w:firstLine="420" w:firstLineChars="200"/>
    </w:pPr>
    <w:rPr>
      <w:rFonts w:ascii="Times New Roman" w:eastAsia="宋体"/>
      <w:sz w:val="21"/>
      <w:szCs w:val="24"/>
    </w:rPr>
  </w:style>
  <w:style w:type="table" w:styleId="57">
    <w:name w:val="Table Grid"/>
    <w:basedOn w:val="5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autoRedefine/>
    <w:qFormat/>
    <w:uiPriority w:val="0"/>
    <w:rPr>
      <w:color w:val="800080"/>
      <w:u w:val="single"/>
    </w:rPr>
  </w:style>
  <w:style w:type="character" w:styleId="62">
    <w:name w:val="Emphasis"/>
    <w:autoRedefine/>
    <w:qFormat/>
    <w:uiPriority w:val="99"/>
    <w:rPr>
      <w:i/>
      <w:iCs/>
    </w:rPr>
  </w:style>
  <w:style w:type="character" w:styleId="63">
    <w:name w:val="Hyperlink"/>
    <w:autoRedefine/>
    <w:qFormat/>
    <w:uiPriority w:val="0"/>
    <w:rPr>
      <w:color w:val="0000FF"/>
      <w:u w:val="single"/>
    </w:rPr>
  </w:style>
  <w:style w:type="character" w:styleId="64">
    <w:name w:val="annotation reference"/>
    <w:autoRedefine/>
    <w:qFormat/>
    <w:uiPriority w:val="0"/>
    <w:rPr>
      <w:sz w:val="21"/>
      <w:szCs w:val="21"/>
    </w:rPr>
  </w:style>
  <w:style w:type="character" w:styleId="65">
    <w:name w:val="HTML Sample"/>
    <w:autoRedefine/>
    <w:qFormat/>
    <w:uiPriority w:val="0"/>
    <w:rPr>
      <w:rFonts w:ascii="monospace" w:hAnsi="monospace" w:eastAsia="monospace" w:cs="monospace"/>
      <w:sz w:val="21"/>
      <w:szCs w:val="21"/>
    </w:rPr>
  </w:style>
  <w:style w:type="character" w:customStyle="1" w:styleId="66">
    <w:name w:val="文档结构图 字符2"/>
    <w:link w:val="16"/>
    <w:autoRedefine/>
    <w:qFormat/>
    <w:uiPriority w:val="99"/>
    <w:rPr>
      <w:sz w:val="21"/>
      <w:shd w:val="clear" w:color="auto" w:fill="000080"/>
    </w:rPr>
  </w:style>
  <w:style w:type="character" w:customStyle="1" w:styleId="67">
    <w:name w:val="批注文字 字符3"/>
    <w:link w:val="17"/>
    <w:autoRedefine/>
    <w:qFormat/>
    <w:uiPriority w:val="99"/>
    <w:rPr>
      <w:kern w:val="2"/>
      <w:sz w:val="21"/>
      <w:szCs w:val="24"/>
    </w:rPr>
  </w:style>
  <w:style w:type="character" w:customStyle="1" w:styleId="68">
    <w:name w:val="标题 字符2"/>
    <w:link w:val="53"/>
    <w:autoRedefine/>
    <w:qFormat/>
    <w:uiPriority w:val="99"/>
    <w:rPr>
      <w:kern w:val="2"/>
      <w:sz w:val="30"/>
      <w:szCs w:val="24"/>
    </w:rPr>
  </w:style>
  <w:style w:type="character" w:customStyle="1" w:styleId="69">
    <w:name w:val="标题 6 字符2"/>
    <w:link w:val="8"/>
    <w:autoRedefine/>
    <w:qFormat/>
    <w:uiPriority w:val="9"/>
    <w:rPr>
      <w:rFonts w:ascii="Arial" w:hAnsi="Arial" w:eastAsia="黑体"/>
      <w:b/>
      <w:kern w:val="2"/>
      <w:sz w:val="24"/>
      <w:szCs w:val="24"/>
    </w:rPr>
  </w:style>
  <w:style w:type="character" w:customStyle="1" w:styleId="70">
    <w:name w:val="正文文本 字符2"/>
    <w:link w:val="19"/>
    <w:autoRedefine/>
    <w:qFormat/>
    <w:uiPriority w:val="99"/>
    <w:rPr>
      <w:kern w:val="2"/>
      <w:sz w:val="24"/>
      <w:szCs w:val="24"/>
    </w:rPr>
  </w:style>
  <w:style w:type="character" w:customStyle="1" w:styleId="71">
    <w:name w:val="批注主题 字符2"/>
    <w:link w:val="54"/>
    <w:autoRedefine/>
    <w:qFormat/>
    <w:uiPriority w:val="99"/>
    <w:rPr>
      <w:b/>
      <w:bCs/>
      <w:kern w:val="2"/>
      <w:sz w:val="21"/>
      <w:szCs w:val="24"/>
    </w:rPr>
  </w:style>
  <w:style w:type="character" w:customStyle="1" w:styleId="72">
    <w:name w:val="content2"/>
    <w:basedOn w:val="58"/>
    <w:autoRedefine/>
    <w:qFormat/>
    <w:uiPriority w:val="0"/>
  </w:style>
  <w:style w:type="character" w:customStyle="1" w:styleId="73">
    <w:name w:val="标题 1 字符2"/>
    <w:link w:val="2"/>
    <w:autoRedefine/>
    <w:qFormat/>
    <w:uiPriority w:val="99"/>
    <w:rPr>
      <w:rFonts w:eastAsia="宋体"/>
      <w:b/>
      <w:bCs/>
      <w:kern w:val="44"/>
      <w:sz w:val="44"/>
      <w:szCs w:val="44"/>
      <w:lang w:val="en-US" w:eastAsia="zh-CN" w:bidi="ar-SA"/>
    </w:rPr>
  </w:style>
  <w:style w:type="character" w:customStyle="1" w:styleId="74">
    <w:name w:val="case31"/>
    <w:autoRedefine/>
    <w:qFormat/>
    <w:uiPriority w:val="0"/>
    <w:rPr>
      <w:rFonts w:hint="default"/>
      <w:sz w:val="21"/>
      <w:szCs w:val="21"/>
    </w:rPr>
  </w:style>
  <w:style w:type="character" w:customStyle="1" w:styleId="75">
    <w:name w:val="标题 2 字符2"/>
    <w:link w:val="3"/>
    <w:autoRedefine/>
    <w:qFormat/>
    <w:uiPriority w:val="99"/>
    <w:rPr>
      <w:rFonts w:ascii="Arial" w:hAnsi="Arial" w:eastAsia="黑体"/>
      <w:b/>
      <w:bCs/>
      <w:kern w:val="2"/>
      <w:sz w:val="32"/>
      <w:szCs w:val="32"/>
    </w:rPr>
  </w:style>
  <w:style w:type="character" w:customStyle="1" w:styleId="76">
    <w:name w:val="标题 4 字符2"/>
    <w:link w:val="5"/>
    <w:autoRedefine/>
    <w:qFormat/>
    <w:uiPriority w:val="99"/>
    <w:rPr>
      <w:rFonts w:ascii="Arial" w:hAnsi="Arial" w:eastAsia="黑体"/>
      <w:sz w:val="28"/>
    </w:rPr>
  </w:style>
  <w:style w:type="character" w:customStyle="1" w:styleId="77">
    <w:name w:val="062"/>
    <w:autoRedefine/>
    <w:qFormat/>
    <w:uiPriority w:val="0"/>
    <w:rPr>
      <w:rFonts w:ascii="宋体" w:hAnsi="宋体"/>
      <w:b/>
      <w:bCs/>
      <w:sz w:val="32"/>
    </w:rPr>
  </w:style>
  <w:style w:type="character" w:customStyle="1" w:styleId="78">
    <w:name w:val="f151"/>
    <w:autoRedefine/>
    <w:qFormat/>
    <w:uiPriority w:val="0"/>
    <w:rPr>
      <w:sz w:val="23"/>
      <w:szCs w:val="23"/>
    </w:rPr>
  </w:style>
  <w:style w:type="character" w:customStyle="1" w:styleId="79">
    <w:name w:val="纯文本 字符2"/>
    <w:link w:val="29"/>
    <w:autoRedefine/>
    <w:qFormat/>
    <w:uiPriority w:val="0"/>
    <w:rPr>
      <w:rFonts w:ascii="宋体" w:hAnsi="Courier New" w:eastAsia="宋体" w:cs="Courier New"/>
      <w:kern w:val="2"/>
      <w:sz w:val="21"/>
      <w:szCs w:val="21"/>
      <w:lang w:val="en-US" w:eastAsia="zh-CN" w:bidi="ar-SA"/>
    </w:rPr>
  </w:style>
  <w:style w:type="character" w:customStyle="1" w:styleId="80">
    <w:name w:val="页脚 字符2"/>
    <w:link w:val="34"/>
    <w:autoRedefine/>
    <w:qFormat/>
    <w:uiPriority w:val="99"/>
    <w:rPr>
      <w:kern w:val="2"/>
      <w:sz w:val="18"/>
      <w:szCs w:val="18"/>
    </w:rPr>
  </w:style>
  <w:style w:type="character" w:customStyle="1" w:styleId="81">
    <w:name w:val="unnamed3"/>
    <w:basedOn w:val="58"/>
    <w:autoRedefine/>
    <w:qFormat/>
    <w:uiPriority w:val="0"/>
  </w:style>
  <w:style w:type="character" w:customStyle="1" w:styleId="82">
    <w:name w:val="日期 字符2"/>
    <w:link w:val="31"/>
    <w:autoRedefine/>
    <w:qFormat/>
    <w:uiPriority w:val="99"/>
    <w:rPr>
      <w:rFonts w:ascii="宋体" w:hAnsi="Courier New" w:cs="Courier New"/>
      <w:kern w:val="2"/>
      <w:sz w:val="21"/>
      <w:szCs w:val="21"/>
    </w:rPr>
  </w:style>
  <w:style w:type="character" w:customStyle="1" w:styleId="83">
    <w:name w:val="正文文本缩进 字符2"/>
    <w:link w:val="22"/>
    <w:autoRedefine/>
    <w:qFormat/>
    <w:uiPriority w:val="99"/>
    <w:rPr>
      <w:rFonts w:ascii="仿宋_GB2312" w:eastAsia="仿宋_GB2312"/>
      <w:kern w:val="2"/>
      <w:sz w:val="32"/>
    </w:rPr>
  </w:style>
  <w:style w:type="character" w:customStyle="1" w:styleId="84">
    <w:name w:val="标题 8 字符2"/>
    <w:link w:val="10"/>
    <w:autoRedefine/>
    <w:qFormat/>
    <w:uiPriority w:val="9"/>
    <w:rPr>
      <w:rFonts w:ascii="Arial" w:hAnsi="Arial" w:eastAsia="黑体"/>
      <w:kern w:val="2"/>
      <w:sz w:val="24"/>
      <w:szCs w:val="24"/>
    </w:rPr>
  </w:style>
  <w:style w:type="character" w:customStyle="1" w:styleId="85">
    <w:name w:val="正文文本缩进 2 字符2"/>
    <w:link w:val="32"/>
    <w:autoRedefine/>
    <w:qFormat/>
    <w:uiPriority w:val="99"/>
    <w:rPr>
      <w:kern w:val="2"/>
      <w:sz w:val="32"/>
    </w:rPr>
  </w:style>
  <w:style w:type="character" w:customStyle="1" w:styleId="86">
    <w:name w:val="页眉 字符2"/>
    <w:link w:val="36"/>
    <w:autoRedefine/>
    <w:qFormat/>
    <w:uiPriority w:val="99"/>
    <w:rPr>
      <w:kern w:val="2"/>
      <w:sz w:val="18"/>
      <w:szCs w:val="18"/>
    </w:rPr>
  </w:style>
  <w:style w:type="character" w:customStyle="1" w:styleId="87">
    <w:name w:val="z-窗体顶端 Char"/>
    <w:link w:val="88"/>
    <w:autoRedefine/>
    <w:qFormat/>
    <w:uiPriority w:val="0"/>
    <w:rPr>
      <w:rFonts w:ascii="Arial"/>
      <w:vanish/>
      <w:kern w:val="2"/>
      <w:sz w:val="16"/>
      <w:szCs w:val="24"/>
    </w:rPr>
  </w:style>
  <w:style w:type="paragraph" w:customStyle="1" w:styleId="88">
    <w:name w:val="z-窗体顶端1"/>
    <w:basedOn w:val="1"/>
    <w:next w:val="1"/>
    <w:link w:val="87"/>
    <w:autoRedefine/>
    <w:qFormat/>
    <w:uiPriority w:val="0"/>
    <w:pPr>
      <w:pBdr>
        <w:bottom w:val="single" w:color="auto" w:sz="6" w:space="1"/>
      </w:pBdr>
      <w:jc w:val="center"/>
    </w:pPr>
    <w:rPr>
      <w:rFonts w:ascii="Arial"/>
      <w:vanish/>
      <w:sz w:val="16"/>
    </w:rPr>
  </w:style>
  <w:style w:type="character" w:customStyle="1" w:styleId="89">
    <w:name w:val="正文文本 3 字符2"/>
    <w:link w:val="18"/>
    <w:autoRedefine/>
    <w:qFormat/>
    <w:uiPriority w:val="0"/>
    <w:rPr>
      <w:b/>
      <w:bCs/>
      <w:kern w:val="2"/>
      <w:sz w:val="24"/>
      <w:szCs w:val="24"/>
    </w:rPr>
  </w:style>
  <w:style w:type="character" w:customStyle="1" w:styleId="90">
    <w:name w:val="gray12"/>
    <w:basedOn w:val="58"/>
    <w:autoRedefine/>
    <w:qFormat/>
    <w:uiPriority w:val="0"/>
  </w:style>
  <w:style w:type="character" w:customStyle="1" w:styleId="91">
    <w:name w:val="style11"/>
    <w:autoRedefine/>
    <w:qFormat/>
    <w:uiPriority w:val="0"/>
    <w:rPr>
      <w:rFonts w:hint="default" w:ascii="Arial" w:hAnsi="Arial" w:cs="Arial"/>
    </w:rPr>
  </w:style>
  <w:style w:type="character" w:customStyle="1" w:styleId="92">
    <w:name w:val="标题 7 字符2"/>
    <w:link w:val="9"/>
    <w:autoRedefine/>
    <w:qFormat/>
    <w:uiPriority w:val="9"/>
    <w:rPr>
      <w:b/>
      <w:kern w:val="2"/>
      <w:sz w:val="24"/>
      <w:szCs w:val="24"/>
    </w:rPr>
  </w:style>
  <w:style w:type="character" w:customStyle="1" w:styleId="93">
    <w:name w:val="正文文本首行缩进 2 字符2"/>
    <w:link w:val="55"/>
    <w:autoRedefine/>
    <w:qFormat/>
    <w:uiPriority w:val="0"/>
    <w:rPr>
      <w:kern w:val="2"/>
      <w:sz w:val="21"/>
      <w:szCs w:val="24"/>
    </w:rPr>
  </w:style>
  <w:style w:type="character" w:customStyle="1" w:styleId="94">
    <w:name w:val="纯文本 Char1"/>
    <w:autoRedefine/>
    <w:qFormat/>
    <w:uiPriority w:val="0"/>
    <w:rPr>
      <w:rFonts w:ascii="宋体" w:hAnsi="Courier New" w:eastAsia="宋体" w:cs="Courier New"/>
      <w:kern w:val="2"/>
      <w:sz w:val="21"/>
      <w:szCs w:val="21"/>
      <w:lang w:val="en-US" w:eastAsia="zh-CN" w:bidi="ar-SA"/>
    </w:rPr>
  </w:style>
  <w:style w:type="character" w:customStyle="1" w:styleId="95">
    <w:name w:val="text11"/>
    <w:autoRedefine/>
    <w:qFormat/>
    <w:uiPriority w:val="0"/>
    <w:rPr>
      <w:rFonts w:hint="default" w:ascii="Verdana" w:hAnsi="Verdana"/>
      <w:color w:val="4E4E4E"/>
      <w:sz w:val="18"/>
      <w:szCs w:val="18"/>
    </w:rPr>
  </w:style>
  <w:style w:type="character" w:customStyle="1" w:styleId="96">
    <w:name w:val="1ji Char"/>
    <w:link w:val="97"/>
    <w:autoRedefine/>
    <w:qFormat/>
    <w:uiPriority w:val="0"/>
    <w:rPr>
      <w:rFonts w:ascii="宋体" w:hAnsi="宋体" w:eastAsia="宋体"/>
      <w:b/>
      <w:bCs/>
      <w:kern w:val="44"/>
      <w:sz w:val="36"/>
      <w:szCs w:val="44"/>
      <w:lang w:val="en-US" w:eastAsia="zh-CN" w:bidi="ar-SA"/>
    </w:rPr>
  </w:style>
  <w:style w:type="paragraph" w:customStyle="1" w:styleId="97">
    <w:name w:val="1ji"/>
    <w:basedOn w:val="2"/>
    <w:link w:val="96"/>
    <w:autoRedefine/>
    <w:qFormat/>
    <w:uiPriority w:val="0"/>
    <w:pPr>
      <w:keepLines w:val="0"/>
      <w:widowControl/>
      <w:spacing w:before="0" w:after="0" w:line="240" w:lineRule="auto"/>
      <w:jc w:val="center"/>
    </w:pPr>
    <w:rPr>
      <w:rFonts w:ascii="宋体" w:hAnsi="宋体"/>
      <w:sz w:val="36"/>
    </w:rPr>
  </w:style>
  <w:style w:type="character" w:customStyle="1" w:styleId="98">
    <w:name w:val="short_text1"/>
    <w:autoRedefine/>
    <w:qFormat/>
    <w:uiPriority w:val="0"/>
    <w:rPr>
      <w:sz w:val="26"/>
    </w:rPr>
  </w:style>
  <w:style w:type="character" w:customStyle="1" w:styleId="99">
    <w:name w:val="mark8"/>
    <w:autoRedefine/>
    <w:qFormat/>
    <w:uiPriority w:val="0"/>
    <w:rPr>
      <w:b/>
      <w:bCs/>
      <w:sz w:val="21"/>
      <w:szCs w:val="21"/>
    </w:rPr>
  </w:style>
  <w:style w:type="character" w:customStyle="1" w:styleId="100">
    <w:name w:val="white"/>
    <w:basedOn w:val="58"/>
    <w:autoRedefine/>
    <w:qFormat/>
    <w:uiPriority w:val="0"/>
  </w:style>
  <w:style w:type="character" w:customStyle="1" w:styleId="101">
    <w:name w:val="正文文本缩进 3 字符2"/>
    <w:link w:val="45"/>
    <w:autoRedefine/>
    <w:qFormat/>
    <w:uiPriority w:val="0"/>
    <w:rPr>
      <w:kern w:val="2"/>
      <w:sz w:val="16"/>
      <w:szCs w:val="16"/>
    </w:rPr>
  </w:style>
  <w:style w:type="character" w:customStyle="1" w:styleId="102">
    <w:name w:val="graytext1"/>
    <w:autoRedefine/>
    <w:qFormat/>
    <w:uiPriority w:val="0"/>
    <w:rPr>
      <w:color w:val="666666"/>
    </w:rPr>
  </w:style>
  <w:style w:type="character" w:customStyle="1" w:styleId="103">
    <w:name w:val="标题 5 字符2"/>
    <w:link w:val="6"/>
    <w:autoRedefine/>
    <w:qFormat/>
    <w:uiPriority w:val="99"/>
    <w:rPr>
      <w:b/>
      <w:kern w:val="2"/>
      <w:sz w:val="28"/>
      <w:szCs w:val="24"/>
    </w:rPr>
  </w:style>
  <w:style w:type="character" w:customStyle="1" w:styleId="104">
    <w:name w:val="small"/>
    <w:basedOn w:val="58"/>
    <w:autoRedefine/>
    <w:qFormat/>
    <w:uiPriority w:val="0"/>
  </w:style>
  <w:style w:type="character" w:customStyle="1" w:styleId="105">
    <w:name w:val="style21"/>
    <w:autoRedefine/>
    <w:qFormat/>
    <w:uiPriority w:val="0"/>
    <w:rPr>
      <w:sz w:val="17"/>
      <w:szCs w:val="17"/>
    </w:rPr>
  </w:style>
  <w:style w:type="character" w:customStyle="1" w:styleId="106">
    <w:name w:val="1051"/>
    <w:autoRedefine/>
    <w:qFormat/>
    <w:uiPriority w:val="0"/>
    <w:rPr>
      <w:sz w:val="21"/>
      <w:szCs w:val="21"/>
    </w:rPr>
  </w:style>
  <w:style w:type="character" w:customStyle="1" w:styleId="107">
    <w:name w:val="批注框文本 字符2"/>
    <w:link w:val="33"/>
    <w:autoRedefine/>
    <w:qFormat/>
    <w:uiPriority w:val="99"/>
    <w:rPr>
      <w:kern w:val="2"/>
      <w:sz w:val="18"/>
      <w:szCs w:val="18"/>
    </w:rPr>
  </w:style>
  <w:style w:type="character" w:customStyle="1" w:styleId="108">
    <w:name w:val="apple-converted-space"/>
    <w:autoRedefine/>
    <w:qFormat/>
    <w:uiPriority w:val="0"/>
  </w:style>
  <w:style w:type="character" w:customStyle="1" w:styleId="109">
    <w:name w:val="标题 3 字符2"/>
    <w:link w:val="4"/>
    <w:autoRedefine/>
    <w:qFormat/>
    <w:uiPriority w:val="99"/>
    <w:rPr>
      <w:b/>
      <w:bCs/>
      <w:kern w:val="2"/>
      <w:sz w:val="32"/>
      <w:szCs w:val="32"/>
    </w:rPr>
  </w:style>
  <w:style w:type="character" w:customStyle="1" w:styleId="110">
    <w:name w:val="font01"/>
    <w:autoRedefine/>
    <w:qFormat/>
    <w:uiPriority w:val="0"/>
    <w:rPr>
      <w:rFonts w:hint="eastAsia" w:ascii="宋体" w:hAnsi="宋体" w:eastAsia="宋体"/>
      <w:color w:val="000000"/>
      <w:sz w:val="22"/>
      <w:szCs w:val="22"/>
      <w:u w:val="none"/>
    </w:rPr>
  </w:style>
  <w:style w:type="character" w:customStyle="1" w:styleId="111">
    <w:name w:val="标题 9 字符2"/>
    <w:link w:val="11"/>
    <w:autoRedefine/>
    <w:qFormat/>
    <w:uiPriority w:val="9"/>
    <w:rPr>
      <w:rFonts w:ascii="Arial" w:hAnsi="Arial" w:eastAsia="黑体"/>
      <w:kern w:val="2"/>
      <w:sz w:val="21"/>
      <w:szCs w:val="24"/>
    </w:rPr>
  </w:style>
  <w:style w:type="character" w:customStyle="1" w:styleId="112">
    <w:name w:val="正文文本首行缩进 字符2"/>
    <w:link w:val="20"/>
    <w:autoRedefine/>
    <w:qFormat/>
    <w:uiPriority w:val="0"/>
    <w:rPr>
      <w:kern w:val="2"/>
      <w:sz w:val="21"/>
      <w:szCs w:val="24"/>
    </w:rPr>
  </w:style>
  <w:style w:type="character" w:customStyle="1" w:styleId="113">
    <w:name w:val="正文文本 2 字符2"/>
    <w:link w:val="48"/>
    <w:autoRedefine/>
    <w:qFormat/>
    <w:uiPriority w:val="0"/>
    <w:rPr>
      <w:kern w:val="2"/>
      <w:sz w:val="21"/>
      <w:szCs w:val="24"/>
    </w:rPr>
  </w:style>
  <w:style w:type="character" w:customStyle="1" w:styleId="114">
    <w:name w:val="HTML 预设格式 字符2"/>
    <w:link w:val="51"/>
    <w:autoRedefine/>
    <w:qFormat/>
    <w:uiPriority w:val="99"/>
    <w:rPr>
      <w:rFonts w:ascii="黑体" w:hAnsi="Courier New" w:eastAsia="黑体" w:cs="Courier New"/>
    </w:rPr>
  </w:style>
  <w:style w:type="character" w:customStyle="1" w:styleId="115">
    <w:name w:val="标题3 Char"/>
    <w:link w:val="116"/>
    <w:autoRedefine/>
    <w:qFormat/>
    <w:uiPriority w:val="0"/>
    <w:rPr>
      <w:rFonts w:ascii="宋体" w:hAnsi="宋体"/>
      <w:b/>
      <w:bCs/>
      <w:kern w:val="44"/>
      <w:sz w:val="24"/>
      <w:szCs w:val="24"/>
    </w:rPr>
  </w:style>
  <w:style w:type="paragraph" w:customStyle="1" w:styleId="116">
    <w:name w:val="标题3"/>
    <w:basedOn w:val="2"/>
    <w:link w:val="115"/>
    <w:autoRedefine/>
    <w:qFormat/>
    <w:uiPriority w:val="0"/>
    <w:pPr>
      <w:spacing w:before="0" w:beforeLines="50" w:after="0" w:afterLines="50" w:line="400" w:lineRule="exact"/>
    </w:pPr>
    <w:rPr>
      <w:rFonts w:ascii="宋体" w:hAnsi="宋体"/>
      <w:sz w:val="24"/>
      <w:szCs w:val="24"/>
    </w:rPr>
  </w:style>
  <w:style w:type="paragraph" w:customStyle="1" w:styleId="117">
    <w:name w:val="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8">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119">
    <w:name w:val="Char1"/>
    <w:basedOn w:val="1"/>
    <w:autoRedefine/>
    <w:qFormat/>
    <w:uiPriority w:val="99"/>
    <w:rPr>
      <w:szCs w:val="21"/>
    </w:rPr>
  </w:style>
  <w:style w:type="paragraph" w:styleId="120">
    <w:name w:val="List Paragraph"/>
    <w:basedOn w:val="1"/>
    <w:autoRedefine/>
    <w:qFormat/>
    <w:uiPriority w:val="99"/>
    <w:pPr>
      <w:ind w:firstLine="420" w:firstLineChars="200"/>
    </w:pPr>
    <w:rPr>
      <w:rFonts w:ascii="Calibri" w:hAnsi="Calibri"/>
      <w:szCs w:val="22"/>
    </w:rPr>
  </w:style>
  <w:style w:type="paragraph" w:customStyle="1" w:styleId="121">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122">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Char Char Char Char Char Char Char Char Char Char Char Char Char Char Char Char11"/>
    <w:basedOn w:val="1"/>
    <w:autoRedefine/>
    <w:qFormat/>
    <w:uiPriority w:val="0"/>
    <w:pPr>
      <w:tabs>
        <w:tab w:val="left" w:pos="360"/>
      </w:tabs>
      <w:spacing w:line="360" w:lineRule="auto"/>
      <w:ind w:left="482" w:firstLine="200" w:firstLineChars="200"/>
    </w:pPr>
    <w:rPr>
      <w:rFonts w:ascii="宋体"/>
      <w:sz w:val="24"/>
    </w:rPr>
  </w:style>
  <w:style w:type="paragraph" w:customStyle="1" w:styleId="12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5">
    <w:name w:val="正文首行缩进两字符"/>
    <w:basedOn w:val="1"/>
    <w:autoRedefine/>
    <w:qFormat/>
    <w:uiPriority w:val="0"/>
    <w:pPr>
      <w:spacing w:line="360" w:lineRule="auto"/>
      <w:ind w:firstLine="200" w:firstLineChars="200"/>
    </w:pPr>
  </w:style>
  <w:style w:type="paragraph" w:customStyle="1" w:styleId="126">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bCs w:val="0"/>
      <w:sz w:val="28"/>
      <w:szCs w:val="20"/>
    </w:rPr>
  </w:style>
  <w:style w:type="paragraph" w:customStyle="1" w:styleId="12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28">
    <w:name w:val="Char Char Char"/>
    <w:basedOn w:val="1"/>
    <w:autoRedefine/>
    <w:qFormat/>
    <w:uiPriority w:val="0"/>
    <w:rPr>
      <w:rFonts w:ascii="Tahoma" w:hAnsi="Tahoma"/>
      <w:sz w:val="24"/>
      <w:szCs w:val="20"/>
    </w:rPr>
  </w:style>
  <w:style w:type="paragraph" w:customStyle="1" w:styleId="129">
    <w:name w:val="样式 首行缩进:  2 字符"/>
    <w:basedOn w:val="1"/>
    <w:autoRedefine/>
    <w:qFormat/>
    <w:uiPriority w:val="0"/>
    <w:pPr>
      <w:spacing w:line="400" w:lineRule="exact"/>
      <w:ind w:firstLine="200" w:firstLineChars="200"/>
    </w:pPr>
    <w:rPr>
      <w:rFonts w:cs="宋体"/>
      <w:sz w:val="24"/>
    </w:rPr>
  </w:style>
  <w:style w:type="paragraph" w:customStyle="1" w:styleId="130">
    <w:name w:val="表格"/>
    <w:basedOn w:val="1"/>
    <w:autoRedefine/>
    <w:qFormat/>
    <w:uiPriority w:val="0"/>
    <w:pPr>
      <w:spacing w:line="400" w:lineRule="exact"/>
    </w:pPr>
    <w:rPr>
      <w:sz w:val="24"/>
    </w:rPr>
  </w:style>
  <w:style w:type="paragraph" w:customStyle="1" w:styleId="1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2">
    <w:name w:val="Char Char Char Char Char Char Char"/>
    <w:basedOn w:val="1"/>
    <w:autoRedefine/>
    <w:qFormat/>
    <w:uiPriority w:val="0"/>
  </w:style>
  <w:style w:type="paragraph" w:customStyle="1" w:styleId="133">
    <w:name w:val="Char Char Char11"/>
    <w:basedOn w:val="16"/>
    <w:autoRedefine/>
    <w:qFormat/>
    <w:uiPriority w:val="0"/>
    <w:pPr>
      <w:adjustRightInd/>
      <w:spacing w:line="240" w:lineRule="auto"/>
      <w:textAlignment w:val="auto"/>
    </w:pPr>
    <w:rPr>
      <w:rFonts w:ascii="Tahoma" w:hAnsi="Tahoma"/>
      <w:kern w:val="2"/>
      <w:sz w:val="24"/>
      <w:szCs w:val="24"/>
    </w:rPr>
  </w:style>
  <w:style w:type="paragraph" w:customStyle="1" w:styleId="134">
    <w:name w:val="样式1"/>
    <w:basedOn w:val="1"/>
    <w:autoRedefine/>
    <w:qFormat/>
    <w:uiPriority w:val="0"/>
    <w:pPr>
      <w:spacing w:before="120" w:after="120" w:line="300" w:lineRule="auto"/>
    </w:pPr>
    <w:rPr>
      <w:rFonts w:ascii="宋体" w:hAnsi="宋体"/>
      <w:b/>
      <w:sz w:val="24"/>
      <w:szCs w:val="20"/>
    </w:rPr>
  </w:style>
  <w:style w:type="paragraph" w:customStyle="1" w:styleId="13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6">
    <w:name w:val="Char Char Char Char Char Char Char11"/>
    <w:basedOn w:val="1"/>
    <w:autoRedefine/>
    <w:qFormat/>
    <w:uiPriority w:val="99"/>
  </w:style>
  <w:style w:type="paragraph" w:customStyle="1" w:styleId="137">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8">
    <w:name w:val="次小点说明 Char"/>
    <w:basedOn w:val="7"/>
    <w:autoRedefine/>
    <w:qFormat/>
    <w:uiPriority w:val="0"/>
    <w:pPr>
      <w:ind w:firstLine="0"/>
    </w:pPr>
    <w:rPr>
      <w:sz w:val="24"/>
      <w:szCs w:val="24"/>
    </w:rPr>
  </w:style>
  <w:style w:type="paragraph" w:customStyle="1" w:styleId="139">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14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42">
    <w:name w:val="默认段落字体 Para Char Char Char Char Char Char Char Char Char1 Char Char Char Char"/>
    <w:basedOn w:val="1"/>
    <w:autoRedefine/>
    <w:qFormat/>
    <w:uiPriority w:val="0"/>
    <w:rPr>
      <w:rFonts w:ascii="Tahoma" w:hAnsi="Tahoma"/>
      <w:sz w:val="24"/>
      <w:szCs w:val="20"/>
    </w:rPr>
  </w:style>
  <w:style w:type="paragraph" w:customStyle="1" w:styleId="143">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4">
    <w:name w:val="Char Char Char Char1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5">
    <w:name w:val="Char Char Char Char Char Char Char Char Char Char Char Char Char"/>
    <w:basedOn w:val="16"/>
    <w:autoRedefine/>
    <w:qFormat/>
    <w:uiPriority w:val="0"/>
    <w:pPr>
      <w:adjustRightInd/>
      <w:spacing w:line="240" w:lineRule="auto"/>
      <w:textAlignment w:val="auto"/>
    </w:pPr>
    <w:rPr>
      <w:rFonts w:ascii="Tahoma" w:hAnsi="Tahoma"/>
      <w:kern w:val="2"/>
      <w:sz w:val="24"/>
      <w:szCs w:val="24"/>
    </w:rPr>
  </w:style>
  <w:style w:type="paragraph" w:customStyle="1" w:styleId="146">
    <w:name w:val="Char31"/>
    <w:basedOn w:val="1"/>
    <w:autoRedefine/>
    <w:qFormat/>
    <w:uiPriority w:val="0"/>
    <w:pPr>
      <w:tabs>
        <w:tab w:val="left" w:pos="360"/>
      </w:tabs>
      <w:ind w:left="252" w:hanging="252" w:hangingChars="140"/>
    </w:pPr>
    <w:rPr>
      <w:rFonts w:ascii="宋体"/>
      <w:sz w:val="18"/>
      <w:szCs w:val="18"/>
    </w:rPr>
  </w:style>
  <w:style w:type="paragraph" w:customStyle="1" w:styleId="14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48">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49">
    <w:name w:val="Char Char Char1"/>
    <w:basedOn w:val="16"/>
    <w:autoRedefine/>
    <w:qFormat/>
    <w:uiPriority w:val="0"/>
    <w:pPr>
      <w:adjustRightInd/>
      <w:spacing w:line="240" w:lineRule="auto"/>
      <w:textAlignment w:val="auto"/>
    </w:pPr>
    <w:rPr>
      <w:rFonts w:ascii="Tahoma" w:hAnsi="Tahoma"/>
      <w:kern w:val="2"/>
      <w:sz w:val="24"/>
      <w:szCs w:val="24"/>
    </w:rPr>
  </w:style>
  <w:style w:type="paragraph" w:customStyle="1" w:styleId="150">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151">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52">
    <w:name w:val="List Paragraph1"/>
    <w:basedOn w:val="1"/>
    <w:autoRedefine/>
    <w:qFormat/>
    <w:uiPriority w:val="0"/>
    <w:pPr>
      <w:ind w:firstLine="420" w:firstLineChars="200"/>
    </w:pPr>
    <w:rPr>
      <w:rFonts w:ascii="Calibri" w:hAnsi="Calibri"/>
      <w:szCs w:val="22"/>
    </w:rPr>
  </w:style>
  <w:style w:type="paragraph" w:customStyle="1" w:styleId="153">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54">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5">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默认段落字体 Para Char"/>
    <w:basedOn w:val="1"/>
    <w:autoRedefine/>
    <w:qFormat/>
    <w:uiPriority w:val="0"/>
    <w:pPr>
      <w:adjustRightInd w:val="0"/>
      <w:spacing w:line="360" w:lineRule="auto"/>
    </w:pPr>
    <w:rPr>
      <w:kern w:val="0"/>
      <w:sz w:val="24"/>
      <w:szCs w:val="20"/>
    </w:rPr>
  </w:style>
  <w:style w:type="paragraph" w:customStyle="1" w:styleId="15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5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tgt1"/>
    <w:basedOn w:val="1"/>
    <w:autoRedefine/>
    <w:qFormat/>
    <w:uiPriority w:val="0"/>
    <w:pPr>
      <w:widowControl/>
      <w:spacing w:after="150"/>
      <w:jc w:val="left"/>
    </w:pPr>
    <w:rPr>
      <w:rFonts w:ascii="宋体" w:hAnsi="宋体" w:cs="宋体"/>
      <w:kern w:val="0"/>
      <w:sz w:val="24"/>
    </w:rPr>
  </w:style>
  <w:style w:type="paragraph" w:customStyle="1" w:styleId="160">
    <w:name w:val="样式 标题 3 + (中文) 黑体 小四 非加粗 段前: 7.8 磅 段后: 0 磅 行距: 固定值 20 磅"/>
    <w:basedOn w:val="4"/>
    <w:autoRedefine/>
    <w:qFormat/>
    <w:uiPriority w:val="99"/>
    <w:pPr>
      <w:spacing w:before="0" w:after="0" w:line="400" w:lineRule="exact"/>
    </w:pPr>
    <w:rPr>
      <w:rFonts w:eastAsia="黑体" w:cs="宋体"/>
      <w:b w:val="0"/>
      <w:bCs w:val="0"/>
      <w:sz w:val="24"/>
      <w:szCs w:val="20"/>
    </w:rPr>
  </w:style>
  <w:style w:type="paragraph" w:customStyle="1" w:styleId="16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162">
    <w:name w:val="1"/>
    <w:basedOn w:val="1"/>
    <w:next w:val="29"/>
    <w:autoRedefine/>
    <w:qFormat/>
    <w:uiPriority w:val="0"/>
    <w:rPr>
      <w:rFonts w:ascii="宋体" w:hAnsi="Courier New"/>
      <w:szCs w:val="20"/>
    </w:rPr>
  </w:style>
  <w:style w:type="paragraph" w:customStyle="1" w:styleId="163">
    <w:name w:val="Char Char Char Char Char Char Char Char Char Char Char Char Char11"/>
    <w:basedOn w:val="16"/>
    <w:autoRedefine/>
    <w:qFormat/>
    <w:uiPriority w:val="0"/>
    <w:pPr>
      <w:adjustRightInd/>
      <w:spacing w:line="240" w:lineRule="auto"/>
      <w:textAlignment w:val="auto"/>
    </w:pPr>
    <w:rPr>
      <w:rFonts w:ascii="Tahoma" w:hAnsi="Tahoma"/>
      <w:kern w:val="2"/>
      <w:sz w:val="24"/>
      <w:szCs w:val="24"/>
    </w:rPr>
  </w:style>
  <w:style w:type="paragraph" w:customStyle="1" w:styleId="164">
    <w:name w:val="2ji"/>
    <w:basedOn w:val="3"/>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5">
    <w:name w:val="2-2ji"/>
    <w:basedOn w:val="3"/>
    <w:autoRedefine/>
    <w:qFormat/>
    <w:uiPriority w:val="99"/>
    <w:pPr>
      <w:adjustRightInd w:val="0"/>
      <w:spacing w:before="0" w:after="0" w:line="360" w:lineRule="auto"/>
      <w:jc w:val="center"/>
      <w:textAlignment w:val="baseline"/>
    </w:pPr>
    <w:rPr>
      <w:rFonts w:ascii="宋体" w:hAnsi="宋体" w:eastAsia="宋体"/>
      <w:bCs w:val="0"/>
      <w:kern w:val="0"/>
      <w:sz w:val="36"/>
    </w:rPr>
  </w:style>
  <w:style w:type="paragraph" w:customStyle="1" w:styleId="166">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67">
    <w:name w:val="Char21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68">
    <w:name w:val="Char Char Char Char Char Char1 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9">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0">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1">
    <w:name w:val="修订1"/>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72">
    <w:name w:val="Char Char18"/>
    <w:autoRedefine/>
    <w:qFormat/>
    <w:uiPriority w:val="0"/>
    <w:rPr>
      <w:rFonts w:ascii="Times New Roman" w:hAnsi="Times New Roman" w:eastAsia="宋体" w:cs="Times New Roman"/>
      <w:b/>
      <w:bCs/>
      <w:sz w:val="28"/>
      <w:szCs w:val="28"/>
    </w:rPr>
  </w:style>
  <w:style w:type="character" w:customStyle="1" w:styleId="173">
    <w:name w:val="标题4 Char Char"/>
    <w:link w:val="174"/>
    <w:autoRedefine/>
    <w:qFormat/>
    <w:uiPriority w:val="99"/>
    <w:rPr>
      <w:rFonts w:ascii="Arial" w:hAnsi="Arial"/>
      <w:b/>
      <w:bCs/>
      <w:sz w:val="24"/>
      <w:szCs w:val="32"/>
    </w:rPr>
  </w:style>
  <w:style w:type="paragraph" w:customStyle="1" w:styleId="174">
    <w:name w:val="标题4"/>
    <w:basedOn w:val="3"/>
    <w:next w:val="26"/>
    <w:link w:val="173"/>
    <w:autoRedefine/>
    <w:qFormat/>
    <w:uiPriority w:val="99"/>
    <w:rPr>
      <w:rFonts w:eastAsia="宋体"/>
      <w:kern w:val="0"/>
      <w:sz w:val="24"/>
    </w:rPr>
  </w:style>
  <w:style w:type="character" w:customStyle="1" w:styleId="175">
    <w:name w:val="批注框文本 Char1"/>
    <w:autoRedefine/>
    <w:qFormat/>
    <w:uiPriority w:val="99"/>
    <w:rPr>
      <w:kern w:val="2"/>
      <w:sz w:val="18"/>
      <w:szCs w:val="18"/>
    </w:rPr>
  </w:style>
  <w:style w:type="character" w:customStyle="1" w:styleId="176">
    <w:name w:val="批注文字 Char Char"/>
    <w:autoRedefine/>
    <w:qFormat/>
    <w:uiPriority w:val="99"/>
    <w:rPr>
      <w:rFonts w:ascii="宋体" w:hAnsi="Times New Roman" w:eastAsia="宋体" w:cs="Times New Roman"/>
      <w:sz w:val="28"/>
      <w:szCs w:val="20"/>
    </w:rPr>
  </w:style>
  <w:style w:type="character" w:customStyle="1" w:styleId="177">
    <w:name w:val="日期 Char1"/>
    <w:autoRedefine/>
    <w:qFormat/>
    <w:uiPriority w:val="99"/>
    <w:rPr>
      <w:kern w:val="2"/>
      <w:sz w:val="21"/>
      <w:szCs w:val="22"/>
    </w:rPr>
  </w:style>
  <w:style w:type="character" w:customStyle="1" w:styleId="178">
    <w:name w:val="正文文本 Char1"/>
    <w:autoRedefine/>
    <w:qFormat/>
    <w:uiPriority w:val="0"/>
    <w:rPr>
      <w:kern w:val="2"/>
      <w:sz w:val="21"/>
      <w:szCs w:val="22"/>
    </w:rPr>
  </w:style>
  <w:style w:type="character" w:customStyle="1" w:styleId="179">
    <w:name w:val="文档结构图 Char1"/>
    <w:autoRedefine/>
    <w:qFormat/>
    <w:uiPriority w:val="99"/>
    <w:rPr>
      <w:rFonts w:ascii="宋体"/>
      <w:kern w:val="2"/>
      <w:sz w:val="18"/>
      <w:szCs w:val="18"/>
    </w:rPr>
  </w:style>
  <w:style w:type="character" w:customStyle="1" w:styleId="180">
    <w:name w:val="明显参考1"/>
    <w:autoRedefine/>
    <w:qFormat/>
    <w:uiPriority w:val="0"/>
    <w:rPr>
      <w:b/>
      <w:bCs/>
      <w:smallCaps/>
      <w:color w:val="C0504D"/>
      <w:spacing w:val="5"/>
      <w:u w:val="single"/>
    </w:rPr>
  </w:style>
  <w:style w:type="character" w:customStyle="1" w:styleId="181">
    <w:name w:val="明显引用 字符2"/>
    <w:link w:val="182"/>
    <w:autoRedefine/>
    <w:qFormat/>
    <w:uiPriority w:val="99"/>
    <w:rPr>
      <w:b/>
      <w:bCs/>
      <w:i/>
      <w:iCs/>
      <w:color w:val="4F81BD"/>
      <w:kern w:val="2"/>
      <w:sz w:val="21"/>
      <w:szCs w:val="22"/>
    </w:rPr>
  </w:style>
  <w:style w:type="paragraph" w:styleId="182">
    <w:name w:val="Intense Quote"/>
    <w:basedOn w:val="1"/>
    <w:next w:val="1"/>
    <w:link w:val="181"/>
    <w:autoRedefine/>
    <w:qFormat/>
    <w:uiPriority w:val="99"/>
    <w:pPr>
      <w:pBdr>
        <w:bottom w:val="single" w:color="4F81BD" w:sz="4" w:space="4"/>
      </w:pBdr>
      <w:spacing w:before="200" w:after="280"/>
      <w:ind w:left="936" w:right="936"/>
    </w:pPr>
    <w:rPr>
      <w:b/>
      <w:bCs/>
      <w:i/>
      <w:iCs/>
      <w:color w:val="4F81BD"/>
      <w:szCs w:val="22"/>
    </w:rPr>
  </w:style>
  <w:style w:type="character" w:customStyle="1" w:styleId="183">
    <w:name w:val="st1"/>
    <w:basedOn w:val="58"/>
    <w:autoRedefine/>
    <w:qFormat/>
    <w:uiPriority w:val="0"/>
  </w:style>
  <w:style w:type="character" w:customStyle="1" w:styleId="184">
    <w:name w:val="明显强调1"/>
    <w:autoRedefine/>
    <w:qFormat/>
    <w:uiPriority w:val="0"/>
    <w:rPr>
      <w:b/>
      <w:bCs/>
      <w:i/>
      <w:iCs/>
      <w:color w:val="4F81BD"/>
    </w:rPr>
  </w:style>
  <w:style w:type="character" w:customStyle="1" w:styleId="185">
    <w:name w:val="书籍标题1"/>
    <w:autoRedefine/>
    <w:qFormat/>
    <w:uiPriority w:val="0"/>
    <w:rPr>
      <w:b/>
      <w:bCs/>
      <w:smallCaps/>
      <w:spacing w:val="5"/>
    </w:rPr>
  </w:style>
  <w:style w:type="character" w:customStyle="1" w:styleId="186">
    <w:name w:val="副标题 字符2"/>
    <w:link w:val="41"/>
    <w:autoRedefine/>
    <w:qFormat/>
    <w:uiPriority w:val="11"/>
    <w:rPr>
      <w:rFonts w:ascii="Cambria" w:hAnsi="Cambria"/>
      <w:b/>
      <w:bCs/>
      <w:kern w:val="28"/>
      <w:sz w:val="32"/>
      <w:szCs w:val="32"/>
    </w:rPr>
  </w:style>
  <w:style w:type="character" w:customStyle="1" w:styleId="187">
    <w:name w:val="不明显参考1"/>
    <w:autoRedefine/>
    <w:qFormat/>
    <w:uiPriority w:val="0"/>
    <w:rPr>
      <w:smallCaps/>
      <w:color w:val="C0504D"/>
      <w:u w:val="single"/>
    </w:rPr>
  </w:style>
  <w:style w:type="character" w:customStyle="1" w:styleId="188">
    <w:name w:val="textcontents"/>
    <w:autoRedefine/>
    <w:qFormat/>
    <w:uiPriority w:val="99"/>
    <w:rPr>
      <w:rFonts w:cs="Times New Roman"/>
    </w:rPr>
  </w:style>
  <w:style w:type="character" w:customStyle="1" w:styleId="189">
    <w:name w:val="标题5 Char Char"/>
    <w:link w:val="190"/>
    <w:autoRedefine/>
    <w:qFormat/>
    <w:uiPriority w:val="99"/>
    <w:rPr>
      <w:rFonts w:ascii="Arial" w:hAnsi="Arial"/>
      <w:b/>
      <w:bCs/>
      <w:sz w:val="24"/>
      <w:szCs w:val="32"/>
    </w:rPr>
  </w:style>
  <w:style w:type="paragraph" w:customStyle="1" w:styleId="190">
    <w:name w:val="标题5"/>
    <w:basedOn w:val="4"/>
    <w:link w:val="189"/>
    <w:autoRedefine/>
    <w:qFormat/>
    <w:uiPriority w:val="99"/>
    <w:rPr>
      <w:rFonts w:ascii="Arial" w:hAnsi="Arial"/>
      <w:kern w:val="0"/>
      <w:sz w:val="24"/>
    </w:rPr>
  </w:style>
  <w:style w:type="character" w:customStyle="1" w:styleId="191">
    <w:name w:val="不明显强调1"/>
    <w:autoRedefine/>
    <w:qFormat/>
    <w:uiPriority w:val="0"/>
    <w:rPr>
      <w:i/>
      <w:iCs/>
      <w:color w:val="808080"/>
    </w:rPr>
  </w:style>
  <w:style w:type="character" w:customStyle="1" w:styleId="192">
    <w:name w:val="批注主题 Char1"/>
    <w:autoRedefine/>
    <w:qFormat/>
    <w:uiPriority w:val="99"/>
    <w:rPr>
      <w:b/>
      <w:bCs/>
      <w:kern w:val="2"/>
      <w:sz w:val="21"/>
      <w:szCs w:val="22"/>
    </w:rPr>
  </w:style>
  <w:style w:type="character" w:customStyle="1" w:styleId="193">
    <w:name w:val="引用 字符2"/>
    <w:link w:val="194"/>
    <w:autoRedefine/>
    <w:qFormat/>
    <w:uiPriority w:val="99"/>
    <w:rPr>
      <w:i/>
      <w:iCs/>
      <w:color w:val="000000"/>
      <w:kern w:val="2"/>
      <w:sz w:val="21"/>
      <w:szCs w:val="22"/>
    </w:rPr>
  </w:style>
  <w:style w:type="paragraph" w:styleId="194">
    <w:name w:val="Quote"/>
    <w:basedOn w:val="1"/>
    <w:next w:val="1"/>
    <w:link w:val="193"/>
    <w:autoRedefine/>
    <w:qFormat/>
    <w:uiPriority w:val="99"/>
    <w:rPr>
      <w:i/>
      <w:iCs/>
      <w:color w:val="000000"/>
      <w:szCs w:val="22"/>
    </w:rPr>
  </w:style>
  <w:style w:type="character" w:customStyle="1" w:styleId="195">
    <w:name w:val="副标题 Char1"/>
    <w:autoRedefine/>
    <w:qFormat/>
    <w:uiPriority w:val="0"/>
    <w:rPr>
      <w:rFonts w:ascii="Cambria" w:hAnsi="Cambria" w:cs="Times New Roman"/>
      <w:b/>
      <w:bCs/>
      <w:kern w:val="28"/>
      <w:sz w:val="32"/>
      <w:szCs w:val="32"/>
    </w:rPr>
  </w:style>
  <w:style w:type="character" w:customStyle="1" w:styleId="196">
    <w:name w:val="引用 Char1"/>
    <w:autoRedefine/>
    <w:qFormat/>
    <w:uiPriority w:val="99"/>
    <w:rPr>
      <w:i/>
      <w:iCs/>
      <w:color w:val="000000"/>
      <w:kern w:val="2"/>
      <w:sz w:val="21"/>
      <w:szCs w:val="24"/>
    </w:rPr>
  </w:style>
  <w:style w:type="paragraph" w:customStyle="1" w:styleId="197">
    <w:name w:val="flNote"/>
    <w:basedOn w:val="1"/>
    <w:autoRedefine/>
    <w:qFormat/>
    <w:uiPriority w:val="99"/>
    <w:pPr>
      <w:adjustRightInd w:val="0"/>
      <w:spacing w:before="320" w:after="160" w:line="360" w:lineRule="atLeast"/>
      <w:jc w:val="center"/>
      <w:textAlignment w:val="baseline"/>
    </w:pPr>
    <w:rPr>
      <w:rFonts w:ascii="Arial" w:eastAsia="黑体"/>
      <w:kern w:val="0"/>
      <w:sz w:val="30"/>
      <w:szCs w:val="20"/>
    </w:rPr>
  </w:style>
  <w:style w:type="paragraph" w:styleId="198">
    <w:name w:val="No Spacing"/>
    <w:link w:val="36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99">
    <w:name w:val="明显引用 Char1"/>
    <w:autoRedefine/>
    <w:qFormat/>
    <w:uiPriority w:val="99"/>
    <w:rPr>
      <w:b/>
      <w:bCs/>
      <w:i/>
      <w:iCs/>
      <w:color w:val="4F81BD"/>
      <w:kern w:val="2"/>
      <w:sz w:val="21"/>
      <w:szCs w:val="24"/>
    </w:rPr>
  </w:style>
  <w:style w:type="paragraph" w:customStyle="1" w:styleId="200">
    <w:name w:val="空半行"/>
    <w:basedOn w:val="1"/>
    <w:autoRedefine/>
    <w:qFormat/>
    <w:uiPriority w:val="99"/>
    <w:pPr>
      <w:adjustRightInd w:val="0"/>
      <w:spacing w:line="120" w:lineRule="exact"/>
      <w:textAlignment w:val="baseline"/>
    </w:pPr>
    <w:rPr>
      <w:rFonts w:eastAsia="仿宋_GB2312"/>
      <w:color w:val="FFFFFF"/>
      <w:kern w:val="0"/>
      <w:sz w:val="30"/>
      <w:szCs w:val="20"/>
    </w:rPr>
  </w:style>
  <w:style w:type="paragraph" w:customStyle="1" w:styleId="201">
    <w:name w:val="4"/>
    <w:basedOn w:val="1"/>
    <w:next w:val="29"/>
    <w:autoRedefine/>
    <w:qFormat/>
    <w:uiPriority w:val="0"/>
    <w:rPr>
      <w:rFonts w:ascii="宋体" w:hAnsi="Courier New" w:cs="Courier New"/>
      <w:szCs w:val="21"/>
    </w:rPr>
  </w:style>
  <w:style w:type="paragraph" w:customStyle="1" w:styleId="202">
    <w:name w:val="Char Char Char Char1"/>
    <w:basedOn w:val="1"/>
    <w:autoRedefine/>
    <w:qFormat/>
    <w:uiPriority w:val="0"/>
    <w:pPr>
      <w:ind w:firstLine="200" w:firstLineChars="200"/>
    </w:pPr>
    <w:rPr>
      <w:rFonts w:ascii="宋体" w:hAnsi="宋体" w:cs="宋体"/>
      <w:sz w:val="24"/>
    </w:rPr>
  </w:style>
  <w:style w:type="character" w:customStyle="1" w:styleId="203">
    <w:name w:val="Heading 3 Char1"/>
    <w:autoRedefine/>
    <w:qFormat/>
    <w:uiPriority w:val="99"/>
    <w:rPr>
      <w:rFonts w:eastAsia="宋体"/>
      <w:b/>
      <w:bCs/>
      <w:kern w:val="2"/>
      <w:sz w:val="24"/>
      <w:szCs w:val="32"/>
      <w:lang w:val="en-US" w:eastAsia="zh-CN" w:bidi="ar-SA"/>
    </w:rPr>
  </w:style>
  <w:style w:type="character" w:customStyle="1" w:styleId="204">
    <w:name w:val="Balloon Text Char"/>
    <w:autoRedefine/>
    <w:qFormat/>
    <w:uiPriority w:val="99"/>
    <w:rPr>
      <w:sz w:val="18"/>
      <w:lang w:bidi="ar-SA"/>
    </w:rPr>
  </w:style>
  <w:style w:type="character" w:customStyle="1" w:styleId="205">
    <w:name w:val="Char Char20"/>
    <w:autoRedefine/>
    <w:qFormat/>
    <w:uiPriority w:val="99"/>
    <w:rPr>
      <w:rFonts w:ascii="Times New Roman" w:hAnsi="Times New Roman" w:eastAsia="宋体" w:cs="Times New Roman"/>
      <w:b/>
      <w:bCs/>
      <w:sz w:val="24"/>
      <w:szCs w:val="32"/>
    </w:rPr>
  </w:style>
  <w:style w:type="character" w:customStyle="1" w:styleId="206">
    <w:name w:val="Footer Char"/>
    <w:autoRedefine/>
    <w:qFormat/>
    <w:uiPriority w:val="99"/>
    <w:rPr>
      <w:rFonts w:eastAsia="宋体"/>
      <w:kern w:val="2"/>
      <w:sz w:val="18"/>
      <w:szCs w:val="18"/>
      <w:lang w:val="en-US" w:eastAsia="zh-CN" w:bidi="ar-SA"/>
    </w:rPr>
  </w:style>
  <w:style w:type="character" w:customStyle="1" w:styleId="207">
    <w:name w:val="Body Text Indent 2 Char"/>
    <w:autoRedefine/>
    <w:qFormat/>
    <w:uiPriority w:val="99"/>
    <w:rPr>
      <w:rFonts w:eastAsia="宋体"/>
      <w:kern w:val="2"/>
      <w:sz w:val="21"/>
      <w:szCs w:val="24"/>
      <w:lang w:val="en-US" w:eastAsia="zh-CN" w:bidi="ar-SA"/>
    </w:rPr>
  </w:style>
  <w:style w:type="character" w:customStyle="1" w:styleId="208">
    <w:name w:val="Comment Text Char"/>
    <w:autoRedefine/>
    <w:qFormat/>
    <w:uiPriority w:val="99"/>
    <w:rPr>
      <w:rFonts w:cs="Times New Roman"/>
      <w:sz w:val="24"/>
      <w:szCs w:val="24"/>
    </w:rPr>
  </w:style>
  <w:style w:type="character" w:customStyle="1" w:styleId="209">
    <w:name w:val="Char Char23"/>
    <w:autoRedefine/>
    <w:qFormat/>
    <w:uiPriority w:val="99"/>
    <w:rPr>
      <w:rFonts w:eastAsia="宋体"/>
      <w:b/>
      <w:bCs/>
      <w:kern w:val="44"/>
      <w:sz w:val="32"/>
      <w:szCs w:val="44"/>
      <w:lang w:val="en-US" w:eastAsia="zh-CN" w:bidi="ar-SA"/>
    </w:rPr>
  </w:style>
  <w:style w:type="character" w:customStyle="1" w:styleId="210">
    <w:name w:val="标题 Char2"/>
    <w:autoRedefine/>
    <w:qFormat/>
    <w:uiPriority w:val="99"/>
    <w:rPr>
      <w:rFonts w:ascii="Cambria" w:hAnsi="Cambria" w:eastAsia="宋体" w:cs="Times New Roman"/>
      <w:b/>
      <w:bCs/>
      <w:sz w:val="32"/>
      <w:szCs w:val="32"/>
    </w:rPr>
  </w:style>
  <w:style w:type="character" w:customStyle="1" w:styleId="211">
    <w:name w:val="Char Char22"/>
    <w:autoRedefine/>
    <w:qFormat/>
    <w:uiPriority w:val="99"/>
    <w:rPr>
      <w:rFonts w:ascii="Times New Roman" w:hAnsi="Times New Roman" w:eastAsia="宋体" w:cs="Times New Roman"/>
      <w:b/>
      <w:bCs/>
      <w:kern w:val="44"/>
      <w:sz w:val="32"/>
      <w:szCs w:val="44"/>
    </w:rPr>
  </w:style>
  <w:style w:type="character" w:customStyle="1" w:styleId="212">
    <w:name w:val="Heading 1 Char"/>
    <w:autoRedefine/>
    <w:qFormat/>
    <w:uiPriority w:val="99"/>
    <w:rPr>
      <w:rFonts w:eastAsia="宋体"/>
      <w:b/>
      <w:bCs/>
      <w:kern w:val="44"/>
      <w:sz w:val="32"/>
      <w:szCs w:val="44"/>
      <w:lang w:val="en-US" w:eastAsia="zh-CN" w:bidi="ar-SA"/>
    </w:rPr>
  </w:style>
  <w:style w:type="character" w:customStyle="1" w:styleId="213">
    <w:name w:val="Char Char9"/>
    <w:autoRedefine/>
    <w:qFormat/>
    <w:uiPriority w:val="99"/>
    <w:rPr>
      <w:rFonts w:eastAsia="宋体"/>
      <w:b/>
      <w:bCs/>
      <w:kern w:val="44"/>
      <w:sz w:val="32"/>
      <w:szCs w:val="44"/>
      <w:lang w:val="en-US" w:eastAsia="zh-CN" w:bidi="ar-SA"/>
    </w:rPr>
  </w:style>
  <w:style w:type="character" w:customStyle="1" w:styleId="214">
    <w:name w:val="Char Char21"/>
    <w:autoRedefine/>
    <w:qFormat/>
    <w:uiPriority w:val="0"/>
    <w:rPr>
      <w:rFonts w:ascii="Arial" w:hAnsi="Arial" w:eastAsia="黑体" w:cs="Times New Roman"/>
      <w:b/>
      <w:bCs/>
      <w:sz w:val="32"/>
      <w:szCs w:val="32"/>
    </w:rPr>
  </w:style>
  <w:style w:type="character" w:customStyle="1" w:styleId="215">
    <w:name w:val="Comment Subject Char"/>
    <w:autoRedefine/>
    <w:qFormat/>
    <w:uiPriority w:val="99"/>
    <w:rPr>
      <w:b/>
      <w:sz w:val="24"/>
      <w:lang w:bidi="ar-SA"/>
    </w:rPr>
  </w:style>
  <w:style w:type="character" w:customStyle="1" w:styleId="216">
    <w:name w:val="Title Char"/>
    <w:autoRedefine/>
    <w:qFormat/>
    <w:uiPriority w:val="99"/>
    <w:rPr>
      <w:rFonts w:ascii="Cambria" w:hAnsi="Cambria"/>
      <w:b/>
      <w:sz w:val="32"/>
      <w:lang w:bidi="ar-SA"/>
    </w:rPr>
  </w:style>
  <w:style w:type="character" w:customStyle="1" w:styleId="217">
    <w:name w:val="Heading 5 Char"/>
    <w:autoRedefine/>
    <w:qFormat/>
    <w:uiPriority w:val="99"/>
    <w:rPr>
      <w:rFonts w:eastAsia="宋体"/>
      <w:b/>
      <w:bCs/>
      <w:kern w:val="2"/>
      <w:sz w:val="28"/>
      <w:szCs w:val="28"/>
      <w:lang w:val="en-US" w:eastAsia="zh-CN" w:bidi="ar-SA"/>
    </w:rPr>
  </w:style>
  <w:style w:type="character" w:customStyle="1" w:styleId="218">
    <w:name w:val="Body Text Indent Char"/>
    <w:autoRedefine/>
    <w:qFormat/>
    <w:uiPriority w:val="99"/>
    <w:rPr>
      <w:rFonts w:ascii="宋体" w:hAnsi="宋体" w:eastAsia="宋体"/>
      <w:kern w:val="2"/>
      <w:sz w:val="21"/>
      <w:lang w:val="en-US" w:eastAsia="zh-CN" w:bidi="ar-SA"/>
    </w:rPr>
  </w:style>
  <w:style w:type="character" w:customStyle="1" w:styleId="219">
    <w:name w:val="Footnote Text Char"/>
    <w:autoRedefine/>
    <w:qFormat/>
    <w:uiPriority w:val="99"/>
    <w:rPr>
      <w:rFonts w:eastAsia="宋体"/>
      <w:sz w:val="18"/>
      <w:lang w:val="en-US" w:eastAsia="zh-CN" w:bidi="ar-SA"/>
    </w:rPr>
  </w:style>
  <w:style w:type="character" w:customStyle="1" w:styleId="220">
    <w:name w:val="批注文字 Char1"/>
    <w:autoRedefine/>
    <w:qFormat/>
    <w:uiPriority w:val="99"/>
    <w:rPr>
      <w:rFonts w:ascii="Times New Roman" w:hAnsi="Times New Roman" w:eastAsia="宋体" w:cs="Times New Roman"/>
      <w:szCs w:val="24"/>
    </w:rPr>
  </w:style>
  <w:style w:type="character" w:customStyle="1" w:styleId="221">
    <w:name w:val="标题 Char1"/>
    <w:autoRedefine/>
    <w:qFormat/>
    <w:uiPriority w:val="99"/>
    <w:rPr>
      <w:rFonts w:ascii="Cambria" w:hAnsi="Cambria" w:eastAsia="宋体" w:cs="Times New Roman"/>
      <w:b/>
      <w:bCs/>
      <w:sz w:val="32"/>
      <w:szCs w:val="32"/>
    </w:rPr>
  </w:style>
  <w:style w:type="character" w:customStyle="1" w:styleId="222">
    <w:name w:val="脚注文本 字符2"/>
    <w:link w:val="43"/>
    <w:autoRedefine/>
    <w:qFormat/>
    <w:uiPriority w:val="99"/>
    <w:rPr>
      <w:sz w:val="18"/>
    </w:rPr>
  </w:style>
  <w:style w:type="character" w:customStyle="1" w:styleId="223">
    <w:name w:val="Document Map Char"/>
    <w:autoRedefine/>
    <w:qFormat/>
    <w:uiPriority w:val="99"/>
    <w:rPr>
      <w:rFonts w:eastAsia="宋体"/>
      <w:kern w:val="2"/>
      <w:sz w:val="21"/>
      <w:szCs w:val="24"/>
      <w:lang w:val="en-US" w:eastAsia="zh-CN" w:bidi="ar-SA"/>
    </w:rPr>
  </w:style>
  <w:style w:type="character" w:customStyle="1" w:styleId="224">
    <w:name w:val="Date Char"/>
    <w:autoRedefine/>
    <w:qFormat/>
    <w:uiPriority w:val="99"/>
    <w:rPr>
      <w:rFonts w:eastAsia="宋体"/>
      <w:kern w:val="2"/>
      <w:sz w:val="21"/>
      <w:szCs w:val="24"/>
      <w:lang w:val="en-US" w:eastAsia="zh-CN" w:bidi="ar-SA"/>
    </w:rPr>
  </w:style>
  <w:style w:type="character" w:customStyle="1" w:styleId="225">
    <w:name w:val="Char Char181"/>
    <w:autoRedefine/>
    <w:qFormat/>
    <w:uiPriority w:val="99"/>
    <w:rPr>
      <w:b/>
      <w:bCs/>
      <w:kern w:val="44"/>
      <w:sz w:val="44"/>
      <w:szCs w:val="44"/>
    </w:rPr>
  </w:style>
  <w:style w:type="character" w:customStyle="1" w:styleId="226">
    <w:name w:val="Header Char"/>
    <w:autoRedefine/>
    <w:qFormat/>
    <w:uiPriority w:val="99"/>
    <w:rPr>
      <w:rFonts w:eastAsia="宋体"/>
      <w:kern w:val="2"/>
      <w:sz w:val="18"/>
      <w:szCs w:val="18"/>
      <w:lang w:val="en-US" w:eastAsia="zh-CN" w:bidi="ar-SA"/>
    </w:rPr>
  </w:style>
  <w:style w:type="character" w:customStyle="1" w:styleId="227">
    <w:name w:val="Char Char19"/>
    <w:autoRedefine/>
    <w:qFormat/>
    <w:uiPriority w:val="99"/>
    <w:rPr>
      <w:rFonts w:ascii="Arial" w:hAnsi="Arial" w:eastAsia="宋体" w:cs="Times New Roman"/>
      <w:b/>
      <w:bCs/>
      <w:szCs w:val="28"/>
    </w:rPr>
  </w:style>
  <w:style w:type="character" w:customStyle="1" w:styleId="228">
    <w:name w:val="批注文字 Char2"/>
    <w:autoRedefine/>
    <w:qFormat/>
    <w:uiPriority w:val="0"/>
    <w:rPr>
      <w:kern w:val="2"/>
      <w:sz w:val="21"/>
      <w:szCs w:val="24"/>
      <w:lang w:bidi="ar-SA"/>
    </w:rPr>
  </w:style>
  <w:style w:type="character" w:customStyle="1" w:styleId="229">
    <w:name w:val="Plain Text Char"/>
    <w:autoRedefine/>
    <w:qFormat/>
    <w:uiPriority w:val="99"/>
    <w:rPr>
      <w:rFonts w:ascii="宋体" w:hAnsi="Courier New" w:eastAsia="宋体"/>
      <w:sz w:val="24"/>
      <w:lang w:bidi="ar-SA"/>
    </w:rPr>
  </w:style>
  <w:style w:type="character" w:customStyle="1" w:styleId="230">
    <w:name w:val="Heading 2 Char"/>
    <w:autoRedefine/>
    <w:qFormat/>
    <w:uiPriority w:val="99"/>
    <w:rPr>
      <w:rFonts w:ascii="Arial" w:hAnsi="Arial" w:eastAsia="黑体"/>
      <w:b/>
      <w:bCs/>
      <w:kern w:val="2"/>
      <w:sz w:val="32"/>
      <w:szCs w:val="32"/>
      <w:lang w:val="en-US" w:eastAsia="zh-CN" w:bidi="ar-SA"/>
    </w:rPr>
  </w:style>
  <w:style w:type="character" w:customStyle="1" w:styleId="231">
    <w:name w:val="Heading 3 Char"/>
    <w:autoRedefine/>
    <w:qFormat/>
    <w:uiPriority w:val="99"/>
    <w:rPr>
      <w:rFonts w:cs="Times New Roman"/>
      <w:b/>
      <w:bCs/>
      <w:kern w:val="2"/>
      <w:sz w:val="32"/>
      <w:szCs w:val="32"/>
    </w:rPr>
  </w:style>
  <w:style w:type="character" w:customStyle="1" w:styleId="232">
    <w:name w:val="Comment Text Char1"/>
    <w:autoRedefine/>
    <w:qFormat/>
    <w:uiPriority w:val="99"/>
    <w:rPr>
      <w:sz w:val="24"/>
      <w:lang w:bidi="ar-SA"/>
    </w:rPr>
  </w:style>
  <w:style w:type="character" w:customStyle="1" w:styleId="233">
    <w:name w:val="Char Char24"/>
    <w:autoRedefine/>
    <w:qFormat/>
    <w:uiPriority w:val="99"/>
    <w:rPr>
      <w:rFonts w:eastAsia="宋体"/>
      <w:b/>
      <w:bCs/>
      <w:kern w:val="44"/>
      <w:sz w:val="32"/>
      <w:szCs w:val="44"/>
      <w:lang w:val="en-US" w:eastAsia="zh-CN" w:bidi="ar-SA"/>
    </w:rPr>
  </w:style>
  <w:style w:type="character" w:customStyle="1" w:styleId="234">
    <w:name w:val="Char Char91"/>
    <w:autoRedefine/>
    <w:qFormat/>
    <w:uiPriority w:val="99"/>
    <w:rPr>
      <w:rFonts w:eastAsia="宋体"/>
      <w:b/>
      <w:bCs/>
      <w:kern w:val="44"/>
      <w:sz w:val="32"/>
      <w:szCs w:val="44"/>
      <w:lang w:val="en-US" w:eastAsia="zh-CN" w:bidi="ar-SA"/>
    </w:rPr>
  </w:style>
  <w:style w:type="character" w:customStyle="1" w:styleId="235">
    <w:name w:val="Char Char6"/>
    <w:autoRedefine/>
    <w:qFormat/>
    <w:uiPriority w:val="99"/>
    <w:rPr>
      <w:rFonts w:eastAsia="宋体"/>
      <w:b/>
      <w:bCs/>
      <w:kern w:val="44"/>
      <w:sz w:val="32"/>
      <w:szCs w:val="44"/>
      <w:lang w:val="en-US" w:eastAsia="zh-CN" w:bidi="ar-SA"/>
    </w:rPr>
  </w:style>
  <w:style w:type="character" w:customStyle="1" w:styleId="236">
    <w:name w:val="Heading 4 Char"/>
    <w:autoRedefine/>
    <w:qFormat/>
    <w:uiPriority w:val="99"/>
    <w:rPr>
      <w:rFonts w:ascii="Arial" w:hAnsi="Arial" w:eastAsia="宋体"/>
      <w:b/>
      <w:bCs/>
      <w:kern w:val="2"/>
      <w:sz w:val="21"/>
      <w:szCs w:val="28"/>
      <w:lang w:val="en-US" w:eastAsia="zh-CN" w:bidi="ar-SA"/>
    </w:rPr>
  </w:style>
  <w:style w:type="paragraph" w:customStyle="1" w:styleId="237">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列出段落1"/>
    <w:basedOn w:val="1"/>
    <w:autoRedefine/>
    <w:qFormat/>
    <w:uiPriority w:val="0"/>
    <w:pPr>
      <w:ind w:firstLine="420" w:firstLineChars="200"/>
    </w:pPr>
    <w:rPr>
      <w:rFonts w:ascii="Calibri" w:hAnsi="Calibri"/>
      <w:szCs w:val="22"/>
    </w:rPr>
  </w:style>
  <w:style w:type="character" w:customStyle="1" w:styleId="239">
    <w:name w:val="明显引用 Char2"/>
    <w:autoRedefine/>
    <w:qFormat/>
    <w:uiPriority w:val="30"/>
    <w:rPr>
      <w:rFonts w:ascii="Times New Roman" w:hAnsi="Times New Roman" w:eastAsia="宋体" w:cs="Times New Roman"/>
      <w:b/>
      <w:bCs/>
      <w:i/>
      <w:iCs/>
      <w:color w:val="4F81BD"/>
      <w:szCs w:val="24"/>
    </w:rPr>
  </w:style>
  <w:style w:type="character" w:customStyle="1" w:styleId="240">
    <w:name w:val="脚注文本 Char1"/>
    <w:autoRedefine/>
    <w:qFormat/>
    <w:uiPriority w:val="99"/>
    <w:rPr>
      <w:kern w:val="2"/>
      <w:sz w:val="18"/>
      <w:szCs w:val="18"/>
    </w:rPr>
  </w:style>
  <w:style w:type="character" w:customStyle="1" w:styleId="241">
    <w:name w:val="批注框文本 Char2"/>
    <w:autoRedefine/>
    <w:semiHidden/>
    <w:qFormat/>
    <w:uiPriority w:val="99"/>
    <w:rPr>
      <w:rFonts w:ascii="Times New Roman" w:hAnsi="Times New Roman" w:eastAsia="宋体" w:cs="Times New Roman"/>
      <w:sz w:val="18"/>
      <w:szCs w:val="18"/>
    </w:rPr>
  </w:style>
  <w:style w:type="character" w:customStyle="1" w:styleId="242">
    <w:name w:val="标题 Char3"/>
    <w:autoRedefine/>
    <w:qFormat/>
    <w:uiPriority w:val="10"/>
    <w:rPr>
      <w:rFonts w:ascii="Cambria" w:hAnsi="Cambria" w:eastAsia="宋体" w:cs="Times New Roman"/>
      <w:b/>
      <w:bCs/>
      <w:sz w:val="32"/>
      <w:szCs w:val="32"/>
    </w:rPr>
  </w:style>
  <w:style w:type="character" w:customStyle="1" w:styleId="243">
    <w:name w:val="文档结构图 Char2"/>
    <w:autoRedefine/>
    <w:semiHidden/>
    <w:qFormat/>
    <w:uiPriority w:val="99"/>
    <w:rPr>
      <w:rFonts w:ascii="宋体" w:hAnsi="Times New Roman" w:eastAsia="宋体" w:cs="Times New Roman"/>
      <w:sz w:val="18"/>
      <w:szCs w:val="18"/>
    </w:rPr>
  </w:style>
  <w:style w:type="character" w:customStyle="1" w:styleId="244">
    <w:name w:val="页脚 Char1"/>
    <w:autoRedefine/>
    <w:semiHidden/>
    <w:qFormat/>
    <w:uiPriority w:val="99"/>
    <w:rPr>
      <w:rFonts w:ascii="Times New Roman" w:hAnsi="Times New Roman" w:eastAsia="宋体" w:cs="Times New Roman"/>
      <w:sz w:val="18"/>
      <w:szCs w:val="18"/>
    </w:rPr>
  </w:style>
  <w:style w:type="character" w:customStyle="1" w:styleId="245">
    <w:name w:val="正文文本 Char2"/>
    <w:autoRedefine/>
    <w:semiHidden/>
    <w:qFormat/>
    <w:uiPriority w:val="99"/>
    <w:rPr>
      <w:rFonts w:ascii="Times New Roman" w:hAnsi="Times New Roman" w:eastAsia="宋体" w:cs="Times New Roman"/>
      <w:szCs w:val="24"/>
    </w:rPr>
  </w:style>
  <w:style w:type="character" w:customStyle="1" w:styleId="246">
    <w:name w:val="批注文字 Char3"/>
    <w:autoRedefine/>
    <w:semiHidden/>
    <w:qFormat/>
    <w:uiPriority w:val="99"/>
    <w:rPr>
      <w:rFonts w:ascii="Times New Roman" w:hAnsi="Times New Roman" w:eastAsia="宋体" w:cs="Times New Roman"/>
      <w:szCs w:val="24"/>
    </w:rPr>
  </w:style>
  <w:style w:type="character" w:customStyle="1" w:styleId="247">
    <w:name w:val="批注主题 Char2"/>
    <w:autoRedefine/>
    <w:semiHidden/>
    <w:qFormat/>
    <w:uiPriority w:val="99"/>
    <w:rPr>
      <w:rFonts w:ascii="Times New Roman" w:hAnsi="Times New Roman" w:eastAsia="宋体" w:cs="Times New Roman"/>
      <w:b/>
      <w:bCs/>
      <w:szCs w:val="24"/>
    </w:rPr>
  </w:style>
  <w:style w:type="character" w:customStyle="1" w:styleId="248">
    <w:name w:val="日期 Char2"/>
    <w:autoRedefine/>
    <w:semiHidden/>
    <w:qFormat/>
    <w:uiPriority w:val="99"/>
    <w:rPr>
      <w:rFonts w:ascii="Times New Roman" w:hAnsi="Times New Roman" w:eastAsia="宋体" w:cs="Times New Roman"/>
      <w:szCs w:val="24"/>
    </w:rPr>
  </w:style>
  <w:style w:type="paragraph" w:customStyle="1" w:styleId="249">
    <w:name w:val="p0"/>
    <w:basedOn w:val="1"/>
    <w:autoRedefine/>
    <w:qFormat/>
    <w:uiPriority w:val="99"/>
    <w:pPr>
      <w:widowControl/>
    </w:pPr>
    <w:rPr>
      <w:rFonts w:ascii="Calibri" w:hAnsi="Calibri" w:cs="宋体"/>
      <w:kern w:val="0"/>
      <w:szCs w:val="21"/>
    </w:rPr>
  </w:style>
  <w:style w:type="paragraph" w:customStyle="1" w:styleId="250">
    <w:name w:val="_Style 37"/>
    <w:basedOn w:val="1"/>
    <w:next w:val="1"/>
    <w:autoRedefine/>
    <w:qFormat/>
    <w:uiPriority w:val="99"/>
  </w:style>
  <w:style w:type="character" w:customStyle="1" w:styleId="251">
    <w:name w:val="页眉 Char1"/>
    <w:autoRedefine/>
    <w:semiHidden/>
    <w:qFormat/>
    <w:uiPriority w:val="99"/>
    <w:rPr>
      <w:rFonts w:ascii="Times New Roman" w:hAnsi="Times New Roman" w:eastAsia="宋体" w:cs="Times New Roman"/>
      <w:sz w:val="18"/>
      <w:szCs w:val="18"/>
    </w:rPr>
  </w:style>
  <w:style w:type="character" w:customStyle="1" w:styleId="252">
    <w:name w:val="纯文本 Char2"/>
    <w:autoRedefine/>
    <w:semiHidden/>
    <w:qFormat/>
    <w:uiPriority w:val="99"/>
    <w:rPr>
      <w:rFonts w:ascii="宋体" w:hAnsi="Courier New" w:eastAsia="宋体" w:cs="Courier New"/>
      <w:szCs w:val="21"/>
    </w:rPr>
  </w:style>
  <w:style w:type="character" w:customStyle="1" w:styleId="253">
    <w:name w:val="正文文本缩进 Char1"/>
    <w:autoRedefine/>
    <w:semiHidden/>
    <w:qFormat/>
    <w:uiPriority w:val="99"/>
    <w:rPr>
      <w:rFonts w:ascii="Times New Roman" w:hAnsi="Times New Roman" w:eastAsia="宋体" w:cs="Times New Roman"/>
      <w:szCs w:val="24"/>
    </w:rPr>
  </w:style>
  <w:style w:type="character" w:customStyle="1" w:styleId="254">
    <w:name w:val="引用 Char2"/>
    <w:autoRedefine/>
    <w:qFormat/>
    <w:uiPriority w:val="29"/>
    <w:rPr>
      <w:rFonts w:ascii="Times New Roman" w:hAnsi="Times New Roman" w:eastAsia="宋体" w:cs="Times New Roman"/>
      <w:i/>
      <w:iCs/>
      <w:color w:val="000000"/>
      <w:szCs w:val="24"/>
    </w:rPr>
  </w:style>
  <w:style w:type="paragraph" w:customStyle="1" w:styleId="255">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56">
    <w:name w:val="正文文本缩进 2 Char1"/>
    <w:autoRedefine/>
    <w:semiHidden/>
    <w:qFormat/>
    <w:uiPriority w:val="99"/>
    <w:rPr>
      <w:rFonts w:ascii="Times New Roman" w:hAnsi="Times New Roman" w:eastAsia="宋体" w:cs="Times New Roman"/>
      <w:szCs w:val="24"/>
    </w:rPr>
  </w:style>
  <w:style w:type="paragraph" w:customStyle="1" w:styleId="2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59">
    <w:name w:val="批注文字 字符"/>
    <w:autoRedefine/>
    <w:qFormat/>
    <w:locked/>
    <w:uiPriority w:val="0"/>
    <w:rPr>
      <w:rFonts w:eastAsia="宋体"/>
      <w:kern w:val="2"/>
      <w:sz w:val="24"/>
      <w:szCs w:val="24"/>
      <w:lang w:val="en-US" w:eastAsia="zh-CN"/>
    </w:rPr>
  </w:style>
  <w:style w:type="character" w:customStyle="1" w:styleId="260">
    <w:name w:val="标题 7 字符"/>
    <w:autoRedefine/>
    <w:qFormat/>
    <w:uiPriority w:val="0"/>
    <w:rPr>
      <w:b/>
      <w:bCs/>
      <w:kern w:val="2"/>
      <w:sz w:val="24"/>
      <w:szCs w:val="24"/>
    </w:rPr>
  </w:style>
  <w:style w:type="character" w:customStyle="1" w:styleId="261">
    <w:name w:val="明显引用 字符"/>
    <w:autoRedefine/>
    <w:qFormat/>
    <w:uiPriority w:val="0"/>
    <w:rPr>
      <w:b/>
      <w:bCs/>
      <w:i/>
      <w:iCs/>
      <w:color w:val="4F81BD"/>
      <w:kern w:val="2"/>
      <w:sz w:val="21"/>
      <w:szCs w:val="22"/>
    </w:rPr>
  </w:style>
  <w:style w:type="character" w:customStyle="1" w:styleId="262">
    <w:name w:val="标题 1 字符"/>
    <w:autoRedefine/>
    <w:qFormat/>
    <w:uiPriority w:val="99"/>
    <w:rPr>
      <w:b/>
      <w:bCs/>
      <w:kern w:val="44"/>
      <w:sz w:val="44"/>
      <w:szCs w:val="44"/>
    </w:rPr>
  </w:style>
  <w:style w:type="character" w:customStyle="1" w:styleId="263">
    <w:name w:val="日期 字符"/>
    <w:autoRedefine/>
    <w:qFormat/>
    <w:uiPriority w:val="0"/>
    <w:rPr>
      <w:rFonts w:ascii="宋体" w:hAnsi="Times New Roman"/>
      <w:sz w:val="28"/>
    </w:rPr>
  </w:style>
  <w:style w:type="character" w:customStyle="1" w:styleId="264">
    <w:name w:val="页眉 字符"/>
    <w:autoRedefine/>
    <w:qFormat/>
    <w:uiPriority w:val="99"/>
    <w:rPr>
      <w:kern w:val="2"/>
      <w:sz w:val="18"/>
      <w:szCs w:val="18"/>
    </w:rPr>
  </w:style>
  <w:style w:type="character" w:customStyle="1" w:styleId="265">
    <w:name w:val="文档结构图 字符"/>
    <w:autoRedefine/>
    <w:qFormat/>
    <w:uiPriority w:val="99"/>
    <w:rPr>
      <w:rFonts w:ascii="Times New Roman" w:hAnsi="Times New Roman"/>
      <w:szCs w:val="24"/>
      <w:shd w:val="clear" w:color="auto" w:fill="000080"/>
    </w:rPr>
  </w:style>
  <w:style w:type="character" w:customStyle="1" w:styleId="266">
    <w:name w:val="引用 字符"/>
    <w:autoRedefine/>
    <w:qFormat/>
    <w:uiPriority w:val="0"/>
    <w:rPr>
      <w:i/>
      <w:iCs/>
      <w:color w:val="000000"/>
      <w:kern w:val="2"/>
      <w:sz w:val="21"/>
      <w:szCs w:val="22"/>
    </w:rPr>
  </w:style>
  <w:style w:type="character" w:customStyle="1" w:styleId="267">
    <w:name w:val="标题 5 字符"/>
    <w:autoRedefine/>
    <w:qFormat/>
    <w:uiPriority w:val="0"/>
    <w:rPr>
      <w:b/>
      <w:bCs/>
      <w:kern w:val="2"/>
      <w:sz w:val="28"/>
      <w:szCs w:val="28"/>
    </w:rPr>
  </w:style>
  <w:style w:type="character" w:customStyle="1" w:styleId="268">
    <w:name w:val="正文文本 字符"/>
    <w:autoRedefine/>
    <w:qFormat/>
    <w:uiPriority w:val="0"/>
    <w:rPr>
      <w:rFonts w:ascii="Times New Roman" w:hAnsi="Times New Roman"/>
    </w:rPr>
  </w:style>
  <w:style w:type="character" w:customStyle="1" w:styleId="269">
    <w:name w:val="批注框文本 字符"/>
    <w:autoRedefine/>
    <w:qFormat/>
    <w:uiPriority w:val="99"/>
    <w:rPr>
      <w:rFonts w:ascii="宋体" w:hAnsi="Times New Roman"/>
      <w:sz w:val="18"/>
      <w:szCs w:val="18"/>
    </w:rPr>
  </w:style>
  <w:style w:type="character" w:customStyle="1" w:styleId="270">
    <w:name w:val="标题 8 字符"/>
    <w:autoRedefine/>
    <w:qFormat/>
    <w:uiPriority w:val="0"/>
    <w:rPr>
      <w:rFonts w:ascii="Cambria" w:hAnsi="Cambria" w:eastAsia="宋体" w:cs="Times New Roman"/>
      <w:kern w:val="2"/>
      <w:sz w:val="24"/>
      <w:szCs w:val="24"/>
    </w:rPr>
  </w:style>
  <w:style w:type="character" w:customStyle="1" w:styleId="271">
    <w:name w:val="批注主题 字符"/>
    <w:autoRedefine/>
    <w:qFormat/>
    <w:uiPriority w:val="99"/>
    <w:rPr>
      <w:rFonts w:ascii="宋体" w:hAnsi="Times New Roman"/>
      <w:b/>
      <w:bCs/>
      <w:sz w:val="28"/>
    </w:rPr>
  </w:style>
  <w:style w:type="character" w:customStyle="1" w:styleId="272">
    <w:name w:val="标题 4 字符"/>
    <w:autoRedefine/>
    <w:qFormat/>
    <w:uiPriority w:val="0"/>
    <w:rPr>
      <w:rFonts w:ascii="Cambria" w:hAnsi="Cambria" w:eastAsia="宋体" w:cs="Times New Roman"/>
      <w:b/>
      <w:bCs/>
      <w:kern w:val="2"/>
      <w:sz w:val="28"/>
      <w:szCs w:val="28"/>
    </w:rPr>
  </w:style>
  <w:style w:type="character" w:customStyle="1" w:styleId="273">
    <w:name w:val="标题 9 字符"/>
    <w:autoRedefine/>
    <w:qFormat/>
    <w:uiPriority w:val="0"/>
    <w:rPr>
      <w:rFonts w:ascii="Cambria" w:hAnsi="Cambria" w:eastAsia="宋体" w:cs="Times New Roman"/>
      <w:kern w:val="2"/>
      <w:sz w:val="21"/>
      <w:szCs w:val="21"/>
    </w:rPr>
  </w:style>
  <w:style w:type="character" w:customStyle="1" w:styleId="274">
    <w:name w:val="标题 2 字符"/>
    <w:autoRedefine/>
    <w:qFormat/>
    <w:uiPriority w:val="9"/>
    <w:rPr>
      <w:rFonts w:ascii="Cambria" w:hAnsi="Cambria" w:eastAsia="宋体" w:cs="Times New Roman"/>
      <w:b/>
      <w:bCs/>
      <w:kern w:val="2"/>
      <w:sz w:val="32"/>
      <w:szCs w:val="32"/>
    </w:rPr>
  </w:style>
  <w:style w:type="character" w:customStyle="1" w:styleId="275">
    <w:name w:val="标题 3 字符"/>
    <w:autoRedefine/>
    <w:qFormat/>
    <w:uiPriority w:val="0"/>
    <w:rPr>
      <w:b/>
      <w:bCs/>
      <w:kern w:val="2"/>
      <w:sz w:val="32"/>
      <w:szCs w:val="32"/>
    </w:rPr>
  </w:style>
  <w:style w:type="character" w:customStyle="1" w:styleId="276">
    <w:name w:val="标题 字符"/>
    <w:autoRedefine/>
    <w:qFormat/>
    <w:uiPriority w:val="99"/>
    <w:rPr>
      <w:rFonts w:ascii="Cambria" w:hAnsi="Cambria" w:cs="Times New Roman"/>
      <w:b/>
      <w:bCs/>
      <w:kern w:val="2"/>
      <w:sz w:val="32"/>
      <w:szCs w:val="32"/>
    </w:rPr>
  </w:style>
  <w:style w:type="character" w:customStyle="1" w:styleId="277">
    <w:name w:val="标题 6 字符"/>
    <w:autoRedefine/>
    <w:qFormat/>
    <w:uiPriority w:val="0"/>
    <w:rPr>
      <w:rFonts w:ascii="Cambria" w:hAnsi="Cambria" w:eastAsia="宋体" w:cs="Times New Roman"/>
      <w:b/>
      <w:bCs/>
      <w:kern w:val="2"/>
      <w:sz w:val="24"/>
      <w:szCs w:val="24"/>
    </w:rPr>
  </w:style>
  <w:style w:type="character" w:customStyle="1" w:styleId="278">
    <w:name w:val="副标题 字符"/>
    <w:autoRedefine/>
    <w:qFormat/>
    <w:uiPriority w:val="11"/>
    <w:rPr>
      <w:rFonts w:ascii="Cambria" w:hAnsi="Cambria" w:cs="Times New Roman"/>
      <w:b/>
      <w:bCs/>
      <w:kern w:val="28"/>
      <w:sz w:val="32"/>
      <w:szCs w:val="32"/>
    </w:rPr>
  </w:style>
  <w:style w:type="character" w:customStyle="1" w:styleId="279">
    <w:name w:val="页脚 字符"/>
    <w:autoRedefine/>
    <w:qFormat/>
    <w:uiPriority w:val="99"/>
    <w:rPr>
      <w:kern w:val="2"/>
      <w:sz w:val="18"/>
      <w:szCs w:val="18"/>
    </w:rPr>
  </w:style>
  <w:style w:type="character" w:customStyle="1" w:styleId="280">
    <w:name w:val="不明显参考11"/>
    <w:autoRedefine/>
    <w:qFormat/>
    <w:uiPriority w:val="99"/>
    <w:rPr>
      <w:smallCaps/>
      <w:color w:val="auto"/>
      <w:u w:val="single"/>
    </w:rPr>
  </w:style>
  <w:style w:type="character" w:customStyle="1" w:styleId="281">
    <w:name w:val="明显参考11"/>
    <w:autoRedefine/>
    <w:qFormat/>
    <w:uiPriority w:val="99"/>
    <w:rPr>
      <w:b/>
      <w:bCs/>
      <w:smallCaps/>
      <w:color w:val="auto"/>
      <w:spacing w:val="5"/>
      <w:u w:val="single"/>
    </w:rPr>
  </w:style>
  <w:style w:type="character" w:customStyle="1" w:styleId="282">
    <w:name w:val="明显强调11"/>
    <w:qFormat/>
    <w:uiPriority w:val="99"/>
    <w:rPr>
      <w:b/>
      <w:bCs/>
      <w:i/>
      <w:iCs/>
      <w:color w:val="4F81BD"/>
    </w:rPr>
  </w:style>
  <w:style w:type="character" w:customStyle="1" w:styleId="283">
    <w:name w:val="书籍标题11"/>
    <w:qFormat/>
    <w:uiPriority w:val="99"/>
    <w:rPr>
      <w:b/>
      <w:bCs/>
      <w:smallCaps/>
      <w:spacing w:val="5"/>
    </w:rPr>
  </w:style>
  <w:style w:type="character" w:customStyle="1" w:styleId="284">
    <w:name w:val="不明显强调11"/>
    <w:autoRedefine/>
    <w:qFormat/>
    <w:uiPriority w:val="99"/>
    <w:rPr>
      <w:i/>
      <w:iCs/>
      <w:color w:val="808080"/>
    </w:rPr>
  </w:style>
  <w:style w:type="paragraph" w:customStyle="1" w:styleId="285">
    <w:name w:val="TOC 标题11"/>
    <w:basedOn w:val="2"/>
    <w:next w:val="1"/>
    <w:autoRedefine/>
    <w:qFormat/>
    <w:uiPriority w:val="99"/>
    <w:pPr>
      <w:outlineLvl w:val="9"/>
    </w:pPr>
    <w:rPr>
      <w:rFonts w:ascii="Calibri" w:hAnsi="Calibri" w:eastAsia="黑体" w:cs="Calibri"/>
      <w:lang w:val="zh-CN"/>
    </w:rPr>
  </w:style>
  <w:style w:type="paragraph" w:customStyle="1" w:styleId="286">
    <w:name w:val="列出段落2"/>
    <w:basedOn w:val="1"/>
    <w:autoRedefine/>
    <w:qFormat/>
    <w:uiPriority w:val="99"/>
    <w:pPr>
      <w:ind w:firstLine="420" w:firstLineChars="200"/>
    </w:pPr>
    <w:rPr>
      <w:rFonts w:ascii="Calibri" w:hAnsi="Calibri" w:cs="Calibri"/>
      <w:szCs w:val="21"/>
    </w:rPr>
  </w:style>
  <w:style w:type="paragraph" w:customStyle="1" w:styleId="287">
    <w:name w:val="引用1"/>
    <w:basedOn w:val="1"/>
    <w:next w:val="1"/>
    <w:qFormat/>
    <w:uiPriority w:val="99"/>
    <w:rPr>
      <w:i/>
      <w:iCs/>
      <w:color w:val="000000"/>
      <w:kern w:val="0"/>
      <w:sz w:val="20"/>
      <w:szCs w:val="20"/>
      <w:lang w:val="zh-CN"/>
    </w:rPr>
  </w:style>
  <w:style w:type="paragraph" w:customStyle="1" w:styleId="28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9">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90">
    <w:name w:val="明显引用1"/>
    <w:basedOn w:val="1"/>
    <w:next w:val="1"/>
    <w:autoRedefine/>
    <w:qFormat/>
    <w:uiPriority w:val="99"/>
    <w:pPr>
      <w:pBdr>
        <w:bottom w:val="single" w:color="4F81BD" w:sz="4" w:space="4"/>
      </w:pBdr>
      <w:spacing w:before="200" w:after="280"/>
      <w:ind w:left="936" w:right="936"/>
    </w:pPr>
    <w:rPr>
      <w:b/>
      <w:bCs/>
      <w:i/>
      <w:iCs/>
      <w:color w:val="4F81BD"/>
      <w:kern w:val="0"/>
      <w:sz w:val="20"/>
      <w:szCs w:val="20"/>
      <w:lang w:val="zh-CN"/>
    </w:rPr>
  </w:style>
  <w:style w:type="character" w:customStyle="1" w:styleId="291">
    <w:name w:val="纯文本 字符"/>
    <w:autoRedefine/>
    <w:qFormat/>
    <w:uiPriority w:val="0"/>
    <w:rPr>
      <w:rFonts w:ascii="宋体" w:hAnsi="Courier New" w:cs="宋体"/>
      <w:kern w:val="2"/>
      <w:sz w:val="24"/>
      <w:szCs w:val="24"/>
    </w:rPr>
  </w:style>
  <w:style w:type="character" w:customStyle="1" w:styleId="292">
    <w:name w:val="批注文字 字符1"/>
    <w:qFormat/>
    <w:uiPriority w:val="0"/>
    <w:rPr>
      <w:kern w:val="2"/>
      <w:sz w:val="21"/>
      <w:szCs w:val="22"/>
    </w:rPr>
  </w:style>
  <w:style w:type="paragraph" w:customStyle="1" w:styleId="293">
    <w:name w:val="正文_0_0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4">
    <w:name w:val="未处理的提及1"/>
    <w:autoRedefine/>
    <w:semiHidden/>
    <w:unhideWhenUsed/>
    <w:qFormat/>
    <w:uiPriority w:val="99"/>
    <w:rPr>
      <w:color w:val="605E5C"/>
      <w:shd w:val="clear" w:color="auto" w:fill="E1DFDD"/>
    </w:rPr>
  </w:style>
  <w:style w:type="character" w:customStyle="1" w:styleId="295">
    <w:name w:val="纯文本 字符1"/>
    <w:autoRedefine/>
    <w:qFormat/>
    <w:uiPriority w:val="99"/>
    <w:rPr>
      <w:rFonts w:ascii="宋体" w:hAnsi="Courier New" w:eastAsia="宋体" w:cs="Courier New"/>
      <w:kern w:val="2"/>
      <w:sz w:val="21"/>
      <w:szCs w:val="21"/>
      <w:lang w:val="en-US" w:eastAsia="zh-CN" w:bidi="ar-SA"/>
    </w:rPr>
  </w:style>
  <w:style w:type="character" w:customStyle="1" w:styleId="296">
    <w:name w:val="页眉 字符1"/>
    <w:autoRedefine/>
    <w:qFormat/>
    <w:uiPriority w:val="99"/>
    <w:rPr>
      <w:sz w:val="18"/>
      <w:szCs w:val="18"/>
    </w:rPr>
  </w:style>
  <w:style w:type="character" w:customStyle="1" w:styleId="297">
    <w:name w:val="文档结构图 字符1"/>
    <w:autoRedefine/>
    <w:qFormat/>
    <w:uiPriority w:val="99"/>
    <w:rPr>
      <w:shd w:val="clear" w:color="auto" w:fill="000080"/>
    </w:rPr>
  </w:style>
  <w:style w:type="character" w:customStyle="1" w:styleId="298">
    <w:name w:val="批注文字 字符2"/>
    <w:autoRedefine/>
    <w:qFormat/>
    <w:uiPriority w:val="0"/>
    <w:rPr>
      <w:szCs w:val="24"/>
    </w:rPr>
  </w:style>
  <w:style w:type="character" w:customStyle="1" w:styleId="299">
    <w:name w:val="标题 字符1"/>
    <w:autoRedefine/>
    <w:qFormat/>
    <w:uiPriority w:val="99"/>
    <w:rPr>
      <w:sz w:val="30"/>
      <w:szCs w:val="24"/>
    </w:rPr>
  </w:style>
  <w:style w:type="character" w:customStyle="1" w:styleId="300">
    <w:name w:val="标题 6 字符1"/>
    <w:autoRedefine/>
    <w:qFormat/>
    <w:uiPriority w:val="0"/>
    <w:rPr>
      <w:rFonts w:ascii="Arial" w:hAnsi="Arial" w:eastAsia="黑体" w:cs="Times New Roman"/>
      <w:b/>
      <w:sz w:val="24"/>
      <w:szCs w:val="24"/>
    </w:rPr>
  </w:style>
  <w:style w:type="character" w:customStyle="1" w:styleId="301">
    <w:name w:val="正文文本 字符1"/>
    <w:autoRedefine/>
    <w:qFormat/>
    <w:uiPriority w:val="99"/>
    <w:rPr>
      <w:sz w:val="24"/>
      <w:szCs w:val="24"/>
    </w:rPr>
  </w:style>
  <w:style w:type="character" w:customStyle="1" w:styleId="302">
    <w:name w:val="批注主题 字符1"/>
    <w:qFormat/>
    <w:uiPriority w:val="99"/>
    <w:rPr>
      <w:b/>
      <w:bCs/>
      <w:szCs w:val="24"/>
    </w:rPr>
  </w:style>
  <w:style w:type="character" w:customStyle="1" w:styleId="303">
    <w:name w:val="标题 1 字符1"/>
    <w:autoRedefine/>
    <w:qFormat/>
    <w:uiPriority w:val="0"/>
    <w:rPr>
      <w:rFonts w:ascii="Times New Roman" w:hAnsi="Times New Roman" w:eastAsia="宋体" w:cs="Times New Roman"/>
      <w:b/>
      <w:bCs/>
      <w:kern w:val="44"/>
      <w:sz w:val="44"/>
      <w:szCs w:val="44"/>
    </w:rPr>
  </w:style>
  <w:style w:type="character" w:customStyle="1" w:styleId="304">
    <w:name w:val="标题 2 字符1"/>
    <w:autoRedefine/>
    <w:qFormat/>
    <w:uiPriority w:val="0"/>
    <w:rPr>
      <w:rFonts w:ascii="Arial" w:hAnsi="Arial" w:eastAsia="黑体" w:cs="Times New Roman"/>
      <w:b/>
      <w:bCs/>
      <w:sz w:val="32"/>
      <w:szCs w:val="32"/>
    </w:rPr>
  </w:style>
  <w:style w:type="character" w:customStyle="1" w:styleId="305">
    <w:name w:val="标题 4 字符1"/>
    <w:autoRedefine/>
    <w:qFormat/>
    <w:uiPriority w:val="0"/>
    <w:rPr>
      <w:rFonts w:ascii="Arial" w:hAnsi="Arial" w:eastAsia="黑体" w:cs="Times New Roman"/>
      <w:kern w:val="0"/>
      <w:sz w:val="28"/>
      <w:szCs w:val="20"/>
    </w:rPr>
  </w:style>
  <w:style w:type="character" w:customStyle="1" w:styleId="306">
    <w:name w:val="页脚 字符1"/>
    <w:autoRedefine/>
    <w:qFormat/>
    <w:uiPriority w:val="99"/>
    <w:rPr>
      <w:sz w:val="18"/>
      <w:szCs w:val="18"/>
    </w:rPr>
  </w:style>
  <w:style w:type="character" w:customStyle="1" w:styleId="307">
    <w:name w:val="日期 字符1"/>
    <w:qFormat/>
    <w:uiPriority w:val="99"/>
    <w:rPr>
      <w:rFonts w:ascii="宋体" w:hAnsi="Courier New" w:cs="Courier New"/>
      <w:szCs w:val="21"/>
    </w:rPr>
  </w:style>
  <w:style w:type="character" w:customStyle="1" w:styleId="308">
    <w:name w:val="正文文本缩进 字符1"/>
    <w:autoRedefine/>
    <w:qFormat/>
    <w:uiPriority w:val="99"/>
    <w:rPr>
      <w:rFonts w:ascii="仿宋_GB2312" w:eastAsia="仿宋_GB2312"/>
      <w:sz w:val="32"/>
    </w:rPr>
  </w:style>
  <w:style w:type="character" w:customStyle="1" w:styleId="309">
    <w:name w:val="标题 8 字符1"/>
    <w:qFormat/>
    <w:uiPriority w:val="0"/>
    <w:rPr>
      <w:rFonts w:ascii="Arial" w:hAnsi="Arial" w:eastAsia="黑体" w:cs="Times New Roman"/>
      <w:sz w:val="24"/>
      <w:szCs w:val="24"/>
    </w:rPr>
  </w:style>
  <w:style w:type="character" w:customStyle="1" w:styleId="310">
    <w:name w:val="正文文本缩进 2 字符1"/>
    <w:autoRedefine/>
    <w:qFormat/>
    <w:uiPriority w:val="99"/>
    <w:rPr>
      <w:sz w:val="32"/>
    </w:rPr>
  </w:style>
  <w:style w:type="character" w:customStyle="1" w:styleId="311">
    <w:name w:val="z-窗体顶端 字符1"/>
    <w:qFormat/>
    <w:uiPriority w:val="0"/>
    <w:rPr>
      <w:rFonts w:ascii="Arial"/>
      <w:vanish/>
      <w:sz w:val="16"/>
      <w:szCs w:val="24"/>
    </w:rPr>
  </w:style>
  <w:style w:type="character" w:customStyle="1" w:styleId="312">
    <w:name w:val="正文文本 3 字符1"/>
    <w:autoRedefine/>
    <w:qFormat/>
    <w:uiPriority w:val="0"/>
    <w:rPr>
      <w:b/>
      <w:bCs/>
      <w:sz w:val="24"/>
      <w:szCs w:val="24"/>
    </w:rPr>
  </w:style>
  <w:style w:type="character" w:customStyle="1" w:styleId="313">
    <w:name w:val="标题 7 字符1"/>
    <w:autoRedefine/>
    <w:qFormat/>
    <w:uiPriority w:val="0"/>
    <w:rPr>
      <w:rFonts w:ascii="Times New Roman" w:hAnsi="Times New Roman" w:eastAsia="宋体" w:cs="Times New Roman"/>
      <w:b/>
      <w:sz w:val="24"/>
      <w:szCs w:val="24"/>
    </w:rPr>
  </w:style>
  <w:style w:type="character" w:customStyle="1" w:styleId="314">
    <w:name w:val="正文文本首行缩进 2 字符1"/>
    <w:autoRedefine/>
    <w:qFormat/>
    <w:uiPriority w:val="0"/>
    <w:rPr>
      <w:kern w:val="2"/>
      <w:sz w:val="21"/>
      <w:szCs w:val="24"/>
    </w:rPr>
  </w:style>
  <w:style w:type="character" w:customStyle="1" w:styleId="315">
    <w:name w:val="正文文本缩进 3 字符1"/>
    <w:qFormat/>
    <w:uiPriority w:val="0"/>
    <w:rPr>
      <w:sz w:val="16"/>
      <w:szCs w:val="16"/>
    </w:rPr>
  </w:style>
  <w:style w:type="character" w:customStyle="1" w:styleId="316">
    <w:name w:val="标题 5 字符1"/>
    <w:qFormat/>
    <w:uiPriority w:val="0"/>
    <w:rPr>
      <w:rFonts w:ascii="Times New Roman" w:hAnsi="Times New Roman" w:eastAsia="宋体" w:cs="Times New Roman"/>
      <w:b/>
      <w:sz w:val="28"/>
      <w:szCs w:val="24"/>
    </w:rPr>
  </w:style>
  <w:style w:type="character" w:customStyle="1" w:styleId="317">
    <w:name w:val="批注框文本 字符1"/>
    <w:autoRedefine/>
    <w:qFormat/>
    <w:uiPriority w:val="99"/>
    <w:rPr>
      <w:sz w:val="18"/>
      <w:szCs w:val="18"/>
    </w:rPr>
  </w:style>
  <w:style w:type="character" w:customStyle="1" w:styleId="318">
    <w:name w:val="标题 3 字符1"/>
    <w:qFormat/>
    <w:uiPriority w:val="0"/>
    <w:rPr>
      <w:rFonts w:ascii="Times New Roman" w:hAnsi="Times New Roman" w:eastAsia="宋体" w:cs="Times New Roman"/>
      <w:b/>
      <w:bCs/>
      <w:sz w:val="32"/>
      <w:szCs w:val="32"/>
    </w:rPr>
  </w:style>
  <w:style w:type="character" w:customStyle="1" w:styleId="319">
    <w:name w:val="标题 9 字符1"/>
    <w:autoRedefine/>
    <w:qFormat/>
    <w:uiPriority w:val="0"/>
    <w:rPr>
      <w:rFonts w:ascii="Arial" w:hAnsi="Arial" w:eastAsia="黑体" w:cs="Times New Roman"/>
      <w:szCs w:val="24"/>
    </w:rPr>
  </w:style>
  <w:style w:type="character" w:customStyle="1" w:styleId="320">
    <w:name w:val="正文文本首行缩进 字符1"/>
    <w:qFormat/>
    <w:uiPriority w:val="0"/>
    <w:rPr>
      <w:kern w:val="2"/>
      <w:sz w:val="21"/>
      <w:szCs w:val="24"/>
    </w:rPr>
  </w:style>
  <w:style w:type="character" w:customStyle="1" w:styleId="321">
    <w:name w:val="正文文本 2 字符1"/>
    <w:autoRedefine/>
    <w:qFormat/>
    <w:uiPriority w:val="0"/>
    <w:rPr>
      <w:szCs w:val="24"/>
    </w:rPr>
  </w:style>
  <w:style w:type="character" w:customStyle="1" w:styleId="322">
    <w:name w:val="HTML 预设格式 字符1"/>
    <w:autoRedefine/>
    <w:qFormat/>
    <w:uiPriority w:val="0"/>
    <w:rPr>
      <w:rFonts w:ascii="黑体" w:hAnsi="Courier New" w:eastAsia="黑体" w:cs="Courier New"/>
    </w:rPr>
  </w:style>
  <w:style w:type="paragraph" w:customStyle="1" w:styleId="323">
    <w:name w:val="3"/>
    <w:basedOn w:val="1"/>
    <w:next w:val="120"/>
    <w:qFormat/>
    <w:uiPriority w:val="0"/>
    <w:pPr>
      <w:ind w:firstLine="420" w:firstLineChars="200"/>
    </w:pPr>
    <w:rPr>
      <w:rFonts w:ascii="Calibri" w:hAnsi="Calibri"/>
      <w:szCs w:val="22"/>
    </w:rPr>
  </w:style>
  <w:style w:type="character" w:customStyle="1" w:styleId="324">
    <w:name w:val="正文文本缩进 2 字符"/>
    <w:autoRedefine/>
    <w:qFormat/>
    <w:uiPriority w:val="99"/>
    <w:rPr>
      <w:rFonts w:ascii="Times New Roman" w:hAnsi="Times New Roman" w:eastAsia="宋体" w:cs="Times New Roman"/>
      <w:szCs w:val="24"/>
    </w:rPr>
  </w:style>
  <w:style w:type="character" w:customStyle="1" w:styleId="325">
    <w:name w:val="正文文本缩进 字符"/>
    <w:autoRedefine/>
    <w:qFormat/>
    <w:uiPriority w:val="99"/>
    <w:rPr>
      <w:rFonts w:ascii="Times New Roman" w:hAnsi="Times New Roman" w:eastAsia="宋体" w:cs="Times New Roman"/>
      <w:szCs w:val="24"/>
    </w:rPr>
  </w:style>
  <w:style w:type="character" w:customStyle="1" w:styleId="326">
    <w:name w:val="正文文本 3 字符"/>
    <w:autoRedefine/>
    <w:semiHidden/>
    <w:qFormat/>
    <w:uiPriority w:val="99"/>
    <w:rPr>
      <w:rFonts w:ascii="Times New Roman" w:hAnsi="Times New Roman" w:eastAsia="宋体" w:cs="Times New Roman"/>
      <w:sz w:val="16"/>
      <w:szCs w:val="16"/>
    </w:rPr>
  </w:style>
  <w:style w:type="character" w:customStyle="1" w:styleId="327">
    <w:name w:val="HTML 预设格式 字符"/>
    <w:autoRedefine/>
    <w:qFormat/>
    <w:uiPriority w:val="0"/>
    <w:rPr>
      <w:rFonts w:ascii="Courier New" w:hAnsi="Courier New" w:eastAsia="宋体" w:cs="Courier New"/>
      <w:sz w:val="20"/>
      <w:szCs w:val="20"/>
    </w:rPr>
  </w:style>
  <w:style w:type="character" w:customStyle="1" w:styleId="328">
    <w:name w:val="正文文本 2 字符"/>
    <w:autoRedefine/>
    <w:semiHidden/>
    <w:qFormat/>
    <w:uiPriority w:val="99"/>
    <w:rPr>
      <w:rFonts w:ascii="Times New Roman" w:hAnsi="Times New Roman" w:eastAsia="宋体" w:cs="Times New Roman"/>
      <w:szCs w:val="24"/>
    </w:rPr>
  </w:style>
  <w:style w:type="character" w:customStyle="1" w:styleId="329">
    <w:name w:val="正文文本缩进 3 字符"/>
    <w:autoRedefine/>
    <w:qFormat/>
    <w:uiPriority w:val="0"/>
    <w:rPr>
      <w:rFonts w:ascii="Times New Roman" w:hAnsi="Times New Roman" w:eastAsia="宋体" w:cs="Times New Roman"/>
      <w:sz w:val="16"/>
      <w:szCs w:val="16"/>
    </w:rPr>
  </w:style>
  <w:style w:type="paragraph" w:customStyle="1" w:styleId="330">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331">
    <w:name w:val="Char Char Char2"/>
    <w:basedOn w:val="16"/>
    <w:qFormat/>
    <w:uiPriority w:val="0"/>
    <w:pPr>
      <w:adjustRightInd/>
      <w:spacing w:line="240" w:lineRule="auto"/>
      <w:textAlignment w:val="auto"/>
    </w:pPr>
    <w:rPr>
      <w:rFonts w:ascii="Tahoma" w:hAnsi="Tahoma" w:eastAsia="等线"/>
      <w:kern w:val="2"/>
      <w:sz w:val="24"/>
      <w:szCs w:val="24"/>
    </w:rPr>
  </w:style>
  <w:style w:type="paragraph" w:customStyle="1" w:styleId="332">
    <w:name w:val="Char Char Char Char Char Char Char1"/>
    <w:basedOn w:val="1"/>
    <w:qFormat/>
    <w:uiPriority w:val="99"/>
  </w:style>
  <w:style w:type="paragraph" w:customStyle="1" w:styleId="333">
    <w:name w:val="Char Char Char Char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4">
    <w:name w:val="Char4"/>
    <w:basedOn w:val="1"/>
    <w:autoRedefine/>
    <w:qFormat/>
    <w:uiPriority w:val="0"/>
    <w:pPr>
      <w:tabs>
        <w:tab w:val="left" w:pos="360"/>
      </w:tabs>
      <w:ind w:left="252" w:hanging="252" w:hangingChars="140"/>
    </w:pPr>
    <w:rPr>
      <w:rFonts w:ascii="宋体"/>
      <w:sz w:val="18"/>
      <w:szCs w:val="18"/>
    </w:rPr>
  </w:style>
  <w:style w:type="character" w:customStyle="1" w:styleId="335">
    <w:name w:val="z-窗体顶端 字符"/>
    <w:autoRedefine/>
    <w:semiHidden/>
    <w:qFormat/>
    <w:uiPriority w:val="99"/>
    <w:rPr>
      <w:rFonts w:ascii="Arial" w:hAnsi="Arial" w:eastAsia="宋体" w:cs="Arial"/>
      <w:vanish/>
      <w:sz w:val="16"/>
      <w:szCs w:val="16"/>
    </w:rPr>
  </w:style>
  <w:style w:type="paragraph" w:customStyle="1" w:styleId="336">
    <w:name w:val="Char Char Char Char Char Char Char Char Char Char Char Char Char1"/>
    <w:basedOn w:val="16"/>
    <w:qFormat/>
    <w:uiPriority w:val="0"/>
    <w:pPr>
      <w:adjustRightInd/>
      <w:spacing w:line="240" w:lineRule="auto"/>
      <w:textAlignment w:val="auto"/>
    </w:pPr>
    <w:rPr>
      <w:rFonts w:ascii="Tahoma" w:hAnsi="Tahoma" w:eastAsia="等线"/>
      <w:kern w:val="2"/>
      <w:sz w:val="24"/>
      <w:szCs w:val="24"/>
    </w:rPr>
  </w:style>
  <w:style w:type="paragraph" w:customStyle="1" w:styleId="337">
    <w:name w:val="Char2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39">
    <w:name w:val="明显引用 字符1"/>
    <w:autoRedefine/>
    <w:qFormat/>
    <w:uiPriority w:val="99"/>
    <w:rPr>
      <w:b/>
      <w:bCs/>
      <w:i/>
      <w:iCs/>
      <w:color w:val="4F81BD"/>
    </w:rPr>
  </w:style>
  <w:style w:type="character" w:customStyle="1" w:styleId="340">
    <w:name w:val="副标题 字符1"/>
    <w:qFormat/>
    <w:uiPriority w:val="11"/>
    <w:rPr>
      <w:rFonts w:ascii="Cambria" w:hAnsi="Cambria"/>
      <w:b/>
      <w:bCs/>
      <w:kern w:val="28"/>
      <w:sz w:val="32"/>
      <w:szCs w:val="32"/>
    </w:rPr>
  </w:style>
  <w:style w:type="character" w:customStyle="1" w:styleId="341">
    <w:name w:val="引用 字符1"/>
    <w:autoRedefine/>
    <w:qFormat/>
    <w:uiPriority w:val="99"/>
    <w:rPr>
      <w:i/>
      <w:iCs/>
      <w:color w:val="000000"/>
    </w:rPr>
  </w:style>
  <w:style w:type="character" w:customStyle="1" w:styleId="342">
    <w:name w:val="脚注文本 字符1"/>
    <w:qFormat/>
    <w:uiPriority w:val="99"/>
    <w:rPr>
      <w:sz w:val="18"/>
    </w:rPr>
  </w:style>
  <w:style w:type="character" w:customStyle="1" w:styleId="343">
    <w:name w:val="脚注文本 字符"/>
    <w:autoRedefine/>
    <w:qFormat/>
    <w:uiPriority w:val="99"/>
    <w:rPr>
      <w:rFonts w:ascii="Times New Roman" w:hAnsi="Times New Roman" w:eastAsia="宋体" w:cs="Times New Roman"/>
      <w:sz w:val="18"/>
      <w:szCs w:val="18"/>
    </w:rPr>
  </w:style>
  <w:style w:type="character" w:customStyle="1" w:styleId="344">
    <w:name w:val="正文文本首行缩进 2 字符"/>
    <w:autoRedefine/>
    <w:semiHidden/>
    <w:qFormat/>
    <w:uiPriority w:val="99"/>
  </w:style>
  <w:style w:type="character" w:customStyle="1" w:styleId="345">
    <w:name w:val="正文文本首行缩进 字符"/>
    <w:autoRedefine/>
    <w:semiHidden/>
    <w:qFormat/>
    <w:uiPriority w:val="99"/>
    <w:rPr>
      <w:rFonts w:ascii="Times New Roman" w:hAnsi="Times New Roman" w:eastAsia="宋体" w:cs="Times New Roman"/>
      <w:szCs w:val="24"/>
    </w:rPr>
  </w:style>
  <w:style w:type="character" w:customStyle="1" w:styleId="346">
    <w:name w:val="正文缩进 字符"/>
    <w:link w:val="7"/>
    <w:autoRedefine/>
    <w:qFormat/>
    <w:uiPriority w:val="0"/>
    <w:rPr>
      <w:kern w:val="2"/>
      <w:sz w:val="21"/>
    </w:rPr>
  </w:style>
  <w:style w:type="paragraph" w:customStyle="1" w:styleId="347">
    <w:name w:val="Body text|1"/>
    <w:basedOn w:val="1"/>
    <w:autoRedefine/>
    <w:qFormat/>
    <w:uiPriority w:val="0"/>
    <w:pPr>
      <w:spacing w:line="360" w:lineRule="auto"/>
      <w:ind w:firstLine="400"/>
    </w:pPr>
    <w:rPr>
      <w:rFonts w:ascii="宋体" w:hAnsi="宋体" w:cs="宋体"/>
      <w:szCs w:val="20"/>
      <w:lang w:val="zh-CN" w:bidi="zh-CN"/>
    </w:rPr>
  </w:style>
  <w:style w:type="character" w:customStyle="1" w:styleId="348">
    <w:name w:val="正文缩进 Char"/>
    <w:autoRedefine/>
    <w:qFormat/>
    <w:uiPriority w:val="99"/>
    <w:rPr>
      <w:kern w:val="2"/>
    </w:rPr>
  </w:style>
  <w:style w:type="character" w:customStyle="1" w:styleId="349">
    <w:name w:val="未处理的提及2"/>
    <w:basedOn w:val="58"/>
    <w:semiHidden/>
    <w:unhideWhenUsed/>
    <w:qFormat/>
    <w:uiPriority w:val="99"/>
    <w:rPr>
      <w:color w:val="605E5C"/>
      <w:shd w:val="clear" w:color="auto" w:fill="E1DFDD"/>
    </w:rPr>
  </w:style>
  <w:style w:type="table" w:customStyle="1" w:styleId="350">
    <w:name w:val="网格型1"/>
    <w:basedOn w:val="56"/>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1">
    <w:name w:val="样式 标题 2 + 宋体"/>
    <w:basedOn w:val="3"/>
    <w:qFormat/>
    <w:uiPriority w:val="99"/>
    <w:pPr>
      <w:spacing w:line="416" w:lineRule="auto"/>
    </w:pPr>
    <w:rPr>
      <w:rFonts w:ascii="宋体" w:hAnsi="宋体"/>
      <w:sz w:val="30"/>
    </w:rPr>
  </w:style>
  <w:style w:type="character" w:customStyle="1" w:styleId="352">
    <w:name w:val="htd0"/>
    <w:qFormat/>
    <w:uiPriority w:val="0"/>
  </w:style>
  <w:style w:type="character" w:customStyle="1" w:styleId="353">
    <w:name w:val="批注文字 Char"/>
    <w:qFormat/>
    <w:uiPriority w:val="0"/>
    <w:rPr>
      <w:rFonts w:eastAsia="宋体"/>
      <w:kern w:val="2"/>
      <w:sz w:val="21"/>
      <w:szCs w:val="24"/>
      <w:lang w:val="en-US" w:eastAsia="zh-CN" w:bidi="ar-SA"/>
    </w:rPr>
  </w:style>
  <w:style w:type="character" w:customStyle="1" w:styleId="354">
    <w:name w:val=" Char Char20"/>
    <w:qFormat/>
    <w:uiPriority w:val="0"/>
    <w:rPr>
      <w:rFonts w:eastAsia="宋体"/>
      <w:kern w:val="2"/>
      <w:sz w:val="21"/>
      <w:szCs w:val="24"/>
      <w:lang w:val="en-US" w:eastAsia="zh-CN" w:bidi="ar-SA"/>
    </w:rPr>
  </w:style>
  <w:style w:type="character" w:customStyle="1" w:styleId="355">
    <w:name w:val=" Char Char2"/>
    <w:qFormat/>
    <w:uiPriority w:val="0"/>
    <w:rPr>
      <w:rFonts w:ascii="宋体" w:hAnsi="Courier New" w:eastAsia="宋体"/>
      <w:kern w:val="2"/>
      <w:sz w:val="21"/>
      <w:lang w:val="en-US" w:eastAsia="zh-CN" w:bidi="ar-SA"/>
    </w:rPr>
  </w:style>
  <w:style w:type="character" w:customStyle="1" w:styleId="356">
    <w:name w:val=" Char Char"/>
    <w:qFormat/>
    <w:uiPriority w:val="0"/>
    <w:rPr>
      <w:rFonts w:eastAsia="宋体"/>
      <w:kern w:val="2"/>
      <w:sz w:val="21"/>
      <w:szCs w:val="24"/>
      <w:lang w:val="en-US" w:eastAsia="zh-CN" w:bidi="ar-SA"/>
    </w:rPr>
  </w:style>
  <w:style w:type="character" w:customStyle="1" w:styleId="357">
    <w:name w:val="Char Char2"/>
    <w:qFormat/>
    <w:uiPriority w:val="0"/>
    <w:rPr>
      <w:rFonts w:ascii="宋体" w:hAnsi="Courier New" w:eastAsia="宋体"/>
      <w:kern w:val="2"/>
      <w:sz w:val="21"/>
      <w:lang w:val="en-US" w:eastAsia="zh-CN" w:bidi="ar-SA"/>
    </w:rPr>
  </w:style>
  <w:style w:type="character" w:customStyle="1" w:styleId="358">
    <w:name w:val=" Char Char26"/>
    <w:qFormat/>
    <w:uiPriority w:val="0"/>
    <w:rPr>
      <w:rFonts w:ascii="Arial" w:hAnsi="Arial" w:eastAsia="黑体"/>
      <w:kern w:val="2"/>
      <w:sz w:val="21"/>
      <w:szCs w:val="21"/>
    </w:rPr>
  </w:style>
  <w:style w:type="character" w:customStyle="1" w:styleId="359">
    <w:name w:val="105v1"/>
    <w:qFormat/>
    <w:uiPriority w:val="0"/>
    <w:rPr>
      <w:rFonts w:hint="default" w:ascii="ˎ̥" w:hAnsi="ˎ̥"/>
      <w:sz w:val="21"/>
      <w:szCs w:val="21"/>
    </w:rPr>
  </w:style>
  <w:style w:type="character" w:customStyle="1" w:styleId="360">
    <w:name w:val=" Char Char21"/>
    <w:qFormat/>
    <w:uiPriority w:val="0"/>
    <w:rPr>
      <w:rFonts w:eastAsia="宋体"/>
      <w:kern w:val="2"/>
      <w:sz w:val="21"/>
      <w:lang w:val="en-US" w:eastAsia="zh-CN" w:bidi="ar-SA"/>
    </w:rPr>
  </w:style>
  <w:style w:type="character" w:customStyle="1" w:styleId="361">
    <w:name w:val="无间隔 字符"/>
    <w:link w:val="198"/>
    <w:qFormat/>
    <w:uiPriority w:val="1"/>
    <w:rPr>
      <w:rFonts w:ascii="Calibri" w:hAnsi="Calibri"/>
      <w:kern w:val="2"/>
      <w:sz w:val="21"/>
      <w:szCs w:val="22"/>
    </w:rPr>
  </w:style>
  <w:style w:type="character" w:customStyle="1" w:styleId="362">
    <w:name w:val=" Char Char18"/>
    <w:qFormat/>
    <w:locked/>
    <w:uiPriority w:val="0"/>
    <w:rPr>
      <w:rFonts w:ascii="宋体" w:hAnsi="Courier New" w:eastAsia="宋体"/>
      <w:kern w:val="2"/>
      <w:sz w:val="21"/>
      <w:lang w:val="en-US" w:eastAsia="zh-CN" w:bidi="ar-SA"/>
    </w:rPr>
  </w:style>
  <w:style w:type="character" w:customStyle="1" w:styleId="363">
    <w:name w:val="普通文字 Char Char2"/>
    <w:qFormat/>
    <w:uiPriority w:val="0"/>
    <w:rPr>
      <w:rFonts w:ascii="宋体" w:hAnsi="Courier New" w:eastAsia="宋体"/>
      <w:kern w:val="2"/>
      <w:sz w:val="21"/>
      <w:lang w:val="en-US" w:eastAsia="zh-CN" w:bidi="ar-SA"/>
    </w:rPr>
  </w:style>
  <w:style w:type="paragraph" w:customStyle="1" w:styleId="364">
    <w:name w:val="Char2 Char Char Char"/>
    <w:basedOn w:val="1"/>
    <w:qFormat/>
    <w:uiPriority w:val="0"/>
    <w:rPr>
      <w:rFonts w:ascii="Tahoma" w:hAnsi="Tahoma"/>
      <w:sz w:val="24"/>
      <w:szCs w:val="20"/>
    </w:rPr>
  </w:style>
  <w:style w:type="paragraph" w:customStyle="1" w:styleId="365">
    <w:name w:val="列出段落11"/>
    <w:basedOn w:val="1"/>
    <w:qFormat/>
    <w:uiPriority w:val="0"/>
    <w:pPr>
      <w:ind w:firstLine="420" w:firstLineChars="200"/>
    </w:pPr>
  </w:style>
  <w:style w:type="paragraph" w:customStyle="1" w:styleId="36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67">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0">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372">
    <w:name w:val="Char Char"/>
    <w:basedOn w:val="1"/>
    <w:qFormat/>
    <w:uiPriority w:val="0"/>
    <w:rPr>
      <w:rFonts w:ascii="仿宋_GB2312" w:eastAsia="仿宋_GB2312"/>
      <w:b/>
      <w:sz w:val="32"/>
      <w:szCs w:val="32"/>
    </w:rPr>
  </w:style>
  <w:style w:type="paragraph" w:customStyle="1" w:styleId="373">
    <w:name w:val=" Char2 Char Char Char"/>
    <w:basedOn w:val="1"/>
    <w:qFormat/>
    <w:uiPriority w:val="0"/>
    <w:rPr>
      <w:rFonts w:ascii="Tahoma" w:hAnsi="Tahoma"/>
      <w:sz w:val="24"/>
      <w:szCs w:val="20"/>
    </w:rPr>
  </w:style>
  <w:style w:type="paragraph" w:customStyle="1" w:styleId="374">
    <w:name w:val=" Char Char Char Char"/>
    <w:basedOn w:val="1"/>
    <w:qFormat/>
    <w:uiPriority w:val="0"/>
    <w:rPr>
      <w:rFonts w:ascii="Tahoma" w:hAnsi="Tahoma"/>
      <w:sz w:val="24"/>
      <w:szCs w:val="20"/>
    </w:rPr>
  </w:style>
  <w:style w:type="paragraph" w:customStyle="1" w:styleId="375">
    <w:name w:val="WPSOffice手动目录 1"/>
    <w:qFormat/>
    <w:uiPriority w:val="0"/>
    <w:rPr>
      <w:rFonts w:ascii="Times New Roman" w:hAnsi="Times New Roman" w:eastAsia="宋体" w:cs="Times New Roman"/>
      <w:lang w:val="en-US" w:eastAsia="zh-CN" w:bidi="ar-SA"/>
    </w:rPr>
  </w:style>
  <w:style w:type="paragraph" w:customStyle="1" w:styleId="376">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377">
    <w:name w:val=" Char"/>
    <w:basedOn w:val="1"/>
    <w:qFormat/>
    <w:uiPriority w:val="0"/>
    <w:pPr>
      <w:widowControl/>
      <w:spacing w:after="160" w:line="240" w:lineRule="exact"/>
      <w:jc w:val="left"/>
    </w:pPr>
    <w:rPr>
      <w:rFonts w:ascii="Verdana" w:hAnsi="Verdana"/>
      <w:kern w:val="0"/>
      <w:szCs w:val="20"/>
      <w:lang w:eastAsia="en-US"/>
    </w:rPr>
  </w:style>
  <w:style w:type="paragraph" w:customStyle="1" w:styleId="378">
    <w:name w:val="_Style 5"/>
    <w:basedOn w:val="1"/>
    <w:qFormat/>
    <w:uiPriority w:val="0"/>
    <w:pPr>
      <w:tabs>
        <w:tab w:val="left" w:pos="360"/>
      </w:tabs>
      <w:spacing w:line="360" w:lineRule="auto"/>
      <w:ind w:left="482" w:firstLine="200" w:firstLineChars="200"/>
    </w:pPr>
  </w:style>
  <w:style w:type="paragraph" w:customStyle="1" w:styleId="379">
    <w:name w:val="Char Char1"/>
    <w:basedOn w:val="1"/>
    <w:qFormat/>
    <w:uiPriority w:val="0"/>
    <w:rPr>
      <w:rFonts w:ascii="仿宋_GB2312" w:eastAsia="仿宋_GB2312"/>
      <w:b/>
      <w:sz w:val="32"/>
      <w:szCs w:val="32"/>
    </w:rPr>
  </w:style>
  <w:style w:type="paragraph" w:customStyle="1" w:styleId="380">
    <w:name w:val="_Style 76"/>
    <w:basedOn w:val="1"/>
    <w:qFormat/>
    <w:uiPriority w:val="0"/>
    <w:pPr>
      <w:tabs>
        <w:tab w:val="left" w:pos="360"/>
      </w:tabs>
      <w:spacing w:line="360" w:lineRule="auto"/>
      <w:ind w:left="482" w:firstLine="200" w:firstLineChars="200"/>
    </w:pPr>
    <w:rPr>
      <w:rFonts w:ascii="宋体"/>
      <w:sz w:val="24"/>
    </w:rPr>
  </w:style>
  <w:style w:type="paragraph" w:customStyle="1" w:styleId="38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2">
    <w:name w:val="题注5"/>
    <w:basedOn w:val="1"/>
    <w:next w:val="15"/>
    <w:qFormat/>
    <w:uiPriority w:val="0"/>
    <w:pPr>
      <w:jc w:val="center"/>
    </w:pPr>
    <w:rPr>
      <w:b/>
      <w:bCs/>
      <w:color w:val="000000"/>
      <w:sz w:val="24"/>
    </w:rPr>
  </w:style>
  <w:style w:type="paragraph" w:customStyle="1" w:styleId="38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4">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85">
    <w:name w:val="List Paragraph2"/>
    <w:basedOn w:val="1"/>
    <w:qFormat/>
    <w:uiPriority w:val="0"/>
    <w:pPr>
      <w:spacing w:line="360" w:lineRule="auto"/>
      <w:ind w:firstLine="420" w:firstLineChars="200"/>
    </w:pPr>
    <w:rPr>
      <w:rFonts w:ascii="宋体" w:hAnsi="宋体" w:cs="宋体"/>
      <w:sz w:val="24"/>
    </w:rPr>
  </w:style>
  <w:style w:type="paragraph" w:customStyle="1" w:styleId="386">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7">
    <w:name w:val="表格文字"/>
    <w:basedOn w:val="1"/>
    <w:qFormat/>
    <w:uiPriority w:val="0"/>
    <w:pPr>
      <w:jc w:val="left"/>
    </w:pPr>
    <w:rPr>
      <w:rFonts w:ascii="Calibri" w:hAnsi="Calibri"/>
      <w:bCs/>
      <w:spacing w:val="10"/>
      <w:kern w:val="0"/>
      <w:sz w:val="24"/>
    </w:rPr>
  </w:style>
  <w:style w:type="paragraph" w:customStyle="1" w:styleId="388">
    <w:name w:val="_Style 3"/>
    <w:basedOn w:val="2"/>
    <w:next w:val="1"/>
    <w:qFormat/>
    <w:uiPriority w:val="99"/>
    <w:pPr>
      <w:keepLines w:val="0"/>
      <w:spacing w:before="0" w:after="0" w:line="240" w:lineRule="auto"/>
      <w:outlineLvl w:val="9"/>
    </w:pPr>
    <w:rPr>
      <w:bCs w:val="0"/>
      <w:kern w:val="2"/>
      <w:sz w:val="21"/>
      <w:szCs w:val="24"/>
    </w:rPr>
  </w:style>
  <w:style w:type="paragraph" w:customStyle="1" w:styleId="389">
    <w:name w:val="Table Text"/>
    <w:basedOn w:val="1"/>
    <w:semiHidden/>
    <w:qFormat/>
    <w:uiPriority w:val="0"/>
    <w:rPr>
      <w:rFonts w:ascii="宋体" w:hAnsi="宋体" w:eastAsia="宋体" w:cs="宋体"/>
      <w:sz w:val="24"/>
      <w:szCs w:val="24"/>
      <w:lang w:val="en-US" w:eastAsia="en-US" w:bidi="ar-SA"/>
    </w:rPr>
  </w:style>
  <w:style w:type="table" w:customStyle="1" w:styleId="390">
    <w:name w:val="Table Normal"/>
    <w:unhideWhenUsed/>
    <w:qFormat/>
    <w:uiPriority w:val="0"/>
    <w:tblPr>
      <w:tblCellMar>
        <w:top w:w="0" w:type="dxa"/>
        <w:left w:w="0" w:type="dxa"/>
        <w:bottom w:w="0" w:type="dxa"/>
        <w:right w:w="0" w:type="dxa"/>
      </w:tblCellMar>
    </w:tblPr>
  </w:style>
  <w:style w:type="paragraph" w:customStyle="1" w:styleId="391">
    <w:name w:val="标题 51"/>
    <w:basedOn w:val="1"/>
    <w:qFormat/>
    <w:uiPriority w:val="0"/>
    <w:pPr>
      <w:keepNext/>
      <w:keepLines/>
      <w:numPr>
        <w:ilvl w:val="4"/>
        <w:numId w:val="1"/>
      </w:numPr>
      <w:spacing w:before="280" w:after="290" w:line="376" w:lineRule="auto"/>
      <w:outlineLvl w:val="4"/>
    </w:pPr>
    <w:rPr>
      <w:b/>
      <w:sz w:val="28"/>
      <w:lang w:val="en-US" w:eastAsia="en-US"/>
    </w:rPr>
  </w:style>
  <w:style w:type="paragraph" w:customStyle="1" w:styleId="392">
    <w:name w:val="纯文本1"/>
    <w:basedOn w:val="1"/>
    <w:qFormat/>
    <w:uiPriority w:val="0"/>
    <w:rPr>
      <w:rFonts w:ascii="宋体" w:hAnsi="Courier New"/>
      <w:kern w:val="0"/>
      <w:sz w:val="20"/>
      <w:szCs w:val="21"/>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766A5C3ADF4EA94E9357209EBD74570E" ma:contentTypeVersion="0" ma:contentTypeDescription="新建文档。" ma:contentTypeScope="" ma:versionID="ab03c2ad72ffed21f2f64b8ecddec0ea">
  <xsd:schema xmlns:xsd="http://www.w3.org/2001/XMLSchema" xmlns:p="http://schemas.microsoft.com/office/2006/metadata/properties" targetNamespace="http://schemas.microsoft.com/office/2006/metadata/properties" ma:root="true" ma:fieldsID="b51e50da1bca0add1c6bbfbefcbaaa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498B9-75C4-4E58-A8B2-2B333F711E9D}">
  <ds:schemaRefs/>
</ds:datastoreItem>
</file>

<file path=customXml/itemProps2.xml><?xml version="1.0" encoding="utf-8"?>
<ds:datastoreItem xmlns:ds="http://schemas.openxmlformats.org/officeDocument/2006/customXml" ds:itemID="{1C7856C3-2680-47DC-A741-9F3C3614A204}">
  <ds:schemaRefs/>
</ds:datastoreItem>
</file>

<file path=customXml/itemProps3.xml><?xml version="1.0" encoding="utf-8"?>
<ds:datastoreItem xmlns:ds="http://schemas.openxmlformats.org/officeDocument/2006/customXml" ds:itemID="{2E3924C9-C1C5-4A6D-A17B-6B6771A3B5F2}">
  <ds:schemaRefs/>
</ds:datastoreItem>
</file>

<file path=customXml/itemProps4.xml><?xml version="1.0" encoding="utf-8"?>
<ds:datastoreItem xmlns:ds="http://schemas.openxmlformats.org/officeDocument/2006/customXml" ds:itemID="{414B9DE8-2117-4FCF-AA6D-4313497EBAE7}">
  <ds:schemaRefs/>
</ds:datastoreItem>
</file>

<file path=customXml/itemProps5.xml><?xml version="1.0" encoding="utf-8"?>
<ds:datastoreItem xmlns:ds="http://schemas.openxmlformats.org/officeDocument/2006/customXml" ds:itemID="{B083F9E7-0BE8-491E-90DC-6A8E8D91BCA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3580</Words>
  <Characters>4305</Characters>
  <Lines>529</Lines>
  <Paragraphs>148</Paragraphs>
  <TotalTime>91</TotalTime>
  <ScaleCrop>false</ScaleCrop>
  <LinksUpToDate>false</LinksUpToDate>
  <CharactersWithSpaces>4364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宇宙超人</cp:lastModifiedBy>
  <cp:revision>13</cp:revision>
  <cp:lastPrinted>2024-01-09T08:44:00Z</cp:lastPrinted>
  <dcterms:created xsi:type="dcterms:W3CDTF">2024-01-09T07:47:00Z</dcterms:created>
  <dcterms:modified xsi:type="dcterms:W3CDTF">2025-06-24T04:02:15Z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61CC16AAEA1543F48D4A045A54509A67_13</vt:lpwstr>
  </property>
  <property fmtid="{D5CDD505-2E9C-101B-9397-08002B2CF9AE}" pid="14" name="KSOTemplateDocerSaveRecord">
    <vt:lpwstr>eyJoZGlkIjoiZjVhNGJiMWVmZTg4ZjFhYWZhYWFiMzBkODkwYWRkZmUiLCJ1c2VySWQiOiIxMDUyMTkzNjI1In0=</vt:lpwstr>
  </property>
</Properties>
</file>