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1D889">
      <w:pPr>
        <w:rPr>
          <w:color w:val="auto"/>
          <w:highlight w:val="none"/>
        </w:rPr>
      </w:pPr>
      <w:r>
        <w:rPr>
          <w:color w:val="auto"/>
          <w:highlight w:val="none"/>
        </w:rPr>
        <w:drawing>
          <wp:inline distT="0" distB="0" distL="114300" distR="114300">
            <wp:extent cx="5869305" cy="8302625"/>
            <wp:effectExtent l="0" t="0" r="17145" b="3175"/>
            <wp:docPr id="2" name="图片 2" descr="f0648e5f7eeaba037e11284084c21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0648e5f7eeaba037e11284084c21b2"/>
                    <pic:cNvPicPr>
                      <a:picLocks noChangeAspect="1"/>
                    </pic:cNvPicPr>
                  </pic:nvPicPr>
                  <pic:blipFill>
                    <a:blip r:embed="rId50"/>
                    <a:stretch>
                      <a:fillRect/>
                    </a:stretch>
                  </pic:blipFill>
                  <pic:spPr>
                    <a:xfrm>
                      <a:off x="0" y="0"/>
                      <a:ext cx="5869305" cy="8302625"/>
                    </a:xfrm>
                    <a:prstGeom prst="rect">
                      <a:avLst/>
                    </a:prstGeom>
                  </pic:spPr>
                </pic:pic>
              </a:graphicData>
            </a:graphic>
          </wp:inline>
        </w:drawing>
      </w:r>
    </w:p>
    <w:p w14:paraId="3920A10B">
      <w:pPr>
        <w:rPr>
          <w:color w:val="auto"/>
          <w:highlight w:val="none"/>
        </w:rPr>
      </w:pPr>
      <w:r>
        <w:rPr>
          <w:color w:val="auto"/>
          <w:highlight w:val="none"/>
        </w:rPr>
        <w:br w:type="page"/>
      </w:r>
    </w:p>
    <w:p w14:paraId="0662A60D">
      <w:pPr>
        <w:spacing w:before="140" w:line="225" w:lineRule="auto"/>
        <w:ind w:left="3755"/>
        <w:rPr>
          <w:rFonts w:ascii="宋体" w:hAnsi="宋体" w:eastAsia="宋体" w:cs="宋体"/>
          <w:color w:val="auto"/>
          <w:sz w:val="43"/>
          <w:szCs w:val="43"/>
          <w:highlight w:val="none"/>
        </w:rPr>
      </w:pPr>
      <w:r>
        <w:rPr>
          <w:rFonts w:ascii="宋体" w:hAnsi="宋体" w:eastAsia="宋体" w:cs="宋体"/>
          <w:b/>
          <w:bCs/>
          <w:color w:val="auto"/>
          <w:spacing w:val="-51"/>
          <w:sz w:val="43"/>
          <w:szCs w:val="43"/>
          <w:highlight w:val="none"/>
        </w:rPr>
        <w:t>目</w:t>
      </w:r>
      <w:r>
        <w:rPr>
          <w:rFonts w:ascii="宋体" w:hAnsi="宋体" w:eastAsia="宋体" w:cs="宋体"/>
          <w:color w:val="auto"/>
          <w:spacing w:val="12"/>
          <w:sz w:val="43"/>
          <w:szCs w:val="43"/>
          <w:highlight w:val="none"/>
        </w:rPr>
        <w:t xml:space="preserve">   </w:t>
      </w:r>
      <w:r>
        <w:rPr>
          <w:rFonts w:ascii="宋体" w:hAnsi="宋体" w:eastAsia="宋体" w:cs="宋体"/>
          <w:b/>
          <w:bCs/>
          <w:color w:val="auto"/>
          <w:spacing w:val="-51"/>
          <w:sz w:val="43"/>
          <w:szCs w:val="43"/>
          <w:highlight w:val="none"/>
        </w:rPr>
        <w:t>录</w:t>
      </w:r>
    </w:p>
    <w:p w14:paraId="52BF851D">
      <w:pPr>
        <w:pStyle w:val="4"/>
        <w:spacing w:line="269" w:lineRule="auto"/>
        <w:rPr>
          <w:color w:val="auto"/>
          <w:highlight w:val="none"/>
        </w:rPr>
      </w:pPr>
    </w:p>
    <w:p w14:paraId="41DBBA4F">
      <w:pPr>
        <w:pStyle w:val="4"/>
        <w:spacing w:line="269" w:lineRule="auto"/>
        <w:rPr>
          <w:color w:val="auto"/>
          <w:highlight w:val="none"/>
        </w:rPr>
      </w:pPr>
    </w:p>
    <w:p w14:paraId="44CCD8D5">
      <w:pPr>
        <w:pStyle w:val="4"/>
        <w:spacing w:line="270" w:lineRule="auto"/>
        <w:rPr>
          <w:rFonts w:hint="eastAsia" w:ascii="宋体" w:hAnsi="宋体" w:eastAsia="宋体" w:cs="宋体"/>
          <w:color w:val="auto"/>
          <w:highlight w:val="none"/>
        </w:rPr>
      </w:pPr>
    </w:p>
    <w:p w14:paraId="1B2E9282">
      <w:pPr>
        <w:pStyle w:val="10"/>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TOC \o "1-2" \h \u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_Toc23217 </w:instrText>
      </w:r>
      <w:r>
        <w:rPr>
          <w:rFonts w:hint="default" w:ascii="Arial" w:hAnsi="Arial" w:eastAsia="宋体" w:cs="Arial"/>
          <w:color w:val="auto"/>
          <w:highlight w:val="none"/>
        </w:rPr>
        <w:fldChar w:fldCharType="separate"/>
      </w:r>
      <w:r>
        <w:rPr>
          <w:rFonts w:hint="default" w:ascii="Arial" w:hAnsi="Arial" w:eastAsia="宋体" w:cs="Arial"/>
          <w:bCs/>
          <w:color w:val="auto"/>
          <w:spacing w:val="6"/>
          <w:szCs w:val="31"/>
          <w:highlight w:val="none"/>
        </w:rPr>
        <w:t>第一章</w:t>
      </w:r>
      <w:r>
        <w:rPr>
          <w:rFonts w:hint="default" w:ascii="Arial" w:hAnsi="Arial" w:eastAsia="宋体" w:cs="Arial"/>
          <w:color w:val="auto"/>
          <w:spacing w:val="6"/>
          <w:szCs w:val="31"/>
          <w:highlight w:val="none"/>
        </w:rPr>
        <w:t xml:space="preserve"> </w:t>
      </w:r>
      <w:r>
        <w:rPr>
          <w:rFonts w:hint="default" w:ascii="Arial" w:hAnsi="Arial" w:eastAsia="宋体" w:cs="Arial"/>
          <w:bCs/>
          <w:color w:val="auto"/>
          <w:spacing w:val="6"/>
          <w:szCs w:val="31"/>
          <w:highlight w:val="none"/>
        </w:rPr>
        <w:t>竞争性磋商公告</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_Toc23217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3</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32B0DCA0">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_Toc5482 </w:instrText>
      </w:r>
      <w:r>
        <w:rPr>
          <w:rFonts w:hint="default" w:ascii="Arial" w:hAnsi="Arial" w:eastAsia="宋体" w:cs="Arial"/>
          <w:color w:val="auto"/>
          <w:highlight w:val="none"/>
        </w:rPr>
        <w:fldChar w:fldCharType="separate"/>
      </w:r>
      <w:r>
        <w:rPr>
          <w:rFonts w:hint="default" w:ascii="Arial" w:hAnsi="Arial" w:eastAsia="宋体" w:cs="Arial"/>
          <w:bCs/>
          <w:color w:val="auto"/>
          <w:spacing w:val="7"/>
          <w:szCs w:val="20"/>
          <w:highlight w:val="none"/>
        </w:rPr>
        <w:t>一、项目基本情况</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_Toc5482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3</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4015D78B">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_Toc13378 </w:instrText>
      </w:r>
      <w:r>
        <w:rPr>
          <w:rFonts w:hint="default" w:ascii="Arial" w:hAnsi="Arial" w:eastAsia="宋体" w:cs="Arial"/>
          <w:color w:val="auto"/>
          <w:highlight w:val="none"/>
        </w:rPr>
        <w:fldChar w:fldCharType="separate"/>
      </w:r>
      <w:r>
        <w:rPr>
          <w:rFonts w:hint="default" w:ascii="Arial" w:hAnsi="Arial" w:eastAsia="宋体" w:cs="Arial"/>
          <w:bCs/>
          <w:color w:val="auto"/>
          <w:spacing w:val="6"/>
          <w:szCs w:val="20"/>
          <w:highlight w:val="none"/>
        </w:rPr>
        <w:t>二、供应商的资格条件：</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_Toc13378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3</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40534ED7">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_Toc32037 </w:instrText>
      </w:r>
      <w:r>
        <w:rPr>
          <w:rFonts w:hint="default" w:ascii="Arial" w:hAnsi="Arial" w:eastAsia="宋体" w:cs="Arial"/>
          <w:color w:val="auto"/>
          <w:highlight w:val="none"/>
        </w:rPr>
        <w:fldChar w:fldCharType="separate"/>
      </w:r>
      <w:r>
        <w:rPr>
          <w:rFonts w:hint="default" w:ascii="Arial" w:hAnsi="Arial" w:eastAsia="宋体" w:cs="Arial"/>
          <w:bCs/>
          <w:color w:val="auto"/>
          <w:spacing w:val="7"/>
          <w:szCs w:val="20"/>
          <w:highlight w:val="none"/>
        </w:rPr>
        <w:t>三、获取竞争性磋商文件</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_Toc32037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3</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1567CCBB">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_Toc15083 </w:instrText>
      </w:r>
      <w:r>
        <w:rPr>
          <w:rFonts w:hint="default" w:ascii="Arial" w:hAnsi="Arial" w:eastAsia="宋体" w:cs="Arial"/>
          <w:color w:val="auto"/>
          <w:highlight w:val="none"/>
        </w:rPr>
        <w:fldChar w:fldCharType="separate"/>
      </w:r>
      <w:r>
        <w:rPr>
          <w:rFonts w:hint="default" w:ascii="Arial" w:hAnsi="Arial" w:eastAsia="宋体" w:cs="Arial"/>
          <w:bCs/>
          <w:color w:val="auto"/>
          <w:spacing w:val="5"/>
          <w:szCs w:val="20"/>
          <w:highlight w:val="none"/>
        </w:rPr>
        <w:t>四、响应文件提交</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_Toc15083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4</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1FD62E01">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_Toc24119 </w:instrText>
      </w:r>
      <w:r>
        <w:rPr>
          <w:rFonts w:hint="default" w:ascii="Arial" w:hAnsi="Arial" w:eastAsia="宋体" w:cs="Arial"/>
          <w:color w:val="auto"/>
          <w:highlight w:val="none"/>
        </w:rPr>
        <w:fldChar w:fldCharType="separate"/>
      </w:r>
      <w:r>
        <w:rPr>
          <w:rFonts w:hint="default" w:ascii="Arial" w:hAnsi="Arial" w:eastAsia="宋体" w:cs="Arial"/>
          <w:bCs/>
          <w:color w:val="auto"/>
          <w:spacing w:val="5"/>
          <w:szCs w:val="20"/>
          <w:highlight w:val="none"/>
        </w:rPr>
        <w:t>五、开启</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_Toc24119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4</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7A02514E">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_Toc11435 </w:instrText>
      </w:r>
      <w:r>
        <w:rPr>
          <w:rFonts w:hint="default" w:ascii="Arial" w:hAnsi="Arial" w:eastAsia="宋体" w:cs="Arial"/>
          <w:color w:val="auto"/>
          <w:highlight w:val="none"/>
        </w:rPr>
        <w:fldChar w:fldCharType="separate"/>
      </w:r>
      <w:r>
        <w:rPr>
          <w:rFonts w:hint="default" w:ascii="Arial" w:hAnsi="Arial" w:eastAsia="宋体" w:cs="Arial"/>
          <w:bCs/>
          <w:color w:val="auto"/>
          <w:spacing w:val="6"/>
          <w:szCs w:val="20"/>
          <w:highlight w:val="none"/>
        </w:rPr>
        <w:t>六、公告期限</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_Toc11435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4</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450F3954">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_Toc28091 </w:instrText>
      </w:r>
      <w:r>
        <w:rPr>
          <w:rFonts w:hint="default" w:ascii="Arial" w:hAnsi="Arial" w:eastAsia="宋体" w:cs="Arial"/>
          <w:color w:val="auto"/>
          <w:highlight w:val="none"/>
        </w:rPr>
        <w:fldChar w:fldCharType="separate"/>
      </w:r>
      <w:r>
        <w:rPr>
          <w:rFonts w:hint="default" w:ascii="Arial" w:hAnsi="Arial" w:eastAsia="宋体" w:cs="Arial"/>
          <w:bCs/>
          <w:color w:val="auto"/>
          <w:spacing w:val="7"/>
          <w:szCs w:val="20"/>
          <w:highlight w:val="none"/>
        </w:rPr>
        <w:t>七、其他补充事宜</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_Toc28091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4</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64F07392">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_Toc25846 </w:instrText>
      </w:r>
      <w:r>
        <w:rPr>
          <w:rFonts w:hint="default" w:ascii="Arial" w:hAnsi="Arial" w:eastAsia="宋体" w:cs="Arial"/>
          <w:color w:val="auto"/>
          <w:highlight w:val="none"/>
        </w:rPr>
        <w:fldChar w:fldCharType="separate"/>
      </w:r>
      <w:r>
        <w:rPr>
          <w:rFonts w:hint="default" w:ascii="Arial" w:hAnsi="Arial" w:eastAsia="宋体" w:cs="Arial"/>
          <w:bCs/>
          <w:color w:val="auto"/>
          <w:spacing w:val="7"/>
          <w:szCs w:val="20"/>
          <w:highlight w:val="none"/>
        </w:rPr>
        <w:t>八、凡对本次采购提出询问，请按以下方式联系。</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_Toc25846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5</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369F9841">
      <w:pPr>
        <w:pStyle w:val="10"/>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_Toc20723 </w:instrText>
      </w:r>
      <w:r>
        <w:rPr>
          <w:rFonts w:hint="default" w:ascii="Arial" w:hAnsi="Arial" w:eastAsia="宋体" w:cs="Arial"/>
          <w:color w:val="auto"/>
          <w:highlight w:val="none"/>
        </w:rPr>
        <w:fldChar w:fldCharType="separate"/>
      </w:r>
      <w:r>
        <w:rPr>
          <w:rFonts w:hint="default" w:ascii="Arial" w:hAnsi="Arial" w:eastAsia="宋体" w:cs="Arial"/>
          <w:bCs/>
          <w:color w:val="auto"/>
          <w:spacing w:val="5"/>
          <w:szCs w:val="31"/>
          <w:highlight w:val="none"/>
        </w:rPr>
        <w:t>第二章</w:t>
      </w:r>
      <w:r>
        <w:rPr>
          <w:rFonts w:hint="default" w:ascii="Arial" w:hAnsi="Arial" w:eastAsia="宋体" w:cs="Arial"/>
          <w:color w:val="auto"/>
          <w:spacing w:val="5"/>
          <w:szCs w:val="31"/>
          <w:highlight w:val="none"/>
        </w:rPr>
        <w:t xml:space="preserve"> </w:t>
      </w:r>
      <w:r>
        <w:rPr>
          <w:rFonts w:hint="default" w:ascii="Arial" w:hAnsi="Arial" w:eastAsia="宋体" w:cs="Arial"/>
          <w:bCs/>
          <w:color w:val="auto"/>
          <w:spacing w:val="5"/>
          <w:szCs w:val="31"/>
          <w:highlight w:val="none"/>
        </w:rPr>
        <w:t>供应商须知</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_Toc20723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7</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463584C7">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_Toc21793 </w:instrText>
      </w:r>
      <w:r>
        <w:rPr>
          <w:rFonts w:hint="default" w:ascii="Arial" w:hAnsi="Arial" w:eastAsia="宋体" w:cs="Arial"/>
          <w:color w:val="auto"/>
          <w:highlight w:val="none"/>
        </w:rPr>
        <w:fldChar w:fldCharType="separate"/>
      </w:r>
      <w:r>
        <w:rPr>
          <w:rFonts w:hint="default" w:ascii="Arial" w:hAnsi="Arial" w:eastAsia="宋体" w:cs="Arial"/>
          <w:bCs/>
          <w:color w:val="auto"/>
          <w:spacing w:val="6"/>
          <w:szCs w:val="31"/>
          <w:highlight w:val="none"/>
        </w:rPr>
        <w:t>供应商须知前附表</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_Toc21793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7</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2EC9B228">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_Toc30865 </w:instrText>
      </w:r>
      <w:r>
        <w:rPr>
          <w:rFonts w:hint="default" w:ascii="Arial" w:hAnsi="Arial" w:eastAsia="宋体" w:cs="Arial"/>
          <w:color w:val="auto"/>
          <w:highlight w:val="none"/>
        </w:rPr>
        <w:fldChar w:fldCharType="separate"/>
      </w:r>
      <w:r>
        <w:rPr>
          <w:rFonts w:hint="default" w:ascii="Arial" w:hAnsi="Arial" w:eastAsia="宋体" w:cs="Arial"/>
          <w:bCs/>
          <w:color w:val="auto"/>
          <w:spacing w:val="3"/>
          <w:szCs w:val="31"/>
          <w:highlight w:val="none"/>
        </w:rPr>
        <w:t>一、总则</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_Toc30865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12</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2753F70E">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_Toc9476 </w:instrText>
      </w:r>
      <w:r>
        <w:rPr>
          <w:rFonts w:hint="default" w:ascii="Arial" w:hAnsi="Arial" w:eastAsia="宋体" w:cs="Arial"/>
          <w:color w:val="auto"/>
          <w:highlight w:val="none"/>
        </w:rPr>
        <w:fldChar w:fldCharType="separate"/>
      </w:r>
      <w:r>
        <w:rPr>
          <w:rFonts w:hint="default" w:ascii="Arial" w:hAnsi="Arial" w:eastAsia="宋体" w:cs="Arial"/>
          <w:bCs/>
          <w:color w:val="auto"/>
          <w:spacing w:val="5"/>
          <w:szCs w:val="31"/>
          <w:highlight w:val="none"/>
        </w:rPr>
        <w:t>二、竞争性磋商文件</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_Toc9476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14</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4A141F27">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_Toc10070 </w:instrText>
      </w:r>
      <w:r>
        <w:rPr>
          <w:rFonts w:hint="default" w:ascii="Arial" w:hAnsi="Arial" w:eastAsia="宋体" w:cs="Arial"/>
          <w:color w:val="auto"/>
          <w:highlight w:val="none"/>
        </w:rPr>
        <w:fldChar w:fldCharType="separate"/>
      </w:r>
      <w:r>
        <w:rPr>
          <w:rFonts w:hint="default" w:ascii="Arial" w:hAnsi="Arial" w:eastAsia="宋体" w:cs="Arial"/>
          <w:bCs/>
          <w:color w:val="auto"/>
          <w:spacing w:val="6"/>
          <w:szCs w:val="31"/>
          <w:highlight w:val="none"/>
        </w:rPr>
        <w:t>三、响应文件的编制</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_Toc10070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15</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74D6E49E">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_Toc26003 </w:instrText>
      </w:r>
      <w:r>
        <w:rPr>
          <w:rFonts w:hint="default" w:ascii="Arial" w:hAnsi="Arial" w:eastAsia="宋体" w:cs="Arial"/>
          <w:color w:val="auto"/>
          <w:highlight w:val="none"/>
        </w:rPr>
        <w:fldChar w:fldCharType="separate"/>
      </w:r>
      <w:r>
        <w:rPr>
          <w:rFonts w:hint="default" w:ascii="Arial" w:hAnsi="Arial" w:eastAsia="宋体" w:cs="Arial"/>
          <w:bCs/>
          <w:color w:val="auto"/>
          <w:spacing w:val="1"/>
          <w:szCs w:val="31"/>
          <w:highlight w:val="none"/>
        </w:rPr>
        <w:t>四、评审及磋商</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_Toc26003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18</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0790B94E">
      <w:pPr>
        <w:pStyle w:val="10"/>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_Toc1710 </w:instrText>
      </w:r>
      <w:r>
        <w:rPr>
          <w:rFonts w:hint="default" w:ascii="Arial" w:hAnsi="Arial" w:eastAsia="宋体" w:cs="Arial"/>
          <w:color w:val="auto"/>
          <w:highlight w:val="none"/>
        </w:rPr>
        <w:fldChar w:fldCharType="separate"/>
      </w:r>
      <w:r>
        <w:rPr>
          <w:rFonts w:hint="default" w:ascii="Arial" w:hAnsi="Arial" w:eastAsia="宋体" w:cs="Arial"/>
          <w:bCs/>
          <w:color w:val="auto"/>
          <w:spacing w:val="5"/>
          <w:szCs w:val="31"/>
          <w:highlight w:val="none"/>
        </w:rPr>
        <w:t>第三章</w:t>
      </w:r>
      <w:r>
        <w:rPr>
          <w:rFonts w:hint="default" w:ascii="Arial" w:hAnsi="Arial" w:eastAsia="宋体" w:cs="Arial"/>
          <w:color w:val="auto"/>
          <w:spacing w:val="5"/>
          <w:szCs w:val="31"/>
          <w:highlight w:val="none"/>
        </w:rPr>
        <w:t xml:space="preserve"> </w:t>
      </w:r>
      <w:r>
        <w:rPr>
          <w:rFonts w:hint="default" w:ascii="Arial" w:hAnsi="Arial" w:eastAsia="宋体" w:cs="Arial"/>
          <w:bCs/>
          <w:color w:val="auto"/>
          <w:spacing w:val="5"/>
          <w:szCs w:val="31"/>
          <w:highlight w:val="none"/>
        </w:rPr>
        <w:t>采购需求</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_Toc1710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27</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56DAAC22">
      <w:pPr>
        <w:pStyle w:val="10"/>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_Toc19859 </w:instrText>
      </w:r>
      <w:r>
        <w:rPr>
          <w:rFonts w:hint="default" w:ascii="Arial" w:hAnsi="Arial" w:eastAsia="宋体" w:cs="Arial"/>
          <w:color w:val="auto"/>
          <w:highlight w:val="none"/>
        </w:rPr>
        <w:fldChar w:fldCharType="separate"/>
      </w:r>
      <w:r>
        <w:rPr>
          <w:rFonts w:hint="default" w:ascii="Arial" w:hAnsi="Arial" w:eastAsia="宋体" w:cs="Arial"/>
          <w:bCs/>
          <w:color w:val="auto"/>
          <w:spacing w:val="7"/>
          <w:szCs w:val="31"/>
          <w:highlight w:val="none"/>
        </w:rPr>
        <w:t>第四章</w:t>
      </w:r>
      <w:r>
        <w:rPr>
          <w:rFonts w:hint="default" w:ascii="Arial" w:hAnsi="Arial" w:eastAsia="宋体" w:cs="Arial"/>
          <w:color w:val="auto"/>
          <w:spacing w:val="7"/>
          <w:szCs w:val="31"/>
          <w:highlight w:val="none"/>
        </w:rPr>
        <w:t xml:space="preserve">  </w:t>
      </w:r>
      <w:r>
        <w:rPr>
          <w:rFonts w:hint="default" w:ascii="Arial" w:hAnsi="Arial" w:eastAsia="宋体" w:cs="Arial"/>
          <w:bCs/>
          <w:color w:val="auto"/>
          <w:spacing w:val="7"/>
          <w:szCs w:val="31"/>
          <w:highlight w:val="none"/>
        </w:rPr>
        <w:t>评审程序、评审方法和评审标准</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_Toc19859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31</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5B4A1A99">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_Toc309 </w:instrText>
      </w:r>
      <w:r>
        <w:rPr>
          <w:rFonts w:hint="default" w:ascii="Arial" w:hAnsi="Arial" w:eastAsia="宋体" w:cs="Arial"/>
          <w:color w:val="auto"/>
          <w:highlight w:val="none"/>
        </w:rPr>
        <w:fldChar w:fldCharType="separate"/>
      </w:r>
      <w:r>
        <w:rPr>
          <w:rFonts w:hint="default" w:ascii="Arial" w:hAnsi="Arial" w:eastAsia="宋体" w:cs="Arial"/>
          <w:bCs/>
          <w:color w:val="auto"/>
          <w:spacing w:val="7"/>
          <w:szCs w:val="20"/>
          <w:highlight w:val="none"/>
        </w:rPr>
        <w:t>一、评审程序和评审方法</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_Toc309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31</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4BC3CD3F">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_Toc30859 </w:instrText>
      </w:r>
      <w:r>
        <w:rPr>
          <w:rFonts w:hint="default" w:ascii="Arial" w:hAnsi="Arial" w:eastAsia="宋体" w:cs="Arial"/>
          <w:color w:val="auto"/>
          <w:highlight w:val="none"/>
        </w:rPr>
        <w:fldChar w:fldCharType="separate"/>
      </w:r>
      <w:r>
        <w:rPr>
          <w:rFonts w:hint="default" w:ascii="Arial" w:hAnsi="Arial" w:eastAsia="宋体" w:cs="Arial"/>
          <w:bCs/>
          <w:color w:val="auto"/>
          <w:spacing w:val="6"/>
          <w:szCs w:val="20"/>
          <w:highlight w:val="none"/>
        </w:rPr>
        <w:t>二、评审标准</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_Toc30859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35</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63B6A7E0">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_Toc6723 </w:instrText>
      </w:r>
      <w:r>
        <w:rPr>
          <w:rFonts w:hint="default" w:ascii="Arial" w:hAnsi="Arial" w:eastAsia="宋体" w:cs="Arial"/>
          <w:color w:val="auto"/>
          <w:highlight w:val="none"/>
        </w:rPr>
        <w:fldChar w:fldCharType="separate"/>
      </w:r>
      <w:r>
        <w:rPr>
          <w:rFonts w:hint="default" w:ascii="Arial" w:hAnsi="Arial" w:eastAsia="宋体" w:cs="Arial"/>
          <w:bCs/>
          <w:color w:val="auto"/>
          <w:spacing w:val="7"/>
          <w:szCs w:val="20"/>
          <w:highlight w:val="none"/>
        </w:rPr>
        <w:t>三、成交候选人推荐原则</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_Toc6723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36</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6C6F184E">
      <w:pPr>
        <w:pStyle w:val="10"/>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_Toc8864 </w:instrText>
      </w:r>
      <w:r>
        <w:rPr>
          <w:rFonts w:hint="default" w:ascii="Arial" w:hAnsi="Arial" w:eastAsia="宋体" w:cs="Arial"/>
          <w:color w:val="auto"/>
          <w:highlight w:val="none"/>
        </w:rPr>
        <w:fldChar w:fldCharType="separate"/>
      </w:r>
      <w:r>
        <w:rPr>
          <w:rFonts w:hint="default" w:ascii="Arial" w:hAnsi="Arial" w:eastAsia="宋体" w:cs="Arial"/>
          <w:bCs/>
          <w:color w:val="auto"/>
          <w:spacing w:val="2"/>
          <w:szCs w:val="31"/>
          <w:highlight w:val="none"/>
        </w:rPr>
        <w:t>第五章</w:t>
      </w:r>
      <w:r>
        <w:rPr>
          <w:rFonts w:hint="default" w:ascii="Arial" w:hAnsi="Arial" w:eastAsia="宋体" w:cs="Arial"/>
          <w:color w:val="auto"/>
          <w:spacing w:val="42"/>
          <w:szCs w:val="31"/>
          <w:highlight w:val="none"/>
        </w:rPr>
        <w:t xml:space="preserve"> </w:t>
      </w:r>
      <w:r>
        <w:rPr>
          <w:rFonts w:hint="default" w:ascii="Arial" w:hAnsi="Arial" w:eastAsia="宋体" w:cs="Arial"/>
          <w:bCs/>
          <w:color w:val="auto"/>
          <w:spacing w:val="2"/>
          <w:szCs w:val="31"/>
          <w:highlight w:val="none"/>
        </w:rPr>
        <w:t>响应文件格式</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_Toc8864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37</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7188C0E9">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_Toc29423 </w:instrText>
      </w:r>
      <w:r>
        <w:rPr>
          <w:rFonts w:hint="default" w:ascii="Arial" w:hAnsi="Arial" w:eastAsia="宋体" w:cs="Arial"/>
          <w:color w:val="auto"/>
          <w:highlight w:val="none"/>
        </w:rPr>
        <w:fldChar w:fldCharType="separate"/>
      </w:r>
      <w:r>
        <w:rPr>
          <w:rFonts w:hint="default" w:ascii="Arial" w:hAnsi="Arial" w:eastAsia="宋体" w:cs="Arial"/>
          <w:bCs/>
          <w:color w:val="auto"/>
          <w:spacing w:val="6"/>
          <w:szCs w:val="31"/>
          <w:highlight w:val="none"/>
        </w:rPr>
        <w:t>一、资格证明文件格式</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_Toc29423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37</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401A384E">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_Toc28675 </w:instrText>
      </w:r>
      <w:r>
        <w:rPr>
          <w:rFonts w:hint="default" w:ascii="Arial" w:hAnsi="Arial" w:eastAsia="宋体" w:cs="Arial"/>
          <w:color w:val="auto"/>
          <w:highlight w:val="none"/>
        </w:rPr>
        <w:fldChar w:fldCharType="separate"/>
      </w:r>
      <w:r>
        <w:rPr>
          <w:rFonts w:hint="default" w:ascii="Arial" w:hAnsi="Arial" w:eastAsia="宋体" w:cs="Arial"/>
          <w:bCs/>
          <w:color w:val="auto"/>
          <w:spacing w:val="6"/>
          <w:szCs w:val="31"/>
          <w:highlight w:val="none"/>
        </w:rPr>
        <w:t>二、报价文件格式</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_Toc28675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46</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347B81BD">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_Toc28720 </w:instrText>
      </w:r>
      <w:r>
        <w:rPr>
          <w:rFonts w:hint="default" w:ascii="Arial" w:hAnsi="Arial" w:eastAsia="宋体" w:cs="Arial"/>
          <w:color w:val="auto"/>
          <w:highlight w:val="none"/>
        </w:rPr>
        <w:fldChar w:fldCharType="separate"/>
      </w:r>
      <w:r>
        <w:rPr>
          <w:rFonts w:hint="default" w:ascii="Arial" w:hAnsi="Arial" w:eastAsia="宋体" w:cs="Arial"/>
          <w:bCs/>
          <w:color w:val="auto"/>
          <w:spacing w:val="6"/>
          <w:szCs w:val="31"/>
          <w:highlight w:val="none"/>
          <w:lang w:val="en-US" w:eastAsia="zh-CN"/>
        </w:rPr>
        <w:t>三</w:t>
      </w:r>
      <w:r>
        <w:rPr>
          <w:rFonts w:hint="default" w:ascii="Arial" w:hAnsi="Arial" w:eastAsia="宋体" w:cs="Arial"/>
          <w:bCs/>
          <w:color w:val="auto"/>
          <w:spacing w:val="6"/>
          <w:szCs w:val="31"/>
          <w:highlight w:val="none"/>
        </w:rPr>
        <w:t>、商务文件格式</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_Toc28720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50</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38436757">
      <w:pPr>
        <w:pStyle w:val="2"/>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_Toc1303 </w:instrText>
      </w:r>
      <w:r>
        <w:rPr>
          <w:rFonts w:hint="default" w:ascii="Arial" w:hAnsi="Arial" w:eastAsia="宋体" w:cs="Arial"/>
          <w:color w:val="auto"/>
          <w:highlight w:val="none"/>
        </w:rPr>
        <w:fldChar w:fldCharType="separate"/>
      </w:r>
      <w:r>
        <w:rPr>
          <w:rFonts w:hint="default" w:ascii="Arial" w:hAnsi="Arial" w:eastAsia="宋体" w:cs="Arial"/>
          <w:bCs/>
          <w:color w:val="auto"/>
          <w:spacing w:val="6"/>
          <w:szCs w:val="31"/>
          <w:highlight w:val="none"/>
          <w:lang w:val="en-US" w:eastAsia="zh-CN"/>
        </w:rPr>
        <w:t>四</w:t>
      </w:r>
      <w:r>
        <w:rPr>
          <w:rFonts w:hint="default" w:ascii="Arial" w:hAnsi="Arial" w:eastAsia="宋体" w:cs="Arial"/>
          <w:bCs/>
          <w:color w:val="auto"/>
          <w:spacing w:val="6"/>
          <w:szCs w:val="31"/>
          <w:highlight w:val="none"/>
        </w:rPr>
        <w:t>、</w:t>
      </w:r>
      <w:r>
        <w:rPr>
          <w:rFonts w:hint="default" w:ascii="Arial" w:hAnsi="Arial" w:eastAsia="宋体" w:cs="Arial"/>
          <w:bCs/>
          <w:color w:val="auto"/>
          <w:spacing w:val="4"/>
          <w:szCs w:val="31"/>
          <w:highlight w:val="none"/>
        </w:rPr>
        <w:t>技术</w:t>
      </w:r>
      <w:r>
        <w:rPr>
          <w:rFonts w:hint="default" w:ascii="Arial" w:hAnsi="Arial" w:eastAsia="宋体" w:cs="Arial"/>
          <w:bCs/>
          <w:color w:val="auto"/>
          <w:spacing w:val="6"/>
          <w:szCs w:val="31"/>
          <w:highlight w:val="none"/>
        </w:rPr>
        <w:t>文件格式</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_Toc1303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57</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7BF37346">
      <w:pPr>
        <w:pStyle w:val="10"/>
        <w:tabs>
          <w:tab w:val="right" w:leader="dot" w:pos="8687"/>
        </w:tabs>
        <w:rPr>
          <w:rFonts w:hint="default" w:ascii="Arial" w:hAnsi="Arial" w:eastAsia="宋体" w:cs="Arial"/>
          <w:color w:val="auto"/>
          <w:highlight w:val="none"/>
        </w:rPr>
      </w:pP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HYPERLINK \l _Toc21255 </w:instrText>
      </w:r>
      <w:r>
        <w:rPr>
          <w:rFonts w:hint="default" w:ascii="Arial" w:hAnsi="Arial" w:eastAsia="宋体" w:cs="Arial"/>
          <w:color w:val="auto"/>
          <w:highlight w:val="none"/>
        </w:rPr>
        <w:fldChar w:fldCharType="separate"/>
      </w:r>
      <w:r>
        <w:rPr>
          <w:rFonts w:hint="default" w:ascii="Arial" w:hAnsi="Arial" w:eastAsia="宋体" w:cs="Arial"/>
          <w:bCs/>
          <w:color w:val="auto"/>
          <w:spacing w:val="6"/>
          <w:szCs w:val="31"/>
          <w:highlight w:val="none"/>
        </w:rPr>
        <w:t>第六章</w:t>
      </w:r>
      <w:r>
        <w:rPr>
          <w:rFonts w:hint="default" w:ascii="Arial" w:hAnsi="Arial" w:eastAsia="宋体" w:cs="Arial"/>
          <w:color w:val="auto"/>
          <w:spacing w:val="6"/>
          <w:szCs w:val="31"/>
          <w:highlight w:val="none"/>
        </w:rPr>
        <w:t xml:space="preserve"> </w:t>
      </w:r>
      <w:r>
        <w:rPr>
          <w:rFonts w:hint="default" w:ascii="Arial" w:hAnsi="Arial" w:eastAsia="宋体" w:cs="Arial"/>
          <w:bCs/>
          <w:color w:val="auto"/>
          <w:spacing w:val="6"/>
          <w:szCs w:val="31"/>
          <w:highlight w:val="none"/>
        </w:rPr>
        <w:t>合同文本</w:t>
      </w:r>
      <w:r>
        <w:rPr>
          <w:rFonts w:hint="default" w:ascii="Arial" w:hAnsi="Arial" w:eastAsia="宋体" w:cs="Arial"/>
          <w:color w:val="auto"/>
          <w:highlight w:val="none"/>
        </w:rPr>
        <w:tab/>
      </w:r>
      <w:r>
        <w:rPr>
          <w:rFonts w:hint="default" w:ascii="Arial" w:hAnsi="Arial" w:eastAsia="宋体" w:cs="Arial"/>
          <w:color w:val="auto"/>
          <w:highlight w:val="none"/>
        </w:rPr>
        <w:fldChar w:fldCharType="begin"/>
      </w:r>
      <w:r>
        <w:rPr>
          <w:rFonts w:hint="default" w:ascii="Arial" w:hAnsi="Arial" w:eastAsia="宋体" w:cs="Arial"/>
          <w:color w:val="auto"/>
          <w:highlight w:val="none"/>
        </w:rPr>
        <w:instrText xml:space="preserve"> PAGEREF _Toc21255 \h </w:instrText>
      </w:r>
      <w:r>
        <w:rPr>
          <w:rFonts w:hint="default" w:ascii="Arial" w:hAnsi="Arial" w:eastAsia="宋体" w:cs="Arial"/>
          <w:color w:val="auto"/>
          <w:highlight w:val="none"/>
        </w:rPr>
        <w:fldChar w:fldCharType="separate"/>
      </w:r>
      <w:r>
        <w:rPr>
          <w:rFonts w:hint="default" w:ascii="Arial" w:hAnsi="Arial" w:eastAsia="宋体" w:cs="Arial"/>
          <w:color w:val="auto"/>
          <w:highlight w:val="none"/>
        </w:rPr>
        <w:t>61</w:t>
      </w:r>
      <w:r>
        <w:rPr>
          <w:rFonts w:hint="default" w:ascii="Arial" w:hAnsi="Arial" w:eastAsia="宋体" w:cs="Arial"/>
          <w:color w:val="auto"/>
          <w:highlight w:val="none"/>
        </w:rPr>
        <w:fldChar w:fldCharType="end"/>
      </w:r>
      <w:r>
        <w:rPr>
          <w:rFonts w:hint="default" w:ascii="Arial" w:hAnsi="Arial" w:eastAsia="宋体" w:cs="Arial"/>
          <w:color w:val="auto"/>
          <w:highlight w:val="none"/>
        </w:rPr>
        <w:fldChar w:fldCharType="end"/>
      </w:r>
    </w:p>
    <w:p w14:paraId="600F2EC8">
      <w:pPr>
        <w:pStyle w:val="16"/>
        <w:rPr>
          <w:rFonts w:ascii="Arial" w:hAnsi="Arial" w:eastAsia="宋体" w:cs="Arial"/>
          <w:b/>
          <w:color w:val="auto"/>
          <w:sz w:val="24"/>
          <w:highlight w:val="none"/>
          <w:lang w:val="en-US" w:eastAsia="zh-CN" w:bidi="ar-SA"/>
        </w:rPr>
        <w:sectPr>
          <w:footerReference r:id="rId5" w:type="default"/>
          <w:pgSz w:w="11906" w:h="16839"/>
          <w:pgMar w:top="1431" w:right="1621" w:bottom="1429" w:left="1598" w:header="0" w:footer="1020" w:gutter="0"/>
          <w:pgNumType w:fmt="decimal" w:start="1"/>
          <w:cols w:space="720" w:num="1"/>
        </w:sectPr>
      </w:pPr>
      <w:r>
        <w:rPr>
          <w:rFonts w:hint="default" w:ascii="Arial" w:hAnsi="Arial" w:eastAsia="宋体" w:cs="Arial"/>
          <w:b/>
          <w:color w:val="auto"/>
          <w:highlight w:val="none"/>
        </w:rPr>
        <w:fldChar w:fldCharType="end"/>
      </w:r>
    </w:p>
    <w:p w14:paraId="13E4FEE9">
      <w:pPr>
        <w:tabs>
          <w:tab w:val="right" w:leader="dot" w:pos="8865"/>
        </w:tabs>
        <w:spacing w:before="305" w:line="224" w:lineRule="auto"/>
        <w:rPr>
          <w:rFonts w:ascii="Times New Roman" w:hAnsi="Times New Roman" w:eastAsia="Times New Roman" w:cs="Times New Roman"/>
          <w:color w:val="auto"/>
          <w:sz w:val="31"/>
          <w:szCs w:val="31"/>
          <w:highlight w:val="none"/>
        </w:rPr>
      </w:pPr>
    </w:p>
    <w:p w14:paraId="07C24E5C">
      <w:pPr>
        <w:spacing w:before="117" w:line="223" w:lineRule="auto"/>
        <w:ind w:left="3258"/>
        <w:outlineLvl w:val="0"/>
        <w:rPr>
          <w:rFonts w:ascii="宋体" w:hAnsi="宋体" w:eastAsia="宋体" w:cs="宋体"/>
          <w:color w:val="auto"/>
          <w:sz w:val="31"/>
          <w:szCs w:val="31"/>
          <w:highlight w:val="none"/>
        </w:rPr>
      </w:pPr>
      <w:bookmarkStart w:id="0" w:name="bookmark1"/>
      <w:bookmarkEnd w:id="0"/>
      <w:bookmarkStart w:id="1" w:name="bookmark2"/>
      <w:bookmarkEnd w:id="1"/>
      <w:bookmarkStart w:id="2" w:name="_Toc17227"/>
      <w:bookmarkStart w:id="3" w:name="_Toc23217"/>
      <w:r>
        <w:rPr>
          <w:rFonts w:ascii="宋体" w:hAnsi="宋体" w:eastAsia="宋体" w:cs="宋体"/>
          <w:b/>
          <w:bCs/>
          <w:color w:val="auto"/>
          <w:spacing w:val="6"/>
          <w:sz w:val="31"/>
          <w:szCs w:val="31"/>
          <w:highlight w:val="none"/>
        </w:rPr>
        <w:t>第一章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竞争性磋商公告</w:t>
      </w:r>
      <w:bookmarkEnd w:id="2"/>
      <w:bookmarkEnd w:id="3"/>
    </w:p>
    <w:p w14:paraId="4C105D9F">
      <w:pPr>
        <w:spacing w:before="113" w:line="360" w:lineRule="auto"/>
        <w:rPr>
          <w:color w:val="auto"/>
          <w:highlight w:val="none"/>
        </w:rPr>
      </w:pPr>
    </w:p>
    <w:tbl>
      <w:tblPr>
        <w:tblStyle w:val="18"/>
        <w:tblW w:w="9638"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38"/>
      </w:tblGrid>
      <w:tr w14:paraId="2E158B3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569" w:hRule="atLeast"/>
        </w:trPr>
        <w:tc>
          <w:tcPr>
            <w:tcW w:w="9638" w:type="dxa"/>
            <w:vAlign w:val="top"/>
          </w:tcPr>
          <w:p w14:paraId="1AEE72A7">
            <w:pPr>
              <w:pStyle w:val="19"/>
              <w:spacing w:before="149" w:line="360" w:lineRule="auto"/>
              <w:ind w:left="515"/>
              <w:rPr>
                <w:color w:val="auto"/>
                <w:highlight w:val="none"/>
              </w:rPr>
            </w:pPr>
            <w:r>
              <w:rPr>
                <w:color w:val="auto"/>
                <w:spacing w:val="6"/>
                <w:highlight w:val="none"/>
              </w:rPr>
              <w:t>项目概况</w:t>
            </w:r>
          </w:p>
          <w:p w14:paraId="47ABB7F4">
            <w:pPr>
              <w:pStyle w:val="19"/>
              <w:tabs>
                <w:tab w:val="left" w:pos="619"/>
              </w:tabs>
              <w:spacing w:before="132" w:line="360" w:lineRule="auto"/>
              <w:ind w:left="101" w:right="83" w:firstLine="400"/>
              <w:rPr>
                <w:color w:val="auto"/>
                <w:highlight w:val="none"/>
              </w:rPr>
            </w:pPr>
            <w:r>
              <w:rPr>
                <w:rFonts w:hint="eastAsia"/>
                <w:color w:val="auto"/>
                <w:spacing w:val="-3"/>
                <w:highlight w:val="none"/>
                <w:u w:val="single" w:color="auto"/>
                <w:lang w:eastAsia="zh-CN"/>
              </w:rPr>
              <w:t>西南岩溶国家公园等自然保护地重点生态产品普查和价值实现路径研究</w:t>
            </w:r>
            <w:r>
              <w:rPr>
                <w:color w:val="auto"/>
                <w:spacing w:val="-47"/>
                <w:highlight w:val="none"/>
                <w:u w:val="single" w:color="auto"/>
              </w:rPr>
              <w:t xml:space="preserve"> </w:t>
            </w:r>
            <w:r>
              <w:rPr>
                <w:color w:val="auto"/>
                <w:spacing w:val="-75"/>
                <w:highlight w:val="none"/>
              </w:rPr>
              <w:t xml:space="preserve"> </w:t>
            </w:r>
            <w:r>
              <w:rPr>
                <w:color w:val="auto"/>
                <w:spacing w:val="-3"/>
                <w:highlight w:val="none"/>
              </w:rPr>
              <w:t>的潜在供应商应在广西政府采购云平台</w:t>
            </w:r>
            <w:r>
              <w:rPr>
                <w:color w:val="auto"/>
                <w:spacing w:val="7"/>
                <w:highlight w:val="none"/>
              </w:rPr>
              <w:t>（</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highlight w:val="none"/>
              </w:rPr>
              <w:t>https</w:t>
            </w:r>
            <w:r>
              <w:rPr>
                <w:color w:val="auto"/>
                <w:spacing w:val="7"/>
                <w:highlight w:val="none"/>
              </w:rPr>
              <w:t>://</w:t>
            </w:r>
            <w:r>
              <w:rPr>
                <w:color w:val="auto"/>
                <w:highlight w:val="none"/>
              </w:rPr>
              <w:t>www</w:t>
            </w:r>
            <w:r>
              <w:rPr>
                <w:color w:val="auto"/>
                <w:spacing w:val="7"/>
                <w:highlight w:val="none"/>
              </w:rPr>
              <w:t>.</w:t>
            </w:r>
            <w:r>
              <w:rPr>
                <w:color w:val="auto"/>
                <w:highlight w:val="none"/>
              </w:rPr>
              <w:t>gcy</w:t>
            </w:r>
            <w:r>
              <w:rPr>
                <w:color w:val="auto"/>
                <w:spacing w:val="7"/>
                <w:highlight w:val="none"/>
              </w:rPr>
              <w:t>.</w:t>
            </w:r>
            <w:r>
              <w:rPr>
                <w:color w:val="auto"/>
                <w:highlight w:val="none"/>
              </w:rPr>
              <w:t>zfcg</w:t>
            </w:r>
            <w:r>
              <w:rPr>
                <w:color w:val="auto"/>
                <w:spacing w:val="7"/>
                <w:highlight w:val="none"/>
              </w:rPr>
              <w:t>.</w:t>
            </w:r>
            <w:r>
              <w:rPr>
                <w:color w:val="auto"/>
                <w:highlight w:val="none"/>
              </w:rPr>
              <w:t>gxzf</w:t>
            </w:r>
            <w:r>
              <w:rPr>
                <w:color w:val="auto"/>
                <w:spacing w:val="7"/>
                <w:highlight w:val="none"/>
              </w:rPr>
              <w:t>.</w:t>
            </w:r>
            <w:r>
              <w:rPr>
                <w:color w:val="auto"/>
                <w:highlight w:val="none"/>
              </w:rPr>
              <w:t>gov</w:t>
            </w:r>
            <w:r>
              <w:rPr>
                <w:color w:val="auto"/>
                <w:spacing w:val="7"/>
                <w:highlight w:val="none"/>
              </w:rPr>
              <w:t>.</w:t>
            </w:r>
            <w:r>
              <w:rPr>
                <w:color w:val="auto"/>
                <w:highlight w:val="none"/>
              </w:rPr>
              <w:t>cn</w:t>
            </w:r>
            <w:r>
              <w:rPr>
                <w:color w:val="auto"/>
                <w:spacing w:val="7"/>
                <w:highlight w:val="none"/>
              </w:rPr>
              <w:t>/</w:t>
            </w:r>
            <w:r>
              <w:rPr>
                <w:color w:val="auto"/>
                <w:spacing w:val="7"/>
                <w:highlight w:val="none"/>
              </w:rPr>
              <w:fldChar w:fldCharType="end"/>
            </w:r>
            <w:r>
              <w:rPr>
                <w:color w:val="auto"/>
                <w:spacing w:val="7"/>
                <w:highlight w:val="none"/>
              </w:rPr>
              <w:t>）获取竞争性磋商文件，并</w:t>
            </w:r>
            <w:r>
              <w:rPr>
                <w:color w:val="auto"/>
                <w:spacing w:val="6"/>
                <w:highlight w:val="none"/>
              </w:rPr>
              <w:t>于</w:t>
            </w:r>
            <w:r>
              <w:rPr>
                <w:color w:val="auto"/>
                <w:spacing w:val="6"/>
                <w:highlight w:val="none"/>
                <w:u w:val="single" w:color="auto"/>
              </w:rPr>
              <w:t>202</w:t>
            </w:r>
            <w:r>
              <w:rPr>
                <w:rFonts w:hint="eastAsia"/>
                <w:color w:val="auto"/>
                <w:spacing w:val="6"/>
                <w:highlight w:val="none"/>
                <w:u w:val="single" w:color="auto"/>
                <w:lang w:val="en-US" w:eastAsia="zh-CN"/>
              </w:rPr>
              <w:t>5</w:t>
            </w:r>
            <w:r>
              <w:rPr>
                <w:color w:val="auto"/>
                <w:spacing w:val="6"/>
                <w:highlight w:val="none"/>
                <w:u w:val="single" w:color="auto"/>
              </w:rPr>
              <w:t>年</w:t>
            </w:r>
            <w:r>
              <w:rPr>
                <w:rFonts w:hint="eastAsia"/>
                <w:color w:val="auto"/>
                <w:spacing w:val="6"/>
                <w:highlight w:val="none"/>
                <w:u w:val="single" w:color="auto"/>
                <w:lang w:val="en-US" w:eastAsia="zh-CN"/>
              </w:rPr>
              <w:t>6</w:t>
            </w:r>
            <w:r>
              <w:rPr>
                <w:color w:val="auto"/>
                <w:spacing w:val="6"/>
                <w:highlight w:val="none"/>
                <w:u w:val="single" w:color="auto"/>
              </w:rPr>
              <w:t>月</w:t>
            </w:r>
            <w:r>
              <w:rPr>
                <w:rFonts w:hint="eastAsia"/>
                <w:color w:val="auto"/>
                <w:spacing w:val="6"/>
                <w:highlight w:val="none"/>
                <w:u w:val="single" w:color="auto"/>
                <w:lang w:val="en-US" w:eastAsia="zh-CN"/>
              </w:rPr>
              <w:t>10</w:t>
            </w:r>
            <w:r>
              <w:rPr>
                <w:color w:val="auto"/>
                <w:spacing w:val="6"/>
                <w:highlight w:val="none"/>
                <w:u w:val="single" w:color="auto"/>
              </w:rPr>
              <w:t>日上午10时00分</w:t>
            </w:r>
            <w:r>
              <w:rPr>
                <w:color w:val="auto"/>
                <w:spacing w:val="7"/>
                <w:highlight w:val="none"/>
              </w:rPr>
              <w:t>（北京时间）前提交响应文件。</w:t>
            </w:r>
          </w:p>
        </w:tc>
      </w:tr>
    </w:tbl>
    <w:p w14:paraId="0874E163">
      <w:pPr>
        <w:spacing w:before="125" w:line="360" w:lineRule="auto"/>
        <w:ind w:left="543"/>
        <w:outlineLvl w:val="1"/>
        <w:rPr>
          <w:rFonts w:ascii="宋体" w:hAnsi="宋体" w:eastAsia="宋体" w:cs="宋体"/>
          <w:color w:val="auto"/>
          <w:sz w:val="20"/>
          <w:szCs w:val="20"/>
          <w:highlight w:val="none"/>
        </w:rPr>
      </w:pPr>
      <w:bookmarkStart w:id="4" w:name="_Toc5482"/>
      <w:bookmarkStart w:id="5" w:name="_Toc12470"/>
      <w:r>
        <w:rPr>
          <w:rFonts w:ascii="宋体" w:hAnsi="宋体" w:eastAsia="宋体" w:cs="宋体"/>
          <w:b/>
          <w:bCs/>
          <w:color w:val="auto"/>
          <w:spacing w:val="7"/>
          <w:sz w:val="20"/>
          <w:szCs w:val="20"/>
          <w:highlight w:val="none"/>
        </w:rPr>
        <w:t>一、项目基本情况</w:t>
      </w:r>
      <w:bookmarkEnd w:id="4"/>
      <w:bookmarkEnd w:id="5"/>
    </w:p>
    <w:p w14:paraId="5B6DBCD9">
      <w:pPr>
        <w:spacing w:before="132" w:line="360" w:lineRule="auto"/>
        <w:ind w:left="0" w:firstLine="428" w:firstLineChars="200"/>
        <w:rPr>
          <w:rFonts w:hint="default" w:ascii="宋体" w:hAnsi="宋体" w:eastAsia="宋体" w:cs="宋体"/>
          <w:color w:val="auto"/>
          <w:spacing w:val="7"/>
          <w:sz w:val="20"/>
          <w:szCs w:val="20"/>
          <w:highlight w:val="none"/>
          <w:lang w:eastAsia="zh-CN"/>
        </w:rPr>
      </w:pPr>
      <w:r>
        <w:rPr>
          <w:rFonts w:ascii="宋体" w:hAnsi="宋体" w:eastAsia="宋体" w:cs="宋体"/>
          <w:color w:val="auto"/>
          <w:spacing w:val="7"/>
          <w:sz w:val="20"/>
          <w:szCs w:val="20"/>
          <w:highlight w:val="none"/>
        </w:rPr>
        <w:t>项目编号：</w:t>
      </w:r>
      <w:r>
        <w:rPr>
          <w:rFonts w:hint="eastAsia" w:ascii="宋体" w:hAnsi="宋体" w:eastAsia="宋体" w:cs="宋体"/>
          <w:color w:val="auto"/>
          <w:spacing w:val="7"/>
          <w:sz w:val="20"/>
          <w:szCs w:val="20"/>
          <w:highlight w:val="none"/>
          <w:lang w:eastAsia="zh-CN"/>
        </w:rPr>
        <w:t>GXZC2025-C3-000559-GDZB</w:t>
      </w:r>
    </w:p>
    <w:p w14:paraId="1F65CD54">
      <w:pPr>
        <w:spacing w:before="132" w:line="360" w:lineRule="auto"/>
        <w:ind w:left="0" w:firstLine="428" w:firstLineChars="200"/>
        <w:rPr>
          <w:rFonts w:hint="eastAsia" w:ascii="宋体" w:hAnsi="宋体" w:eastAsia="宋体" w:cs="宋体"/>
          <w:color w:val="auto"/>
          <w:spacing w:val="7"/>
          <w:sz w:val="20"/>
          <w:szCs w:val="20"/>
          <w:highlight w:val="none"/>
          <w:lang w:eastAsia="zh-CN"/>
        </w:rPr>
      </w:pPr>
      <w:r>
        <w:rPr>
          <w:rFonts w:ascii="宋体" w:hAnsi="宋体" w:eastAsia="宋体" w:cs="宋体"/>
          <w:color w:val="auto"/>
          <w:spacing w:val="7"/>
          <w:sz w:val="20"/>
          <w:szCs w:val="20"/>
          <w:highlight w:val="none"/>
        </w:rPr>
        <w:t>政府采购计划编号：</w:t>
      </w:r>
      <w:r>
        <w:rPr>
          <w:rFonts w:hint="eastAsia" w:ascii="宋体" w:hAnsi="宋体" w:eastAsia="宋体" w:cs="宋体"/>
          <w:color w:val="auto"/>
          <w:spacing w:val="7"/>
          <w:sz w:val="20"/>
          <w:szCs w:val="20"/>
          <w:highlight w:val="none"/>
          <w:lang w:eastAsia="zh-CN"/>
        </w:rPr>
        <w:t>广西政采[2025]5398号</w:t>
      </w:r>
    </w:p>
    <w:p w14:paraId="6D58B70A">
      <w:pPr>
        <w:spacing w:before="132" w:line="360" w:lineRule="auto"/>
        <w:ind w:left="0" w:firstLine="428" w:firstLineChars="200"/>
        <w:rPr>
          <w:rFonts w:hint="default" w:ascii="宋体" w:hAnsi="宋体" w:eastAsia="宋体" w:cs="宋体"/>
          <w:color w:val="auto"/>
          <w:spacing w:val="7"/>
          <w:sz w:val="20"/>
          <w:szCs w:val="20"/>
          <w:highlight w:val="none"/>
          <w:lang w:eastAsia="zh-CN"/>
        </w:rPr>
      </w:pPr>
      <w:r>
        <w:rPr>
          <w:rFonts w:ascii="宋体" w:hAnsi="宋体" w:eastAsia="宋体" w:cs="宋体"/>
          <w:color w:val="auto"/>
          <w:spacing w:val="7"/>
          <w:sz w:val="20"/>
          <w:szCs w:val="20"/>
          <w:highlight w:val="none"/>
        </w:rPr>
        <w:t>项目名称：</w:t>
      </w:r>
      <w:r>
        <w:rPr>
          <w:rFonts w:hint="default" w:ascii="宋体" w:hAnsi="宋体" w:eastAsia="宋体" w:cs="宋体"/>
          <w:color w:val="auto"/>
          <w:spacing w:val="7"/>
          <w:sz w:val="20"/>
          <w:szCs w:val="20"/>
          <w:highlight w:val="none"/>
          <w:lang w:eastAsia="zh-CN"/>
        </w:rPr>
        <w:t>西南岩溶国家公园等自然保护地重点生态产品普查和价值实现路径研究</w:t>
      </w:r>
    </w:p>
    <w:p w14:paraId="32DA9135">
      <w:pPr>
        <w:spacing w:before="132" w:line="360" w:lineRule="auto"/>
        <w:ind w:left="0" w:firstLine="428" w:firstLineChars="200"/>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采购方式：竞争性磋商</w:t>
      </w:r>
    </w:p>
    <w:p w14:paraId="3740AB28">
      <w:pPr>
        <w:spacing w:before="132" w:line="360" w:lineRule="auto"/>
        <w:ind w:left="0" w:firstLine="428" w:firstLineChars="200"/>
        <w:rPr>
          <w:rFonts w:hint="default" w:ascii="宋体" w:hAnsi="宋体" w:eastAsia="宋体" w:cs="宋体"/>
          <w:color w:val="auto"/>
          <w:spacing w:val="7"/>
          <w:sz w:val="20"/>
          <w:szCs w:val="20"/>
          <w:highlight w:val="none"/>
          <w:lang w:eastAsia="zh-CN"/>
        </w:rPr>
      </w:pPr>
      <w:r>
        <w:rPr>
          <w:rFonts w:ascii="宋体" w:hAnsi="宋体" w:eastAsia="宋体" w:cs="宋体"/>
          <w:color w:val="auto"/>
          <w:spacing w:val="7"/>
          <w:sz w:val="20"/>
          <w:szCs w:val="20"/>
          <w:highlight w:val="none"/>
        </w:rPr>
        <w:t>预算金额：人民币</w:t>
      </w:r>
      <w:r>
        <w:rPr>
          <w:rFonts w:hint="default" w:ascii="宋体" w:hAnsi="宋体" w:eastAsia="宋体" w:cs="宋体"/>
          <w:color w:val="auto"/>
          <w:spacing w:val="7"/>
          <w:sz w:val="20"/>
          <w:szCs w:val="20"/>
          <w:highlight w:val="none"/>
          <w:lang w:eastAsia="zh-CN"/>
        </w:rPr>
        <w:t>贰佰贰拾万元整(¥2200000.00）</w:t>
      </w:r>
    </w:p>
    <w:p w14:paraId="62B50E18">
      <w:pPr>
        <w:autoSpaceDE/>
        <w:autoSpaceDN/>
        <w:spacing w:before="132" w:line="360" w:lineRule="auto"/>
        <w:ind w:left="0" w:right="0" w:firstLine="428" w:firstLineChars="200"/>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最高限价：同预算金额。</w:t>
      </w:r>
    </w:p>
    <w:p w14:paraId="67B88313">
      <w:pPr>
        <w:autoSpaceDE/>
        <w:autoSpaceDN/>
        <w:spacing w:before="132" w:line="360" w:lineRule="auto"/>
        <w:ind w:left="0" w:right="0" w:firstLine="428" w:firstLineChars="200"/>
        <w:rPr>
          <w:rFonts w:hint="default" w:ascii="宋体" w:hAnsi="宋体" w:eastAsia="宋体" w:cs="宋体"/>
          <w:color w:val="auto"/>
          <w:spacing w:val="7"/>
          <w:sz w:val="20"/>
          <w:szCs w:val="20"/>
          <w:highlight w:val="none"/>
          <w:lang w:val="en-US"/>
        </w:rPr>
      </w:pPr>
      <w:r>
        <w:rPr>
          <w:rFonts w:ascii="宋体" w:hAnsi="宋体" w:eastAsia="宋体" w:cs="宋体"/>
          <w:color w:val="auto"/>
          <w:spacing w:val="7"/>
          <w:sz w:val="20"/>
          <w:szCs w:val="20"/>
          <w:highlight w:val="none"/>
        </w:rPr>
        <w:t>采购需求：</w:t>
      </w:r>
      <w:r>
        <w:rPr>
          <w:rFonts w:hint="default" w:ascii="Arial" w:hAnsi="Arial" w:eastAsia="宋体" w:cs="Arial"/>
          <w:color w:val="auto"/>
          <w:sz w:val="20"/>
          <w:szCs w:val="20"/>
          <w:highlight w:val="none"/>
          <w:lang w:eastAsia="zh-CN"/>
        </w:rPr>
        <w:t>西南岩溶国家公园等自然保护地重点生态产品普查和价值实现路径研究</w:t>
      </w:r>
      <w:r>
        <w:rPr>
          <w:rFonts w:hint="eastAsia" w:eastAsia="宋体" w:cs="Arial"/>
          <w:color w:val="auto"/>
          <w:sz w:val="20"/>
          <w:szCs w:val="20"/>
          <w:highlight w:val="none"/>
          <w:lang w:val="en-US" w:eastAsia="zh-CN"/>
        </w:rPr>
        <w:t>1项，拟选定</w:t>
      </w:r>
      <w:r>
        <w:rPr>
          <w:rFonts w:hint="default" w:ascii="Arial" w:hAnsi="Arial" w:eastAsia="宋体" w:cs="Arial"/>
          <w:color w:val="auto"/>
          <w:sz w:val="20"/>
          <w:szCs w:val="20"/>
          <w:highlight w:val="none"/>
        </w:rPr>
        <w:t>1家</w:t>
      </w:r>
      <w:r>
        <w:rPr>
          <w:rFonts w:hint="eastAsia" w:eastAsia="宋体" w:cs="Arial"/>
          <w:color w:val="auto"/>
          <w:sz w:val="20"/>
          <w:szCs w:val="20"/>
          <w:highlight w:val="none"/>
          <w:lang w:val="en-US" w:eastAsia="zh-CN"/>
        </w:rPr>
        <w:t>成交服务单位，服务地点广西壮族自治区林业局采购人指定地点，具体内容详见竞争性磋商文件。</w:t>
      </w:r>
    </w:p>
    <w:p w14:paraId="6F397F40">
      <w:pPr>
        <w:autoSpaceDE/>
        <w:autoSpaceDN/>
        <w:spacing w:before="0" w:line="360" w:lineRule="auto"/>
        <w:ind w:left="0" w:right="0" w:firstLine="432" w:firstLineChars="200"/>
        <w:rPr>
          <w:rFonts w:ascii="宋体" w:hAnsi="宋体" w:eastAsia="宋体" w:cs="宋体"/>
          <w:color w:val="auto"/>
          <w:spacing w:val="7"/>
          <w:sz w:val="20"/>
          <w:szCs w:val="20"/>
          <w:highlight w:val="none"/>
        </w:rPr>
      </w:pPr>
      <w:r>
        <w:rPr>
          <w:rFonts w:ascii="宋体" w:hAnsi="宋体" w:eastAsia="宋体" w:cs="宋体"/>
          <w:color w:val="auto"/>
          <w:spacing w:val="8"/>
          <w:sz w:val="20"/>
          <w:szCs w:val="20"/>
          <w:highlight w:val="none"/>
        </w:rPr>
        <w:t>合同履行期限：</w:t>
      </w:r>
      <w:r>
        <w:rPr>
          <w:rFonts w:hint="eastAsia" w:ascii="宋体" w:hAnsi="宋体" w:eastAsia="宋体" w:cs="宋体"/>
          <w:color w:val="auto"/>
          <w:spacing w:val="8"/>
          <w:sz w:val="20"/>
          <w:szCs w:val="20"/>
          <w:highlight w:val="none"/>
        </w:rPr>
        <w:t>2025年12月10日前提交成果并验收通过</w:t>
      </w:r>
      <w:r>
        <w:rPr>
          <w:rFonts w:ascii="宋体" w:hAnsi="宋体" w:eastAsia="宋体" w:cs="宋体"/>
          <w:color w:val="auto"/>
          <w:spacing w:val="7"/>
          <w:sz w:val="20"/>
          <w:szCs w:val="20"/>
          <w:highlight w:val="none"/>
        </w:rPr>
        <w:t>。</w:t>
      </w:r>
    </w:p>
    <w:p w14:paraId="7054F5E3">
      <w:pPr>
        <w:autoSpaceDE/>
        <w:autoSpaceDN/>
        <w:spacing w:before="0" w:line="360" w:lineRule="auto"/>
        <w:ind w:left="0" w:righ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本项目不接受联合体。</w:t>
      </w:r>
    </w:p>
    <w:p w14:paraId="02EA815C">
      <w:pPr>
        <w:autoSpaceDE/>
        <w:autoSpaceDN/>
        <w:spacing w:before="36" w:line="360" w:lineRule="auto"/>
        <w:ind w:left="543"/>
        <w:outlineLvl w:val="1"/>
        <w:rPr>
          <w:rFonts w:ascii="宋体" w:hAnsi="宋体" w:eastAsia="宋体" w:cs="宋体"/>
          <w:color w:val="auto"/>
          <w:sz w:val="20"/>
          <w:szCs w:val="20"/>
          <w:highlight w:val="none"/>
        </w:rPr>
      </w:pPr>
      <w:bookmarkStart w:id="6" w:name="_Toc13378"/>
      <w:bookmarkStart w:id="7" w:name="_Toc13211"/>
      <w:r>
        <w:rPr>
          <w:rFonts w:ascii="宋体" w:hAnsi="宋体" w:eastAsia="宋体" w:cs="宋体"/>
          <w:b/>
          <w:bCs/>
          <w:color w:val="auto"/>
          <w:spacing w:val="6"/>
          <w:sz w:val="20"/>
          <w:szCs w:val="20"/>
          <w:highlight w:val="none"/>
        </w:rPr>
        <w:t>二、供应商的资格条件：</w:t>
      </w:r>
      <w:bookmarkEnd w:id="6"/>
      <w:bookmarkEnd w:id="7"/>
    </w:p>
    <w:p w14:paraId="03A334A3">
      <w:pPr>
        <w:autoSpaceDE/>
        <w:autoSpaceDN/>
        <w:spacing w:before="134" w:line="360" w:lineRule="auto"/>
        <w:ind w:left="55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1.满足《中华人民共和国政府采购法》第二十二条规定；</w:t>
      </w:r>
    </w:p>
    <w:p w14:paraId="29FBBD58">
      <w:pPr>
        <w:autoSpaceDE/>
        <w:autoSpaceDN/>
        <w:spacing w:before="132" w:line="360" w:lineRule="auto"/>
        <w:ind w:left="119" w:right="532" w:firstLine="4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2.落实政府采购政策需满足的资格要求：本项目属于专门面向中小企业项目。中小企业应符合本项目服务全部由中小企业承接。残疾人福利单位及监狱企业视同小微企业。</w:t>
      </w:r>
    </w:p>
    <w:p w14:paraId="7047AC51">
      <w:pPr>
        <w:autoSpaceDE/>
        <w:autoSpaceDN/>
        <w:spacing w:before="29" w:line="360" w:lineRule="auto"/>
        <w:ind w:left="54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3.本项目的特定资格要求：无。</w:t>
      </w:r>
    </w:p>
    <w:p w14:paraId="20984DF7">
      <w:pPr>
        <w:spacing w:before="133" w:line="360" w:lineRule="auto"/>
        <w:ind w:left="539"/>
        <w:outlineLvl w:val="1"/>
        <w:rPr>
          <w:rFonts w:ascii="宋体" w:hAnsi="宋体" w:eastAsia="宋体" w:cs="宋体"/>
          <w:color w:val="auto"/>
          <w:sz w:val="20"/>
          <w:szCs w:val="20"/>
          <w:highlight w:val="none"/>
        </w:rPr>
      </w:pPr>
      <w:bookmarkStart w:id="8" w:name="_Toc22954"/>
      <w:bookmarkStart w:id="9" w:name="_Toc32037"/>
      <w:r>
        <w:rPr>
          <w:rFonts w:ascii="宋体" w:hAnsi="宋体" w:eastAsia="宋体" w:cs="宋体"/>
          <w:b/>
          <w:bCs/>
          <w:color w:val="auto"/>
          <w:spacing w:val="7"/>
          <w:sz w:val="20"/>
          <w:szCs w:val="20"/>
          <w:highlight w:val="none"/>
        </w:rPr>
        <w:t>三、获取竞争性磋商文件</w:t>
      </w:r>
      <w:bookmarkEnd w:id="8"/>
      <w:bookmarkEnd w:id="9"/>
    </w:p>
    <w:p w14:paraId="1549B40E">
      <w:pPr>
        <w:spacing w:before="136" w:line="360" w:lineRule="auto"/>
        <w:ind w:left="120" w:right="530" w:firstLine="434"/>
        <w:jc w:val="both"/>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1.时间：</w:t>
      </w:r>
      <w:r>
        <w:rPr>
          <w:rFonts w:ascii="宋体" w:hAnsi="宋体" w:eastAsia="宋体" w:cs="宋体"/>
          <w:color w:val="auto"/>
          <w:spacing w:val="21"/>
          <w:sz w:val="20"/>
          <w:szCs w:val="20"/>
          <w:highlight w:val="none"/>
        </w:rPr>
        <w:t>202</w:t>
      </w:r>
      <w:r>
        <w:rPr>
          <w:rFonts w:hint="default" w:ascii="宋体" w:hAnsi="宋体" w:eastAsia="宋体" w:cs="宋体"/>
          <w:color w:val="auto"/>
          <w:spacing w:val="21"/>
          <w:sz w:val="20"/>
          <w:szCs w:val="20"/>
          <w:highlight w:val="none"/>
          <w:lang w:val="en-US" w:eastAsia="zh-CN"/>
        </w:rPr>
        <w:t>5</w:t>
      </w:r>
      <w:r>
        <w:rPr>
          <w:rFonts w:ascii="宋体" w:hAnsi="宋体" w:eastAsia="宋体" w:cs="宋体"/>
          <w:color w:val="auto"/>
          <w:spacing w:val="21"/>
          <w:sz w:val="20"/>
          <w:szCs w:val="20"/>
          <w:highlight w:val="none"/>
        </w:rPr>
        <w:t>年</w:t>
      </w:r>
      <w:r>
        <w:rPr>
          <w:rFonts w:hint="eastAsia" w:ascii="宋体" w:hAnsi="宋体" w:eastAsia="宋体" w:cs="宋体"/>
          <w:color w:val="auto"/>
          <w:spacing w:val="21"/>
          <w:sz w:val="20"/>
          <w:szCs w:val="20"/>
          <w:highlight w:val="none"/>
          <w:lang w:val="en-US" w:eastAsia="zh-CN"/>
        </w:rPr>
        <w:t>5</w:t>
      </w:r>
      <w:r>
        <w:rPr>
          <w:rFonts w:ascii="宋体" w:hAnsi="宋体" w:eastAsia="宋体" w:cs="宋体"/>
          <w:color w:val="auto"/>
          <w:spacing w:val="21"/>
          <w:sz w:val="20"/>
          <w:szCs w:val="20"/>
          <w:highlight w:val="none"/>
        </w:rPr>
        <w:t>月</w:t>
      </w:r>
      <w:r>
        <w:rPr>
          <w:rFonts w:hint="eastAsia" w:ascii="宋体" w:hAnsi="宋体" w:eastAsia="宋体" w:cs="宋体"/>
          <w:color w:val="auto"/>
          <w:spacing w:val="21"/>
          <w:sz w:val="20"/>
          <w:szCs w:val="20"/>
          <w:highlight w:val="none"/>
          <w:lang w:val="en-US" w:eastAsia="zh-CN"/>
        </w:rPr>
        <w:t>30</w:t>
      </w:r>
      <w:r>
        <w:rPr>
          <w:rFonts w:ascii="宋体" w:hAnsi="宋体" w:eastAsia="宋体" w:cs="宋体"/>
          <w:color w:val="auto"/>
          <w:spacing w:val="21"/>
          <w:sz w:val="20"/>
          <w:szCs w:val="20"/>
          <w:highlight w:val="none"/>
        </w:rPr>
        <w:t>日至202</w:t>
      </w:r>
      <w:r>
        <w:rPr>
          <w:rFonts w:hint="default" w:ascii="宋体" w:hAnsi="宋体" w:eastAsia="宋体" w:cs="宋体"/>
          <w:color w:val="auto"/>
          <w:spacing w:val="21"/>
          <w:sz w:val="20"/>
          <w:szCs w:val="20"/>
          <w:highlight w:val="none"/>
          <w:lang w:val="en-US" w:eastAsia="zh-CN"/>
        </w:rPr>
        <w:t>5</w:t>
      </w:r>
      <w:r>
        <w:rPr>
          <w:rFonts w:ascii="宋体" w:hAnsi="宋体" w:eastAsia="宋体" w:cs="宋体"/>
          <w:color w:val="auto"/>
          <w:spacing w:val="21"/>
          <w:sz w:val="20"/>
          <w:szCs w:val="20"/>
          <w:highlight w:val="none"/>
        </w:rPr>
        <w:t>年</w:t>
      </w:r>
      <w:r>
        <w:rPr>
          <w:rFonts w:hint="eastAsia" w:ascii="宋体" w:hAnsi="宋体" w:eastAsia="宋体" w:cs="宋体"/>
          <w:color w:val="auto"/>
          <w:spacing w:val="21"/>
          <w:sz w:val="20"/>
          <w:szCs w:val="20"/>
          <w:highlight w:val="none"/>
          <w:lang w:val="en-US" w:eastAsia="zh-CN"/>
        </w:rPr>
        <w:t>6</w:t>
      </w:r>
      <w:r>
        <w:rPr>
          <w:rFonts w:ascii="宋体" w:hAnsi="宋体" w:eastAsia="宋体" w:cs="宋体"/>
          <w:color w:val="auto"/>
          <w:spacing w:val="21"/>
          <w:sz w:val="20"/>
          <w:szCs w:val="20"/>
          <w:highlight w:val="none"/>
        </w:rPr>
        <w:t>月</w:t>
      </w:r>
      <w:r>
        <w:rPr>
          <w:rFonts w:hint="eastAsia" w:ascii="宋体" w:hAnsi="宋体" w:eastAsia="宋体" w:cs="宋体"/>
          <w:color w:val="auto"/>
          <w:spacing w:val="21"/>
          <w:sz w:val="20"/>
          <w:szCs w:val="20"/>
          <w:highlight w:val="none"/>
          <w:lang w:val="en-US" w:eastAsia="zh-CN"/>
        </w:rPr>
        <w:t>9</w:t>
      </w:r>
      <w:r>
        <w:rPr>
          <w:rFonts w:ascii="宋体" w:hAnsi="宋体" w:eastAsia="宋体" w:cs="宋体"/>
          <w:color w:val="auto"/>
          <w:spacing w:val="21"/>
          <w:sz w:val="20"/>
          <w:szCs w:val="20"/>
          <w:highlight w:val="none"/>
        </w:rPr>
        <w:t>日18时00分（北京时间）</w:t>
      </w:r>
      <w:r>
        <w:rPr>
          <w:rFonts w:ascii="宋体" w:hAnsi="宋体" w:eastAsia="宋体" w:cs="宋体"/>
          <w:color w:val="auto"/>
          <w:spacing w:val="-4"/>
          <w:sz w:val="20"/>
          <w:szCs w:val="20"/>
          <w:highlight w:val="none"/>
        </w:rPr>
        <w:t>（</w:t>
      </w:r>
      <w:r>
        <w:rPr>
          <w:rFonts w:ascii="宋体" w:hAnsi="宋体" w:eastAsia="宋体" w:cs="宋体"/>
          <w:color w:val="auto"/>
          <w:spacing w:val="2"/>
          <w:sz w:val="20"/>
          <w:szCs w:val="20"/>
          <w:highlight w:val="none"/>
        </w:rPr>
        <w:t>磋商文件的发售期限自开</w:t>
      </w:r>
      <w:r>
        <w:rPr>
          <w:rFonts w:ascii="宋体" w:hAnsi="宋体" w:eastAsia="宋体" w:cs="宋体"/>
          <w:color w:val="auto"/>
          <w:spacing w:val="13"/>
          <w:sz w:val="20"/>
          <w:szCs w:val="20"/>
          <w:highlight w:val="none"/>
        </w:rPr>
        <w:t>始之日起不得少于5个工作日）登陆广西政府采购云平台（</w:t>
      </w:r>
      <w:r>
        <w:rPr>
          <w:rFonts w:ascii="宋体" w:hAnsi="宋体" w:eastAsia="宋体" w:cs="宋体"/>
          <w:color w:val="auto"/>
          <w:sz w:val="20"/>
          <w:szCs w:val="20"/>
          <w:highlight w:val="none"/>
        </w:rPr>
        <w:t>https</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3"/>
          <w:sz w:val="20"/>
          <w:szCs w:val="20"/>
          <w:highlight w:val="none"/>
        </w:rPr>
        <w:t>/）获取</w:t>
      </w:r>
      <w:r>
        <w:rPr>
          <w:rFonts w:ascii="宋体" w:hAnsi="宋体" w:eastAsia="宋体" w:cs="宋体"/>
          <w:color w:val="auto"/>
          <w:spacing w:val="7"/>
          <w:sz w:val="20"/>
          <w:szCs w:val="20"/>
          <w:highlight w:val="none"/>
        </w:rPr>
        <w:t>竞争性磋商文件。</w:t>
      </w:r>
    </w:p>
    <w:p w14:paraId="74FBE145">
      <w:pPr>
        <w:spacing w:before="34" w:line="360" w:lineRule="auto"/>
        <w:ind w:left="542"/>
        <w:rPr>
          <w:rFonts w:ascii="宋体" w:hAnsi="宋体" w:eastAsia="宋体" w:cs="宋体"/>
          <w:color w:val="auto"/>
          <w:spacing w:val="11"/>
          <w:sz w:val="20"/>
          <w:szCs w:val="20"/>
          <w:highlight w:val="none"/>
        </w:rPr>
      </w:pPr>
      <w:r>
        <w:rPr>
          <w:rFonts w:ascii="宋体" w:hAnsi="宋体" w:eastAsia="宋体" w:cs="宋体"/>
          <w:color w:val="auto"/>
          <w:spacing w:val="11"/>
          <w:sz w:val="20"/>
          <w:szCs w:val="20"/>
          <w:highlight w:val="none"/>
        </w:rPr>
        <w:t>2.地点：广西政府采购云平台（</w:t>
      </w:r>
      <w:r>
        <w:rPr>
          <w:rFonts w:ascii="宋体" w:hAnsi="宋体" w:eastAsia="宋体" w:cs="宋体"/>
          <w:color w:val="auto"/>
          <w:sz w:val="20"/>
          <w:szCs w:val="20"/>
          <w:highlight w:val="none"/>
        </w:rPr>
        <w:t>https</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1"/>
          <w:sz w:val="20"/>
          <w:szCs w:val="20"/>
          <w:highlight w:val="none"/>
        </w:rPr>
        <w:t>/）</w:t>
      </w:r>
    </w:p>
    <w:p w14:paraId="36C6C874">
      <w:pPr>
        <w:spacing w:before="41" w:line="360" w:lineRule="auto"/>
        <w:ind w:right="70" w:firstLine="425"/>
        <w:jc w:val="both"/>
        <w:rPr>
          <w:rFonts w:ascii="宋体" w:hAnsi="宋体" w:eastAsia="宋体" w:cs="宋体"/>
          <w:color w:val="auto"/>
          <w:spacing w:val="10"/>
          <w:sz w:val="20"/>
          <w:szCs w:val="20"/>
          <w:highlight w:val="none"/>
        </w:rPr>
        <w:sectPr>
          <w:footerReference r:id="rId6" w:type="default"/>
          <w:pgSz w:w="11906" w:h="16839"/>
          <w:pgMar w:top="1243" w:right="1134" w:bottom="1362" w:left="1140" w:header="0" w:footer="1020" w:gutter="0"/>
          <w:pgNumType w:fmt="decimal"/>
          <w:cols w:space="720" w:num="1"/>
        </w:sectPr>
      </w:pPr>
      <w:r>
        <w:rPr>
          <w:rFonts w:ascii="宋体" w:hAnsi="宋体" w:eastAsia="宋体" w:cs="宋体"/>
          <w:color w:val="auto"/>
          <w:spacing w:val="21"/>
          <w:sz w:val="20"/>
          <w:szCs w:val="20"/>
          <w:highlight w:val="none"/>
        </w:rPr>
        <w:t>3.方式：网上下载。本项目不发放纸质采购文件，潜在</w:t>
      </w:r>
      <w:r>
        <w:rPr>
          <w:rFonts w:ascii="宋体" w:hAnsi="宋体" w:eastAsia="宋体" w:cs="宋体"/>
          <w:color w:val="auto"/>
          <w:spacing w:val="20"/>
          <w:sz w:val="20"/>
          <w:szCs w:val="20"/>
          <w:highlight w:val="none"/>
        </w:rPr>
        <w:t>供应商可自行在广西政府采购云平台</w:t>
      </w:r>
      <w:r>
        <w:rPr>
          <w:rFonts w:ascii="宋体" w:hAnsi="宋体" w:eastAsia="宋体" w:cs="宋体"/>
          <w:color w:val="auto"/>
          <w:spacing w:val="11"/>
          <w:sz w:val="20"/>
          <w:szCs w:val="20"/>
          <w:highlight w:val="none"/>
        </w:rPr>
        <w:t>（</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宋体" w:hAnsi="宋体" w:eastAsia="宋体" w:cs="宋体"/>
          <w:color w:val="auto"/>
          <w:sz w:val="20"/>
          <w:szCs w:val="20"/>
          <w:highlight w:val="none"/>
        </w:rPr>
        <w:t>https</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1"/>
          <w:sz w:val="20"/>
          <w:szCs w:val="20"/>
          <w:highlight w:val="none"/>
        </w:rPr>
        <w:t>/</w:t>
      </w:r>
      <w:r>
        <w:rPr>
          <w:rFonts w:ascii="宋体" w:hAnsi="宋体" w:eastAsia="宋体" w:cs="宋体"/>
          <w:color w:val="auto"/>
          <w:spacing w:val="11"/>
          <w:sz w:val="20"/>
          <w:szCs w:val="20"/>
          <w:highlight w:val="none"/>
        </w:rPr>
        <w:fldChar w:fldCharType="end"/>
      </w:r>
      <w:r>
        <w:rPr>
          <w:rFonts w:ascii="宋体" w:hAnsi="宋体" w:eastAsia="宋体" w:cs="宋体"/>
          <w:color w:val="auto"/>
          <w:spacing w:val="11"/>
          <w:sz w:val="20"/>
          <w:szCs w:val="20"/>
          <w:highlight w:val="none"/>
        </w:rPr>
        <w:t>）下载采购文件（操作路径：登录广西政府采购云平台-项目采购</w:t>
      </w:r>
      <w:r>
        <w:rPr>
          <w:rFonts w:ascii="宋体" w:hAnsi="宋体" w:eastAsia="宋体" w:cs="宋体"/>
          <w:color w:val="auto"/>
          <w:spacing w:val="10"/>
          <w:sz w:val="20"/>
          <w:szCs w:val="20"/>
          <w:highlight w:val="none"/>
        </w:rPr>
        <w:t>-</w:t>
      </w:r>
    </w:p>
    <w:p w14:paraId="5F74BF55">
      <w:pPr>
        <w:spacing w:before="41" w:line="360" w:lineRule="auto"/>
        <w:ind w:right="70" w:firstLine="425"/>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获取采购文件-找到本项目-点击“申请获取采购文件”</w:t>
      </w:r>
      <w:r>
        <w:rPr>
          <w:rFonts w:ascii="宋体" w:hAnsi="宋体" w:eastAsia="宋体" w:cs="宋体"/>
          <w:color w:val="auto"/>
          <w:spacing w:val="-9"/>
          <w:sz w:val="20"/>
          <w:szCs w:val="20"/>
          <w:highlight w:val="none"/>
        </w:rPr>
        <w:t>），</w:t>
      </w:r>
      <w:r>
        <w:rPr>
          <w:rFonts w:ascii="宋体" w:hAnsi="宋体" w:eastAsia="宋体" w:cs="宋体"/>
          <w:color w:val="auto"/>
          <w:spacing w:val="10"/>
          <w:sz w:val="20"/>
          <w:szCs w:val="20"/>
          <w:highlight w:val="none"/>
        </w:rPr>
        <w:t>电子响</w:t>
      </w:r>
      <w:r>
        <w:rPr>
          <w:rFonts w:ascii="宋体" w:hAnsi="宋体" w:eastAsia="宋体" w:cs="宋体"/>
          <w:color w:val="auto"/>
          <w:spacing w:val="9"/>
          <w:sz w:val="20"/>
          <w:szCs w:val="20"/>
          <w:highlight w:val="none"/>
        </w:rPr>
        <w:t>应文件制作需要基于广西政府采购云</w:t>
      </w:r>
      <w:r>
        <w:rPr>
          <w:rFonts w:ascii="宋体" w:hAnsi="宋体" w:eastAsia="宋体" w:cs="宋体"/>
          <w:color w:val="auto"/>
          <w:spacing w:val="12"/>
          <w:sz w:val="20"/>
          <w:szCs w:val="20"/>
          <w:highlight w:val="none"/>
        </w:rPr>
        <w:t>平台（</w:t>
      </w:r>
      <w:r>
        <w:rPr>
          <w:rFonts w:ascii="宋体" w:hAnsi="宋体" w:eastAsia="宋体" w:cs="宋体"/>
          <w:color w:val="auto"/>
          <w:sz w:val="20"/>
          <w:szCs w:val="20"/>
          <w:highlight w:val="none"/>
        </w:rPr>
        <w:t>https</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2"/>
          <w:sz w:val="20"/>
          <w:szCs w:val="20"/>
          <w:highlight w:val="none"/>
        </w:rPr>
        <w:t>/）获取的采购文件编制。</w:t>
      </w:r>
    </w:p>
    <w:p w14:paraId="2880442C">
      <w:pPr>
        <w:spacing w:before="37" w:line="360" w:lineRule="auto"/>
        <w:ind w:left="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注：已获取竞争性磋商文件的供应商不等于符合本项目的供应商资格条件。</w:t>
      </w:r>
    </w:p>
    <w:p w14:paraId="34897DEC">
      <w:pPr>
        <w:spacing w:before="135" w:line="360" w:lineRule="auto"/>
        <w:ind w:left="441"/>
        <w:outlineLvl w:val="1"/>
        <w:rPr>
          <w:rFonts w:ascii="宋体" w:hAnsi="宋体" w:eastAsia="宋体" w:cs="宋体"/>
          <w:color w:val="auto"/>
          <w:sz w:val="20"/>
          <w:szCs w:val="20"/>
          <w:highlight w:val="none"/>
        </w:rPr>
      </w:pPr>
      <w:bookmarkStart w:id="10" w:name="_Toc15083"/>
      <w:bookmarkStart w:id="11" w:name="_Toc27320"/>
      <w:r>
        <w:rPr>
          <w:rFonts w:ascii="宋体" w:hAnsi="宋体" w:eastAsia="宋体" w:cs="宋体"/>
          <w:b/>
          <w:bCs/>
          <w:color w:val="auto"/>
          <w:spacing w:val="5"/>
          <w:sz w:val="20"/>
          <w:szCs w:val="20"/>
          <w:highlight w:val="none"/>
        </w:rPr>
        <w:t>四、响应文件提交</w:t>
      </w:r>
      <w:bookmarkEnd w:id="10"/>
      <w:bookmarkEnd w:id="11"/>
    </w:p>
    <w:p w14:paraId="40E1A2F1">
      <w:pPr>
        <w:spacing w:before="132" w:line="360" w:lineRule="auto"/>
        <w:ind w:left="424" w:right="2011" w:firstLine="12"/>
        <w:rPr>
          <w:rFonts w:hint="default" w:ascii="宋体" w:hAnsi="宋体" w:eastAsia="宋体" w:cs="宋体"/>
          <w:color w:val="auto"/>
          <w:spacing w:val="9"/>
          <w:sz w:val="20"/>
          <w:szCs w:val="20"/>
          <w:highlight w:val="none"/>
          <w:lang w:eastAsia="zh-CN"/>
        </w:rPr>
      </w:pPr>
      <w:r>
        <w:rPr>
          <w:rFonts w:ascii="宋体" w:hAnsi="宋体" w:eastAsia="宋体" w:cs="宋体"/>
          <w:color w:val="auto"/>
          <w:spacing w:val="3"/>
          <w:sz w:val="20"/>
          <w:szCs w:val="20"/>
          <w:highlight w:val="none"/>
        </w:rPr>
        <w:t>1.首次响应文件提交截止时间：</w:t>
      </w:r>
      <w:r>
        <w:rPr>
          <w:rFonts w:ascii="宋体" w:hAnsi="宋体" w:eastAsia="宋体" w:cs="宋体"/>
          <w:color w:val="auto"/>
          <w:spacing w:val="9"/>
          <w:sz w:val="20"/>
          <w:szCs w:val="20"/>
          <w:highlight w:val="none"/>
        </w:rPr>
        <w:t>202</w:t>
      </w:r>
      <w:r>
        <w:rPr>
          <w:rFonts w:hint="eastAsia" w:ascii="宋体" w:hAnsi="宋体" w:eastAsia="宋体" w:cs="宋体"/>
          <w:color w:val="auto"/>
          <w:spacing w:val="9"/>
          <w:sz w:val="20"/>
          <w:szCs w:val="20"/>
          <w:highlight w:val="none"/>
          <w:lang w:val="en-US" w:eastAsia="zh-CN"/>
        </w:rPr>
        <w:t>5</w:t>
      </w:r>
      <w:r>
        <w:rPr>
          <w:rFonts w:ascii="宋体" w:hAnsi="宋体" w:eastAsia="宋体" w:cs="宋体"/>
          <w:color w:val="auto"/>
          <w:spacing w:val="9"/>
          <w:sz w:val="20"/>
          <w:szCs w:val="20"/>
          <w:highlight w:val="none"/>
        </w:rPr>
        <w:t>年</w:t>
      </w:r>
      <w:r>
        <w:rPr>
          <w:rFonts w:hint="eastAsia" w:ascii="宋体" w:hAnsi="宋体" w:eastAsia="宋体" w:cs="宋体"/>
          <w:color w:val="auto"/>
          <w:spacing w:val="9"/>
          <w:sz w:val="20"/>
          <w:szCs w:val="20"/>
          <w:highlight w:val="none"/>
          <w:lang w:val="en-US" w:eastAsia="zh-CN"/>
        </w:rPr>
        <w:t>6</w:t>
      </w:r>
      <w:r>
        <w:rPr>
          <w:rFonts w:ascii="宋体" w:hAnsi="宋体" w:eastAsia="宋体" w:cs="宋体"/>
          <w:color w:val="auto"/>
          <w:spacing w:val="9"/>
          <w:sz w:val="20"/>
          <w:szCs w:val="20"/>
          <w:highlight w:val="none"/>
        </w:rPr>
        <w:t>月</w:t>
      </w:r>
      <w:r>
        <w:rPr>
          <w:rFonts w:hint="eastAsia" w:ascii="宋体" w:hAnsi="宋体" w:eastAsia="宋体" w:cs="宋体"/>
          <w:color w:val="auto"/>
          <w:spacing w:val="9"/>
          <w:sz w:val="20"/>
          <w:szCs w:val="20"/>
          <w:highlight w:val="none"/>
          <w:lang w:val="en-US" w:eastAsia="zh-CN"/>
        </w:rPr>
        <w:t>10</w:t>
      </w:r>
      <w:r>
        <w:rPr>
          <w:rFonts w:ascii="宋体" w:hAnsi="宋体" w:eastAsia="宋体" w:cs="宋体"/>
          <w:color w:val="auto"/>
          <w:spacing w:val="9"/>
          <w:sz w:val="20"/>
          <w:szCs w:val="20"/>
          <w:highlight w:val="none"/>
        </w:rPr>
        <w:t>日上午10时00分（北京时间）</w:t>
      </w:r>
    </w:p>
    <w:p w14:paraId="579B2074">
      <w:pPr>
        <w:spacing w:before="132" w:line="360" w:lineRule="auto"/>
        <w:ind w:left="424" w:right="2011" w:firstLine="1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2.首次响应文件提交地点：通过广西政府采购云平台实行在线投标响应</w:t>
      </w:r>
    </w:p>
    <w:p w14:paraId="55FF9ED6">
      <w:pPr>
        <w:spacing w:before="35" w:line="360" w:lineRule="auto"/>
        <w:ind w:left="12" w:right="73" w:firstLine="409"/>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注：供应商应当在首次电子响应文件提交截止时间前，将电子响应文件上传首次电子响应文件提交地</w:t>
      </w:r>
      <w:r>
        <w:rPr>
          <w:rFonts w:ascii="宋体" w:hAnsi="宋体" w:eastAsia="宋体" w:cs="宋体"/>
          <w:b/>
          <w:bCs/>
          <w:color w:val="auto"/>
          <w:spacing w:val="8"/>
          <w:sz w:val="20"/>
          <w:szCs w:val="20"/>
          <w:highlight w:val="none"/>
        </w:rPr>
        <w:t>点。在首次电子响应文件提交截止时间后上传的电子</w:t>
      </w:r>
      <w:r>
        <w:rPr>
          <w:rFonts w:ascii="宋体" w:hAnsi="宋体" w:eastAsia="宋体" w:cs="宋体"/>
          <w:b/>
          <w:bCs/>
          <w:color w:val="auto"/>
          <w:spacing w:val="7"/>
          <w:sz w:val="20"/>
          <w:szCs w:val="20"/>
          <w:highlight w:val="none"/>
        </w:rPr>
        <w:t>响应文件为无效文件。</w:t>
      </w:r>
    </w:p>
    <w:p w14:paraId="7CCBFC9E">
      <w:pPr>
        <w:spacing w:before="32" w:line="360" w:lineRule="auto"/>
        <w:ind w:left="425"/>
        <w:outlineLvl w:val="1"/>
        <w:rPr>
          <w:rFonts w:ascii="宋体" w:hAnsi="宋体" w:eastAsia="宋体" w:cs="宋体"/>
          <w:color w:val="auto"/>
          <w:sz w:val="20"/>
          <w:szCs w:val="20"/>
          <w:highlight w:val="none"/>
        </w:rPr>
      </w:pPr>
      <w:bookmarkStart w:id="12" w:name="_Toc24119"/>
      <w:bookmarkStart w:id="13" w:name="_Toc16276"/>
      <w:r>
        <w:rPr>
          <w:rFonts w:ascii="宋体" w:hAnsi="宋体" w:eastAsia="宋体" w:cs="宋体"/>
          <w:b/>
          <w:bCs/>
          <w:color w:val="auto"/>
          <w:spacing w:val="5"/>
          <w:sz w:val="20"/>
          <w:szCs w:val="20"/>
          <w:highlight w:val="none"/>
        </w:rPr>
        <w:t>五、开启</w:t>
      </w:r>
      <w:bookmarkEnd w:id="12"/>
      <w:bookmarkEnd w:id="13"/>
    </w:p>
    <w:p w14:paraId="57D0CDAF">
      <w:pPr>
        <w:spacing w:before="133" w:line="360" w:lineRule="auto"/>
        <w:ind w:left="437"/>
        <w:rPr>
          <w:rFonts w:ascii="宋体" w:hAnsi="宋体" w:eastAsia="宋体" w:cs="宋体"/>
          <w:color w:val="auto"/>
          <w:spacing w:val="9"/>
          <w:sz w:val="20"/>
          <w:szCs w:val="20"/>
          <w:highlight w:val="none"/>
        </w:rPr>
      </w:pPr>
      <w:r>
        <w:rPr>
          <w:rFonts w:ascii="宋体" w:hAnsi="宋体" w:eastAsia="宋体" w:cs="宋体"/>
          <w:color w:val="auto"/>
          <w:spacing w:val="2"/>
          <w:sz w:val="20"/>
          <w:szCs w:val="20"/>
          <w:highlight w:val="none"/>
        </w:rPr>
        <w:t>1.时间</w:t>
      </w:r>
      <w:r>
        <w:rPr>
          <w:rFonts w:ascii="宋体" w:hAnsi="宋体" w:eastAsia="宋体" w:cs="宋体"/>
          <w:color w:val="auto"/>
          <w:spacing w:val="9"/>
          <w:sz w:val="20"/>
          <w:szCs w:val="20"/>
          <w:highlight w:val="none"/>
        </w:rPr>
        <w:t>：202</w:t>
      </w:r>
      <w:r>
        <w:rPr>
          <w:rFonts w:hint="eastAsia" w:ascii="宋体" w:hAnsi="宋体" w:eastAsia="宋体" w:cs="宋体"/>
          <w:color w:val="auto"/>
          <w:spacing w:val="9"/>
          <w:sz w:val="20"/>
          <w:szCs w:val="20"/>
          <w:highlight w:val="none"/>
          <w:lang w:val="en-US" w:eastAsia="zh-CN"/>
        </w:rPr>
        <w:t>5</w:t>
      </w:r>
      <w:r>
        <w:rPr>
          <w:rFonts w:ascii="宋体" w:hAnsi="宋体" w:eastAsia="宋体" w:cs="宋体"/>
          <w:color w:val="auto"/>
          <w:spacing w:val="9"/>
          <w:sz w:val="20"/>
          <w:szCs w:val="20"/>
          <w:highlight w:val="none"/>
        </w:rPr>
        <w:t>年</w:t>
      </w:r>
      <w:r>
        <w:rPr>
          <w:rFonts w:hint="eastAsia" w:ascii="宋体" w:hAnsi="宋体" w:eastAsia="宋体" w:cs="宋体"/>
          <w:color w:val="auto"/>
          <w:spacing w:val="9"/>
          <w:sz w:val="20"/>
          <w:szCs w:val="20"/>
          <w:highlight w:val="none"/>
          <w:lang w:val="en-US" w:eastAsia="zh-CN"/>
        </w:rPr>
        <w:t>6</w:t>
      </w:r>
      <w:r>
        <w:rPr>
          <w:rFonts w:ascii="宋体" w:hAnsi="宋体" w:eastAsia="宋体" w:cs="宋体"/>
          <w:color w:val="auto"/>
          <w:spacing w:val="9"/>
          <w:sz w:val="20"/>
          <w:szCs w:val="20"/>
          <w:highlight w:val="none"/>
        </w:rPr>
        <w:t>月</w:t>
      </w:r>
      <w:r>
        <w:rPr>
          <w:rFonts w:hint="eastAsia" w:ascii="宋体" w:hAnsi="宋体" w:eastAsia="宋体" w:cs="宋体"/>
          <w:color w:val="auto"/>
          <w:spacing w:val="9"/>
          <w:sz w:val="20"/>
          <w:szCs w:val="20"/>
          <w:highlight w:val="none"/>
          <w:lang w:val="en-US" w:eastAsia="zh-CN"/>
        </w:rPr>
        <w:t>10</w:t>
      </w:r>
      <w:r>
        <w:rPr>
          <w:rFonts w:ascii="宋体" w:hAnsi="宋体" w:eastAsia="宋体" w:cs="宋体"/>
          <w:color w:val="auto"/>
          <w:spacing w:val="9"/>
          <w:sz w:val="20"/>
          <w:szCs w:val="20"/>
          <w:highlight w:val="none"/>
        </w:rPr>
        <w:t>日上午10时00分（北京时间）后</w:t>
      </w:r>
    </w:p>
    <w:p w14:paraId="5CC8A157">
      <w:pPr>
        <w:spacing w:before="132" w:line="360" w:lineRule="auto"/>
        <w:ind w:left="8" w:right="73" w:firstLine="41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2.地点：通过广西政府采购云平台实行在线解密开启（</w:t>
      </w:r>
      <w:r>
        <w:rPr>
          <w:rFonts w:hint="eastAsia" w:ascii="宋体" w:hAnsi="宋体" w:eastAsia="宋体" w:cs="宋体"/>
          <w:color w:val="auto"/>
          <w:spacing w:val="8"/>
          <w:sz w:val="20"/>
          <w:szCs w:val="20"/>
          <w:highlight w:val="none"/>
          <w:lang w:eastAsia="zh-CN"/>
        </w:rPr>
        <w:t>南宁市青秀区双拥路40-1号东方明珠花园1栋1单元9层</w:t>
      </w:r>
      <w:r>
        <w:rPr>
          <w:rFonts w:ascii="宋体" w:hAnsi="宋体" w:eastAsia="宋体" w:cs="宋体"/>
          <w:color w:val="auto"/>
          <w:spacing w:val="5"/>
          <w:sz w:val="20"/>
          <w:szCs w:val="20"/>
          <w:highlight w:val="none"/>
        </w:rPr>
        <w:t>）</w:t>
      </w:r>
    </w:p>
    <w:p w14:paraId="455FA5BA">
      <w:pPr>
        <w:spacing w:before="34" w:line="360" w:lineRule="auto"/>
        <w:ind w:left="423"/>
        <w:outlineLvl w:val="1"/>
        <w:rPr>
          <w:rFonts w:ascii="宋体" w:hAnsi="宋体" w:eastAsia="宋体" w:cs="宋体"/>
          <w:color w:val="auto"/>
          <w:sz w:val="20"/>
          <w:szCs w:val="20"/>
          <w:highlight w:val="none"/>
        </w:rPr>
      </w:pPr>
      <w:bookmarkStart w:id="14" w:name="_Toc11435"/>
      <w:bookmarkStart w:id="15" w:name="_Toc13277"/>
      <w:r>
        <w:rPr>
          <w:rFonts w:ascii="宋体" w:hAnsi="宋体" w:eastAsia="宋体" w:cs="宋体"/>
          <w:b/>
          <w:bCs/>
          <w:color w:val="auto"/>
          <w:spacing w:val="6"/>
          <w:sz w:val="20"/>
          <w:szCs w:val="20"/>
          <w:highlight w:val="none"/>
        </w:rPr>
        <w:t>六、公告期限</w:t>
      </w:r>
      <w:bookmarkEnd w:id="14"/>
      <w:bookmarkEnd w:id="15"/>
    </w:p>
    <w:p w14:paraId="654F0AE1">
      <w:pPr>
        <w:spacing w:before="134" w:line="360" w:lineRule="auto"/>
        <w:ind w:left="45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自本公告发布之日起5个工作日。</w:t>
      </w:r>
    </w:p>
    <w:p w14:paraId="1FDFBF34">
      <w:pPr>
        <w:spacing w:before="134" w:line="360" w:lineRule="auto"/>
        <w:ind w:left="420"/>
        <w:outlineLvl w:val="1"/>
        <w:rPr>
          <w:rFonts w:ascii="宋体" w:hAnsi="宋体" w:eastAsia="宋体" w:cs="宋体"/>
          <w:color w:val="auto"/>
          <w:sz w:val="20"/>
          <w:szCs w:val="20"/>
          <w:highlight w:val="none"/>
        </w:rPr>
      </w:pPr>
      <w:bookmarkStart w:id="16" w:name="_Toc7574"/>
      <w:bookmarkStart w:id="17" w:name="_Toc28091"/>
      <w:r>
        <w:rPr>
          <w:rFonts w:ascii="宋体" w:hAnsi="宋体" w:eastAsia="宋体" w:cs="宋体"/>
          <w:b/>
          <w:bCs/>
          <w:color w:val="auto"/>
          <w:spacing w:val="7"/>
          <w:sz w:val="20"/>
          <w:szCs w:val="20"/>
          <w:highlight w:val="none"/>
        </w:rPr>
        <w:t>七、其他补充事宜</w:t>
      </w:r>
      <w:bookmarkEnd w:id="16"/>
      <w:bookmarkEnd w:id="17"/>
    </w:p>
    <w:p w14:paraId="30A959FB">
      <w:pPr>
        <w:spacing w:before="135" w:line="360" w:lineRule="auto"/>
        <w:ind w:left="437"/>
        <w:rPr>
          <w:rFonts w:hint="eastAsia" w:ascii="宋体" w:hAnsi="宋体" w:eastAsia="宋体" w:cs="宋体"/>
          <w:b/>
          <w:bCs/>
          <w:color w:val="auto"/>
          <w:spacing w:val="7"/>
          <w:sz w:val="20"/>
          <w:szCs w:val="20"/>
          <w:highlight w:val="none"/>
        </w:rPr>
      </w:pPr>
      <w:r>
        <w:rPr>
          <w:rFonts w:hint="eastAsia" w:ascii="宋体" w:hAnsi="宋体" w:eastAsia="宋体" w:cs="宋体"/>
          <w:b/>
          <w:bCs/>
          <w:color w:val="auto"/>
          <w:spacing w:val="7"/>
          <w:sz w:val="20"/>
          <w:szCs w:val="20"/>
          <w:highlight w:val="none"/>
        </w:rPr>
        <w:t>1.磋商保证金(人民币)：</w:t>
      </w:r>
      <w:r>
        <w:rPr>
          <w:rFonts w:hint="eastAsia" w:ascii="宋体" w:hAnsi="宋体" w:eastAsia="宋体" w:cs="宋体"/>
          <w:b/>
          <w:bCs/>
          <w:color w:val="auto"/>
          <w:spacing w:val="7"/>
          <w:sz w:val="20"/>
          <w:szCs w:val="20"/>
          <w:highlight w:val="none"/>
          <w:lang w:eastAsia="zh-CN"/>
        </w:rPr>
        <w:t>贰万贰仟元整</w:t>
      </w:r>
      <w:r>
        <w:rPr>
          <w:rFonts w:hint="eastAsia" w:ascii="宋体" w:hAnsi="宋体" w:eastAsia="宋体" w:cs="宋体"/>
          <w:b/>
          <w:bCs/>
          <w:color w:val="auto"/>
          <w:spacing w:val="7"/>
          <w:sz w:val="20"/>
          <w:szCs w:val="20"/>
          <w:highlight w:val="none"/>
        </w:rPr>
        <w:t>（￥22000</w:t>
      </w:r>
      <w:r>
        <w:rPr>
          <w:rFonts w:hint="eastAsia" w:ascii="宋体" w:hAnsi="宋体" w:eastAsia="宋体" w:cs="宋体"/>
          <w:b/>
          <w:bCs/>
          <w:color w:val="auto"/>
          <w:spacing w:val="7"/>
          <w:sz w:val="20"/>
          <w:szCs w:val="20"/>
          <w:highlight w:val="none"/>
          <w:lang w:val="en-US" w:eastAsia="zh-CN"/>
        </w:rPr>
        <w:t>.00</w:t>
      </w:r>
      <w:r>
        <w:rPr>
          <w:rFonts w:hint="eastAsia" w:ascii="宋体" w:hAnsi="宋体" w:eastAsia="宋体" w:cs="宋体"/>
          <w:b/>
          <w:bCs/>
          <w:color w:val="auto"/>
          <w:spacing w:val="7"/>
          <w:sz w:val="20"/>
          <w:szCs w:val="20"/>
          <w:highlight w:val="none"/>
        </w:rPr>
        <w:t>元）（必须足额交纳）。</w:t>
      </w:r>
    </w:p>
    <w:p w14:paraId="0473128A">
      <w:pPr>
        <w:spacing w:before="135" w:line="360" w:lineRule="auto"/>
        <w:ind w:left="437"/>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磋商保证金的形式：采用银行转账、电汇或网上支付、支票、汇票、本票或者金融机构、担保机构出具的保函形式（即采用非现金交纳方式）。采用银行转账、电汇或网上支付形式的，在响应文件递交截止时间前交到广西国栋招标有限公司指定账户并到账。采用支票、汇票、本票或者金融机构、担保机构出具的保函等形式的，磋商供应商应在响应文件递交截止时间前，递交单独密封的支票、汇票、本票、保函原件。否则视为无效磋商保证金：</w:t>
      </w:r>
    </w:p>
    <w:p w14:paraId="71404095">
      <w:pPr>
        <w:spacing w:before="135" w:line="360" w:lineRule="auto"/>
        <w:ind w:left="437"/>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开户名称：广西国栋招标有限公司</w:t>
      </w:r>
    </w:p>
    <w:p w14:paraId="47380533">
      <w:pPr>
        <w:spacing w:before="135" w:line="360" w:lineRule="auto"/>
        <w:ind w:left="437"/>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开户银行：平安银行南宁分行营业部</w:t>
      </w:r>
    </w:p>
    <w:p w14:paraId="33D662B2">
      <w:pPr>
        <w:spacing w:before="135" w:line="360" w:lineRule="auto"/>
        <w:ind w:left="437"/>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银行账号：15333566666608</w:t>
      </w:r>
    </w:p>
    <w:p w14:paraId="3AAF5DB1">
      <w:pPr>
        <w:spacing w:before="135" w:line="360" w:lineRule="auto"/>
        <w:ind w:left="437"/>
        <w:rPr>
          <w:rFonts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本项目不接受现金形式或从个人账户转出的磋商保证金。</w:t>
      </w:r>
    </w:p>
    <w:p w14:paraId="74FD9F89">
      <w:pPr>
        <w:spacing w:before="135" w:line="360" w:lineRule="auto"/>
        <w:ind w:left="437"/>
        <w:rPr>
          <w:rFonts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lang w:val="en-US" w:eastAsia="zh-CN"/>
        </w:rPr>
        <w:t>2</w:t>
      </w:r>
      <w:r>
        <w:rPr>
          <w:rFonts w:ascii="宋体" w:hAnsi="宋体" w:eastAsia="宋体" w:cs="宋体"/>
          <w:color w:val="auto"/>
          <w:spacing w:val="7"/>
          <w:sz w:val="20"/>
          <w:szCs w:val="20"/>
          <w:highlight w:val="none"/>
        </w:rPr>
        <w:t>.本项目需要落实的政府采购政策：</w:t>
      </w:r>
    </w:p>
    <w:p w14:paraId="78CD21FA">
      <w:pPr>
        <w:spacing w:before="133" w:line="360"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（1）政府采购促进中小企业发展。</w:t>
      </w:r>
    </w:p>
    <w:p w14:paraId="5F48640A">
      <w:pPr>
        <w:spacing w:before="133" w:line="360"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（2）政府采购支持采用本国产品的政策。</w:t>
      </w:r>
    </w:p>
    <w:p w14:paraId="7A1AB10E">
      <w:pPr>
        <w:spacing w:before="136" w:line="360"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（3）强制采购节能产品；优先采购节能产品、环</w:t>
      </w:r>
      <w:r>
        <w:rPr>
          <w:rFonts w:ascii="宋体" w:hAnsi="宋体" w:eastAsia="宋体" w:cs="宋体"/>
          <w:color w:val="auto"/>
          <w:spacing w:val="8"/>
          <w:sz w:val="20"/>
          <w:szCs w:val="20"/>
          <w:highlight w:val="none"/>
        </w:rPr>
        <w:t>境标志产品。</w:t>
      </w:r>
    </w:p>
    <w:p w14:paraId="07095698">
      <w:pPr>
        <w:spacing w:before="133" w:line="360"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（4）政府采购促进残疾人就业政策。</w:t>
      </w:r>
    </w:p>
    <w:p w14:paraId="6DC55FAE">
      <w:pPr>
        <w:spacing w:before="133" w:line="360" w:lineRule="auto"/>
        <w:ind w:left="424" w:right="6069" w:firstLine="7"/>
        <w:rPr>
          <w:rFonts w:ascii="宋体" w:hAnsi="宋体" w:eastAsia="宋体" w:cs="宋体"/>
          <w:color w:val="auto"/>
          <w:spacing w:val="6"/>
          <w:sz w:val="20"/>
          <w:szCs w:val="20"/>
          <w:highlight w:val="none"/>
        </w:rPr>
      </w:pPr>
      <w:r>
        <w:rPr>
          <w:rFonts w:ascii="宋体" w:hAnsi="宋体" w:eastAsia="宋体" w:cs="宋体"/>
          <w:color w:val="auto"/>
          <w:spacing w:val="6"/>
          <w:sz w:val="20"/>
          <w:szCs w:val="20"/>
          <w:highlight w:val="none"/>
        </w:rPr>
        <w:t>（5）政府采购支持监狱企业发展</w:t>
      </w:r>
    </w:p>
    <w:p w14:paraId="1F433AA6">
      <w:pPr>
        <w:spacing w:before="0" w:line="360" w:lineRule="auto"/>
        <w:ind w:left="0" w:right="0" w:firstLine="420" w:firstLineChars="200"/>
        <w:rPr>
          <w:rFonts w:hint="eastAsia"/>
          <w:color w:val="auto"/>
          <w:highlight w:val="none"/>
        </w:rPr>
      </w:pPr>
      <w:r>
        <w:rPr>
          <w:rFonts w:hint="eastAsia" w:eastAsia="宋体"/>
          <w:color w:val="auto"/>
          <w:highlight w:val="none"/>
          <w:lang w:val="en-US" w:eastAsia="zh-CN"/>
        </w:rPr>
        <w:t>3</w:t>
      </w:r>
      <w:r>
        <w:rPr>
          <w:rFonts w:hint="eastAsia"/>
          <w:color w:val="auto"/>
          <w:highlight w:val="none"/>
        </w:rPr>
        <w:t>.采购意向公开链接：</w:t>
      </w:r>
    </w:p>
    <w:p w14:paraId="0497E9FB">
      <w:pPr>
        <w:spacing w:before="0" w:line="360" w:lineRule="auto"/>
        <w:ind w:left="0" w:right="0" w:firstLine="420" w:firstLineChars="200"/>
        <w:rPr>
          <w:rFonts w:hint="eastAsia"/>
          <w:color w:val="auto"/>
          <w:highlight w:val="none"/>
        </w:rPr>
      </w:pPr>
      <w:r>
        <w:rPr>
          <w:rFonts w:hint="eastAsia"/>
          <w:color w:val="auto"/>
          <w:highlight w:val="none"/>
        </w:rPr>
        <w:t>https://zfcg.gxzf.gov.cn/site/detail?categoryCode=reformColumn&amp;parentId=66601&amp;articleId=rqD+tszl8dcEzvHiwdCtHg==</w:t>
      </w:r>
    </w:p>
    <w:p w14:paraId="15904117">
      <w:pPr>
        <w:spacing w:before="133" w:line="360" w:lineRule="auto"/>
        <w:ind w:left="424" w:right="6069" w:firstLine="7"/>
        <w:rPr>
          <w:rFonts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lang w:val="en-US" w:eastAsia="zh-CN"/>
        </w:rPr>
        <w:t>4</w:t>
      </w:r>
      <w:r>
        <w:rPr>
          <w:rFonts w:ascii="宋体" w:hAnsi="宋体" w:eastAsia="宋体" w:cs="宋体"/>
          <w:color w:val="auto"/>
          <w:spacing w:val="7"/>
          <w:sz w:val="20"/>
          <w:szCs w:val="20"/>
          <w:highlight w:val="none"/>
        </w:rPr>
        <w:t>.网上查询地址:</w:t>
      </w:r>
    </w:p>
    <w:p w14:paraId="314B893B">
      <w:pPr>
        <w:spacing w:before="132" w:line="360" w:lineRule="auto"/>
        <w:ind w:left="22" w:firstLine="419"/>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中国政府采购网（</w:t>
      </w:r>
      <w:r>
        <w:rPr>
          <w:rFonts w:ascii="宋体" w:hAnsi="宋体" w:eastAsia="宋体" w:cs="宋体"/>
          <w:color w:val="auto"/>
          <w:sz w:val="20"/>
          <w:szCs w:val="20"/>
          <w:highlight w:val="none"/>
        </w:rPr>
        <w:t>www</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2"/>
          <w:sz w:val="20"/>
          <w:szCs w:val="20"/>
          <w:highlight w:val="none"/>
        </w:rPr>
        <w:t>）、广西政府采购网（</w:t>
      </w:r>
      <w:r>
        <w:rPr>
          <w:rFonts w:ascii="宋体" w:hAnsi="宋体" w:eastAsia="宋体" w:cs="宋体"/>
          <w:color w:val="auto"/>
          <w:sz w:val="20"/>
          <w:szCs w:val="20"/>
          <w:highlight w:val="none"/>
        </w:rPr>
        <w:t>http</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guangxi</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2"/>
          <w:sz w:val="20"/>
          <w:szCs w:val="20"/>
          <w:highlight w:val="none"/>
        </w:rPr>
        <w:t>/）</w:t>
      </w:r>
      <w:r>
        <w:rPr>
          <w:rFonts w:ascii="宋体" w:hAnsi="宋体" w:eastAsia="宋体" w:cs="宋体"/>
          <w:color w:val="auto"/>
          <w:spacing w:val="8"/>
          <w:sz w:val="20"/>
          <w:szCs w:val="20"/>
          <w:highlight w:val="none"/>
        </w:rPr>
        <w:t>。</w:t>
      </w:r>
    </w:p>
    <w:p w14:paraId="783848F0">
      <w:pPr>
        <w:spacing w:before="40" w:line="360" w:lineRule="auto"/>
        <w:ind w:left="425"/>
        <w:rPr>
          <w:rFonts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lang w:val="en-US" w:eastAsia="zh-CN"/>
        </w:rPr>
        <w:t>5</w:t>
      </w:r>
      <w:r>
        <w:rPr>
          <w:rFonts w:ascii="宋体" w:hAnsi="宋体" w:eastAsia="宋体" w:cs="宋体"/>
          <w:color w:val="auto"/>
          <w:spacing w:val="8"/>
          <w:sz w:val="20"/>
          <w:szCs w:val="20"/>
          <w:highlight w:val="none"/>
        </w:rPr>
        <w:t>.在线投标响应（电子投标）说明</w:t>
      </w:r>
    </w:p>
    <w:p w14:paraId="38C04210">
      <w:pPr>
        <w:spacing w:before="134" w:line="360" w:lineRule="auto"/>
        <w:ind w:right="70" w:firstLine="43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（1）本项目通过广西政府采购云平台实行在线竞标响应（电子竞标</w:t>
      </w:r>
      <w:r>
        <w:rPr>
          <w:rFonts w:ascii="宋体" w:hAnsi="宋体" w:eastAsia="宋体" w:cs="宋体"/>
          <w:color w:val="auto"/>
          <w:spacing w:val="-2"/>
          <w:sz w:val="20"/>
          <w:szCs w:val="20"/>
          <w:highlight w:val="none"/>
        </w:rPr>
        <w:t>），</w:t>
      </w:r>
      <w:r>
        <w:rPr>
          <w:rFonts w:ascii="宋体" w:hAnsi="宋体" w:eastAsia="宋体" w:cs="宋体"/>
          <w:color w:val="auto"/>
          <w:spacing w:val="11"/>
          <w:sz w:val="20"/>
          <w:szCs w:val="20"/>
          <w:highlight w:val="none"/>
        </w:rPr>
        <w:t>供应商需要先安装“广西政</w:t>
      </w:r>
      <w:r>
        <w:rPr>
          <w:rFonts w:ascii="宋体" w:hAnsi="宋体" w:eastAsia="宋体" w:cs="宋体"/>
          <w:color w:val="auto"/>
          <w:spacing w:val="9"/>
          <w:sz w:val="20"/>
          <w:szCs w:val="20"/>
          <w:highlight w:val="none"/>
        </w:rPr>
        <w:t>府采购云平台电子交易客户端”，并按照本竞争性磋商文件和广西政府采</w:t>
      </w:r>
      <w:r>
        <w:rPr>
          <w:rFonts w:ascii="宋体" w:hAnsi="宋体" w:eastAsia="宋体" w:cs="宋体"/>
          <w:color w:val="auto"/>
          <w:spacing w:val="8"/>
          <w:sz w:val="20"/>
          <w:szCs w:val="20"/>
          <w:highlight w:val="none"/>
        </w:rPr>
        <w:t>购云平台的要求，通过“广西政</w:t>
      </w:r>
      <w:r>
        <w:rPr>
          <w:rFonts w:ascii="宋体" w:hAnsi="宋体" w:eastAsia="宋体" w:cs="宋体"/>
          <w:color w:val="auto"/>
          <w:spacing w:val="9"/>
          <w:sz w:val="20"/>
          <w:szCs w:val="20"/>
          <w:highlight w:val="none"/>
        </w:rPr>
        <w:t>府采购云平台电子交易客户端”编制并加密响应文件。供应商未按</w:t>
      </w:r>
      <w:r>
        <w:rPr>
          <w:rFonts w:ascii="宋体" w:hAnsi="宋体" w:eastAsia="宋体" w:cs="宋体"/>
          <w:color w:val="auto"/>
          <w:spacing w:val="8"/>
          <w:sz w:val="20"/>
          <w:szCs w:val="20"/>
          <w:highlight w:val="none"/>
        </w:rPr>
        <w:t>规定编制并加密的响应文件，广西政府</w:t>
      </w:r>
      <w:r>
        <w:rPr>
          <w:rFonts w:ascii="宋体" w:hAnsi="宋体" w:eastAsia="宋体" w:cs="宋体"/>
          <w:color w:val="auto"/>
          <w:spacing w:val="9"/>
          <w:sz w:val="20"/>
          <w:szCs w:val="20"/>
          <w:highlight w:val="none"/>
        </w:rPr>
        <w:t>采购云平台将予以拒收。下载投标客户端即“广西壮族自治区全流程电子招投标项目管理系统一供应商客</w:t>
      </w:r>
      <w:r>
        <w:rPr>
          <w:rFonts w:ascii="宋体" w:hAnsi="宋体" w:eastAsia="宋体" w:cs="宋体"/>
          <w:color w:val="auto"/>
          <w:spacing w:val="8"/>
          <w:sz w:val="20"/>
          <w:szCs w:val="20"/>
          <w:highlight w:val="none"/>
        </w:rPr>
        <w:t>户端”，下载地址:广西政府采购网(网址为“</w:t>
      </w:r>
      <w:r>
        <w:rPr>
          <w:rFonts w:hint="eastAsia" w:ascii="宋体" w:hAnsi="宋体" w:eastAsia="宋体" w:cs="宋体"/>
          <w:color w:val="auto"/>
          <w:sz w:val="20"/>
          <w:szCs w:val="20"/>
          <w:highlight w:val="none"/>
          <w:lang w:eastAsia="zh-CN"/>
        </w:rPr>
        <w:t>https://www.gcy.zfcg.gxzf.gov.cn/</w:t>
      </w:r>
      <w:r>
        <w:rPr>
          <w:rFonts w:ascii="宋体" w:hAnsi="宋体" w:eastAsia="宋体" w:cs="宋体"/>
          <w:color w:val="auto"/>
          <w:spacing w:val="8"/>
          <w:sz w:val="20"/>
          <w:szCs w:val="20"/>
          <w:highlight w:val="none"/>
        </w:rPr>
        <w:t>”)首页-[办事服务]-[下载专</w:t>
      </w:r>
      <w:r>
        <w:rPr>
          <w:rFonts w:ascii="宋体" w:hAnsi="宋体" w:eastAsia="宋体" w:cs="宋体"/>
          <w:color w:val="auto"/>
          <w:spacing w:val="9"/>
          <w:sz w:val="20"/>
          <w:szCs w:val="20"/>
          <w:highlight w:val="none"/>
        </w:rPr>
        <w:t>区]；电子竞标具体操作流程参考《政府采购项目电子交易管理操作指南-供应商》，指南可在“广西政府</w:t>
      </w:r>
      <w:r>
        <w:rPr>
          <w:rFonts w:ascii="宋体" w:hAnsi="宋体" w:eastAsia="宋体" w:cs="宋体"/>
          <w:color w:val="auto"/>
          <w:spacing w:val="13"/>
          <w:sz w:val="20"/>
          <w:szCs w:val="20"/>
          <w:highlight w:val="none"/>
        </w:rPr>
        <w:t>采购云平台（</w:t>
      </w:r>
      <w:r>
        <w:rPr>
          <w:rFonts w:ascii="宋体" w:hAnsi="宋体" w:eastAsia="宋体" w:cs="宋体"/>
          <w:color w:val="auto"/>
          <w:sz w:val="20"/>
          <w:szCs w:val="20"/>
          <w:highlight w:val="none"/>
        </w:rPr>
        <w:t>https</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3"/>
          <w:sz w:val="20"/>
          <w:szCs w:val="20"/>
          <w:highlight w:val="none"/>
        </w:rPr>
        <w:t>/）服务中心-帮助文档-最新指南”下</w:t>
      </w:r>
      <w:r>
        <w:rPr>
          <w:rFonts w:ascii="宋体" w:hAnsi="宋体" w:eastAsia="宋体" w:cs="宋体"/>
          <w:color w:val="auto"/>
          <w:spacing w:val="12"/>
          <w:sz w:val="20"/>
          <w:szCs w:val="20"/>
          <w:highlight w:val="none"/>
        </w:rPr>
        <w:t>载；通过广西政</w:t>
      </w:r>
      <w:r>
        <w:rPr>
          <w:rFonts w:ascii="宋体" w:hAnsi="宋体" w:eastAsia="宋体" w:cs="宋体"/>
          <w:color w:val="auto"/>
          <w:spacing w:val="8"/>
          <w:sz w:val="20"/>
          <w:szCs w:val="20"/>
          <w:highlight w:val="none"/>
        </w:rPr>
        <w:t>府采购云平台参与在线竞标时如遇平台技术问题详询95763。</w:t>
      </w:r>
    </w:p>
    <w:p w14:paraId="34AE3AB0">
      <w:pPr>
        <w:spacing w:before="137" w:line="360" w:lineRule="auto"/>
        <w:ind w:left="7" w:right="70" w:firstLine="424"/>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（2）为确保网上操作合法、有效和安全，供应商应当在响应文件递交截止时间前完成在“政府采购</w:t>
      </w:r>
      <w:r>
        <w:rPr>
          <w:rFonts w:ascii="宋体" w:hAnsi="宋体" w:eastAsia="宋体" w:cs="宋体"/>
          <w:color w:val="auto"/>
          <w:spacing w:val="9"/>
          <w:sz w:val="20"/>
          <w:szCs w:val="20"/>
          <w:highlight w:val="none"/>
        </w:rPr>
        <w:t>云平台”的身份认证，确保在电子竞标过程中能够对</w:t>
      </w:r>
      <w:r>
        <w:rPr>
          <w:rFonts w:ascii="宋体" w:hAnsi="宋体" w:eastAsia="宋体" w:cs="宋体"/>
          <w:color w:val="auto"/>
          <w:spacing w:val="8"/>
          <w:sz w:val="20"/>
          <w:szCs w:val="20"/>
          <w:highlight w:val="none"/>
        </w:rPr>
        <w:t>相关数据电文进行加密和使用电子签章。使用“广西</w:t>
      </w:r>
      <w:r>
        <w:rPr>
          <w:rFonts w:ascii="宋体" w:hAnsi="宋体" w:eastAsia="宋体" w:cs="宋体"/>
          <w:color w:val="auto"/>
          <w:spacing w:val="10"/>
          <w:sz w:val="20"/>
          <w:szCs w:val="20"/>
          <w:highlight w:val="none"/>
        </w:rPr>
        <w:t>政府采购云平台电子交易客户端”需要提前申领</w:t>
      </w:r>
      <w:r>
        <w:rPr>
          <w:rFonts w:ascii="宋体" w:hAnsi="宋体" w:eastAsia="宋体" w:cs="宋体"/>
          <w:color w:val="auto"/>
          <w:sz w:val="20"/>
          <w:szCs w:val="20"/>
          <w:highlight w:val="none"/>
        </w:rPr>
        <w:t>CA</w:t>
      </w:r>
      <w:r>
        <w:rPr>
          <w:rFonts w:ascii="宋体" w:hAnsi="宋体" w:eastAsia="宋体" w:cs="宋体"/>
          <w:color w:val="auto"/>
          <w:spacing w:val="10"/>
          <w:sz w:val="20"/>
          <w:szCs w:val="20"/>
          <w:highlight w:val="none"/>
        </w:rPr>
        <w:t>数字证书，申领流程请自</w:t>
      </w:r>
      <w:r>
        <w:rPr>
          <w:rFonts w:ascii="宋体" w:hAnsi="宋体" w:eastAsia="宋体" w:cs="宋体"/>
          <w:color w:val="auto"/>
          <w:spacing w:val="9"/>
          <w:sz w:val="20"/>
          <w:szCs w:val="20"/>
          <w:highlight w:val="none"/>
        </w:rPr>
        <w:t>行前往广西政府采购云平台网站进行查阅（完成</w:t>
      </w:r>
      <w:r>
        <w:rPr>
          <w:rFonts w:ascii="宋体" w:hAnsi="宋体" w:eastAsia="宋体" w:cs="宋体"/>
          <w:color w:val="auto"/>
          <w:sz w:val="20"/>
          <w:szCs w:val="20"/>
          <w:highlight w:val="none"/>
        </w:rPr>
        <w:t>CA</w:t>
      </w:r>
      <w:r>
        <w:rPr>
          <w:rFonts w:ascii="宋体" w:hAnsi="宋体" w:eastAsia="宋体" w:cs="宋体"/>
          <w:color w:val="auto"/>
          <w:spacing w:val="9"/>
          <w:sz w:val="20"/>
          <w:szCs w:val="20"/>
          <w:highlight w:val="none"/>
        </w:rPr>
        <w:t>数字证书办理预计一周左右，建议供应</w:t>
      </w:r>
      <w:r>
        <w:rPr>
          <w:rFonts w:ascii="宋体" w:hAnsi="宋体" w:eastAsia="宋体" w:cs="宋体"/>
          <w:color w:val="auto"/>
          <w:spacing w:val="8"/>
          <w:sz w:val="20"/>
          <w:szCs w:val="20"/>
          <w:highlight w:val="none"/>
        </w:rPr>
        <w:t>商提前办理</w:t>
      </w:r>
      <w:r>
        <w:rPr>
          <w:rFonts w:ascii="宋体" w:hAnsi="宋体" w:eastAsia="宋体" w:cs="宋体"/>
          <w:color w:val="auto"/>
          <w:sz w:val="20"/>
          <w:szCs w:val="20"/>
          <w:highlight w:val="none"/>
        </w:rPr>
        <w:t>）；</w:t>
      </w:r>
    </w:p>
    <w:p w14:paraId="19772B3C">
      <w:pPr>
        <w:spacing w:before="34" w:line="360" w:lineRule="auto"/>
        <w:ind w:firstLine="43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（3）供应商应当在响应文件递交截止时间前，将生成的“电子加密响应文</w:t>
      </w:r>
      <w:r>
        <w:rPr>
          <w:rFonts w:ascii="宋体" w:hAnsi="宋体" w:eastAsia="宋体" w:cs="宋体"/>
          <w:color w:val="auto"/>
          <w:spacing w:val="9"/>
          <w:sz w:val="20"/>
          <w:szCs w:val="20"/>
          <w:highlight w:val="none"/>
        </w:rPr>
        <w:t>件”上传递交至广西政府采购云平台。响应文件递交截止时间前可以补充、修改或者撤回电子响应文件。补充或者修改电子响应文件的，应当先行撤回原文件，补充、修改后重新传输递交，响应文件递交截止时间前未完成传输的，视为</w:t>
      </w:r>
      <w:r>
        <w:rPr>
          <w:rFonts w:ascii="宋体" w:hAnsi="宋体" w:eastAsia="宋体" w:cs="宋体"/>
          <w:color w:val="auto"/>
          <w:spacing w:val="7"/>
          <w:sz w:val="20"/>
          <w:szCs w:val="20"/>
          <w:highlight w:val="none"/>
        </w:rPr>
        <w:t>撤回响应文件。</w:t>
      </w:r>
    </w:p>
    <w:p w14:paraId="7028C28C">
      <w:pPr>
        <w:spacing w:before="132" w:line="360" w:lineRule="auto"/>
        <w:ind w:firstLine="43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w:t>
      </w:r>
      <w:r>
        <w:rPr>
          <w:rFonts w:ascii="宋体" w:hAnsi="宋体" w:eastAsia="宋体" w:cs="宋体"/>
          <w:color w:val="auto"/>
          <w:sz w:val="20"/>
          <w:szCs w:val="20"/>
          <w:highlight w:val="none"/>
        </w:rPr>
        <w:t>CA</w:t>
      </w:r>
      <w:r>
        <w:rPr>
          <w:rFonts w:ascii="宋体" w:hAnsi="宋体" w:eastAsia="宋体" w:cs="宋体"/>
          <w:color w:val="auto"/>
          <w:spacing w:val="10"/>
          <w:sz w:val="20"/>
          <w:szCs w:val="20"/>
          <w:highlight w:val="none"/>
        </w:rPr>
        <w:t>证书在线解密：首次响应文件开启时，须要供应商携带制作响应文件时用来加密的有效数字证书（</w:t>
      </w:r>
      <w:r>
        <w:rPr>
          <w:rFonts w:ascii="宋体" w:hAnsi="宋体" w:eastAsia="宋体" w:cs="宋体"/>
          <w:color w:val="auto"/>
          <w:sz w:val="20"/>
          <w:szCs w:val="20"/>
          <w:highlight w:val="none"/>
        </w:rPr>
        <w:t>CA</w:t>
      </w:r>
      <w:r>
        <w:rPr>
          <w:rFonts w:ascii="宋体" w:hAnsi="宋体" w:eastAsia="宋体" w:cs="宋体"/>
          <w:color w:val="auto"/>
          <w:spacing w:val="10"/>
          <w:sz w:val="20"/>
          <w:szCs w:val="20"/>
          <w:highlight w:val="none"/>
        </w:rPr>
        <w:t>认证）登录广西政府采购云平台电子开标大厅现场按规定时间（开</w:t>
      </w:r>
      <w:r>
        <w:rPr>
          <w:rFonts w:ascii="宋体" w:hAnsi="宋体" w:eastAsia="宋体" w:cs="宋体"/>
          <w:color w:val="auto"/>
          <w:spacing w:val="9"/>
          <w:sz w:val="20"/>
          <w:szCs w:val="20"/>
          <w:highlight w:val="none"/>
        </w:rPr>
        <w:t>标时间起30分钟内）对加密的响应文件进行解密。在规定的时间内无法按时解密的，竞标无效。</w:t>
      </w:r>
    </w:p>
    <w:p w14:paraId="3D257679">
      <w:pPr>
        <w:spacing w:before="132" w:line="360"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（5）供应商代表及时登陆广西政府采购云平台等候，并按系统提示在线谈判及提交最后报价。</w:t>
      </w:r>
    </w:p>
    <w:p w14:paraId="7790A2C1">
      <w:pPr>
        <w:spacing w:before="135" w:line="360" w:lineRule="auto"/>
        <w:ind w:left="3" w:firstLine="417"/>
        <w:jc w:val="both"/>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注：本采购项目为广西政府采购云平台全流程电子化操作，参与磋商的供应商需自备计算机和网络设</w:t>
      </w:r>
      <w:r>
        <w:rPr>
          <w:rFonts w:ascii="宋体" w:hAnsi="宋体" w:eastAsia="宋体" w:cs="宋体"/>
          <w:b/>
          <w:bCs/>
          <w:color w:val="auto"/>
          <w:spacing w:val="9"/>
          <w:sz w:val="20"/>
          <w:szCs w:val="20"/>
          <w:highlight w:val="none"/>
        </w:rPr>
        <w:t>备（设备需可视频通话和读取广西政府采购云平台</w:t>
      </w:r>
      <w:r>
        <w:rPr>
          <w:rFonts w:ascii="宋体" w:hAnsi="宋体" w:eastAsia="宋体" w:cs="宋体"/>
          <w:b/>
          <w:bCs/>
          <w:color w:val="auto"/>
          <w:sz w:val="20"/>
          <w:szCs w:val="20"/>
          <w:highlight w:val="none"/>
        </w:rPr>
        <w:t>CA</w:t>
      </w:r>
      <w:r>
        <w:rPr>
          <w:rFonts w:ascii="宋体" w:hAnsi="宋体" w:eastAsia="宋体" w:cs="宋体"/>
          <w:b/>
          <w:bCs/>
          <w:color w:val="auto"/>
          <w:spacing w:val="9"/>
          <w:sz w:val="20"/>
          <w:szCs w:val="20"/>
          <w:highlight w:val="none"/>
        </w:rPr>
        <w:t>数字证书</w:t>
      </w:r>
      <w:r>
        <w:rPr>
          <w:rFonts w:ascii="宋体" w:hAnsi="宋体" w:eastAsia="宋体" w:cs="宋体"/>
          <w:b/>
          <w:bCs/>
          <w:color w:val="auto"/>
          <w:spacing w:val="24"/>
          <w:sz w:val="20"/>
          <w:szCs w:val="20"/>
          <w:highlight w:val="none"/>
        </w:rPr>
        <w:t>），</w:t>
      </w:r>
      <w:r>
        <w:rPr>
          <w:rFonts w:ascii="宋体" w:hAnsi="宋体" w:eastAsia="宋体" w:cs="宋体"/>
          <w:b/>
          <w:bCs/>
          <w:color w:val="auto"/>
          <w:spacing w:val="9"/>
          <w:sz w:val="20"/>
          <w:szCs w:val="20"/>
          <w:highlight w:val="none"/>
        </w:rPr>
        <w:t>确保磋商过程顺利进行；因供应商自</w:t>
      </w:r>
      <w:r>
        <w:rPr>
          <w:rFonts w:ascii="宋体" w:hAnsi="宋体" w:eastAsia="宋体" w:cs="宋体"/>
          <w:b/>
          <w:bCs/>
          <w:color w:val="auto"/>
          <w:spacing w:val="7"/>
          <w:sz w:val="20"/>
          <w:szCs w:val="20"/>
          <w:highlight w:val="none"/>
        </w:rPr>
        <w:t>身设备或网络原因造成的一切后果，由供应商自行承担。</w:t>
      </w:r>
    </w:p>
    <w:p w14:paraId="4A5D3849">
      <w:pPr>
        <w:spacing w:before="58" w:line="360" w:lineRule="auto"/>
        <w:ind w:left="416"/>
        <w:outlineLvl w:val="1"/>
        <w:rPr>
          <w:rFonts w:ascii="宋体" w:hAnsi="宋体" w:eastAsia="宋体" w:cs="宋体"/>
          <w:color w:val="auto"/>
          <w:sz w:val="20"/>
          <w:szCs w:val="20"/>
          <w:highlight w:val="none"/>
        </w:rPr>
      </w:pPr>
      <w:bookmarkStart w:id="18" w:name="_Toc25846"/>
      <w:bookmarkStart w:id="19" w:name="_Toc28441"/>
      <w:r>
        <w:rPr>
          <w:rFonts w:ascii="宋体" w:hAnsi="宋体" w:eastAsia="宋体" w:cs="宋体"/>
          <w:b/>
          <w:bCs/>
          <w:color w:val="auto"/>
          <w:spacing w:val="7"/>
          <w:sz w:val="20"/>
          <w:szCs w:val="20"/>
          <w:highlight w:val="none"/>
        </w:rPr>
        <w:t>八、凡对本次采购提出询问，请按以下方式联系。</w:t>
      </w:r>
      <w:bookmarkEnd w:id="18"/>
      <w:bookmarkEnd w:id="19"/>
    </w:p>
    <w:p w14:paraId="501C43BF">
      <w:pPr>
        <w:spacing w:before="114" w:line="360" w:lineRule="auto"/>
        <w:ind w:left="43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1.采购人信息</w:t>
      </w:r>
    </w:p>
    <w:p w14:paraId="419D2AFC">
      <w:pPr>
        <w:spacing w:before="114" w:line="360" w:lineRule="auto"/>
        <w:ind w:left="423"/>
        <w:rPr>
          <w:rFonts w:hint="eastAsia" w:ascii="宋体" w:hAnsi="宋体" w:eastAsia="宋体" w:cs="宋体"/>
          <w:color w:val="auto"/>
          <w:sz w:val="20"/>
          <w:szCs w:val="20"/>
          <w:highlight w:val="none"/>
          <w:lang w:eastAsia="zh-CN"/>
        </w:rPr>
      </w:pPr>
      <w:r>
        <w:rPr>
          <w:rFonts w:ascii="宋体" w:hAnsi="宋体" w:eastAsia="宋体" w:cs="宋体"/>
          <w:color w:val="auto"/>
          <w:spacing w:val="8"/>
          <w:sz w:val="20"/>
          <w:szCs w:val="20"/>
          <w:highlight w:val="none"/>
        </w:rPr>
        <w:t>名称：</w:t>
      </w:r>
      <w:r>
        <w:rPr>
          <w:rFonts w:hint="eastAsia" w:ascii="宋体" w:hAnsi="宋体" w:eastAsia="宋体" w:cs="宋体"/>
          <w:color w:val="auto"/>
          <w:spacing w:val="8"/>
          <w:sz w:val="20"/>
          <w:szCs w:val="20"/>
          <w:highlight w:val="none"/>
          <w:lang w:eastAsia="zh-CN"/>
        </w:rPr>
        <w:t>广西壮族自治区林业局</w:t>
      </w:r>
    </w:p>
    <w:p w14:paraId="57D0A359">
      <w:pPr>
        <w:spacing w:before="113" w:line="360" w:lineRule="auto"/>
        <w:ind w:left="420" w:right="5858"/>
        <w:rPr>
          <w:rFonts w:hint="eastAsia" w:ascii="宋体" w:hAnsi="宋体" w:eastAsia="宋体" w:cs="宋体"/>
          <w:color w:val="auto"/>
          <w:spacing w:val="7"/>
          <w:sz w:val="20"/>
          <w:szCs w:val="20"/>
          <w:highlight w:val="none"/>
          <w:lang w:eastAsia="zh-CN"/>
        </w:rPr>
      </w:pPr>
      <w:r>
        <w:rPr>
          <w:rFonts w:ascii="宋体" w:hAnsi="宋体" w:eastAsia="宋体" w:cs="宋体"/>
          <w:color w:val="auto"/>
          <w:spacing w:val="7"/>
          <w:sz w:val="20"/>
          <w:szCs w:val="20"/>
          <w:highlight w:val="none"/>
        </w:rPr>
        <w:t>地址：</w:t>
      </w:r>
      <w:r>
        <w:rPr>
          <w:rFonts w:hint="eastAsia" w:ascii="宋体" w:hAnsi="宋体" w:eastAsia="宋体" w:cs="宋体"/>
          <w:color w:val="auto"/>
          <w:spacing w:val="7"/>
          <w:sz w:val="20"/>
          <w:szCs w:val="20"/>
          <w:highlight w:val="none"/>
          <w:lang w:eastAsia="zh-CN"/>
        </w:rPr>
        <w:t>南宁市云景路21号</w:t>
      </w:r>
    </w:p>
    <w:p w14:paraId="42524556">
      <w:pPr>
        <w:spacing w:before="113" w:line="360" w:lineRule="auto"/>
        <w:ind w:left="420" w:right="5858"/>
        <w:rPr>
          <w:rFonts w:hint="eastAsia" w:ascii="宋体" w:hAnsi="宋体" w:eastAsia="宋体" w:cs="宋体"/>
          <w:color w:val="auto"/>
          <w:sz w:val="20"/>
          <w:szCs w:val="20"/>
          <w:highlight w:val="none"/>
          <w:lang w:eastAsia="zh-CN"/>
        </w:rPr>
      </w:pPr>
      <w:r>
        <w:rPr>
          <w:rFonts w:ascii="宋体" w:hAnsi="宋体" w:eastAsia="宋体" w:cs="宋体"/>
          <w:color w:val="auto"/>
          <w:spacing w:val="6"/>
          <w:sz w:val="20"/>
          <w:szCs w:val="20"/>
          <w:highlight w:val="none"/>
        </w:rPr>
        <w:t>联系方式：</w:t>
      </w:r>
      <w:r>
        <w:rPr>
          <w:rFonts w:hint="eastAsia" w:ascii="宋体" w:hAnsi="宋体" w:eastAsia="宋体" w:cs="宋体"/>
          <w:color w:val="auto"/>
          <w:spacing w:val="6"/>
          <w:sz w:val="20"/>
          <w:szCs w:val="20"/>
          <w:highlight w:val="none"/>
        </w:rPr>
        <w:t>廖</w:t>
      </w:r>
      <w:r>
        <w:rPr>
          <w:rFonts w:hint="eastAsia" w:ascii="宋体" w:hAnsi="宋体" w:eastAsia="宋体" w:cs="宋体"/>
          <w:color w:val="auto"/>
          <w:spacing w:val="6"/>
          <w:sz w:val="20"/>
          <w:szCs w:val="20"/>
          <w:highlight w:val="none"/>
          <w:lang w:val="en-US" w:eastAsia="zh-CN"/>
        </w:rPr>
        <w:t>工</w:t>
      </w:r>
      <w:r>
        <w:rPr>
          <w:rFonts w:ascii="宋体" w:hAnsi="宋体" w:eastAsia="宋体" w:cs="宋体"/>
          <w:color w:val="auto"/>
          <w:spacing w:val="6"/>
          <w:sz w:val="20"/>
          <w:szCs w:val="20"/>
          <w:highlight w:val="none"/>
        </w:rPr>
        <w:t>，</w:t>
      </w:r>
      <w:r>
        <w:rPr>
          <w:rFonts w:hint="eastAsia" w:ascii="宋体" w:hAnsi="宋体" w:eastAsia="宋体" w:cs="宋体"/>
          <w:color w:val="auto"/>
          <w:spacing w:val="6"/>
          <w:sz w:val="20"/>
          <w:szCs w:val="20"/>
          <w:highlight w:val="none"/>
          <w:lang w:eastAsia="zh-CN"/>
        </w:rPr>
        <w:t>0771-6783783</w:t>
      </w:r>
    </w:p>
    <w:p w14:paraId="22EDECCB">
      <w:pPr>
        <w:spacing w:before="31" w:line="360" w:lineRule="auto"/>
        <w:ind w:left="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2.采购代理机构信息</w:t>
      </w:r>
    </w:p>
    <w:p w14:paraId="027D413F">
      <w:pPr>
        <w:spacing w:before="114" w:line="360" w:lineRule="auto"/>
        <w:ind w:left="423"/>
        <w:rPr>
          <w:rFonts w:hint="eastAsia" w:ascii="宋体" w:hAnsi="宋体" w:eastAsia="宋体" w:cs="宋体"/>
          <w:color w:val="auto"/>
          <w:sz w:val="20"/>
          <w:szCs w:val="20"/>
          <w:highlight w:val="none"/>
          <w:lang w:eastAsia="zh-CN"/>
        </w:rPr>
      </w:pPr>
      <w:r>
        <w:rPr>
          <w:rFonts w:ascii="宋体" w:hAnsi="宋体" w:eastAsia="宋体" w:cs="宋体"/>
          <w:color w:val="auto"/>
          <w:spacing w:val="8"/>
          <w:sz w:val="20"/>
          <w:szCs w:val="20"/>
          <w:highlight w:val="none"/>
        </w:rPr>
        <w:t>名称：</w:t>
      </w:r>
      <w:r>
        <w:rPr>
          <w:rFonts w:hint="eastAsia" w:ascii="宋体" w:hAnsi="宋体" w:eastAsia="宋体" w:cs="宋体"/>
          <w:color w:val="auto"/>
          <w:spacing w:val="8"/>
          <w:sz w:val="20"/>
          <w:szCs w:val="20"/>
          <w:highlight w:val="none"/>
          <w:lang w:eastAsia="zh-CN"/>
        </w:rPr>
        <w:t>广西国栋招标有限公司</w:t>
      </w:r>
    </w:p>
    <w:p w14:paraId="2CFCDC5A">
      <w:pPr>
        <w:spacing w:before="113" w:line="360" w:lineRule="auto"/>
        <w:ind w:left="420"/>
        <w:rPr>
          <w:rFonts w:hint="eastAsia" w:ascii="宋体" w:hAnsi="宋体" w:eastAsia="宋体" w:cs="宋体"/>
          <w:color w:val="auto"/>
          <w:sz w:val="20"/>
          <w:szCs w:val="20"/>
          <w:highlight w:val="none"/>
          <w:lang w:eastAsia="zh-CN"/>
        </w:rPr>
      </w:pPr>
      <w:r>
        <w:rPr>
          <w:rFonts w:ascii="宋体" w:hAnsi="宋体" w:eastAsia="宋体" w:cs="宋体"/>
          <w:color w:val="auto"/>
          <w:spacing w:val="6"/>
          <w:sz w:val="20"/>
          <w:szCs w:val="20"/>
          <w:highlight w:val="none"/>
        </w:rPr>
        <w:t>地址：</w:t>
      </w:r>
      <w:r>
        <w:rPr>
          <w:rFonts w:hint="eastAsia" w:ascii="宋体" w:hAnsi="宋体" w:eastAsia="宋体" w:cs="宋体"/>
          <w:color w:val="auto"/>
          <w:spacing w:val="6"/>
          <w:sz w:val="20"/>
          <w:szCs w:val="20"/>
          <w:highlight w:val="none"/>
          <w:lang w:eastAsia="zh-CN"/>
        </w:rPr>
        <w:t>南宁市青秀区双拥路40-1号东方明珠花园1栋1单元9层</w:t>
      </w:r>
    </w:p>
    <w:p w14:paraId="285C8175">
      <w:pPr>
        <w:spacing w:before="0" w:line="360" w:lineRule="auto"/>
        <w:ind w:left="0" w:right="0" w:firstLine="424" w:firstLineChars="200"/>
        <w:rPr>
          <w:rFonts w:ascii="宋体" w:hAnsi="宋体" w:eastAsia="宋体" w:cs="宋体"/>
          <w:color w:val="auto"/>
          <w:spacing w:val="7"/>
          <w:sz w:val="20"/>
          <w:szCs w:val="20"/>
          <w:highlight w:val="none"/>
        </w:rPr>
      </w:pPr>
      <w:r>
        <w:rPr>
          <w:rFonts w:ascii="宋体" w:hAnsi="宋体" w:eastAsia="宋体" w:cs="宋体"/>
          <w:color w:val="auto"/>
          <w:spacing w:val="6"/>
          <w:sz w:val="20"/>
          <w:szCs w:val="20"/>
          <w:highlight w:val="none"/>
        </w:rPr>
        <w:t>联系方式：</w:t>
      </w:r>
      <w:r>
        <w:rPr>
          <w:rFonts w:hint="eastAsia" w:ascii="宋体" w:hAnsi="宋体" w:eastAsia="宋体" w:cs="宋体"/>
          <w:color w:val="auto"/>
          <w:spacing w:val="6"/>
          <w:sz w:val="20"/>
          <w:szCs w:val="20"/>
          <w:highlight w:val="none"/>
          <w:lang w:eastAsia="zh-CN"/>
        </w:rPr>
        <w:t>陈工</w:t>
      </w:r>
      <w:r>
        <w:rPr>
          <w:rFonts w:ascii="宋体" w:hAnsi="宋体" w:eastAsia="宋体" w:cs="宋体"/>
          <w:color w:val="auto"/>
          <w:spacing w:val="6"/>
          <w:sz w:val="20"/>
          <w:szCs w:val="20"/>
          <w:highlight w:val="none"/>
        </w:rPr>
        <w:t>，</w:t>
      </w:r>
      <w:r>
        <w:rPr>
          <w:rFonts w:hint="eastAsia" w:ascii="宋体" w:hAnsi="宋体" w:eastAsia="宋体" w:cs="宋体"/>
          <w:color w:val="auto"/>
          <w:spacing w:val="6"/>
          <w:sz w:val="20"/>
          <w:szCs w:val="20"/>
          <w:highlight w:val="none"/>
          <w:lang w:eastAsia="zh-CN"/>
        </w:rPr>
        <w:t>0771-5894688</w:t>
      </w:r>
    </w:p>
    <w:p w14:paraId="65431EDD">
      <w:pPr>
        <w:spacing w:before="113" w:line="360" w:lineRule="auto"/>
        <w:ind w:left="424" w:right="6066" w:hanging="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项目联系方式</w:t>
      </w:r>
    </w:p>
    <w:p w14:paraId="0CF29F52">
      <w:pPr>
        <w:spacing w:before="32" w:line="360" w:lineRule="auto"/>
        <w:ind w:left="424"/>
        <w:rPr>
          <w:rFonts w:hint="eastAsia" w:ascii="宋体" w:hAnsi="宋体" w:eastAsia="宋体" w:cs="宋体"/>
          <w:color w:val="auto"/>
          <w:sz w:val="20"/>
          <w:szCs w:val="20"/>
          <w:highlight w:val="none"/>
          <w:lang w:eastAsia="zh-CN"/>
        </w:rPr>
      </w:pPr>
      <w:r>
        <w:rPr>
          <w:rFonts w:ascii="宋体" w:hAnsi="宋体" w:eastAsia="宋体" w:cs="宋体"/>
          <w:color w:val="auto"/>
          <w:spacing w:val="8"/>
          <w:sz w:val="20"/>
          <w:szCs w:val="20"/>
          <w:highlight w:val="none"/>
        </w:rPr>
        <w:t>项目联系人：</w:t>
      </w:r>
      <w:r>
        <w:rPr>
          <w:rFonts w:hint="eastAsia" w:ascii="宋体" w:hAnsi="宋体" w:eastAsia="宋体" w:cs="宋体"/>
          <w:color w:val="auto"/>
          <w:spacing w:val="8"/>
          <w:sz w:val="20"/>
          <w:szCs w:val="20"/>
          <w:highlight w:val="none"/>
          <w:lang w:eastAsia="zh-CN"/>
        </w:rPr>
        <w:t>陈工</w:t>
      </w:r>
    </w:p>
    <w:p w14:paraId="583A35ED">
      <w:pPr>
        <w:spacing w:before="112" w:line="360" w:lineRule="auto"/>
        <w:ind w:left="445"/>
        <w:rPr>
          <w:rFonts w:hint="eastAsia" w:ascii="宋体" w:hAnsi="宋体" w:eastAsia="宋体" w:cs="宋体"/>
          <w:color w:val="auto"/>
          <w:sz w:val="20"/>
          <w:szCs w:val="20"/>
          <w:highlight w:val="none"/>
          <w:lang w:eastAsia="zh-CN"/>
        </w:rPr>
      </w:pPr>
      <w:r>
        <w:rPr>
          <w:rFonts w:ascii="宋体" w:hAnsi="宋体" w:eastAsia="宋体" w:cs="宋体"/>
          <w:color w:val="auto"/>
          <w:spacing w:val="4"/>
          <w:sz w:val="20"/>
          <w:szCs w:val="20"/>
          <w:highlight w:val="none"/>
        </w:rPr>
        <w:t>电话：</w:t>
      </w:r>
      <w:r>
        <w:rPr>
          <w:rFonts w:hint="eastAsia" w:ascii="宋体" w:hAnsi="宋体" w:eastAsia="宋体" w:cs="宋体"/>
          <w:color w:val="auto"/>
          <w:spacing w:val="4"/>
          <w:sz w:val="20"/>
          <w:szCs w:val="20"/>
          <w:highlight w:val="none"/>
          <w:lang w:eastAsia="zh-CN"/>
        </w:rPr>
        <w:t>0771-5894688</w:t>
      </w:r>
    </w:p>
    <w:p w14:paraId="77CA84BD">
      <w:pPr>
        <w:spacing w:line="360" w:lineRule="auto"/>
        <w:rPr>
          <w:rFonts w:ascii="宋体" w:hAnsi="宋体" w:eastAsia="宋体" w:cs="宋体"/>
          <w:color w:val="auto"/>
          <w:sz w:val="20"/>
          <w:szCs w:val="20"/>
          <w:highlight w:val="none"/>
        </w:rPr>
      </w:pPr>
    </w:p>
    <w:p w14:paraId="4881CF20">
      <w:pPr>
        <w:pStyle w:val="22"/>
        <w:rPr>
          <w:rFonts w:ascii="宋体" w:hAnsi="宋体" w:eastAsia="宋体" w:cs="宋体"/>
          <w:color w:val="auto"/>
          <w:sz w:val="20"/>
          <w:szCs w:val="20"/>
          <w:highlight w:val="none"/>
        </w:rPr>
      </w:pPr>
    </w:p>
    <w:p w14:paraId="4F925498">
      <w:pPr>
        <w:pStyle w:val="22"/>
        <w:rPr>
          <w:rFonts w:ascii="宋体" w:hAnsi="宋体" w:eastAsia="宋体" w:cs="宋体"/>
          <w:color w:val="auto"/>
          <w:sz w:val="20"/>
          <w:szCs w:val="20"/>
          <w:highlight w:val="none"/>
        </w:rPr>
      </w:pPr>
    </w:p>
    <w:p w14:paraId="71D98184">
      <w:pPr>
        <w:pStyle w:val="22"/>
        <w:rPr>
          <w:rFonts w:ascii="宋体" w:hAnsi="宋体" w:eastAsia="宋体" w:cs="宋体"/>
          <w:color w:val="auto"/>
          <w:sz w:val="20"/>
          <w:szCs w:val="20"/>
          <w:highlight w:val="none"/>
        </w:rPr>
      </w:pPr>
    </w:p>
    <w:p w14:paraId="6071F332">
      <w:pPr>
        <w:spacing w:line="336" w:lineRule="auto"/>
        <w:jc w:val="center"/>
        <w:rPr>
          <w:rFonts w:hint="eastAsia" w:ascii="仿宋_GB2312" w:eastAsia="仿宋_GB2312"/>
          <w:b/>
          <w:color w:val="auto"/>
          <w:sz w:val="20"/>
          <w:szCs w:val="20"/>
          <w:highlight w:val="none"/>
        </w:rPr>
      </w:pPr>
      <w:r>
        <w:rPr>
          <w:color w:val="auto"/>
          <w:sz w:val="20"/>
          <w:szCs w:val="20"/>
          <w:highlight w:val="none"/>
        </w:rPr>
        <w:t xml:space="preserve">                                      </w:t>
      </w:r>
      <w:r>
        <w:rPr>
          <w:rFonts w:hint="eastAsia"/>
          <w:color w:val="auto"/>
          <w:sz w:val="20"/>
          <w:szCs w:val="20"/>
          <w:highlight w:val="none"/>
        </w:rPr>
        <w:t xml:space="preserve">           </w:t>
      </w:r>
      <w:r>
        <w:rPr>
          <w:color w:val="auto"/>
          <w:sz w:val="20"/>
          <w:szCs w:val="20"/>
          <w:highlight w:val="none"/>
        </w:rPr>
        <w:t xml:space="preserve"> </w:t>
      </w:r>
      <w:r>
        <w:rPr>
          <w:rFonts w:hint="eastAsia"/>
          <w:color w:val="auto"/>
          <w:sz w:val="20"/>
          <w:szCs w:val="20"/>
          <w:highlight w:val="none"/>
        </w:rPr>
        <w:t>广西国栋招标有限公司</w:t>
      </w:r>
    </w:p>
    <w:p w14:paraId="6EF6CAC9">
      <w:pPr>
        <w:pStyle w:val="22"/>
        <w:rPr>
          <w:rFonts w:ascii="宋体" w:hAnsi="宋体" w:eastAsia="宋体" w:cs="宋体"/>
          <w:color w:val="auto"/>
          <w:sz w:val="20"/>
          <w:szCs w:val="20"/>
          <w:highlight w:val="none"/>
        </w:rPr>
        <w:sectPr>
          <w:footerReference r:id="rId7" w:type="default"/>
          <w:pgSz w:w="11906" w:h="16839"/>
          <w:pgMar w:top="1243" w:right="1134" w:bottom="1362" w:left="1140" w:header="0" w:footer="1020" w:gutter="0"/>
          <w:pgNumType w:fmt="decimal"/>
          <w:cols w:space="720" w:num="1"/>
        </w:sectPr>
      </w:pPr>
      <w:r>
        <w:rPr>
          <w:rFonts w:hint="eastAsia" w:ascii="宋体"/>
          <w:b/>
          <w:color w:val="auto"/>
          <w:sz w:val="20"/>
          <w:szCs w:val="20"/>
          <w:highlight w:val="none"/>
        </w:rPr>
        <w:t xml:space="preserve">                                                </w:t>
      </w:r>
      <w:r>
        <w:rPr>
          <w:rFonts w:hint="eastAsia" w:ascii="宋体" w:cs="Arial"/>
          <w:b/>
          <w:color w:val="auto"/>
          <w:sz w:val="20"/>
          <w:szCs w:val="20"/>
          <w:highlight w:val="none"/>
          <w:shd w:val="clear" w:color="auto" w:fill="FFFFFF"/>
        </w:rPr>
        <w:t>202</w:t>
      </w:r>
      <w:r>
        <w:rPr>
          <w:rFonts w:hint="eastAsia" w:ascii="宋体" w:cs="Arial"/>
          <w:b/>
          <w:color w:val="auto"/>
          <w:sz w:val="20"/>
          <w:szCs w:val="20"/>
          <w:highlight w:val="none"/>
          <w:shd w:val="clear" w:color="auto" w:fill="FFFFFF"/>
          <w:lang w:val="en-US" w:eastAsia="zh-CN"/>
        </w:rPr>
        <w:t>5</w:t>
      </w:r>
      <w:r>
        <w:rPr>
          <w:rFonts w:hint="eastAsia" w:ascii="宋体" w:cs="Arial"/>
          <w:b/>
          <w:color w:val="auto"/>
          <w:sz w:val="20"/>
          <w:szCs w:val="20"/>
          <w:highlight w:val="none"/>
          <w:shd w:val="clear" w:color="auto" w:fill="FFFFFF"/>
        </w:rPr>
        <w:t>年</w:t>
      </w:r>
      <w:r>
        <w:rPr>
          <w:rFonts w:hint="eastAsia" w:ascii="宋体" w:cs="Arial"/>
          <w:b/>
          <w:color w:val="auto"/>
          <w:sz w:val="20"/>
          <w:szCs w:val="20"/>
          <w:highlight w:val="none"/>
          <w:shd w:val="clear" w:color="auto" w:fill="FFFFFF"/>
          <w:lang w:val="en-US" w:eastAsia="zh-CN"/>
        </w:rPr>
        <w:t>5</w:t>
      </w:r>
      <w:r>
        <w:rPr>
          <w:rFonts w:hint="eastAsia" w:ascii="宋体" w:cs="Arial"/>
          <w:b/>
          <w:color w:val="auto"/>
          <w:sz w:val="20"/>
          <w:szCs w:val="20"/>
          <w:highlight w:val="none"/>
          <w:shd w:val="clear" w:color="auto" w:fill="FFFFFF"/>
        </w:rPr>
        <w:t>月</w:t>
      </w:r>
      <w:r>
        <w:rPr>
          <w:rFonts w:hint="eastAsia" w:ascii="宋体" w:cs="Arial"/>
          <w:b/>
          <w:color w:val="auto"/>
          <w:sz w:val="20"/>
          <w:szCs w:val="20"/>
          <w:highlight w:val="none"/>
          <w:shd w:val="clear" w:color="auto" w:fill="FFFFFF"/>
          <w:lang w:val="en-US" w:eastAsia="zh-CN"/>
        </w:rPr>
        <w:t>30</w:t>
      </w:r>
      <w:r>
        <w:rPr>
          <w:rFonts w:hint="eastAsia" w:ascii="宋体" w:cs="Arial"/>
          <w:b/>
          <w:color w:val="auto"/>
          <w:sz w:val="20"/>
          <w:szCs w:val="20"/>
          <w:highlight w:val="none"/>
          <w:shd w:val="clear" w:color="auto" w:fill="FFFFFF"/>
        </w:rPr>
        <w:t>日</w:t>
      </w:r>
    </w:p>
    <w:p w14:paraId="3AE12B98">
      <w:pPr>
        <w:spacing w:before="63" w:line="224" w:lineRule="auto"/>
        <w:ind w:left="3281"/>
        <w:outlineLvl w:val="0"/>
        <w:rPr>
          <w:rFonts w:ascii="宋体" w:hAnsi="宋体" w:eastAsia="宋体" w:cs="宋体"/>
          <w:color w:val="auto"/>
          <w:sz w:val="31"/>
          <w:szCs w:val="31"/>
          <w:highlight w:val="none"/>
        </w:rPr>
      </w:pPr>
      <w:bookmarkStart w:id="20" w:name="bookmark3"/>
      <w:bookmarkEnd w:id="20"/>
      <w:bookmarkStart w:id="21" w:name="bookmark4"/>
      <w:bookmarkEnd w:id="21"/>
      <w:bookmarkStart w:id="22" w:name="_Toc26421"/>
      <w:bookmarkStart w:id="23" w:name="_Toc20723"/>
      <w:r>
        <w:rPr>
          <w:rFonts w:ascii="宋体" w:hAnsi="宋体" w:eastAsia="宋体" w:cs="宋体"/>
          <w:b/>
          <w:bCs/>
          <w:color w:val="auto"/>
          <w:spacing w:val="5"/>
          <w:sz w:val="31"/>
          <w:szCs w:val="31"/>
          <w:highlight w:val="none"/>
        </w:rPr>
        <w:t>第二章</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供应商须知</w:t>
      </w:r>
      <w:bookmarkEnd w:id="22"/>
      <w:bookmarkEnd w:id="23"/>
    </w:p>
    <w:p w14:paraId="0842D243">
      <w:pPr>
        <w:pStyle w:val="4"/>
        <w:spacing w:line="296" w:lineRule="auto"/>
        <w:rPr>
          <w:color w:val="auto"/>
          <w:highlight w:val="none"/>
        </w:rPr>
      </w:pPr>
    </w:p>
    <w:p w14:paraId="607D8FD6">
      <w:pPr>
        <w:spacing w:before="101" w:line="224" w:lineRule="auto"/>
        <w:ind w:left="3360"/>
        <w:outlineLvl w:val="1"/>
        <w:rPr>
          <w:rFonts w:ascii="宋体" w:hAnsi="宋体" w:eastAsia="宋体" w:cs="宋体"/>
          <w:color w:val="auto"/>
          <w:sz w:val="31"/>
          <w:szCs w:val="31"/>
          <w:highlight w:val="none"/>
        </w:rPr>
      </w:pPr>
      <w:bookmarkStart w:id="24" w:name="_Toc21793"/>
      <w:bookmarkStart w:id="25" w:name="_Toc12004"/>
      <w:r>
        <w:rPr>
          <w:rFonts w:ascii="宋体" w:hAnsi="宋体" w:eastAsia="宋体" w:cs="宋体"/>
          <w:b/>
          <w:bCs/>
          <w:color w:val="auto"/>
          <w:spacing w:val="6"/>
          <w:sz w:val="31"/>
          <w:szCs w:val="31"/>
          <w:highlight w:val="none"/>
        </w:rPr>
        <w:t>供应商须知前附表</w:t>
      </w:r>
      <w:bookmarkEnd w:id="24"/>
      <w:bookmarkEnd w:id="25"/>
    </w:p>
    <w:p w14:paraId="76FAD9F3">
      <w:pPr>
        <w:spacing w:before="136"/>
        <w:rPr>
          <w:color w:val="auto"/>
          <w:highlight w:val="none"/>
        </w:rPr>
      </w:pPr>
    </w:p>
    <w:tbl>
      <w:tblPr>
        <w:tblStyle w:val="18"/>
        <w:tblW w:w="92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264"/>
      </w:tblGrid>
      <w:tr w14:paraId="2EE85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996" w:type="dxa"/>
            <w:vAlign w:val="top"/>
          </w:tcPr>
          <w:p w14:paraId="6F27B92E">
            <w:pPr>
              <w:pStyle w:val="19"/>
              <w:spacing w:before="81" w:line="219" w:lineRule="auto"/>
              <w:ind w:left="189"/>
              <w:rPr>
                <w:color w:val="auto"/>
                <w:highlight w:val="none"/>
              </w:rPr>
            </w:pPr>
            <w:r>
              <w:rPr>
                <w:b/>
                <w:bCs/>
                <w:color w:val="auto"/>
                <w:spacing w:val="5"/>
                <w:highlight w:val="none"/>
              </w:rPr>
              <w:t>条款号</w:t>
            </w:r>
          </w:p>
        </w:tc>
        <w:tc>
          <w:tcPr>
            <w:tcW w:w="8264" w:type="dxa"/>
            <w:vAlign w:val="top"/>
          </w:tcPr>
          <w:p w14:paraId="457D26AA">
            <w:pPr>
              <w:pStyle w:val="19"/>
              <w:spacing w:before="81" w:line="219" w:lineRule="auto"/>
              <w:ind w:left="3738"/>
              <w:rPr>
                <w:color w:val="auto"/>
                <w:highlight w:val="none"/>
              </w:rPr>
            </w:pPr>
            <w:r>
              <w:rPr>
                <w:b/>
                <w:bCs/>
                <w:color w:val="auto"/>
                <w:spacing w:val="-15"/>
                <w:highlight w:val="none"/>
              </w:rPr>
              <w:t>内</w:t>
            </w:r>
            <w:r>
              <w:rPr>
                <w:color w:val="auto"/>
                <w:spacing w:val="8"/>
                <w:highlight w:val="none"/>
              </w:rPr>
              <w:t xml:space="preserve">    </w:t>
            </w:r>
            <w:r>
              <w:rPr>
                <w:b/>
                <w:bCs/>
                <w:color w:val="auto"/>
                <w:spacing w:val="-15"/>
                <w:highlight w:val="none"/>
              </w:rPr>
              <w:t>容</w:t>
            </w:r>
          </w:p>
        </w:tc>
      </w:tr>
      <w:tr w14:paraId="3F975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996" w:type="dxa"/>
            <w:vAlign w:val="top"/>
          </w:tcPr>
          <w:p w14:paraId="31EEA06E">
            <w:pPr>
              <w:pStyle w:val="19"/>
              <w:spacing w:before="109" w:line="189" w:lineRule="auto"/>
              <w:ind w:left="455"/>
              <w:rPr>
                <w:color w:val="auto"/>
                <w:highlight w:val="none"/>
              </w:rPr>
            </w:pPr>
            <w:r>
              <w:rPr>
                <w:color w:val="auto"/>
                <w:highlight w:val="none"/>
              </w:rPr>
              <w:t>3</w:t>
            </w:r>
          </w:p>
        </w:tc>
        <w:tc>
          <w:tcPr>
            <w:tcW w:w="8264" w:type="dxa"/>
            <w:vAlign w:val="top"/>
          </w:tcPr>
          <w:p w14:paraId="666BF48C">
            <w:pPr>
              <w:pStyle w:val="19"/>
              <w:spacing w:before="76" w:line="220" w:lineRule="auto"/>
              <w:ind w:left="110"/>
              <w:rPr>
                <w:color w:val="auto"/>
                <w:highlight w:val="none"/>
              </w:rPr>
            </w:pPr>
            <w:r>
              <w:rPr>
                <w:color w:val="auto"/>
                <w:spacing w:val="9"/>
                <w:highlight w:val="none"/>
              </w:rPr>
              <w:t>供应商的资格条件：详见竞争性磋商公告</w:t>
            </w:r>
          </w:p>
        </w:tc>
      </w:tr>
      <w:tr w14:paraId="1AB10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996" w:type="dxa"/>
            <w:vAlign w:val="top"/>
          </w:tcPr>
          <w:p w14:paraId="445CDF77">
            <w:pPr>
              <w:pStyle w:val="19"/>
              <w:spacing w:before="110" w:line="189" w:lineRule="auto"/>
              <w:ind w:left="350"/>
              <w:rPr>
                <w:color w:val="auto"/>
                <w:highlight w:val="none"/>
              </w:rPr>
            </w:pPr>
            <w:r>
              <w:rPr>
                <w:color w:val="auto"/>
                <w:spacing w:val="1"/>
                <w:highlight w:val="none"/>
              </w:rPr>
              <w:t>5.1</w:t>
            </w:r>
          </w:p>
        </w:tc>
        <w:tc>
          <w:tcPr>
            <w:tcW w:w="8264" w:type="dxa"/>
            <w:vAlign w:val="top"/>
          </w:tcPr>
          <w:p w14:paraId="27B85F21">
            <w:pPr>
              <w:pStyle w:val="19"/>
              <w:spacing w:before="77" w:line="219" w:lineRule="auto"/>
              <w:ind w:left="114"/>
              <w:rPr>
                <w:color w:val="auto"/>
                <w:highlight w:val="none"/>
              </w:rPr>
            </w:pPr>
            <w:r>
              <w:rPr>
                <w:color w:val="auto"/>
                <w:spacing w:val="6"/>
                <w:highlight w:val="none"/>
              </w:rPr>
              <w:t>是否接受联合体竞标:详见竞争性磋商公告</w:t>
            </w:r>
          </w:p>
        </w:tc>
      </w:tr>
      <w:tr w14:paraId="66A67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6" w:type="dxa"/>
            <w:vAlign w:val="top"/>
          </w:tcPr>
          <w:p w14:paraId="09A9B1F0">
            <w:pPr>
              <w:pStyle w:val="19"/>
              <w:spacing w:before="109" w:line="189" w:lineRule="auto"/>
              <w:ind w:left="347"/>
              <w:rPr>
                <w:color w:val="auto"/>
                <w:highlight w:val="none"/>
              </w:rPr>
            </w:pPr>
            <w:r>
              <w:rPr>
                <w:color w:val="auto"/>
                <w:spacing w:val="1"/>
                <w:highlight w:val="none"/>
              </w:rPr>
              <w:t>6.2</w:t>
            </w:r>
          </w:p>
        </w:tc>
        <w:tc>
          <w:tcPr>
            <w:tcW w:w="8264" w:type="dxa"/>
            <w:vAlign w:val="top"/>
          </w:tcPr>
          <w:p w14:paraId="5DA613C0">
            <w:pPr>
              <w:pStyle w:val="19"/>
              <w:spacing w:before="76" w:line="220" w:lineRule="auto"/>
              <w:ind w:left="114"/>
              <w:rPr>
                <w:color w:val="auto"/>
                <w:highlight w:val="none"/>
              </w:rPr>
            </w:pPr>
            <w:r>
              <w:rPr>
                <w:color w:val="auto"/>
                <w:spacing w:val="6"/>
                <w:highlight w:val="none"/>
              </w:rPr>
              <w:t>是否允许分包：</w:t>
            </w:r>
            <w:r>
              <w:rPr>
                <w:color w:val="auto"/>
                <w:spacing w:val="-70"/>
                <w:highlight w:val="none"/>
              </w:rPr>
              <w:t xml:space="preserve"> </w:t>
            </w:r>
            <w:r>
              <w:rPr>
                <w:rFonts w:ascii="MS Gothic" w:hAnsi="MS Gothic" w:eastAsia="MS Gothic" w:cs="MS Gothic"/>
                <w:color w:val="auto"/>
                <w:spacing w:val="6"/>
                <w:highlight w:val="none"/>
              </w:rPr>
              <w:t>☑</w:t>
            </w:r>
            <w:r>
              <w:rPr>
                <w:color w:val="auto"/>
                <w:spacing w:val="6"/>
                <w:highlight w:val="none"/>
              </w:rPr>
              <w:t>不允许</w:t>
            </w:r>
          </w:p>
        </w:tc>
      </w:tr>
      <w:tr w14:paraId="6ECCB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1" w:hRule="atLeast"/>
        </w:trPr>
        <w:tc>
          <w:tcPr>
            <w:tcW w:w="996" w:type="dxa"/>
            <w:vAlign w:val="top"/>
          </w:tcPr>
          <w:p w14:paraId="56F07BD4">
            <w:pPr>
              <w:rPr>
                <w:rFonts w:ascii="Arial"/>
                <w:color w:val="auto"/>
                <w:sz w:val="21"/>
                <w:highlight w:val="none"/>
              </w:rPr>
            </w:pPr>
          </w:p>
          <w:p w14:paraId="7E752895">
            <w:pPr>
              <w:spacing w:line="241" w:lineRule="auto"/>
              <w:rPr>
                <w:rFonts w:ascii="Arial"/>
                <w:color w:val="auto"/>
                <w:sz w:val="21"/>
                <w:highlight w:val="none"/>
              </w:rPr>
            </w:pPr>
          </w:p>
          <w:p w14:paraId="22C8DC36">
            <w:pPr>
              <w:spacing w:line="241" w:lineRule="auto"/>
              <w:rPr>
                <w:rFonts w:ascii="Arial"/>
                <w:color w:val="auto"/>
                <w:sz w:val="21"/>
                <w:highlight w:val="none"/>
              </w:rPr>
            </w:pPr>
          </w:p>
          <w:p w14:paraId="2E7903A2">
            <w:pPr>
              <w:spacing w:line="241" w:lineRule="auto"/>
              <w:rPr>
                <w:rFonts w:ascii="Arial"/>
                <w:color w:val="auto"/>
                <w:sz w:val="21"/>
                <w:highlight w:val="none"/>
              </w:rPr>
            </w:pPr>
          </w:p>
          <w:p w14:paraId="3E5723E2">
            <w:pPr>
              <w:spacing w:line="241" w:lineRule="auto"/>
              <w:rPr>
                <w:rFonts w:ascii="Arial"/>
                <w:color w:val="auto"/>
                <w:sz w:val="21"/>
                <w:highlight w:val="none"/>
              </w:rPr>
            </w:pPr>
          </w:p>
          <w:p w14:paraId="556632E4">
            <w:pPr>
              <w:spacing w:line="241" w:lineRule="auto"/>
              <w:rPr>
                <w:rFonts w:ascii="Arial"/>
                <w:color w:val="auto"/>
                <w:sz w:val="21"/>
                <w:highlight w:val="none"/>
              </w:rPr>
            </w:pPr>
          </w:p>
          <w:p w14:paraId="6B66AA26">
            <w:pPr>
              <w:spacing w:line="241" w:lineRule="auto"/>
              <w:rPr>
                <w:rFonts w:ascii="Arial"/>
                <w:color w:val="auto"/>
                <w:sz w:val="21"/>
                <w:highlight w:val="none"/>
              </w:rPr>
            </w:pPr>
          </w:p>
          <w:p w14:paraId="3DCC321D">
            <w:pPr>
              <w:spacing w:line="241" w:lineRule="auto"/>
              <w:rPr>
                <w:rFonts w:ascii="Arial"/>
                <w:color w:val="auto"/>
                <w:sz w:val="21"/>
                <w:highlight w:val="none"/>
              </w:rPr>
            </w:pPr>
          </w:p>
          <w:p w14:paraId="3559F1E0">
            <w:pPr>
              <w:spacing w:line="241" w:lineRule="auto"/>
              <w:rPr>
                <w:rFonts w:ascii="Arial"/>
                <w:color w:val="auto"/>
                <w:sz w:val="21"/>
                <w:highlight w:val="none"/>
              </w:rPr>
            </w:pPr>
          </w:p>
          <w:p w14:paraId="219CF63B">
            <w:pPr>
              <w:spacing w:line="241" w:lineRule="auto"/>
              <w:rPr>
                <w:rFonts w:ascii="Arial"/>
                <w:color w:val="auto"/>
                <w:sz w:val="21"/>
                <w:highlight w:val="none"/>
              </w:rPr>
            </w:pPr>
          </w:p>
          <w:p w14:paraId="3754C358">
            <w:pPr>
              <w:spacing w:line="241" w:lineRule="auto"/>
              <w:rPr>
                <w:rFonts w:ascii="Arial"/>
                <w:color w:val="auto"/>
                <w:sz w:val="21"/>
                <w:highlight w:val="none"/>
              </w:rPr>
            </w:pPr>
          </w:p>
          <w:p w14:paraId="2C862B0B">
            <w:pPr>
              <w:spacing w:line="241" w:lineRule="auto"/>
              <w:rPr>
                <w:rFonts w:ascii="Arial"/>
                <w:color w:val="auto"/>
                <w:sz w:val="21"/>
                <w:highlight w:val="none"/>
              </w:rPr>
            </w:pPr>
          </w:p>
          <w:p w14:paraId="3F647EAE">
            <w:pPr>
              <w:spacing w:line="241" w:lineRule="auto"/>
              <w:rPr>
                <w:rFonts w:ascii="Arial"/>
                <w:color w:val="auto"/>
                <w:sz w:val="21"/>
                <w:highlight w:val="none"/>
              </w:rPr>
            </w:pPr>
          </w:p>
          <w:p w14:paraId="75704FAD">
            <w:pPr>
              <w:spacing w:line="241" w:lineRule="auto"/>
              <w:rPr>
                <w:rFonts w:ascii="Arial"/>
                <w:color w:val="auto"/>
                <w:sz w:val="21"/>
                <w:highlight w:val="none"/>
              </w:rPr>
            </w:pPr>
          </w:p>
          <w:p w14:paraId="4CEDD3BA">
            <w:pPr>
              <w:spacing w:line="241" w:lineRule="auto"/>
              <w:rPr>
                <w:rFonts w:ascii="Arial"/>
                <w:color w:val="auto"/>
                <w:sz w:val="21"/>
                <w:highlight w:val="none"/>
              </w:rPr>
            </w:pPr>
          </w:p>
          <w:p w14:paraId="64568891">
            <w:pPr>
              <w:spacing w:line="241" w:lineRule="auto"/>
              <w:rPr>
                <w:rFonts w:ascii="Arial"/>
                <w:color w:val="auto"/>
                <w:sz w:val="21"/>
                <w:highlight w:val="none"/>
              </w:rPr>
            </w:pPr>
          </w:p>
          <w:p w14:paraId="56DB2451">
            <w:pPr>
              <w:spacing w:line="241" w:lineRule="auto"/>
              <w:rPr>
                <w:rFonts w:ascii="Arial"/>
                <w:color w:val="auto"/>
                <w:sz w:val="21"/>
                <w:highlight w:val="none"/>
              </w:rPr>
            </w:pPr>
          </w:p>
          <w:p w14:paraId="0523EEEE">
            <w:pPr>
              <w:spacing w:line="241" w:lineRule="auto"/>
              <w:rPr>
                <w:rFonts w:ascii="Arial"/>
                <w:color w:val="auto"/>
                <w:sz w:val="21"/>
                <w:highlight w:val="none"/>
              </w:rPr>
            </w:pPr>
          </w:p>
          <w:p w14:paraId="7C48774E">
            <w:pPr>
              <w:pStyle w:val="19"/>
              <w:spacing w:before="65" w:line="190" w:lineRule="auto"/>
              <w:ind w:left="203"/>
              <w:rPr>
                <w:color w:val="auto"/>
                <w:highlight w:val="none"/>
              </w:rPr>
            </w:pPr>
            <w:r>
              <w:rPr>
                <w:color w:val="auto"/>
                <w:spacing w:val="1"/>
                <w:highlight w:val="none"/>
              </w:rPr>
              <w:t>12.1.1</w:t>
            </w:r>
          </w:p>
        </w:tc>
        <w:tc>
          <w:tcPr>
            <w:tcW w:w="8264" w:type="dxa"/>
            <w:vAlign w:val="top"/>
          </w:tcPr>
          <w:p w14:paraId="57472B49">
            <w:pPr>
              <w:pStyle w:val="19"/>
              <w:spacing w:before="77" w:line="228" w:lineRule="auto"/>
              <w:ind w:left="119"/>
              <w:rPr>
                <w:color w:val="auto"/>
                <w:highlight w:val="none"/>
              </w:rPr>
            </w:pPr>
            <w:r>
              <w:rPr>
                <w:b/>
                <w:bCs/>
                <w:color w:val="auto"/>
                <w:spacing w:val="5"/>
                <w:highlight w:val="none"/>
              </w:rPr>
              <w:t>资格证明文件</w:t>
            </w:r>
          </w:p>
          <w:p w14:paraId="3AE4D464">
            <w:pPr>
              <w:pStyle w:val="19"/>
              <w:spacing w:before="72" w:line="286" w:lineRule="auto"/>
              <w:ind w:left="111" w:right="109" w:firstLine="14"/>
              <w:rPr>
                <w:color w:val="auto"/>
                <w:highlight w:val="none"/>
              </w:rPr>
            </w:pPr>
            <w:r>
              <w:rPr>
                <w:color w:val="auto"/>
                <w:spacing w:val="11"/>
                <w:highlight w:val="none"/>
              </w:rPr>
              <w:t>1.供应商为法人或者其他组织的提供其营业执照等证明文件（如营业执</w:t>
            </w:r>
            <w:r>
              <w:rPr>
                <w:color w:val="auto"/>
                <w:spacing w:val="10"/>
                <w:highlight w:val="none"/>
              </w:rPr>
              <w:t>照或者事业单位</w:t>
            </w:r>
            <w:r>
              <w:rPr>
                <w:color w:val="auto"/>
                <w:spacing w:val="12"/>
                <w:highlight w:val="none"/>
              </w:rPr>
              <w:t>法人证书或者执业许可证等</w:t>
            </w:r>
            <w:r>
              <w:rPr>
                <w:color w:val="auto"/>
                <w:spacing w:val="-9"/>
                <w:highlight w:val="none"/>
              </w:rPr>
              <w:t>），</w:t>
            </w:r>
            <w:r>
              <w:rPr>
                <w:color w:val="auto"/>
                <w:spacing w:val="12"/>
                <w:highlight w:val="none"/>
              </w:rPr>
              <w:t>供应商为自然人的提供</w:t>
            </w:r>
            <w:r>
              <w:rPr>
                <w:color w:val="auto"/>
                <w:spacing w:val="11"/>
                <w:highlight w:val="none"/>
              </w:rPr>
              <w:t>其身份证复印件</w:t>
            </w:r>
            <w:r>
              <w:rPr>
                <w:color w:val="auto"/>
                <w:spacing w:val="-9"/>
                <w:highlight w:val="none"/>
              </w:rPr>
              <w:t>；</w:t>
            </w:r>
            <w:r>
              <w:rPr>
                <w:b/>
                <w:bCs/>
                <w:color w:val="auto"/>
                <w:spacing w:val="-9"/>
                <w:highlight w:val="none"/>
              </w:rPr>
              <w:t>（</w:t>
            </w:r>
            <w:r>
              <w:rPr>
                <w:b/>
                <w:bCs/>
                <w:color w:val="auto"/>
                <w:spacing w:val="11"/>
                <w:highlight w:val="none"/>
              </w:rPr>
              <w:t>必须提供，</w:t>
            </w:r>
            <w:r>
              <w:rPr>
                <w:b/>
                <w:bCs/>
                <w:color w:val="auto"/>
                <w:spacing w:val="7"/>
                <w:highlight w:val="none"/>
              </w:rPr>
              <w:t>否则响应文件按无效响应处理）</w:t>
            </w:r>
          </w:p>
          <w:p w14:paraId="12404B29">
            <w:pPr>
              <w:pStyle w:val="19"/>
              <w:spacing w:before="32" w:line="289" w:lineRule="auto"/>
              <w:ind w:left="110" w:right="76" w:firstLine="2"/>
              <w:rPr>
                <w:color w:val="auto"/>
                <w:highlight w:val="none"/>
              </w:rPr>
            </w:pPr>
            <w:r>
              <w:rPr>
                <w:color w:val="auto"/>
                <w:spacing w:val="6"/>
                <w:highlight w:val="none"/>
              </w:rPr>
              <w:t>2.供应商依法缴纳税收的相关材料[磋商截止之日止半</w:t>
            </w:r>
            <w:r>
              <w:rPr>
                <w:color w:val="auto"/>
                <w:spacing w:val="5"/>
                <w:highlight w:val="none"/>
              </w:rPr>
              <w:t>年内</w:t>
            </w:r>
            <w:r>
              <w:rPr>
                <w:b/>
                <w:bCs/>
                <w:color w:val="auto"/>
                <w:spacing w:val="5"/>
                <w:highlight w:val="none"/>
              </w:rPr>
              <w:t>（2024年</w:t>
            </w:r>
            <w:r>
              <w:rPr>
                <w:rFonts w:hint="eastAsia"/>
                <w:b/>
                <w:bCs/>
                <w:color w:val="auto"/>
                <w:spacing w:val="5"/>
                <w:highlight w:val="none"/>
                <w:lang w:val="en-US" w:eastAsia="zh-CN"/>
              </w:rPr>
              <w:t>12</w:t>
            </w:r>
            <w:r>
              <w:rPr>
                <w:b/>
                <w:bCs/>
                <w:color w:val="auto"/>
                <w:spacing w:val="5"/>
                <w:highlight w:val="none"/>
              </w:rPr>
              <w:t>月-202</w:t>
            </w:r>
            <w:r>
              <w:rPr>
                <w:rFonts w:hint="eastAsia"/>
                <w:b/>
                <w:bCs/>
                <w:color w:val="auto"/>
                <w:spacing w:val="5"/>
                <w:highlight w:val="none"/>
                <w:lang w:val="en-US" w:eastAsia="zh-CN"/>
              </w:rPr>
              <w:t>5</w:t>
            </w:r>
            <w:r>
              <w:rPr>
                <w:b/>
                <w:bCs/>
                <w:color w:val="auto"/>
                <w:spacing w:val="5"/>
                <w:highlight w:val="none"/>
              </w:rPr>
              <w:t>年</w:t>
            </w:r>
            <w:r>
              <w:rPr>
                <w:rFonts w:hint="eastAsia"/>
                <w:b/>
                <w:bCs/>
                <w:color w:val="auto"/>
                <w:spacing w:val="5"/>
                <w:highlight w:val="none"/>
                <w:lang w:val="en-US" w:eastAsia="zh-CN"/>
              </w:rPr>
              <w:t>5</w:t>
            </w:r>
            <w:r>
              <w:rPr>
                <w:b/>
                <w:bCs/>
                <w:color w:val="auto"/>
                <w:spacing w:val="5"/>
                <w:highlight w:val="none"/>
              </w:rPr>
              <w:t>月）</w:t>
            </w:r>
            <w:r>
              <w:rPr>
                <w:color w:val="auto"/>
                <w:spacing w:val="11"/>
                <w:highlight w:val="none"/>
              </w:rPr>
              <w:t>供应商任意连续3个月的依法缴纳税收的凭据复印件；依法免税</w:t>
            </w:r>
            <w:r>
              <w:rPr>
                <w:color w:val="auto"/>
                <w:spacing w:val="10"/>
                <w:highlight w:val="none"/>
              </w:rPr>
              <w:t>的供应商，必须提供相</w:t>
            </w:r>
            <w:r>
              <w:rPr>
                <w:color w:val="auto"/>
                <w:spacing w:val="12"/>
                <w:highlight w:val="none"/>
              </w:rPr>
              <w:t>应文件证明其依法免税。从取得营业执照时</w:t>
            </w:r>
            <w:r>
              <w:rPr>
                <w:color w:val="auto"/>
                <w:spacing w:val="11"/>
                <w:highlight w:val="none"/>
              </w:rPr>
              <w:t>间起到首次响应文件提交截止时间为止不足</w:t>
            </w:r>
            <w:r>
              <w:rPr>
                <w:color w:val="auto"/>
                <w:spacing w:val="10"/>
                <w:highlight w:val="none"/>
              </w:rPr>
              <w:t>要求月数的，只需提供从取得营业执照起的依法缴纳税收相应证明文件]</w:t>
            </w:r>
            <w:r>
              <w:rPr>
                <w:color w:val="auto"/>
                <w:spacing w:val="-7"/>
                <w:highlight w:val="none"/>
              </w:rPr>
              <w:t>；</w:t>
            </w:r>
            <w:r>
              <w:rPr>
                <w:b/>
                <w:bCs/>
                <w:color w:val="auto"/>
                <w:spacing w:val="-7"/>
                <w:highlight w:val="none"/>
              </w:rPr>
              <w:t>（</w:t>
            </w:r>
            <w:r>
              <w:rPr>
                <w:b/>
                <w:bCs/>
                <w:color w:val="auto"/>
                <w:spacing w:val="10"/>
                <w:highlight w:val="none"/>
              </w:rPr>
              <w:t>必须提供，</w:t>
            </w:r>
            <w:r>
              <w:rPr>
                <w:b/>
                <w:bCs/>
                <w:color w:val="auto"/>
                <w:spacing w:val="7"/>
                <w:highlight w:val="none"/>
              </w:rPr>
              <w:t>否则响应文件按无效响应处理）</w:t>
            </w:r>
          </w:p>
          <w:p w14:paraId="7578C82D">
            <w:pPr>
              <w:pStyle w:val="19"/>
              <w:spacing w:before="34" w:line="290" w:lineRule="auto"/>
              <w:ind w:left="110" w:right="109" w:firstLine="5"/>
              <w:jc w:val="both"/>
              <w:rPr>
                <w:color w:val="auto"/>
                <w:highlight w:val="none"/>
              </w:rPr>
            </w:pPr>
            <w:r>
              <w:rPr>
                <w:color w:val="auto"/>
                <w:spacing w:val="7"/>
                <w:highlight w:val="none"/>
              </w:rPr>
              <w:t>3.供应商依法缴纳社会保障资金的相关材料[磋商截止之日止半年内</w:t>
            </w:r>
            <w:r>
              <w:rPr>
                <w:b/>
                <w:bCs/>
                <w:color w:val="auto"/>
                <w:spacing w:val="7"/>
                <w:highlight w:val="none"/>
              </w:rPr>
              <w:t>（2024年</w:t>
            </w:r>
            <w:r>
              <w:rPr>
                <w:rFonts w:hint="eastAsia"/>
                <w:b/>
                <w:bCs/>
                <w:color w:val="auto"/>
                <w:spacing w:val="7"/>
                <w:highlight w:val="none"/>
                <w:lang w:val="en-US" w:eastAsia="zh-CN"/>
              </w:rPr>
              <w:t>12</w:t>
            </w:r>
            <w:r>
              <w:rPr>
                <w:b/>
                <w:bCs/>
                <w:color w:val="auto"/>
                <w:spacing w:val="7"/>
                <w:highlight w:val="none"/>
              </w:rPr>
              <w:t>月-2</w:t>
            </w:r>
            <w:r>
              <w:rPr>
                <w:b/>
                <w:bCs/>
                <w:color w:val="auto"/>
                <w:spacing w:val="6"/>
                <w:highlight w:val="none"/>
              </w:rPr>
              <w:t>02</w:t>
            </w:r>
            <w:r>
              <w:rPr>
                <w:rFonts w:hint="eastAsia"/>
                <w:b/>
                <w:bCs/>
                <w:color w:val="auto"/>
                <w:spacing w:val="6"/>
                <w:highlight w:val="none"/>
                <w:lang w:val="en-US" w:eastAsia="zh-CN"/>
              </w:rPr>
              <w:t>5</w:t>
            </w:r>
            <w:r>
              <w:rPr>
                <w:b/>
                <w:bCs/>
                <w:color w:val="auto"/>
                <w:spacing w:val="10"/>
                <w:highlight w:val="none"/>
              </w:rPr>
              <w:t>年</w:t>
            </w:r>
            <w:r>
              <w:rPr>
                <w:rFonts w:hint="eastAsia"/>
                <w:b/>
                <w:bCs/>
                <w:color w:val="auto"/>
                <w:spacing w:val="10"/>
                <w:highlight w:val="none"/>
                <w:lang w:val="en-US" w:eastAsia="zh-CN"/>
              </w:rPr>
              <w:t>5</w:t>
            </w:r>
            <w:r>
              <w:rPr>
                <w:b/>
                <w:bCs/>
                <w:color w:val="auto"/>
                <w:spacing w:val="10"/>
                <w:highlight w:val="none"/>
              </w:rPr>
              <w:t>月）</w:t>
            </w:r>
            <w:r>
              <w:rPr>
                <w:color w:val="auto"/>
                <w:spacing w:val="10"/>
                <w:highlight w:val="none"/>
              </w:rPr>
              <w:t>供应商任意连续3个月的依法缴纳社会保障资金</w:t>
            </w:r>
            <w:r>
              <w:rPr>
                <w:color w:val="auto"/>
                <w:spacing w:val="9"/>
                <w:highlight w:val="none"/>
              </w:rPr>
              <w:t>的缴费凭证（专用收据或者社</w:t>
            </w:r>
            <w:r>
              <w:rPr>
                <w:color w:val="auto"/>
                <w:spacing w:val="12"/>
                <w:highlight w:val="none"/>
              </w:rPr>
              <w:t>会保险缴纳清单）复印件；依法不需要缴纳社</w:t>
            </w:r>
            <w:r>
              <w:rPr>
                <w:color w:val="auto"/>
                <w:spacing w:val="11"/>
                <w:highlight w:val="none"/>
              </w:rPr>
              <w:t>会保障资金的供应商，必须提供相应文件</w:t>
            </w:r>
            <w:r>
              <w:rPr>
                <w:color w:val="auto"/>
                <w:spacing w:val="12"/>
                <w:highlight w:val="none"/>
              </w:rPr>
              <w:t>证明不需要缴纳社会保障资金。从取得营业执</w:t>
            </w:r>
            <w:r>
              <w:rPr>
                <w:color w:val="auto"/>
                <w:spacing w:val="11"/>
                <w:highlight w:val="none"/>
              </w:rPr>
              <w:t>照时间起到首次响应文件提交截止时间为</w:t>
            </w:r>
            <w:r>
              <w:rPr>
                <w:color w:val="auto"/>
                <w:spacing w:val="17"/>
                <w:highlight w:val="none"/>
              </w:rPr>
              <w:t>止不足要求月数的只需提供从取得营业执照起的依法缴纳社会保障资金的相应证明文</w:t>
            </w:r>
            <w:r>
              <w:rPr>
                <w:color w:val="auto"/>
                <w:spacing w:val="9"/>
                <w:highlight w:val="none"/>
              </w:rPr>
              <w:t>件]</w:t>
            </w:r>
            <w:r>
              <w:rPr>
                <w:color w:val="auto"/>
                <w:spacing w:val="-6"/>
                <w:highlight w:val="none"/>
              </w:rPr>
              <w:t>；</w:t>
            </w:r>
            <w:r>
              <w:rPr>
                <w:b/>
                <w:bCs/>
                <w:color w:val="auto"/>
                <w:spacing w:val="-6"/>
                <w:highlight w:val="none"/>
              </w:rPr>
              <w:t>（</w:t>
            </w:r>
            <w:r>
              <w:rPr>
                <w:b/>
                <w:bCs/>
                <w:color w:val="auto"/>
                <w:spacing w:val="9"/>
                <w:highlight w:val="none"/>
              </w:rPr>
              <w:t>必须提供，否则响应文件按无效响应处理）</w:t>
            </w:r>
          </w:p>
          <w:p w14:paraId="7BA32CCD">
            <w:pPr>
              <w:pStyle w:val="19"/>
              <w:spacing w:before="34" w:line="227" w:lineRule="auto"/>
              <w:ind w:left="110"/>
              <w:rPr>
                <w:b/>
                <w:bCs/>
                <w:color w:val="auto"/>
                <w:spacing w:val="11"/>
                <w:highlight w:val="none"/>
              </w:rPr>
            </w:pPr>
            <w:r>
              <w:rPr>
                <w:rFonts w:hint="eastAsia"/>
                <w:color w:val="auto"/>
                <w:spacing w:val="11"/>
                <w:highlight w:val="none"/>
              </w:rPr>
              <w:t>4.</w:t>
            </w:r>
            <w:r>
              <w:rPr>
                <w:rFonts w:hint="eastAsia"/>
                <w:color w:val="auto"/>
                <w:spacing w:val="11"/>
                <w:highlight w:val="none"/>
                <w:lang w:eastAsia="zh-CN"/>
              </w:rPr>
              <w:t>[2023年度或2024年度财务审计报告复印件或者银行出具的资信证明；投标人属于成立时间在规定年度之后的法人或其他组织，需提供成立之日起至投标截止时间前的月报表或银行出具的资信证明；资信证明应在有效期内，未注明有效期的，银行出具时间至投标截止时间不超过一年]</w:t>
            </w:r>
            <w:r>
              <w:rPr>
                <w:rFonts w:hint="eastAsia"/>
                <w:color w:val="auto"/>
                <w:spacing w:val="11"/>
                <w:highlight w:val="none"/>
              </w:rPr>
              <w:t>；</w:t>
            </w:r>
            <w:r>
              <w:rPr>
                <w:rFonts w:hint="eastAsia"/>
                <w:b/>
                <w:bCs/>
                <w:color w:val="auto"/>
                <w:spacing w:val="11"/>
                <w:highlight w:val="none"/>
              </w:rPr>
              <w:t>（必须提供，否则响应文件按无效响应处理）</w:t>
            </w:r>
          </w:p>
          <w:p w14:paraId="041EB7F6">
            <w:pPr>
              <w:pStyle w:val="19"/>
              <w:spacing w:before="34" w:line="227" w:lineRule="auto"/>
              <w:ind w:left="110"/>
              <w:rPr>
                <w:color w:val="auto"/>
                <w:highlight w:val="none"/>
              </w:rPr>
            </w:pPr>
            <w:r>
              <w:rPr>
                <w:rFonts w:hint="eastAsia"/>
                <w:color w:val="auto"/>
                <w:spacing w:val="11"/>
                <w:highlight w:val="none"/>
                <w:lang w:val="en-US" w:eastAsia="zh-CN"/>
              </w:rPr>
              <w:t>5</w:t>
            </w:r>
            <w:r>
              <w:rPr>
                <w:color w:val="auto"/>
                <w:spacing w:val="11"/>
                <w:highlight w:val="none"/>
              </w:rPr>
              <w:t>.供应商直接控股、管理关系信息表（格式后附</w:t>
            </w:r>
            <w:r>
              <w:rPr>
                <w:color w:val="auto"/>
                <w:spacing w:val="-11"/>
                <w:highlight w:val="none"/>
              </w:rPr>
              <w:t>）；</w:t>
            </w:r>
            <w:r>
              <w:rPr>
                <w:b/>
                <w:bCs/>
                <w:color w:val="auto"/>
                <w:spacing w:val="-11"/>
                <w:highlight w:val="none"/>
              </w:rPr>
              <w:t>（</w:t>
            </w:r>
            <w:r>
              <w:rPr>
                <w:b/>
                <w:bCs/>
                <w:color w:val="auto"/>
                <w:spacing w:val="11"/>
                <w:highlight w:val="none"/>
              </w:rPr>
              <w:t>必须提供，否则响应文件按无效</w:t>
            </w:r>
          </w:p>
          <w:p w14:paraId="579FE6D2">
            <w:pPr>
              <w:pStyle w:val="19"/>
              <w:spacing w:before="73" w:line="230" w:lineRule="auto"/>
              <w:ind w:left="121"/>
              <w:rPr>
                <w:color w:val="auto"/>
                <w:highlight w:val="none"/>
              </w:rPr>
            </w:pPr>
            <w:r>
              <w:rPr>
                <w:b/>
                <w:bCs/>
                <w:color w:val="auto"/>
                <w:spacing w:val="2"/>
                <w:highlight w:val="none"/>
              </w:rPr>
              <w:t>响应处理）</w:t>
            </w:r>
          </w:p>
          <w:p w14:paraId="146C8721">
            <w:pPr>
              <w:pStyle w:val="19"/>
              <w:spacing w:before="70" w:line="227" w:lineRule="auto"/>
              <w:ind w:left="115"/>
              <w:rPr>
                <w:color w:val="auto"/>
                <w:highlight w:val="none"/>
              </w:rPr>
            </w:pPr>
            <w:r>
              <w:rPr>
                <w:rFonts w:hint="eastAsia"/>
                <w:color w:val="auto"/>
                <w:spacing w:val="9"/>
                <w:highlight w:val="none"/>
                <w:lang w:val="en-US" w:eastAsia="zh-CN"/>
              </w:rPr>
              <w:t>6</w:t>
            </w:r>
            <w:r>
              <w:rPr>
                <w:color w:val="auto"/>
                <w:spacing w:val="9"/>
                <w:highlight w:val="none"/>
              </w:rPr>
              <w:t>.竞标声明（格式后附</w:t>
            </w:r>
            <w:r>
              <w:rPr>
                <w:color w:val="auto"/>
                <w:spacing w:val="-1"/>
                <w:highlight w:val="none"/>
              </w:rPr>
              <w:t>）；</w:t>
            </w:r>
            <w:r>
              <w:rPr>
                <w:b/>
                <w:bCs/>
                <w:color w:val="auto"/>
                <w:spacing w:val="-1"/>
                <w:highlight w:val="none"/>
              </w:rPr>
              <w:t>（</w:t>
            </w:r>
            <w:r>
              <w:rPr>
                <w:b/>
                <w:bCs/>
                <w:color w:val="auto"/>
                <w:spacing w:val="9"/>
                <w:highlight w:val="none"/>
              </w:rPr>
              <w:t>必须提供，否则响应文件按无效响应处理）</w:t>
            </w:r>
          </w:p>
          <w:p w14:paraId="6C5D29CD">
            <w:pPr>
              <w:pStyle w:val="19"/>
              <w:spacing w:before="75" w:line="227" w:lineRule="auto"/>
              <w:ind w:left="112"/>
              <w:rPr>
                <w:color w:val="auto"/>
                <w:highlight w:val="none"/>
              </w:rPr>
            </w:pPr>
            <w:r>
              <w:rPr>
                <w:rFonts w:hint="eastAsia"/>
                <w:color w:val="auto"/>
                <w:spacing w:val="11"/>
                <w:highlight w:val="none"/>
                <w:lang w:val="en-US" w:eastAsia="zh-CN"/>
              </w:rPr>
              <w:t>7</w:t>
            </w:r>
            <w:r>
              <w:rPr>
                <w:color w:val="auto"/>
                <w:spacing w:val="11"/>
                <w:highlight w:val="none"/>
              </w:rPr>
              <w:t>.中小企业声明函或者残疾人福利性单位声明函或者供应商属于监狱企</w:t>
            </w:r>
            <w:r>
              <w:rPr>
                <w:color w:val="auto"/>
                <w:spacing w:val="10"/>
                <w:highlight w:val="none"/>
              </w:rPr>
              <w:t>业的证明材料；</w:t>
            </w:r>
          </w:p>
          <w:p w14:paraId="25859A7B">
            <w:pPr>
              <w:pStyle w:val="19"/>
              <w:spacing w:before="74" w:line="227" w:lineRule="auto"/>
              <w:ind w:left="121"/>
              <w:rPr>
                <w:color w:val="auto"/>
                <w:highlight w:val="none"/>
              </w:rPr>
            </w:pPr>
            <w:r>
              <w:rPr>
                <w:b/>
                <w:bCs/>
                <w:color w:val="auto"/>
                <w:spacing w:val="8"/>
                <w:highlight w:val="none"/>
              </w:rPr>
              <w:t>（本项目为专门面向中小企业采购，必须提供，否则响应文件按</w:t>
            </w:r>
            <w:r>
              <w:rPr>
                <w:b/>
                <w:bCs/>
                <w:color w:val="auto"/>
                <w:spacing w:val="7"/>
                <w:highlight w:val="none"/>
              </w:rPr>
              <w:t>无效响应处理）</w:t>
            </w:r>
          </w:p>
          <w:p w14:paraId="39638304">
            <w:pPr>
              <w:pStyle w:val="19"/>
              <w:spacing w:before="73" w:line="227" w:lineRule="auto"/>
              <w:ind w:left="115"/>
              <w:rPr>
                <w:color w:val="auto"/>
                <w:highlight w:val="none"/>
              </w:rPr>
            </w:pPr>
            <w:r>
              <w:rPr>
                <w:rFonts w:hint="eastAsia"/>
                <w:color w:val="auto"/>
                <w:spacing w:val="9"/>
                <w:highlight w:val="none"/>
                <w:lang w:val="en-US" w:eastAsia="zh-CN"/>
              </w:rPr>
              <w:t>8</w:t>
            </w:r>
            <w:r>
              <w:rPr>
                <w:color w:val="auto"/>
                <w:spacing w:val="9"/>
                <w:highlight w:val="none"/>
              </w:rPr>
              <w:t>.除磋商文件规定必须提供以外，供应商认为需要提供的其他证明</w:t>
            </w:r>
            <w:r>
              <w:rPr>
                <w:color w:val="auto"/>
                <w:spacing w:val="8"/>
                <w:highlight w:val="none"/>
              </w:rPr>
              <w:t>材料；</w:t>
            </w:r>
          </w:p>
          <w:p w14:paraId="18EB8DC9">
            <w:pPr>
              <w:pStyle w:val="19"/>
              <w:spacing w:before="76" w:line="232" w:lineRule="auto"/>
              <w:ind w:left="110"/>
              <w:rPr>
                <w:color w:val="auto"/>
                <w:highlight w:val="none"/>
              </w:rPr>
            </w:pPr>
            <w:r>
              <w:rPr>
                <w:b/>
                <w:bCs/>
                <w:color w:val="auto"/>
                <w:spacing w:val="-2"/>
                <w:highlight w:val="none"/>
              </w:rPr>
              <w:t>注：</w:t>
            </w:r>
          </w:p>
          <w:p w14:paraId="2B21596A">
            <w:pPr>
              <w:pStyle w:val="19"/>
              <w:spacing w:before="68" w:line="280" w:lineRule="auto"/>
              <w:ind w:left="112" w:right="111" w:firstLine="13"/>
              <w:rPr>
                <w:color w:val="auto"/>
                <w:highlight w:val="none"/>
              </w:rPr>
            </w:pPr>
            <w:r>
              <w:rPr>
                <w:b/>
                <w:bCs/>
                <w:color w:val="auto"/>
                <w:spacing w:val="8"/>
                <w:highlight w:val="none"/>
              </w:rPr>
              <w:t>1.以上标明“必须提供”的材料属于复印件的，必须加盖供应商公章，否则响</w:t>
            </w:r>
            <w:r>
              <w:rPr>
                <w:b/>
                <w:bCs/>
                <w:color w:val="auto"/>
                <w:spacing w:val="7"/>
                <w:highlight w:val="none"/>
              </w:rPr>
              <w:t>应文件按</w:t>
            </w:r>
            <w:r>
              <w:rPr>
                <w:b/>
                <w:bCs/>
                <w:color w:val="auto"/>
                <w:spacing w:val="5"/>
                <w:highlight w:val="none"/>
              </w:rPr>
              <w:t>无效响应处理。</w:t>
            </w:r>
          </w:p>
          <w:p w14:paraId="40AF6D50">
            <w:pPr>
              <w:pStyle w:val="19"/>
              <w:spacing w:before="34" w:line="280" w:lineRule="auto"/>
              <w:ind w:left="112" w:right="108"/>
              <w:rPr>
                <w:color w:val="auto"/>
                <w:highlight w:val="none"/>
              </w:rPr>
            </w:pPr>
            <w:r>
              <w:rPr>
                <w:b/>
                <w:bCs/>
                <w:color w:val="auto"/>
                <w:spacing w:val="6"/>
                <w:highlight w:val="none"/>
              </w:rPr>
              <w:t>2.竞标声明必须由法定代表人/法定代表在规定签章处签字并加盖供应商公章，否则响应文件按无效响应处理。</w:t>
            </w:r>
          </w:p>
          <w:p w14:paraId="6AB688C6">
            <w:pPr>
              <w:pStyle w:val="19"/>
              <w:spacing w:before="31" w:line="256" w:lineRule="auto"/>
              <w:ind w:left="113" w:right="111" w:firstLine="1"/>
              <w:rPr>
                <w:color w:val="auto"/>
                <w:highlight w:val="none"/>
              </w:rPr>
            </w:pPr>
            <w:r>
              <w:rPr>
                <w:b/>
                <w:bCs/>
                <w:color w:val="auto"/>
                <w:spacing w:val="6"/>
                <w:highlight w:val="none"/>
              </w:rPr>
              <w:t>3.供应商直接控股、管理关系信息表必须由法定代表人法定代表人/法定代表或者委托代</w:t>
            </w:r>
            <w:r>
              <w:rPr>
                <w:b/>
                <w:bCs/>
                <w:color w:val="auto"/>
                <w:spacing w:val="8"/>
                <w:highlight w:val="none"/>
              </w:rPr>
              <w:t>理人在规定签章处签字并加盖供应商公章，否则响应文件按无效响应处</w:t>
            </w:r>
            <w:r>
              <w:rPr>
                <w:b/>
                <w:bCs/>
                <w:color w:val="auto"/>
                <w:spacing w:val="7"/>
                <w:highlight w:val="none"/>
              </w:rPr>
              <w:t>理。</w:t>
            </w:r>
          </w:p>
        </w:tc>
      </w:tr>
      <w:tr w14:paraId="36F69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7" w:hRule="atLeast"/>
        </w:trPr>
        <w:tc>
          <w:tcPr>
            <w:tcW w:w="996" w:type="dxa"/>
            <w:vAlign w:val="top"/>
          </w:tcPr>
          <w:p w14:paraId="78D2C55C">
            <w:pPr>
              <w:spacing w:line="250" w:lineRule="auto"/>
              <w:rPr>
                <w:rFonts w:ascii="Arial"/>
                <w:color w:val="auto"/>
                <w:sz w:val="21"/>
                <w:highlight w:val="none"/>
              </w:rPr>
            </w:pPr>
          </w:p>
          <w:p w14:paraId="680393E9">
            <w:pPr>
              <w:spacing w:line="250" w:lineRule="auto"/>
              <w:rPr>
                <w:rFonts w:ascii="Arial"/>
                <w:color w:val="auto"/>
                <w:sz w:val="21"/>
                <w:highlight w:val="none"/>
              </w:rPr>
            </w:pPr>
          </w:p>
          <w:p w14:paraId="0BD04AB5">
            <w:pPr>
              <w:spacing w:line="250" w:lineRule="auto"/>
              <w:rPr>
                <w:rFonts w:ascii="Arial"/>
                <w:color w:val="auto"/>
                <w:sz w:val="21"/>
                <w:highlight w:val="none"/>
              </w:rPr>
            </w:pPr>
          </w:p>
          <w:p w14:paraId="355FEC05">
            <w:pPr>
              <w:spacing w:line="251" w:lineRule="auto"/>
              <w:rPr>
                <w:rFonts w:ascii="Arial"/>
                <w:color w:val="auto"/>
                <w:sz w:val="21"/>
                <w:highlight w:val="none"/>
              </w:rPr>
            </w:pPr>
          </w:p>
          <w:p w14:paraId="3294BB5A">
            <w:pPr>
              <w:pStyle w:val="19"/>
              <w:spacing w:before="65" w:line="190" w:lineRule="auto"/>
              <w:ind w:left="203"/>
              <w:rPr>
                <w:color w:val="auto"/>
                <w:highlight w:val="none"/>
              </w:rPr>
            </w:pPr>
            <w:r>
              <w:rPr>
                <w:color w:val="auto"/>
                <w:spacing w:val="1"/>
                <w:highlight w:val="none"/>
              </w:rPr>
              <w:t>12.1.2</w:t>
            </w:r>
          </w:p>
        </w:tc>
        <w:tc>
          <w:tcPr>
            <w:tcW w:w="8264" w:type="dxa"/>
            <w:vAlign w:val="top"/>
          </w:tcPr>
          <w:p w14:paraId="7115C0C0">
            <w:pPr>
              <w:pStyle w:val="19"/>
              <w:spacing w:before="80" w:line="226" w:lineRule="auto"/>
              <w:ind w:left="109"/>
              <w:rPr>
                <w:color w:val="auto"/>
                <w:highlight w:val="none"/>
              </w:rPr>
            </w:pPr>
            <w:r>
              <w:rPr>
                <w:b/>
                <w:bCs/>
                <w:color w:val="auto"/>
                <w:spacing w:val="7"/>
                <w:highlight w:val="none"/>
              </w:rPr>
              <w:t>报价文件</w:t>
            </w:r>
          </w:p>
          <w:p w14:paraId="5CC9D187">
            <w:pPr>
              <w:pStyle w:val="19"/>
              <w:spacing w:before="77" w:line="279" w:lineRule="auto"/>
              <w:ind w:left="113" w:right="21" w:firstLine="12"/>
              <w:rPr>
                <w:color w:val="auto"/>
                <w:highlight w:val="none"/>
              </w:rPr>
            </w:pPr>
            <w:r>
              <w:rPr>
                <w:rFonts w:hint="eastAsia"/>
                <w:color w:val="auto"/>
                <w:spacing w:val="8"/>
                <w:highlight w:val="none"/>
                <w:lang w:val="en-US" w:eastAsia="zh-CN"/>
              </w:rPr>
              <w:t>1</w:t>
            </w:r>
            <w:r>
              <w:rPr>
                <w:color w:val="auto"/>
                <w:spacing w:val="9"/>
                <w:highlight w:val="none"/>
              </w:rPr>
              <w:t>.磋商报价表（格式后附</w:t>
            </w:r>
            <w:r>
              <w:rPr>
                <w:color w:val="auto"/>
                <w:highlight w:val="none"/>
              </w:rPr>
              <w:t>）；</w:t>
            </w:r>
            <w:r>
              <w:rPr>
                <w:b/>
                <w:bCs/>
                <w:color w:val="auto"/>
                <w:highlight w:val="none"/>
              </w:rPr>
              <w:t>（</w:t>
            </w:r>
            <w:r>
              <w:rPr>
                <w:b/>
                <w:bCs/>
                <w:color w:val="auto"/>
                <w:spacing w:val="9"/>
                <w:highlight w:val="none"/>
              </w:rPr>
              <w:t>必须提供，否则响应文件按无效响应处理）</w:t>
            </w:r>
          </w:p>
          <w:p w14:paraId="38F5653C">
            <w:pPr>
              <w:pStyle w:val="19"/>
              <w:spacing w:before="73" w:line="227" w:lineRule="auto"/>
              <w:ind w:left="112"/>
              <w:rPr>
                <w:color w:val="auto"/>
                <w:spacing w:val="9"/>
                <w:highlight w:val="none"/>
              </w:rPr>
            </w:pPr>
            <w:r>
              <w:rPr>
                <w:rFonts w:hint="eastAsia"/>
                <w:color w:val="auto"/>
                <w:spacing w:val="9"/>
                <w:highlight w:val="none"/>
                <w:lang w:val="en-US" w:eastAsia="zh-CN"/>
              </w:rPr>
              <w:t>2</w:t>
            </w:r>
            <w:r>
              <w:rPr>
                <w:color w:val="auto"/>
                <w:spacing w:val="9"/>
                <w:highlight w:val="none"/>
              </w:rPr>
              <w:t>.</w:t>
            </w:r>
            <w:r>
              <w:rPr>
                <w:rFonts w:hint="eastAsia"/>
                <w:color w:val="auto"/>
                <w:spacing w:val="9"/>
                <w:highlight w:val="none"/>
              </w:rPr>
              <w:t>对应报价</w:t>
            </w:r>
            <w:r>
              <w:rPr>
                <w:color w:val="auto"/>
                <w:spacing w:val="9"/>
                <w:highlight w:val="none"/>
              </w:rPr>
              <w:t>供应商认为需要提供的其他有关资料。</w:t>
            </w:r>
          </w:p>
          <w:p w14:paraId="29C9A1F8">
            <w:pPr>
              <w:pStyle w:val="19"/>
              <w:spacing w:before="30" w:line="232" w:lineRule="auto"/>
              <w:ind w:left="110"/>
              <w:rPr>
                <w:color w:val="auto"/>
                <w:highlight w:val="none"/>
              </w:rPr>
            </w:pPr>
            <w:r>
              <w:rPr>
                <w:b/>
                <w:bCs/>
                <w:color w:val="auto"/>
                <w:spacing w:val="-2"/>
                <w:highlight w:val="none"/>
              </w:rPr>
              <w:t>注：</w:t>
            </w:r>
          </w:p>
          <w:p w14:paraId="4A0B8E98">
            <w:pPr>
              <w:pStyle w:val="19"/>
              <w:spacing w:before="30" w:line="280" w:lineRule="auto"/>
              <w:ind w:left="112" w:right="111"/>
              <w:rPr>
                <w:color w:val="auto"/>
                <w:highlight w:val="none"/>
              </w:rPr>
            </w:pPr>
            <w:r>
              <w:rPr>
                <w:rFonts w:hint="eastAsia"/>
                <w:b/>
                <w:bCs/>
                <w:color w:val="auto"/>
                <w:spacing w:val="8"/>
                <w:highlight w:val="none"/>
                <w:lang w:val="en-US" w:eastAsia="zh-CN"/>
              </w:rPr>
              <w:t>1</w:t>
            </w:r>
            <w:r>
              <w:rPr>
                <w:b/>
                <w:bCs/>
                <w:color w:val="auto"/>
                <w:spacing w:val="8"/>
                <w:highlight w:val="none"/>
              </w:rPr>
              <w:t>.以上标明“必须提供”的材料属于复印件的，必须加盖供应商公章，否则响应文件按</w:t>
            </w:r>
            <w:r>
              <w:rPr>
                <w:b/>
                <w:bCs/>
                <w:color w:val="auto"/>
                <w:spacing w:val="5"/>
                <w:highlight w:val="none"/>
              </w:rPr>
              <w:t>无效响应处理。</w:t>
            </w:r>
          </w:p>
          <w:p w14:paraId="29973B03">
            <w:pPr>
              <w:pStyle w:val="19"/>
              <w:spacing w:before="73" w:line="218" w:lineRule="auto"/>
              <w:ind w:left="120"/>
              <w:rPr>
                <w:b/>
                <w:bCs/>
                <w:color w:val="auto"/>
                <w:spacing w:val="6"/>
                <w:highlight w:val="none"/>
              </w:rPr>
            </w:pPr>
            <w:r>
              <w:rPr>
                <w:rFonts w:hint="eastAsia"/>
                <w:b/>
                <w:bCs/>
                <w:color w:val="auto"/>
                <w:spacing w:val="7"/>
                <w:highlight w:val="none"/>
                <w:lang w:val="en-US" w:eastAsia="zh-CN"/>
              </w:rPr>
              <w:t>2</w:t>
            </w:r>
            <w:r>
              <w:rPr>
                <w:b/>
                <w:bCs/>
                <w:color w:val="auto"/>
                <w:spacing w:val="7"/>
                <w:highlight w:val="none"/>
              </w:rPr>
              <w:t>.以上材料未附格式的，由供应商自行拟</w:t>
            </w:r>
            <w:r>
              <w:rPr>
                <w:b/>
                <w:bCs/>
                <w:color w:val="auto"/>
                <w:spacing w:val="6"/>
                <w:highlight w:val="none"/>
              </w:rPr>
              <w:t>定。</w:t>
            </w:r>
          </w:p>
          <w:p w14:paraId="3E551395">
            <w:pPr>
              <w:pStyle w:val="19"/>
              <w:spacing w:before="80" w:line="226" w:lineRule="auto"/>
              <w:ind w:left="109"/>
              <w:rPr>
                <w:color w:val="auto"/>
                <w:highlight w:val="none"/>
              </w:rPr>
            </w:pPr>
            <w:r>
              <w:rPr>
                <w:b/>
                <w:bCs/>
                <w:color w:val="auto"/>
                <w:spacing w:val="7"/>
                <w:highlight w:val="none"/>
              </w:rPr>
              <w:t>商务文件</w:t>
            </w:r>
          </w:p>
          <w:p w14:paraId="4A844766">
            <w:pPr>
              <w:pStyle w:val="19"/>
              <w:spacing w:before="77" w:line="279" w:lineRule="auto"/>
              <w:ind w:left="113" w:right="21" w:firstLine="12"/>
              <w:rPr>
                <w:color w:val="auto"/>
                <w:highlight w:val="none"/>
              </w:rPr>
            </w:pPr>
            <w:r>
              <w:rPr>
                <w:color w:val="auto"/>
                <w:spacing w:val="8"/>
                <w:highlight w:val="none"/>
              </w:rPr>
              <w:t>1.无串通竞标行为的承诺函（格式后附</w:t>
            </w:r>
            <w:r>
              <w:rPr>
                <w:color w:val="auto"/>
                <w:spacing w:val="-10"/>
                <w:highlight w:val="none"/>
              </w:rPr>
              <w:t>）；</w:t>
            </w:r>
            <w:r>
              <w:rPr>
                <w:b/>
                <w:bCs/>
                <w:color w:val="auto"/>
                <w:spacing w:val="-10"/>
                <w:highlight w:val="none"/>
              </w:rPr>
              <w:t>（</w:t>
            </w:r>
            <w:r>
              <w:rPr>
                <w:b/>
                <w:bCs/>
                <w:color w:val="auto"/>
                <w:spacing w:val="8"/>
                <w:highlight w:val="none"/>
              </w:rPr>
              <w:t>必须提供，否则响应文件按无效响应处理）</w:t>
            </w:r>
          </w:p>
          <w:p w14:paraId="76B7BB03">
            <w:pPr>
              <w:pStyle w:val="19"/>
              <w:spacing w:before="33" w:line="227" w:lineRule="auto"/>
              <w:ind w:left="115"/>
              <w:rPr>
                <w:color w:val="auto"/>
                <w:highlight w:val="none"/>
              </w:rPr>
            </w:pPr>
            <w:r>
              <w:rPr>
                <w:rFonts w:hint="eastAsia"/>
                <w:color w:val="auto"/>
                <w:spacing w:val="12"/>
                <w:highlight w:val="none"/>
                <w:lang w:val="en-US" w:eastAsia="zh-CN"/>
              </w:rPr>
              <w:t>2</w:t>
            </w:r>
            <w:r>
              <w:rPr>
                <w:color w:val="auto"/>
                <w:spacing w:val="12"/>
                <w:highlight w:val="none"/>
              </w:rPr>
              <w:t>.法定代表人身份证明书及法定代表人有效身份证正反面复印</w:t>
            </w:r>
            <w:r>
              <w:rPr>
                <w:color w:val="auto"/>
                <w:spacing w:val="11"/>
                <w:highlight w:val="none"/>
              </w:rPr>
              <w:t>件（格式后附</w:t>
            </w:r>
            <w:r>
              <w:rPr>
                <w:color w:val="auto"/>
                <w:spacing w:val="1"/>
                <w:highlight w:val="none"/>
              </w:rPr>
              <w:t>）；</w:t>
            </w:r>
            <w:r>
              <w:rPr>
                <w:b/>
                <w:bCs/>
                <w:color w:val="auto"/>
                <w:spacing w:val="1"/>
                <w:highlight w:val="none"/>
              </w:rPr>
              <w:t>（</w:t>
            </w:r>
            <w:r>
              <w:rPr>
                <w:b/>
                <w:bCs/>
                <w:color w:val="auto"/>
                <w:spacing w:val="11"/>
                <w:highlight w:val="none"/>
              </w:rPr>
              <w:t>除自</w:t>
            </w:r>
          </w:p>
          <w:p w14:paraId="57A6D4D5">
            <w:pPr>
              <w:pStyle w:val="19"/>
              <w:spacing w:before="75" w:line="227" w:lineRule="auto"/>
              <w:ind w:left="111"/>
              <w:rPr>
                <w:color w:val="auto"/>
                <w:highlight w:val="none"/>
              </w:rPr>
            </w:pPr>
            <w:r>
              <w:rPr>
                <w:b/>
                <w:bCs/>
                <w:color w:val="auto"/>
                <w:spacing w:val="8"/>
                <w:highlight w:val="none"/>
              </w:rPr>
              <w:t>然人竞标外必须提供，否则响应文件按无效</w:t>
            </w:r>
            <w:r>
              <w:rPr>
                <w:b/>
                <w:bCs/>
                <w:color w:val="auto"/>
                <w:spacing w:val="7"/>
                <w:highlight w:val="none"/>
              </w:rPr>
              <w:t>响应处理）</w:t>
            </w:r>
          </w:p>
          <w:p w14:paraId="20768DB6">
            <w:pPr>
              <w:pStyle w:val="19"/>
              <w:spacing w:before="73" w:line="227" w:lineRule="auto"/>
              <w:ind w:left="110"/>
              <w:rPr>
                <w:color w:val="auto"/>
                <w:highlight w:val="none"/>
              </w:rPr>
            </w:pPr>
            <w:r>
              <w:rPr>
                <w:rFonts w:hint="eastAsia"/>
                <w:color w:val="auto"/>
                <w:spacing w:val="12"/>
                <w:highlight w:val="none"/>
                <w:lang w:val="en-US" w:eastAsia="zh-CN"/>
              </w:rPr>
              <w:t>3</w:t>
            </w:r>
            <w:r>
              <w:rPr>
                <w:color w:val="auto"/>
                <w:spacing w:val="12"/>
                <w:highlight w:val="none"/>
              </w:rPr>
              <w:t>.法定代表人授权委托书及委托代理人有效身份证正反面复印件（格式</w:t>
            </w:r>
            <w:r>
              <w:rPr>
                <w:color w:val="auto"/>
                <w:spacing w:val="11"/>
                <w:highlight w:val="none"/>
              </w:rPr>
              <w:t>后附</w:t>
            </w:r>
            <w:r>
              <w:rPr>
                <w:color w:val="auto"/>
                <w:spacing w:val="-13"/>
                <w:highlight w:val="none"/>
              </w:rPr>
              <w:t>）；</w:t>
            </w:r>
            <w:r>
              <w:rPr>
                <w:b/>
                <w:bCs/>
                <w:color w:val="auto"/>
                <w:spacing w:val="-13"/>
                <w:highlight w:val="none"/>
              </w:rPr>
              <w:t>（</w:t>
            </w:r>
            <w:r>
              <w:rPr>
                <w:b/>
                <w:bCs/>
                <w:color w:val="auto"/>
                <w:spacing w:val="11"/>
                <w:highlight w:val="none"/>
              </w:rPr>
              <w:t>委托</w:t>
            </w:r>
          </w:p>
          <w:p w14:paraId="7C6B9062">
            <w:pPr>
              <w:pStyle w:val="19"/>
              <w:spacing w:before="80" w:line="227" w:lineRule="auto"/>
              <w:ind w:left="115"/>
              <w:rPr>
                <w:b/>
                <w:bCs/>
                <w:color w:val="auto"/>
                <w:spacing w:val="7"/>
                <w:highlight w:val="none"/>
              </w:rPr>
            </w:pPr>
            <w:r>
              <w:rPr>
                <w:b/>
                <w:bCs/>
                <w:color w:val="auto"/>
                <w:spacing w:val="7"/>
                <w:highlight w:val="none"/>
              </w:rPr>
              <w:t>时必须提供，否则响应文件按无效响应处理）</w:t>
            </w:r>
          </w:p>
          <w:p w14:paraId="4D47C6F4">
            <w:pPr>
              <w:pStyle w:val="19"/>
              <w:spacing w:before="80" w:line="227" w:lineRule="auto"/>
              <w:ind w:left="115"/>
              <w:rPr>
                <w:rFonts w:hint="default" w:eastAsia="宋体"/>
                <w:color w:val="auto"/>
                <w:spacing w:val="9"/>
                <w:highlight w:val="none"/>
                <w:lang w:val="en-US" w:eastAsia="zh-CN"/>
              </w:rPr>
            </w:pPr>
            <w:r>
              <w:rPr>
                <w:rFonts w:hint="eastAsia"/>
                <w:color w:val="auto"/>
                <w:spacing w:val="9"/>
                <w:highlight w:val="none"/>
                <w:lang w:val="en-US" w:eastAsia="zh-CN"/>
              </w:rPr>
              <w:t>4.磋商保证金提交凭证；</w:t>
            </w:r>
            <w:r>
              <w:rPr>
                <w:rFonts w:hint="eastAsia"/>
                <w:b/>
                <w:bCs/>
                <w:color w:val="auto"/>
                <w:spacing w:val="9"/>
                <w:highlight w:val="none"/>
                <w:lang w:val="en-US" w:eastAsia="zh-CN"/>
              </w:rPr>
              <w:t>（必须提供，否则响应文件按无效响应处理）</w:t>
            </w:r>
          </w:p>
          <w:p w14:paraId="6E841E46">
            <w:pPr>
              <w:pStyle w:val="19"/>
              <w:spacing w:before="80" w:line="227" w:lineRule="auto"/>
              <w:ind w:left="115"/>
              <w:rPr>
                <w:color w:val="auto"/>
                <w:highlight w:val="none"/>
              </w:rPr>
            </w:pPr>
            <w:r>
              <w:rPr>
                <w:rFonts w:hint="eastAsia"/>
                <w:color w:val="auto"/>
                <w:spacing w:val="9"/>
                <w:highlight w:val="none"/>
                <w:lang w:val="en-US" w:eastAsia="zh-CN"/>
              </w:rPr>
              <w:t>5</w:t>
            </w:r>
            <w:r>
              <w:rPr>
                <w:color w:val="auto"/>
                <w:spacing w:val="9"/>
                <w:highlight w:val="none"/>
              </w:rPr>
              <w:t>.商务条款偏离表（格式后附</w:t>
            </w:r>
            <w:r>
              <w:rPr>
                <w:color w:val="auto"/>
                <w:highlight w:val="none"/>
              </w:rPr>
              <w:t>）；</w:t>
            </w:r>
            <w:r>
              <w:rPr>
                <w:b/>
                <w:bCs/>
                <w:color w:val="auto"/>
                <w:highlight w:val="none"/>
              </w:rPr>
              <w:t>（</w:t>
            </w:r>
            <w:r>
              <w:rPr>
                <w:b/>
                <w:bCs/>
                <w:color w:val="auto"/>
                <w:spacing w:val="9"/>
                <w:highlight w:val="none"/>
              </w:rPr>
              <w:t>必须提供，否则响应文件按无效响应处理）</w:t>
            </w:r>
          </w:p>
          <w:p w14:paraId="2B58D7D3">
            <w:pPr>
              <w:pStyle w:val="19"/>
              <w:spacing w:before="73" w:line="227" w:lineRule="auto"/>
              <w:ind w:left="112"/>
              <w:rPr>
                <w:color w:val="auto"/>
                <w:spacing w:val="9"/>
                <w:highlight w:val="none"/>
              </w:rPr>
            </w:pPr>
            <w:r>
              <w:rPr>
                <w:rFonts w:hint="eastAsia"/>
                <w:color w:val="auto"/>
                <w:spacing w:val="9"/>
                <w:highlight w:val="none"/>
                <w:lang w:val="en-US" w:eastAsia="zh-CN"/>
              </w:rPr>
              <w:t>6</w:t>
            </w:r>
            <w:r>
              <w:rPr>
                <w:color w:val="auto"/>
                <w:spacing w:val="9"/>
                <w:highlight w:val="none"/>
              </w:rPr>
              <w:t>.对应采购需求的商务条款</w:t>
            </w:r>
            <w:r>
              <w:rPr>
                <w:rFonts w:hint="eastAsia"/>
                <w:color w:val="auto"/>
                <w:spacing w:val="9"/>
                <w:highlight w:val="none"/>
              </w:rPr>
              <w:t>及评审标准</w:t>
            </w:r>
            <w:r>
              <w:rPr>
                <w:color w:val="auto"/>
                <w:spacing w:val="9"/>
                <w:highlight w:val="none"/>
              </w:rPr>
              <w:t>提供的其他文件资料。</w:t>
            </w:r>
          </w:p>
          <w:p w14:paraId="397B0B69">
            <w:pPr>
              <w:pStyle w:val="19"/>
              <w:spacing w:before="30" w:line="232" w:lineRule="auto"/>
              <w:ind w:left="110"/>
              <w:rPr>
                <w:color w:val="auto"/>
                <w:highlight w:val="none"/>
              </w:rPr>
            </w:pPr>
            <w:r>
              <w:rPr>
                <w:b/>
                <w:bCs/>
                <w:color w:val="auto"/>
                <w:spacing w:val="-2"/>
                <w:highlight w:val="none"/>
              </w:rPr>
              <w:t>注：</w:t>
            </w:r>
          </w:p>
          <w:p w14:paraId="142B4258">
            <w:pPr>
              <w:pStyle w:val="19"/>
              <w:spacing w:before="68" w:line="282" w:lineRule="auto"/>
              <w:ind w:left="117" w:right="108" w:firstLine="8"/>
              <w:rPr>
                <w:color w:val="auto"/>
                <w:highlight w:val="none"/>
              </w:rPr>
            </w:pPr>
            <w:r>
              <w:rPr>
                <w:b/>
                <w:bCs/>
                <w:color w:val="auto"/>
                <w:spacing w:val="6"/>
                <w:highlight w:val="none"/>
              </w:rPr>
              <w:t>1.法定代表人授权委托书必须由法定代表人/法人代表及委托代理人签字，并加盖供</w:t>
            </w:r>
            <w:r>
              <w:rPr>
                <w:b/>
                <w:bCs/>
                <w:color w:val="auto"/>
                <w:spacing w:val="5"/>
                <w:highlight w:val="none"/>
              </w:rPr>
              <w:t>应商</w:t>
            </w:r>
            <w:r>
              <w:rPr>
                <w:b/>
                <w:bCs/>
                <w:color w:val="auto"/>
                <w:spacing w:val="7"/>
                <w:highlight w:val="none"/>
              </w:rPr>
              <w:t>公章，否则响应文件按无效响应处理。</w:t>
            </w:r>
          </w:p>
          <w:p w14:paraId="5D568A46">
            <w:pPr>
              <w:pStyle w:val="19"/>
              <w:spacing w:before="30" w:line="280" w:lineRule="auto"/>
              <w:ind w:left="112" w:right="111"/>
              <w:rPr>
                <w:color w:val="auto"/>
                <w:highlight w:val="none"/>
              </w:rPr>
            </w:pPr>
            <w:r>
              <w:rPr>
                <w:b/>
                <w:bCs/>
                <w:color w:val="auto"/>
                <w:spacing w:val="8"/>
                <w:highlight w:val="none"/>
              </w:rPr>
              <w:t>2.以上标明“必须提供”的材料属于复印件的，必须加盖供应商公章，否则响应文件按</w:t>
            </w:r>
            <w:r>
              <w:rPr>
                <w:b/>
                <w:bCs/>
                <w:color w:val="auto"/>
                <w:spacing w:val="5"/>
                <w:highlight w:val="none"/>
              </w:rPr>
              <w:t>无效响应处理。</w:t>
            </w:r>
          </w:p>
          <w:p w14:paraId="2005A0F5">
            <w:pPr>
              <w:pStyle w:val="19"/>
              <w:spacing w:before="73" w:line="218" w:lineRule="auto"/>
              <w:ind w:left="120"/>
              <w:rPr>
                <w:b/>
                <w:bCs/>
                <w:color w:val="auto"/>
                <w:spacing w:val="6"/>
                <w:highlight w:val="none"/>
              </w:rPr>
            </w:pPr>
            <w:r>
              <w:rPr>
                <w:b/>
                <w:bCs/>
                <w:color w:val="auto"/>
                <w:spacing w:val="7"/>
                <w:highlight w:val="none"/>
              </w:rPr>
              <w:t>3.以上材料未附格式的，由供应商自行拟</w:t>
            </w:r>
            <w:r>
              <w:rPr>
                <w:b/>
                <w:bCs/>
                <w:color w:val="auto"/>
                <w:spacing w:val="6"/>
                <w:highlight w:val="none"/>
              </w:rPr>
              <w:t>定。</w:t>
            </w:r>
          </w:p>
          <w:p w14:paraId="6A163F97">
            <w:pPr>
              <w:pStyle w:val="19"/>
              <w:spacing w:before="80" w:line="226" w:lineRule="auto"/>
              <w:ind w:left="109"/>
              <w:rPr>
                <w:color w:val="auto"/>
                <w:highlight w:val="none"/>
              </w:rPr>
            </w:pPr>
            <w:r>
              <w:rPr>
                <w:b/>
                <w:bCs/>
                <w:color w:val="auto"/>
                <w:spacing w:val="7"/>
                <w:highlight w:val="none"/>
              </w:rPr>
              <w:t>技术文件</w:t>
            </w:r>
          </w:p>
          <w:p w14:paraId="0EDA711A">
            <w:pPr>
              <w:pStyle w:val="19"/>
              <w:spacing w:before="73" w:line="227" w:lineRule="auto"/>
              <w:ind w:left="112"/>
              <w:rPr>
                <w:color w:val="auto"/>
                <w:highlight w:val="none"/>
              </w:rPr>
            </w:pPr>
            <w:r>
              <w:rPr>
                <w:rFonts w:hint="eastAsia"/>
                <w:color w:val="auto"/>
                <w:spacing w:val="9"/>
                <w:highlight w:val="none"/>
                <w:lang w:val="en-US" w:eastAsia="zh-CN"/>
              </w:rPr>
              <w:t>1</w:t>
            </w:r>
            <w:r>
              <w:rPr>
                <w:color w:val="auto"/>
                <w:spacing w:val="9"/>
                <w:highlight w:val="none"/>
              </w:rPr>
              <w:t>.技术需求偏离表（格式后附</w:t>
            </w:r>
            <w:r>
              <w:rPr>
                <w:color w:val="auto"/>
                <w:spacing w:val="1"/>
                <w:highlight w:val="none"/>
              </w:rPr>
              <w:t>）；</w:t>
            </w:r>
            <w:r>
              <w:rPr>
                <w:b/>
                <w:bCs/>
                <w:color w:val="auto"/>
                <w:spacing w:val="1"/>
                <w:highlight w:val="none"/>
              </w:rPr>
              <w:t>（</w:t>
            </w:r>
            <w:r>
              <w:rPr>
                <w:b/>
                <w:bCs/>
                <w:color w:val="auto"/>
                <w:spacing w:val="9"/>
                <w:highlight w:val="none"/>
              </w:rPr>
              <w:t>必须提供，否则响应文件按无效响应处理）</w:t>
            </w:r>
          </w:p>
          <w:p w14:paraId="6ACA1D4E">
            <w:pPr>
              <w:pStyle w:val="19"/>
              <w:spacing w:before="73" w:line="227" w:lineRule="auto"/>
              <w:ind w:left="112"/>
              <w:rPr>
                <w:b w:val="0"/>
                <w:bCs w:val="0"/>
                <w:color w:val="auto"/>
                <w:spacing w:val="9"/>
                <w:highlight w:val="none"/>
              </w:rPr>
            </w:pPr>
            <w:r>
              <w:rPr>
                <w:rFonts w:hint="eastAsia"/>
                <w:color w:val="auto"/>
                <w:spacing w:val="9"/>
                <w:highlight w:val="none"/>
                <w:lang w:val="en-US" w:eastAsia="zh-CN"/>
              </w:rPr>
              <w:t>2</w:t>
            </w:r>
            <w:r>
              <w:rPr>
                <w:rFonts w:hint="eastAsia"/>
                <w:color w:val="auto"/>
                <w:spacing w:val="9"/>
                <w:highlight w:val="none"/>
              </w:rPr>
              <w:t>.</w:t>
            </w:r>
            <w:r>
              <w:rPr>
                <w:color w:val="auto"/>
                <w:spacing w:val="9"/>
                <w:highlight w:val="none"/>
              </w:rPr>
              <w:t>项目实施方案（格式自拟）；</w:t>
            </w:r>
            <w:r>
              <w:rPr>
                <w:b/>
                <w:bCs/>
                <w:color w:val="auto"/>
                <w:spacing w:val="9"/>
                <w:highlight w:val="none"/>
              </w:rPr>
              <w:t>（必须提供，否则响应文件按无效响应处理）</w:t>
            </w:r>
          </w:p>
          <w:p w14:paraId="3AB00123">
            <w:pPr>
              <w:pStyle w:val="19"/>
              <w:spacing w:before="73" w:line="227" w:lineRule="auto"/>
              <w:ind w:left="112"/>
              <w:rPr>
                <w:color w:val="auto"/>
                <w:spacing w:val="9"/>
                <w:highlight w:val="none"/>
              </w:rPr>
            </w:pPr>
            <w:r>
              <w:rPr>
                <w:rFonts w:hint="eastAsia"/>
                <w:color w:val="auto"/>
                <w:spacing w:val="9"/>
                <w:highlight w:val="none"/>
                <w:lang w:val="en-US" w:eastAsia="zh-CN"/>
              </w:rPr>
              <w:t>3</w:t>
            </w:r>
            <w:r>
              <w:rPr>
                <w:rFonts w:hint="eastAsia"/>
                <w:color w:val="auto"/>
                <w:spacing w:val="9"/>
                <w:highlight w:val="none"/>
              </w:rPr>
              <w:t>.</w:t>
            </w:r>
            <w:r>
              <w:rPr>
                <w:color w:val="auto"/>
                <w:spacing w:val="9"/>
                <w:highlight w:val="none"/>
              </w:rPr>
              <w:t>项目实施人员一览表；</w:t>
            </w:r>
          </w:p>
          <w:p w14:paraId="749DF2D9">
            <w:pPr>
              <w:pStyle w:val="19"/>
              <w:spacing w:before="73" w:line="227" w:lineRule="auto"/>
              <w:ind w:left="112"/>
              <w:rPr>
                <w:color w:val="auto"/>
                <w:spacing w:val="9"/>
                <w:highlight w:val="none"/>
              </w:rPr>
            </w:pPr>
            <w:r>
              <w:rPr>
                <w:rFonts w:hint="eastAsia"/>
                <w:color w:val="auto"/>
                <w:spacing w:val="9"/>
                <w:highlight w:val="none"/>
                <w:lang w:val="en-US" w:eastAsia="zh-CN"/>
              </w:rPr>
              <w:t>4</w:t>
            </w:r>
            <w:r>
              <w:rPr>
                <w:color w:val="auto"/>
                <w:spacing w:val="9"/>
                <w:highlight w:val="none"/>
              </w:rPr>
              <w:t>.对应采购需求的技术需求</w:t>
            </w:r>
            <w:r>
              <w:rPr>
                <w:rFonts w:hint="eastAsia"/>
                <w:color w:val="auto"/>
                <w:spacing w:val="9"/>
                <w:highlight w:val="none"/>
                <w:lang w:val="en-US" w:eastAsia="zh-CN"/>
              </w:rPr>
              <w:t>及评审标准</w:t>
            </w:r>
            <w:r>
              <w:rPr>
                <w:color w:val="auto"/>
                <w:spacing w:val="9"/>
                <w:highlight w:val="none"/>
              </w:rPr>
              <w:t>提供的其他文件资料；</w:t>
            </w:r>
          </w:p>
          <w:p w14:paraId="070C8B48">
            <w:pPr>
              <w:pStyle w:val="19"/>
              <w:spacing w:before="73" w:line="227" w:lineRule="auto"/>
              <w:ind w:left="112"/>
              <w:rPr>
                <w:color w:val="auto"/>
                <w:highlight w:val="none"/>
              </w:rPr>
            </w:pPr>
            <w:r>
              <w:rPr>
                <w:b/>
                <w:bCs/>
                <w:color w:val="auto"/>
                <w:spacing w:val="-2"/>
                <w:highlight w:val="none"/>
              </w:rPr>
              <w:t>注：</w:t>
            </w:r>
          </w:p>
          <w:p w14:paraId="44119DD5">
            <w:pPr>
              <w:pStyle w:val="19"/>
              <w:spacing w:before="30" w:line="280" w:lineRule="auto"/>
              <w:ind w:left="112" w:right="111"/>
              <w:rPr>
                <w:color w:val="auto"/>
                <w:highlight w:val="none"/>
              </w:rPr>
            </w:pPr>
            <w:r>
              <w:rPr>
                <w:rFonts w:hint="eastAsia"/>
                <w:b/>
                <w:bCs/>
                <w:color w:val="auto"/>
                <w:spacing w:val="8"/>
                <w:highlight w:val="none"/>
                <w:lang w:val="en-US" w:eastAsia="zh-CN"/>
              </w:rPr>
              <w:t>1</w:t>
            </w:r>
            <w:r>
              <w:rPr>
                <w:b/>
                <w:bCs/>
                <w:color w:val="auto"/>
                <w:spacing w:val="8"/>
                <w:highlight w:val="none"/>
              </w:rPr>
              <w:t>.以上标明“必须提供”的材料属于复印件的，必须加盖供应商公章，否则响应文件按</w:t>
            </w:r>
            <w:r>
              <w:rPr>
                <w:b/>
                <w:bCs/>
                <w:color w:val="auto"/>
                <w:spacing w:val="5"/>
                <w:highlight w:val="none"/>
              </w:rPr>
              <w:t>无效响应处理。</w:t>
            </w:r>
          </w:p>
          <w:p w14:paraId="35AADC13">
            <w:pPr>
              <w:pStyle w:val="19"/>
              <w:spacing w:before="73" w:line="218" w:lineRule="auto"/>
              <w:ind w:left="120"/>
              <w:rPr>
                <w:b/>
                <w:bCs/>
                <w:color w:val="auto"/>
                <w:spacing w:val="6"/>
                <w:highlight w:val="none"/>
              </w:rPr>
            </w:pPr>
            <w:r>
              <w:rPr>
                <w:rFonts w:hint="eastAsia"/>
                <w:b/>
                <w:bCs/>
                <w:color w:val="auto"/>
                <w:spacing w:val="7"/>
                <w:highlight w:val="none"/>
                <w:lang w:val="en-US" w:eastAsia="zh-CN"/>
              </w:rPr>
              <w:t>2</w:t>
            </w:r>
            <w:r>
              <w:rPr>
                <w:b/>
                <w:bCs/>
                <w:color w:val="auto"/>
                <w:spacing w:val="7"/>
                <w:highlight w:val="none"/>
              </w:rPr>
              <w:t>.以上材料未附格式的，由供应商自行拟</w:t>
            </w:r>
            <w:r>
              <w:rPr>
                <w:b/>
                <w:bCs/>
                <w:color w:val="auto"/>
                <w:spacing w:val="6"/>
                <w:highlight w:val="none"/>
              </w:rPr>
              <w:t>定。</w:t>
            </w:r>
          </w:p>
        </w:tc>
      </w:tr>
      <w:tr w14:paraId="5FB3E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7" w:hRule="atLeast"/>
        </w:trPr>
        <w:tc>
          <w:tcPr>
            <w:tcW w:w="996" w:type="dxa"/>
            <w:vAlign w:val="top"/>
          </w:tcPr>
          <w:p w14:paraId="565BACBE">
            <w:pPr>
              <w:spacing w:line="340" w:lineRule="auto"/>
              <w:rPr>
                <w:rFonts w:ascii="Arial"/>
                <w:color w:val="auto"/>
                <w:sz w:val="21"/>
                <w:highlight w:val="none"/>
              </w:rPr>
            </w:pPr>
          </w:p>
          <w:p w14:paraId="32E1C415">
            <w:pPr>
              <w:spacing w:line="341" w:lineRule="auto"/>
              <w:rPr>
                <w:rFonts w:ascii="Arial"/>
                <w:color w:val="auto"/>
                <w:sz w:val="21"/>
                <w:highlight w:val="none"/>
              </w:rPr>
            </w:pPr>
          </w:p>
          <w:p w14:paraId="4A6186B1">
            <w:pPr>
              <w:pStyle w:val="19"/>
              <w:spacing w:before="65" w:line="190" w:lineRule="auto"/>
              <w:ind w:left="308" w:leftChars="0"/>
              <w:rPr>
                <w:color w:val="auto"/>
                <w:spacing w:val="1"/>
                <w:highlight w:val="none"/>
              </w:rPr>
            </w:pPr>
            <w:r>
              <w:rPr>
                <w:color w:val="auto"/>
                <w:spacing w:val="-1"/>
                <w:highlight w:val="none"/>
              </w:rPr>
              <w:t>12.2</w:t>
            </w:r>
          </w:p>
        </w:tc>
        <w:tc>
          <w:tcPr>
            <w:tcW w:w="8264" w:type="dxa"/>
            <w:vAlign w:val="top"/>
          </w:tcPr>
          <w:p w14:paraId="78DAC7CE">
            <w:pPr>
              <w:pStyle w:val="19"/>
              <w:spacing w:before="77" w:line="228" w:lineRule="auto"/>
              <w:ind w:left="121"/>
              <w:rPr>
                <w:color w:val="auto"/>
                <w:highlight w:val="none"/>
              </w:rPr>
            </w:pPr>
            <w:r>
              <w:rPr>
                <w:color w:val="auto"/>
                <w:spacing w:val="7"/>
                <w:highlight w:val="none"/>
              </w:rPr>
              <w:t>响应文件电子版要求：</w:t>
            </w:r>
          </w:p>
          <w:p w14:paraId="57F8A9CB">
            <w:pPr>
              <w:pStyle w:val="19"/>
              <w:spacing w:before="74" w:line="280" w:lineRule="auto"/>
              <w:ind w:left="115" w:right="108" w:firstLine="10"/>
              <w:rPr>
                <w:color w:val="auto"/>
                <w:highlight w:val="none"/>
              </w:rPr>
            </w:pPr>
            <w:r>
              <w:rPr>
                <w:color w:val="auto"/>
                <w:spacing w:val="7"/>
                <w:highlight w:val="none"/>
              </w:rPr>
              <w:t>1.按照本采购文件“第五章 响应文件格式”编写（第五章未附格式的，由供应商自行拟</w:t>
            </w:r>
            <w:r>
              <w:rPr>
                <w:color w:val="auto"/>
                <w:spacing w:val="9"/>
                <w:highlight w:val="none"/>
              </w:rPr>
              <w:t>定</w:t>
            </w:r>
            <w:r>
              <w:rPr>
                <w:color w:val="auto"/>
                <w:spacing w:val="15"/>
                <w:highlight w:val="none"/>
              </w:rPr>
              <w:t>），</w:t>
            </w:r>
            <w:r>
              <w:rPr>
                <w:color w:val="auto"/>
                <w:spacing w:val="9"/>
                <w:highlight w:val="none"/>
              </w:rPr>
              <w:t>不可涂改并在规定加盖公章处加盖电子公章，否则响应文件按无效响应</w:t>
            </w:r>
            <w:r>
              <w:rPr>
                <w:color w:val="auto"/>
                <w:spacing w:val="8"/>
                <w:highlight w:val="none"/>
              </w:rPr>
              <w:t>处理。</w:t>
            </w:r>
          </w:p>
          <w:p w14:paraId="4E445934">
            <w:pPr>
              <w:pStyle w:val="19"/>
              <w:spacing w:before="32" w:line="257" w:lineRule="auto"/>
              <w:ind w:left="126" w:right="108" w:hanging="13"/>
              <w:rPr>
                <w:color w:val="auto"/>
                <w:spacing w:val="1"/>
                <w:highlight w:val="none"/>
              </w:rPr>
            </w:pPr>
            <w:r>
              <w:rPr>
                <w:color w:val="auto"/>
                <w:spacing w:val="8"/>
                <w:highlight w:val="none"/>
              </w:rPr>
              <w:t>2.响应文件电子版密封方式：电子响应文件通过平台有效</w:t>
            </w:r>
            <w:r>
              <w:rPr>
                <w:color w:val="auto"/>
                <w:highlight w:val="none"/>
              </w:rPr>
              <w:t>CA</w:t>
            </w:r>
            <w:r>
              <w:rPr>
                <w:color w:val="auto"/>
                <w:spacing w:val="8"/>
                <w:highlight w:val="none"/>
              </w:rPr>
              <w:t>加密后在广西政府采购云平</w:t>
            </w:r>
            <w:r>
              <w:rPr>
                <w:color w:val="auto"/>
                <w:spacing w:val="1"/>
                <w:highlight w:val="none"/>
              </w:rPr>
              <w:t>台投送。</w:t>
            </w:r>
          </w:p>
          <w:p w14:paraId="40B12A84">
            <w:pPr>
              <w:pStyle w:val="19"/>
              <w:spacing w:before="32" w:line="257" w:lineRule="auto"/>
              <w:ind w:left="126" w:right="108" w:hanging="13"/>
              <w:rPr>
                <w:rFonts w:hint="eastAsia" w:ascii="宋体" w:hAnsi="宋体" w:eastAsia="宋体" w:cs="Times New Roman"/>
                <w:b/>
                <w:color w:val="auto"/>
                <w:szCs w:val="21"/>
                <w:highlight w:val="none"/>
                <w:u w:val="single"/>
                <w:lang w:eastAsia="zh-CN"/>
              </w:rPr>
            </w:pPr>
            <w:r>
              <w:rPr>
                <w:rFonts w:hint="eastAsia" w:ascii="宋体" w:hAnsi="宋体" w:eastAsia="宋体" w:cs="Times New Roman"/>
                <w:b/>
                <w:color w:val="auto"/>
                <w:szCs w:val="21"/>
                <w:highlight w:val="none"/>
                <w:u w:val="single"/>
                <w:lang w:eastAsia="zh-CN"/>
              </w:rPr>
              <w:t>特别说明：因项目存档需要，须按以下要求提供纸质</w:t>
            </w:r>
            <w:r>
              <w:rPr>
                <w:rFonts w:hint="eastAsia" w:ascii="宋体" w:hAnsi="宋体" w:eastAsia="宋体" w:cs="Times New Roman"/>
                <w:b/>
                <w:color w:val="auto"/>
                <w:szCs w:val="21"/>
                <w:highlight w:val="none"/>
                <w:u w:val="single"/>
                <w:lang w:val="en-US" w:eastAsia="zh-CN"/>
              </w:rPr>
              <w:t>响应</w:t>
            </w:r>
            <w:r>
              <w:rPr>
                <w:rFonts w:hint="eastAsia" w:ascii="宋体" w:hAnsi="宋体" w:eastAsia="宋体" w:cs="Times New Roman"/>
                <w:b/>
                <w:color w:val="auto"/>
                <w:szCs w:val="21"/>
                <w:highlight w:val="none"/>
                <w:u w:val="single"/>
                <w:lang w:eastAsia="zh-CN"/>
              </w:rPr>
              <w:t>文件：（1）</w:t>
            </w:r>
            <w:r>
              <w:rPr>
                <w:rFonts w:hint="eastAsia" w:ascii="宋体" w:hAnsi="宋体" w:eastAsia="宋体" w:cs="Times New Roman"/>
                <w:b/>
                <w:color w:val="auto"/>
                <w:szCs w:val="21"/>
                <w:highlight w:val="none"/>
                <w:u w:val="single"/>
                <w:lang w:val="en-US" w:eastAsia="zh-CN"/>
              </w:rPr>
              <w:t>成交</w:t>
            </w:r>
            <w:r>
              <w:rPr>
                <w:rFonts w:hint="eastAsia" w:ascii="宋体" w:hAnsi="宋体" w:eastAsia="宋体" w:cs="Times New Roman"/>
                <w:b/>
                <w:color w:val="auto"/>
                <w:szCs w:val="21"/>
                <w:highlight w:val="none"/>
                <w:u w:val="single"/>
                <w:lang w:eastAsia="zh-CN"/>
              </w:rPr>
              <w:t>供应商在</w:t>
            </w:r>
            <w:r>
              <w:rPr>
                <w:rFonts w:hint="eastAsia" w:ascii="宋体" w:hAnsi="宋体" w:eastAsia="宋体" w:cs="Times New Roman"/>
                <w:b/>
                <w:color w:val="auto"/>
                <w:szCs w:val="21"/>
                <w:highlight w:val="none"/>
                <w:u w:val="single"/>
                <w:lang w:val="en-US" w:eastAsia="zh-CN"/>
              </w:rPr>
              <w:t>成交</w:t>
            </w:r>
            <w:r>
              <w:rPr>
                <w:rFonts w:hint="eastAsia" w:ascii="宋体" w:hAnsi="宋体" w:eastAsia="宋体" w:cs="Times New Roman"/>
                <w:b/>
                <w:color w:val="auto"/>
                <w:szCs w:val="21"/>
                <w:highlight w:val="none"/>
                <w:u w:val="single"/>
                <w:lang w:eastAsia="zh-CN"/>
              </w:rPr>
              <w:t>通知书发出后5天内须提交</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lang w:eastAsia="zh-CN"/>
              </w:rPr>
              <w:t>套</w:t>
            </w:r>
            <w:r>
              <w:rPr>
                <w:rFonts w:hint="eastAsia" w:cs="Times New Roman"/>
                <w:b/>
                <w:color w:val="auto"/>
                <w:szCs w:val="21"/>
                <w:highlight w:val="none"/>
                <w:u w:val="single"/>
                <w:lang w:eastAsia="zh-CN"/>
              </w:rPr>
              <w:t>（</w:t>
            </w:r>
            <w:r>
              <w:rPr>
                <w:rFonts w:hint="eastAsia" w:cs="Times New Roman"/>
                <w:b/>
                <w:color w:val="auto"/>
                <w:szCs w:val="21"/>
                <w:highlight w:val="none"/>
                <w:u w:val="single"/>
                <w:lang w:val="en-US" w:eastAsia="zh-CN"/>
              </w:rPr>
              <w:t>一正二副</w:t>
            </w:r>
            <w:r>
              <w:rPr>
                <w:rFonts w:hint="eastAsia" w:cs="Times New Roman"/>
                <w:b/>
                <w:color w:val="auto"/>
                <w:szCs w:val="21"/>
                <w:highlight w:val="none"/>
                <w:u w:val="single"/>
                <w:lang w:eastAsia="zh-CN"/>
              </w:rPr>
              <w:t>）</w:t>
            </w:r>
            <w:r>
              <w:rPr>
                <w:rFonts w:hint="eastAsia" w:ascii="宋体" w:hAnsi="宋体" w:eastAsia="宋体" w:cs="Times New Roman"/>
                <w:b/>
                <w:color w:val="auto"/>
                <w:szCs w:val="21"/>
                <w:highlight w:val="none"/>
                <w:u w:val="single"/>
                <w:lang w:eastAsia="zh-CN"/>
              </w:rPr>
              <w:t>纸质版</w:t>
            </w:r>
            <w:r>
              <w:rPr>
                <w:rFonts w:hint="eastAsia" w:ascii="宋体" w:hAnsi="宋体" w:eastAsia="宋体" w:cs="Times New Roman"/>
                <w:b/>
                <w:color w:val="auto"/>
                <w:szCs w:val="21"/>
                <w:highlight w:val="none"/>
                <w:u w:val="single"/>
                <w:lang w:val="en-US" w:eastAsia="zh-CN"/>
              </w:rPr>
              <w:t>响应</w:t>
            </w:r>
            <w:r>
              <w:rPr>
                <w:rFonts w:hint="eastAsia" w:ascii="宋体" w:hAnsi="宋体" w:eastAsia="宋体" w:cs="Times New Roman"/>
                <w:b/>
                <w:color w:val="auto"/>
                <w:szCs w:val="21"/>
                <w:highlight w:val="none"/>
                <w:u w:val="single"/>
                <w:lang w:eastAsia="zh-CN"/>
              </w:rPr>
              <w:t>文件（含</w:t>
            </w:r>
            <w:r>
              <w:rPr>
                <w:rFonts w:hint="eastAsia" w:ascii="宋体" w:hAnsi="宋体" w:eastAsia="宋体" w:cs="Times New Roman"/>
                <w:b/>
                <w:color w:val="auto"/>
                <w:szCs w:val="21"/>
                <w:highlight w:val="none"/>
                <w:u w:val="single"/>
                <w:lang w:val="en-US" w:eastAsia="zh-CN"/>
              </w:rPr>
              <w:t>资格证明</w:t>
            </w:r>
            <w:r>
              <w:rPr>
                <w:rFonts w:hint="eastAsia" w:ascii="宋体" w:hAnsi="宋体" w:eastAsia="宋体" w:cs="Times New Roman"/>
                <w:b/>
                <w:color w:val="auto"/>
                <w:szCs w:val="21"/>
                <w:highlight w:val="none"/>
                <w:u w:val="single"/>
                <w:lang w:eastAsia="zh-CN"/>
              </w:rPr>
              <w:t>文件、</w:t>
            </w:r>
            <w:r>
              <w:rPr>
                <w:rFonts w:hint="eastAsia" w:ascii="宋体" w:hAnsi="宋体" w:eastAsia="宋体" w:cs="Times New Roman"/>
                <w:b/>
                <w:color w:val="auto"/>
                <w:szCs w:val="21"/>
                <w:highlight w:val="none"/>
                <w:u w:val="single"/>
                <w:lang w:val="en-US" w:eastAsia="zh-CN"/>
              </w:rPr>
              <w:t>报价</w:t>
            </w:r>
            <w:r>
              <w:rPr>
                <w:rFonts w:hint="eastAsia" w:ascii="宋体" w:hAnsi="宋体" w:eastAsia="宋体" w:cs="Times New Roman"/>
                <w:b/>
                <w:color w:val="auto"/>
                <w:szCs w:val="21"/>
                <w:highlight w:val="none"/>
                <w:u w:val="single"/>
                <w:lang w:eastAsia="zh-CN"/>
              </w:rPr>
              <w:t>文件、商务文件</w:t>
            </w:r>
            <w:r>
              <w:rPr>
                <w:rFonts w:hint="eastAsia" w:cs="Times New Roman"/>
                <w:b/>
                <w:color w:val="auto"/>
                <w:szCs w:val="21"/>
                <w:highlight w:val="none"/>
                <w:u w:val="single"/>
                <w:lang w:eastAsia="zh-CN"/>
              </w:rPr>
              <w:t>、</w:t>
            </w:r>
            <w:r>
              <w:rPr>
                <w:rFonts w:hint="eastAsia" w:ascii="宋体" w:hAnsi="宋体" w:eastAsia="宋体" w:cs="Times New Roman"/>
                <w:b/>
                <w:color w:val="auto"/>
                <w:szCs w:val="21"/>
                <w:highlight w:val="none"/>
                <w:u w:val="single"/>
                <w:lang w:eastAsia="zh-CN"/>
              </w:rPr>
              <w:t>技术文件，合并装订成一本用各自的封面隔开。按要求加盖公章）右上角注明“正/副本”给采购代理机构，壹正贰副。</w:t>
            </w:r>
          </w:p>
          <w:p w14:paraId="23FE0B5E">
            <w:pPr>
              <w:pStyle w:val="19"/>
              <w:spacing w:before="32" w:line="257" w:lineRule="auto"/>
              <w:ind w:left="126" w:leftChars="0" w:right="108" w:rightChars="0" w:hanging="13" w:firstLineChars="0"/>
              <w:rPr>
                <w:b/>
                <w:bCs/>
                <w:color w:val="auto"/>
                <w:spacing w:val="7"/>
                <w:highlight w:val="none"/>
              </w:rPr>
            </w:pPr>
            <w:r>
              <w:rPr>
                <w:rFonts w:hint="eastAsia" w:ascii="宋体" w:hAnsi="宋体" w:eastAsia="宋体" w:cs="Times New Roman"/>
                <w:b/>
                <w:color w:val="auto"/>
                <w:szCs w:val="21"/>
                <w:highlight w:val="none"/>
                <w:u w:val="single"/>
                <w:lang w:eastAsia="zh-CN"/>
              </w:rPr>
              <w:t>提交的纸质版</w:t>
            </w:r>
            <w:r>
              <w:rPr>
                <w:rFonts w:hint="eastAsia" w:ascii="宋体" w:hAnsi="宋体" w:eastAsia="宋体" w:cs="Times New Roman"/>
                <w:b/>
                <w:color w:val="auto"/>
                <w:szCs w:val="21"/>
                <w:highlight w:val="none"/>
                <w:u w:val="single"/>
                <w:lang w:val="en-US" w:eastAsia="zh-CN"/>
              </w:rPr>
              <w:t>响应</w:t>
            </w:r>
            <w:r>
              <w:rPr>
                <w:rFonts w:hint="eastAsia" w:ascii="宋体" w:hAnsi="宋体" w:eastAsia="宋体" w:cs="Times New Roman"/>
                <w:b/>
                <w:color w:val="auto"/>
                <w:szCs w:val="21"/>
                <w:highlight w:val="none"/>
                <w:u w:val="single"/>
                <w:lang w:eastAsia="zh-CN"/>
              </w:rPr>
              <w:t>文件文本必须与其上传的电子</w:t>
            </w:r>
            <w:r>
              <w:rPr>
                <w:rFonts w:hint="eastAsia" w:ascii="宋体" w:hAnsi="宋体" w:eastAsia="宋体" w:cs="Times New Roman"/>
                <w:b/>
                <w:color w:val="auto"/>
                <w:szCs w:val="21"/>
                <w:highlight w:val="none"/>
                <w:u w:val="single"/>
                <w:lang w:val="en-US" w:eastAsia="zh-CN"/>
              </w:rPr>
              <w:t>响应</w:t>
            </w:r>
            <w:r>
              <w:rPr>
                <w:rFonts w:hint="eastAsia" w:ascii="宋体" w:hAnsi="宋体" w:eastAsia="宋体" w:cs="Times New Roman"/>
                <w:b/>
                <w:color w:val="auto"/>
                <w:szCs w:val="21"/>
                <w:highlight w:val="none"/>
                <w:u w:val="single"/>
                <w:lang w:eastAsia="zh-CN"/>
              </w:rPr>
              <w:t>文件内容一致，不允许有篡改。如项目验收时因所提供的纸质</w:t>
            </w:r>
            <w:r>
              <w:rPr>
                <w:rFonts w:hint="eastAsia" w:ascii="宋体" w:hAnsi="宋体" w:eastAsia="宋体" w:cs="Times New Roman"/>
                <w:b/>
                <w:color w:val="auto"/>
                <w:szCs w:val="21"/>
                <w:highlight w:val="none"/>
                <w:u w:val="single"/>
                <w:lang w:val="en-US" w:eastAsia="zh-CN"/>
              </w:rPr>
              <w:t>响应</w:t>
            </w:r>
            <w:r>
              <w:rPr>
                <w:rFonts w:hint="eastAsia" w:ascii="宋体" w:hAnsi="宋体" w:eastAsia="宋体" w:cs="Times New Roman"/>
                <w:b/>
                <w:color w:val="auto"/>
                <w:szCs w:val="21"/>
                <w:highlight w:val="none"/>
                <w:u w:val="single"/>
                <w:lang w:eastAsia="zh-CN"/>
              </w:rPr>
              <w:t>文件与评审的</w:t>
            </w:r>
            <w:r>
              <w:rPr>
                <w:rFonts w:hint="eastAsia" w:ascii="宋体" w:hAnsi="宋体" w:eastAsia="宋体" w:cs="Times New Roman"/>
                <w:b/>
                <w:color w:val="auto"/>
                <w:szCs w:val="21"/>
                <w:highlight w:val="none"/>
                <w:u w:val="single"/>
                <w:lang w:val="en-US" w:eastAsia="zh-CN"/>
              </w:rPr>
              <w:t>响应</w:t>
            </w:r>
            <w:r>
              <w:rPr>
                <w:rFonts w:hint="eastAsia" w:ascii="宋体" w:hAnsi="宋体" w:eastAsia="宋体" w:cs="Times New Roman"/>
                <w:b/>
                <w:color w:val="auto"/>
                <w:szCs w:val="21"/>
                <w:highlight w:val="none"/>
                <w:u w:val="single"/>
                <w:lang w:eastAsia="zh-CN"/>
              </w:rPr>
              <w:t>文件不一致造成纠纷时，所有责任由</w:t>
            </w:r>
            <w:r>
              <w:rPr>
                <w:rFonts w:hint="eastAsia" w:ascii="宋体" w:hAnsi="宋体" w:eastAsia="宋体" w:cs="Times New Roman"/>
                <w:b/>
                <w:color w:val="auto"/>
                <w:szCs w:val="21"/>
                <w:highlight w:val="none"/>
                <w:u w:val="single"/>
                <w:lang w:val="en-US" w:eastAsia="zh-CN"/>
              </w:rPr>
              <w:t>成交</w:t>
            </w:r>
            <w:r>
              <w:rPr>
                <w:rFonts w:hint="eastAsia" w:ascii="宋体" w:hAnsi="宋体" w:eastAsia="宋体" w:cs="Times New Roman"/>
                <w:b/>
                <w:color w:val="auto"/>
                <w:szCs w:val="21"/>
                <w:highlight w:val="none"/>
                <w:u w:val="single"/>
                <w:lang w:eastAsia="zh-CN"/>
              </w:rPr>
              <w:t>供应商承担。</w:t>
            </w:r>
          </w:p>
        </w:tc>
      </w:tr>
      <w:tr w14:paraId="1EC81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96" w:type="dxa"/>
            <w:vAlign w:val="top"/>
          </w:tcPr>
          <w:p w14:paraId="43C9F351">
            <w:pPr>
              <w:spacing w:line="249" w:lineRule="auto"/>
              <w:rPr>
                <w:rFonts w:ascii="Arial"/>
                <w:color w:val="auto"/>
                <w:sz w:val="21"/>
                <w:highlight w:val="none"/>
              </w:rPr>
            </w:pPr>
          </w:p>
          <w:p w14:paraId="5FDAC039">
            <w:pPr>
              <w:spacing w:line="249" w:lineRule="auto"/>
              <w:rPr>
                <w:rFonts w:ascii="Arial"/>
                <w:color w:val="auto"/>
                <w:sz w:val="21"/>
                <w:highlight w:val="none"/>
              </w:rPr>
            </w:pPr>
          </w:p>
          <w:p w14:paraId="16519019">
            <w:pPr>
              <w:pStyle w:val="19"/>
              <w:spacing w:before="65" w:line="190" w:lineRule="auto"/>
              <w:ind w:left="308" w:leftChars="0"/>
              <w:rPr>
                <w:color w:val="auto"/>
                <w:spacing w:val="1"/>
                <w:highlight w:val="none"/>
              </w:rPr>
            </w:pPr>
            <w:r>
              <w:rPr>
                <w:color w:val="auto"/>
                <w:spacing w:val="-1"/>
                <w:highlight w:val="none"/>
              </w:rPr>
              <w:t>15.2</w:t>
            </w:r>
          </w:p>
        </w:tc>
        <w:tc>
          <w:tcPr>
            <w:tcW w:w="8264" w:type="dxa"/>
            <w:vAlign w:val="top"/>
          </w:tcPr>
          <w:p w14:paraId="58EBA41C">
            <w:pPr>
              <w:pStyle w:val="19"/>
              <w:spacing w:before="79" w:line="226" w:lineRule="auto"/>
              <w:ind w:left="110"/>
              <w:rPr>
                <w:color w:val="auto"/>
                <w:highlight w:val="none"/>
              </w:rPr>
            </w:pPr>
            <w:r>
              <w:rPr>
                <w:color w:val="auto"/>
                <w:spacing w:val="9"/>
                <w:highlight w:val="none"/>
              </w:rPr>
              <w:t>磋商报价应当包含满足本次响应全部服务的所有费用。</w:t>
            </w:r>
          </w:p>
          <w:p w14:paraId="5F26F1C6">
            <w:pPr>
              <w:pStyle w:val="19"/>
              <w:spacing w:before="73" w:line="275" w:lineRule="auto"/>
              <w:ind w:left="111" w:right="144"/>
              <w:rPr>
                <w:color w:val="auto"/>
                <w:highlight w:val="none"/>
              </w:rPr>
            </w:pPr>
            <w:r>
              <w:rPr>
                <w:b/>
                <w:bCs/>
                <w:color w:val="auto"/>
                <w:spacing w:val="8"/>
                <w:highlight w:val="none"/>
              </w:rPr>
              <w:t>本项目有效的供应商的报价≤本项目的采购预算，不能超出本项目的采购预算，否则做</w:t>
            </w:r>
            <w:r>
              <w:rPr>
                <w:b/>
                <w:bCs/>
                <w:color w:val="auto"/>
                <w:spacing w:val="5"/>
                <w:highlight w:val="none"/>
              </w:rPr>
              <w:t>无效报价处理。</w:t>
            </w:r>
          </w:p>
          <w:p w14:paraId="2A2456E0">
            <w:pPr>
              <w:pStyle w:val="19"/>
              <w:spacing w:line="215" w:lineRule="auto"/>
              <w:ind w:left="119" w:leftChars="0"/>
              <w:rPr>
                <w:b/>
                <w:bCs/>
                <w:color w:val="auto"/>
                <w:spacing w:val="7"/>
                <w:highlight w:val="none"/>
              </w:rPr>
            </w:pPr>
            <w:r>
              <w:rPr>
                <w:rFonts w:ascii="MS Gothic" w:hAnsi="MS Gothic" w:eastAsia="MS Gothic" w:cs="MS Gothic"/>
                <w:b/>
                <w:bCs/>
                <w:color w:val="auto"/>
                <w:spacing w:val="7"/>
                <w:highlight w:val="none"/>
              </w:rPr>
              <w:t>☑</w:t>
            </w:r>
            <w:r>
              <w:rPr>
                <w:b/>
                <w:bCs/>
                <w:color w:val="auto"/>
                <w:spacing w:val="7"/>
                <w:highlight w:val="none"/>
              </w:rPr>
              <w:t>竞标报价包含招标代理服务费</w:t>
            </w:r>
          </w:p>
        </w:tc>
      </w:tr>
      <w:tr w14:paraId="67D8C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996" w:type="dxa"/>
            <w:vAlign w:val="top"/>
          </w:tcPr>
          <w:p w14:paraId="040414F5">
            <w:pPr>
              <w:pStyle w:val="19"/>
              <w:spacing w:before="136" w:line="190" w:lineRule="auto"/>
              <w:ind w:left="308" w:leftChars="0"/>
              <w:rPr>
                <w:color w:val="auto"/>
                <w:spacing w:val="1"/>
                <w:highlight w:val="none"/>
              </w:rPr>
            </w:pPr>
            <w:r>
              <w:rPr>
                <w:color w:val="auto"/>
                <w:spacing w:val="-1"/>
                <w:highlight w:val="none"/>
              </w:rPr>
              <w:t>16.2</w:t>
            </w:r>
          </w:p>
        </w:tc>
        <w:tc>
          <w:tcPr>
            <w:tcW w:w="8264" w:type="dxa"/>
            <w:vAlign w:val="top"/>
          </w:tcPr>
          <w:p w14:paraId="1C5D383E">
            <w:pPr>
              <w:pStyle w:val="19"/>
              <w:spacing w:before="79" w:line="228" w:lineRule="auto"/>
              <w:ind w:left="113" w:leftChars="0"/>
              <w:rPr>
                <w:b/>
                <w:bCs/>
                <w:color w:val="auto"/>
                <w:spacing w:val="7"/>
                <w:highlight w:val="none"/>
              </w:rPr>
            </w:pPr>
            <w:r>
              <w:rPr>
                <w:color w:val="auto"/>
                <w:spacing w:val="4"/>
                <w:highlight w:val="none"/>
              </w:rPr>
              <w:t>竞标有效期：自首次响应文件提交截止之日起9</w:t>
            </w:r>
            <w:r>
              <w:rPr>
                <w:color w:val="auto"/>
                <w:spacing w:val="3"/>
                <w:highlight w:val="none"/>
              </w:rPr>
              <w:t>0日。</w:t>
            </w:r>
          </w:p>
        </w:tc>
      </w:tr>
      <w:tr w14:paraId="43877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38BD5231">
            <w:pPr>
              <w:pStyle w:val="19"/>
              <w:spacing w:before="111" w:line="188" w:lineRule="auto"/>
              <w:ind w:left="308" w:leftChars="0"/>
              <w:rPr>
                <w:color w:val="auto"/>
                <w:spacing w:val="1"/>
                <w:highlight w:val="none"/>
              </w:rPr>
            </w:pPr>
            <w:r>
              <w:rPr>
                <w:color w:val="auto"/>
                <w:spacing w:val="-1"/>
                <w:highlight w:val="none"/>
              </w:rPr>
              <w:t>17.1</w:t>
            </w:r>
          </w:p>
        </w:tc>
        <w:tc>
          <w:tcPr>
            <w:tcW w:w="8264" w:type="dxa"/>
            <w:vAlign w:val="top"/>
          </w:tcPr>
          <w:p w14:paraId="30A0CBF0">
            <w:pPr>
              <w:pStyle w:val="19"/>
              <w:spacing w:before="79" w:line="217" w:lineRule="auto"/>
              <w:ind w:left="110" w:leftChars="0"/>
              <w:rPr>
                <w:color w:val="auto"/>
                <w:spacing w:val="8"/>
                <w:highlight w:val="none"/>
              </w:rPr>
            </w:pPr>
            <w:r>
              <w:rPr>
                <w:color w:val="auto"/>
                <w:spacing w:val="8"/>
                <w:highlight w:val="none"/>
              </w:rPr>
              <w:t>磋商保证金：</w:t>
            </w:r>
          </w:p>
          <w:p w14:paraId="74140FC6">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□本项目不收取磋商保证金。</w:t>
            </w:r>
          </w:p>
          <w:p w14:paraId="17B1CFD2">
            <w:pPr>
              <w:snapToGrid w:val="0"/>
              <w:spacing w:line="360" w:lineRule="auto"/>
              <w:rPr>
                <w:rFonts w:ascii="宋体" w:hAnsi="宋体"/>
                <w:color w:val="auto"/>
                <w:szCs w:val="21"/>
                <w:highlight w:val="none"/>
              </w:rPr>
            </w:pPr>
            <w:r>
              <w:rPr>
                <w:rFonts w:hint="eastAsia" w:ascii="宋体" w:hAnsi="宋体" w:eastAsia="宋体"/>
                <w:color w:val="auto"/>
                <w:szCs w:val="21"/>
                <w:highlight w:val="none"/>
                <w:lang w:eastAsia="zh-CN"/>
              </w:rPr>
              <w:t>☑</w:t>
            </w:r>
            <w:r>
              <w:rPr>
                <w:rFonts w:hint="eastAsia" w:ascii="宋体" w:hAnsi="宋体"/>
                <w:color w:val="auto"/>
                <w:szCs w:val="21"/>
                <w:highlight w:val="none"/>
              </w:rPr>
              <w:t>本项目收取磋商保证金，具体规定如下：</w:t>
            </w:r>
          </w:p>
          <w:p w14:paraId="04691489">
            <w:pPr>
              <w:spacing w:line="360" w:lineRule="auto"/>
              <w:rPr>
                <w:rFonts w:ascii="宋体" w:hAnsi="宋体" w:cs="宋体"/>
                <w:color w:val="auto"/>
                <w:kern w:val="0"/>
                <w:szCs w:val="21"/>
                <w:highlight w:val="none"/>
              </w:rPr>
            </w:pPr>
            <w:r>
              <w:rPr>
                <w:rFonts w:ascii="宋体" w:hAnsi="宋体" w:cs="宋体"/>
                <w:color w:val="auto"/>
                <w:kern w:val="0"/>
                <w:szCs w:val="21"/>
                <w:highlight w:val="none"/>
                <w:u w:val="single"/>
              </w:rPr>
              <w:t>/</w:t>
            </w:r>
            <w:r>
              <w:rPr>
                <w:rFonts w:hint="eastAsia" w:ascii="宋体" w:hAnsi="宋体" w:cs="宋体"/>
                <w:color w:val="auto"/>
                <w:kern w:val="0"/>
                <w:szCs w:val="21"/>
                <w:highlight w:val="none"/>
              </w:rPr>
              <w:t>分标磋商保证金按预算金额</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lang w:val="en-US" w:eastAsia="zh-CN"/>
              </w:rPr>
              <w:t>1%收取，即</w:t>
            </w:r>
            <w:r>
              <w:rPr>
                <w:rFonts w:hint="eastAsia" w:ascii="宋体" w:hAnsi="宋体" w:cs="宋体"/>
                <w:color w:val="auto"/>
                <w:kern w:val="0"/>
                <w:szCs w:val="21"/>
                <w:highlight w:val="none"/>
              </w:rPr>
              <w:t>人民币</w:t>
            </w:r>
            <w:r>
              <w:rPr>
                <w:rFonts w:hint="eastAsia" w:ascii="宋体" w:hAnsi="宋体" w:cs="宋体"/>
                <w:color w:val="auto"/>
                <w:kern w:val="0"/>
                <w:szCs w:val="21"/>
                <w:highlight w:val="none"/>
                <w:lang w:eastAsia="zh-CN"/>
              </w:rPr>
              <w:t>贰万贰仟元整（￥</w:t>
            </w:r>
            <w:r>
              <w:rPr>
                <w:rFonts w:hint="eastAsia" w:ascii="宋体" w:hAnsi="宋体" w:cs="宋体"/>
                <w:color w:val="auto"/>
                <w:kern w:val="0"/>
                <w:szCs w:val="21"/>
                <w:highlight w:val="none"/>
                <w:lang w:val="en-US" w:eastAsia="zh-CN"/>
              </w:rPr>
              <w:t>22000.00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t>
            </w:r>
          </w:p>
          <w:p w14:paraId="2CBCFA55">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磋商保证金的交纳方式：银行转账、支票、汇票、本票或者银行、保险机构出具的保函，禁止采用现钞方式。采用银行转账方式的，在响应文件提交截止时间前交至指定账户并且到账</w:t>
            </w:r>
            <w:r>
              <w:rPr>
                <w:rFonts w:hint="eastAsia" w:ascii="宋体" w:hAnsi="宋体" w:cs="宋体"/>
                <w:b/>
                <w:color w:val="auto"/>
                <w:kern w:val="0"/>
                <w:szCs w:val="21"/>
                <w:highlight w:val="none"/>
              </w:rPr>
              <w:t>（办理磋商保证金手续时，请务必在银行进账单或电汇单的用途或空白栏上注明项目编号）</w:t>
            </w: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lang w:eastAsia="zh-CN"/>
              </w:rPr>
              <w:t>广西国栋招标有限公司</w:t>
            </w: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lang w:eastAsia="zh-CN"/>
              </w:rPr>
              <w:t>平安银行南宁分行营业部</w:t>
            </w: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lang w:eastAsia="zh-CN"/>
              </w:rPr>
              <w:t>15333566666608</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】；采用支票、汇票、本票或者保函等方式的，在响应文件提交截止时间前，供应商必须提交单独密封的支票、汇票、本票或者保函原件。否则视为无效磋商保证金。</w:t>
            </w:r>
          </w:p>
          <w:p w14:paraId="0E36192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14:paraId="1DEB640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305E9903">
            <w:pPr>
              <w:snapToGrid w:val="0"/>
              <w:spacing w:line="360" w:lineRule="auto"/>
              <w:rPr>
                <w:rFonts w:ascii="宋体" w:hAnsi="宋体"/>
                <w:color w:val="auto"/>
                <w:szCs w:val="21"/>
                <w:highlight w:val="none"/>
              </w:rPr>
            </w:pPr>
            <w:r>
              <w:rPr>
                <w:rFonts w:hint="eastAsia" w:ascii="宋体" w:hAnsi="宋体"/>
                <w:color w:val="auto"/>
                <w:szCs w:val="21"/>
                <w:highlight w:val="none"/>
              </w:rPr>
              <w:t>2.磋商保证金采用支票、汇票、本票或者银行、保险机构出具的保函交纳方式的，供应商应将支票、汇票、本票或者银行、保险机构出具的保函的复印件作为磋商保证金提交凭证，放置于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w:t>
            </w:r>
            <w:r>
              <w:rPr>
                <w:rFonts w:hint="eastAsia"/>
                <w:color w:val="auto"/>
                <w:highlight w:val="none"/>
                <w:lang w:eastAsia="zh-CN"/>
              </w:rPr>
              <w:t>或邮寄</w:t>
            </w:r>
            <w:r>
              <w:rPr>
                <w:rFonts w:hint="eastAsia"/>
                <w:color w:val="auto"/>
                <w:highlight w:val="none"/>
              </w:rPr>
              <w:t>地址：</w:t>
            </w:r>
            <w:r>
              <w:rPr>
                <w:rFonts w:hint="eastAsia" w:ascii="宋体" w:hAnsi="宋体" w:cs="仿宋"/>
                <w:color w:val="auto"/>
                <w:szCs w:val="21"/>
                <w:highlight w:val="none"/>
                <w:u w:val="single"/>
              </w:rPr>
              <w:t>广西</w:t>
            </w:r>
            <w:r>
              <w:rPr>
                <w:rFonts w:hint="eastAsia" w:ascii="宋体" w:hAnsi="宋体" w:cs="仿宋"/>
                <w:color w:val="auto"/>
                <w:szCs w:val="21"/>
                <w:highlight w:val="none"/>
                <w:u w:val="single"/>
                <w:lang w:eastAsia="zh-CN"/>
              </w:rPr>
              <w:t>南宁市青秀区双拥路40-1号东方明珠花园1栋1单元9层</w:t>
            </w:r>
            <w:r>
              <w:rPr>
                <w:rFonts w:hint="eastAsia"/>
                <w:color w:val="auto"/>
                <w:highlight w:val="none"/>
              </w:rPr>
              <w:t>，收件人：</w:t>
            </w:r>
            <w:r>
              <w:rPr>
                <w:rFonts w:hint="eastAsia" w:ascii="宋体" w:hAnsi="宋体" w:cs="仿宋"/>
                <w:color w:val="auto"/>
                <w:kern w:val="0"/>
                <w:szCs w:val="21"/>
                <w:highlight w:val="none"/>
                <w:u w:val="single"/>
                <w:lang w:eastAsia="zh-CN"/>
              </w:rPr>
              <w:t>陈</w:t>
            </w:r>
            <w:r>
              <w:rPr>
                <w:rFonts w:hint="eastAsia" w:ascii="宋体" w:hAnsi="宋体" w:cs="仿宋"/>
                <w:color w:val="auto"/>
                <w:kern w:val="0"/>
                <w:szCs w:val="21"/>
                <w:highlight w:val="none"/>
                <w:u w:val="single"/>
                <w:lang w:val="en-US" w:eastAsia="zh-CN"/>
              </w:rPr>
              <w:t>工</w:t>
            </w:r>
            <w:r>
              <w:rPr>
                <w:rFonts w:hint="eastAsia"/>
                <w:color w:val="auto"/>
                <w:highlight w:val="none"/>
              </w:rPr>
              <w:t>，联系方式：</w:t>
            </w:r>
            <w:r>
              <w:rPr>
                <w:rFonts w:hint="eastAsia" w:ascii="宋体" w:hAnsi="宋体" w:cs="仿宋"/>
                <w:color w:val="auto"/>
                <w:kern w:val="0"/>
                <w:szCs w:val="21"/>
                <w:highlight w:val="none"/>
                <w:u w:val="single"/>
                <w:lang w:eastAsia="zh-CN"/>
              </w:rPr>
              <w:t>0771-5894688</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支票、汇票、本票或者银行、保险机构出具的保函原件提交给采购人或者采购代理机构，由采购人或者采购代理机构向供应商出具回执（邮寄方式的除外），并妥善保管。</w:t>
            </w:r>
          </w:p>
          <w:p w14:paraId="2CC9C22D">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1EC0C414">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14:paraId="55F532AD">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095B16D6">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60AB0812">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0C3217E8">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498FEDE1">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5.采用银行、保险机构出具保函的，必须为无条件保函，否则视为无效磋商保证金。</w:t>
            </w:r>
          </w:p>
          <w:p w14:paraId="22E5266F">
            <w:pPr>
              <w:pStyle w:val="19"/>
              <w:spacing w:before="79" w:line="217" w:lineRule="auto"/>
              <w:ind w:left="110" w:leftChars="0"/>
              <w:rPr>
                <w:color w:val="auto"/>
                <w:spacing w:val="8"/>
                <w:highlight w:val="none"/>
              </w:rPr>
            </w:pPr>
            <w:r>
              <w:rPr>
                <w:rFonts w:hint="eastAsia" w:ascii="宋体" w:hAnsi="宋体"/>
                <w:b/>
                <w:color w:val="auto"/>
                <w:szCs w:val="21"/>
                <w:highlight w:val="none"/>
              </w:rPr>
              <w:t>6</w:t>
            </w:r>
            <w:r>
              <w:rPr>
                <w:rFonts w:ascii="宋体" w:hAnsi="宋体"/>
                <w:b/>
                <w:color w:val="auto"/>
                <w:szCs w:val="21"/>
                <w:highlight w:val="none"/>
              </w:rPr>
              <w:t>.</w:t>
            </w:r>
            <w:r>
              <w:rPr>
                <w:rFonts w:hint="eastAsia" w:ascii="宋体" w:hAnsi="宋体"/>
                <w:b/>
                <w:color w:val="auto"/>
                <w:szCs w:val="21"/>
                <w:highlight w:val="none"/>
                <w:lang w:eastAsia="zh-CN"/>
              </w:rPr>
              <w:t>广西政府采购云平台</w:t>
            </w:r>
            <w:r>
              <w:rPr>
                <w:rFonts w:ascii="宋体" w:hAnsi="宋体"/>
                <w:b/>
                <w:color w:val="auto"/>
                <w:szCs w:val="21"/>
                <w:highlight w:val="none"/>
              </w:rPr>
              <w:t>平台</w:t>
            </w:r>
            <w:r>
              <w:rPr>
                <w:rFonts w:hint="eastAsia" w:ascii="宋体" w:hAnsi="宋体"/>
                <w:b/>
                <w:color w:val="auto"/>
                <w:szCs w:val="21"/>
                <w:highlight w:val="none"/>
              </w:rPr>
              <w:t>暂未</w:t>
            </w:r>
            <w:r>
              <w:rPr>
                <w:rFonts w:ascii="宋体" w:hAnsi="宋体"/>
                <w:b/>
                <w:color w:val="auto"/>
                <w:szCs w:val="21"/>
                <w:highlight w:val="none"/>
              </w:rPr>
              <w:t>支持电子保函功能</w:t>
            </w:r>
            <w:r>
              <w:rPr>
                <w:rFonts w:hint="eastAsia" w:ascii="宋体" w:hAnsi="宋体"/>
                <w:b/>
                <w:color w:val="auto"/>
                <w:szCs w:val="21"/>
                <w:highlight w:val="none"/>
              </w:rPr>
              <w:t>，</w:t>
            </w:r>
            <w:r>
              <w:rPr>
                <w:rFonts w:ascii="宋体" w:hAnsi="宋体"/>
                <w:b/>
                <w:color w:val="auto"/>
                <w:szCs w:val="21"/>
                <w:highlight w:val="none"/>
              </w:rPr>
              <w:t>故本项目暂不接受电子保函形式的保证金</w:t>
            </w:r>
            <w:r>
              <w:rPr>
                <w:rFonts w:hint="eastAsia" w:ascii="宋体" w:hAnsi="宋体"/>
                <w:b/>
                <w:color w:val="auto"/>
                <w:szCs w:val="21"/>
                <w:highlight w:val="none"/>
              </w:rPr>
              <w:t>。</w:t>
            </w:r>
          </w:p>
        </w:tc>
      </w:tr>
      <w:tr w14:paraId="40CFE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96" w:type="dxa"/>
            <w:vAlign w:val="top"/>
          </w:tcPr>
          <w:p w14:paraId="6AF7F108">
            <w:pPr>
              <w:spacing w:line="340" w:lineRule="auto"/>
              <w:rPr>
                <w:rFonts w:ascii="Arial"/>
                <w:color w:val="auto"/>
                <w:sz w:val="21"/>
                <w:highlight w:val="none"/>
              </w:rPr>
            </w:pPr>
          </w:p>
          <w:p w14:paraId="4F187AE7">
            <w:pPr>
              <w:spacing w:line="341" w:lineRule="auto"/>
              <w:rPr>
                <w:rFonts w:ascii="Arial"/>
                <w:color w:val="auto"/>
                <w:sz w:val="21"/>
                <w:highlight w:val="none"/>
              </w:rPr>
            </w:pPr>
          </w:p>
          <w:p w14:paraId="4A3462C1">
            <w:pPr>
              <w:pStyle w:val="19"/>
              <w:spacing w:before="65" w:line="190" w:lineRule="auto"/>
              <w:ind w:left="295" w:leftChars="0"/>
              <w:rPr>
                <w:color w:val="auto"/>
                <w:spacing w:val="1"/>
                <w:highlight w:val="none"/>
              </w:rPr>
            </w:pPr>
            <w:r>
              <w:rPr>
                <w:color w:val="auto"/>
                <w:spacing w:val="2"/>
                <w:highlight w:val="none"/>
              </w:rPr>
              <w:t>20.1</w:t>
            </w:r>
          </w:p>
        </w:tc>
        <w:tc>
          <w:tcPr>
            <w:tcW w:w="8264" w:type="dxa"/>
            <w:vAlign w:val="top"/>
          </w:tcPr>
          <w:p w14:paraId="14FEC9D7">
            <w:pPr>
              <w:pStyle w:val="19"/>
              <w:spacing w:before="78" w:line="226" w:lineRule="auto"/>
              <w:ind w:left="114"/>
              <w:rPr>
                <w:color w:val="auto"/>
                <w:highlight w:val="none"/>
              </w:rPr>
            </w:pPr>
            <w:r>
              <w:rPr>
                <w:color w:val="auto"/>
                <w:spacing w:val="9"/>
                <w:highlight w:val="none"/>
              </w:rPr>
              <w:t>首次响应文件提交截止时间：详见竞争性磋商公</w:t>
            </w:r>
            <w:r>
              <w:rPr>
                <w:color w:val="auto"/>
                <w:spacing w:val="8"/>
                <w:highlight w:val="none"/>
              </w:rPr>
              <w:t>告。</w:t>
            </w:r>
          </w:p>
          <w:p w14:paraId="61AF3B8E">
            <w:pPr>
              <w:pStyle w:val="19"/>
              <w:spacing w:before="76" w:line="226" w:lineRule="auto"/>
              <w:ind w:left="114"/>
              <w:rPr>
                <w:color w:val="auto"/>
                <w:highlight w:val="none"/>
              </w:rPr>
            </w:pPr>
            <w:r>
              <w:rPr>
                <w:color w:val="auto"/>
                <w:spacing w:val="8"/>
                <w:highlight w:val="none"/>
              </w:rPr>
              <w:t>首次响应文件提交地点：详见竞争性磋商公告。</w:t>
            </w:r>
          </w:p>
          <w:p w14:paraId="64E50276">
            <w:pPr>
              <w:pStyle w:val="19"/>
              <w:spacing w:before="74" w:line="269" w:lineRule="auto"/>
              <w:ind w:left="117" w:leftChars="0" w:right="109" w:rightChars="0" w:hanging="7" w:firstLineChars="0"/>
              <w:rPr>
                <w:b/>
                <w:bCs/>
                <w:color w:val="auto"/>
                <w:spacing w:val="7"/>
                <w:highlight w:val="none"/>
              </w:rPr>
            </w:pPr>
            <w:r>
              <w:rPr>
                <w:color w:val="auto"/>
                <w:spacing w:val="12"/>
                <w:highlight w:val="none"/>
              </w:rPr>
              <w:t>供应商应当在首次响应文件提交截止时间前</w:t>
            </w:r>
            <w:r>
              <w:rPr>
                <w:color w:val="auto"/>
                <w:spacing w:val="11"/>
                <w:highlight w:val="none"/>
              </w:rPr>
              <w:t>，将响应文件密封送达首次响应文件提交地点。在首次响应文件提交截止时间后送达的响应文件为无效文件，采购代理机构应当拒</w:t>
            </w:r>
            <w:r>
              <w:rPr>
                <w:color w:val="auto"/>
                <w:spacing w:val="-4"/>
                <w:highlight w:val="none"/>
              </w:rPr>
              <w:t>收。</w:t>
            </w:r>
          </w:p>
        </w:tc>
      </w:tr>
      <w:tr w14:paraId="4E5DA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5EC6D1B4">
            <w:pPr>
              <w:pStyle w:val="19"/>
              <w:spacing w:before="112" w:line="167" w:lineRule="auto"/>
              <w:ind w:left="295" w:leftChars="0"/>
              <w:rPr>
                <w:color w:val="auto"/>
                <w:spacing w:val="1"/>
                <w:highlight w:val="none"/>
              </w:rPr>
            </w:pPr>
            <w:r>
              <w:rPr>
                <w:color w:val="auto"/>
                <w:spacing w:val="2"/>
                <w:highlight w:val="none"/>
              </w:rPr>
              <w:t>24.1</w:t>
            </w:r>
          </w:p>
        </w:tc>
        <w:tc>
          <w:tcPr>
            <w:tcW w:w="8264" w:type="dxa"/>
            <w:vAlign w:val="top"/>
          </w:tcPr>
          <w:p w14:paraId="03798D47">
            <w:pPr>
              <w:pStyle w:val="19"/>
              <w:spacing w:before="79" w:line="197" w:lineRule="auto"/>
              <w:ind w:left="110" w:leftChars="0"/>
              <w:rPr>
                <w:b/>
                <w:bCs/>
                <w:color w:val="auto"/>
                <w:spacing w:val="7"/>
                <w:highlight w:val="none"/>
              </w:rPr>
            </w:pPr>
            <w:r>
              <w:rPr>
                <w:color w:val="auto"/>
                <w:spacing w:val="5"/>
                <w:highlight w:val="none"/>
              </w:rPr>
              <w:t>磋商小组的人数：3人。</w:t>
            </w:r>
          </w:p>
        </w:tc>
      </w:tr>
      <w:tr w14:paraId="56F01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6370271B">
            <w:pPr>
              <w:pStyle w:val="19"/>
              <w:spacing w:before="135" w:line="186" w:lineRule="auto"/>
              <w:ind w:left="295" w:leftChars="0"/>
              <w:rPr>
                <w:color w:val="auto"/>
                <w:spacing w:val="1"/>
                <w:highlight w:val="none"/>
              </w:rPr>
            </w:pPr>
            <w:r>
              <w:rPr>
                <w:color w:val="auto"/>
                <w:spacing w:val="2"/>
                <w:highlight w:val="none"/>
              </w:rPr>
              <w:t>24.3</w:t>
            </w:r>
          </w:p>
        </w:tc>
        <w:tc>
          <w:tcPr>
            <w:tcW w:w="8264" w:type="dxa"/>
            <w:vAlign w:val="top"/>
          </w:tcPr>
          <w:p w14:paraId="34BED792">
            <w:pPr>
              <w:pStyle w:val="19"/>
              <w:spacing w:before="103" w:line="216" w:lineRule="auto"/>
              <w:ind w:left="114" w:leftChars="0"/>
              <w:rPr>
                <w:b/>
                <w:bCs/>
                <w:color w:val="auto"/>
                <w:spacing w:val="7"/>
                <w:highlight w:val="none"/>
              </w:rPr>
            </w:pPr>
            <w:r>
              <w:rPr>
                <w:color w:val="auto"/>
                <w:spacing w:val="9"/>
                <w:highlight w:val="none"/>
              </w:rPr>
              <w:t>首次响应文件的开启：通过广西政府采购云平台实行在线解密开启</w:t>
            </w:r>
          </w:p>
        </w:tc>
      </w:tr>
      <w:tr w14:paraId="1A785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7" w:hRule="atLeast"/>
        </w:trPr>
        <w:tc>
          <w:tcPr>
            <w:tcW w:w="996" w:type="dxa"/>
            <w:vAlign w:val="top"/>
          </w:tcPr>
          <w:p w14:paraId="05DE3F4B">
            <w:pPr>
              <w:spacing w:line="244" w:lineRule="auto"/>
              <w:rPr>
                <w:rFonts w:ascii="Arial"/>
                <w:color w:val="auto"/>
                <w:sz w:val="21"/>
                <w:highlight w:val="none"/>
              </w:rPr>
            </w:pPr>
          </w:p>
          <w:p w14:paraId="4B40FA3A">
            <w:pPr>
              <w:spacing w:line="244" w:lineRule="auto"/>
              <w:rPr>
                <w:rFonts w:ascii="Arial"/>
                <w:color w:val="auto"/>
                <w:sz w:val="21"/>
                <w:highlight w:val="none"/>
              </w:rPr>
            </w:pPr>
          </w:p>
          <w:p w14:paraId="332F3E96">
            <w:pPr>
              <w:spacing w:line="244" w:lineRule="auto"/>
              <w:rPr>
                <w:rFonts w:ascii="Arial"/>
                <w:color w:val="auto"/>
                <w:sz w:val="21"/>
                <w:highlight w:val="none"/>
              </w:rPr>
            </w:pPr>
          </w:p>
          <w:p w14:paraId="52F431AF">
            <w:pPr>
              <w:spacing w:line="244" w:lineRule="auto"/>
              <w:rPr>
                <w:rFonts w:ascii="Arial"/>
                <w:color w:val="auto"/>
                <w:sz w:val="21"/>
                <w:highlight w:val="none"/>
              </w:rPr>
            </w:pPr>
          </w:p>
          <w:p w14:paraId="1A1146A5">
            <w:pPr>
              <w:spacing w:line="244" w:lineRule="auto"/>
              <w:rPr>
                <w:rFonts w:ascii="Arial"/>
                <w:color w:val="auto"/>
                <w:sz w:val="21"/>
                <w:highlight w:val="none"/>
              </w:rPr>
            </w:pPr>
          </w:p>
          <w:p w14:paraId="258759E9">
            <w:pPr>
              <w:spacing w:line="244" w:lineRule="auto"/>
              <w:rPr>
                <w:rFonts w:ascii="Arial"/>
                <w:color w:val="auto"/>
                <w:sz w:val="21"/>
                <w:highlight w:val="none"/>
              </w:rPr>
            </w:pPr>
          </w:p>
          <w:p w14:paraId="1B7D4FB3">
            <w:pPr>
              <w:spacing w:line="245" w:lineRule="auto"/>
              <w:rPr>
                <w:rFonts w:ascii="Arial"/>
                <w:color w:val="auto"/>
                <w:sz w:val="21"/>
                <w:highlight w:val="none"/>
              </w:rPr>
            </w:pPr>
          </w:p>
          <w:p w14:paraId="19545136">
            <w:pPr>
              <w:spacing w:line="245" w:lineRule="auto"/>
              <w:rPr>
                <w:rFonts w:ascii="Arial"/>
                <w:color w:val="auto"/>
                <w:sz w:val="21"/>
                <w:highlight w:val="none"/>
              </w:rPr>
            </w:pPr>
          </w:p>
          <w:p w14:paraId="432B7805">
            <w:pPr>
              <w:pStyle w:val="19"/>
              <w:spacing w:before="65" w:line="190" w:lineRule="auto"/>
              <w:ind w:left="190" w:leftChars="0"/>
              <w:rPr>
                <w:color w:val="auto"/>
                <w:spacing w:val="1"/>
                <w:highlight w:val="none"/>
              </w:rPr>
            </w:pPr>
            <w:r>
              <w:rPr>
                <w:color w:val="auto"/>
                <w:spacing w:val="3"/>
                <w:highlight w:val="none"/>
              </w:rPr>
              <w:t>25.1.1</w:t>
            </w:r>
          </w:p>
        </w:tc>
        <w:tc>
          <w:tcPr>
            <w:tcW w:w="8264" w:type="dxa"/>
            <w:vAlign w:val="top"/>
          </w:tcPr>
          <w:p w14:paraId="51287E9D">
            <w:pPr>
              <w:pStyle w:val="19"/>
              <w:spacing w:before="79" w:line="227" w:lineRule="auto"/>
              <w:ind w:left="110"/>
              <w:rPr>
                <w:color w:val="auto"/>
                <w:highlight w:val="none"/>
              </w:rPr>
            </w:pPr>
            <w:r>
              <w:rPr>
                <w:color w:val="auto"/>
                <w:spacing w:val="9"/>
                <w:highlight w:val="none"/>
              </w:rPr>
              <w:t>采购人或者采购代理机构在资格审查结束前，对供应商进行信用查询。</w:t>
            </w:r>
          </w:p>
          <w:p w14:paraId="2082216C">
            <w:pPr>
              <w:pStyle w:val="19"/>
              <w:spacing w:before="75" w:line="222" w:lineRule="auto"/>
              <w:ind w:left="113"/>
              <w:rPr>
                <w:color w:val="auto"/>
                <w:highlight w:val="none"/>
              </w:rPr>
            </w:pPr>
            <w:r>
              <w:rPr>
                <w:color w:val="auto"/>
                <w:spacing w:val="-2"/>
                <w:highlight w:val="none"/>
              </w:rPr>
              <w:t>查询渠道：“信用中国”网站(www.creditchina.gov.cn)、中国政府采购网</w:t>
            </w:r>
          </w:p>
          <w:p w14:paraId="1D00030A">
            <w:pPr>
              <w:pStyle w:val="19"/>
              <w:spacing w:before="78" w:line="222" w:lineRule="auto"/>
              <w:ind w:left="147"/>
              <w:rPr>
                <w:color w:val="auto"/>
                <w:highlight w:val="none"/>
              </w:rPr>
            </w:pPr>
            <w:r>
              <w:rPr>
                <w:color w:val="auto"/>
                <w:spacing w:val="6"/>
                <w:highlight w:val="none"/>
              </w:rPr>
              <w:t>(</w:t>
            </w:r>
            <w:r>
              <w:rPr>
                <w:color w:val="auto"/>
                <w:highlight w:val="none"/>
              </w:rPr>
              <w:t>www</w:t>
            </w:r>
            <w:r>
              <w:rPr>
                <w:color w:val="auto"/>
                <w:spacing w:val="6"/>
                <w:highlight w:val="none"/>
              </w:rPr>
              <w:t>.</w:t>
            </w:r>
            <w:r>
              <w:rPr>
                <w:color w:val="auto"/>
                <w:highlight w:val="none"/>
              </w:rPr>
              <w:t>ccgp</w:t>
            </w:r>
            <w:r>
              <w:rPr>
                <w:color w:val="auto"/>
                <w:spacing w:val="6"/>
                <w:highlight w:val="none"/>
              </w:rPr>
              <w:t>.</w:t>
            </w:r>
            <w:r>
              <w:rPr>
                <w:color w:val="auto"/>
                <w:highlight w:val="none"/>
              </w:rPr>
              <w:t>gov</w:t>
            </w:r>
            <w:r>
              <w:rPr>
                <w:color w:val="auto"/>
                <w:spacing w:val="6"/>
                <w:highlight w:val="none"/>
              </w:rPr>
              <w:t>.</w:t>
            </w:r>
            <w:r>
              <w:rPr>
                <w:color w:val="auto"/>
                <w:highlight w:val="none"/>
              </w:rPr>
              <w:t>cn</w:t>
            </w:r>
            <w:r>
              <w:rPr>
                <w:color w:val="auto"/>
                <w:spacing w:val="6"/>
                <w:highlight w:val="none"/>
              </w:rPr>
              <w:t>)。</w:t>
            </w:r>
          </w:p>
          <w:p w14:paraId="4F4969F1">
            <w:pPr>
              <w:pStyle w:val="19"/>
              <w:spacing w:before="78" w:line="228" w:lineRule="auto"/>
              <w:ind w:left="110"/>
              <w:rPr>
                <w:color w:val="auto"/>
                <w:highlight w:val="none"/>
              </w:rPr>
            </w:pPr>
            <w:r>
              <w:rPr>
                <w:color w:val="auto"/>
                <w:spacing w:val="8"/>
                <w:highlight w:val="none"/>
              </w:rPr>
              <w:t>信用查询截止时点：资格审查结束前。</w:t>
            </w:r>
          </w:p>
          <w:p w14:paraId="120EC574">
            <w:pPr>
              <w:pStyle w:val="19"/>
              <w:spacing w:before="75" w:line="280" w:lineRule="auto"/>
              <w:ind w:left="110" w:right="109" w:firstLine="3"/>
              <w:rPr>
                <w:color w:val="auto"/>
                <w:highlight w:val="none"/>
              </w:rPr>
            </w:pPr>
            <w:r>
              <w:rPr>
                <w:color w:val="auto"/>
                <w:spacing w:val="11"/>
                <w:highlight w:val="none"/>
              </w:rPr>
              <w:t>查询记录和证据留存方式：在查询网站中直接打印查询记录，打印材料作为评审资料保</w:t>
            </w:r>
            <w:r>
              <w:rPr>
                <w:color w:val="auto"/>
                <w:highlight w:val="none"/>
              </w:rPr>
              <w:t>存。</w:t>
            </w:r>
          </w:p>
          <w:p w14:paraId="154CE796">
            <w:pPr>
              <w:pStyle w:val="19"/>
              <w:spacing w:before="34" w:line="284" w:lineRule="auto"/>
              <w:ind w:left="110" w:leftChars="0" w:right="108" w:rightChars="0"/>
              <w:jc w:val="both"/>
              <w:rPr>
                <w:b/>
                <w:bCs/>
                <w:color w:val="auto"/>
                <w:spacing w:val="7"/>
                <w:highlight w:val="none"/>
              </w:rPr>
            </w:pPr>
            <w:r>
              <w:rPr>
                <w:color w:val="auto"/>
                <w:spacing w:val="10"/>
                <w:highlight w:val="none"/>
              </w:rPr>
              <w:t>信用信息使用规则：对在“信用中国”网站(</w:t>
            </w:r>
            <w:r>
              <w:rPr>
                <w:color w:val="auto"/>
                <w:highlight w:val="none"/>
              </w:rPr>
              <w:t>www</w:t>
            </w:r>
            <w:r>
              <w:rPr>
                <w:color w:val="auto"/>
                <w:spacing w:val="9"/>
                <w:highlight w:val="none"/>
              </w:rPr>
              <w:t>.</w:t>
            </w:r>
            <w:r>
              <w:rPr>
                <w:color w:val="auto"/>
                <w:highlight w:val="none"/>
              </w:rPr>
              <w:t>creditchina</w:t>
            </w:r>
            <w:r>
              <w:rPr>
                <w:color w:val="auto"/>
                <w:spacing w:val="9"/>
                <w:highlight w:val="none"/>
              </w:rPr>
              <w:t>.</w:t>
            </w:r>
            <w:r>
              <w:rPr>
                <w:color w:val="auto"/>
                <w:highlight w:val="none"/>
              </w:rPr>
              <w:t>gov</w:t>
            </w:r>
            <w:r>
              <w:rPr>
                <w:color w:val="auto"/>
                <w:spacing w:val="9"/>
                <w:highlight w:val="none"/>
              </w:rPr>
              <w:t>.</w:t>
            </w:r>
            <w:r>
              <w:rPr>
                <w:color w:val="auto"/>
                <w:highlight w:val="none"/>
              </w:rPr>
              <w:t>cn</w:t>
            </w:r>
            <w:r>
              <w:rPr>
                <w:color w:val="auto"/>
                <w:spacing w:val="9"/>
                <w:highlight w:val="none"/>
              </w:rPr>
              <w:t>)、中国政府采购</w:t>
            </w:r>
            <w:r>
              <w:rPr>
                <w:color w:val="auto"/>
                <w:spacing w:val="10"/>
                <w:highlight w:val="none"/>
              </w:rPr>
              <w:t>网(</w:t>
            </w:r>
            <w:r>
              <w:rPr>
                <w:color w:val="auto"/>
                <w:highlight w:val="none"/>
              </w:rPr>
              <w:t>www</w:t>
            </w:r>
            <w:r>
              <w:rPr>
                <w:color w:val="auto"/>
                <w:spacing w:val="10"/>
                <w:highlight w:val="none"/>
              </w:rPr>
              <w:t>.</w:t>
            </w:r>
            <w:r>
              <w:rPr>
                <w:color w:val="auto"/>
                <w:highlight w:val="none"/>
              </w:rPr>
              <w:t>ccgp</w:t>
            </w:r>
            <w:r>
              <w:rPr>
                <w:color w:val="auto"/>
                <w:spacing w:val="10"/>
                <w:highlight w:val="none"/>
              </w:rPr>
              <w:t>.</w:t>
            </w:r>
            <w:r>
              <w:rPr>
                <w:color w:val="auto"/>
                <w:highlight w:val="none"/>
              </w:rPr>
              <w:t>gov</w:t>
            </w:r>
            <w:r>
              <w:rPr>
                <w:color w:val="auto"/>
                <w:spacing w:val="10"/>
                <w:highlight w:val="none"/>
              </w:rPr>
              <w:t>.</w:t>
            </w:r>
            <w:r>
              <w:rPr>
                <w:color w:val="auto"/>
                <w:highlight w:val="none"/>
              </w:rPr>
              <w:t>cn</w:t>
            </w:r>
            <w:r>
              <w:rPr>
                <w:color w:val="auto"/>
                <w:spacing w:val="10"/>
                <w:highlight w:val="none"/>
              </w:rPr>
              <w:t>)被列入失信被执行人、重大税收违法失信</w:t>
            </w:r>
            <w:r>
              <w:rPr>
                <w:color w:val="auto"/>
                <w:spacing w:val="9"/>
                <w:highlight w:val="none"/>
              </w:rPr>
              <w:t>主体、政府采购严重违法</w:t>
            </w:r>
            <w:r>
              <w:rPr>
                <w:color w:val="auto"/>
                <w:spacing w:val="12"/>
                <w:highlight w:val="none"/>
              </w:rPr>
              <w:t>失信行为记录名单及其他不符合《中华人民共</w:t>
            </w:r>
            <w:r>
              <w:rPr>
                <w:color w:val="auto"/>
                <w:spacing w:val="11"/>
                <w:highlight w:val="none"/>
              </w:rPr>
              <w:t>和国政府采购法》第二十二条规定条件的</w:t>
            </w:r>
            <w:r>
              <w:rPr>
                <w:color w:val="auto"/>
                <w:spacing w:val="12"/>
                <w:highlight w:val="none"/>
              </w:rPr>
              <w:t>供应商，资格审查不通过，不得参与政府采购</w:t>
            </w:r>
            <w:r>
              <w:rPr>
                <w:color w:val="auto"/>
                <w:spacing w:val="11"/>
                <w:highlight w:val="none"/>
              </w:rPr>
              <w:t>活动。两个以上的自然人、法人或者其他</w:t>
            </w:r>
            <w:r>
              <w:rPr>
                <w:color w:val="auto"/>
                <w:spacing w:val="10"/>
                <w:highlight w:val="none"/>
              </w:rPr>
              <w:t>组织组成一个联合体，以一个供应商的身份共同参加政府采购活动的，应当对所有联合</w:t>
            </w:r>
            <w:r>
              <w:rPr>
                <w:color w:val="auto"/>
                <w:spacing w:val="12"/>
                <w:highlight w:val="none"/>
              </w:rPr>
              <w:t>体成员进行信用记录查询，联合体成员存在不</w:t>
            </w:r>
            <w:r>
              <w:rPr>
                <w:color w:val="auto"/>
                <w:spacing w:val="11"/>
                <w:highlight w:val="none"/>
              </w:rPr>
              <w:t>良信用记录的，视同联合体存在不良信用</w:t>
            </w:r>
            <w:r>
              <w:rPr>
                <w:color w:val="auto"/>
                <w:spacing w:val="3"/>
                <w:highlight w:val="none"/>
              </w:rPr>
              <w:t>记录。</w:t>
            </w:r>
          </w:p>
        </w:tc>
      </w:tr>
      <w:tr w14:paraId="1E05C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996" w:type="dxa"/>
            <w:vAlign w:val="top"/>
          </w:tcPr>
          <w:p w14:paraId="72C1C601">
            <w:pPr>
              <w:pStyle w:val="19"/>
              <w:spacing w:before="273" w:line="190" w:lineRule="auto"/>
              <w:ind w:left="190" w:leftChars="0"/>
              <w:rPr>
                <w:color w:val="auto"/>
                <w:spacing w:val="1"/>
                <w:highlight w:val="none"/>
              </w:rPr>
            </w:pPr>
            <w:r>
              <w:rPr>
                <w:color w:val="auto"/>
                <w:spacing w:val="3"/>
                <w:highlight w:val="none"/>
              </w:rPr>
              <w:t>25.2.1</w:t>
            </w:r>
          </w:p>
        </w:tc>
        <w:tc>
          <w:tcPr>
            <w:tcW w:w="8264" w:type="dxa"/>
            <w:vAlign w:val="top"/>
          </w:tcPr>
          <w:p w14:paraId="3139DAFD">
            <w:pPr>
              <w:pStyle w:val="19"/>
              <w:spacing w:before="80" w:line="258" w:lineRule="auto"/>
              <w:ind w:left="111" w:leftChars="0" w:right="3887" w:rightChars="0" w:firstLine="3" w:firstLineChars="0"/>
              <w:rPr>
                <w:b/>
                <w:bCs/>
                <w:color w:val="auto"/>
                <w:spacing w:val="7"/>
                <w:highlight w:val="none"/>
              </w:rPr>
            </w:pPr>
            <w:r>
              <w:rPr>
                <w:color w:val="auto"/>
                <w:spacing w:val="7"/>
                <w:highlight w:val="none"/>
              </w:rPr>
              <w:t>商务条款评审中允许负偏离的条款数为</w:t>
            </w:r>
            <w:r>
              <w:rPr>
                <w:color w:val="auto"/>
                <w:spacing w:val="7"/>
                <w:highlight w:val="none"/>
                <w:u w:val="single" w:color="auto"/>
              </w:rPr>
              <w:t xml:space="preserve"> 0 </w:t>
            </w:r>
            <w:r>
              <w:rPr>
                <w:color w:val="auto"/>
                <w:spacing w:val="7"/>
                <w:highlight w:val="none"/>
              </w:rPr>
              <w:t>项。</w:t>
            </w:r>
            <w:r>
              <w:rPr>
                <w:color w:val="auto"/>
                <w:spacing w:val="1"/>
                <w:highlight w:val="none"/>
              </w:rPr>
              <w:t xml:space="preserve"> </w:t>
            </w:r>
            <w:r>
              <w:rPr>
                <w:color w:val="auto"/>
                <w:spacing w:val="7"/>
                <w:highlight w:val="none"/>
              </w:rPr>
              <w:t>技术需求评审中允许负偏离的条款数为</w:t>
            </w:r>
            <w:r>
              <w:rPr>
                <w:color w:val="auto"/>
                <w:spacing w:val="7"/>
                <w:highlight w:val="none"/>
                <w:u w:val="single" w:color="auto"/>
              </w:rPr>
              <w:t xml:space="preserve"> 0 </w:t>
            </w:r>
            <w:r>
              <w:rPr>
                <w:color w:val="auto"/>
                <w:spacing w:val="7"/>
                <w:highlight w:val="none"/>
              </w:rPr>
              <w:t>项。</w:t>
            </w:r>
          </w:p>
        </w:tc>
      </w:tr>
      <w:tr w14:paraId="16F7E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996" w:type="dxa"/>
            <w:vAlign w:val="top"/>
          </w:tcPr>
          <w:p w14:paraId="38D456A2">
            <w:pPr>
              <w:spacing w:line="256" w:lineRule="auto"/>
              <w:rPr>
                <w:rFonts w:ascii="Arial"/>
                <w:color w:val="auto"/>
                <w:sz w:val="21"/>
                <w:highlight w:val="none"/>
              </w:rPr>
            </w:pPr>
          </w:p>
          <w:p w14:paraId="43C5E4CA">
            <w:pPr>
              <w:spacing w:line="257" w:lineRule="auto"/>
              <w:rPr>
                <w:rFonts w:ascii="Arial"/>
                <w:color w:val="auto"/>
                <w:sz w:val="21"/>
                <w:highlight w:val="none"/>
              </w:rPr>
            </w:pPr>
          </w:p>
          <w:p w14:paraId="420008D8">
            <w:pPr>
              <w:pStyle w:val="19"/>
              <w:spacing w:before="65" w:line="190" w:lineRule="auto"/>
              <w:ind w:left="295" w:leftChars="0"/>
              <w:rPr>
                <w:color w:val="auto"/>
                <w:spacing w:val="3"/>
                <w:highlight w:val="none"/>
              </w:rPr>
            </w:pPr>
            <w:r>
              <w:rPr>
                <w:color w:val="auto"/>
                <w:spacing w:val="2"/>
                <w:highlight w:val="none"/>
              </w:rPr>
              <w:t>26.1</w:t>
            </w:r>
          </w:p>
        </w:tc>
        <w:tc>
          <w:tcPr>
            <w:tcW w:w="8264" w:type="dxa"/>
            <w:vAlign w:val="top"/>
          </w:tcPr>
          <w:p w14:paraId="00FA31BB">
            <w:pPr>
              <w:pStyle w:val="19"/>
              <w:spacing w:before="77" w:line="228" w:lineRule="auto"/>
              <w:ind w:left="110"/>
              <w:rPr>
                <w:color w:val="auto"/>
                <w:highlight w:val="none"/>
              </w:rPr>
            </w:pPr>
            <w:r>
              <w:rPr>
                <w:color w:val="auto"/>
                <w:spacing w:val="6"/>
                <w:highlight w:val="none"/>
              </w:rPr>
              <w:t>磋商的顺序：</w:t>
            </w:r>
          </w:p>
          <w:p w14:paraId="54BF3D26">
            <w:pPr>
              <w:pStyle w:val="19"/>
              <w:spacing w:before="48" w:line="273" w:lineRule="auto"/>
              <w:ind w:left="115" w:right="176" w:firstLine="3"/>
              <w:rPr>
                <w:color w:val="auto"/>
                <w:highlight w:val="none"/>
              </w:rPr>
            </w:pPr>
            <w:r>
              <w:rPr>
                <w:rFonts w:ascii="MS Gothic" w:hAnsi="MS Gothic" w:eastAsia="MS Gothic" w:cs="MS Gothic"/>
                <w:color w:val="auto"/>
                <w:spacing w:val="10"/>
                <w:highlight w:val="none"/>
              </w:rPr>
              <w:t>☑</w:t>
            </w:r>
            <w:r>
              <w:rPr>
                <w:color w:val="auto"/>
                <w:spacing w:val="10"/>
                <w:highlight w:val="none"/>
              </w:rPr>
              <w:t>按照提交首次响应文件的顺序，如出现某供</w:t>
            </w:r>
            <w:r>
              <w:rPr>
                <w:color w:val="auto"/>
                <w:spacing w:val="9"/>
                <w:highlight w:val="none"/>
              </w:rPr>
              <w:t>应商不能按时参加磋商的情形，则该供应</w:t>
            </w:r>
            <w:r>
              <w:rPr>
                <w:color w:val="auto"/>
                <w:spacing w:val="8"/>
                <w:highlight w:val="none"/>
              </w:rPr>
              <w:t>商的磋商次序往后延，具体由磋商小组确定。</w:t>
            </w:r>
          </w:p>
          <w:p w14:paraId="49D4A03F">
            <w:pPr>
              <w:pStyle w:val="19"/>
              <w:spacing w:before="55" w:line="219" w:lineRule="auto"/>
              <w:ind w:left="132" w:leftChars="0"/>
              <w:rPr>
                <w:color w:val="auto"/>
                <w:spacing w:val="7"/>
                <w:highlight w:val="none"/>
              </w:rPr>
            </w:pPr>
            <w:r>
              <w:rPr>
                <w:color w:val="auto"/>
                <w:spacing w:val="3"/>
                <w:highlight w:val="none"/>
              </w:rPr>
              <w:t>□随机排序。</w:t>
            </w:r>
          </w:p>
        </w:tc>
      </w:tr>
      <w:tr w14:paraId="25348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996" w:type="dxa"/>
            <w:vAlign w:val="top"/>
          </w:tcPr>
          <w:p w14:paraId="3B0D318B">
            <w:pPr>
              <w:pStyle w:val="19"/>
              <w:spacing w:before="270" w:line="189" w:lineRule="auto"/>
              <w:ind w:left="295" w:leftChars="0"/>
              <w:rPr>
                <w:color w:val="auto"/>
                <w:spacing w:val="2"/>
                <w:highlight w:val="none"/>
              </w:rPr>
            </w:pPr>
            <w:r>
              <w:rPr>
                <w:color w:val="auto"/>
                <w:spacing w:val="2"/>
                <w:highlight w:val="none"/>
              </w:rPr>
              <w:t>26.2</w:t>
            </w:r>
          </w:p>
        </w:tc>
        <w:tc>
          <w:tcPr>
            <w:tcW w:w="8264" w:type="dxa"/>
            <w:vAlign w:val="top"/>
          </w:tcPr>
          <w:p w14:paraId="7DA06394">
            <w:pPr>
              <w:pStyle w:val="19"/>
              <w:spacing w:before="78" w:line="228" w:lineRule="auto"/>
              <w:ind w:left="112"/>
              <w:rPr>
                <w:color w:val="auto"/>
                <w:highlight w:val="none"/>
              </w:rPr>
            </w:pPr>
            <w:r>
              <w:rPr>
                <w:color w:val="auto"/>
                <w:spacing w:val="7"/>
                <w:highlight w:val="none"/>
              </w:rPr>
              <w:t>可能实质性变动的内容：</w:t>
            </w:r>
          </w:p>
          <w:p w14:paraId="1CBF7E9E">
            <w:pPr>
              <w:pStyle w:val="19"/>
              <w:spacing w:before="72" w:line="219" w:lineRule="auto"/>
              <w:ind w:left="110" w:leftChars="0"/>
              <w:rPr>
                <w:color w:val="auto"/>
                <w:spacing w:val="3"/>
                <w:highlight w:val="none"/>
              </w:rPr>
            </w:pPr>
            <w:r>
              <w:rPr>
                <w:color w:val="auto"/>
                <w:spacing w:val="9"/>
                <w:highlight w:val="none"/>
              </w:rPr>
              <w:t>采购需求中的技术、服务要求以及合同草案条款。</w:t>
            </w:r>
          </w:p>
        </w:tc>
      </w:tr>
      <w:tr w14:paraId="27840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996" w:type="dxa"/>
            <w:vAlign w:val="top"/>
          </w:tcPr>
          <w:p w14:paraId="7C4963D6">
            <w:pPr>
              <w:pStyle w:val="19"/>
              <w:spacing w:before="171" w:line="190" w:lineRule="auto"/>
              <w:ind w:left="297" w:leftChars="0"/>
              <w:rPr>
                <w:color w:val="auto"/>
                <w:spacing w:val="2"/>
                <w:highlight w:val="none"/>
              </w:rPr>
            </w:pPr>
            <w:r>
              <w:rPr>
                <w:color w:val="auto"/>
                <w:spacing w:val="2"/>
                <w:highlight w:val="none"/>
              </w:rPr>
              <w:t>30.1</w:t>
            </w:r>
          </w:p>
        </w:tc>
        <w:tc>
          <w:tcPr>
            <w:tcW w:w="8264" w:type="dxa"/>
            <w:vAlign w:val="top"/>
          </w:tcPr>
          <w:p w14:paraId="64ED0B23">
            <w:pPr>
              <w:pStyle w:val="19"/>
              <w:spacing w:before="174" w:line="228" w:lineRule="auto"/>
              <w:ind w:left="114" w:leftChars="0"/>
              <w:rPr>
                <w:color w:val="auto"/>
                <w:spacing w:val="3"/>
                <w:highlight w:val="none"/>
              </w:rPr>
            </w:pPr>
            <w:r>
              <w:rPr>
                <w:color w:val="auto"/>
                <w:spacing w:val="7"/>
                <w:highlight w:val="none"/>
              </w:rPr>
              <w:t>履约保证金金额：无。</w:t>
            </w:r>
          </w:p>
        </w:tc>
      </w:tr>
      <w:tr w14:paraId="2133F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996" w:type="dxa"/>
            <w:vAlign w:val="top"/>
          </w:tcPr>
          <w:p w14:paraId="77B9C818">
            <w:pPr>
              <w:spacing w:line="337" w:lineRule="auto"/>
              <w:rPr>
                <w:rFonts w:ascii="Arial"/>
                <w:color w:val="auto"/>
                <w:sz w:val="21"/>
                <w:highlight w:val="none"/>
              </w:rPr>
            </w:pPr>
          </w:p>
          <w:p w14:paraId="7C2CBE31">
            <w:pPr>
              <w:pStyle w:val="19"/>
              <w:spacing w:before="65" w:line="190" w:lineRule="auto"/>
              <w:ind w:left="297" w:leftChars="0"/>
              <w:rPr>
                <w:color w:val="auto"/>
                <w:spacing w:val="2"/>
                <w:highlight w:val="none"/>
              </w:rPr>
            </w:pPr>
            <w:r>
              <w:rPr>
                <w:color w:val="auto"/>
                <w:spacing w:val="2"/>
                <w:highlight w:val="none"/>
              </w:rPr>
              <w:t>31.1</w:t>
            </w:r>
          </w:p>
        </w:tc>
        <w:tc>
          <w:tcPr>
            <w:tcW w:w="8264" w:type="dxa"/>
            <w:vAlign w:val="top"/>
          </w:tcPr>
          <w:p w14:paraId="4D248EFB">
            <w:pPr>
              <w:pStyle w:val="19"/>
              <w:spacing w:before="77" w:line="275" w:lineRule="auto"/>
              <w:ind w:left="110" w:right="108"/>
              <w:rPr>
                <w:color w:val="auto"/>
                <w:highlight w:val="none"/>
              </w:rPr>
            </w:pPr>
            <w:r>
              <w:rPr>
                <w:color w:val="auto"/>
                <w:spacing w:val="12"/>
                <w:highlight w:val="none"/>
              </w:rPr>
              <w:t>签订合同携带的证明材料：营业执照副本原件</w:t>
            </w:r>
            <w:r>
              <w:rPr>
                <w:color w:val="auto"/>
                <w:spacing w:val="11"/>
                <w:highlight w:val="none"/>
              </w:rPr>
              <w:t>、法定代表人授权委托书及被授权人身份</w:t>
            </w:r>
            <w:r>
              <w:rPr>
                <w:color w:val="auto"/>
                <w:spacing w:val="8"/>
                <w:highlight w:val="none"/>
              </w:rPr>
              <w:t>证原件等其它证明材料。</w:t>
            </w:r>
          </w:p>
          <w:p w14:paraId="57FC089A">
            <w:pPr>
              <w:pStyle w:val="19"/>
              <w:spacing w:line="215" w:lineRule="auto"/>
              <w:ind w:left="111" w:leftChars="0"/>
              <w:rPr>
                <w:color w:val="auto"/>
                <w:spacing w:val="3"/>
                <w:highlight w:val="none"/>
              </w:rPr>
            </w:pPr>
            <w:r>
              <w:rPr>
                <w:b/>
                <w:bCs/>
                <w:color w:val="auto"/>
                <w:spacing w:val="6"/>
                <w:highlight w:val="none"/>
              </w:rPr>
              <w:t>合同签订时间：自成交通知书发出之日起</w:t>
            </w:r>
            <w:r>
              <w:rPr>
                <w:rFonts w:ascii="Times New Roman" w:hAnsi="Times New Roman" w:eastAsia="Times New Roman" w:cs="Times New Roman"/>
                <w:b/>
                <w:bCs/>
                <w:color w:val="auto"/>
                <w:spacing w:val="6"/>
                <w:highlight w:val="none"/>
              </w:rPr>
              <w:t>25</w:t>
            </w:r>
            <w:r>
              <w:rPr>
                <w:b/>
                <w:bCs/>
                <w:color w:val="auto"/>
                <w:spacing w:val="6"/>
                <w:highlight w:val="none"/>
              </w:rPr>
              <w:t>个日历日内与采购人签订政府采购合同。</w:t>
            </w:r>
          </w:p>
        </w:tc>
      </w:tr>
      <w:tr w14:paraId="77090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996" w:type="dxa"/>
            <w:vAlign w:val="top"/>
          </w:tcPr>
          <w:p w14:paraId="04F848E7">
            <w:pPr>
              <w:spacing w:line="337" w:lineRule="auto"/>
              <w:rPr>
                <w:rFonts w:ascii="Arial"/>
                <w:color w:val="auto"/>
                <w:sz w:val="21"/>
                <w:highlight w:val="none"/>
              </w:rPr>
            </w:pPr>
          </w:p>
          <w:p w14:paraId="097AC077">
            <w:pPr>
              <w:pStyle w:val="19"/>
              <w:spacing w:before="65" w:line="190" w:lineRule="auto"/>
              <w:ind w:left="297" w:leftChars="0"/>
              <w:rPr>
                <w:color w:val="auto"/>
                <w:spacing w:val="2"/>
                <w:highlight w:val="none"/>
              </w:rPr>
            </w:pPr>
            <w:r>
              <w:rPr>
                <w:color w:val="auto"/>
                <w:spacing w:val="2"/>
                <w:highlight w:val="none"/>
              </w:rPr>
              <w:t>31.1</w:t>
            </w:r>
          </w:p>
        </w:tc>
        <w:tc>
          <w:tcPr>
            <w:tcW w:w="8264" w:type="dxa"/>
            <w:vAlign w:val="top"/>
          </w:tcPr>
          <w:p w14:paraId="77A27505">
            <w:pPr>
              <w:pStyle w:val="19"/>
              <w:spacing w:before="77" w:line="275" w:lineRule="auto"/>
              <w:ind w:left="110" w:right="108"/>
              <w:rPr>
                <w:color w:val="auto"/>
                <w:highlight w:val="none"/>
              </w:rPr>
            </w:pPr>
            <w:r>
              <w:rPr>
                <w:color w:val="auto"/>
                <w:spacing w:val="12"/>
                <w:highlight w:val="none"/>
              </w:rPr>
              <w:t>签订合同携带的证明材料：营业执照副本原件</w:t>
            </w:r>
            <w:r>
              <w:rPr>
                <w:color w:val="auto"/>
                <w:spacing w:val="11"/>
                <w:highlight w:val="none"/>
              </w:rPr>
              <w:t>、法定代表人授权委托书及被授权人身份</w:t>
            </w:r>
            <w:r>
              <w:rPr>
                <w:color w:val="auto"/>
                <w:spacing w:val="8"/>
                <w:highlight w:val="none"/>
              </w:rPr>
              <w:t>证原件等其它证明材料。</w:t>
            </w:r>
          </w:p>
          <w:p w14:paraId="2FAA18D6">
            <w:pPr>
              <w:pStyle w:val="19"/>
              <w:spacing w:line="215" w:lineRule="auto"/>
              <w:ind w:left="111" w:leftChars="0"/>
              <w:rPr>
                <w:color w:val="auto"/>
                <w:spacing w:val="3"/>
                <w:highlight w:val="none"/>
              </w:rPr>
            </w:pPr>
            <w:r>
              <w:rPr>
                <w:b/>
                <w:bCs/>
                <w:color w:val="auto"/>
                <w:spacing w:val="6"/>
                <w:highlight w:val="none"/>
              </w:rPr>
              <w:t>合同签订时间：自成交通知书发出之日起</w:t>
            </w:r>
            <w:r>
              <w:rPr>
                <w:rFonts w:ascii="Times New Roman" w:hAnsi="Times New Roman" w:eastAsia="Times New Roman" w:cs="Times New Roman"/>
                <w:b/>
                <w:bCs/>
                <w:color w:val="auto"/>
                <w:spacing w:val="6"/>
                <w:highlight w:val="none"/>
              </w:rPr>
              <w:t>25</w:t>
            </w:r>
            <w:r>
              <w:rPr>
                <w:b/>
                <w:bCs/>
                <w:color w:val="auto"/>
                <w:spacing w:val="6"/>
                <w:highlight w:val="none"/>
              </w:rPr>
              <w:t>个日历日内与采购人签订政府采购合同。</w:t>
            </w:r>
          </w:p>
        </w:tc>
      </w:tr>
      <w:tr w14:paraId="1A2EC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996" w:type="dxa"/>
            <w:vAlign w:val="top"/>
          </w:tcPr>
          <w:p w14:paraId="10B7F3EC">
            <w:pPr>
              <w:spacing w:line="245" w:lineRule="auto"/>
              <w:rPr>
                <w:rFonts w:ascii="Arial"/>
                <w:color w:val="auto"/>
                <w:sz w:val="21"/>
                <w:highlight w:val="none"/>
              </w:rPr>
            </w:pPr>
          </w:p>
          <w:p w14:paraId="59D6FDD9">
            <w:pPr>
              <w:spacing w:line="246" w:lineRule="auto"/>
              <w:rPr>
                <w:rFonts w:ascii="Arial"/>
                <w:color w:val="auto"/>
                <w:sz w:val="21"/>
                <w:highlight w:val="none"/>
              </w:rPr>
            </w:pPr>
          </w:p>
          <w:p w14:paraId="3C59928F">
            <w:pPr>
              <w:spacing w:line="246" w:lineRule="auto"/>
              <w:rPr>
                <w:rFonts w:ascii="Arial"/>
                <w:color w:val="auto"/>
                <w:sz w:val="21"/>
                <w:highlight w:val="none"/>
              </w:rPr>
            </w:pPr>
          </w:p>
          <w:p w14:paraId="519D6D45">
            <w:pPr>
              <w:spacing w:line="246" w:lineRule="auto"/>
              <w:rPr>
                <w:rFonts w:ascii="Arial"/>
                <w:color w:val="auto"/>
                <w:sz w:val="21"/>
                <w:highlight w:val="none"/>
              </w:rPr>
            </w:pPr>
          </w:p>
          <w:p w14:paraId="78A9692A">
            <w:pPr>
              <w:spacing w:line="246" w:lineRule="auto"/>
              <w:rPr>
                <w:rFonts w:ascii="Arial"/>
                <w:color w:val="auto"/>
                <w:sz w:val="21"/>
                <w:highlight w:val="none"/>
              </w:rPr>
            </w:pPr>
          </w:p>
          <w:p w14:paraId="048FD0CA">
            <w:pPr>
              <w:spacing w:line="246" w:lineRule="auto"/>
              <w:rPr>
                <w:rFonts w:ascii="Arial"/>
                <w:color w:val="auto"/>
                <w:sz w:val="21"/>
                <w:highlight w:val="none"/>
              </w:rPr>
            </w:pPr>
          </w:p>
          <w:p w14:paraId="1431397E">
            <w:pPr>
              <w:pStyle w:val="19"/>
              <w:spacing w:before="65" w:line="190" w:lineRule="auto"/>
              <w:ind w:left="297" w:leftChars="0"/>
              <w:rPr>
                <w:color w:val="auto"/>
                <w:spacing w:val="2"/>
                <w:highlight w:val="none"/>
              </w:rPr>
            </w:pPr>
            <w:r>
              <w:rPr>
                <w:color w:val="auto"/>
                <w:spacing w:val="2"/>
                <w:highlight w:val="none"/>
              </w:rPr>
              <w:t>34.1</w:t>
            </w:r>
          </w:p>
        </w:tc>
        <w:tc>
          <w:tcPr>
            <w:tcW w:w="8264" w:type="dxa"/>
            <w:vAlign w:val="top"/>
          </w:tcPr>
          <w:p w14:paraId="3CEAC372">
            <w:pPr>
              <w:pStyle w:val="19"/>
              <w:spacing w:before="77" w:line="227" w:lineRule="auto"/>
              <w:ind w:left="126"/>
              <w:rPr>
                <w:color w:val="auto"/>
                <w:highlight w:val="none"/>
              </w:rPr>
            </w:pPr>
            <w:r>
              <w:rPr>
                <w:color w:val="auto"/>
                <w:spacing w:val="6"/>
                <w:highlight w:val="none"/>
              </w:rPr>
              <w:t>1.采购代理费收取方式：</w:t>
            </w:r>
          </w:p>
          <w:p w14:paraId="043B3CB3">
            <w:pPr>
              <w:pStyle w:val="19"/>
              <w:spacing w:before="74" w:line="240" w:lineRule="auto"/>
              <w:ind w:left="113" w:right="2651" w:firstLine="304"/>
              <w:rPr>
                <w:color w:val="auto"/>
                <w:highlight w:val="none"/>
              </w:rPr>
            </w:pPr>
            <w:r>
              <w:rPr>
                <w:rFonts w:ascii="MS Gothic" w:hAnsi="MS Gothic" w:eastAsia="MS Gothic" w:cs="MS Gothic"/>
                <w:color w:val="auto"/>
                <w:spacing w:val="8"/>
                <w:sz w:val="19"/>
                <w:szCs w:val="19"/>
                <w:highlight w:val="none"/>
              </w:rPr>
              <w:t>☑</w:t>
            </w:r>
            <w:r>
              <w:rPr>
                <w:color w:val="auto"/>
                <w:spacing w:val="8"/>
                <w:highlight w:val="none"/>
              </w:rPr>
              <w:t>本项目代理服务费由</w:t>
            </w:r>
            <w:r>
              <w:rPr>
                <w:color w:val="auto"/>
                <w:spacing w:val="8"/>
                <w:highlight w:val="none"/>
                <w:u w:val="single" w:color="auto"/>
              </w:rPr>
              <w:t>成交供应商</w:t>
            </w:r>
            <w:r>
              <w:rPr>
                <w:color w:val="auto"/>
                <w:spacing w:val="8"/>
                <w:highlight w:val="none"/>
              </w:rPr>
              <w:t>向采购代理机构支</w:t>
            </w:r>
            <w:r>
              <w:rPr>
                <w:color w:val="auto"/>
                <w:spacing w:val="7"/>
                <w:highlight w:val="none"/>
              </w:rPr>
              <w:t>付。2.采购代理费收取标准：</w:t>
            </w:r>
          </w:p>
          <w:p w14:paraId="4FB95F98">
            <w:pPr>
              <w:pStyle w:val="19"/>
              <w:spacing w:before="28" w:line="240" w:lineRule="auto"/>
              <w:ind w:left="115"/>
              <w:rPr>
                <w:rFonts w:hint="eastAsia"/>
                <w:color w:val="auto"/>
                <w:spacing w:val="8"/>
                <w:highlight w:val="none"/>
              </w:rPr>
            </w:pPr>
            <w:r>
              <w:rPr>
                <w:rFonts w:hint="eastAsia"/>
                <w:color w:val="auto"/>
                <w:spacing w:val="8"/>
                <w:highlight w:val="none"/>
              </w:rPr>
              <w:t>按成交金额</w:t>
            </w:r>
            <w:r>
              <w:rPr>
                <w:rFonts w:hint="eastAsia"/>
                <w:color w:val="auto"/>
                <w:spacing w:val="8"/>
                <w:highlight w:val="none"/>
                <w:lang w:val="en-US" w:eastAsia="zh-CN"/>
              </w:rPr>
              <w:t>参照</w:t>
            </w:r>
            <w:r>
              <w:rPr>
                <w:rFonts w:hint="eastAsia"/>
                <w:color w:val="auto"/>
                <w:spacing w:val="8"/>
                <w:highlight w:val="none"/>
              </w:rPr>
              <w:t>《</w:t>
            </w:r>
            <w:r>
              <w:rPr>
                <w:rFonts w:hint="eastAsia"/>
                <w:color w:val="auto"/>
                <w:spacing w:val="8"/>
                <w:highlight w:val="none"/>
                <w:lang w:eastAsia="zh-CN"/>
              </w:rPr>
              <w:t>招标代理服务费收费管理暂行办法</w:t>
            </w:r>
            <w:r>
              <w:rPr>
                <w:rFonts w:hint="eastAsia"/>
                <w:color w:val="auto"/>
                <w:spacing w:val="8"/>
                <w:highlight w:val="none"/>
              </w:rPr>
              <w:t>》（</w:t>
            </w:r>
            <w:r>
              <w:rPr>
                <w:rFonts w:hint="eastAsia"/>
                <w:color w:val="auto"/>
                <w:spacing w:val="8"/>
                <w:highlight w:val="none"/>
                <w:lang w:val="en-US" w:eastAsia="zh-CN"/>
              </w:rPr>
              <w:t>计价</w:t>
            </w:r>
            <w:r>
              <w:rPr>
                <w:rFonts w:hint="eastAsia"/>
                <w:color w:val="auto"/>
                <w:spacing w:val="8"/>
                <w:highlight w:val="none"/>
              </w:rPr>
              <w:t>格[2002]1980号）的规定向成交供应商收取。</w:t>
            </w:r>
          </w:p>
          <w:p w14:paraId="2A24A769">
            <w:pPr>
              <w:pStyle w:val="19"/>
              <w:spacing w:before="28" w:line="240" w:lineRule="auto"/>
              <w:ind w:left="115"/>
              <w:rPr>
                <w:rFonts w:hint="eastAsia" w:eastAsia="宋体"/>
                <w:color w:val="auto"/>
                <w:highlight w:val="none"/>
                <w:lang w:eastAsia="zh-CN"/>
              </w:rPr>
            </w:pPr>
            <w:r>
              <w:rPr>
                <w:color w:val="auto"/>
                <w:spacing w:val="8"/>
                <w:highlight w:val="none"/>
              </w:rPr>
              <w:t>3.采购代理费收取银行账户</w:t>
            </w:r>
            <w:r>
              <w:rPr>
                <w:rFonts w:hint="eastAsia"/>
                <w:color w:val="auto"/>
                <w:spacing w:val="8"/>
                <w:highlight w:val="none"/>
                <w:lang w:eastAsia="zh-CN"/>
              </w:rPr>
              <w:t>：</w:t>
            </w:r>
          </w:p>
          <w:p w14:paraId="0B674242">
            <w:pPr>
              <w:pStyle w:val="19"/>
              <w:spacing w:before="75" w:line="240" w:lineRule="auto"/>
              <w:ind w:left="112"/>
              <w:rPr>
                <w:rFonts w:hint="eastAsia" w:eastAsia="宋体"/>
                <w:color w:val="auto"/>
                <w:highlight w:val="none"/>
                <w:lang w:eastAsia="zh-CN"/>
              </w:rPr>
            </w:pPr>
            <w:r>
              <w:rPr>
                <w:color w:val="auto"/>
                <w:spacing w:val="9"/>
                <w:highlight w:val="none"/>
              </w:rPr>
              <w:t>单位名称：</w:t>
            </w:r>
            <w:r>
              <w:rPr>
                <w:rFonts w:hint="eastAsia"/>
                <w:color w:val="auto"/>
                <w:spacing w:val="9"/>
                <w:highlight w:val="none"/>
                <w:lang w:eastAsia="zh-CN"/>
              </w:rPr>
              <w:t>广西国栋招标有限公司</w:t>
            </w:r>
          </w:p>
          <w:p w14:paraId="0DAFCCA9">
            <w:pPr>
              <w:pStyle w:val="19"/>
              <w:spacing w:before="74" w:line="240" w:lineRule="auto"/>
              <w:ind w:left="111" w:right="2907"/>
              <w:rPr>
                <w:rFonts w:hint="eastAsia"/>
                <w:color w:val="auto"/>
                <w:spacing w:val="9"/>
                <w:highlight w:val="none"/>
                <w:lang w:eastAsia="zh-CN"/>
              </w:rPr>
            </w:pPr>
            <w:r>
              <w:rPr>
                <w:color w:val="auto"/>
                <w:spacing w:val="9"/>
                <w:highlight w:val="none"/>
              </w:rPr>
              <w:t>开户银行：</w:t>
            </w:r>
            <w:r>
              <w:rPr>
                <w:rFonts w:hint="eastAsia"/>
                <w:color w:val="auto"/>
                <w:spacing w:val="9"/>
                <w:highlight w:val="none"/>
                <w:lang w:eastAsia="zh-CN"/>
              </w:rPr>
              <w:t>平安银行南宁分行营业部</w:t>
            </w:r>
          </w:p>
          <w:p w14:paraId="0849EFF5">
            <w:pPr>
              <w:pStyle w:val="19"/>
              <w:spacing w:before="74" w:line="256" w:lineRule="auto"/>
              <w:ind w:left="111" w:leftChars="0" w:right="2907" w:rightChars="0"/>
              <w:rPr>
                <w:color w:val="auto"/>
                <w:spacing w:val="3"/>
                <w:highlight w:val="none"/>
              </w:rPr>
            </w:pPr>
            <w:r>
              <w:rPr>
                <w:color w:val="auto"/>
                <w:spacing w:val="4"/>
                <w:highlight w:val="none"/>
              </w:rPr>
              <w:t>银行账号：</w:t>
            </w:r>
            <w:r>
              <w:rPr>
                <w:rFonts w:hint="eastAsia"/>
                <w:color w:val="auto"/>
                <w:spacing w:val="4"/>
                <w:highlight w:val="none"/>
                <w:lang w:eastAsia="zh-CN"/>
              </w:rPr>
              <w:t>15333566666608</w:t>
            </w:r>
          </w:p>
        </w:tc>
      </w:tr>
      <w:tr w14:paraId="08218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996" w:type="dxa"/>
            <w:vAlign w:val="top"/>
          </w:tcPr>
          <w:p w14:paraId="465E1248">
            <w:pPr>
              <w:spacing w:line="280" w:lineRule="auto"/>
              <w:rPr>
                <w:rFonts w:ascii="Arial"/>
                <w:color w:val="auto"/>
                <w:sz w:val="21"/>
                <w:highlight w:val="none"/>
              </w:rPr>
            </w:pPr>
          </w:p>
          <w:p w14:paraId="58D6CC08">
            <w:pPr>
              <w:spacing w:line="280" w:lineRule="auto"/>
              <w:rPr>
                <w:rFonts w:ascii="Arial"/>
                <w:color w:val="auto"/>
                <w:sz w:val="21"/>
                <w:highlight w:val="none"/>
              </w:rPr>
            </w:pPr>
          </w:p>
          <w:p w14:paraId="701E1FF9">
            <w:pPr>
              <w:spacing w:line="281" w:lineRule="auto"/>
              <w:rPr>
                <w:rFonts w:ascii="Arial"/>
                <w:color w:val="auto"/>
                <w:sz w:val="21"/>
                <w:highlight w:val="none"/>
              </w:rPr>
            </w:pPr>
          </w:p>
          <w:p w14:paraId="0968B75A">
            <w:pPr>
              <w:pStyle w:val="19"/>
              <w:spacing w:before="65" w:line="189" w:lineRule="auto"/>
              <w:ind w:left="297" w:leftChars="0"/>
              <w:rPr>
                <w:color w:val="auto"/>
                <w:spacing w:val="2"/>
                <w:highlight w:val="none"/>
              </w:rPr>
            </w:pPr>
            <w:r>
              <w:rPr>
                <w:color w:val="auto"/>
                <w:spacing w:val="2"/>
                <w:highlight w:val="none"/>
              </w:rPr>
              <w:t>35.2</w:t>
            </w:r>
          </w:p>
        </w:tc>
        <w:tc>
          <w:tcPr>
            <w:tcW w:w="8264" w:type="dxa"/>
            <w:vAlign w:val="top"/>
          </w:tcPr>
          <w:p w14:paraId="0675D5B8">
            <w:pPr>
              <w:pStyle w:val="19"/>
              <w:spacing w:before="79" w:line="227" w:lineRule="auto"/>
              <w:ind w:left="110"/>
              <w:rPr>
                <w:color w:val="auto"/>
                <w:highlight w:val="none"/>
              </w:rPr>
            </w:pPr>
            <w:r>
              <w:rPr>
                <w:color w:val="auto"/>
                <w:spacing w:val="5"/>
                <w:highlight w:val="none"/>
              </w:rPr>
              <w:t>接收质疑函方式：以书面形式。</w:t>
            </w:r>
          </w:p>
          <w:p w14:paraId="6ACAD545">
            <w:pPr>
              <w:pStyle w:val="19"/>
              <w:spacing w:before="73" w:line="228" w:lineRule="auto"/>
              <w:ind w:left="111"/>
              <w:rPr>
                <w:color w:val="auto"/>
                <w:highlight w:val="none"/>
              </w:rPr>
            </w:pPr>
            <w:r>
              <w:rPr>
                <w:color w:val="auto"/>
                <w:spacing w:val="9"/>
                <w:highlight w:val="none"/>
              </w:rPr>
              <w:t>质疑联系部门：</w:t>
            </w:r>
            <w:r>
              <w:rPr>
                <w:rFonts w:hint="eastAsia"/>
                <w:color w:val="auto"/>
                <w:spacing w:val="9"/>
                <w:highlight w:val="none"/>
                <w:lang w:eastAsia="zh-CN"/>
              </w:rPr>
              <w:t>广西国栋招标有限公司</w:t>
            </w:r>
            <w:r>
              <w:rPr>
                <w:color w:val="auto"/>
                <w:spacing w:val="9"/>
                <w:highlight w:val="none"/>
              </w:rPr>
              <w:t>，</w:t>
            </w:r>
          </w:p>
          <w:p w14:paraId="66800233">
            <w:pPr>
              <w:pStyle w:val="19"/>
              <w:spacing w:before="72" w:line="230" w:lineRule="auto"/>
              <w:ind w:left="111"/>
              <w:rPr>
                <w:color w:val="auto"/>
                <w:highlight w:val="none"/>
              </w:rPr>
            </w:pPr>
            <w:r>
              <w:rPr>
                <w:color w:val="auto"/>
                <w:spacing w:val="5"/>
                <w:highlight w:val="none"/>
              </w:rPr>
              <w:t>联系电话：</w:t>
            </w:r>
            <w:r>
              <w:rPr>
                <w:rFonts w:hint="eastAsia"/>
                <w:color w:val="auto"/>
                <w:spacing w:val="5"/>
                <w:highlight w:val="none"/>
                <w:lang w:eastAsia="zh-CN"/>
              </w:rPr>
              <w:t>0771-5894688</w:t>
            </w:r>
            <w:r>
              <w:rPr>
                <w:color w:val="auto"/>
                <w:spacing w:val="5"/>
                <w:highlight w:val="none"/>
              </w:rPr>
              <w:t>，</w:t>
            </w:r>
          </w:p>
          <w:p w14:paraId="7E0A30AD">
            <w:pPr>
              <w:pStyle w:val="19"/>
              <w:spacing w:before="72" w:line="228" w:lineRule="auto"/>
              <w:ind w:left="110"/>
              <w:rPr>
                <w:color w:val="auto"/>
                <w:highlight w:val="none"/>
              </w:rPr>
            </w:pPr>
            <w:r>
              <w:rPr>
                <w:color w:val="auto"/>
                <w:spacing w:val="6"/>
                <w:highlight w:val="none"/>
              </w:rPr>
              <w:t>通讯地址：</w:t>
            </w:r>
            <w:r>
              <w:rPr>
                <w:rFonts w:hint="eastAsia"/>
                <w:color w:val="auto"/>
                <w:spacing w:val="6"/>
                <w:highlight w:val="none"/>
                <w:lang w:eastAsia="zh-CN"/>
              </w:rPr>
              <w:t>南宁市青秀区双拥路40-1号东方明珠花园1栋1单元9层</w:t>
            </w:r>
            <w:r>
              <w:rPr>
                <w:color w:val="auto"/>
                <w:spacing w:val="6"/>
                <w:highlight w:val="none"/>
              </w:rPr>
              <w:t>。</w:t>
            </w:r>
          </w:p>
          <w:p w14:paraId="21C96A7D">
            <w:pPr>
              <w:pStyle w:val="19"/>
              <w:spacing w:before="72" w:line="256" w:lineRule="auto"/>
              <w:ind w:left="110" w:leftChars="0" w:right="108" w:rightChars="0"/>
              <w:rPr>
                <w:color w:val="auto"/>
                <w:spacing w:val="3"/>
                <w:highlight w:val="none"/>
              </w:rPr>
            </w:pPr>
            <w:r>
              <w:rPr>
                <w:color w:val="auto"/>
                <w:spacing w:val="1"/>
                <w:highlight w:val="none"/>
              </w:rPr>
              <w:t>业务时间：上午8时00分到12时00分，下午</w:t>
            </w:r>
            <w:r>
              <w:rPr>
                <w:rFonts w:hint="eastAsia"/>
                <w:color w:val="auto"/>
                <w:spacing w:val="1"/>
                <w:highlight w:val="none"/>
                <w:lang w:val="en-US" w:eastAsia="zh-CN"/>
              </w:rPr>
              <w:t>14</w:t>
            </w:r>
            <w:r>
              <w:rPr>
                <w:color w:val="auto"/>
                <w:spacing w:val="1"/>
                <w:highlight w:val="none"/>
              </w:rPr>
              <w:t>时</w:t>
            </w:r>
            <w:r>
              <w:rPr>
                <w:rFonts w:hint="eastAsia"/>
                <w:color w:val="auto"/>
                <w:spacing w:val="1"/>
                <w:highlight w:val="none"/>
                <w:lang w:val="en-US" w:eastAsia="zh-CN"/>
              </w:rPr>
              <w:t>30</w:t>
            </w:r>
            <w:r>
              <w:rPr>
                <w:color w:val="auto"/>
                <w:spacing w:val="1"/>
                <w:highlight w:val="none"/>
              </w:rPr>
              <w:t>分到</w:t>
            </w:r>
            <w:r>
              <w:rPr>
                <w:rFonts w:hint="eastAsia"/>
                <w:color w:val="auto"/>
                <w:spacing w:val="1"/>
                <w:highlight w:val="none"/>
                <w:lang w:val="en-US" w:eastAsia="zh-CN"/>
              </w:rPr>
              <w:t>17</w:t>
            </w:r>
            <w:r>
              <w:rPr>
                <w:color w:val="auto"/>
                <w:spacing w:val="1"/>
                <w:highlight w:val="none"/>
              </w:rPr>
              <w:t>时</w:t>
            </w:r>
            <w:r>
              <w:rPr>
                <w:rFonts w:hint="eastAsia"/>
                <w:color w:val="auto"/>
                <w:spacing w:val="1"/>
                <w:highlight w:val="none"/>
                <w:lang w:val="en-US" w:eastAsia="zh-CN"/>
              </w:rPr>
              <w:t>30</w:t>
            </w:r>
            <w:r>
              <w:rPr>
                <w:color w:val="auto"/>
                <w:spacing w:val="1"/>
                <w:highlight w:val="none"/>
              </w:rPr>
              <w:t>分，双休日和法定</w:t>
            </w:r>
            <w:r>
              <w:rPr>
                <w:color w:val="auto"/>
                <w:spacing w:val="7"/>
                <w:highlight w:val="none"/>
              </w:rPr>
              <w:t>节假日不办理业务。</w:t>
            </w:r>
          </w:p>
        </w:tc>
      </w:tr>
      <w:tr w14:paraId="4A445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996" w:type="dxa"/>
            <w:vAlign w:val="center"/>
          </w:tcPr>
          <w:p w14:paraId="3A2A2BF4">
            <w:pPr>
              <w:jc w:val="center"/>
              <w:rPr>
                <w:color w:val="auto"/>
                <w:spacing w:val="2"/>
                <w:highlight w:val="none"/>
              </w:rPr>
            </w:pPr>
            <w:r>
              <w:rPr>
                <w:rFonts w:hint="eastAsia" w:ascii="宋体" w:hAnsi="宋体" w:cs="宋体"/>
                <w:color w:val="auto"/>
                <w:szCs w:val="21"/>
                <w:highlight w:val="none"/>
              </w:rPr>
              <w:t>3</w:t>
            </w:r>
            <w:r>
              <w:rPr>
                <w:rFonts w:hint="eastAsia" w:ascii="宋体" w:hAnsi="宋体" w:eastAsia="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eastAsia="宋体" w:cs="宋体"/>
                <w:color w:val="auto"/>
                <w:szCs w:val="21"/>
                <w:highlight w:val="none"/>
                <w:lang w:val="en-US" w:eastAsia="zh-CN"/>
              </w:rPr>
              <w:t>1</w:t>
            </w:r>
          </w:p>
        </w:tc>
        <w:tc>
          <w:tcPr>
            <w:tcW w:w="8264" w:type="dxa"/>
            <w:vAlign w:val="top"/>
          </w:tcPr>
          <w:p w14:paraId="07C3182D">
            <w:pPr>
              <w:pStyle w:val="19"/>
              <w:spacing w:before="81" w:line="291" w:lineRule="auto"/>
              <w:ind w:left="109" w:right="108" w:firstLine="17"/>
              <w:jc w:val="both"/>
              <w:rPr>
                <w:color w:val="auto"/>
                <w:highlight w:val="none"/>
              </w:rPr>
            </w:pPr>
            <w:r>
              <w:rPr>
                <w:color w:val="auto"/>
                <w:spacing w:val="10"/>
                <w:highlight w:val="none"/>
              </w:rPr>
              <w:t>1.电子响应文件中须加盖供应商公章部分均采</w:t>
            </w:r>
            <w:r>
              <w:rPr>
                <w:color w:val="auto"/>
                <w:spacing w:val="9"/>
                <w:highlight w:val="none"/>
              </w:rPr>
              <w:t>用</w:t>
            </w:r>
            <w:r>
              <w:rPr>
                <w:color w:val="auto"/>
                <w:highlight w:val="none"/>
              </w:rPr>
              <w:t>CA</w:t>
            </w:r>
            <w:r>
              <w:rPr>
                <w:color w:val="auto"/>
                <w:spacing w:val="9"/>
                <w:highlight w:val="none"/>
              </w:rPr>
              <w:t>签章，并根据“政府采购项目电子交</w:t>
            </w:r>
            <w:r>
              <w:rPr>
                <w:color w:val="auto"/>
                <w:spacing w:val="10"/>
                <w:highlight w:val="none"/>
              </w:rPr>
              <w:t>易管理操作指南-供应商”及本竞争性磋商文件规定的格式和顺序编制电子响应文件并</w:t>
            </w:r>
            <w:r>
              <w:rPr>
                <w:color w:val="auto"/>
                <w:spacing w:val="11"/>
                <w:highlight w:val="none"/>
              </w:rPr>
              <w:t>进行关联定位，以便磋商小组在评审时，点</w:t>
            </w:r>
            <w:r>
              <w:rPr>
                <w:color w:val="auto"/>
                <w:spacing w:val="10"/>
                <w:highlight w:val="none"/>
              </w:rPr>
              <w:t>击评分项可直接定位到该评分项内容。如对</w:t>
            </w:r>
            <w:r>
              <w:rPr>
                <w:color w:val="auto"/>
                <w:spacing w:val="12"/>
                <w:highlight w:val="none"/>
              </w:rPr>
              <w:t>竞争性磋商文件的某项要求，供应商的电子响应</w:t>
            </w:r>
            <w:r>
              <w:rPr>
                <w:color w:val="auto"/>
                <w:spacing w:val="11"/>
                <w:highlight w:val="none"/>
              </w:rPr>
              <w:t>文件未能关联定位提供相应的内容与其</w:t>
            </w:r>
            <w:r>
              <w:rPr>
                <w:color w:val="auto"/>
                <w:spacing w:val="10"/>
                <w:highlight w:val="none"/>
              </w:rPr>
              <w:t>对应，则磋商小组在评审时如做出对供应商不利的评审由供应商自行承担。电子响应文</w:t>
            </w:r>
            <w:r>
              <w:rPr>
                <w:color w:val="auto"/>
                <w:spacing w:val="9"/>
                <w:highlight w:val="none"/>
              </w:rPr>
              <w:t>件如内容不完整、编排混乱导致响应文件被误读、漏读，或</w:t>
            </w:r>
            <w:r>
              <w:rPr>
                <w:color w:val="auto"/>
                <w:spacing w:val="8"/>
                <w:highlight w:val="none"/>
              </w:rPr>
              <w:t>者在按采购文件规定的部位</w:t>
            </w:r>
            <w:r>
              <w:rPr>
                <w:color w:val="auto"/>
                <w:spacing w:val="6"/>
                <w:highlight w:val="none"/>
              </w:rPr>
              <w:t>查找不到相关内容的，由供应商自行承担。</w:t>
            </w:r>
          </w:p>
          <w:p w14:paraId="58F3CCC8">
            <w:pPr>
              <w:pStyle w:val="19"/>
              <w:spacing w:before="30" w:line="286" w:lineRule="auto"/>
              <w:ind w:left="112" w:right="109"/>
              <w:jc w:val="both"/>
              <w:rPr>
                <w:color w:val="auto"/>
                <w:highlight w:val="none"/>
              </w:rPr>
            </w:pPr>
            <w:r>
              <w:rPr>
                <w:color w:val="auto"/>
                <w:spacing w:val="10"/>
                <w:highlight w:val="none"/>
              </w:rPr>
              <w:t>2.</w:t>
            </w:r>
            <w:r>
              <w:rPr>
                <w:color w:val="auto"/>
                <w:highlight w:val="none"/>
              </w:rPr>
              <w:t>CA</w:t>
            </w:r>
            <w:r>
              <w:rPr>
                <w:color w:val="auto"/>
                <w:spacing w:val="10"/>
                <w:highlight w:val="none"/>
              </w:rPr>
              <w:t>签章上若没有法人或授权代表签字信息，供应商在响应文件中涉及到签</w:t>
            </w:r>
            <w:r>
              <w:rPr>
                <w:color w:val="auto"/>
                <w:spacing w:val="9"/>
                <w:highlight w:val="none"/>
              </w:rPr>
              <w:t>字的位置线</w:t>
            </w:r>
            <w:r>
              <w:rPr>
                <w:color w:val="auto"/>
                <w:spacing w:val="11"/>
                <w:highlight w:val="none"/>
              </w:rPr>
              <w:t>下签好字然后扫描或者拍照做成</w:t>
            </w:r>
            <w:r>
              <w:rPr>
                <w:color w:val="auto"/>
                <w:highlight w:val="none"/>
              </w:rPr>
              <w:t>PDF</w:t>
            </w:r>
            <w:r>
              <w:rPr>
                <w:color w:val="auto"/>
                <w:spacing w:val="11"/>
                <w:highlight w:val="none"/>
              </w:rPr>
              <w:t>的格式亦可。响应文件中涉及到签字的位置未按要</w:t>
            </w:r>
            <w:r>
              <w:rPr>
                <w:color w:val="auto"/>
                <w:spacing w:val="8"/>
                <w:highlight w:val="none"/>
              </w:rPr>
              <w:t>求签字的，提供的材料视为无效。</w:t>
            </w:r>
          </w:p>
          <w:p w14:paraId="5EF41768">
            <w:pPr>
              <w:pStyle w:val="19"/>
              <w:spacing w:before="30" w:line="286" w:lineRule="auto"/>
              <w:ind w:left="110" w:right="108" w:firstLine="5"/>
              <w:jc w:val="both"/>
              <w:rPr>
                <w:color w:val="auto"/>
                <w:highlight w:val="none"/>
              </w:rPr>
            </w:pPr>
            <w:r>
              <w:rPr>
                <w:color w:val="auto"/>
                <w:spacing w:val="8"/>
                <w:highlight w:val="none"/>
              </w:rPr>
              <w:t>3.本竞争性磋商文件中描述供应商的“签字”是指供</w:t>
            </w:r>
            <w:r>
              <w:rPr>
                <w:color w:val="auto"/>
                <w:spacing w:val="7"/>
                <w:highlight w:val="none"/>
              </w:rPr>
              <w:t>应的法定代表人/法定代表或者委托</w:t>
            </w:r>
            <w:r>
              <w:rPr>
                <w:color w:val="auto"/>
                <w:spacing w:val="12"/>
                <w:highlight w:val="none"/>
              </w:rPr>
              <w:t>代理人亲自在竞争性磋商文件规定签署处亲笔</w:t>
            </w:r>
            <w:r>
              <w:rPr>
                <w:color w:val="auto"/>
                <w:spacing w:val="11"/>
                <w:highlight w:val="none"/>
              </w:rPr>
              <w:t>写上个人的名字或在文件规定签署处加盖</w:t>
            </w:r>
            <w:r>
              <w:rPr>
                <w:color w:val="auto"/>
                <w:spacing w:val="6"/>
                <w:highlight w:val="none"/>
              </w:rPr>
              <w:t>签章的行为。</w:t>
            </w:r>
          </w:p>
          <w:p w14:paraId="31308B5C">
            <w:pPr>
              <w:pStyle w:val="19"/>
              <w:spacing w:before="30" w:line="258" w:lineRule="auto"/>
              <w:ind w:left="110" w:leftChars="0" w:right="108" w:rightChars="0"/>
              <w:rPr>
                <w:color w:val="auto"/>
                <w:spacing w:val="1"/>
                <w:highlight w:val="none"/>
              </w:rPr>
            </w:pPr>
            <w:r>
              <w:rPr>
                <w:color w:val="auto"/>
                <w:spacing w:val="2"/>
                <w:highlight w:val="none"/>
              </w:rPr>
              <w:t>4.本竞争性磋商文件所称的“以上”“以下”“以内”“届满”，包括本数；所称的“不</w:t>
            </w:r>
            <w:r>
              <w:rPr>
                <w:color w:val="auto"/>
                <w:spacing w:val="1"/>
                <w:highlight w:val="none"/>
              </w:rPr>
              <w:t>满”“超过”“以外”，不包括本数。</w:t>
            </w:r>
          </w:p>
        </w:tc>
      </w:tr>
    </w:tbl>
    <w:p w14:paraId="58EEE967">
      <w:pPr>
        <w:pStyle w:val="4"/>
        <w:spacing w:line="72" w:lineRule="exact"/>
        <w:rPr>
          <w:color w:val="auto"/>
          <w:sz w:val="6"/>
          <w:highlight w:val="none"/>
        </w:rPr>
      </w:pPr>
    </w:p>
    <w:p w14:paraId="7E1D2A47">
      <w:pPr>
        <w:pStyle w:val="4"/>
        <w:rPr>
          <w:color w:val="auto"/>
          <w:highlight w:val="none"/>
        </w:rPr>
      </w:pPr>
    </w:p>
    <w:p w14:paraId="40641E65">
      <w:pPr>
        <w:pStyle w:val="4"/>
        <w:rPr>
          <w:color w:val="auto"/>
          <w:highlight w:val="none"/>
        </w:rPr>
      </w:pPr>
    </w:p>
    <w:p w14:paraId="42B31295">
      <w:pPr>
        <w:rPr>
          <w:color w:val="auto"/>
          <w:highlight w:val="none"/>
        </w:rPr>
        <w:sectPr>
          <w:footerReference r:id="rId8" w:type="default"/>
          <w:pgSz w:w="11906" w:h="16839"/>
          <w:pgMar w:top="1160" w:right="1320" w:bottom="1362" w:left="1320" w:header="0" w:footer="1200" w:gutter="0"/>
          <w:pgNumType w:fmt="decimal"/>
          <w:cols w:space="720" w:num="1"/>
        </w:sectPr>
      </w:pPr>
    </w:p>
    <w:p w14:paraId="381342F1">
      <w:pPr>
        <w:spacing w:before="63" w:line="224" w:lineRule="auto"/>
        <w:ind w:left="3701"/>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供应商须知正文</w:t>
      </w:r>
    </w:p>
    <w:p w14:paraId="11B39305">
      <w:pPr>
        <w:pStyle w:val="4"/>
        <w:spacing w:line="321" w:lineRule="auto"/>
        <w:rPr>
          <w:color w:val="auto"/>
          <w:highlight w:val="none"/>
        </w:rPr>
      </w:pPr>
    </w:p>
    <w:p w14:paraId="1C159CAF">
      <w:pPr>
        <w:spacing w:before="100" w:line="225" w:lineRule="auto"/>
        <w:ind w:left="4186"/>
        <w:outlineLvl w:val="1"/>
        <w:rPr>
          <w:rFonts w:ascii="宋体" w:hAnsi="宋体" w:eastAsia="宋体" w:cs="宋体"/>
          <w:color w:val="auto"/>
          <w:sz w:val="31"/>
          <w:szCs w:val="31"/>
          <w:highlight w:val="none"/>
        </w:rPr>
      </w:pPr>
      <w:bookmarkStart w:id="26" w:name="_Toc30865"/>
      <w:bookmarkStart w:id="27" w:name="_Toc9730"/>
      <w:r>
        <w:rPr>
          <w:rFonts w:ascii="宋体" w:hAnsi="宋体" w:eastAsia="宋体" w:cs="宋体"/>
          <w:b/>
          <w:bCs/>
          <w:color w:val="auto"/>
          <w:spacing w:val="3"/>
          <w:sz w:val="31"/>
          <w:szCs w:val="31"/>
          <w:highlight w:val="none"/>
        </w:rPr>
        <w:t>一、总则</w:t>
      </w:r>
      <w:bookmarkEnd w:id="26"/>
      <w:bookmarkEnd w:id="27"/>
    </w:p>
    <w:p w14:paraId="4A2F7902">
      <w:pPr>
        <w:spacing w:before="117" w:line="228" w:lineRule="auto"/>
        <w:ind w:left="43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1.适用范围</w:t>
      </w:r>
    </w:p>
    <w:p w14:paraId="43CC81CF">
      <w:pPr>
        <w:spacing w:before="150" w:line="334" w:lineRule="auto"/>
        <w:ind w:firstLine="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1.1</w:t>
      </w:r>
      <w:r>
        <w:rPr>
          <w:rFonts w:ascii="宋体" w:hAnsi="宋体" w:eastAsia="宋体" w:cs="宋体"/>
          <w:color w:val="auto"/>
          <w:spacing w:val="-36"/>
          <w:sz w:val="20"/>
          <w:szCs w:val="20"/>
          <w:highlight w:val="none"/>
        </w:rPr>
        <w:t xml:space="preserve"> </w:t>
      </w:r>
      <w:r>
        <w:rPr>
          <w:rFonts w:ascii="宋体" w:hAnsi="宋体" w:eastAsia="宋体" w:cs="宋体"/>
          <w:color w:val="auto"/>
          <w:spacing w:val="7"/>
          <w:sz w:val="20"/>
          <w:szCs w:val="20"/>
          <w:highlight w:val="none"/>
        </w:rPr>
        <w:t>本项目采购人、采购代理机构、供应商、磋商小组的相关行为均受《中华人民共和国政府采购法》</w:t>
      </w:r>
      <w:r>
        <w:rPr>
          <w:rFonts w:ascii="宋体" w:hAnsi="宋体" w:eastAsia="宋体" w:cs="宋体"/>
          <w:color w:val="auto"/>
          <w:spacing w:val="9"/>
          <w:sz w:val="20"/>
          <w:szCs w:val="20"/>
          <w:highlight w:val="none"/>
        </w:rPr>
        <w:t>《中华人民共和国政府采购法实施条例》《政府采购竞争性磋商采购方式管理暂行办法》《财政部关于政府采购竞争性磋商采购方式管理暂行办法有关问题的补充通知》及本项目本级和上级财政部门政府采购有</w:t>
      </w:r>
      <w:r>
        <w:rPr>
          <w:rFonts w:ascii="宋体" w:hAnsi="宋体" w:eastAsia="宋体" w:cs="宋体"/>
          <w:color w:val="auto"/>
          <w:spacing w:val="8"/>
          <w:sz w:val="20"/>
          <w:szCs w:val="20"/>
          <w:highlight w:val="none"/>
        </w:rPr>
        <w:t>关规定的约束和保护。</w:t>
      </w:r>
    </w:p>
    <w:p w14:paraId="023049D0">
      <w:pPr>
        <w:spacing w:before="154" w:line="299" w:lineRule="auto"/>
        <w:ind w:left="423" w:right="653" w:firstLine="12"/>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1.2</w:t>
      </w:r>
      <w:r>
        <w:rPr>
          <w:rFonts w:ascii="宋体" w:hAnsi="宋体" w:eastAsia="宋体" w:cs="宋体"/>
          <w:color w:val="auto"/>
          <w:spacing w:val="-32"/>
          <w:sz w:val="20"/>
          <w:szCs w:val="20"/>
          <w:highlight w:val="none"/>
        </w:rPr>
        <w:t xml:space="preserve"> </w:t>
      </w:r>
      <w:r>
        <w:rPr>
          <w:rFonts w:ascii="宋体" w:hAnsi="宋体" w:eastAsia="宋体" w:cs="宋体"/>
          <w:color w:val="auto"/>
          <w:spacing w:val="-3"/>
          <w:sz w:val="20"/>
          <w:szCs w:val="20"/>
          <w:highlight w:val="none"/>
        </w:rPr>
        <w:t>本竞争性磋商文件适用于本项目的所有采购程序和环节（法律、法规另有规定的，从其规定）。</w:t>
      </w:r>
      <w:r>
        <w:rPr>
          <w:rFonts w:ascii="宋体" w:hAnsi="宋体" w:eastAsia="宋体" w:cs="宋体"/>
          <w:color w:val="auto"/>
          <w:spacing w:val="4"/>
          <w:sz w:val="20"/>
          <w:szCs w:val="20"/>
          <w:highlight w:val="none"/>
        </w:rPr>
        <w:t>2.</w:t>
      </w:r>
      <w:r>
        <w:rPr>
          <w:rFonts w:hint="eastAsia" w:ascii="宋体" w:hAnsi="宋体" w:eastAsia="宋体" w:cs="宋体"/>
          <w:color w:val="auto"/>
          <w:spacing w:val="4"/>
          <w:sz w:val="20"/>
          <w:szCs w:val="20"/>
          <w:highlight w:val="none"/>
          <w:lang w:val="en-US" w:eastAsia="zh-CN"/>
        </w:rPr>
        <w:t xml:space="preserve"> </w:t>
      </w:r>
      <w:r>
        <w:rPr>
          <w:rFonts w:ascii="宋体" w:hAnsi="宋体" w:eastAsia="宋体" w:cs="宋体"/>
          <w:color w:val="auto"/>
          <w:spacing w:val="4"/>
          <w:sz w:val="20"/>
          <w:szCs w:val="20"/>
          <w:highlight w:val="none"/>
        </w:rPr>
        <w:t>定义</w:t>
      </w:r>
    </w:p>
    <w:p w14:paraId="15126E3A">
      <w:pPr>
        <w:spacing w:before="151" w:line="355" w:lineRule="auto"/>
        <w:ind w:left="423" w:right="3991"/>
        <w:rPr>
          <w:rFonts w:ascii="宋体" w:hAnsi="宋体" w:eastAsia="宋体" w:cs="宋体"/>
          <w:color w:val="auto"/>
          <w:spacing w:val="6"/>
          <w:sz w:val="20"/>
          <w:szCs w:val="20"/>
          <w:highlight w:val="none"/>
        </w:rPr>
      </w:pPr>
      <w:r>
        <w:rPr>
          <w:rFonts w:ascii="宋体" w:hAnsi="宋体" w:eastAsia="宋体" w:cs="宋体"/>
          <w:color w:val="auto"/>
          <w:spacing w:val="6"/>
          <w:sz w:val="20"/>
          <w:szCs w:val="20"/>
          <w:highlight w:val="none"/>
        </w:rPr>
        <w:t>2.1“采购人”是指</w:t>
      </w:r>
      <w:r>
        <w:rPr>
          <w:rFonts w:hint="eastAsia" w:ascii="宋体" w:hAnsi="宋体" w:eastAsia="宋体" w:cs="宋体"/>
          <w:color w:val="auto"/>
          <w:spacing w:val="6"/>
          <w:sz w:val="20"/>
          <w:szCs w:val="20"/>
          <w:highlight w:val="none"/>
          <w:u w:val="single" w:color="auto"/>
          <w:lang w:eastAsia="zh-CN"/>
        </w:rPr>
        <w:t>广西壮族自治区林业局</w:t>
      </w:r>
      <w:r>
        <w:rPr>
          <w:rFonts w:ascii="宋体" w:hAnsi="宋体" w:eastAsia="宋体" w:cs="宋体"/>
          <w:color w:val="auto"/>
          <w:spacing w:val="6"/>
          <w:sz w:val="20"/>
          <w:szCs w:val="20"/>
          <w:highlight w:val="none"/>
        </w:rPr>
        <w:t>。</w:t>
      </w:r>
    </w:p>
    <w:p w14:paraId="3A14C0D1">
      <w:pPr>
        <w:spacing w:before="151" w:line="355" w:lineRule="auto"/>
        <w:ind w:left="423" w:right="399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2.2“采购代理机构”是指</w:t>
      </w:r>
      <w:r>
        <w:rPr>
          <w:rFonts w:hint="eastAsia" w:ascii="宋体" w:hAnsi="宋体" w:eastAsia="宋体" w:cs="宋体"/>
          <w:color w:val="auto"/>
          <w:spacing w:val="7"/>
          <w:sz w:val="20"/>
          <w:szCs w:val="20"/>
          <w:highlight w:val="none"/>
          <w:u w:val="single" w:color="auto"/>
          <w:lang w:eastAsia="zh-CN"/>
        </w:rPr>
        <w:t>广西国栋招标有限公司</w:t>
      </w:r>
      <w:r>
        <w:rPr>
          <w:rFonts w:ascii="宋体" w:hAnsi="宋体" w:eastAsia="宋体" w:cs="宋体"/>
          <w:color w:val="auto"/>
          <w:spacing w:val="7"/>
          <w:sz w:val="20"/>
          <w:szCs w:val="20"/>
          <w:highlight w:val="none"/>
        </w:rPr>
        <w:t>。</w:t>
      </w:r>
    </w:p>
    <w:p w14:paraId="732F60E0">
      <w:pPr>
        <w:spacing w:before="32" w:line="353" w:lineRule="auto"/>
        <w:ind w:left="423" w:right="147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2.3“供应商”是指向采购人提供货物、工程或者服</w:t>
      </w:r>
      <w:r>
        <w:rPr>
          <w:rFonts w:ascii="宋体" w:hAnsi="宋体" w:eastAsia="宋体" w:cs="宋体"/>
          <w:color w:val="auto"/>
          <w:spacing w:val="7"/>
          <w:sz w:val="20"/>
          <w:szCs w:val="20"/>
          <w:highlight w:val="none"/>
        </w:rPr>
        <w:t>务的法人、其他组织或者自然人。2.4“服务”是指除货物和工程以外的其他政府采购对象。</w:t>
      </w:r>
    </w:p>
    <w:p w14:paraId="4F5EB047">
      <w:pPr>
        <w:spacing w:before="35" w:line="355" w:lineRule="auto"/>
        <w:ind w:left="5" w:right="95" w:firstLine="417"/>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2.5“竞标”是指供应商按照本项目竞争性磋</w:t>
      </w:r>
      <w:r>
        <w:rPr>
          <w:rFonts w:ascii="宋体" w:hAnsi="宋体" w:eastAsia="宋体" w:cs="宋体"/>
          <w:color w:val="auto"/>
          <w:spacing w:val="10"/>
          <w:sz w:val="20"/>
          <w:szCs w:val="20"/>
          <w:highlight w:val="none"/>
        </w:rPr>
        <w:t>商公告规定的方式获取竞争性磋商文件、提交响应文件</w:t>
      </w:r>
      <w:r>
        <w:rPr>
          <w:rFonts w:ascii="宋体" w:hAnsi="宋体" w:eastAsia="宋体" w:cs="宋体"/>
          <w:color w:val="auto"/>
          <w:spacing w:val="7"/>
          <w:sz w:val="20"/>
          <w:szCs w:val="20"/>
          <w:highlight w:val="none"/>
        </w:rPr>
        <w:t>并希望获得标的的行为。</w:t>
      </w:r>
    </w:p>
    <w:p w14:paraId="6B96C020">
      <w:pPr>
        <w:spacing w:before="31" w:line="355" w:lineRule="auto"/>
        <w:ind w:left="17" w:right="81" w:firstLine="40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2.6“响应文件”是指：供应商根据本竞争性磋商文件要求，编制包含</w:t>
      </w:r>
      <w:r>
        <w:rPr>
          <w:rFonts w:ascii="宋体" w:hAnsi="宋体" w:eastAsia="宋体" w:cs="宋体"/>
          <w:color w:val="auto"/>
          <w:spacing w:val="-3"/>
          <w:sz w:val="20"/>
          <w:szCs w:val="20"/>
          <w:highlight w:val="none"/>
        </w:rPr>
        <w:t>资格证明、报价商务技术等所有内容</w:t>
      </w:r>
      <w:r>
        <w:rPr>
          <w:rFonts w:ascii="宋体" w:hAnsi="宋体" w:eastAsia="宋体" w:cs="宋体"/>
          <w:color w:val="auto"/>
          <w:spacing w:val="-6"/>
          <w:sz w:val="20"/>
          <w:szCs w:val="20"/>
          <w:highlight w:val="none"/>
        </w:rPr>
        <w:t>的文件。</w:t>
      </w:r>
    </w:p>
    <w:p w14:paraId="24AB12CB">
      <w:pPr>
        <w:spacing w:before="31" w:line="353" w:lineRule="auto"/>
        <w:ind w:left="8" w:right="95" w:firstLine="414"/>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2.7“实质性要求”是指竞争性磋商文件中已</w:t>
      </w:r>
      <w:r>
        <w:rPr>
          <w:rFonts w:ascii="宋体" w:hAnsi="宋体" w:eastAsia="宋体" w:cs="宋体"/>
          <w:color w:val="auto"/>
          <w:spacing w:val="10"/>
          <w:sz w:val="20"/>
          <w:szCs w:val="20"/>
          <w:highlight w:val="none"/>
        </w:rPr>
        <w:t>经指明不满足则响应文件按无效响应处理的条款，或不</w:t>
      </w:r>
      <w:r>
        <w:rPr>
          <w:rFonts w:ascii="宋体" w:hAnsi="宋体" w:eastAsia="宋体" w:cs="宋体"/>
          <w:color w:val="auto"/>
          <w:spacing w:val="7"/>
          <w:sz w:val="20"/>
          <w:szCs w:val="20"/>
          <w:highlight w:val="none"/>
        </w:rPr>
        <w:t>能负偏离的条款，或采购需求中带“★”的条款。</w:t>
      </w:r>
    </w:p>
    <w:p w14:paraId="71388DE4">
      <w:pPr>
        <w:spacing w:before="35" w:line="355" w:lineRule="auto"/>
        <w:ind w:left="5" w:right="93" w:firstLine="41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2.8“正偏离”，是指响应文件对竞争性磋商文件“采购需求”中有关条款作出的响应优于</w:t>
      </w:r>
      <w:r>
        <w:rPr>
          <w:rFonts w:ascii="宋体" w:hAnsi="宋体" w:eastAsia="宋体" w:cs="宋体"/>
          <w:color w:val="auto"/>
          <w:spacing w:val="9"/>
          <w:sz w:val="20"/>
          <w:szCs w:val="20"/>
          <w:highlight w:val="none"/>
        </w:rPr>
        <w:t>条款要求</w:t>
      </w:r>
      <w:r>
        <w:rPr>
          <w:rFonts w:ascii="宋体" w:hAnsi="宋体" w:eastAsia="宋体" w:cs="宋体"/>
          <w:color w:val="auto"/>
          <w:spacing w:val="7"/>
          <w:sz w:val="20"/>
          <w:szCs w:val="20"/>
          <w:highlight w:val="none"/>
        </w:rPr>
        <w:t>并有利于采购人的情形。</w:t>
      </w:r>
    </w:p>
    <w:p w14:paraId="7173781A">
      <w:pPr>
        <w:spacing w:before="30" w:line="355" w:lineRule="auto"/>
        <w:ind w:left="2" w:right="93"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2.9“负偏离”，是指响应文件对竞争性磋商文件“采购需求”中有关条款作出的响应不满</w:t>
      </w:r>
      <w:r>
        <w:rPr>
          <w:rFonts w:ascii="宋体" w:hAnsi="宋体" w:eastAsia="宋体" w:cs="宋体"/>
          <w:color w:val="auto"/>
          <w:spacing w:val="9"/>
          <w:sz w:val="20"/>
          <w:szCs w:val="20"/>
          <w:highlight w:val="none"/>
        </w:rPr>
        <w:t>足条款要</w:t>
      </w:r>
      <w:r>
        <w:rPr>
          <w:rFonts w:ascii="宋体" w:hAnsi="宋体" w:eastAsia="宋体" w:cs="宋体"/>
          <w:color w:val="auto"/>
          <w:spacing w:val="8"/>
          <w:sz w:val="20"/>
          <w:szCs w:val="20"/>
          <w:highlight w:val="none"/>
        </w:rPr>
        <w:t>求导致采购人要求不能得到满足的情形。</w:t>
      </w:r>
    </w:p>
    <w:p w14:paraId="0607364A">
      <w:pPr>
        <w:spacing w:before="32" w:line="227" w:lineRule="auto"/>
        <w:ind w:left="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2.10“允许负偏离的条款”是指采购需求中的不属于“实质性要求”的条款。</w:t>
      </w:r>
    </w:p>
    <w:p w14:paraId="12F7F871">
      <w:pPr>
        <w:spacing w:before="153" w:line="355" w:lineRule="auto"/>
        <w:ind w:left="2" w:right="8" w:firstLine="42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2.11“书面形式”是指合同书、信件和数据电文（包括</w:t>
      </w:r>
      <w:r>
        <w:rPr>
          <w:rFonts w:ascii="宋体" w:hAnsi="宋体" w:eastAsia="宋体" w:cs="宋体"/>
          <w:color w:val="auto"/>
          <w:spacing w:val="5"/>
          <w:sz w:val="20"/>
          <w:szCs w:val="20"/>
          <w:highlight w:val="none"/>
        </w:rPr>
        <w:t>电报、电传、传真、电子数据交换和电子邮件）</w:t>
      </w:r>
      <w:r>
        <w:rPr>
          <w:rFonts w:ascii="宋体" w:hAnsi="宋体" w:eastAsia="宋体" w:cs="宋体"/>
          <w:color w:val="auto"/>
          <w:spacing w:val="8"/>
          <w:sz w:val="20"/>
          <w:szCs w:val="20"/>
          <w:highlight w:val="none"/>
        </w:rPr>
        <w:t>等可以有形地表现所载内容的形式。</w:t>
      </w:r>
    </w:p>
    <w:p w14:paraId="4D244934">
      <w:pPr>
        <w:spacing w:before="32" w:line="226" w:lineRule="auto"/>
        <w:ind w:left="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2.12“首次报价”是指供应商提交的首次响应文件中的报价。</w:t>
      </w:r>
    </w:p>
    <w:p w14:paraId="25A99CA3">
      <w:pPr>
        <w:spacing w:before="154" w:line="355" w:lineRule="auto"/>
        <w:ind w:left="424" w:right="1577" w:hanging="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2.13“评审价”是指供应商提交的最后报价</w:t>
      </w:r>
      <w:r>
        <w:rPr>
          <w:rFonts w:ascii="宋体" w:hAnsi="宋体" w:eastAsia="宋体" w:cs="宋体"/>
          <w:color w:val="auto"/>
          <w:spacing w:val="7"/>
          <w:sz w:val="20"/>
          <w:szCs w:val="20"/>
          <w:highlight w:val="none"/>
        </w:rPr>
        <w:t>并经修正和政策功能价格扣除后的价格。3.供应商的资格条件</w:t>
      </w:r>
    </w:p>
    <w:p w14:paraId="07F175B1">
      <w:pPr>
        <w:spacing w:before="33" w:line="353" w:lineRule="auto"/>
        <w:ind w:left="420" w:right="49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供应商的资格条件详见“供应商须知前附表”。4.竞标费用</w:t>
      </w:r>
    </w:p>
    <w:p w14:paraId="11B56BB2">
      <w:pPr>
        <w:spacing w:before="34" w:line="355" w:lineRule="auto"/>
        <w:ind w:left="13" w:right="93" w:firstLine="40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供应商获取竞争性磋商文件、所有与编制和提交响应文件有关的费用（竞争性磋商文件有相关规定的</w:t>
      </w:r>
      <w:r>
        <w:rPr>
          <w:rFonts w:ascii="宋体" w:hAnsi="宋体" w:eastAsia="宋体" w:cs="宋体"/>
          <w:color w:val="auto"/>
          <w:spacing w:val="7"/>
          <w:sz w:val="20"/>
          <w:szCs w:val="20"/>
          <w:highlight w:val="none"/>
        </w:rPr>
        <w:t>除外</w:t>
      </w:r>
      <w:r>
        <w:rPr>
          <w:rFonts w:ascii="宋体" w:hAnsi="宋体" w:eastAsia="宋体" w:cs="宋体"/>
          <w:color w:val="auto"/>
          <w:spacing w:val="20"/>
          <w:sz w:val="20"/>
          <w:szCs w:val="20"/>
          <w:highlight w:val="none"/>
        </w:rPr>
        <w:t>），</w:t>
      </w:r>
      <w:r>
        <w:rPr>
          <w:rFonts w:ascii="宋体" w:hAnsi="宋体" w:eastAsia="宋体" w:cs="宋体"/>
          <w:color w:val="auto"/>
          <w:spacing w:val="7"/>
          <w:sz w:val="20"/>
          <w:szCs w:val="20"/>
          <w:highlight w:val="none"/>
        </w:rPr>
        <w:t>不论竞标结果如何，均应自行承担。</w:t>
      </w:r>
    </w:p>
    <w:p w14:paraId="19A8C8EA">
      <w:pPr>
        <w:spacing w:before="30" w:line="228" w:lineRule="auto"/>
        <w:ind w:left="42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5.联合体竞标</w:t>
      </w:r>
    </w:p>
    <w:p w14:paraId="2A665F30">
      <w:pPr>
        <w:spacing w:line="228" w:lineRule="auto"/>
        <w:rPr>
          <w:rFonts w:ascii="宋体" w:hAnsi="宋体" w:eastAsia="宋体" w:cs="宋体"/>
          <w:color w:val="auto"/>
          <w:sz w:val="20"/>
          <w:szCs w:val="20"/>
          <w:highlight w:val="none"/>
        </w:rPr>
        <w:sectPr>
          <w:footerReference r:id="rId9" w:type="default"/>
          <w:pgSz w:w="11906" w:h="16839"/>
          <w:pgMar w:top="1144" w:right="1041" w:bottom="1360" w:left="1140" w:header="0" w:footer="1200" w:gutter="0"/>
          <w:pgNumType w:fmt="decimal"/>
          <w:cols w:space="720" w:num="1"/>
        </w:sectPr>
      </w:pPr>
    </w:p>
    <w:p w14:paraId="4683AFF9">
      <w:pPr>
        <w:spacing w:before="41" w:line="227" w:lineRule="auto"/>
        <w:ind w:left="42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5.1本项目不接受联合体竞标。</w:t>
      </w:r>
    </w:p>
    <w:p w14:paraId="518FAF0D">
      <w:pPr>
        <w:spacing w:before="223" w:line="405" w:lineRule="auto"/>
        <w:ind w:left="421" w:right="2797" w:firstLine="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5.2如接受联合体竞标，联合体竞标要求详见“供</w:t>
      </w:r>
      <w:r>
        <w:rPr>
          <w:rFonts w:ascii="宋体" w:hAnsi="宋体" w:eastAsia="宋体" w:cs="宋体"/>
          <w:color w:val="auto"/>
          <w:spacing w:val="6"/>
          <w:sz w:val="20"/>
          <w:szCs w:val="20"/>
          <w:highlight w:val="none"/>
        </w:rPr>
        <w:t>应商须知前附表”。6.转包与分包</w:t>
      </w:r>
    </w:p>
    <w:p w14:paraId="135CA22B">
      <w:pPr>
        <w:spacing w:before="1" w:line="298" w:lineRule="auto"/>
        <w:ind w:left="424" w:right="6997" w:hanging="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6.1本项目不允许转包。</w:t>
      </w:r>
      <w:r>
        <w:rPr>
          <w:rFonts w:ascii="宋体" w:hAnsi="宋体" w:eastAsia="宋体" w:cs="宋体"/>
          <w:color w:val="auto"/>
          <w:spacing w:val="5"/>
          <w:sz w:val="20"/>
          <w:szCs w:val="20"/>
          <w:highlight w:val="none"/>
        </w:rPr>
        <w:t>7.特别说明</w:t>
      </w:r>
    </w:p>
    <w:p w14:paraId="320DBD9D">
      <w:pPr>
        <w:spacing w:before="155" w:line="341" w:lineRule="auto"/>
        <w:ind w:left="1" w:firstLine="42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7.1</w:t>
      </w:r>
      <w:r>
        <w:rPr>
          <w:rFonts w:ascii="宋体" w:hAnsi="宋体" w:eastAsia="宋体" w:cs="宋体"/>
          <w:color w:val="auto"/>
          <w:spacing w:val="-37"/>
          <w:sz w:val="20"/>
          <w:szCs w:val="20"/>
          <w:highlight w:val="none"/>
        </w:rPr>
        <w:t xml:space="preserve"> </w:t>
      </w:r>
      <w:r>
        <w:rPr>
          <w:rFonts w:ascii="宋体" w:hAnsi="宋体" w:eastAsia="宋体" w:cs="宋体"/>
          <w:color w:val="auto"/>
          <w:spacing w:val="10"/>
          <w:sz w:val="20"/>
          <w:szCs w:val="20"/>
          <w:highlight w:val="none"/>
        </w:rPr>
        <w:t>使用综合评分法的采购项目，提供相同品牌产品且通过资格审查、符合性审</w:t>
      </w:r>
      <w:r>
        <w:rPr>
          <w:rFonts w:ascii="宋体" w:hAnsi="宋体" w:eastAsia="宋体" w:cs="宋体"/>
          <w:color w:val="auto"/>
          <w:spacing w:val="9"/>
          <w:sz w:val="20"/>
          <w:szCs w:val="20"/>
          <w:highlight w:val="none"/>
        </w:rPr>
        <w:t>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w:t>
      </w:r>
      <w:r>
        <w:rPr>
          <w:rFonts w:ascii="宋体" w:hAnsi="宋体" w:eastAsia="宋体" w:cs="宋体"/>
          <w:color w:val="auto"/>
          <w:spacing w:val="-1"/>
          <w:sz w:val="20"/>
          <w:szCs w:val="20"/>
          <w:highlight w:val="none"/>
        </w:rPr>
        <w:t>人。</w:t>
      </w:r>
    </w:p>
    <w:p w14:paraId="6F9DC1FF">
      <w:pPr>
        <w:spacing w:before="150" w:line="227" w:lineRule="auto"/>
        <w:ind w:left="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非单一产品采购项目，多家供应商提供的核心产品品牌相同的，按前款规定处理。</w:t>
      </w:r>
    </w:p>
    <w:p w14:paraId="19966B9D">
      <w:pPr>
        <w:spacing w:before="155" w:line="227" w:lineRule="auto"/>
        <w:ind w:left="42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7.2</w:t>
      </w:r>
      <w:r>
        <w:rPr>
          <w:rFonts w:ascii="宋体" w:hAnsi="宋体" w:eastAsia="宋体" w:cs="宋体"/>
          <w:color w:val="auto"/>
          <w:spacing w:val="-30"/>
          <w:sz w:val="20"/>
          <w:szCs w:val="20"/>
          <w:highlight w:val="none"/>
        </w:rPr>
        <w:t xml:space="preserve"> </w:t>
      </w:r>
      <w:r>
        <w:rPr>
          <w:rFonts w:ascii="宋体" w:hAnsi="宋体" w:eastAsia="宋体" w:cs="宋体"/>
          <w:color w:val="auto"/>
          <w:spacing w:val="7"/>
          <w:sz w:val="20"/>
          <w:szCs w:val="20"/>
          <w:highlight w:val="none"/>
        </w:rPr>
        <w:t>服务类项目不设置核心产品，不执行本须知正文第7.1条的规定。</w:t>
      </w:r>
    </w:p>
    <w:p w14:paraId="38FB7D2E">
      <w:pPr>
        <w:spacing w:before="153" w:line="227" w:lineRule="auto"/>
        <w:ind w:left="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7.3</w:t>
      </w:r>
      <w:r>
        <w:rPr>
          <w:rFonts w:ascii="宋体" w:hAnsi="宋体" w:eastAsia="宋体" w:cs="宋体"/>
          <w:color w:val="auto"/>
          <w:spacing w:val="-41"/>
          <w:sz w:val="20"/>
          <w:szCs w:val="20"/>
          <w:highlight w:val="none"/>
        </w:rPr>
        <w:t xml:space="preserve"> </w:t>
      </w:r>
      <w:r>
        <w:rPr>
          <w:rFonts w:ascii="宋体" w:hAnsi="宋体" w:eastAsia="宋体" w:cs="宋体"/>
          <w:color w:val="auto"/>
          <w:spacing w:val="9"/>
          <w:sz w:val="20"/>
          <w:szCs w:val="20"/>
          <w:highlight w:val="none"/>
        </w:rPr>
        <w:t>供应商竞标所使用的资格、信誉、荣誉、业绩与企业认证必须</w:t>
      </w:r>
      <w:r>
        <w:rPr>
          <w:rFonts w:ascii="宋体" w:hAnsi="宋体" w:eastAsia="宋体" w:cs="宋体"/>
          <w:color w:val="auto"/>
          <w:spacing w:val="8"/>
          <w:sz w:val="20"/>
          <w:szCs w:val="20"/>
          <w:highlight w:val="none"/>
        </w:rPr>
        <w:t>为该供应商所拥有。</w:t>
      </w:r>
    </w:p>
    <w:p w14:paraId="35FF8181">
      <w:pPr>
        <w:spacing w:before="155" w:line="298" w:lineRule="auto"/>
        <w:ind w:firstLine="42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7.4</w:t>
      </w:r>
      <w:r>
        <w:rPr>
          <w:rFonts w:ascii="宋体" w:hAnsi="宋体" w:eastAsia="宋体" w:cs="宋体"/>
          <w:color w:val="auto"/>
          <w:spacing w:val="-37"/>
          <w:sz w:val="20"/>
          <w:szCs w:val="20"/>
          <w:highlight w:val="none"/>
        </w:rPr>
        <w:t xml:space="preserve"> </w:t>
      </w:r>
      <w:r>
        <w:rPr>
          <w:rFonts w:ascii="宋体" w:hAnsi="宋体" w:eastAsia="宋体" w:cs="宋体"/>
          <w:color w:val="auto"/>
          <w:spacing w:val="10"/>
          <w:sz w:val="20"/>
          <w:szCs w:val="20"/>
          <w:highlight w:val="none"/>
        </w:rPr>
        <w:t>供应商应仔细阅读竞争性磋商文件的所有内容，按照竞争性磋商文件的要求</w:t>
      </w:r>
      <w:r>
        <w:rPr>
          <w:rFonts w:ascii="宋体" w:hAnsi="宋体" w:eastAsia="宋体" w:cs="宋体"/>
          <w:color w:val="auto"/>
          <w:spacing w:val="9"/>
          <w:sz w:val="20"/>
          <w:szCs w:val="20"/>
          <w:highlight w:val="none"/>
        </w:rPr>
        <w:t>提交响应文件，并对</w:t>
      </w:r>
      <w:r>
        <w:rPr>
          <w:rFonts w:ascii="宋体" w:hAnsi="宋体" w:eastAsia="宋体" w:cs="宋体"/>
          <w:color w:val="auto"/>
          <w:spacing w:val="8"/>
          <w:sz w:val="20"/>
          <w:szCs w:val="20"/>
          <w:highlight w:val="none"/>
        </w:rPr>
        <w:t>所提供的全部资料的真实性承担法律责任。</w:t>
      </w:r>
    </w:p>
    <w:p w14:paraId="72D43430">
      <w:pPr>
        <w:spacing w:before="152" w:line="323" w:lineRule="auto"/>
        <w:ind w:left="4"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7.5</w:t>
      </w:r>
      <w:r>
        <w:rPr>
          <w:rFonts w:ascii="宋体" w:hAnsi="宋体" w:eastAsia="宋体" w:cs="宋体"/>
          <w:color w:val="auto"/>
          <w:spacing w:val="-37"/>
          <w:sz w:val="20"/>
          <w:szCs w:val="20"/>
          <w:highlight w:val="none"/>
        </w:rPr>
        <w:t xml:space="preserve"> </w:t>
      </w:r>
      <w:r>
        <w:rPr>
          <w:rFonts w:ascii="宋体" w:hAnsi="宋体" w:eastAsia="宋体" w:cs="宋体"/>
          <w:color w:val="auto"/>
          <w:spacing w:val="10"/>
          <w:sz w:val="20"/>
          <w:szCs w:val="20"/>
          <w:highlight w:val="none"/>
        </w:rPr>
        <w:t>供应商在竞标活动中提供任何疑似虚假材料，将报监管部门查处；签订合同</w:t>
      </w:r>
      <w:r>
        <w:rPr>
          <w:rFonts w:ascii="宋体" w:hAnsi="宋体" w:eastAsia="宋体" w:cs="宋体"/>
          <w:color w:val="auto"/>
          <w:spacing w:val="9"/>
          <w:sz w:val="20"/>
          <w:szCs w:val="20"/>
          <w:highlight w:val="none"/>
        </w:rPr>
        <w:t>后发现的，成交供应商须依照《中华人民共和国消费者权益保护法》规定赔偿采购人，且民事赔偿并不免除违法供应商的行政</w:t>
      </w:r>
      <w:r>
        <w:rPr>
          <w:rFonts w:ascii="宋体" w:hAnsi="宋体" w:eastAsia="宋体" w:cs="宋体"/>
          <w:color w:val="auto"/>
          <w:spacing w:val="6"/>
          <w:sz w:val="20"/>
          <w:szCs w:val="20"/>
          <w:highlight w:val="none"/>
        </w:rPr>
        <w:t>与刑事责任。</w:t>
      </w:r>
    </w:p>
    <w:p w14:paraId="520872CF">
      <w:pPr>
        <w:spacing w:before="151" w:line="227" w:lineRule="auto"/>
        <w:ind w:left="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7.6</w:t>
      </w:r>
      <w:r>
        <w:rPr>
          <w:rFonts w:ascii="宋体" w:hAnsi="宋体" w:eastAsia="宋体" w:cs="宋体"/>
          <w:color w:val="auto"/>
          <w:spacing w:val="-41"/>
          <w:sz w:val="20"/>
          <w:szCs w:val="20"/>
          <w:highlight w:val="none"/>
        </w:rPr>
        <w:t xml:space="preserve"> </w:t>
      </w:r>
      <w:r>
        <w:rPr>
          <w:rFonts w:ascii="宋体" w:hAnsi="宋体" w:eastAsia="宋体" w:cs="宋体"/>
          <w:color w:val="auto"/>
          <w:spacing w:val="9"/>
          <w:sz w:val="20"/>
          <w:szCs w:val="20"/>
          <w:highlight w:val="none"/>
        </w:rPr>
        <w:t>在政府采购活动中，采购人员及相关人员与供应商有下列利害关系之一</w:t>
      </w:r>
      <w:r>
        <w:rPr>
          <w:rFonts w:ascii="宋体" w:hAnsi="宋体" w:eastAsia="宋体" w:cs="宋体"/>
          <w:color w:val="auto"/>
          <w:spacing w:val="8"/>
          <w:sz w:val="20"/>
          <w:szCs w:val="20"/>
          <w:highlight w:val="none"/>
        </w:rPr>
        <w:t>的，应当回避：</w:t>
      </w:r>
    </w:p>
    <w:p w14:paraId="188A72BA">
      <w:pPr>
        <w:spacing w:before="155" w:line="227"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（1）参加采购活动前3年内与供应商存在劳动关系；</w:t>
      </w:r>
    </w:p>
    <w:p w14:paraId="7DE6059D">
      <w:pPr>
        <w:spacing w:before="155" w:line="227"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（2）参加采购活动前3年内担任供应商的董事、监事；</w:t>
      </w:r>
    </w:p>
    <w:p w14:paraId="410BF74E">
      <w:pPr>
        <w:spacing w:before="152"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（3）参加采购活动前3年内是供应商的控股股东或者实际</w:t>
      </w:r>
      <w:r>
        <w:rPr>
          <w:rFonts w:ascii="宋体" w:hAnsi="宋体" w:eastAsia="宋体" w:cs="宋体"/>
          <w:color w:val="auto"/>
          <w:spacing w:val="7"/>
          <w:sz w:val="20"/>
          <w:szCs w:val="20"/>
          <w:highlight w:val="none"/>
        </w:rPr>
        <w:t>控制人；</w:t>
      </w:r>
    </w:p>
    <w:p w14:paraId="570BCDA3">
      <w:pPr>
        <w:spacing w:before="155"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（4）与供应商的法定代表人或负责人有夫妻、直系血亲、三代以内旁系血亲或者近姻亲关系；</w:t>
      </w:r>
    </w:p>
    <w:p w14:paraId="4B58AB20">
      <w:pPr>
        <w:spacing w:before="155"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（5）与供应商有其他可能影响政府采购活动公平、公正进行</w:t>
      </w:r>
      <w:r>
        <w:rPr>
          <w:rFonts w:ascii="宋体" w:hAnsi="宋体" w:eastAsia="宋体" w:cs="宋体"/>
          <w:color w:val="auto"/>
          <w:spacing w:val="8"/>
          <w:sz w:val="20"/>
          <w:szCs w:val="20"/>
          <w:highlight w:val="none"/>
        </w:rPr>
        <w:t>的关系。</w:t>
      </w:r>
    </w:p>
    <w:p w14:paraId="41725218">
      <w:pPr>
        <w:spacing w:before="152" w:line="361" w:lineRule="auto"/>
        <w:ind w:left="17" w:firstLine="402"/>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供应商认为采购人员及相关人员与其他供应商有利害关系的，可以向采购人或者采购代理机构书面提出回避申请，并说明理由。采购人或者采购代理机构应当及时询问被申请回避人员，有利害关系的</w:t>
      </w:r>
      <w:r>
        <w:rPr>
          <w:rFonts w:ascii="宋体" w:hAnsi="宋体" w:eastAsia="宋体" w:cs="宋体"/>
          <w:color w:val="auto"/>
          <w:spacing w:val="8"/>
          <w:sz w:val="20"/>
          <w:szCs w:val="20"/>
          <w:highlight w:val="none"/>
        </w:rPr>
        <w:t>被申请</w:t>
      </w:r>
      <w:r>
        <w:rPr>
          <w:rFonts w:ascii="宋体" w:hAnsi="宋体" w:eastAsia="宋体" w:cs="宋体"/>
          <w:color w:val="auto"/>
          <w:spacing w:val="5"/>
          <w:sz w:val="20"/>
          <w:szCs w:val="20"/>
          <w:highlight w:val="none"/>
        </w:rPr>
        <w:t>回避人员应当回避。</w:t>
      </w:r>
    </w:p>
    <w:p w14:paraId="67801E61">
      <w:pPr>
        <w:spacing w:before="27" w:line="227" w:lineRule="auto"/>
        <w:ind w:left="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7.7</w:t>
      </w:r>
      <w:r>
        <w:rPr>
          <w:rFonts w:ascii="宋体" w:hAnsi="宋体" w:eastAsia="宋体" w:cs="宋体"/>
          <w:color w:val="auto"/>
          <w:spacing w:val="-22"/>
          <w:sz w:val="20"/>
          <w:szCs w:val="20"/>
          <w:highlight w:val="none"/>
        </w:rPr>
        <w:t xml:space="preserve"> </w:t>
      </w:r>
      <w:r>
        <w:rPr>
          <w:rFonts w:ascii="宋体" w:hAnsi="宋体" w:eastAsia="宋体" w:cs="宋体"/>
          <w:color w:val="auto"/>
          <w:spacing w:val="8"/>
          <w:sz w:val="20"/>
          <w:szCs w:val="20"/>
          <w:highlight w:val="none"/>
        </w:rPr>
        <w:t>有下列情形之一的视为供应商相互串通竞标，响应文件将被视为无效：</w:t>
      </w:r>
    </w:p>
    <w:p w14:paraId="09D072A1">
      <w:pPr>
        <w:spacing w:before="155"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（1）不同供应商的响应文件由同一单位或者个人编制；或</w:t>
      </w:r>
      <w:r>
        <w:rPr>
          <w:rFonts w:ascii="宋体" w:hAnsi="宋体" w:eastAsia="宋体" w:cs="宋体"/>
          <w:color w:val="auto"/>
          <w:spacing w:val="8"/>
          <w:sz w:val="20"/>
          <w:szCs w:val="20"/>
          <w:highlight w:val="none"/>
        </w:rPr>
        <w:t>不同供应商报名的</w:t>
      </w:r>
      <w:r>
        <w:rPr>
          <w:rFonts w:ascii="宋体" w:hAnsi="宋体" w:eastAsia="宋体" w:cs="宋体"/>
          <w:color w:val="auto"/>
          <w:sz w:val="20"/>
          <w:szCs w:val="20"/>
          <w:highlight w:val="none"/>
        </w:rPr>
        <w:t>IP</w:t>
      </w:r>
      <w:r>
        <w:rPr>
          <w:rFonts w:ascii="宋体" w:hAnsi="宋体" w:eastAsia="宋体" w:cs="宋体"/>
          <w:color w:val="auto"/>
          <w:spacing w:val="8"/>
          <w:sz w:val="20"/>
          <w:szCs w:val="20"/>
          <w:highlight w:val="none"/>
        </w:rPr>
        <w:t>地址一致的；</w:t>
      </w:r>
    </w:p>
    <w:p w14:paraId="4D03633B">
      <w:pPr>
        <w:spacing w:before="155"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（2）不同供应商委托同一单位或者个人办理竞标事宜；</w:t>
      </w:r>
    </w:p>
    <w:p w14:paraId="35CB3C53">
      <w:pPr>
        <w:spacing w:before="153"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（3）不同的供应商的响应文件载明的项目管理员</w:t>
      </w:r>
      <w:r>
        <w:rPr>
          <w:rFonts w:ascii="宋体" w:hAnsi="宋体" w:eastAsia="宋体" w:cs="宋体"/>
          <w:color w:val="auto"/>
          <w:spacing w:val="8"/>
          <w:sz w:val="20"/>
          <w:szCs w:val="20"/>
          <w:highlight w:val="none"/>
        </w:rPr>
        <w:t>为同一个人；</w:t>
      </w:r>
    </w:p>
    <w:p w14:paraId="7FC9846C">
      <w:pPr>
        <w:spacing w:before="155" w:line="226"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（4）不同供应商的响应文件异常一致或报</w:t>
      </w:r>
      <w:r>
        <w:rPr>
          <w:rFonts w:ascii="宋体" w:hAnsi="宋体" w:eastAsia="宋体" w:cs="宋体"/>
          <w:color w:val="auto"/>
          <w:spacing w:val="8"/>
          <w:sz w:val="20"/>
          <w:szCs w:val="20"/>
          <w:highlight w:val="none"/>
        </w:rPr>
        <w:t>价呈规律性差异；</w:t>
      </w:r>
    </w:p>
    <w:p w14:paraId="1324D907">
      <w:pPr>
        <w:spacing w:before="156"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（5）不同供应商的响应文件相互混装；</w:t>
      </w:r>
    </w:p>
    <w:p w14:paraId="1B521F02">
      <w:pPr>
        <w:spacing w:before="152" w:line="227" w:lineRule="auto"/>
        <w:ind w:left="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7.8</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供应商有下列情形之一的，属于恶意串通行为：</w:t>
      </w:r>
    </w:p>
    <w:p w14:paraId="539520BD">
      <w:pPr>
        <w:spacing w:before="155" w:line="227" w:lineRule="auto"/>
        <w:ind w:right="2"/>
        <w:jc w:val="right"/>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（1）供应商直接或者间接从采购人或者采购代理机构处获得其他供应商的相关信息并修改其响应文</w:t>
      </w:r>
    </w:p>
    <w:p w14:paraId="34A4EFCC">
      <w:pPr>
        <w:spacing w:line="227" w:lineRule="auto"/>
        <w:rPr>
          <w:rFonts w:ascii="宋体" w:hAnsi="宋体" w:eastAsia="宋体" w:cs="宋体"/>
          <w:color w:val="auto"/>
          <w:sz w:val="20"/>
          <w:szCs w:val="20"/>
          <w:highlight w:val="none"/>
        </w:rPr>
        <w:sectPr>
          <w:footerReference r:id="rId10" w:type="default"/>
          <w:pgSz w:w="11906" w:h="16839"/>
          <w:pgMar w:top="1248" w:right="1134" w:bottom="1362" w:left="1140" w:header="0" w:footer="1200" w:gutter="0"/>
          <w:pgNumType w:fmt="decimal"/>
          <w:cols w:space="720" w:num="1"/>
        </w:sectPr>
      </w:pPr>
    </w:p>
    <w:p w14:paraId="5E9E43A4">
      <w:pPr>
        <w:spacing w:before="41" w:line="228" w:lineRule="auto"/>
        <w:rPr>
          <w:rFonts w:ascii="宋体" w:hAnsi="宋体" w:eastAsia="宋体" w:cs="宋体"/>
          <w:color w:val="auto"/>
          <w:sz w:val="20"/>
          <w:szCs w:val="20"/>
          <w:highlight w:val="none"/>
        </w:rPr>
      </w:pPr>
      <w:r>
        <w:rPr>
          <w:rFonts w:ascii="宋体" w:hAnsi="宋体" w:eastAsia="宋体" w:cs="宋体"/>
          <w:color w:val="auto"/>
          <w:sz w:val="20"/>
          <w:szCs w:val="20"/>
          <w:highlight w:val="none"/>
        </w:rPr>
        <w:t>件；</w:t>
      </w:r>
    </w:p>
    <w:p w14:paraId="53110591">
      <w:pPr>
        <w:spacing w:before="151"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（2）供应商按照采购人或者采购代理机构的授意撤换、修改响应文</w:t>
      </w:r>
      <w:r>
        <w:rPr>
          <w:rFonts w:ascii="宋体" w:hAnsi="宋体" w:eastAsia="宋体" w:cs="宋体"/>
          <w:color w:val="auto"/>
          <w:spacing w:val="8"/>
          <w:sz w:val="20"/>
          <w:szCs w:val="20"/>
          <w:highlight w:val="none"/>
        </w:rPr>
        <w:t>件；</w:t>
      </w:r>
    </w:p>
    <w:p w14:paraId="2CAE5971">
      <w:pPr>
        <w:spacing w:before="155" w:line="226"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（3）供应商之间协商报价、技术方案等响应文件或者响应文件的实质性内容；</w:t>
      </w:r>
    </w:p>
    <w:p w14:paraId="65D37ECA">
      <w:pPr>
        <w:spacing w:before="155"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（4）属于同一集团、协会、商会等组织成员的供应商按照该组织要求协同参加政府采购活动；</w:t>
      </w:r>
    </w:p>
    <w:p w14:paraId="347956D6">
      <w:pPr>
        <w:spacing w:before="152" w:line="298" w:lineRule="auto"/>
        <w:ind w:left="2" w:right="2" w:firstLine="428"/>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（5）供应商之间事先约定一致抬高或者压低报价，或者在政府采购活动中事先约定轮流以高价位或</w:t>
      </w:r>
      <w:r>
        <w:rPr>
          <w:rFonts w:ascii="宋体" w:hAnsi="宋体" w:eastAsia="宋体" w:cs="宋体"/>
          <w:color w:val="auto"/>
          <w:spacing w:val="9"/>
          <w:sz w:val="20"/>
          <w:szCs w:val="20"/>
          <w:highlight w:val="none"/>
        </w:rPr>
        <w:t>者低价位成交，或者事先约定由某一特定供应商成交，然后再参加竞标；</w:t>
      </w:r>
    </w:p>
    <w:p w14:paraId="4DF12089">
      <w:pPr>
        <w:spacing w:before="156"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（6）供应商之间商定部分供应商放弃参加政府采购活动或者放弃成</w:t>
      </w:r>
      <w:r>
        <w:rPr>
          <w:rFonts w:ascii="宋体" w:hAnsi="宋体" w:eastAsia="宋体" w:cs="宋体"/>
          <w:color w:val="auto"/>
          <w:spacing w:val="8"/>
          <w:sz w:val="20"/>
          <w:szCs w:val="20"/>
          <w:highlight w:val="none"/>
        </w:rPr>
        <w:t>交；</w:t>
      </w:r>
    </w:p>
    <w:p w14:paraId="6856D8F9">
      <w:pPr>
        <w:spacing w:before="153" w:line="298" w:lineRule="auto"/>
        <w:ind w:right="2" w:firstLine="43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（7）供应商与采购人或者采购代理机构之间、供应商相互之间，为谋求特定供应商成交或者排斥其</w:t>
      </w:r>
      <w:r>
        <w:rPr>
          <w:rFonts w:ascii="宋体" w:hAnsi="宋体" w:eastAsia="宋体" w:cs="宋体"/>
          <w:color w:val="auto"/>
          <w:spacing w:val="8"/>
          <w:sz w:val="20"/>
          <w:szCs w:val="20"/>
          <w:highlight w:val="none"/>
        </w:rPr>
        <w:t>他供应商的其他串通行为。</w:t>
      </w:r>
    </w:p>
    <w:p w14:paraId="4252073C">
      <w:pPr>
        <w:spacing w:before="155" w:line="227" w:lineRule="auto"/>
        <w:ind w:left="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7.9</w:t>
      </w:r>
      <w:r>
        <w:rPr>
          <w:rFonts w:ascii="宋体" w:hAnsi="宋体" w:eastAsia="宋体" w:cs="宋体"/>
          <w:color w:val="auto"/>
          <w:spacing w:val="-37"/>
          <w:sz w:val="20"/>
          <w:szCs w:val="20"/>
          <w:highlight w:val="none"/>
        </w:rPr>
        <w:t xml:space="preserve"> </w:t>
      </w:r>
      <w:r>
        <w:rPr>
          <w:rFonts w:ascii="宋体" w:hAnsi="宋体" w:eastAsia="宋体" w:cs="宋体"/>
          <w:color w:val="auto"/>
          <w:spacing w:val="9"/>
          <w:sz w:val="20"/>
          <w:szCs w:val="20"/>
          <w:highlight w:val="none"/>
        </w:rPr>
        <w:t>关联供应商不得参加同一合同项下政府采购活</w:t>
      </w:r>
      <w:r>
        <w:rPr>
          <w:rFonts w:ascii="宋体" w:hAnsi="宋体" w:eastAsia="宋体" w:cs="宋体"/>
          <w:color w:val="auto"/>
          <w:spacing w:val="8"/>
          <w:sz w:val="20"/>
          <w:szCs w:val="20"/>
          <w:highlight w:val="none"/>
        </w:rPr>
        <w:t>动，否则响应文件将被视为无效：</w:t>
      </w:r>
    </w:p>
    <w:p w14:paraId="7278266D">
      <w:pPr>
        <w:spacing w:before="154" w:line="298" w:lineRule="auto"/>
        <w:ind w:right="2" w:firstLine="43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（1）单位负责人为同一人或者存在直接控股、管理关系的不同的供应商，不得参加同一合同项下的</w:t>
      </w:r>
      <w:r>
        <w:rPr>
          <w:rFonts w:ascii="宋体" w:hAnsi="宋体" w:eastAsia="宋体" w:cs="宋体"/>
          <w:color w:val="auto"/>
          <w:spacing w:val="7"/>
          <w:sz w:val="20"/>
          <w:szCs w:val="20"/>
          <w:highlight w:val="none"/>
        </w:rPr>
        <w:t>政府采购活动；</w:t>
      </w:r>
    </w:p>
    <w:p w14:paraId="37A3EDC5">
      <w:pPr>
        <w:spacing w:before="155" w:line="297" w:lineRule="auto"/>
        <w:ind w:left="4" w:right="2" w:firstLine="426"/>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（2）生产厂商授权给供应商后自己不得参加同一合同项下的政府采购活动；生产厂商对同一品牌同</w:t>
      </w:r>
      <w:r>
        <w:rPr>
          <w:rFonts w:ascii="宋体" w:hAnsi="宋体" w:eastAsia="宋体" w:cs="宋体"/>
          <w:color w:val="auto"/>
          <w:spacing w:val="8"/>
          <w:sz w:val="20"/>
          <w:szCs w:val="20"/>
          <w:highlight w:val="none"/>
        </w:rPr>
        <w:t>一型号的货物，仅能委托一个代理商参加竞标。</w:t>
      </w:r>
    </w:p>
    <w:p w14:paraId="3A8E9D25">
      <w:pPr>
        <w:pStyle w:val="4"/>
        <w:spacing w:line="357" w:lineRule="auto"/>
        <w:rPr>
          <w:color w:val="auto"/>
          <w:highlight w:val="none"/>
        </w:rPr>
      </w:pPr>
    </w:p>
    <w:p w14:paraId="5D18C55F">
      <w:pPr>
        <w:spacing w:before="102" w:line="225" w:lineRule="auto"/>
        <w:ind w:left="3384"/>
        <w:outlineLvl w:val="1"/>
        <w:rPr>
          <w:rFonts w:ascii="宋体" w:hAnsi="宋体" w:eastAsia="宋体" w:cs="宋体"/>
          <w:color w:val="auto"/>
          <w:sz w:val="31"/>
          <w:szCs w:val="31"/>
          <w:highlight w:val="none"/>
        </w:rPr>
      </w:pPr>
      <w:bookmarkStart w:id="28" w:name="_Toc31641"/>
      <w:bookmarkStart w:id="29" w:name="_Toc9476"/>
      <w:r>
        <w:rPr>
          <w:rFonts w:ascii="宋体" w:hAnsi="宋体" w:eastAsia="宋体" w:cs="宋体"/>
          <w:b/>
          <w:bCs/>
          <w:color w:val="auto"/>
          <w:spacing w:val="5"/>
          <w:sz w:val="31"/>
          <w:szCs w:val="31"/>
          <w:highlight w:val="none"/>
        </w:rPr>
        <w:t>二、竞争性磋商文件</w:t>
      </w:r>
      <w:bookmarkEnd w:id="28"/>
      <w:bookmarkEnd w:id="29"/>
    </w:p>
    <w:p w14:paraId="79C5CE80">
      <w:pPr>
        <w:pStyle w:val="4"/>
        <w:spacing w:line="448" w:lineRule="auto"/>
        <w:rPr>
          <w:color w:val="auto"/>
          <w:highlight w:val="none"/>
        </w:rPr>
      </w:pPr>
    </w:p>
    <w:p w14:paraId="04DB4214">
      <w:pPr>
        <w:spacing w:before="65" w:line="228" w:lineRule="auto"/>
        <w:ind w:left="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8.竞争性磋商文件的构成</w:t>
      </w:r>
    </w:p>
    <w:p w14:paraId="2B42F212">
      <w:pPr>
        <w:spacing w:before="155" w:line="226" w:lineRule="auto"/>
        <w:ind w:left="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（1）竞争性磋商公告；</w:t>
      </w:r>
    </w:p>
    <w:p w14:paraId="14188984">
      <w:pPr>
        <w:spacing w:before="153" w:line="227" w:lineRule="auto"/>
        <w:ind w:left="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（2）供应商须知；</w:t>
      </w:r>
    </w:p>
    <w:p w14:paraId="6BC8855E">
      <w:pPr>
        <w:spacing w:before="155" w:line="227" w:lineRule="auto"/>
        <w:ind w:left="43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（3）采购需求；</w:t>
      </w:r>
    </w:p>
    <w:p w14:paraId="0FC53032">
      <w:pPr>
        <w:spacing w:before="155"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（4）评审程序、评审方法和评审标准；</w:t>
      </w:r>
    </w:p>
    <w:p w14:paraId="6A2A368E">
      <w:pPr>
        <w:spacing w:before="151" w:line="228"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（5）响应文件（格式</w:t>
      </w:r>
      <w:r>
        <w:rPr>
          <w:rFonts w:ascii="宋体" w:hAnsi="宋体" w:eastAsia="宋体" w:cs="宋体"/>
          <w:color w:val="auto"/>
          <w:spacing w:val="2"/>
          <w:sz w:val="20"/>
          <w:szCs w:val="20"/>
          <w:highlight w:val="none"/>
        </w:rPr>
        <w:t>）；</w:t>
      </w:r>
    </w:p>
    <w:p w14:paraId="33177DD4">
      <w:pPr>
        <w:spacing w:before="155" w:line="298" w:lineRule="auto"/>
        <w:ind w:left="421" w:right="6838" w:firstLine="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（6）合同文本（格式）。</w:t>
      </w:r>
      <w:r>
        <w:rPr>
          <w:rFonts w:ascii="宋体" w:hAnsi="宋体" w:eastAsia="宋体" w:cs="宋体"/>
          <w:color w:val="auto"/>
          <w:spacing w:val="7"/>
          <w:sz w:val="20"/>
          <w:szCs w:val="20"/>
          <w:highlight w:val="none"/>
        </w:rPr>
        <w:t>9.供应商的询问</w:t>
      </w:r>
    </w:p>
    <w:p w14:paraId="7A0B3E05">
      <w:pPr>
        <w:spacing w:before="154" w:line="360" w:lineRule="auto"/>
        <w:ind w:left="1" w:right="2" w:firstLine="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供应商应认真阅读竞争性磋商文件的采购需求，如供应商对竞争性磋商文件有疑问的，如要求采购人作出澄清或修改的，供应商尽可能在提交首次响应文件截止之日前，以书面形式向采购人、采购代理机构</w:t>
      </w:r>
      <w:r>
        <w:rPr>
          <w:rFonts w:ascii="宋体" w:hAnsi="宋体" w:eastAsia="宋体" w:cs="宋体"/>
          <w:color w:val="auto"/>
          <w:spacing w:val="2"/>
          <w:sz w:val="20"/>
          <w:szCs w:val="20"/>
          <w:highlight w:val="none"/>
        </w:rPr>
        <w:t>提出。</w:t>
      </w:r>
    </w:p>
    <w:p w14:paraId="547D8871">
      <w:pPr>
        <w:spacing w:before="28" w:line="228" w:lineRule="auto"/>
        <w:ind w:left="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10.竞争性磋商文件的澄清和修改</w:t>
      </w:r>
    </w:p>
    <w:p w14:paraId="6BDC5A1F">
      <w:pPr>
        <w:spacing w:before="153" w:line="362" w:lineRule="auto"/>
        <w:ind w:firstLine="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w:t>
      </w:r>
      <w:r>
        <w:rPr>
          <w:rFonts w:ascii="宋体" w:hAnsi="宋体" w:eastAsia="宋体" w:cs="宋体"/>
          <w:color w:val="auto"/>
          <w:spacing w:val="8"/>
          <w:sz w:val="20"/>
          <w:szCs w:val="20"/>
          <w:highlight w:val="none"/>
        </w:rPr>
        <w:t>个工作日前，以书面形式</w:t>
      </w:r>
      <w:r>
        <w:rPr>
          <w:rFonts w:ascii="宋体" w:hAnsi="宋体" w:eastAsia="宋体" w:cs="宋体"/>
          <w:color w:val="auto"/>
          <w:spacing w:val="9"/>
          <w:sz w:val="20"/>
          <w:szCs w:val="20"/>
          <w:highlight w:val="none"/>
        </w:rPr>
        <w:t>通知所有获取磋商文件的供应商，不足3个工作日的，应当顺延提交首次响应</w:t>
      </w:r>
      <w:r>
        <w:rPr>
          <w:rFonts w:ascii="宋体" w:hAnsi="宋体" w:eastAsia="宋体" w:cs="宋体"/>
          <w:color w:val="auto"/>
          <w:spacing w:val="8"/>
          <w:sz w:val="20"/>
          <w:szCs w:val="20"/>
          <w:highlight w:val="none"/>
        </w:rPr>
        <w:t>文件截止之日。</w:t>
      </w:r>
    </w:p>
    <w:p w14:paraId="10D994EB">
      <w:pPr>
        <w:spacing w:line="362" w:lineRule="auto"/>
        <w:rPr>
          <w:rFonts w:ascii="宋体" w:hAnsi="宋体" w:eastAsia="宋体" w:cs="宋体"/>
          <w:color w:val="auto"/>
          <w:sz w:val="20"/>
          <w:szCs w:val="20"/>
          <w:highlight w:val="none"/>
        </w:rPr>
        <w:sectPr>
          <w:footerReference r:id="rId11" w:type="default"/>
          <w:pgSz w:w="11906" w:h="16839"/>
          <w:pgMar w:top="1260" w:right="1134" w:bottom="1362" w:left="1140" w:header="0" w:footer="1200" w:gutter="0"/>
          <w:pgNumType w:fmt="decimal"/>
          <w:cols w:space="720" w:num="1"/>
        </w:sectPr>
      </w:pPr>
    </w:p>
    <w:p w14:paraId="2C16F71E">
      <w:pPr>
        <w:pStyle w:val="4"/>
        <w:spacing w:line="297" w:lineRule="auto"/>
        <w:rPr>
          <w:color w:val="auto"/>
          <w:highlight w:val="none"/>
        </w:rPr>
      </w:pPr>
    </w:p>
    <w:p w14:paraId="19C83AF2">
      <w:pPr>
        <w:spacing w:before="101" w:line="225" w:lineRule="auto"/>
        <w:ind w:left="3378"/>
        <w:outlineLvl w:val="1"/>
        <w:rPr>
          <w:rFonts w:ascii="宋体" w:hAnsi="宋体" w:eastAsia="宋体" w:cs="宋体"/>
          <w:color w:val="auto"/>
          <w:sz w:val="31"/>
          <w:szCs w:val="31"/>
          <w:highlight w:val="none"/>
        </w:rPr>
      </w:pPr>
      <w:bookmarkStart w:id="30" w:name="_Toc6580"/>
      <w:bookmarkStart w:id="31" w:name="_Toc10070"/>
      <w:r>
        <w:rPr>
          <w:rFonts w:ascii="宋体" w:hAnsi="宋体" w:eastAsia="宋体" w:cs="宋体"/>
          <w:b/>
          <w:bCs/>
          <w:color w:val="auto"/>
          <w:spacing w:val="6"/>
          <w:sz w:val="31"/>
          <w:szCs w:val="31"/>
          <w:highlight w:val="none"/>
        </w:rPr>
        <w:t>三、响应文件的编制</w:t>
      </w:r>
      <w:bookmarkEnd w:id="30"/>
      <w:bookmarkEnd w:id="31"/>
    </w:p>
    <w:p w14:paraId="30CA6D59">
      <w:pPr>
        <w:pStyle w:val="4"/>
        <w:spacing w:line="448" w:lineRule="auto"/>
        <w:rPr>
          <w:color w:val="auto"/>
          <w:highlight w:val="none"/>
        </w:rPr>
      </w:pPr>
    </w:p>
    <w:p w14:paraId="0AD3C23C">
      <w:pPr>
        <w:spacing w:before="65" w:line="228" w:lineRule="auto"/>
        <w:ind w:left="43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11.响应文件的编制原则</w:t>
      </w:r>
    </w:p>
    <w:p w14:paraId="6D90056B">
      <w:pPr>
        <w:spacing w:before="154" w:line="353" w:lineRule="auto"/>
        <w:ind w:right="54" w:firstLine="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供应商应当按照竞争性磋商文件的要求编制响应文件，并对其提交的响应文件的真实性、合法性承担法律责任。响应文件应当对竞争性磋商文件作出实质性响应。</w:t>
      </w:r>
    </w:p>
    <w:p w14:paraId="02DB6AE7">
      <w:pPr>
        <w:spacing w:before="33" w:line="228" w:lineRule="auto"/>
        <w:ind w:left="43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12.响应文件的组成</w:t>
      </w:r>
    </w:p>
    <w:p w14:paraId="05EBC183">
      <w:pPr>
        <w:spacing w:before="154" w:line="226" w:lineRule="auto"/>
        <w:ind w:left="43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12.1</w:t>
      </w:r>
      <w:r>
        <w:rPr>
          <w:rFonts w:ascii="宋体" w:hAnsi="宋体" w:eastAsia="宋体" w:cs="宋体"/>
          <w:color w:val="auto"/>
          <w:spacing w:val="-13"/>
          <w:sz w:val="20"/>
          <w:szCs w:val="20"/>
          <w:highlight w:val="none"/>
        </w:rPr>
        <w:t xml:space="preserve"> </w:t>
      </w:r>
      <w:r>
        <w:rPr>
          <w:rFonts w:ascii="宋体" w:hAnsi="宋体" w:eastAsia="宋体" w:cs="宋体"/>
          <w:color w:val="auto"/>
          <w:spacing w:val="7"/>
          <w:sz w:val="20"/>
          <w:szCs w:val="20"/>
          <w:highlight w:val="none"/>
        </w:rPr>
        <w:t>响应文件由资格证明文件、</w:t>
      </w:r>
      <w:r>
        <w:rPr>
          <w:rFonts w:hint="eastAsia" w:ascii="宋体" w:hAnsi="宋体" w:eastAsia="宋体" w:cs="宋体"/>
          <w:color w:val="auto"/>
          <w:spacing w:val="7"/>
          <w:sz w:val="20"/>
          <w:szCs w:val="20"/>
          <w:highlight w:val="none"/>
          <w:lang w:val="en-US" w:eastAsia="zh-CN"/>
        </w:rPr>
        <w:t>报价文件、商务文件、技术文件四</w:t>
      </w:r>
      <w:r>
        <w:rPr>
          <w:rFonts w:ascii="宋体" w:hAnsi="宋体" w:eastAsia="宋体" w:cs="宋体"/>
          <w:color w:val="auto"/>
          <w:spacing w:val="7"/>
          <w:sz w:val="20"/>
          <w:szCs w:val="20"/>
          <w:highlight w:val="none"/>
        </w:rPr>
        <w:t>部分组成。</w:t>
      </w:r>
    </w:p>
    <w:p w14:paraId="661D6EC9">
      <w:pPr>
        <w:spacing w:before="153" w:line="227" w:lineRule="auto"/>
        <w:ind w:left="43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12.1.1</w:t>
      </w:r>
      <w:r>
        <w:rPr>
          <w:rFonts w:ascii="宋体" w:hAnsi="宋体" w:eastAsia="宋体" w:cs="宋体"/>
          <w:color w:val="auto"/>
          <w:spacing w:val="-23"/>
          <w:sz w:val="20"/>
          <w:szCs w:val="20"/>
          <w:highlight w:val="none"/>
        </w:rPr>
        <w:t xml:space="preserve"> </w:t>
      </w:r>
      <w:r>
        <w:rPr>
          <w:rFonts w:ascii="宋体" w:hAnsi="宋体" w:eastAsia="宋体" w:cs="宋体"/>
          <w:color w:val="auto"/>
          <w:spacing w:val="6"/>
          <w:sz w:val="20"/>
          <w:szCs w:val="20"/>
          <w:highlight w:val="none"/>
        </w:rPr>
        <w:t>资格证明文件：详见须知前附表</w:t>
      </w:r>
    </w:p>
    <w:p w14:paraId="21EB4642">
      <w:pPr>
        <w:spacing w:before="155" w:line="226" w:lineRule="auto"/>
        <w:ind w:left="43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12.1.2</w:t>
      </w:r>
      <w:r>
        <w:rPr>
          <w:rFonts w:ascii="宋体" w:hAnsi="宋体" w:eastAsia="宋体" w:cs="宋体"/>
          <w:color w:val="auto"/>
          <w:spacing w:val="-37"/>
          <w:sz w:val="20"/>
          <w:szCs w:val="20"/>
          <w:highlight w:val="none"/>
        </w:rPr>
        <w:t xml:space="preserve"> </w:t>
      </w:r>
      <w:r>
        <w:rPr>
          <w:rFonts w:ascii="宋体" w:hAnsi="宋体" w:eastAsia="宋体" w:cs="宋体"/>
          <w:color w:val="auto"/>
          <w:spacing w:val="7"/>
          <w:sz w:val="20"/>
          <w:szCs w:val="20"/>
          <w:highlight w:val="none"/>
        </w:rPr>
        <w:t>报价文件</w:t>
      </w:r>
      <w:r>
        <w:rPr>
          <w:rFonts w:hint="eastAsia" w:ascii="宋体" w:hAnsi="宋体" w:eastAsia="宋体" w:cs="宋体"/>
          <w:color w:val="auto"/>
          <w:spacing w:val="7"/>
          <w:sz w:val="20"/>
          <w:szCs w:val="20"/>
          <w:highlight w:val="none"/>
          <w:lang w:eastAsia="zh-CN"/>
        </w:rPr>
        <w:t>、</w:t>
      </w:r>
      <w:r>
        <w:rPr>
          <w:rFonts w:ascii="宋体" w:hAnsi="宋体" w:eastAsia="宋体" w:cs="宋体"/>
          <w:color w:val="auto"/>
          <w:spacing w:val="7"/>
          <w:sz w:val="20"/>
          <w:szCs w:val="20"/>
          <w:highlight w:val="none"/>
        </w:rPr>
        <w:t>商务文件</w:t>
      </w:r>
      <w:r>
        <w:rPr>
          <w:rFonts w:hint="eastAsia" w:ascii="宋体" w:hAnsi="宋体" w:eastAsia="宋体" w:cs="宋体"/>
          <w:color w:val="auto"/>
          <w:spacing w:val="7"/>
          <w:sz w:val="20"/>
          <w:szCs w:val="20"/>
          <w:highlight w:val="none"/>
          <w:lang w:eastAsia="zh-CN"/>
        </w:rPr>
        <w:t>、</w:t>
      </w:r>
      <w:r>
        <w:rPr>
          <w:rFonts w:ascii="宋体" w:hAnsi="宋体" w:eastAsia="宋体" w:cs="宋体"/>
          <w:color w:val="auto"/>
          <w:spacing w:val="7"/>
          <w:sz w:val="20"/>
          <w:szCs w:val="20"/>
          <w:highlight w:val="none"/>
        </w:rPr>
        <w:t>技术文件：详见须知前附表</w:t>
      </w:r>
    </w:p>
    <w:p w14:paraId="7F5960B5">
      <w:pPr>
        <w:spacing w:before="156" w:line="298" w:lineRule="auto"/>
        <w:ind w:left="435" w:right="565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12.2</w:t>
      </w:r>
      <w:r>
        <w:rPr>
          <w:rFonts w:ascii="宋体" w:hAnsi="宋体" w:eastAsia="宋体" w:cs="宋体"/>
          <w:color w:val="auto"/>
          <w:spacing w:val="-17"/>
          <w:sz w:val="20"/>
          <w:szCs w:val="20"/>
          <w:highlight w:val="none"/>
        </w:rPr>
        <w:t xml:space="preserve"> </w:t>
      </w:r>
      <w:r>
        <w:rPr>
          <w:rFonts w:ascii="宋体" w:hAnsi="宋体" w:eastAsia="宋体" w:cs="宋体"/>
          <w:color w:val="auto"/>
          <w:spacing w:val="6"/>
          <w:sz w:val="20"/>
          <w:szCs w:val="20"/>
          <w:highlight w:val="none"/>
        </w:rPr>
        <w:t>响应文件电子版：详见须知前附表</w:t>
      </w:r>
      <w:r>
        <w:rPr>
          <w:rFonts w:ascii="宋体" w:hAnsi="宋体" w:eastAsia="宋体" w:cs="宋体"/>
          <w:color w:val="auto"/>
          <w:spacing w:val="4"/>
          <w:sz w:val="20"/>
          <w:szCs w:val="20"/>
          <w:highlight w:val="none"/>
        </w:rPr>
        <w:t>13.计量单位</w:t>
      </w:r>
    </w:p>
    <w:p w14:paraId="07E2BE4E">
      <w:pPr>
        <w:spacing w:before="153" w:line="355" w:lineRule="auto"/>
        <w:ind w:firstLine="42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竞争性磋商文件已有明确规定的，使用竞争性磋商文件规定的计量单位；竞争性磋</w:t>
      </w:r>
      <w:r>
        <w:rPr>
          <w:rFonts w:ascii="宋体" w:hAnsi="宋体" w:eastAsia="宋体" w:cs="宋体"/>
          <w:color w:val="auto"/>
          <w:spacing w:val="5"/>
          <w:sz w:val="20"/>
          <w:szCs w:val="20"/>
          <w:highlight w:val="none"/>
        </w:rPr>
        <w:t>商文件没有规定的，</w:t>
      </w:r>
      <w:r>
        <w:rPr>
          <w:rFonts w:ascii="宋体" w:hAnsi="宋体" w:eastAsia="宋体" w:cs="宋体"/>
          <w:color w:val="auto"/>
          <w:spacing w:val="9"/>
          <w:sz w:val="20"/>
          <w:szCs w:val="20"/>
          <w:highlight w:val="none"/>
        </w:rPr>
        <w:t>应采用中华人民共和国法定计量单位，货币种类为人民币，否则视同未响应。</w:t>
      </w:r>
    </w:p>
    <w:p w14:paraId="465200E1">
      <w:pPr>
        <w:spacing w:before="31" w:line="228" w:lineRule="auto"/>
        <w:ind w:left="43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14.竞标的风险</w:t>
      </w:r>
    </w:p>
    <w:p w14:paraId="75D1F575">
      <w:pPr>
        <w:spacing w:before="153" w:line="355" w:lineRule="auto"/>
        <w:ind w:left="5" w:right="54" w:firstLine="41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供应商没有按照竞争性磋商文件要求提供全部资料，或者供应商没有对竞争性磋商文件在各方面作出实质性响应可能导致其响应无效，是供应商应当考虑的风险。</w:t>
      </w:r>
    </w:p>
    <w:p w14:paraId="23228C8E">
      <w:pPr>
        <w:spacing w:before="30" w:line="226" w:lineRule="auto"/>
        <w:ind w:left="43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15.竞标报价要求和构成</w:t>
      </w:r>
    </w:p>
    <w:p w14:paraId="1006E44B">
      <w:pPr>
        <w:spacing w:before="156" w:line="226" w:lineRule="auto"/>
        <w:ind w:left="43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15.1</w:t>
      </w:r>
      <w:r>
        <w:rPr>
          <w:rFonts w:ascii="宋体" w:hAnsi="宋体" w:eastAsia="宋体" w:cs="宋体"/>
          <w:color w:val="auto"/>
          <w:spacing w:val="-38"/>
          <w:sz w:val="20"/>
          <w:szCs w:val="20"/>
          <w:highlight w:val="none"/>
        </w:rPr>
        <w:t xml:space="preserve"> </w:t>
      </w:r>
      <w:r>
        <w:rPr>
          <w:rFonts w:ascii="宋体" w:hAnsi="宋体" w:eastAsia="宋体" w:cs="宋体"/>
          <w:color w:val="auto"/>
          <w:spacing w:val="7"/>
          <w:sz w:val="20"/>
          <w:szCs w:val="20"/>
          <w:highlight w:val="none"/>
        </w:rPr>
        <w:t>竞标报价应按竞争性磋商文件中“磋商报价表”格式</w:t>
      </w:r>
      <w:r>
        <w:rPr>
          <w:rFonts w:ascii="宋体" w:hAnsi="宋体" w:eastAsia="宋体" w:cs="宋体"/>
          <w:color w:val="auto"/>
          <w:spacing w:val="6"/>
          <w:sz w:val="20"/>
          <w:szCs w:val="20"/>
          <w:highlight w:val="none"/>
        </w:rPr>
        <w:t>填写。</w:t>
      </w:r>
    </w:p>
    <w:p w14:paraId="269D46ED">
      <w:pPr>
        <w:spacing w:before="156" w:line="226" w:lineRule="auto"/>
        <w:ind w:left="43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15.2</w:t>
      </w:r>
      <w:r>
        <w:rPr>
          <w:rFonts w:ascii="宋体" w:hAnsi="宋体" w:eastAsia="宋体" w:cs="宋体"/>
          <w:color w:val="auto"/>
          <w:spacing w:val="-29"/>
          <w:sz w:val="20"/>
          <w:szCs w:val="20"/>
          <w:highlight w:val="none"/>
        </w:rPr>
        <w:t xml:space="preserve"> </w:t>
      </w:r>
      <w:r>
        <w:rPr>
          <w:rFonts w:ascii="宋体" w:hAnsi="宋体" w:eastAsia="宋体" w:cs="宋体"/>
          <w:color w:val="auto"/>
          <w:spacing w:val="7"/>
          <w:sz w:val="20"/>
          <w:szCs w:val="20"/>
          <w:highlight w:val="none"/>
        </w:rPr>
        <w:t>竞标报价的价格构成见“供应商须知前附表”。</w:t>
      </w:r>
    </w:p>
    <w:p w14:paraId="2D26DFC0">
      <w:pPr>
        <w:spacing w:before="154" w:line="226" w:lineRule="auto"/>
        <w:ind w:left="44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15.3</w:t>
      </w:r>
      <w:r>
        <w:rPr>
          <w:rFonts w:ascii="宋体" w:hAnsi="宋体" w:eastAsia="宋体" w:cs="宋体"/>
          <w:color w:val="auto"/>
          <w:spacing w:val="-35"/>
          <w:sz w:val="20"/>
          <w:szCs w:val="20"/>
          <w:highlight w:val="none"/>
        </w:rPr>
        <w:t xml:space="preserve"> </w:t>
      </w:r>
      <w:r>
        <w:rPr>
          <w:rFonts w:ascii="宋体" w:hAnsi="宋体" w:eastAsia="宋体" w:cs="宋体"/>
          <w:color w:val="auto"/>
          <w:spacing w:val="4"/>
          <w:sz w:val="20"/>
          <w:szCs w:val="20"/>
          <w:highlight w:val="none"/>
        </w:rPr>
        <w:t>竞标报价要求</w:t>
      </w:r>
    </w:p>
    <w:p w14:paraId="670E60C8">
      <w:pPr>
        <w:spacing w:before="156" w:line="226" w:lineRule="auto"/>
        <w:ind w:left="43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15.3.1</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供应商的竞标报价应符合以下要求，否则响应文件按无效响应处</w:t>
      </w:r>
      <w:r>
        <w:rPr>
          <w:rFonts w:ascii="宋体" w:hAnsi="宋体" w:eastAsia="宋体" w:cs="宋体"/>
          <w:color w:val="auto"/>
          <w:spacing w:val="7"/>
          <w:sz w:val="20"/>
          <w:szCs w:val="20"/>
          <w:highlight w:val="none"/>
        </w:rPr>
        <w:t>理：</w:t>
      </w:r>
    </w:p>
    <w:p w14:paraId="3486D942">
      <w:pPr>
        <w:spacing w:before="155" w:line="297" w:lineRule="auto"/>
        <w:ind w:left="3" w:right="820" w:firstLine="42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（1）供应商应当就“采购需求”中所竞标的每个分标的全部内容分别作完整唯一总价报价，不得存在漏项报价；</w:t>
      </w:r>
    </w:p>
    <w:p w14:paraId="4BE57F31">
      <w:pPr>
        <w:spacing w:before="156" w:line="226"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（2）供应商应当就所竞标的分标的单项内容作唯一报价。</w:t>
      </w:r>
    </w:p>
    <w:p w14:paraId="7CE8B0A9">
      <w:pPr>
        <w:spacing w:before="156" w:line="297" w:lineRule="auto"/>
        <w:ind w:right="54" w:firstLine="434"/>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15.3.2</w:t>
      </w:r>
      <w:r>
        <w:rPr>
          <w:rFonts w:ascii="宋体" w:hAnsi="宋体" w:eastAsia="宋体" w:cs="宋体"/>
          <w:color w:val="auto"/>
          <w:spacing w:val="-36"/>
          <w:sz w:val="20"/>
          <w:szCs w:val="20"/>
          <w:highlight w:val="none"/>
        </w:rPr>
        <w:t xml:space="preserve"> </w:t>
      </w:r>
      <w:r>
        <w:rPr>
          <w:rFonts w:ascii="宋体" w:hAnsi="宋体" w:eastAsia="宋体" w:cs="宋体"/>
          <w:color w:val="auto"/>
          <w:spacing w:val="3"/>
          <w:sz w:val="20"/>
          <w:szCs w:val="20"/>
          <w:highlight w:val="none"/>
        </w:rPr>
        <w:t>竞标报价（包含首次报价、最后报价）超过所竞标分标规定的</w:t>
      </w:r>
      <w:r>
        <w:rPr>
          <w:rFonts w:ascii="宋体" w:hAnsi="宋体" w:eastAsia="宋体" w:cs="宋体"/>
          <w:color w:val="auto"/>
          <w:spacing w:val="2"/>
          <w:sz w:val="20"/>
          <w:szCs w:val="20"/>
          <w:highlight w:val="none"/>
        </w:rPr>
        <w:t>采购预算金额或者最高限价的（如</w:t>
      </w:r>
      <w:r>
        <w:rPr>
          <w:rFonts w:ascii="宋体" w:hAnsi="宋体" w:eastAsia="宋体" w:cs="宋体"/>
          <w:color w:val="auto"/>
          <w:spacing w:val="8"/>
          <w:sz w:val="20"/>
          <w:szCs w:val="20"/>
          <w:highlight w:val="none"/>
        </w:rPr>
        <w:t>本项目公布了最高限价</w:t>
      </w:r>
      <w:r>
        <w:rPr>
          <w:rFonts w:ascii="宋体" w:hAnsi="宋体" w:eastAsia="宋体" w:cs="宋体"/>
          <w:color w:val="auto"/>
          <w:spacing w:val="21"/>
          <w:sz w:val="20"/>
          <w:szCs w:val="20"/>
          <w:highlight w:val="none"/>
        </w:rPr>
        <w:t>），</w:t>
      </w:r>
      <w:r>
        <w:rPr>
          <w:rFonts w:ascii="宋体" w:hAnsi="宋体" w:eastAsia="宋体" w:cs="宋体"/>
          <w:color w:val="auto"/>
          <w:spacing w:val="8"/>
          <w:sz w:val="20"/>
          <w:szCs w:val="20"/>
          <w:highlight w:val="none"/>
        </w:rPr>
        <w:t>其响应文件将作无效处理。</w:t>
      </w:r>
    </w:p>
    <w:p w14:paraId="6BF122CE">
      <w:pPr>
        <w:spacing w:before="156" w:line="298" w:lineRule="auto"/>
        <w:ind w:left="18" w:right="56" w:firstLine="41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15.3.3</w:t>
      </w:r>
      <w:r>
        <w:rPr>
          <w:rFonts w:ascii="宋体" w:hAnsi="宋体" w:eastAsia="宋体" w:cs="宋体"/>
          <w:color w:val="auto"/>
          <w:spacing w:val="-35"/>
          <w:sz w:val="20"/>
          <w:szCs w:val="20"/>
          <w:highlight w:val="none"/>
        </w:rPr>
        <w:t xml:space="preserve"> </w:t>
      </w:r>
      <w:r>
        <w:rPr>
          <w:rFonts w:ascii="宋体" w:hAnsi="宋体" w:eastAsia="宋体" w:cs="宋体"/>
          <w:color w:val="auto"/>
          <w:spacing w:val="7"/>
          <w:sz w:val="20"/>
          <w:szCs w:val="20"/>
          <w:highlight w:val="none"/>
        </w:rPr>
        <w:t>竞标报价（包含首次报价、最后报价）超过分项采购预算金额或者最高限价的（如本项</w:t>
      </w:r>
      <w:r>
        <w:rPr>
          <w:rFonts w:ascii="宋体" w:hAnsi="宋体" w:eastAsia="宋体" w:cs="宋体"/>
          <w:color w:val="auto"/>
          <w:spacing w:val="6"/>
          <w:sz w:val="20"/>
          <w:szCs w:val="20"/>
          <w:highlight w:val="none"/>
        </w:rPr>
        <w:t>目公布</w:t>
      </w:r>
      <w:r>
        <w:rPr>
          <w:rFonts w:ascii="宋体" w:hAnsi="宋体" w:eastAsia="宋体" w:cs="宋体"/>
          <w:color w:val="auto"/>
          <w:spacing w:val="7"/>
          <w:sz w:val="20"/>
          <w:szCs w:val="20"/>
          <w:highlight w:val="none"/>
        </w:rPr>
        <w:t>了最高限价</w:t>
      </w:r>
      <w:r>
        <w:rPr>
          <w:rFonts w:ascii="宋体" w:hAnsi="宋体" w:eastAsia="宋体" w:cs="宋体"/>
          <w:color w:val="auto"/>
          <w:spacing w:val="15"/>
          <w:sz w:val="20"/>
          <w:szCs w:val="20"/>
          <w:highlight w:val="none"/>
        </w:rPr>
        <w:t>），</w:t>
      </w:r>
      <w:r>
        <w:rPr>
          <w:rFonts w:ascii="宋体" w:hAnsi="宋体" w:eastAsia="宋体" w:cs="宋体"/>
          <w:color w:val="auto"/>
          <w:spacing w:val="7"/>
          <w:sz w:val="20"/>
          <w:szCs w:val="20"/>
          <w:highlight w:val="none"/>
        </w:rPr>
        <w:t>其响应文件将作无效处理。</w:t>
      </w:r>
    </w:p>
    <w:p w14:paraId="6B59AA84">
      <w:pPr>
        <w:spacing w:before="154" w:line="228" w:lineRule="auto"/>
        <w:ind w:left="43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16.竞标有效期</w:t>
      </w:r>
    </w:p>
    <w:p w14:paraId="2E45C97C">
      <w:pPr>
        <w:spacing w:before="154" w:line="298" w:lineRule="auto"/>
        <w:ind w:right="56" w:firstLine="43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16.1</w:t>
      </w:r>
      <w:r>
        <w:rPr>
          <w:rFonts w:ascii="宋体" w:hAnsi="宋体" w:eastAsia="宋体" w:cs="宋体"/>
          <w:color w:val="auto"/>
          <w:spacing w:val="-31"/>
          <w:sz w:val="20"/>
          <w:szCs w:val="20"/>
          <w:highlight w:val="none"/>
        </w:rPr>
        <w:t xml:space="preserve"> </w:t>
      </w:r>
      <w:r>
        <w:rPr>
          <w:rFonts w:ascii="宋体" w:hAnsi="宋体" w:eastAsia="宋体" w:cs="宋体"/>
          <w:color w:val="auto"/>
          <w:spacing w:val="7"/>
          <w:sz w:val="20"/>
          <w:szCs w:val="20"/>
          <w:highlight w:val="none"/>
        </w:rPr>
        <w:t>竞标有效期是指为保证采购人有足够的时间在提交响应文件后完成评审、确定成交供应商、合同</w:t>
      </w:r>
      <w:r>
        <w:rPr>
          <w:rFonts w:ascii="宋体" w:hAnsi="宋体" w:eastAsia="宋体" w:cs="宋体"/>
          <w:color w:val="auto"/>
          <w:spacing w:val="9"/>
          <w:sz w:val="20"/>
          <w:szCs w:val="20"/>
          <w:highlight w:val="none"/>
        </w:rPr>
        <w:t>签订等工作而要求供应商提交的响应文件在一定时间内保持有效的期限。</w:t>
      </w:r>
    </w:p>
    <w:p w14:paraId="57A5237C">
      <w:pPr>
        <w:spacing w:before="153" w:line="227" w:lineRule="auto"/>
        <w:ind w:left="43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16.2 竞标有效期应由供应商按“供应</w:t>
      </w:r>
      <w:r>
        <w:rPr>
          <w:rFonts w:ascii="宋体" w:hAnsi="宋体" w:eastAsia="宋体" w:cs="宋体"/>
          <w:color w:val="auto"/>
          <w:spacing w:val="7"/>
          <w:sz w:val="20"/>
          <w:szCs w:val="20"/>
          <w:highlight w:val="none"/>
        </w:rPr>
        <w:t>商须知前附表”规定的期限作出响应。</w:t>
      </w:r>
    </w:p>
    <w:p w14:paraId="37348DE3">
      <w:pPr>
        <w:spacing w:before="156" w:line="298" w:lineRule="auto"/>
        <w:ind w:left="435" w:right="442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16.3</w:t>
      </w:r>
      <w:r>
        <w:rPr>
          <w:rFonts w:ascii="宋体" w:hAnsi="宋体" w:eastAsia="宋体" w:cs="宋体"/>
          <w:color w:val="auto"/>
          <w:spacing w:val="-28"/>
          <w:sz w:val="20"/>
          <w:szCs w:val="20"/>
          <w:highlight w:val="none"/>
        </w:rPr>
        <w:t xml:space="preserve"> </w:t>
      </w:r>
      <w:r>
        <w:rPr>
          <w:rFonts w:ascii="宋体" w:hAnsi="宋体" w:eastAsia="宋体" w:cs="宋体"/>
          <w:color w:val="auto"/>
          <w:spacing w:val="6"/>
          <w:sz w:val="20"/>
          <w:szCs w:val="20"/>
          <w:highlight w:val="none"/>
        </w:rPr>
        <w:t>供应商的响应文件在竞标有效期内均保持有效。</w:t>
      </w:r>
      <w:r>
        <w:rPr>
          <w:rFonts w:ascii="宋体" w:hAnsi="宋体" w:eastAsia="宋体" w:cs="宋体"/>
          <w:color w:val="auto"/>
          <w:spacing w:val="7"/>
          <w:sz w:val="20"/>
          <w:szCs w:val="20"/>
          <w:highlight w:val="none"/>
        </w:rPr>
        <w:t>17.磋商保证金：</w:t>
      </w:r>
    </w:p>
    <w:p w14:paraId="5886317E">
      <w:pPr>
        <w:spacing w:line="298" w:lineRule="auto"/>
        <w:rPr>
          <w:rFonts w:ascii="宋体" w:hAnsi="宋体" w:eastAsia="宋体" w:cs="宋体"/>
          <w:color w:val="auto"/>
          <w:sz w:val="20"/>
          <w:szCs w:val="20"/>
          <w:highlight w:val="none"/>
        </w:rPr>
      </w:pPr>
    </w:p>
    <w:p w14:paraId="404B393A">
      <w:pPr>
        <w:spacing w:line="360" w:lineRule="auto"/>
        <w:ind w:left="420" w:left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17.1供应商须按“供应商须知前附表”的规定提交磋商保证金。</w:t>
      </w:r>
    </w:p>
    <w:p w14:paraId="4F91D1D4">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152F1675">
      <w:pPr>
        <w:spacing w:line="360" w:lineRule="auto"/>
        <w:ind w:firstLine="420" w:firstLineChars="200"/>
        <w:rPr>
          <w:rFonts w:hint="eastAsia" w:ascii="宋体" w:hAnsi="宋体" w:cs="宋体"/>
          <w:color w:val="auto"/>
          <w:szCs w:val="21"/>
          <w:highlight w:val="none"/>
        </w:rPr>
      </w:pPr>
      <w:bookmarkStart w:id="32"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w:t>
      </w:r>
      <w:r>
        <w:rPr>
          <w:rFonts w:hint="eastAsia" w:ascii="宋体" w:hAnsi="宋体" w:cs="宋体"/>
          <w:color w:val="auto"/>
          <w:spacing w:val="-6"/>
          <w:szCs w:val="21"/>
          <w:highlight w:val="none"/>
          <w:lang w:val="en-US" w:eastAsia="zh-CN"/>
        </w:rPr>
        <w:t>磋商</w:t>
      </w:r>
      <w:r>
        <w:rPr>
          <w:rFonts w:hint="eastAsia" w:ascii="宋体" w:hAnsi="宋体" w:cs="宋体"/>
          <w:color w:val="auto"/>
          <w:spacing w:val="-6"/>
          <w:szCs w:val="21"/>
          <w:highlight w:val="none"/>
        </w:rPr>
        <w:t>保证金自成交通知书发出之日起</w:t>
      </w:r>
      <w:r>
        <w:rPr>
          <w:rFonts w:hint="eastAsia" w:ascii="宋体" w:hAnsi="宋体" w:cs="宋体"/>
          <w:color w:val="auto"/>
          <w:spacing w:val="-6"/>
          <w:szCs w:val="21"/>
          <w:highlight w:val="none"/>
          <w:lang w:val="en-US" w:eastAsia="zh-CN"/>
        </w:rPr>
        <w:t>5</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成交供应商的磋商保证金自签订合同之日起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个工作日内退还。</w:t>
      </w:r>
      <w:bookmarkEnd w:id="32"/>
    </w:p>
    <w:p w14:paraId="7F3B309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67501F4D">
      <w:pPr>
        <w:spacing w:before="41" w:line="228"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18.响应文件编制的要求</w:t>
      </w:r>
    </w:p>
    <w:p w14:paraId="22CDE6A3">
      <w:pPr>
        <w:spacing w:before="150" w:line="346" w:lineRule="auto"/>
        <w:ind w:left="1" w:right="1" w:firstLine="43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18.1</w:t>
      </w:r>
      <w:r>
        <w:rPr>
          <w:rFonts w:ascii="宋体" w:hAnsi="宋体" w:eastAsia="宋体" w:cs="宋体"/>
          <w:color w:val="auto"/>
          <w:spacing w:val="-16"/>
          <w:sz w:val="20"/>
          <w:szCs w:val="20"/>
          <w:highlight w:val="none"/>
        </w:rPr>
        <w:t xml:space="preserve"> </w:t>
      </w:r>
      <w:r>
        <w:rPr>
          <w:rFonts w:ascii="宋体" w:hAnsi="宋体" w:eastAsia="宋体" w:cs="宋体"/>
          <w:color w:val="auto"/>
          <w:spacing w:val="7"/>
          <w:sz w:val="20"/>
          <w:szCs w:val="20"/>
          <w:highlight w:val="none"/>
        </w:rPr>
        <w:t>电子响应文件中须加盖供应商公章部分均采用</w:t>
      </w:r>
      <w:r>
        <w:rPr>
          <w:rFonts w:ascii="宋体" w:hAnsi="宋体" w:eastAsia="宋体" w:cs="宋体"/>
          <w:color w:val="auto"/>
          <w:sz w:val="20"/>
          <w:szCs w:val="20"/>
          <w:highlight w:val="none"/>
        </w:rPr>
        <w:t>CA</w:t>
      </w:r>
      <w:r>
        <w:rPr>
          <w:rFonts w:ascii="宋体" w:hAnsi="宋体" w:eastAsia="宋体" w:cs="宋体"/>
          <w:color w:val="auto"/>
          <w:spacing w:val="7"/>
          <w:sz w:val="20"/>
          <w:szCs w:val="20"/>
          <w:highlight w:val="none"/>
        </w:rPr>
        <w:t>签章，并根据“</w:t>
      </w:r>
      <w:r>
        <w:rPr>
          <w:rFonts w:ascii="宋体" w:hAnsi="宋体" w:eastAsia="宋体" w:cs="宋体"/>
          <w:color w:val="auto"/>
          <w:spacing w:val="6"/>
          <w:sz w:val="20"/>
          <w:szCs w:val="20"/>
          <w:highlight w:val="none"/>
        </w:rPr>
        <w:t>政府采购项目电子交易管理操</w:t>
      </w:r>
      <w:r>
        <w:rPr>
          <w:rFonts w:ascii="宋体" w:hAnsi="宋体" w:eastAsia="宋体" w:cs="宋体"/>
          <w:color w:val="auto"/>
          <w:spacing w:val="9"/>
          <w:sz w:val="20"/>
          <w:szCs w:val="20"/>
          <w:highlight w:val="none"/>
        </w:rPr>
        <w:t>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w:t>
      </w:r>
      <w:r>
        <w:rPr>
          <w:rFonts w:ascii="宋体" w:hAnsi="宋体" w:eastAsia="宋体" w:cs="宋体"/>
          <w:color w:val="auto"/>
          <w:spacing w:val="11"/>
          <w:sz w:val="20"/>
          <w:szCs w:val="20"/>
          <w:highlight w:val="none"/>
        </w:rPr>
        <w:t>自行承担。电子响应文件如内容不完整、编排混乱导致电子响应</w:t>
      </w:r>
      <w:r>
        <w:rPr>
          <w:rFonts w:ascii="宋体" w:hAnsi="宋体" w:eastAsia="宋体" w:cs="宋体"/>
          <w:color w:val="auto"/>
          <w:spacing w:val="10"/>
          <w:sz w:val="20"/>
          <w:szCs w:val="20"/>
          <w:highlight w:val="none"/>
        </w:rPr>
        <w:t>文件被误读、漏读，或者在按采购文件</w:t>
      </w:r>
      <w:r>
        <w:rPr>
          <w:rFonts w:ascii="宋体" w:hAnsi="宋体" w:eastAsia="宋体" w:cs="宋体"/>
          <w:color w:val="auto"/>
          <w:spacing w:val="9"/>
          <w:sz w:val="20"/>
          <w:szCs w:val="20"/>
          <w:highlight w:val="none"/>
        </w:rPr>
        <w:t>规定的部位查找不到相关内容的，由供应商自行承担。</w:t>
      </w:r>
    </w:p>
    <w:p w14:paraId="651B35C9">
      <w:pPr>
        <w:spacing w:before="152" w:line="299" w:lineRule="auto"/>
        <w:ind w:left="2" w:right="3" w:firstLine="43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 xml:space="preserve">18.2 </w:t>
      </w:r>
      <w:r>
        <w:rPr>
          <w:rFonts w:ascii="宋体" w:hAnsi="宋体" w:eastAsia="宋体" w:cs="宋体"/>
          <w:color w:val="auto"/>
          <w:sz w:val="20"/>
          <w:szCs w:val="20"/>
          <w:highlight w:val="none"/>
        </w:rPr>
        <w:t>CA</w:t>
      </w:r>
      <w:r>
        <w:rPr>
          <w:rFonts w:ascii="宋体" w:hAnsi="宋体" w:eastAsia="宋体" w:cs="宋体"/>
          <w:color w:val="auto"/>
          <w:spacing w:val="9"/>
          <w:sz w:val="20"/>
          <w:szCs w:val="20"/>
          <w:highlight w:val="none"/>
        </w:rPr>
        <w:t>签章上若没有法人或授权代表签字信息</w:t>
      </w:r>
      <w:r>
        <w:rPr>
          <w:rFonts w:ascii="宋体" w:hAnsi="宋体" w:eastAsia="宋体" w:cs="宋体"/>
          <w:color w:val="auto"/>
          <w:spacing w:val="8"/>
          <w:sz w:val="20"/>
          <w:szCs w:val="20"/>
          <w:highlight w:val="none"/>
        </w:rPr>
        <w:t>，供应商在响应文件中涉及到签字的位置线下签好字</w:t>
      </w:r>
      <w:r>
        <w:rPr>
          <w:rFonts w:ascii="宋体" w:hAnsi="宋体" w:eastAsia="宋体" w:cs="宋体"/>
          <w:color w:val="auto"/>
          <w:spacing w:val="7"/>
          <w:sz w:val="20"/>
          <w:szCs w:val="20"/>
          <w:highlight w:val="none"/>
        </w:rPr>
        <w:t>然后扫描或者拍照做成</w:t>
      </w:r>
      <w:r>
        <w:rPr>
          <w:rFonts w:ascii="宋体" w:hAnsi="宋体" w:eastAsia="宋体" w:cs="宋体"/>
          <w:color w:val="auto"/>
          <w:sz w:val="20"/>
          <w:szCs w:val="20"/>
          <w:highlight w:val="none"/>
        </w:rPr>
        <w:t>PDF</w:t>
      </w:r>
      <w:r>
        <w:rPr>
          <w:rFonts w:ascii="宋体" w:hAnsi="宋体" w:eastAsia="宋体" w:cs="宋体"/>
          <w:color w:val="auto"/>
          <w:spacing w:val="7"/>
          <w:sz w:val="20"/>
          <w:szCs w:val="20"/>
          <w:highlight w:val="none"/>
        </w:rPr>
        <w:t>的格式即可。</w:t>
      </w:r>
    </w:p>
    <w:p w14:paraId="1E702AC1">
      <w:pPr>
        <w:spacing w:before="154" w:line="297" w:lineRule="auto"/>
        <w:ind w:left="3" w:right="1" w:firstLine="43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18.3</w:t>
      </w:r>
      <w:r>
        <w:rPr>
          <w:rFonts w:ascii="宋体" w:hAnsi="宋体" w:eastAsia="宋体" w:cs="宋体"/>
          <w:color w:val="auto"/>
          <w:spacing w:val="-16"/>
          <w:sz w:val="20"/>
          <w:szCs w:val="20"/>
          <w:highlight w:val="none"/>
        </w:rPr>
        <w:t xml:space="preserve"> </w:t>
      </w:r>
      <w:r>
        <w:rPr>
          <w:rFonts w:ascii="宋体" w:hAnsi="宋体" w:eastAsia="宋体" w:cs="宋体"/>
          <w:color w:val="auto"/>
          <w:spacing w:val="7"/>
          <w:sz w:val="20"/>
          <w:szCs w:val="20"/>
          <w:highlight w:val="none"/>
        </w:rPr>
        <w:t>电子响应文件中标注的供应商名称应与主体资格证明（如营业执照</w:t>
      </w:r>
      <w:r>
        <w:rPr>
          <w:rFonts w:ascii="宋体" w:hAnsi="宋体" w:eastAsia="宋体" w:cs="宋体"/>
          <w:color w:val="auto"/>
          <w:spacing w:val="6"/>
          <w:sz w:val="20"/>
          <w:szCs w:val="20"/>
          <w:highlight w:val="none"/>
        </w:rPr>
        <w:t>、事业单位法人证书、执业许</w:t>
      </w:r>
      <w:r>
        <w:rPr>
          <w:rFonts w:ascii="宋体" w:hAnsi="宋体" w:eastAsia="宋体" w:cs="宋体"/>
          <w:color w:val="auto"/>
          <w:spacing w:val="8"/>
          <w:sz w:val="20"/>
          <w:szCs w:val="20"/>
          <w:highlight w:val="none"/>
        </w:rPr>
        <w:t>可证、个体工商户营业执照、自然人身份证等）和公章一致，否则其电子响应文件作无效处理。</w:t>
      </w:r>
    </w:p>
    <w:p w14:paraId="670BE3A9">
      <w:pPr>
        <w:spacing w:before="153" w:line="322" w:lineRule="auto"/>
        <w:ind w:left="3" w:right="1" w:firstLine="43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18.4</w:t>
      </w:r>
      <w:r>
        <w:rPr>
          <w:rFonts w:ascii="宋体" w:hAnsi="宋体" w:eastAsia="宋体" w:cs="宋体"/>
          <w:color w:val="auto"/>
          <w:spacing w:val="-16"/>
          <w:sz w:val="20"/>
          <w:szCs w:val="20"/>
          <w:highlight w:val="none"/>
        </w:rPr>
        <w:t xml:space="preserve"> </w:t>
      </w:r>
      <w:r>
        <w:rPr>
          <w:rFonts w:ascii="宋体" w:hAnsi="宋体" w:eastAsia="宋体" w:cs="宋体"/>
          <w:color w:val="auto"/>
          <w:spacing w:val="7"/>
          <w:sz w:val="20"/>
          <w:szCs w:val="20"/>
          <w:highlight w:val="none"/>
        </w:rPr>
        <w:t>电子响应文件应尽量避免涂改、行间插字或删除。如果出现上述情</w:t>
      </w:r>
      <w:r>
        <w:rPr>
          <w:rFonts w:ascii="宋体" w:hAnsi="宋体" w:eastAsia="宋体" w:cs="宋体"/>
          <w:color w:val="auto"/>
          <w:spacing w:val="6"/>
          <w:sz w:val="20"/>
          <w:szCs w:val="20"/>
          <w:highlight w:val="none"/>
        </w:rPr>
        <w:t>况，改动之处应由供应商的法</w:t>
      </w:r>
      <w:r>
        <w:rPr>
          <w:rFonts w:ascii="宋体" w:hAnsi="宋体" w:eastAsia="宋体" w:cs="宋体"/>
          <w:color w:val="auto"/>
          <w:spacing w:val="9"/>
          <w:sz w:val="20"/>
          <w:szCs w:val="20"/>
          <w:highlight w:val="none"/>
        </w:rPr>
        <w:t>定代表人（负责人或自然人）或其委托代理人签字或盖章。电子响应文件因字迹潦草或表达不清所引起的</w:t>
      </w:r>
      <w:r>
        <w:rPr>
          <w:rFonts w:ascii="宋体" w:hAnsi="宋体" w:eastAsia="宋体" w:cs="宋体"/>
          <w:color w:val="auto"/>
          <w:spacing w:val="7"/>
          <w:sz w:val="20"/>
          <w:szCs w:val="20"/>
          <w:highlight w:val="none"/>
        </w:rPr>
        <w:t>后果由供应商承担。</w:t>
      </w:r>
    </w:p>
    <w:p w14:paraId="3BA6C39F">
      <w:pPr>
        <w:spacing w:before="154" w:line="228"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19.响应文件的递交</w:t>
      </w:r>
    </w:p>
    <w:p w14:paraId="5AE0909B">
      <w:pPr>
        <w:spacing w:before="154" w:line="298" w:lineRule="auto"/>
        <w:ind w:left="424" w:right="2272" w:firstLine="1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19.1</w:t>
      </w:r>
      <w:r>
        <w:rPr>
          <w:rFonts w:ascii="宋体" w:hAnsi="宋体" w:eastAsia="宋体" w:cs="宋体"/>
          <w:color w:val="auto"/>
          <w:spacing w:val="-40"/>
          <w:sz w:val="20"/>
          <w:szCs w:val="20"/>
          <w:highlight w:val="none"/>
        </w:rPr>
        <w:t xml:space="preserve"> </w:t>
      </w:r>
      <w:r>
        <w:rPr>
          <w:rFonts w:ascii="宋体" w:hAnsi="宋体" w:eastAsia="宋体" w:cs="宋体"/>
          <w:color w:val="auto"/>
          <w:spacing w:val="7"/>
          <w:sz w:val="20"/>
          <w:szCs w:val="20"/>
          <w:highlight w:val="none"/>
        </w:rPr>
        <w:t>供应商必须在“供应商须知前附表”规定</w:t>
      </w:r>
      <w:r>
        <w:rPr>
          <w:rFonts w:ascii="宋体" w:hAnsi="宋体" w:eastAsia="宋体" w:cs="宋体"/>
          <w:color w:val="auto"/>
          <w:spacing w:val="6"/>
          <w:sz w:val="20"/>
          <w:szCs w:val="20"/>
          <w:highlight w:val="none"/>
        </w:rPr>
        <w:t>的时间和地点提交响应文件。</w:t>
      </w:r>
      <w:r>
        <w:rPr>
          <w:rFonts w:ascii="宋体" w:hAnsi="宋体" w:eastAsia="宋体" w:cs="宋体"/>
          <w:color w:val="auto"/>
          <w:spacing w:val="8"/>
          <w:sz w:val="20"/>
          <w:szCs w:val="20"/>
          <w:highlight w:val="none"/>
        </w:rPr>
        <w:t>20.首次响应文件的补充、修改与撤回</w:t>
      </w:r>
    </w:p>
    <w:p w14:paraId="77AB003E">
      <w:pPr>
        <w:spacing w:before="154" w:line="341" w:lineRule="auto"/>
        <w:ind w:left="1" w:right="1" w:firstLine="430"/>
        <w:rPr>
          <w:rFonts w:ascii="宋体" w:hAnsi="宋体" w:eastAsia="宋体" w:cs="宋体"/>
          <w:color w:val="auto"/>
          <w:sz w:val="20"/>
          <w:szCs w:val="20"/>
          <w:highlight w:val="none"/>
        </w:rPr>
      </w:pPr>
      <w:r>
        <w:rPr>
          <w:rFonts w:ascii="宋体" w:hAnsi="宋体" w:eastAsia="宋体" w:cs="宋体"/>
          <w:b/>
          <w:bCs/>
          <w:color w:val="auto"/>
          <w:spacing w:val="9"/>
          <w:sz w:val="20"/>
          <w:szCs w:val="20"/>
          <w:highlight w:val="none"/>
        </w:rPr>
        <w:t>（1）供应商进行电子投标应安装客户端软件，并按照竞争性磋商文件和电子交易平台的要求编制并</w:t>
      </w:r>
      <w:r>
        <w:rPr>
          <w:rFonts w:ascii="宋体" w:hAnsi="宋体" w:eastAsia="宋体" w:cs="宋体"/>
          <w:b/>
          <w:bCs/>
          <w:color w:val="auto"/>
          <w:spacing w:val="7"/>
          <w:sz w:val="20"/>
          <w:szCs w:val="20"/>
          <w:highlight w:val="none"/>
        </w:rPr>
        <w:t>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w:t>
      </w:r>
      <w:r>
        <w:rPr>
          <w:rFonts w:ascii="宋体" w:hAnsi="宋体" w:eastAsia="宋体" w:cs="宋体"/>
          <w:b/>
          <w:bCs/>
          <w:color w:val="auto"/>
          <w:spacing w:val="8"/>
          <w:sz w:val="20"/>
          <w:szCs w:val="20"/>
          <w:highlight w:val="none"/>
        </w:rPr>
        <w:t>商响应文件。磋商截止时间后递交的磋商响应文件，电子交易平台将拒收。</w:t>
      </w:r>
    </w:p>
    <w:p w14:paraId="57333A24">
      <w:pPr>
        <w:spacing w:before="153" w:line="355" w:lineRule="auto"/>
        <w:ind w:right="3" w:firstLine="431"/>
        <w:rPr>
          <w:rFonts w:ascii="宋体" w:hAnsi="宋体" w:eastAsia="宋体" w:cs="宋体"/>
          <w:color w:val="auto"/>
          <w:sz w:val="20"/>
          <w:szCs w:val="20"/>
          <w:highlight w:val="none"/>
        </w:rPr>
      </w:pPr>
      <w:r>
        <w:rPr>
          <w:rFonts w:ascii="宋体" w:hAnsi="宋体" w:eastAsia="宋体" w:cs="宋体"/>
          <w:b/>
          <w:bCs/>
          <w:color w:val="auto"/>
          <w:spacing w:val="9"/>
          <w:sz w:val="20"/>
          <w:szCs w:val="20"/>
          <w:highlight w:val="none"/>
        </w:rPr>
        <w:t>（2）如有特殊情况，采购代理机构延长截止时间和开标时间，采购代理机构和供应商的权利和义务</w:t>
      </w:r>
      <w:r>
        <w:rPr>
          <w:rFonts w:ascii="宋体" w:hAnsi="宋体" w:eastAsia="宋体" w:cs="宋体"/>
          <w:b/>
          <w:bCs/>
          <w:color w:val="auto"/>
          <w:spacing w:val="7"/>
          <w:sz w:val="20"/>
          <w:szCs w:val="20"/>
          <w:highlight w:val="none"/>
        </w:rPr>
        <w:t>将受到新的截止时间和开标时间的约束。</w:t>
      </w:r>
    </w:p>
    <w:p w14:paraId="40A3D49C">
      <w:pPr>
        <w:spacing w:before="31" w:line="322" w:lineRule="auto"/>
        <w:ind w:left="1" w:right="1" w:firstLine="42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21. 采购人和采购代理机构对所接收的电子响应文件</w:t>
      </w:r>
      <w:r>
        <w:rPr>
          <w:rFonts w:ascii="宋体" w:hAnsi="宋体" w:eastAsia="宋体" w:cs="宋体"/>
          <w:color w:val="auto"/>
          <w:spacing w:val="6"/>
          <w:sz w:val="20"/>
          <w:szCs w:val="20"/>
          <w:highlight w:val="none"/>
        </w:rPr>
        <w:t>除“第四章 评审程序和评定成交的标准”8.6条</w:t>
      </w:r>
      <w:r>
        <w:rPr>
          <w:rFonts w:ascii="宋体" w:hAnsi="宋体" w:eastAsia="宋体" w:cs="宋体"/>
          <w:color w:val="auto"/>
          <w:spacing w:val="9"/>
          <w:sz w:val="20"/>
          <w:szCs w:val="20"/>
          <w:highlight w:val="none"/>
        </w:rPr>
        <w:t>规定的情形外，在首次电子响应文件提交截止时间止提交电子响应文</w:t>
      </w:r>
      <w:r>
        <w:rPr>
          <w:rFonts w:ascii="宋体" w:hAnsi="宋体" w:eastAsia="宋体" w:cs="宋体"/>
          <w:color w:val="auto"/>
          <w:spacing w:val="8"/>
          <w:sz w:val="20"/>
          <w:szCs w:val="20"/>
          <w:highlight w:val="none"/>
        </w:rPr>
        <w:t>件的供应商不足3家的，应当退回供</w:t>
      </w:r>
      <w:r>
        <w:rPr>
          <w:rFonts w:ascii="宋体" w:hAnsi="宋体" w:eastAsia="宋体" w:cs="宋体"/>
          <w:color w:val="auto"/>
          <w:spacing w:val="7"/>
          <w:sz w:val="20"/>
          <w:szCs w:val="20"/>
          <w:highlight w:val="none"/>
        </w:rPr>
        <w:t>应商电子响应文件。</w:t>
      </w:r>
    </w:p>
    <w:p w14:paraId="72563EE5">
      <w:pPr>
        <w:spacing w:before="155" w:line="297" w:lineRule="auto"/>
        <w:ind w:left="18" w:right="3" w:firstLine="40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22. 供应商在首次电子响应文件提交截止时间后向采购人、采购代理机构书面</w:t>
      </w:r>
      <w:r>
        <w:rPr>
          <w:rFonts w:ascii="宋体" w:hAnsi="宋体" w:eastAsia="宋体" w:cs="宋体"/>
          <w:color w:val="auto"/>
          <w:spacing w:val="8"/>
          <w:sz w:val="20"/>
          <w:szCs w:val="20"/>
          <w:highlight w:val="none"/>
        </w:rPr>
        <w:t>申请撤回电子响应文件</w:t>
      </w:r>
      <w:r>
        <w:rPr>
          <w:rFonts w:ascii="宋体" w:hAnsi="宋体" w:eastAsia="宋体" w:cs="宋体"/>
          <w:color w:val="auto"/>
          <w:spacing w:val="9"/>
          <w:sz w:val="20"/>
          <w:szCs w:val="20"/>
          <w:highlight w:val="none"/>
        </w:rPr>
        <w:t>的，除此之外采购人和采购代理机构对已开启的电子响应文</w:t>
      </w:r>
      <w:r>
        <w:rPr>
          <w:rFonts w:ascii="宋体" w:hAnsi="宋体" w:eastAsia="宋体" w:cs="宋体"/>
          <w:color w:val="auto"/>
          <w:spacing w:val="8"/>
          <w:sz w:val="20"/>
          <w:szCs w:val="20"/>
          <w:highlight w:val="none"/>
        </w:rPr>
        <w:t>件概不退回。</w:t>
      </w:r>
    </w:p>
    <w:p w14:paraId="6B9E72BD">
      <w:pPr>
        <w:spacing w:before="155" w:line="228" w:lineRule="auto"/>
        <w:ind w:left="42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23.网上开标、电子评标：</w:t>
      </w:r>
    </w:p>
    <w:p w14:paraId="250FA35E">
      <w:pPr>
        <w:spacing w:before="153" w:line="363" w:lineRule="auto"/>
        <w:ind w:firstLine="421"/>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供应商根据竞争性磋商文件要求，登录广西政府采购云平台，在指定时间内将电子响</w:t>
      </w:r>
      <w:r>
        <w:rPr>
          <w:rFonts w:ascii="宋体" w:hAnsi="宋体" w:eastAsia="宋体" w:cs="宋体"/>
          <w:color w:val="auto"/>
          <w:spacing w:val="11"/>
          <w:sz w:val="20"/>
          <w:szCs w:val="20"/>
          <w:highlight w:val="none"/>
        </w:rPr>
        <w:t>应文件通过</w:t>
      </w:r>
      <w:r>
        <w:rPr>
          <w:rFonts w:ascii="宋体" w:hAnsi="宋体" w:eastAsia="宋体" w:cs="宋体"/>
          <w:color w:val="auto"/>
          <w:sz w:val="20"/>
          <w:szCs w:val="20"/>
          <w:highlight w:val="none"/>
        </w:rPr>
        <w:t>CA</w:t>
      </w:r>
      <w:r>
        <w:rPr>
          <w:rFonts w:ascii="宋体" w:hAnsi="宋体" w:eastAsia="宋体" w:cs="宋体"/>
          <w:color w:val="auto"/>
          <w:spacing w:val="9"/>
          <w:sz w:val="20"/>
          <w:szCs w:val="20"/>
          <w:highlight w:val="none"/>
        </w:rPr>
        <w:t>加密后上传完成投标。开标实行网上不见面开标。到达开标时间后，采购代理机构工作人员在广西政府采购云平台开始网上开标，供应商在竞争性磋商文件指定解密时间内各自远程登录广西政府采购云平台进行响应文件解密，供应商全部解密完成或解密时间结束后由采购代理机构工作人员开启唱标及评标程序，供</w:t>
      </w:r>
      <w:r>
        <w:rPr>
          <w:rFonts w:ascii="宋体" w:hAnsi="宋体" w:eastAsia="宋体" w:cs="宋体"/>
          <w:color w:val="auto"/>
          <w:spacing w:val="10"/>
          <w:sz w:val="20"/>
          <w:szCs w:val="20"/>
          <w:highlight w:val="none"/>
        </w:rPr>
        <w:t>应商可在个人电脑上查看到唱标信息，并等待专家评</w:t>
      </w:r>
      <w:r>
        <w:rPr>
          <w:rFonts w:ascii="宋体" w:hAnsi="宋体" w:eastAsia="宋体" w:cs="宋体"/>
          <w:color w:val="auto"/>
          <w:spacing w:val="9"/>
          <w:sz w:val="20"/>
          <w:szCs w:val="20"/>
          <w:highlight w:val="none"/>
        </w:rPr>
        <w:t>委评审，评审结束后系统中将显示评标结果。</w:t>
      </w:r>
    </w:p>
    <w:p w14:paraId="0D629B32">
      <w:pPr>
        <w:spacing w:line="363" w:lineRule="auto"/>
        <w:rPr>
          <w:rFonts w:ascii="宋体" w:hAnsi="宋体" w:eastAsia="宋体" w:cs="宋体"/>
          <w:color w:val="auto"/>
          <w:sz w:val="20"/>
          <w:szCs w:val="20"/>
          <w:highlight w:val="none"/>
        </w:rPr>
        <w:sectPr>
          <w:footerReference r:id="rId12" w:type="default"/>
          <w:pgSz w:w="11906" w:h="16839"/>
          <w:pgMar w:top="1260" w:right="1133" w:bottom="1362" w:left="1139" w:header="0" w:footer="1200" w:gutter="0"/>
          <w:pgNumType w:fmt="decimal"/>
          <w:cols w:space="720" w:num="1"/>
        </w:sectPr>
      </w:pPr>
    </w:p>
    <w:p w14:paraId="73A35310">
      <w:pPr>
        <w:spacing w:before="178" w:line="225" w:lineRule="auto"/>
        <w:ind w:left="4151"/>
        <w:outlineLvl w:val="1"/>
        <w:rPr>
          <w:rFonts w:ascii="宋体" w:hAnsi="宋体" w:eastAsia="宋体" w:cs="宋体"/>
          <w:color w:val="auto"/>
          <w:sz w:val="31"/>
          <w:szCs w:val="31"/>
          <w:highlight w:val="none"/>
        </w:rPr>
      </w:pPr>
      <w:bookmarkStart w:id="33" w:name="_Toc26003"/>
      <w:bookmarkStart w:id="34" w:name="_Toc13236"/>
      <w:r>
        <w:rPr>
          <w:rFonts w:ascii="宋体" w:hAnsi="宋体" w:eastAsia="宋体" w:cs="宋体"/>
          <w:b/>
          <w:bCs/>
          <w:color w:val="auto"/>
          <w:spacing w:val="1"/>
          <w:sz w:val="31"/>
          <w:szCs w:val="31"/>
          <w:highlight w:val="none"/>
        </w:rPr>
        <w:t>四、评审及磋商</w:t>
      </w:r>
      <w:bookmarkEnd w:id="33"/>
      <w:bookmarkEnd w:id="34"/>
    </w:p>
    <w:p w14:paraId="6BE73C23">
      <w:pPr>
        <w:pStyle w:val="4"/>
        <w:spacing w:line="447" w:lineRule="auto"/>
        <w:rPr>
          <w:color w:val="auto"/>
          <w:highlight w:val="none"/>
        </w:rPr>
      </w:pPr>
    </w:p>
    <w:p w14:paraId="558AA9ED">
      <w:pPr>
        <w:spacing w:before="65" w:line="228"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24.磋商小组成立及响应文件的开启</w:t>
      </w:r>
    </w:p>
    <w:p w14:paraId="27F9A732">
      <w:pPr>
        <w:spacing w:before="152" w:line="341" w:lineRule="auto"/>
        <w:ind w:right="70" w:firstLine="42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24.1</w:t>
      </w:r>
      <w:r>
        <w:rPr>
          <w:rFonts w:ascii="宋体" w:hAnsi="宋体" w:eastAsia="宋体" w:cs="宋体"/>
          <w:color w:val="auto"/>
          <w:spacing w:val="-31"/>
          <w:sz w:val="20"/>
          <w:szCs w:val="20"/>
          <w:highlight w:val="none"/>
        </w:rPr>
        <w:t xml:space="preserve"> </w:t>
      </w:r>
      <w:r>
        <w:rPr>
          <w:rFonts w:ascii="宋体" w:hAnsi="宋体" w:eastAsia="宋体" w:cs="宋体"/>
          <w:color w:val="auto"/>
          <w:spacing w:val="6"/>
          <w:sz w:val="20"/>
          <w:szCs w:val="20"/>
          <w:highlight w:val="none"/>
        </w:rPr>
        <w:t>磋商小组由采购人代表和评审专家共3人以上单数组成，具体人数见“供应商须知前附表”，其</w:t>
      </w:r>
      <w:r>
        <w:rPr>
          <w:rFonts w:ascii="宋体" w:hAnsi="宋体" w:eastAsia="宋体" w:cs="宋体"/>
          <w:color w:val="auto"/>
          <w:spacing w:val="10"/>
          <w:sz w:val="20"/>
          <w:szCs w:val="20"/>
          <w:highlight w:val="none"/>
        </w:rPr>
        <w:t>中评审专家人数不得少于磋商小组成员总数的2/3。采购人代表不得以评审专家身份</w:t>
      </w:r>
      <w:r>
        <w:rPr>
          <w:rFonts w:ascii="宋体" w:hAnsi="宋体" w:eastAsia="宋体" w:cs="宋体"/>
          <w:color w:val="auto"/>
          <w:spacing w:val="9"/>
          <w:sz w:val="20"/>
          <w:szCs w:val="20"/>
          <w:highlight w:val="none"/>
        </w:rPr>
        <w:t>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w:t>
      </w:r>
      <w:r>
        <w:rPr>
          <w:rFonts w:ascii="宋体" w:hAnsi="宋体" w:eastAsia="宋体" w:cs="宋体"/>
          <w:color w:val="auto"/>
          <w:spacing w:val="6"/>
          <w:sz w:val="20"/>
          <w:szCs w:val="20"/>
          <w:highlight w:val="none"/>
        </w:rPr>
        <w:t>磋商小组由5人以上单数组成。</w:t>
      </w:r>
    </w:p>
    <w:p w14:paraId="386A8F20">
      <w:pPr>
        <w:spacing w:before="153" w:line="334" w:lineRule="auto"/>
        <w:ind w:left="2" w:right="16"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24.2</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评审专家应当从政府采购评审专家库内相关</w:t>
      </w:r>
      <w:r>
        <w:rPr>
          <w:rFonts w:ascii="宋体" w:hAnsi="宋体" w:eastAsia="宋体" w:cs="宋体"/>
          <w:color w:val="auto"/>
          <w:spacing w:val="7"/>
          <w:sz w:val="20"/>
          <w:szCs w:val="20"/>
          <w:highlight w:val="none"/>
        </w:rPr>
        <w:t>专业的专家名单中随机抽取。市场竞争不充分的科研</w:t>
      </w:r>
      <w:r>
        <w:rPr>
          <w:rFonts w:ascii="宋体" w:hAnsi="宋体" w:eastAsia="宋体" w:cs="宋体"/>
          <w:color w:val="auto"/>
          <w:spacing w:val="6"/>
          <w:sz w:val="20"/>
          <w:szCs w:val="20"/>
          <w:highlight w:val="none"/>
        </w:rPr>
        <w:t>项目，以及需要扶持的科技成果转化项目，以及情况特殊、通过随机方式难以确定合适的评审专家的项目，</w:t>
      </w:r>
      <w:r>
        <w:rPr>
          <w:rFonts w:ascii="宋体" w:hAnsi="宋体" w:eastAsia="宋体" w:cs="宋体"/>
          <w:color w:val="auto"/>
          <w:spacing w:val="9"/>
          <w:sz w:val="20"/>
          <w:szCs w:val="20"/>
          <w:highlight w:val="none"/>
        </w:rPr>
        <w:t>经主管预算单位同意，可以自行选定评审专家。技术复杂、专业性强的采购项目，评审专家中应当包含1</w:t>
      </w:r>
      <w:r>
        <w:rPr>
          <w:rFonts w:ascii="宋体" w:hAnsi="宋体" w:eastAsia="宋体" w:cs="宋体"/>
          <w:color w:val="auto"/>
          <w:spacing w:val="6"/>
          <w:sz w:val="20"/>
          <w:szCs w:val="20"/>
          <w:highlight w:val="none"/>
        </w:rPr>
        <w:t>名法律专家。</w:t>
      </w:r>
    </w:p>
    <w:p w14:paraId="16CE049A">
      <w:pPr>
        <w:spacing w:before="151" w:line="299" w:lineRule="auto"/>
        <w:ind w:left="423" w:right="402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24.3</w:t>
      </w:r>
      <w:r>
        <w:rPr>
          <w:rFonts w:ascii="宋体" w:hAnsi="宋体" w:eastAsia="宋体" w:cs="宋体"/>
          <w:color w:val="auto"/>
          <w:spacing w:val="-29"/>
          <w:sz w:val="20"/>
          <w:szCs w:val="20"/>
          <w:highlight w:val="none"/>
        </w:rPr>
        <w:t xml:space="preserve"> </w:t>
      </w:r>
      <w:r>
        <w:rPr>
          <w:rFonts w:ascii="宋体" w:hAnsi="宋体" w:eastAsia="宋体" w:cs="宋体"/>
          <w:color w:val="auto"/>
          <w:spacing w:val="6"/>
          <w:sz w:val="20"/>
          <w:szCs w:val="20"/>
          <w:highlight w:val="none"/>
        </w:rPr>
        <w:t>响应文件的开启：具体详见“供应</w:t>
      </w:r>
      <w:r>
        <w:rPr>
          <w:rFonts w:ascii="宋体" w:hAnsi="宋体" w:eastAsia="宋体" w:cs="宋体"/>
          <w:color w:val="auto"/>
          <w:spacing w:val="5"/>
          <w:sz w:val="20"/>
          <w:szCs w:val="20"/>
          <w:highlight w:val="none"/>
        </w:rPr>
        <w:t>商须知前附表”。</w:t>
      </w:r>
      <w:r>
        <w:rPr>
          <w:rFonts w:ascii="宋体" w:hAnsi="宋体" w:eastAsia="宋体" w:cs="宋体"/>
          <w:color w:val="auto"/>
          <w:spacing w:val="7"/>
          <w:sz w:val="20"/>
          <w:szCs w:val="20"/>
          <w:highlight w:val="none"/>
        </w:rPr>
        <w:t>25.响应文件评审程序</w:t>
      </w:r>
    </w:p>
    <w:p w14:paraId="5B81E5D4">
      <w:pPr>
        <w:spacing w:before="153" w:line="228" w:lineRule="auto"/>
        <w:ind w:left="423"/>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25.1</w:t>
      </w:r>
      <w:r>
        <w:rPr>
          <w:rFonts w:ascii="宋体" w:hAnsi="宋体" w:eastAsia="宋体" w:cs="宋体"/>
          <w:color w:val="auto"/>
          <w:spacing w:val="-26"/>
          <w:sz w:val="20"/>
          <w:szCs w:val="20"/>
          <w:highlight w:val="none"/>
        </w:rPr>
        <w:t xml:space="preserve"> </w:t>
      </w:r>
      <w:r>
        <w:rPr>
          <w:rFonts w:ascii="宋体" w:hAnsi="宋体" w:eastAsia="宋体" w:cs="宋体"/>
          <w:color w:val="auto"/>
          <w:spacing w:val="3"/>
          <w:sz w:val="20"/>
          <w:szCs w:val="20"/>
          <w:highlight w:val="none"/>
        </w:rPr>
        <w:t>资格审查</w:t>
      </w:r>
    </w:p>
    <w:p w14:paraId="6D240472">
      <w:pPr>
        <w:spacing w:before="152" w:line="298" w:lineRule="auto"/>
        <w:ind w:firstLine="4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25.1.1</w:t>
      </w:r>
      <w:r>
        <w:rPr>
          <w:rFonts w:ascii="宋体" w:hAnsi="宋体" w:eastAsia="宋体" w:cs="宋体"/>
          <w:color w:val="auto"/>
          <w:spacing w:val="-15"/>
          <w:sz w:val="20"/>
          <w:szCs w:val="20"/>
          <w:highlight w:val="none"/>
        </w:rPr>
        <w:t xml:space="preserve"> </w:t>
      </w:r>
      <w:r>
        <w:rPr>
          <w:rFonts w:ascii="宋体" w:hAnsi="宋体" w:eastAsia="宋体" w:cs="宋体"/>
          <w:color w:val="auto"/>
          <w:spacing w:val="4"/>
          <w:sz w:val="20"/>
          <w:szCs w:val="20"/>
          <w:highlight w:val="none"/>
        </w:rPr>
        <w:t>响应文件开启后，由磋商小组依法对供应商的资格证明文件进行审查，详见第四章“评审程序、</w:t>
      </w:r>
      <w:r>
        <w:rPr>
          <w:rFonts w:ascii="宋体" w:hAnsi="宋体" w:eastAsia="宋体" w:cs="宋体"/>
          <w:color w:val="auto"/>
          <w:spacing w:val="7"/>
          <w:sz w:val="20"/>
          <w:szCs w:val="20"/>
          <w:highlight w:val="none"/>
        </w:rPr>
        <w:t>评审方法和评审标准”第4条“资格审查”，其中信用</w:t>
      </w:r>
      <w:r>
        <w:rPr>
          <w:rFonts w:ascii="宋体" w:hAnsi="宋体" w:eastAsia="宋体" w:cs="宋体"/>
          <w:color w:val="auto"/>
          <w:spacing w:val="6"/>
          <w:sz w:val="20"/>
          <w:szCs w:val="20"/>
          <w:highlight w:val="none"/>
        </w:rPr>
        <w:t>查询详见“供应商须知前附表”。</w:t>
      </w:r>
    </w:p>
    <w:p w14:paraId="0B3C39CE">
      <w:pPr>
        <w:spacing w:before="156" w:line="297" w:lineRule="auto"/>
        <w:ind w:left="14" w:right="70" w:firstLine="40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25.1.2</w:t>
      </w:r>
      <w:r>
        <w:rPr>
          <w:rFonts w:ascii="宋体" w:hAnsi="宋体" w:eastAsia="宋体" w:cs="宋体"/>
          <w:color w:val="auto"/>
          <w:spacing w:val="-38"/>
          <w:sz w:val="20"/>
          <w:szCs w:val="20"/>
          <w:highlight w:val="none"/>
        </w:rPr>
        <w:t xml:space="preserve"> </w:t>
      </w:r>
      <w:r>
        <w:rPr>
          <w:rFonts w:ascii="宋体" w:hAnsi="宋体" w:eastAsia="宋体" w:cs="宋体"/>
          <w:color w:val="auto"/>
          <w:spacing w:val="7"/>
          <w:sz w:val="20"/>
          <w:szCs w:val="20"/>
          <w:highlight w:val="none"/>
        </w:rPr>
        <w:t>通过资格审查的合格供应商不足3家的，不得进入符合性审查环</w:t>
      </w:r>
      <w:r>
        <w:rPr>
          <w:rFonts w:ascii="宋体" w:hAnsi="宋体" w:eastAsia="宋体" w:cs="宋体"/>
          <w:color w:val="auto"/>
          <w:spacing w:val="6"/>
          <w:sz w:val="20"/>
          <w:szCs w:val="20"/>
          <w:highlight w:val="none"/>
        </w:rPr>
        <w:t>节，采购人或采购代理机构应当重新开展采购活动。</w:t>
      </w:r>
    </w:p>
    <w:p w14:paraId="32CC0B39">
      <w:pPr>
        <w:spacing w:before="154" w:line="228" w:lineRule="auto"/>
        <w:ind w:left="42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25.2</w:t>
      </w:r>
      <w:r>
        <w:rPr>
          <w:rFonts w:ascii="宋体" w:hAnsi="宋体" w:eastAsia="宋体" w:cs="宋体"/>
          <w:color w:val="auto"/>
          <w:spacing w:val="-35"/>
          <w:sz w:val="20"/>
          <w:szCs w:val="20"/>
          <w:highlight w:val="none"/>
        </w:rPr>
        <w:t xml:space="preserve"> </w:t>
      </w:r>
      <w:r>
        <w:rPr>
          <w:rFonts w:ascii="宋体" w:hAnsi="宋体" w:eastAsia="宋体" w:cs="宋体"/>
          <w:color w:val="auto"/>
          <w:spacing w:val="5"/>
          <w:sz w:val="20"/>
          <w:szCs w:val="20"/>
          <w:highlight w:val="none"/>
        </w:rPr>
        <w:t>符合性审查</w:t>
      </w:r>
    </w:p>
    <w:p w14:paraId="27F9BBB1">
      <w:pPr>
        <w:spacing w:before="153" w:line="334" w:lineRule="auto"/>
        <w:ind w:left="1" w:right="70" w:firstLine="42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25.2.1 由磋商小组通过资格审查的合格供应商的响应文件的竞标报价、商务、技术等实质性要求进行</w:t>
      </w:r>
      <w:r>
        <w:rPr>
          <w:rFonts w:ascii="宋体" w:hAnsi="宋体" w:eastAsia="宋体" w:cs="宋体"/>
          <w:color w:val="auto"/>
          <w:spacing w:val="9"/>
          <w:sz w:val="20"/>
          <w:szCs w:val="20"/>
          <w:highlight w:val="none"/>
        </w:rPr>
        <w:t>符合性审查，以确定其是否满足竞争性磋商文件的实质性要求。详见第四章“评审程序、评审方法和评审</w:t>
      </w:r>
      <w:r>
        <w:rPr>
          <w:rFonts w:ascii="宋体" w:hAnsi="宋体" w:eastAsia="宋体" w:cs="宋体"/>
          <w:color w:val="auto"/>
          <w:spacing w:val="7"/>
          <w:sz w:val="20"/>
          <w:szCs w:val="20"/>
          <w:highlight w:val="none"/>
        </w:rPr>
        <w:t>标准”第5条“符合性审查”，其中商务条款评审和技术需求评审中允许负偏离的条款数详见“供应商须</w:t>
      </w:r>
      <w:r>
        <w:rPr>
          <w:rFonts w:ascii="宋体" w:hAnsi="宋体" w:eastAsia="宋体" w:cs="宋体"/>
          <w:color w:val="auto"/>
          <w:spacing w:val="6"/>
          <w:sz w:val="20"/>
          <w:szCs w:val="20"/>
          <w:highlight w:val="none"/>
        </w:rPr>
        <w:t>知前附表”。</w:t>
      </w:r>
    </w:p>
    <w:p w14:paraId="500F4F45">
      <w:pPr>
        <w:spacing w:before="151" w:line="323" w:lineRule="auto"/>
        <w:ind w:left="20" w:right="70" w:firstLine="40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25.2.2 磋商小组在对响应文件进行符合性审查时，可以要求供应商对响应</w:t>
      </w:r>
      <w:r>
        <w:rPr>
          <w:rFonts w:ascii="宋体" w:hAnsi="宋体" w:eastAsia="宋体" w:cs="宋体"/>
          <w:color w:val="auto"/>
          <w:spacing w:val="10"/>
          <w:sz w:val="20"/>
          <w:szCs w:val="20"/>
          <w:highlight w:val="none"/>
        </w:rPr>
        <w:t>文件中含义不明确、同类</w:t>
      </w:r>
      <w:r>
        <w:rPr>
          <w:rFonts w:ascii="宋体" w:hAnsi="宋体" w:eastAsia="宋体" w:cs="宋体"/>
          <w:color w:val="auto"/>
          <w:spacing w:val="9"/>
          <w:sz w:val="20"/>
          <w:szCs w:val="20"/>
          <w:highlight w:val="none"/>
        </w:rPr>
        <w:t>问题表述不一致或者有明显文字和计算错误的内容等作出必要的澄清、说明或者更正。供应商</w:t>
      </w:r>
      <w:r>
        <w:rPr>
          <w:rFonts w:ascii="宋体" w:hAnsi="宋体" w:eastAsia="宋体" w:cs="宋体"/>
          <w:color w:val="auto"/>
          <w:spacing w:val="8"/>
          <w:sz w:val="20"/>
          <w:szCs w:val="20"/>
          <w:highlight w:val="none"/>
        </w:rPr>
        <w:t>的澄清、说</w:t>
      </w:r>
      <w:r>
        <w:rPr>
          <w:rFonts w:ascii="宋体" w:hAnsi="宋体" w:eastAsia="宋体" w:cs="宋体"/>
          <w:color w:val="auto"/>
          <w:spacing w:val="9"/>
          <w:sz w:val="20"/>
          <w:szCs w:val="20"/>
          <w:highlight w:val="none"/>
        </w:rPr>
        <w:t>明或者更正不得超出响应文件的范围或者改变</w:t>
      </w:r>
      <w:r>
        <w:rPr>
          <w:rFonts w:ascii="宋体" w:hAnsi="宋体" w:eastAsia="宋体" w:cs="宋体"/>
          <w:color w:val="auto"/>
          <w:spacing w:val="8"/>
          <w:sz w:val="20"/>
          <w:szCs w:val="20"/>
          <w:highlight w:val="none"/>
        </w:rPr>
        <w:t>响应文件的实质性内容。</w:t>
      </w:r>
    </w:p>
    <w:p w14:paraId="16930FCF">
      <w:pPr>
        <w:spacing w:before="150" w:line="346" w:lineRule="auto"/>
        <w:ind w:right="70" w:firstLine="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25.2.3</w:t>
      </w:r>
      <w:r>
        <w:rPr>
          <w:rFonts w:ascii="宋体" w:hAnsi="宋体" w:eastAsia="宋体" w:cs="宋体"/>
          <w:color w:val="auto"/>
          <w:spacing w:val="-25"/>
          <w:sz w:val="20"/>
          <w:szCs w:val="20"/>
          <w:highlight w:val="none"/>
        </w:rPr>
        <w:t xml:space="preserve"> </w:t>
      </w:r>
      <w:r>
        <w:rPr>
          <w:rFonts w:ascii="宋体" w:hAnsi="宋体" w:eastAsia="宋体" w:cs="宋体"/>
          <w:color w:val="auto"/>
          <w:spacing w:val="7"/>
          <w:sz w:val="20"/>
          <w:szCs w:val="20"/>
          <w:highlight w:val="none"/>
        </w:rPr>
        <w:t>磋商小组要求供应商澄清、说明或者更正响应文件应当以书面形式作出。供应商的澄清、说明</w:t>
      </w:r>
      <w:r>
        <w:rPr>
          <w:rFonts w:ascii="宋体" w:hAnsi="宋体" w:eastAsia="宋体" w:cs="宋体"/>
          <w:color w:val="auto"/>
          <w:spacing w:val="9"/>
          <w:sz w:val="20"/>
          <w:szCs w:val="20"/>
          <w:highlight w:val="none"/>
        </w:rPr>
        <w:t>或者更正应当以书面形式按照磋商小组的要求作出明确的澄清、说明或者更正，未按磋商小组的要求作出明确澄清、说明或者更正的供应商的响应文件将按照有利于采购人的原则由磋商小组进行判定。供应商的</w:t>
      </w:r>
      <w:r>
        <w:rPr>
          <w:rFonts w:ascii="宋体" w:hAnsi="宋体" w:eastAsia="宋体" w:cs="宋体"/>
          <w:color w:val="auto"/>
          <w:spacing w:val="8"/>
          <w:sz w:val="20"/>
          <w:szCs w:val="20"/>
          <w:highlight w:val="none"/>
        </w:rPr>
        <w:t>澄清、说明或者更正应当由法定代表人</w:t>
      </w:r>
      <w:r>
        <w:rPr>
          <w:rFonts w:ascii="Times New Roman" w:hAnsi="Times New Roman" w:eastAsia="Times New Roman" w:cs="Times New Roman"/>
          <w:color w:val="auto"/>
          <w:spacing w:val="8"/>
          <w:sz w:val="20"/>
          <w:szCs w:val="20"/>
          <w:highlight w:val="none"/>
        </w:rPr>
        <w:t>/</w:t>
      </w:r>
      <w:r>
        <w:rPr>
          <w:rFonts w:ascii="宋体" w:hAnsi="宋体" w:eastAsia="宋体" w:cs="宋体"/>
          <w:color w:val="auto"/>
          <w:spacing w:val="8"/>
          <w:sz w:val="20"/>
          <w:szCs w:val="20"/>
          <w:highlight w:val="none"/>
        </w:rPr>
        <w:t>法定代表或其授权代表签字或者加盖公章。由授权代表签字的</w:t>
      </w:r>
      <w:r>
        <w:rPr>
          <w:rFonts w:ascii="宋体" w:hAnsi="宋体" w:eastAsia="宋体" w:cs="宋体"/>
          <w:color w:val="auto"/>
          <w:spacing w:val="7"/>
          <w:sz w:val="20"/>
          <w:szCs w:val="20"/>
          <w:highlight w:val="none"/>
        </w:rPr>
        <w:t>，应</w:t>
      </w:r>
      <w:r>
        <w:rPr>
          <w:rFonts w:ascii="宋体" w:hAnsi="宋体" w:eastAsia="宋体" w:cs="宋体"/>
          <w:color w:val="auto"/>
          <w:spacing w:val="9"/>
          <w:sz w:val="20"/>
          <w:szCs w:val="20"/>
          <w:highlight w:val="none"/>
        </w:rPr>
        <w:t>当附法定代表人授权书（若委托代理人为响应文件中承诺的授权委托代理人的，无须出示法定代表人授权委托书）。供应商为自然人的，应当由本人签字并附身份证明。</w:t>
      </w:r>
    </w:p>
    <w:p w14:paraId="210E5B9D">
      <w:pPr>
        <w:spacing w:before="153" w:line="226"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25.2.4</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首次响应文件中报价出现前后不一致的，按照下列规定修正：</w:t>
      </w:r>
    </w:p>
    <w:p w14:paraId="037664FD">
      <w:pPr>
        <w:spacing w:line="226" w:lineRule="auto"/>
        <w:rPr>
          <w:rFonts w:ascii="宋体" w:hAnsi="宋体" w:eastAsia="宋体" w:cs="宋体"/>
          <w:color w:val="auto"/>
          <w:sz w:val="20"/>
          <w:szCs w:val="20"/>
          <w:highlight w:val="none"/>
        </w:rPr>
        <w:sectPr>
          <w:footerReference r:id="rId13" w:type="default"/>
          <w:pgSz w:w="11906" w:h="16839"/>
          <w:pgMar w:top="1431" w:right="1063" w:bottom="1362" w:left="1140" w:header="0" w:footer="1200" w:gutter="0"/>
          <w:pgNumType w:fmt="decimal"/>
          <w:cols w:space="720" w:num="1"/>
        </w:sectPr>
      </w:pPr>
    </w:p>
    <w:p w14:paraId="48AB3E97">
      <w:pPr>
        <w:spacing w:before="41" w:line="226"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（1）响应文件中报价表内容与响应文件中相应内容不一致的，以</w:t>
      </w:r>
      <w:r>
        <w:rPr>
          <w:rFonts w:ascii="宋体" w:hAnsi="宋体" w:eastAsia="宋体" w:cs="宋体"/>
          <w:color w:val="auto"/>
          <w:spacing w:val="7"/>
          <w:sz w:val="20"/>
          <w:szCs w:val="20"/>
          <w:highlight w:val="none"/>
        </w:rPr>
        <w:t>报价表为准；</w:t>
      </w:r>
    </w:p>
    <w:p w14:paraId="604F5586">
      <w:pPr>
        <w:spacing w:before="152"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（2）大写金额和小写金额不一致的，以大写金额为准；</w:t>
      </w:r>
    </w:p>
    <w:p w14:paraId="504CC07D">
      <w:pPr>
        <w:spacing w:before="154" w:line="226"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（3）单价金额小数点或者百分比有明显错位的，以报价表的总价为准，并修改单价；</w:t>
      </w:r>
    </w:p>
    <w:p w14:paraId="525BF56A">
      <w:pPr>
        <w:spacing w:before="156" w:line="226"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（4）总价金额与按单价汇总金额不一致的，以</w:t>
      </w:r>
      <w:r>
        <w:rPr>
          <w:rFonts w:ascii="宋体" w:hAnsi="宋体" w:eastAsia="宋体" w:cs="宋体"/>
          <w:color w:val="auto"/>
          <w:spacing w:val="7"/>
          <w:sz w:val="20"/>
          <w:szCs w:val="20"/>
          <w:highlight w:val="none"/>
        </w:rPr>
        <w:t>单价金额计算结果为准。</w:t>
      </w:r>
    </w:p>
    <w:p w14:paraId="6665AA7B">
      <w:pPr>
        <w:spacing w:before="153" w:line="355" w:lineRule="auto"/>
        <w:ind w:left="5" w:right="67" w:firstLine="436"/>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同时出现两种以上不一致的，按照以上（1）-（4）规定的顺序逐条进行修正。修正</w:t>
      </w:r>
      <w:r>
        <w:rPr>
          <w:rFonts w:ascii="宋体" w:hAnsi="宋体" w:eastAsia="宋体" w:cs="宋体"/>
          <w:color w:val="auto"/>
          <w:spacing w:val="10"/>
          <w:sz w:val="20"/>
          <w:szCs w:val="20"/>
          <w:highlight w:val="none"/>
        </w:rPr>
        <w:t>后的报价经供应</w:t>
      </w:r>
      <w:r>
        <w:rPr>
          <w:rFonts w:ascii="宋体" w:hAnsi="宋体" w:eastAsia="宋体" w:cs="宋体"/>
          <w:color w:val="auto"/>
          <w:spacing w:val="9"/>
          <w:sz w:val="20"/>
          <w:szCs w:val="20"/>
          <w:highlight w:val="none"/>
        </w:rPr>
        <w:t>商确认后产生约束力，供应商不确认的，其响应文件按无效响应处理。</w:t>
      </w:r>
    </w:p>
    <w:p w14:paraId="3CD2A01C">
      <w:pPr>
        <w:spacing w:before="34" w:line="321" w:lineRule="auto"/>
        <w:ind w:left="2" w:right="69" w:firstLine="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25.2.5</w:t>
      </w:r>
      <w:r>
        <w:rPr>
          <w:rFonts w:ascii="宋体" w:hAnsi="宋体" w:eastAsia="宋体" w:cs="宋体"/>
          <w:color w:val="auto"/>
          <w:spacing w:val="-25"/>
          <w:sz w:val="20"/>
          <w:szCs w:val="20"/>
          <w:highlight w:val="none"/>
        </w:rPr>
        <w:t xml:space="preserve"> </w:t>
      </w:r>
      <w:r>
        <w:rPr>
          <w:rFonts w:ascii="宋体" w:hAnsi="宋体" w:eastAsia="宋体" w:cs="宋体"/>
          <w:color w:val="auto"/>
          <w:spacing w:val="7"/>
          <w:sz w:val="20"/>
          <w:szCs w:val="20"/>
          <w:highlight w:val="none"/>
        </w:rPr>
        <w:t>磋商小组成员应当按照客观、公正、审慎的原则，根据第四章“评审程序、评审方法和评审标</w:t>
      </w:r>
      <w:r>
        <w:rPr>
          <w:rFonts w:ascii="宋体" w:hAnsi="宋体" w:eastAsia="宋体" w:cs="宋体"/>
          <w:color w:val="auto"/>
          <w:spacing w:val="9"/>
          <w:sz w:val="20"/>
          <w:szCs w:val="20"/>
          <w:highlight w:val="none"/>
        </w:rPr>
        <w:t>准”进行独立评审。磋商小组对响应文件进行评审，未实质性</w:t>
      </w:r>
      <w:r>
        <w:rPr>
          <w:rFonts w:ascii="宋体" w:hAnsi="宋体" w:eastAsia="宋体" w:cs="宋体"/>
          <w:color w:val="auto"/>
          <w:spacing w:val="8"/>
          <w:sz w:val="20"/>
          <w:szCs w:val="20"/>
          <w:highlight w:val="none"/>
        </w:rPr>
        <w:t>响应竞争性磋商文件的响应文件按无效响应处理，由磋商小组告知提交响应文件的供应商。</w:t>
      </w:r>
    </w:p>
    <w:p w14:paraId="754F8754">
      <w:pPr>
        <w:spacing w:before="156" w:line="297" w:lineRule="auto"/>
        <w:ind w:left="1" w:right="66" w:firstLine="42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25.2.6</w:t>
      </w:r>
      <w:r>
        <w:rPr>
          <w:rFonts w:ascii="宋体" w:hAnsi="宋体" w:eastAsia="宋体" w:cs="宋体"/>
          <w:color w:val="auto"/>
          <w:spacing w:val="-38"/>
          <w:sz w:val="20"/>
          <w:szCs w:val="20"/>
          <w:highlight w:val="none"/>
        </w:rPr>
        <w:t xml:space="preserve"> </w:t>
      </w:r>
      <w:r>
        <w:rPr>
          <w:rFonts w:ascii="宋体" w:hAnsi="宋体" w:eastAsia="宋体" w:cs="宋体"/>
          <w:color w:val="auto"/>
          <w:spacing w:val="7"/>
          <w:sz w:val="20"/>
          <w:szCs w:val="20"/>
          <w:highlight w:val="none"/>
        </w:rPr>
        <w:t>通过符合性审查的合格供应商不足3家的，不得进入磋商环节，</w:t>
      </w:r>
      <w:r>
        <w:rPr>
          <w:rFonts w:ascii="宋体" w:hAnsi="宋体" w:eastAsia="宋体" w:cs="宋体"/>
          <w:color w:val="auto"/>
          <w:spacing w:val="6"/>
          <w:sz w:val="20"/>
          <w:szCs w:val="20"/>
          <w:highlight w:val="none"/>
        </w:rPr>
        <w:t>采购人或采购代理机构应当重</w:t>
      </w:r>
      <w:r>
        <w:rPr>
          <w:rFonts w:ascii="宋体" w:hAnsi="宋体" w:eastAsia="宋体" w:cs="宋体"/>
          <w:color w:val="auto"/>
          <w:spacing w:val="7"/>
          <w:sz w:val="20"/>
          <w:szCs w:val="20"/>
          <w:highlight w:val="none"/>
        </w:rPr>
        <w:t>新开展采购活动。</w:t>
      </w:r>
    </w:p>
    <w:p w14:paraId="3711DF8E">
      <w:pPr>
        <w:spacing w:before="155" w:line="228" w:lineRule="auto"/>
        <w:ind w:left="4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26.磋商</w:t>
      </w:r>
    </w:p>
    <w:p w14:paraId="603AA531">
      <w:pPr>
        <w:spacing w:before="153" w:line="322" w:lineRule="auto"/>
        <w:ind w:right="66" w:firstLine="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26.1</w:t>
      </w:r>
      <w:r>
        <w:rPr>
          <w:rFonts w:ascii="宋体" w:hAnsi="宋体" w:eastAsia="宋体" w:cs="宋体"/>
          <w:color w:val="auto"/>
          <w:spacing w:val="-35"/>
          <w:sz w:val="20"/>
          <w:szCs w:val="20"/>
          <w:highlight w:val="none"/>
        </w:rPr>
        <w:t xml:space="preserve"> </w:t>
      </w:r>
      <w:r>
        <w:rPr>
          <w:rFonts w:ascii="宋体" w:hAnsi="宋体" w:eastAsia="宋体" w:cs="宋体"/>
          <w:color w:val="auto"/>
          <w:spacing w:val="9"/>
          <w:sz w:val="20"/>
          <w:szCs w:val="20"/>
          <w:highlight w:val="none"/>
        </w:rPr>
        <w:t>磋商小组按照“供应商须知前附表”确定的顺序，集中与单一供应商分别进行磋商，并给予所</w:t>
      </w:r>
      <w:r>
        <w:rPr>
          <w:rFonts w:ascii="宋体" w:hAnsi="宋体" w:eastAsia="宋体" w:cs="宋体"/>
          <w:color w:val="auto"/>
          <w:spacing w:val="11"/>
          <w:sz w:val="20"/>
          <w:szCs w:val="20"/>
          <w:highlight w:val="none"/>
        </w:rPr>
        <w:t>有参加磋商的供应商平等的磋商机会。供应商应当在采购人或采购代理机构发出</w:t>
      </w:r>
      <w:r>
        <w:rPr>
          <w:rFonts w:ascii="宋体" w:hAnsi="宋体" w:eastAsia="宋体" w:cs="宋体"/>
          <w:color w:val="auto"/>
          <w:spacing w:val="10"/>
          <w:sz w:val="20"/>
          <w:szCs w:val="20"/>
          <w:highlight w:val="none"/>
        </w:rPr>
        <w:t>磋商通知后30分钟内到</w:t>
      </w:r>
      <w:r>
        <w:rPr>
          <w:rFonts w:ascii="宋体" w:hAnsi="宋体" w:eastAsia="宋体" w:cs="宋体"/>
          <w:color w:val="auto"/>
          <w:spacing w:val="9"/>
          <w:sz w:val="20"/>
          <w:szCs w:val="20"/>
          <w:highlight w:val="none"/>
        </w:rPr>
        <w:t>达磋商地点，否则视同放弃参加磋商权利，其响应文件按无效响应处理。</w:t>
      </w:r>
    </w:p>
    <w:p w14:paraId="4D0C0632">
      <w:pPr>
        <w:spacing w:before="153" w:line="322" w:lineRule="auto"/>
        <w:ind w:left="5" w:right="69" w:firstLine="41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26.2</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在磋商过程中，磋商小组可以根据磋商文件</w:t>
      </w:r>
      <w:r>
        <w:rPr>
          <w:rFonts w:ascii="宋体" w:hAnsi="宋体" w:eastAsia="宋体" w:cs="宋体"/>
          <w:color w:val="auto"/>
          <w:spacing w:val="7"/>
          <w:sz w:val="20"/>
          <w:szCs w:val="20"/>
          <w:highlight w:val="none"/>
        </w:rPr>
        <w:t>和磋商情况实质性变动采购需求中的技术、服务要求</w:t>
      </w:r>
      <w:r>
        <w:rPr>
          <w:rFonts w:ascii="宋体" w:hAnsi="宋体" w:eastAsia="宋体" w:cs="宋体"/>
          <w:color w:val="auto"/>
          <w:spacing w:val="9"/>
          <w:sz w:val="20"/>
          <w:szCs w:val="20"/>
          <w:highlight w:val="none"/>
        </w:rPr>
        <w:t>以及合同草案条款，但不得变动磋商文件中的其他内容。实质性变动的内容，须经采购人代表确认。可能</w:t>
      </w:r>
      <w:r>
        <w:rPr>
          <w:rFonts w:ascii="宋体" w:hAnsi="宋体" w:eastAsia="宋体" w:cs="宋体"/>
          <w:color w:val="auto"/>
          <w:spacing w:val="8"/>
          <w:sz w:val="20"/>
          <w:szCs w:val="20"/>
          <w:highlight w:val="none"/>
        </w:rPr>
        <w:t>实质性变动的内容详见“供应商须知前附表”。</w:t>
      </w:r>
    </w:p>
    <w:p w14:paraId="3FBA51F0">
      <w:pPr>
        <w:spacing w:before="156" w:line="297" w:lineRule="auto"/>
        <w:ind w:left="3" w:right="69"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26.3</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对竞争性磋商文件作出的实质性变动是竞争</w:t>
      </w:r>
      <w:r>
        <w:rPr>
          <w:rFonts w:ascii="宋体" w:hAnsi="宋体" w:eastAsia="宋体" w:cs="宋体"/>
          <w:color w:val="auto"/>
          <w:spacing w:val="7"/>
          <w:sz w:val="20"/>
          <w:szCs w:val="20"/>
          <w:highlight w:val="none"/>
        </w:rPr>
        <w:t>性磋商文件的有效组成部分，由磋商小组及时以书面</w:t>
      </w:r>
      <w:r>
        <w:rPr>
          <w:rFonts w:ascii="宋体" w:hAnsi="宋体" w:eastAsia="宋体" w:cs="宋体"/>
          <w:color w:val="auto"/>
          <w:spacing w:val="8"/>
          <w:sz w:val="20"/>
          <w:szCs w:val="20"/>
          <w:highlight w:val="none"/>
        </w:rPr>
        <w:t>形式同时通知所有参加磋商的供应商。</w:t>
      </w:r>
    </w:p>
    <w:p w14:paraId="54B61CBE">
      <w:pPr>
        <w:spacing w:before="153" w:line="334" w:lineRule="auto"/>
        <w:ind w:right="66"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26.4</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供应商应当按照竞争性磋商文件的变动情况和磋</w:t>
      </w:r>
      <w:r>
        <w:rPr>
          <w:rFonts w:ascii="宋体" w:hAnsi="宋体" w:eastAsia="宋体" w:cs="宋体"/>
          <w:color w:val="auto"/>
          <w:spacing w:val="7"/>
          <w:sz w:val="20"/>
          <w:szCs w:val="20"/>
          <w:highlight w:val="none"/>
        </w:rPr>
        <w:t>商小组的要求重新提交响应文件，并由其法定代</w:t>
      </w:r>
      <w:r>
        <w:rPr>
          <w:rFonts w:ascii="宋体" w:hAnsi="宋体" w:eastAsia="宋体" w:cs="宋体"/>
          <w:color w:val="auto"/>
          <w:spacing w:val="8"/>
          <w:sz w:val="20"/>
          <w:szCs w:val="20"/>
          <w:highlight w:val="none"/>
        </w:rPr>
        <w:t>表人</w:t>
      </w:r>
      <w:r>
        <w:rPr>
          <w:rFonts w:ascii="Times New Roman" w:hAnsi="Times New Roman" w:eastAsia="Times New Roman" w:cs="Times New Roman"/>
          <w:color w:val="auto"/>
          <w:spacing w:val="8"/>
          <w:sz w:val="20"/>
          <w:szCs w:val="20"/>
          <w:highlight w:val="none"/>
        </w:rPr>
        <w:t>/</w:t>
      </w:r>
      <w:r>
        <w:rPr>
          <w:rFonts w:ascii="宋体" w:hAnsi="宋体" w:eastAsia="宋体" w:cs="宋体"/>
          <w:color w:val="auto"/>
          <w:spacing w:val="8"/>
          <w:sz w:val="20"/>
          <w:szCs w:val="20"/>
          <w:highlight w:val="none"/>
        </w:rPr>
        <w:t>法定代表或授权代表签字或者加盖公章。由授权代表签字的，应当附法定代表人授权书（若委托</w:t>
      </w:r>
      <w:r>
        <w:rPr>
          <w:rFonts w:ascii="宋体" w:hAnsi="宋体" w:eastAsia="宋体" w:cs="宋体"/>
          <w:color w:val="auto"/>
          <w:spacing w:val="7"/>
          <w:sz w:val="20"/>
          <w:szCs w:val="20"/>
          <w:highlight w:val="none"/>
        </w:rPr>
        <w:t>代理</w:t>
      </w:r>
      <w:r>
        <w:rPr>
          <w:rFonts w:ascii="宋体" w:hAnsi="宋体" w:eastAsia="宋体" w:cs="宋体"/>
          <w:color w:val="auto"/>
          <w:spacing w:val="9"/>
          <w:sz w:val="20"/>
          <w:szCs w:val="20"/>
          <w:highlight w:val="none"/>
        </w:rPr>
        <w:t>人为响应文件中承诺的授权委托代理人的，无须出示法定代表人授权委托书）。供应商为自然人的，应当</w:t>
      </w:r>
      <w:r>
        <w:rPr>
          <w:rFonts w:ascii="宋体" w:hAnsi="宋体" w:eastAsia="宋体" w:cs="宋体"/>
          <w:color w:val="auto"/>
          <w:spacing w:val="10"/>
          <w:sz w:val="20"/>
          <w:szCs w:val="20"/>
          <w:highlight w:val="none"/>
        </w:rPr>
        <w:t>由本人签字并附身份证明。参加磋商的供应商未在规定</w:t>
      </w:r>
      <w:r>
        <w:rPr>
          <w:rFonts w:ascii="宋体" w:hAnsi="宋体" w:eastAsia="宋体" w:cs="宋体"/>
          <w:color w:val="auto"/>
          <w:spacing w:val="9"/>
          <w:sz w:val="20"/>
          <w:szCs w:val="20"/>
          <w:highlight w:val="none"/>
        </w:rPr>
        <w:t>时间内重新提交响应文件的，视同退出磋商。</w:t>
      </w:r>
    </w:p>
    <w:p w14:paraId="3463B381">
      <w:pPr>
        <w:spacing w:before="155" w:line="226" w:lineRule="auto"/>
        <w:ind w:left="423"/>
        <w:rPr>
          <w:rFonts w:ascii="宋体" w:hAnsi="宋体" w:eastAsia="宋体" w:cs="宋体"/>
          <w:color w:val="auto"/>
          <w:sz w:val="20"/>
          <w:szCs w:val="20"/>
          <w:highlight w:val="none"/>
        </w:rPr>
      </w:pPr>
      <w:r>
        <w:rPr>
          <w:rFonts w:ascii="宋体" w:hAnsi="宋体" w:eastAsia="宋体" w:cs="宋体"/>
          <w:color w:val="auto"/>
          <w:sz w:val="20"/>
          <w:szCs w:val="20"/>
          <w:highlight w:val="none"/>
        </w:rPr>
        <w:t>26.5</w:t>
      </w:r>
      <w:r>
        <w:rPr>
          <w:rFonts w:ascii="宋体" w:hAnsi="宋体" w:eastAsia="宋体" w:cs="宋体"/>
          <w:color w:val="auto"/>
          <w:spacing w:val="-42"/>
          <w:sz w:val="20"/>
          <w:szCs w:val="20"/>
          <w:highlight w:val="none"/>
        </w:rPr>
        <w:t xml:space="preserve"> </w:t>
      </w:r>
      <w:r>
        <w:rPr>
          <w:rFonts w:ascii="宋体" w:hAnsi="宋体" w:eastAsia="宋体" w:cs="宋体"/>
          <w:color w:val="auto"/>
          <w:sz w:val="20"/>
          <w:szCs w:val="20"/>
          <w:highlight w:val="none"/>
        </w:rPr>
        <w:t>磋商中，磋商的任何一方不得透露与磋商有关的其他</w:t>
      </w:r>
      <w:r>
        <w:rPr>
          <w:rFonts w:ascii="宋体" w:hAnsi="宋体" w:eastAsia="宋体" w:cs="宋体"/>
          <w:color w:val="auto"/>
          <w:spacing w:val="-1"/>
          <w:sz w:val="20"/>
          <w:szCs w:val="20"/>
          <w:highlight w:val="none"/>
        </w:rPr>
        <w:t>供应商的技术资料、价格和其他信息。</w:t>
      </w:r>
    </w:p>
    <w:p w14:paraId="2BF5EA40">
      <w:pPr>
        <w:spacing w:before="153" w:line="227" w:lineRule="auto"/>
        <w:ind w:left="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26.6</w:t>
      </w:r>
      <w:r>
        <w:rPr>
          <w:rFonts w:ascii="宋体" w:hAnsi="宋体" w:eastAsia="宋体" w:cs="宋体"/>
          <w:color w:val="auto"/>
          <w:spacing w:val="-41"/>
          <w:sz w:val="20"/>
          <w:szCs w:val="20"/>
          <w:highlight w:val="none"/>
        </w:rPr>
        <w:t xml:space="preserve"> </w:t>
      </w:r>
      <w:r>
        <w:rPr>
          <w:rFonts w:ascii="宋体" w:hAnsi="宋体" w:eastAsia="宋体" w:cs="宋体"/>
          <w:color w:val="auto"/>
          <w:spacing w:val="9"/>
          <w:sz w:val="20"/>
          <w:szCs w:val="20"/>
          <w:highlight w:val="none"/>
        </w:rPr>
        <w:t>采购代理机构对磋商过程和重要磋商内容进行记录</w:t>
      </w:r>
      <w:r>
        <w:rPr>
          <w:rFonts w:ascii="宋体" w:hAnsi="宋体" w:eastAsia="宋体" w:cs="宋体"/>
          <w:color w:val="auto"/>
          <w:spacing w:val="8"/>
          <w:sz w:val="20"/>
          <w:szCs w:val="20"/>
          <w:highlight w:val="none"/>
        </w:rPr>
        <w:t>。</w:t>
      </w:r>
    </w:p>
    <w:p w14:paraId="3563BF58">
      <w:pPr>
        <w:spacing w:before="155" w:line="227" w:lineRule="auto"/>
        <w:ind w:left="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26.7</w:t>
      </w:r>
      <w:r>
        <w:rPr>
          <w:rFonts w:ascii="宋体" w:hAnsi="宋体" w:eastAsia="宋体" w:cs="宋体"/>
          <w:color w:val="auto"/>
          <w:spacing w:val="-42"/>
          <w:sz w:val="20"/>
          <w:szCs w:val="20"/>
          <w:highlight w:val="none"/>
        </w:rPr>
        <w:t xml:space="preserve"> </w:t>
      </w:r>
      <w:r>
        <w:rPr>
          <w:rFonts w:ascii="宋体" w:hAnsi="宋体" w:eastAsia="宋体" w:cs="宋体"/>
          <w:color w:val="auto"/>
          <w:spacing w:val="9"/>
          <w:sz w:val="20"/>
          <w:szCs w:val="20"/>
          <w:highlight w:val="none"/>
        </w:rPr>
        <w:t>磋商过程中重新提交的响应文件，</w:t>
      </w:r>
      <w:r>
        <w:rPr>
          <w:rFonts w:ascii="宋体" w:hAnsi="宋体" w:eastAsia="宋体" w:cs="宋体"/>
          <w:color w:val="auto"/>
          <w:spacing w:val="8"/>
          <w:sz w:val="20"/>
          <w:szCs w:val="20"/>
          <w:highlight w:val="none"/>
        </w:rPr>
        <w:t>供应商可以在开启前补充、修改。</w:t>
      </w:r>
    </w:p>
    <w:p w14:paraId="37840A13">
      <w:pPr>
        <w:spacing w:before="155" w:line="227" w:lineRule="auto"/>
        <w:jc w:val="right"/>
        <w:rPr>
          <w:rFonts w:ascii="宋体" w:hAnsi="宋体" w:eastAsia="宋体" w:cs="宋体"/>
          <w:color w:val="auto"/>
          <w:sz w:val="20"/>
          <w:szCs w:val="20"/>
          <w:highlight w:val="none"/>
        </w:rPr>
      </w:pPr>
      <w:r>
        <w:rPr>
          <w:rFonts w:ascii="宋体" w:hAnsi="宋体" w:eastAsia="宋体" w:cs="宋体"/>
          <w:color w:val="auto"/>
          <w:sz w:val="20"/>
          <w:szCs w:val="20"/>
          <w:highlight w:val="none"/>
        </w:rPr>
        <w:t>26.8</w:t>
      </w:r>
      <w:r>
        <w:rPr>
          <w:rFonts w:ascii="宋体" w:hAnsi="宋体" w:eastAsia="宋体" w:cs="宋体"/>
          <w:color w:val="auto"/>
          <w:spacing w:val="-27"/>
          <w:sz w:val="20"/>
          <w:szCs w:val="20"/>
          <w:highlight w:val="none"/>
        </w:rPr>
        <w:t xml:space="preserve"> </w:t>
      </w:r>
      <w:r>
        <w:rPr>
          <w:rFonts w:ascii="宋体" w:hAnsi="宋体" w:eastAsia="宋体" w:cs="宋体"/>
          <w:color w:val="auto"/>
          <w:sz w:val="20"/>
          <w:szCs w:val="20"/>
          <w:highlight w:val="none"/>
        </w:rPr>
        <w:t>根据《财政部关于政府采购竞争性磋商采购方式管理暂行办法有关问题的补充通知》（财库〔2015〕</w:t>
      </w:r>
    </w:p>
    <w:p w14:paraId="650DD953">
      <w:pPr>
        <w:spacing w:before="155" w:line="333" w:lineRule="auto"/>
        <w:ind w:right="66" w:firstLine="1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124</w:t>
      </w:r>
      <w:r>
        <w:rPr>
          <w:rFonts w:ascii="宋体" w:hAnsi="宋体" w:eastAsia="宋体" w:cs="宋体"/>
          <w:color w:val="auto"/>
          <w:spacing w:val="-34"/>
          <w:sz w:val="20"/>
          <w:szCs w:val="20"/>
          <w:highlight w:val="none"/>
        </w:rPr>
        <w:t xml:space="preserve"> </w:t>
      </w:r>
      <w:r>
        <w:rPr>
          <w:rFonts w:ascii="宋体" w:hAnsi="宋体" w:eastAsia="宋体" w:cs="宋体"/>
          <w:color w:val="auto"/>
          <w:spacing w:val="9"/>
          <w:sz w:val="20"/>
          <w:szCs w:val="20"/>
          <w:highlight w:val="none"/>
        </w:rPr>
        <w:t>号）的规定，采用竞争性磋商采购方式采购的政府购买服</w:t>
      </w:r>
      <w:r>
        <w:rPr>
          <w:rFonts w:ascii="宋体" w:hAnsi="宋体" w:eastAsia="宋体" w:cs="宋体"/>
          <w:color w:val="auto"/>
          <w:spacing w:val="8"/>
          <w:sz w:val="20"/>
          <w:szCs w:val="20"/>
          <w:highlight w:val="none"/>
        </w:rPr>
        <w:t>务项目（含政府和社会资本合作项目</w:t>
      </w:r>
      <w:r>
        <w:rPr>
          <w:rFonts w:ascii="宋体" w:hAnsi="宋体" w:eastAsia="宋体" w:cs="宋体"/>
          <w:color w:val="auto"/>
          <w:spacing w:val="13"/>
          <w:sz w:val="20"/>
          <w:szCs w:val="20"/>
          <w:highlight w:val="none"/>
        </w:rPr>
        <w:t>），</w:t>
      </w:r>
      <w:r>
        <w:rPr>
          <w:rFonts w:ascii="宋体" w:hAnsi="宋体" w:eastAsia="宋体" w:cs="宋体"/>
          <w:color w:val="auto"/>
          <w:spacing w:val="8"/>
          <w:sz w:val="20"/>
          <w:szCs w:val="20"/>
          <w:highlight w:val="none"/>
        </w:rPr>
        <w:t>在</w:t>
      </w:r>
      <w:r>
        <w:rPr>
          <w:rFonts w:ascii="宋体" w:hAnsi="宋体" w:eastAsia="宋体" w:cs="宋体"/>
          <w:color w:val="auto"/>
          <w:spacing w:val="9"/>
          <w:sz w:val="20"/>
          <w:szCs w:val="20"/>
          <w:highlight w:val="none"/>
        </w:rPr>
        <w:t>采购过程中符合要求的供应商（社会资本）只有2家的，竞争性磋商采购</w:t>
      </w:r>
      <w:r>
        <w:rPr>
          <w:rFonts w:ascii="宋体" w:hAnsi="宋体" w:eastAsia="宋体" w:cs="宋体"/>
          <w:color w:val="auto"/>
          <w:spacing w:val="8"/>
          <w:sz w:val="20"/>
          <w:szCs w:val="20"/>
          <w:highlight w:val="none"/>
        </w:rPr>
        <w:t>活动可以继续进行。采购过程中</w:t>
      </w:r>
      <w:r>
        <w:rPr>
          <w:rFonts w:ascii="宋体" w:hAnsi="宋体" w:eastAsia="宋体" w:cs="宋体"/>
          <w:color w:val="auto"/>
          <w:spacing w:val="9"/>
          <w:sz w:val="20"/>
          <w:szCs w:val="20"/>
          <w:highlight w:val="none"/>
        </w:rPr>
        <w:t>符合要求的供应商（社会资本）只有1家的，采购</w:t>
      </w:r>
      <w:r>
        <w:rPr>
          <w:rFonts w:ascii="宋体" w:hAnsi="宋体" w:eastAsia="宋体" w:cs="宋体"/>
          <w:color w:val="auto"/>
          <w:spacing w:val="8"/>
          <w:sz w:val="20"/>
          <w:szCs w:val="20"/>
          <w:highlight w:val="none"/>
        </w:rPr>
        <w:t>人（项目实施机构）或者采购代理机构应当终止竞争性</w:t>
      </w:r>
      <w:r>
        <w:rPr>
          <w:rFonts w:ascii="宋体" w:hAnsi="宋体" w:eastAsia="宋体" w:cs="宋体"/>
          <w:color w:val="auto"/>
          <w:spacing w:val="9"/>
          <w:sz w:val="20"/>
          <w:szCs w:val="20"/>
          <w:highlight w:val="none"/>
        </w:rPr>
        <w:t>磋商采购活动，发布项目终止公告并说明原因，重新开展采购活动。</w:t>
      </w:r>
    </w:p>
    <w:p w14:paraId="282D9C74">
      <w:pPr>
        <w:spacing w:before="157" w:line="298" w:lineRule="auto"/>
        <w:ind w:left="2" w:right="65"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26.9</w:t>
      </w:r>
      <w:r>
        <w:rPr>
          <w:rFonts w:ascii="宋体" w:hAnsi="宋体" w:eastAsia="宋体" w:cs="宋体"/>
          <w:color w:val="auto"/>
          <w:spacing w:val="-30"/>
          <w:sz w:val="20"/>
          <w:szCs w:val="20"/>
          <w:highlight w:val="none"/>
        </w:rPr>
        <w:t xml:space="preserve"> </w:t>
      </w:r>
      <w:r>
        <w:rPr>
          <w:rFonts w:ascii="宋体" w:hAnsi="宋体" w:eastAsia="宋体" w:cs="宋体"/>
          <w:color w:val="auto"/>
          <w:spacing w:val="8"/>
          <w:sz w:val="20"/>
          <w:szCs w:val="20"/>
          <w:highlight w:val="none"/>
        </w:rPr>
        <w:t>对磋商过程提交的响应文件进行有效性、完整性和响应程度审查，通过审查的合格供应商不足3家的，除本须知正文第26.8条的情形外，采购人或采购代理机构应当重新开展采购活动。</w:t>
      </w:r>
    </w:p>
    <w:p w14:paraId="7BB9E6C3">
      <w:pPr>
        <w:spacing w:before="152" w:line="226" w:lineRule="auto"/>
        <w:ind w:left="42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27.最后报价</w:t>
      </w:r>
    </w:p>
    <w:p w14:paraId="1FCCFD24">
      <w:pPr>
        <w:spacing w:line="226" w:lineRule="auto"/>
        <w:rPr>
          <w:rFonts w:ascii="宋体" w:hAnsi="宋体" w:eastAsia="宋体" w:cs="宋体"/>
          <w:color w:val="auto"/>
          <w:sz w:val="20"/>
          <w:szCs w:val="20"/>
          <w:highlight w:val="none"/>
        </w:rPr>
        <w:sectPr>
          <w:footerReference r:id="rId14" w:type="default"/>
          <w:pgSz w:w="11906" w:h="16839"/>
          <w:pgMar w:top="1260" w:right="1067" w:bottom="1362" w:left="1140" w:header="0" w:footer="1200" w:gutter="0"/>
          <w:pgNumType w:fmt="decimal"/>
          <w:cols w:space="720" w:num="1"/>
        </w:sectPr>
      </w:pPr>
    </w:p>
    <w:p w14:paraId="1F21F011">
      <w:pPr>
        <w:spacing w:before="42" w:line="352" w:lineRule="auto"/>
        <w:ind w:right="205" w:firstLine="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27.1 竞争性磋商文件能够详细列明采购标的的技术、服务要求的，磋商结束后，由磋商小组要求所</w:t>
      </w:r>
      <w:r>
        <w:rPr>
          <w:rFonts w:ascii="宋体" w:hAnsi="宋体" w:eastAsia="宋体" w:cs="宋体"/>
          <w:color w:val="auto"/>
          <w:spacing w:val="8"/>
          <w:sz w:val="20"/>
          <w:szCs w:val="20"/>
          <w:highlight w:val="none"/>
        </w:rPr>
        <w:t>有继续参加磋商的供应商在</w:t>
      </w:r>
      <w:r>
        <w:rPr>
          <w:rFonts w:ascii="宋体" w:hAnsi="宋体" w:eastAsia="宋体" w:cs="宋体"/>
          <w:color w:val="auto"/>
          <w:spacing w:val="8"/>
          <w:sz w:val="20"/>
          <w:szCs w:val="20"/>
          <w:highlight w:val="none"/>
          <w:u w:val="single" w:color="auto"/>
        </w:rPr>
        <w:t>30分钟内</w:t>
      </w:r>
      <w:r>
        <w:rPr>
          <w:rFonts w:ascii="宋体" w:hAnsi="宋体" w:eastAsia="宋体" w:cs="宋体"/>
          <w:color w:val="auto"/>
          <w:spacing w:val="8"/>
          <w:sz w:val="20"/>
          <w:szCs w:val="20"/>
          <w:highlight w:val="none"/>
        </w:rPr>
        <w:t>密封提交最后报价，提交最后报价的供应商不得少于3家。</w:t>
      </w:r>
    </w:p>
    <w:p w14:paraId="77DB03F5">
      <w:pPr>
        <w:spacing w:before="34" w:line="359" w:lineRule="auto"/>
        <w:ind w:left="6" w:right="208" w:firstLine="41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竞争性磋商文件不能详细列明采购标的的技术、服务要求，需经磋商由供应商提供最后设计方案或解决方案的，磋商结束后，由磋商小组按照少数服从多</w:t>
      </w:r>
      <w:r>
        <w:rPr>
          <w:rFonts w:ascii="宋体" w:hAnsi="宋体" w:eastAsia="宋体" w:cs="宋体"/>
          <w:color w:val="auto"/>
          <w:spacing w:val="8"/>
          <w:sz w:val="20"/>
          <w:szCs w:val="20"/>
          <w:highlight w:val="none"/>
        </w:rPr>
        <w:t>数的原则投票推荐3家以上供应商的设计方案或者解</w:t>
      </w:r>
      <w:r>
        <w:rPr>
          <w:rFonts w:ascii="宋体" w:hAnsi="宋体" w:eastAsia="宋体" w:cs="宋体"/>
          <w:color w:val="auto"/>
          <w:spacing w:val="7"/>
          <w:sz w:val="20"/>
          <w:szCs w:val="20"/>
          <w:highlight w:val="none"/>
        </w:rPr>
        <w:t>决方案，并要求其在</w:t>
      </w:r>
      <w:r>
        <w:rPr>
          <w:rFonts w:ascii="宋体" w:hAnsi="宋体" w:eastAsia="宋体" w:cs="宋体"/>
          <w:color w:val="auto"/>
          <w:spacing w:val="7"/>
          <w:sz w:val="20"/>
          <w:szCs w:val="20"/>
          <w:highlight w:val="none"/>
          <w:u w:val="single" w:color="auto"/>
        </w:rPr>
        <w:t>30分钟内</w:t>
      </w:r>
      <w:r>
        <w:rPr>
          <w:rFonts w:ascii="宋体" w:hAnsi="宋体" w:eastAsia="宋体" w:cs="宋体"/>
          <w:color w:val="auto"/>
          <w:spacing w:val="7"/>
          <w:sz w:val="20"/>
          <w:szCs w:val="20"/>
          <w:highlight w:val="none"/>
        </w:rPr>
        <w:t>密封提交最后报价。</w:t>
      </w:r>
    </w:p>
    <w:p w14:paraId="3CE1E838">
      <w:pPr>
        <w:spacing w:before="35" w:line="321" w:lineRule="auto"/>
        <w:ind w:firstLine="42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27.2</w:t>
      </w:r>
      <w:r>
        <w:rPr>
          <w:rFonts w:ascii="宋体" w:hAnsi="宋体" w:eastAsia="宋体" w:cs="宋体"/>
          <w:color w:val="auto"/>
          <w:spacing w:val="-36"/>
          <w:sz w:val="20"/>
          <w:szCs w:val="20"/>
          <w:highlight w:val="none"/>
        </w:rPr>
        <w:t xml:space="preserve"> </w:t>
      </w:r>
      <w:r>
        <w:rPr>
          <w:rFonts w:ascii="宋体" w:hAnsi="宋体" w:eastAsia="宋体" w:cs="宋体"/>
          <w:color w:val="auto"/>
          <w:spacing w:val="5"/>
          <w:sz w:val="20"/>
          <w:szCs w:val="20"/>
          <w:highlight w:val="none"/>
        </w:rPr>
        <w:t>最后报价是供应商响应文件的有效组成部分。符合《政府采购竞争性磋商采购方式管理暂行办法》</w:t>
      </w:r>
      <w:r>
        <w:rPr>
          <w:rFonts w:ascii="宋体" w:hAnsi="宋体" w:eastAsia="宋体" w:cs="宋体"/>
          <w:color w:val="auto"/>
          <w:spacing w:val="9"/>
          <w:sz w:val="20"/>
          <w:szCs w:val="20"/>
          <w:highlight w:val="none"/>
        </w:rPr>
        <w:t>（财库〔2014〕214号）第三条第四项“市场竞争不充分的科研项目，以及需要扶</w:t>
      </w:r>
      <w:r>
        <w:rPr>
          <w:rFonts w:ascii="宋体" w:hAnsi="宋体" w:eastAsia="宋体" w:cs="宋体"/>
          <w:color w:val="auto"/>
          <w:spacing w:val="8"/>
          <w:sz w:val="20"/>
          <w:szCs w:val="20"/>
          <w:highlight w:val="none"/>
        </w:rPr>
        <w:t>持的科技成果转化项目”</w:t>
      </w:r>
      <w:r>
        <w:rPr>
          <w:rFonts w:ascii="宋体" w:hAnsi="宋体" w:eastAsia="宋体" w:cs="宋体"/>
          <w:color w:val="auto"/>
          <w:spacing w:val="7"/>
          <w:sz w:val="20"/>
          <w:szCs w:val="20"/>
          <w:highlight w:val="none"/>
        </w:rPr>
        <w:t>和本须知正文第26.8条情形的，提交最后报价的供应商可以为2家。</w:t>
      </w:r>
    </w:p>
    <w:p w14:paraId="40BD8741">
      <w:pPr>
        <w:spacing w:before="156" w:line="298" w:lineRule="auto"/>
        <w:ind w:right="205" w:firstLine="42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27.3</w:t>
      </w:r>
      <w:r>
        <w:rPr>
          <w:rFonts w:ascii="宋体" w:hAnsi="宋体" w:eastAsia="宋体" w:cs="宋体"/>
          <w:color w:val="auto"/>
          <w:spacing w:val="56"/>
          <w:sz w:val="20"/>
          <w:szCs w:val="20"/>
          <w:highlight w:val="none"/>
        </w:rPr>
        <w:t xml:space="preserve"> </w:t>
      </w:r>
      <w:r>
        <w:rPr>
          <w:rFonts w:ascii="宋体" w:hAnsi="宋体" w:eastAsia="宋体" w:cs="宋体"/>
          <w:color w:val="auto"/>
          <w:spacing w:val="10"/>
          <w:sz w:val="20"/>
          <w:szCs w:val="20"/>
          <w:highlight w:val="none"/>
        </w:rPr>
        <w:t>已经提交响应文件的供应商，在提交最后报价之前，可以根据磋商情况退出磋商，退出磋商的供应商的响应文件按无效响应处理。采购人、采</w:t>
      </w:r>
      <w:r>
        <w:rPr>
          <w:rFonts w:ascii="宋体" w:hAnsi="宋体" w:eastAsia="宋体" w:cs="宋体"/>
          <w:color w:val="auto"/>
          <w:spacing w:val="9"/>
          <w:sz w:val="20"/>
          <w:szCs w:val="20"/>
          <w:highlight w:val="none"/>
        </w:rPr>
        <w:t>购代理机构将退还退出磋商的供应商的保证金。</w:t>
      </w:r>
    </w:p>
    <w:p w14:paraId="0A69C7BD">
      <w:pPr>
        <w:spacing w:before="153" w:line="226" w:lineRule="auto"/>
        <w:ind w:left="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27.4</w:t>
      </w:r>
      <w:r>
        <w:rPr>
          <w:rFonts w:ascii="宋体" w:hAnsi="宋体" w:eastAsia="宋体" w:cs="宋体"/>
          <w:color w:val="auto"/>
          <w:spacing w:val="-34"/>
          <w:sz w:val="20"/>
          <w:szCs w:val="20"/>
          <w:highlight w:val="none"/>
        </w:rPr>
        <w:t xml:space="preserve"> </w:t>
      </w:r>
      <w:r>
        <w:rPr>
          <w:rFonts w:ascii="宋体" w:hAnsi="宋体" w:eastAsia="宋体" w:cs="宋体"/>
          <w:color w:val="auto"/>
          <w:spacing w:val="8"/>
          <w:sz w:val="20"/>
          <w:szCs w:val="20"/>
          <w:highlight w:val="none"/>
        </w:rPr>
        <w:t>供应商未在规定时间内提交最后报价的，视同退出磋商。</w:t>
      </w:r>
    </w:p>
    <w:p w14:paraId="125F5002">
      <w:pPr>
        <w:spacing w:before="155" w:line="226" w:lineRule="auto"/>
        <w:ind w:left="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27.5</w:t>
      </w:r>
      <w:r>
        <w:rPr>
          <w:rFonts w:ascii="宋体" w:hAnsi="宋体" w:eastAsia="宋体" w:cs="宋体"/>
          <w:color w:val="auto"/>
          <w:spacing w:val="-42"/>
          <w:sz w:val="20"/>
          <w:szCs w:val="20"/>
          <w:highlight w:val="none"/>
        </w:rPr>
        <w:t xml:space="preserve"> </w:t>
      </w:r>
      <w:r>
        <w:rPr>
          <w:rFonts w:ascii="宋体" w:hAnsi="宋体" w:eastAsia="宋体" w:cs="宋体"/>
          <w:color w:val="auto"/>
          <w:spacing w:val="8"/>
          <w:sz w:val="20"/>
          <w:szCs w:val="20"/>
          <w:highlight w:val="none"/>
        </w:rPr>
        <w:t>磋商小组收齐某一分标最后报价后统一开启。</w:t>
      </w:r>
    </w:p>
    <w:p w14:paraId="7D93DC40">
      <w:pPr>
        <w:spacing w:before="156" w:line="226" w:lineRule="auto"/>
        <w:ind w:left="42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27.6</w:t>
      </w:r>
      <w:r>
        <w:rPr>
          <w:rFonts w:ascii="宋体" w:hAnsi="宋体" w:eastAsia="宋体" w:cs="宋体"/>
          <w:color w:val="auto"/>
          <w:spacing w:val="-23"/>
          <w:sz w:val="20"/>
          <w:szCs w:val="20"/>
          <w:highlight w:val="none"/>
        </w:rPr>
        <w:t xml:space="preserve"> </w:t>
      </w:r>
      <w:r>
        <w:rPr>
          <w:rFonts w:ascii="宋体" w:hAnsi="宋体" w:eastAsia="宋体" w:cs="宋体"/>
          <w:color w:val="auto"/>
          <w:spacing w:val="7"/>
          <w:sz w:val="20"/>
          <w:szCs w:val="20"/>
          <w:highlight w:val="none"/>
        </w:rPr>
        <w:t>响应文件最后报价出现前后不一致的，按照本正文第25.2.4条的规定修正。</w:t>
      </w:r>
    </w:p>
    <w:p w14:paraId="6403ADF5">
      <w:pPr>
        <w:spacing w:before="154" w:line="226" w:lineRule="auto"/>
        <w:ind w:left="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27.7</w:t>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修正后的报价出现下列情形的，按无效响应处理：</w:t>
      </w:r>
    </w:p>
    <w:p w14:paraId="6FC972BB">
      <w:pPr>
        <w:spacing w:before="156" w:line="227" w:lineRule="auto"/>
        <w:ind w:left="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（1）供应商不确认的；</w:t>
      </w:r>
    </w:p>
    <w:p w14:paraId="033E1C2C">
      <w:pPr>
        <w:spacing w:before="155" w:line="297" w:lineRule="auto"/>
        <w:ind w:left="1" w:right="208" w:firstLine="428"/>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（2）经供应商确认修正后的竞标报价（包含首次报价、最后报价）超过所竞标分标规定的采购预算</w:t>
      </w:r>
      <w:r>
        <w:rPr>
          <w:rFonts w:ascii="宋体" w:hAnsi="宋体" w:eastAsia="宋体" w:cs="宋体"/>
          <w:color w:val="auto"/>
          <w:spacing w:val="9"/>
          <w:sz w:val="20"/>
          <w:szCs w:val="20"/>
          <w:highlight w:val="none"/>
        </w:rPr>
        <w:t>金额或者最高限价的（如本项目公布了最高限价</w:t>
      </w:r>
      <w:r>
        <w:rPr>
          <w:rFonts w:ascii="宋体" w:hAnsi="宋体" w:eastAsia="宋体" w:cs="宋体"/>
          <w:color w:val="auto"/>
          <w:spacing w:val="4"/>
          <w:sz w:val="20"/>
          <w:szCs w:val="20"/>
          <w:highlight w:val="none"/>
        </w:rPr>
        <w:t>）；</w:t>
      </w:r>
    </w:p>
    <w:p w14:paraId="55025E7F">
      <w:pPr>
        <w:spacing w:before="156" w:line="298" w:lineRule="auto"/>
        <w:ind w:left="14" w:right="208" w:firstLine="41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（3）经供应商确认修正后的竞标报价（包含首次报价、最后报价）超过分项采购预算金额或者最高</w:t>
      </w:r>
      <w:r>
        <w:rPr>
          <w:rFonts w:ascii="宋体" w:hAnsi="宋体" w:eastAsia="宋体" w:cs="宋体"/>
          <w:color w:val="auto"/>
          <w:spacing w:val="7"/>
          <w:sz w:val="20"/>
          <w:szCs w:val="20"/>
          <w:highlight w:val="none"/>
        </w:rPr>
        <w:t>限价的（如本项目公布了最高限价）。</w:t>
      </w:r>
    </w:p>
    <w:p w14:paraId="717E21F6">
      <w:pPr>
        <w:spacing w:before="153" w:line="226" w:lineRule="auto"/>
        <w:ind w:left="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27.8</w:t>
      </w:r>
      <w:r>
        <w:rPr>
          <w:rFonts w:ascii="宋体" w:hAnsi="宋体" w:eastAsia="宋体" w:cs="宋体"/>
          <w:color w:val="auto"/>
          <w:spacing w:val="-30"/>
          <w:sz w:val="20"/>
          <w:szCs w:val="20"/>
          <w:highlight w:val="none"/>
        </w:rPr>
        <w:t xml:space="preserve"> </w:t>
      </w:r>
      <w:r>
        <w:rPr>
          <w:rFonts w:ascii="宋体" w:hAnsi="宋体" w:eastAsia="宋体" w:cs="宋体"/>
          <w:color w:val="auto"/>
          <w:spacing w:val="8"/>
          <w:sz w:val="20"/>
          <w:szCs w:val="20"/>
          <w:highlight w:val="none"/>
        </w:rPr>
        <w:t>经供应商确认修正后的最后报价作为评审及签订合同的依据。</w:t>
      </w:r>
    </w:p>
    <w:p w14:paraId="4FB47031">
      <w:pPr>
        <w:spacing w:before="156" w:line="298" w:lineRule="auto"/>
        <w:ind w:left="422" w:right="289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27.9</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最后报价结束后，磋商小组不得再与供</w:t>
      </w:r>
      <w:r>
        <w:rPr>
          <w:rFonts w:ascii="宋体" w:hAnsi="宋体" w:eastAsia="宋体" w:cs="宋体"/>
          <w:color w:val="auto"/>
          <w:spacing w:val="7"/>
          <w:sz w:val="20"/>
          <w:szCs w:val="20"/>
          <w:highlight w:val="none"/>
        </w:rPr>
        <w:t>应商进行任何形式的商谈。</w:t>
      </w:r>
      <w:r>
        <w:rPr>
          <w:rFonts w:ascii="宋体" w:hAnsi="宋体" w:eastAsia="宋体" w:cs="宋体"/>
          <w:color w:val="auto"/>
          <w:spacing w:val="6"/>
          <w:sz w:val="20"/>
          <w:szCs w:val="20"/>
          <w:highlight w:val="none"/>
        </w:rPr>
        <w:t>28.比较与评价</w:t>
      </w:r>
    </w:p>
    <w:p w14:paraId="577B8734">
      <w:pPr>
        <w:spacing w:before="154" w:line="228" w:lineRule="auto"/>
        <w:ind w:left="42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28.1</w:t>
      </w:r>
      <w:r>
        <w:rPr>
          <w:rFonts w:ascii="宋体" w:hAnsi="宋体" w:eastAsia="宋体" w:cs="宋体"/>
          <w:color w:val="auto"/>
          <w:spacing w:val="-32"/>
          <w:sz w:val="20"/>
          <w:szCs w:val="20"/>
          <w:highlight w:val="none"/>
        </w:rPr>
        <w:t xml:space="preserve"> </w:t>
      </w:r>
      <w:r>
        <w:rPr>
          <w:rFonts w:ascii="宋体" w:hAnsi="宋体" w:eastAsia="宋体" w:cs="宋体"/>
          <w:color w:val="auto"/>
          <w:spacing w:val="6"/>
          <w:sz w:val="20"/>
          <w:szCs w:val="20"/>
          <w:highlight w:val="none"/>
        </w:rPr>
        <w:t>评审方法：综合评分法。</w:t>
      </w:r>
    </w:p>
    <w:p w14:paraId="226A4246">
      <w:pPr>
        <w:spacing w:before="153" w:line="298" w:lineRule="auto"/>
        <w:ind w:right="208" w:firstLine="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28.2</w:t>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经磋商确定最终采购需求和提交最后报</w:t>
      </w:r>
      <w:r>
        <w:rPr>
          <w:rFonts w:ascii="宋体" w:hAnsi="宋体" w:eastAsia="宋体" w:cs="宋体"/>
          <w:color w:val="auto"/>
          <w:spacing w:val="7"/>
          <w:sz w:val="20"/>
          <w:szCs w:val="20"/>
          <w:highlight w:val="none"/>
        </w:rPr>
        <w:t>价的供应商后，由磋商小组采用综合评分法对提交最后报</w:t>
      </w:r>
      <w:r>
        <w:rPr>
          <w:rFonts w:ascii="宋体" w:hAnsi="宋体" w:eastAsia="宋体" w:cs="宋体"/>
          <w:color w:val="auto"/>
          <w:spacing w:val="10"/>
          <w:sz w:val="20"/>
          <w:szCs w:val="20"/>
          <w:highlight w:val="none"/>
        </w:rPr>
        <w:t>价的供应商的响应文件和最后报价进行综合评分。详</w:t>
      </w:r>
      <w:r>
        <w:rPr>
          <w:rFonts w:ascii="宋体" w:hAnsi="宋体" w:eastAsia="宋体" w:cs="宋体"/>
          <w:color w:val="auto"/>
          <w:spacing w:val="9"/>
          <w:sz w:val="20"/>
          <w:szCs w:val="20"/>
          <w:highlight w:val="none"/>
        </w:rPr>
        <w:t>见第四章“评审程序、评审方法和评审标准”。</w:t>
      </w:r>
    </w:p>
    <w:p w14:paraId="437AE627">
      <w:pPr>
        <w:spacing w:before="153" w:line="299" w:lineRule="auto"/>
        <w:ind w:right="205" w:firstLine="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28.3</w:t>
      </w:r>
      <w:r>
        <w:rPr>
          <w:rFonts w:ascii="宋体" w:hAnsi="宋体" w:eastAsia="宋体" w:cs="宋体"/>
          <w:color w:val="auto"/>
          <w:spacing w:val="-42"/>
          <w:sz w:val="20"/>
          <w:szCs w:val="20"/>
          <w:highlight w:val="none"/>
        </w:rPr>
        <w:t xml:space="preserve"> </w:t>
      </w:r>
      <w:r>
        <w:rPr>
          <w:rFonts w:ascii="宋体" w:hAnsi="宋体" w:eastAsia="宋体" w:cs="宋体"/>
          <w:color w:val="auto"/>
          <w:spacing w:val="8"/>
          <w:sz w:val="20"/>
          <w:szCs w:val="20"/>
          <w:highlight w:val="none"/>
        </w:rPr>
        <w:t>评审时，磋商小组各成员应当独立对每个有效的响</w:t>
      </w:r>
      <w:r>
        <w:rPr>
          <w:rFonts w:ascii="宋体" w:hAnsi="宋体" w:eastAsia="宋体" w:cs="宋体"/>
          <w:color w:val="auto"/>
          <w:spacing w:val="7"/>
          <w:sz w:val="20"/>
          <w:szCs w:val="20"/>
          <w:highlight w:val="none"/>
        </w:rPr>
        <w:t>应文件进行评价、打分，然后汇总每个供应商</w:t>
      </w:r>
      <w:r>
        <w:rPr>
          <w:rFonts w:ascii="宋体" w:hAnsi="宋体" w:eastAsia="宋体" w:cs="宋体"/>
          <w:color w:val="auto"/>
          <w:spacing w:val="8"/>
          <w:sz w:val="20"/>
          <w:szCs w:val="20"/>
          <w:highlight w:val="none"/>
        </w:rPr>
        <w:t>每项评分因素的得分。</w:t>
      </w:r>
    </w:p>
    <w:p w14:paraId="5ECADCE8">
      <w:pPr>
        <w:spacing w:before="154" w:line="297" w:lineRule="auto"/>
        <w:ind w:left="3" w:right="259" w:firstLine="42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（1）磋商小组按照竞争性磋商文件中规定的评审标准计算各供应商的报价得分。项目评审过程中，</w:t>
      </w:r>
      <w:r>
        <w:rPr>
          <w:rFonts w:ascii="宋体" w:hAnsi="宋体" w:eastAsia="宋体" w:cs="宋体"/>
          <w:color w:val="auto"/>
          <w:spacing w:val="8"/>
          <w:sz w:val="20"/>
          <w:szCs w:val="20"/>
          <w:highlight w:val="none"/>
        </w:rPr>
        <w:t>不得去掉最后报价中的最高报价和最低报价。</w:t>
      </w:r>
    </w:p>
    <w:p w14:paraId="30766820">
      <w:pPr>
        <w:spacing w:before="156"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（2）各供应商的得分为磋商小组所有成员的有效评分的算术</w:t>
      </w:r>
      <w:r>
        <w:rPr>
          <w:rFonts w:ascii="宋体" w:hAnsi="宋体" w:eastAsia="宋体" w:cs="宋体"/>
          <w:color w:val="auto"/>
          <w:spacing w:val="8"/>
          <w:sz w:val="20"/>
          <w:szCs w:val="20"/>
          <w:highlight w:val="none"/>
        </w:rPr>
        <w:t>平均数。</w:t>
      </w:r>
    </w:p>
    <w:p w14:paraId="07DFE046">
      <w:pPr>
        <w:spacing w:before="156" w:line="321" w:lineRule="auto"/>
        <w:ind w:left="2" w:right="208" w:firstLine="42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28.4</w:t>
      </w:r>
      <w:r>
        <w:rPr>
          <w:rFonts w:ascii="宋体" w:hAnsi="宋体" w:eastAsia="宋体" w:cs="宋体"/>
          <w:color w:val="auto"/>
          <w:spacing w:val="-2"/>
          <w:sz w:val="20"/>
          <w:szCs w:val="20"/>
          <w:highlight w:val="none"/>
        </w:rPr>
        <w:t xml:space="preserve"> </w:t>
      </w:r>
      <w:r>
        <w:rPr>
          <w:rFonts w:ascii="宋体" w:hAnsi="宋体" w:eastAsia="宋体" w:cs="宋体"/>
          <w:color w:val="auto"/>
          <w:spacing w:val="6"/>
          <w:sz w:val="20"/>
          <w:szCs w:val="20"/>
          <w:highlight w:val="none"/>
        </w:rPr>
        <w:t>由磋商小组根据综合评分情况，按照评审得分由高到低顺序推荐3名以上成交候选供应商，并编</w:t>
      </w:r>
      <w:r>
        <w:rPr>
          <w:rFonts w:ascii="宋体" w:hAnsi="宋体" w:eastAsia="宋体" w:cs="宋体"/>
          <w:color w:val="auto"/>
          <w:spacing w:val="10"/>
          <w:sz w:val="20"/>
          <w:szCs w:val="20"/>
          <w:highlight w:val="none"/>
        </w:rPr>
        <w:t>写评审报告。符合本须知正文第27.2条情形的，可以推荐2家成交候选供应商。评审</w:t>
      </w:r>
      <w:r>
        <w:rPr>
          <w:rFonts w:ascii="宋体" w:hAnsi="宋体" w:eastAsia="宋体" w:cs="宋体"/>
          <w:color w:val="auto"/>
          <w:spacing w:val="9"/>
          <w:sz w:val="20"/>
          <w:szCs w:val="20"/>
          <w:highlight w:val="none"/>
        </w:rPr>
        <w:t>得分相同的，按照最后报价由低到高的顺序推荐。评审得分且最后报价相同的，按照技术指标优劣顺序推荐。</w:t>
      </w:r>
    </w:p>
    <w:p w14:paraId="1E4DF77C">
      <w:pPr>
        <w:spacing w:before="156" w:line="297" w:lineRule="auto"/>
        <w:ind w:right="208" w:firstLine="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28.5</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评审报告应当由磋商小组全体人员签字认可</w:t>
      </w:r>
      <w:r>
        <w:rPr>
          <w:rFonts w:ascii="宋体" w:hAnsi="宋体" w:eastAsia="宋体" w:cs="宋体"/>
          <w:color w:val="auto"/>
          <w:spacing w:val="7"/>
          <w:sz w:val="20"/>
          <w:szCs w:val="20"/>
          <w:highlight w:val="none"/>
        </w:rPr>
        <w:t>。磋商小组成员对评审报告有异议的，磋商小组按照</w:t>
      </w:r>
      <w:r>
        <w:rPr>
          <w:rFonts w:ascii="宋体" w:hAnsi="宋体" w:eastAsia="宋体" w:cs="宋体"/>
          <w:color w:val="auto"/>
          <w:spacing w:val="9"/>
          <w:sz w:val="20"/>
          <w:szCs w:val="20"/>
          <w:highlight w:val="none"/>
        </w:rPr>
        <w:t>少数服从多数的原则推荐成交候选供应商，采购程序继续进行。对评审报告有异议的磋商小组成员，应当</w:t>
      </w:r>
    </w:p>
    <w:p w14:paraId="5A6498B7">
      <w:pPr>
        <w:spacing w:line="297" w:lineRule="auto"/>
        <w:rPr>
          <w:rFonts w:ascii="宋体" w:hAnsi="宋体" w:eastAsia="宋体" w:cs="宋体"/>
          <w:color w:val="auto"/>
          <w:sz w:val="20"/>
          <w:szCs w:val="20"/>
          <w:highlight w:val="none"/>
        </w:rPr>
        <w:sectPr>
          <w:footerReference r:id="rId15" w:type="default"/>
          <w:pgSz w:w="11906" w:h="16839"/>
          <w:pgMar w:top="1260" w:right="928" w:bottom="1362" w:left="1140" w:header="0" w:footer="1200" w:gutter="0"/>
          <w:pgNumType w:fmt="decimal"/>
          <w:cols w:space="720" w:num="1"/>
        </w:sectPr>
      </w:pPr>
    </w:p>
    <w:p w14:paraId="2166F5C9">
      <w:pPr>
        <w:spacing w:before="42" w:line="352" w:lineRule="auto"/>
        <w:ind w:left="14" w:right="57" w:hanging="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在报告上签署不同意见并说明理由，由磋商小组书面记录相关情况。磋商小组成员拒绝在报告上签字又不书面说明其不同意见和理由的，视为同意评审</w:t>
      </w:r>
      <w:r>
        <w:rPr>
          <w:rFonts w:ascii="宋体" w:hAnsi="宋体" w:eastAsia="宋体" w:cs="宋体"/>
          <w:color w:val="auto"/>
          <w:spacing w:val="8"/>
          <w:sz w:val="20"/>
          <w:szCs w:val="20"/>
          <w:highlight w:val="none"/>
        </w:rPr>
        <w:t>报告。</w:t>
      </w:r>
    </w:p>
    <w:p w14:paraId="124979BD">
      <w:pPr>
        <w:spacing w:before="35" w:line="226" w:lineRule="auto"/>
        <w:ind w:left="43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29.确定成交供应商及结果公告</w:t>
      </w:r>
    </w:p>
    <w:p w14:paraId="22336303">
      <w:pPr>
        <w:spacing w:before="157" w:line="333" w:lineRule="auto"/>
        <w:ind w:left="9" w:firstLine="42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29.1 采购代理机构应当在评审结束后2个工作日内将评审报告送采购人确认。采购人应当在收到评</w:t>
      </w:r>
      <w:r>
        <w:rPr>
          <w:rFonts w:ascii="宋体" w:hAnsi="宋体" w:eastAsia="宋体" w:cs="宋体"/>
          <w:color w:val="auto"/>
          <w:spacing w:val="6"/>
          <w:sz w:val="20"/>
          <w:szCs w:val="20"/>
          <w:highlight w:val="none"/>
        </w:rPr>
        <w:t>审报告后2个工作日内，从评审报告提出的成交候</w:t>
      </w:r>
      <w:r>
        <w:rPr>
          <w:rFonts w:ascii="宋体" w:hAnsi="宋体" w:eastAsia="宋体" w:cs="宋体"/>
          <w:color w:val="auto"/>
          <w:spacing w:val="5"/>
          <w:sz w:val="20"/>
          <w:szCs w:val="20"/>
          <w:highlight w:val="none"/>
        </w:rPr>
        <w:t>选供应商中，按照排序由高到低的原则确定成交供应商，</w:t>
      </w:r>
      <w:r>
        <w:rPr>
          <w:rFonts w:ascii="宋体" w:hAnsi="宋体" w:eastAsia="宋体" w:cs="宋体"/>
          <w:color w:val="auto"/>
          <w:spacing w:val="9"/>
          <w:sz w:val="20"/>
          <w:szCs w:val="20"/>
          <w:highlight w:val="none"/>
        </w:rPr>
        <w:t>也可以书面授权磋商小组直接确定成交供应商。采购人逾期未确定成交供应商且不提出异议的，视为确定评审报告提出的排序第一的供应商为成交供应商。</w:t>
      </w:r>
    </w:p>
    <w:p w14:paraId="3ECEFBA5">
      <w:pPr>
        <w:spacing w:before="153" w:line="349" w:lineRule="auto"/>
        <w:ind w:left="10" w:right="54" w:firstLine="42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29.2</w:t>
      </w:r>
      <w:r>
        <w:rPr>
          <w:rFonts w:ascii="宋体" w:hAnsi="宋体" w:eastAsia="宋体" w:cs="宋体"/>
          <w:color w:val="auto"/>
          <w:spacing w:val="-41"/>
          <w:sz w:val="20"/>
          <w:szCs w:val="20"/>
          <w:highlight w:val="none"/>
        </w:rPr>
        <w:t xml:space="preserve"> </w:t>
      </w:r>
      <w:r>
        <w:rPr>
          <w:rFonts w:ascii="宋体" w:hAnsi="宋体" w:eastAsia="宋体" w:cs="宋体"/>
          <w:color w:val="auto"/>
          <w:spacing w:val="7"/>
          <w:sz w:val="20"/>
          <w:szCs w:val="20"/>
          <w:highlight w:val="none"/>
        </w:rPr>
        <w:t>采购代理机构应当在成交供应商确定后2个工作日内，在省级以上财政部门指定的媒体上公</w:t>
      </w:r>
      <w:r>
        <w:rPr>
          <w:rFonts w:ascii="宋体" w:hAnsi="宋体" w:eastAsia="宋体" w:cs="宋体"/>
          <w:color w:val="auto"/>
          <w:spacing w:val="6"/>
          <w:sz w:val="20"/>
          <w:szCs w:val="20"/>
          <w:highlight w:val="none"/>
        </w:rPr>
        <w:t>告成</w:t>
      </w:r>
      <w:r>
        <w:rPr>
          <w:rFonts w:ascii="宋体" w:hAnsi="宋体" w:eastAsia="宋体" w:cs="宋体"/>
          <w:color w:val="auto"/>
          <w:spacing w:val="9"/>
          <w:sz w:val="20"/>
          <w:szCs w:val="20"/>
          <w:highlight w:val="none"/>
        </w:rPr>
        <w:t>交结果，同时向成交供应商发出成交通知书。采购人或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w:t>
      </w:r>
      <w:r>
        <w:rPr>
          <w:rFonts w:ascii="宋体" w:hAnsi="宋体" w:eastAsia="宋体" w:cs="宋体"/>
          <w:color w:val="auto"/>
          <w:spacing w:val="7"/>
          <w:sz w:val="20"/>
          <w:szCs w:val="20"/>
          <w:highlight w:val="none"/>
        </w:rPr>
        <w:t>文件一并保存。</w:t>
      </w:r>
    </w:p>
    <w:p w14:paraId="0B4B156B">
      <w:pPr>
        <w:spacing w:before="153" w:line="322" w:lineRule="auto"/>
        <w:ind w:left="11" w:right="54" w:firstLine="42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29.3 采购人、采购代理机构认为供应商对采购过程、成交结果提出的质疑成立且影响或者可能影响</w:t>
      </w:r>
      <w:r>
        <w:rPr>
          <w:rFonts w:ascii="宋体" w:hAnsi="宋体" w:eastAsia="宋体" w:cs="宋体"/>
          <w:color w:val="auto"/>
          <w:spacing w:val="9"/>
          <w:sz w:val="20"/>
          <w:szCs w:val="20"/>
          <w:highlight w:val="none"/>
        </w:rPr>
        <w:t>成交结果的，合格供应商符合法定数量时，可以从合格的成交候选人中另行确定成交供应商的，应当依法另行确定成交供应商；否则应当重新开展采购活动。</w:t>
      </w:r>
    </w:p>
    <w:p w14:paraId="48F34032">
      <w:pPr>
        <w:spacing w:before="153" w:line="322" w:lineRule="auto"/>
        <w:ind w:left="10" w:right="54" w:firstLine="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29.4</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排名第一的成交候选人放弃成交、因不可抗力提</w:t>
      </w:r>
      <w:r>
        <w:rPr>
          <w:rFonts w:ascii="宋体" w:hAnsi="宋体" w:eastAsia="宋体" w:cs="宋体"/>
          <w:color w:val="auto"/>
          <w:spacing w:val="7"/>
          <w:sz w:val="20"/>
          <w:szCs w:val="20"/>
          <w:highlight w:val="none"/>
        </w:rPr>
        <w:t>出不能履行合同，采购人可以确定排名第二的成</w:t>
      </w:r>
      <w:r>
        <w:rPr>
          <w:rFonts w:ascii="宋体" w:hAnsi="宋体" w:eastAsia="宋体" w:cs="宋体"/>
          <w:color w:val="auto"/>
          <w:spacing w:val="9"/>
          <w:sz w:val="20"/>
          <w:szCs w:val="20"/>
          <w:highlight w:val="none"/>
        </w:rPr>
        <w:t>交候选人为成交供应商。排名第二的成交候选人因前款规定的同样原因不能签订合同的，采购人可以确定排名第三的成交候选人为成交供应商，以此类推。</w:t>
      </w:r>
    </w:p>
    <w:p w14:paraId="6851121A">
      <w:pPr>
        <w:spacing w:before="156" w:line="228" w:lineRule="auto"/>
        <w:ind w:left="43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30.履约保证金</w:t>
      </w:r>
    </w:p>
    <w:p w14:paraId="2169FDFE">
      <w:pPr>
        <w:spacing w:before="152" w:line="322" w:lineRule="auto"/>
        <w:ind w:left="10" w:right="54" w:firstLine="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30.1 履约保证金的金额、提交方式、退付的时间和条件详见“供应商须知前附表”。成交</w:t>
      </w:r>
      <w:r>
        <w:rPr>
          <w:rFonts w:ascii="宋体" w:hAnsi="宋体" w:eastAsia="宋体" w:cs="宋体"/>
          <w:color w:val="auto"/>
          <w:spacing w:val="7"/>
          <w:sz w:val="20"/>
          <w:szCs w:val="20"/>
          <w:highlight w:val="none"/>
        </w:rPr>
        <w:t>供应商未</w:t>
      </w:r>
      <w:r>
        <w:rPr>
          <w:rFonts w:ascii="宋体" w:hAnsi="宋体" w:eastAsia="宋体" w:cs="宋体"/>
          <w:color w:val="auto"/>
          <w:spacing w:val="9"/>
          <w:sz w:val="20"/>
          <w:szCs w:val="20"/>
          <w:highlight w:val="none"/>
        </w:rPr>
        <w:t>按规定提交履约保证金的，视为拒绝与采购人签订合同，采购人可以按照评审报告推荐的成交候选人名单排序，确定下一候选人为成交供应商，也可以重新开展政府采购活动。</w:t>
      </w:r>
    </w:p>
    <w:p w14:paraId="01640ECD">
      <w:pPr>
        <w:spacing w:before="154" w:line="298" w:lineRule="auto"/>
        <w:ind w:left="11" w:right="56" w:firstLine="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30.2</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签订合同后，如成交供应商不按双方签</w:t>
      </w:r>
      <w:r>
        <w:rPr>
          <w:rFonts w:ascii="宋体" w:hAnsi="宋体" w:eastAsia="宋体" w:cs="宋体"/>
          <w:color w:val="auto"/>
          <w:spacing w:val="7"/>
          <w:sz w:val="20"/>
          <w:szCs w:val="20"/>
          <w:highlight w:val="none"/>
        </w:rPr>
        <w:t>订的合同规定履约，则没收其全部履约保证金，履约保证</w:t>
      </w:r>
      <w:r>
        <w:rPr>
          <w:rFonts w:ascii="宋体" w:hAnsi="宋体" w:eastAsia="宋体" w:cs="宋体"/>
          <w:color w:val="auto"/>
          <w:spacing w:val="8"/>
          <w:sz w:val="20"/>
          <w:szCs w:val="20"/>
          <w:highlight w:val="none"/>
        </w:rPr>
        <w:t>金不足以赔偿损失的，按实际损失赔偿。</w:t>
      </w:r>
    </w:p>
    <w:p w14:paraId="07B6ED35">
      <w:pPr>
        <w:spacing w:before="155" w:line="298" w:lineRule="auto"/>
        <w:ind w:left="10" w:right="56" w:firstLine="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30.3</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在履约保证金退还日期前，若成交供应</w:t>
      </w:r>
      <w:r>
        <w:rPr>
          <w:rFonts w:ascii="宋体" w:hAnsi="宋体" w:eastAsia="宋体" w:cs="宋体"/>
          <w:color w:val="auto"/>
          <w:spacing w:val="7"/>
          <w:sz w:val="20"/>
          <w:szCs w:val="20"/>
          <w:highlight w:val="none"/>
        </w:rPr>
        <w:t>商的开户名称、开户银行、帐号有变动的，请以书面形式</w:t>
      </w:r>
      <w:r>
        <w:rPr>
          <w:rFonts w:ascii="宋体" w:hAnsi="宋体" w:eastAsia="宋体" w:cs="宋体"/>
          <w:color w:val="auto"/>
          <w:spacing w:val="9"/>
          <w:sz w:val="20"/>
          <w:szCs w:val="20"/>
          <w:highlight w:val="none"/>
        </w:rPr>
        <w:t>通知履约保证金收取单位，否则由此产生的后果由成交供应商自行承担。</w:t>
      </w:r>
    </w:p>
    <w:p w14:paraId="25FF40A3">
      <w:pPr>
        <w:spacing w:before="153" w:line="230" w:lineRule="auto"/>
        <w:ind w:left="43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31.签订合同</w:t>
      </w:r>
    </w:p>
    <w:p w14:paraId="1D57102A">
      <w:pPr>
        <w:spacing w:before="152" w:line="298" w:lineRule="auto"/>
        <w:ind w:right="56" w:firstLine="43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31.1</w:t>
      </w:r>
      <w:r>
        <w:rPr>
          <w:rFonts w:ascii="宋体" w:hAnsi="宋体" w:eastAsia="宋体" w:cs="宋体"/>
          <w:color w:val="auto"/>
          <w:spacing w:val="-24"/>
          <w:sz w:val="20"/>
          <w:szCs w:val="20"/>
          <w:highlight w:val="none"/>
        </w:rPr>
        <w:t xml:space="preserve"> </w:t>
      </w:r>
      <w:r>
        <w:rPr>
          <w:rFonts w:ascii="宋体" w:hAnsi="宋体" w:eastAsia="宋体" w:cs="宋体"/>
          <w:color w:val="auto"/>
          <w:spacing w:val="7"/>
          <w:sz w:val="20"/>
          <w:szCs w:val="20"/>
          <w:highlight w:val="none"/>
        </w:rPr>
        <w:t>成交供应商在收到成交通知书后，应当在签订合同时向采购人出示相关证明材料，具体内容详见</w:t>
      </w:r>
      <w:r>
        <w:rPr>
          <w:rFonts w:ascii="宋体" w:hAnsi="宋体" w:eastAsia="宋体" w:cs="宋体"/>
          <w:color w:val="auto"/>
          <w:spacing w:val="8"/>
          <w:sz w:val="20"/>
          <w:szCs w:val="20"/>
          <w:highlight w:val="none"/>
        </w:rPr>
        <w:t>“供应商须知前附表”，经采购人核验合格后方可签订合同。</w:t>
      </w:r>
    </w:p>
    <w:p w14:paraId="0B432BA9">
      <w:pPr>
        <w:spacing w:before="153" w:line="227" w:lineRule="auto"/>
        <w:ind w:left="43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31.2 签订合同时间：自中标（成交）通知书发出之日起25日内与采购人签订政府</w:t>
      </w:r>
      <w:r>
        <w:rPr>
          <w:rFonts w:ascii="宋体" w:hAnsi="宋体" w:eastAsia="宋体" w:cs="宋体"/>
          <w:color w:val="auto"/>
          <w:spacing w:val="5"/>
          <w:sz w:val="20"/>
          <w:szCs w:val="20"/>
          <w:highlight w:val="none"/>
        </w:rPr>
        <w:t>采购合同。</w:t>
      </w:r>
    </w:p>
    <w:p w14:paraId="35405DD6">
      <w:pPr>
        <w:spacing w:before="153" w:line="322" w:lineRule="auto"/>
        <w:ind w:left="10" w:right="54" w:firstLine="42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31.3</w:t>
      </w:r>
      <w:r>
        <w:rPr>
          <w:rFonts w:ascii="宋体" w:hAnsi="宋体" w:eastAsia="宋体" w:cs="宋体"/>
          <w:color w:val="auto"/>
          <w:spacing w:val="-22"/>
          <w:sz w:val="20"/>
          <w:szCs w:val="20"/>
          <w:highlight w:val="none"/>
        </w:rPr>
        <w:t xml:space="preserve"> </w:t>
      </w:r>
      <w:r>
        <w:rPr>
          <w:rFonts w:ascii="宋体" w:hAnsi="宋体" w:eastAsia="宋体" w:cs="宋体"/>
          <w:color w:val="auto"/>
          <w:spacing w:val="7"/>
          <w:sz w:val="20"/>
          <w:szCs w:val="20"/>
          <w:highlight w:val="none"/>
        </w:rPr>
        <w:t>成交供应商拒绝与采购人签订合同的，采购人可以按照评审报告推荐的成交候选人名单排序，确</w:t>
      </w:r>
      <w:r>
        <w:rPr>
          <w:rFonts w:ascii="宋体" w:hAnsi="宋体" w:eastAsia="宋体" w:cs="宋体"/>
          <w:color w:val="auto"/>
          <w:spacing w:val="9"/>
          <w:sz w:val="20"/>
          <w:szCs w:val="20"/>
          <w:highlight w:val="none"/>
        </w:rPr>
        <w:t>定下一候选人为成交供应商，也可以重新开展政府采购活动。拒绝签订政府采购合同的成交供应商不得参</w:t>
      </w:r>
      <w:r>
        <w:rPr>
          <w:rFonts w:ascii="宋体" w:hAnsi="宋体" w:eastAsia="宋体" w:cs="宋体"/>
          <w:color w:val="auto"/>
          <w:spacing w:val="8"/>
          <w:sz w:val="20"/>
          <w:szCs w:val="20"/>
          <w:highlight w:val="none"/>
        </w:rPr>
        <w:t>加对该合同项重新开展的采购活动。</w:t>
      </w:r>
    </w:p>
    <w:p w14:paraId="4F685870">
      <w:pPr>
        <w:spacing w:line="322" w:lineRule="auto"/>
        <w:rPr>
          <w:rFonts w:ascii="宋体" w:hAnsi="宋体" w:eastAsia="宋体" w:cs="宋体"/>
          <w:color w:val="auto"/>
          <w:sz w:val="20"/>
          <w:szCs w:val="20"/>
          <w:highlight w:val="none"/>
        </w:rPr>
        <w:sectPr>
          <w:footerReference r:id="rId16" w:type="default"/>
          <w:pgSz w:w="11906" w:h="16839"/>
          <w:pgMar w:top="1260" w:right="1080" w:bottom="1362" w:left="1130" w:header="0" w:footer="1200" w:gutter="0"/>
          <w:pgNumType w:fmt="decimal"/>
          <w:cols w:space="720" w:num="1"/>
        </w:sectPr>
      </w:pPr>
    </w:p>
    <w:p w14:paraId="45AB7159">
      <w:pPr>
        <w:spacing w:before="41" w:line="226" w:lineRule="auto"/>
        <w:ind w:left="42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32.政府采购合同公告</w:t>
      </w:r>
    </w:p>
    <w:p w14:paraId="6A8396AB">
      <w:pPr>
        <w:spacing w:before="153" w:line="360" w:lineRule="auto"/>
        <w:ind w:left="3" w:firstLine="41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根据《中华人民共和国政府采购法实施条例》第五十条规定，采购人应当自政府采购合同签订之日起</w:t>
      </w:r>
      <w:r>
        <w:rPr>
          <w:rFonts w:ascii="宋体" w:hAnsi="宋体" w:eastAsia="宋体" w:cs="宋体"/>
          <w:color w:val="auto"/>
          <w:spacing w:val="10"/>
          <w:sz w:val="20"/>
          <w:szCs w:val="20"/>
          <w:highlight w:val="none"/>
        </w:rPr>
        <w:t>2个工作日内，将政府采购合同在省级以上人民政府财政部门指定的媒体上公告，但政府采购合同中涉及</w:t>
      </w:r>
      <w:r>
        <w:rPr>
          <w:rFonts w:ascii="宋体" w:hAnsi="宋体" w:eastAsia="宋体" w:cs="宋体"/>
          <w:color w:val="auto"/>
          <w:spacing w:val="8"/>
          <w:sz w:val="20"/>
          <w:szCs w:val="20"/>
          <w:highlight w:val="none"/>
        </w:rPr>
        <w:t>国家秘密、商业秘密的内容除外。</w:t>
      </w:r>
    </w:p>
    <w:p w14:paraId="4662F8BF">
      <w:pPr>
        <w:spacing w:before="28" w:line="228" w:lineRule="auto"/>
        <w:ind w:left="42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33.适用法律</w:t>
      </w:r>
    </w:p>
    <w:p w14:paraId="7648CF61">
      <w:pPr>
        <w:spacing w:before="154" w:line="359" w:lineRule="auto"/>
        <w:ind w:left="3" w:firstLine="4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本项目适用于《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w:t>
      </w:r>
    </w:p>
    <w:p w14:paraId="04DF87F5">
      <w:pPr>
        <w:spacing w:before="33" w:line="228" w:lineRule="auto"/>
        <w:ind w:left="42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34.其它内容</w:t>
      </w:r>
    </w:p>
    <w:p w14:paraId="4D5BB10C">
      <w:pPr>
        <w:spacing w:before="155" w:line="227" w:lineRule="auto"/>
        <w:ind w:left="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34.1</w:t>
      </w:r>
      <w:r>
        <w:rPr>
          <w:rFonts w:ascii="宋体" w:hAnsi="宋体" w:eastAsia="宋体" w:cs="宋体"/>
          <w:color w:val="auto"/>
          <w:spacing w:val="-31"/>
          <w:sz w:val="20"/>
          <w:szCs w:val="20"/>
          <w:highlight w:val="none"/>
        </w:rPr>
        <w:t xml:space="preserve"> </w:t>
      </w:r>
      <w:r>
        <w:rPr>
          <w:rFonts w:ascii="宋体" w:hAnsi="宋体" w:eastAsia="宋体" w:cs="宋体"/>
          <w:color w:val="auto"/>
          <w:spacing w:val="8"/>
          <w:sz w:val="20"/>
          <w:szCs w:val="20"/>
          <w:highlight w:val="none"/>
        </w:rPr>
        <w:t>代理服务收费标准及缴费账户详见“供应商须知前附表”。</w:t>
      </w:r>
    </w:p>
    <w:p w14:paraId="577F6874">
      <w:pPr>
        <w:spacing w:before="152" w:line="227" w:lineRule="auto"/>
        <w:ind w:left="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34.2</w:t>
      </w:r>
      <w:r>
        <w:rPr>
          <w:rFonts w:ascii="宋体" w:hAnsi="宋体" w:eastAsia="宋体" w:cs="宋体"/>
          <w:color w:val="auto"/>
          <w:spacing w:val="-34"/>
          <w:sz w:val="20"/>
          <w:szCs w:val="20"/>
          <w:highlight w:val="none"/>
        </w:rPr>
        <w:t xml:space="preserve"> </w:t>
      </w:r>
      <w:r>
        <w:rPr>
          <w:rFonts w:ascii="宋体" w:hAnsi="宋体" w:eastAsia="宋体" w:cs="宋体"/>
          <w:color w:val="auto"/>
          <w:spacing w:val="8"/>
          <w:sz w:val="20"/>
          <w:szCs w:val="20"/>
          <w:highlight w:val="none"/>
        </w:rPr>
        <w:t>代理服务费收费计算标准：详见“供应商须知前附表”。</w:t>
      </w:r>
    </w:p>
    <w:p w14:paraId="08840A6F">
      <w:pPr>
        <w:spacing w:before="155" w:line="228" w:lineRule="auto"/>
        <w:ind w:left="42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35. 询问、质疑和投诉</w:t>
      </w:r>
    </w:p>
    <w:p w14:paraId="4451A43A">
      <w:pPr>
        <w:spacing w:before="155" w:line="297" w:lineRule="auto"/>
        <w:ind w:firstLine="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35.1</w:t>
      </w:r>
      <w:r>
        <w:rPr>
          <w:rFonts w:ascii="宋体" w:hAnsi="宋体" w:eastAsia="宋体" w:cs="宋体"/>
          <w:color w:val="auto"/>
          <w:spacing w:val="-40"/>
          <w:sz w:val="20"/>
          <w:szCs w:val="20"/>
          <w:highlight w:val="none"/>
        </w:rPr>
        <w:t xml:space="preserve"> </w:t>
      </w:r>
      <w:r>
        <w:rPr>
          <w:rFonts w:ascii="宋体" w:hAnsi="宋体" w:eastAsia="宋体" w:cs="宋体"/>
          <w:color w:val="auto"/>
          <w:spacing w:val="8"/>
          <w:sz w:val="20"/>
          <w:szCs w:val="20"/>
          <w:highlight w:val="none"/>
        </w:rPr>
        <w:t>供应商对政府采购活动事项有疑问的，可以</w:t>
      </w:r>
      <w:r>
        <w:rPr>
          <w:rFonts w:ascii="宋体" w:hAnsi="宋体" w:eastAsia="宋体" w:cs="宋体"/>
          <w:color w:val="auto"/>
          <w:spacing w:val="7"/>
          <w:sz w:val="20"/>
          <w:szCs w:val="20"/>
          <w:highlight w:val="none"/>
        </w:rPr>
        <w:t>向采购人、采购代理机构提出询问，采购人或者采购</w:t>
      </w:r>
      <w:r>
        <w:rPr>
          <w:rFonts w:ascii="宋体" w:hAnsi="宋体" w:eastAsia="宋体" w:cs="宋体"/>
          <w:color w:val="auto"/>
          <w:spacing w:val="8"/>
          <w:sz w:val="20"/>
          <w:szCs w:val="20"/>
          <w:highlight w:val="none"/>
        </w:rPr>
        <w:t>代理机构应当在3个工作日内对供应商依法提出的询问作出答复。</w:t>
      </w:r>
    </w:p>
    <w:p w14:paraId="3249212E">
      <w:pPr>
        <w:spacing w:before="153" w:line="322" w:lineRule="auto"/>
        <w:ind w:left="2" w:firstLine="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35.2</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供应商认为竞争性磋商文件、采购过程</w:t>
      </w:r>
      <w:r>
        <w:rPr>
          <w:rFonts w:ascii="宋体" w:hAnsi="宋体" w:eastAsia="宋体" w:cs="宋体"/>
          <w:color w:val="auto"/>
          <w:spacing w:val="7"/>
          <w:sz w:val="20"/>
          <w:szCs w:val="20"/>
          <w:highlight w:val="none"/>
        </w:rPr>
        <w:t>或成交结果使自己的合法权益受到损害的，应当在知道或</w:t>
      </w:r>
      <w:r>
        <w:rPr>
          <w:rFonts w:ascii="宋体" w:hAnsi="宋体" w:eastAsia="宋体" w:cs="宋体"/>
          <w:color w:val="auto"/>
          <w:spacing w:val="9"/>
          <w:sz w:val="20"/>
          <w:szCs w:val="20"/>
          <w:highlight w:val="none"/>
        </w:rPr>
        <w:t>者应知其权益受到损害之日起七个工作日内，以书面形式向采购人、采购代理机构提出质疑，接收质疑函的方式、联系部门、联系电话和通讯地址等信息详见“供应商须知前附表”。具体质疑起</w:t>
      </w:r>
      <w:r>
        <w:rPr>
          <w:rFonts w:ascii="宋体" w:hAnsi="宋体" w:eastAsia="宋体" w:cs="宋体"/>
          <w:color w:val="auto"/>
          <w:spacing w:val="8"/>
          <w:sz w:val="20"/>
          <w:szCs w:val="20"/>
          <w:highlight w:val="none"/>
        </w:rPr>
        <w:t>算时间如下：</w:t>
      </w:r>
    </w:p>
    <w:p w14:paraId="2730454B">
      <w:pPr>
        <w:spacing w:before="155" w:line="299" w:lineRule="auto"/>
        <w:ind w:left="4" w:right="2" w:firstLine="426"/>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（1）对可以质疑的竞争性磋商文件提出质疑的，为收到竞争性磋商文件之日或竞争性磋商公告期限</w:t>
      </w:r>
      <w:r>
        <w:rPr>
          <w:rFonts w:ascii="宋体" w:hAnsi="宋体" w:eastAsia="宋体" w:cs="宋体"/>
          <w:color w:val="auto"/>
          <w:spacing w:val="5"/>
          <w:sz w:val="20"/>
          <w:szCs w:val="20"/>
          <w:highlight w:val="none"/>
        </w:rPr>
        <w:t>届满之日；</w:t>
      </w:r>
    </w:p>
    <w:p w14:paraId="6C7010E4">
      <w:pPr>
        <w:spacing w:before="151"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（2）对采购过程提出质疑的，为各采购程</w:t>
      </w:r>
      <w:r>
        <w:rPr>
          <w:rFonts w:ascii="宋体" w:hAnsi="宋体" w:eastAsia="宋体" w:cs="宋体"/>
          <w:color w:val="auto"/>
          <w:spacing w:val="8"/>
          <w:sz w:val="20"/>
          <w:szCs w:val="20"/>
          <w:highlight w:val="none"/>
        </w:rPr>
        <w:t>序环节结束之日；</w:t>
      </w:r>
    </w:p>
    <w:p w14:paraId="020F1930">
      <w:pPr>
        <w:spacing w:before="155" w:line="226"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（3）对成交结果提出质疑的，为成交结果公告期</w:t>
      </w:r>
      <w:r>
        <w:rPr>
          <w:rFonts w:ascii="宋体" w:hAnsi="宋体" w:eastAsia="宋体" w:cs="宋体"/>
          <w:color w:val="auto"/>
          <w:spacing w:val="8"/>
          <w:sz w:val="20"/>
          <w:szCs w:val="20"/>
          <w:highlight w:val="none"/>
        </w:rPr>
        <w:t>限届满之日。</w:t>
      </w:r>
    </w:p>
    <w:p w14:paraId="6A8B6B69">
      <w:pPr>
        <w:spacing w:before="156" w:line="353" w:lineRule="auto"/>
        <w:ind w:right="2" w:firstLine="419"/>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供应商对采购人或采购代理机构的质疑答复不满意或者采购人或采购代理机构未在规定时间内作出</w:t>
      </w:r>
      <w:r>
        <w:rPr>
          <w:rFonts w:ascii="宋体" w:hAnsi="宋体" w:eastAsia="宋体" w:cs="宋体"/>
          <w:color w:val="auto"/>
          <w:spacing w:val="9"/>
          <w:sz w:val="20"/>
          <w:szCs w:val="20"/>
          <w:highlight w:val="none"/>
        </w:rPr>
        <w:t>答复的，可以在答复期满后十五个工作日内向同级采购监管部门投诉。</w:t>
      </w:r>
    </w:p>
    <w:p w14:paraId="30BCFB33">
      <w:pPr>
        <w:spacing w:before="36" w:line="298" w:lineRule="auto"/>
        <w:ind w:right="2" w:firstLine="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35.3</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供应商提出的询问或者质疑超出采购人</w:t>
      </w:r>
      <w:r>
        <w:rPr>
          <w:rFonts w:ascii="宋体" w:hAnsi="宋体" w:eastAsia="宋体" w:cs="宋体"/>
          <w:color w:val="auto"/>
          <w:spacing w:val="7"/>
          <w:sz w:val="20"/>
          <w:szCs w:val="20"/>
          <w:highlight w:val="none"/>
        </w:rPr>
        <w:t>对采购代理机构委托授权范围的，采购代理机构应当告知</w:t>
      </w:r>
      <w:r>
        <w:rPr>
          <w:rFonts w:ascii="宋体" w:hAnsi="宋体" w:eastAsia="宋体" w:cs="宋体"/>
          <w:color w:val="auto"/>
          <w:spacing w:val="10"/>
          <w:sz w:val="20"/>
          <w:szCs w:val="20"/>
          <w:highlight w:val="none"/>
        </w:rPr>
        <w:t>供应商向采购人提出。政府采购评审专家应当配合采</w:t>
      </w:r>
      <w:r>
        <w:rPr>
          <w:rFonts w:ascii="宋体" w:hAnsi="宋体" w:eastAsia="宋体" w:cs="宋体"/>
          <w:color w:val="auto"/>
          <w:spacing w:val="9"/>
          <w:sz w:val="20"/>
          <w:szCs w:val="20"/>
          <w:highlight w:val="none"/>
        </w:rPr>
        <w:t>购人或者采购代理机构答复供应商的询问和质疑。</w:t>
      </w:r>
    </w:p>
    <w:p w14:paraId="619C1631">
      <w:pPr>
        <w:spacing w:before="151" w:line="323" w:lineRule="auto"/>
        <w:ind w:left="4"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35.4</w:t>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质疑、投诉应当采用书面形式，质疑函、</w:t>
      </w:r>
      <w:r>
        <w:rPr>
          <w:rFonts w:ascii="宋体" w:hAnsi="宋体" w:eastAsia="宋体" w:cs="宋体"/>
          <w:color w:val="auto"/>
          <w:spacing w:val="7"/>
          <w:sz w:val="20"/>
          <w:szCs w:val="20"/>
          <w:highlight w:val="none"/>
        </w:rPr>
        <w:t>投诉书均应明确阐述竞争性磋商文件、采购过程或成交</w:t>
      </w:r>
      <w:r>
        <w:rPr>
          <w:rFonts w:ascii="宋体" w:hAnsi="宋体" w:eastAsia="宋体" w:cs="宋体"/>
          <w:color w:val="auto"/>
          <w:spacing w:val="9"/>
          <w:sz w:val="20"/>
          <w:szCs w:val="20"/>
          <w:highlight w:val="none"/>
        </w:rPr>
        <w:t>结果中使自己合法权益受到损害的实质性内容，提供相关事实、法律依据和证据及其来源或线索，便于有</w:t>
      </w:r>
      <w:r>
        <w:rPr>
          <w:rFonts w:ascii="宋体" w:hAnsi="宋体" w:eastAsia="宋体" w:cs="宋体"/>
          <w:color w:val="auto"/>
          <w:spacing w:val="8"/>
          <w:sz w:val="20"/>
          <w:szCs w:val="20"/>
          <w:highlight w:val="none"/>
        </w:rPr>
        <w:t>关单位调查、答复和处理。</w:t>
      </w:r>
    </w:p>
    <w:p w14:paraId="53B0CAB9">
      <w:pPr>
        <w:spacing w:before="152" w:line="355" w:lineRule="auto"/>
        <w:ind w:left="26" w:firstLine="39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供应商提出质疑应当提交质疑函和必要的证明材料，针对同一采购程序环节的质疑必须在法定质疑期</w:t>
      </w:r>
      <w:r>
        <w:rPr>
          <w:rFonts w:ascii="宋体" w:hAnsi="宋体" w:eastAsia="宋体" w:cs="宋体"/>
          <w:color w:val="auto"/>
          <w:spacing w:val="7"/>
          <w:sz w:val="20"/>
          <w:szCs w:val="20"/>
          <w:highlight w:val="none"/>
        </w:rPr>
        <w:t>内一次性提出。质疑函应当包括下列内容：</w:t>
      </w:r>
    </w:p>
    <w:p w14:paraId="58833159">
      <w:pPr>
        <w:spacing w:before="32"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（1）供应商的姓名或者名称、地址、邮编、联系人</w:t>
      </w:r>
      <w:r>
        <w:rPr>
          <w:rFonts w:ascii="宋体" w:hAnsi="宋体" w:eastAsia="宋体" w:cs="宋体"/>
          <w:color w:val="auto"/>
          <w:spacing w:val="8"/>
          <w:sz w:val="20"/>
          <w:szCs w:val="20"/>
          <w:highlight w:val="none"/>
        </w:rPr>
        <w:t>及联系电话；</w:t>
      </w:r>
    </w:p>
    <w:p w14:paraId="36316E0A">
      <w:pPr>
        <w:spacing w:before="152" w:line="228"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（2）质疑项目的名称、编号；</w:t>
      </w:r>
    </w:p>
    <w:p w14:paraId="740ECC54">
      <w:pPr>
        <w:spacing w:before="154"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（3）具体、明确的质疑事项和与质疑事项相关的请求；</w:t>
      </w:r>
    </w:p>
    <w:p w14:paraId="2ACFEEDA">
      <w:pPr>
        <w:spacing w:before="154" w:line="227" w:lineRule="auto"/>
        <w:ind w:left="43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（4）事实依据；</w:t>
      </w:r>
    </w:p>
    <w:p w14:paraId="20BA5666">
      <w:pPr>
        <w:spacing w:before="152" w:line="227" w:lineRule="auto"/>
        <w:ind w:left="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（5）必要的法律依据；</w:t>
      </w:r>
    </w:p>
    <w:p w14:paraId="199A2B4C">
      <w:pPr>
        <w:spacing w:line="227" w:lineRule="auto"/>
        <w:rPr>
          <w:rFonts w:ascii="宋体" w:hAnsi="宋体" w:eastAsia="宋体" w:cs="宋体"/>
          <w:color w:val="auto"/>
          <w:sz w:val="20"/>
          <w:szCs w:val="20"/>
          <w:highlight w:val="none"/>
        </w:rPr>
        <w:sectPr>
          <w:footerReference r:id="rId17" w:type="default"/>
          <w:pgSz w:w="11906" w:h="16839"/>
          <w:pgMar w:top="1260" w:right="1134" w:bottom="1362" w:left="1140" w:header="0" w:footer="1200" w:gutter="0"/>
          <w:pgNumType w:fmt="decimal"/>
          <w:cols w:space="720" w:num="1"/>
        </w:sectPr>
      </w:pPr>
    </w:p>
    <w:p w14:paraId="09E42825">
      <w:pPr>
        <w:spacing w:before="42" w:line="228" w:lineRule="auto"/>
        <w:ind w:left="59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（6）提出质疑的日期。</w:t>
      </w:r>
    </w:p>
    <w:p w14:paraId="5A6CB0AA">
      <w:pPr>
        <w:spacing w:before="150" w:line="355" w:lineRule="auto"/>
        <w:ind w:left="165" w:right="160" w:firstLine="4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供应商为自然人的，应当由本人签字；供应商为法人或者其他组织的，应当由法定代表人、主要负责人，或者其委托代理人签字或者盖章，并加盖公章。</w:t>
      </w:r>
    </w:p>
    <w:p w14:paraId="07BF10AB">
      <w:pPr>
        <w:spacing w:before="33" w:line="297" w:lineRule="auto"/>
        <w:ind w:left="163" w:right="160" w:firstLine="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35.5</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采购人、采购代理机构认为供应商质疑</w:t>
      </w:r>
      <w:r>
        <w:rPr>
          <w:rFonts w:ascii="宋体" w:hAnsi="宋体" w:eastAsia="宋体" w:cs="宋体"/>
          <w:color w:val="auto"/>
          <w:spacing w:val="7"/>
          <w:sz w:val="20"/>
          <w:szCs w:val="20"/>
          <w:highlight w:val="none"/>
        </w:rPr>
        <w:t>不成立，或者成立但未对成交结果构成影响的，继续开展</w:t>
      </w:r>
      <w:r>
        <w:rPr>
          <w:rFonts w:ascii="宋体" w:hAnsi="宋体" w:eastAsia="宋体" w:cs="宋体"/>
          <w:color w:val="auto"/>
          <w:spacing w:val="9"/>
          <w:sz w:val="20"/>
          <w:szCs w:val="20"/>
          <w:highlight w:val="none"/>
        </w:rPr>
        <w:t>采购活动；认为供应商质疑成立且影响或者可能影响成交结果的，按照下列情况处理：</w:t>
      </w:r>
    </w:p>
    <w:p w14:paraId="4094E4F3">
      <w:pPr>
        <w:spacing w:before="155" w:line="298" w:lineRule="auto"/>
        <w:ind w:left="171" w:right="160" w:firstLine="42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（1）对竞争性磋商文件提出的质疑，依法通过澄清或者修改可以继续开展采购活动的，澄清或者修</w:t>
      </w:r>
      <w:r>
        <w:rPr>
          <w:rFonts w:ascii="宋体" w:hAnsi="宋体" w:eastAsia="宋体" w:cs="宋体"/>
          <w:color w:val="auto"/>
          <w:spacing w:val="9"/>
          <w:sz w:val="20"/>
          <w:szCs w:val="20"/>
          <w:highlight w:val="none"/>
        </w:rPr>
        <w:t>改竞争性磋商文件后继续开展采购活动；否则应当在修改竞争性磋商文件后重新开展采购活动。</w:t>
      </w:r>
    </w:p>
    <w:p w14:paraId="042FFD7B">
      <w:pPr>
        <w:spacing w:before="153" w:line="298" w:lineRule="auto"/>
        <w:ind w:left="169" w:right="160" w:firstLine="42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（2）对采购过程、成交结果提出的质疑，合格供应商符合法定数量时，可以从合格的成交候选人中</w:t>
      </w:r>
      <w:r>
        <w:rPr>
          <w:rFonts w:ascii="宋体" w:hAnsi="宋体" w:eastAsia="宋体" w:cs="宋体"/>
          <w:color w:val="auto"/>
          <w:spacing w:val="9"/>
          <w:sz w:val="20"/>
          <w:szCs w:val="20"/>
          <w:highlight w:val="none"/>
        </w:rPr>
        <w:t>另行确定成交供应商的，应当依法另行确定成交供应商；否则应当重新开展采购活动。</w:t>
      </w:r>
    </w:p>
    <w:p w14:paraId="73BE7C7B">
      <w:pPr>
        <w:spacing w:before="155" w:line="226" w:lineRule="auto"/>
        <w:ind w:left="58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质疑答复导致成交结果改变的，采购人或者采</w:t>
      </w:r>
      <w:r>
        <w:rPr>
          <w:rFonts w:ascii="宋体" w:hAnsi="宋体" w:eastAsia="宋体" w:cs="宋体"/>
          <w:color w:val="auto"/>
          <w:spacing w:val="9"/>
          <w:sz w:val="20"/>
          <w:szCs w:val="20"/>
          <w:highlight w:val="none"/>
        </w:rPr>
        <w:t>购代理机构应当将有关情况书面报告本级财政部门。</w:t>
      </w:r>
    </w:p>
    <w:p w14:paraId="2E89B7C2">
      <w:pPr>
        <w:spacing w:before="152" w:line="323" w:lineRule="auto"/>
        <w:ind w:left="163" w:right="157" w:firstLine="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35.6</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投诉的权利。质疑供应商对采购人、采</w:t>
      </w:r>
      <w:r>
        <w:rPr>
          <w:rFonts w:ascii="宋体" w:hAnsi="宋体" w:eastAsia="宋体" w:cs="宋体"/>
          <w:color w:val="auto"/>
          <w:spacing w:val="7"/>
          <w:sz w:val="20"/>
          <w:szCs w:val="20"/>
          <w:highlight w:val="none"/>
        </w:rPr>
        <w:t>购代理机构的答复不满意，或者采购人、采购代理机构未</w:t>
      </w:r>
      <w:r>
        <w:rPr>
          <w:rFonts w:ascii="宋体" w:hAnsi="宋体" w:eastAsia="宋体" w:cs="宋体"/>
          <w:color w:val="auto"/>
          <w:spacing w:val="11"/>
          <w:sz w:val="20"/>
          <w:szCs w:val="20"/>
          <w:highlight w:val="none"/>
        </w:rPr>
        <w:t>在规定时间内作出答复的，可以在答复期满后15个工作日</w:t>
      </w:r>
      <w:r>
        <w:rPr>
          <w:rFonts w:ascii="宋体" w:hAnsi="宋体" w:eastAsia="宋体" w:cs="宋体"/>
          <w:color w:val="auto"/>
          <w:spacing w:val="10"/>
          <w:sz w:val="20"/>
          <w:szCs w:val="20"/>
          <w:highlight w:val="none"/>
        </w:rPr>
        <w:t>内向《政府采购质疑和投诉办法》（财政部令</w:t>
      </w:r>
      <w:r>
        <w:rPr>
          <w:rFonts w:ascii="宋体" w:hAnsi="宋体" w:eastAsia="宋体" w:cs="宋体"/>
          <w:color w:val="auto"/>
          <w:spacing w:val="7"/>
          <w:sz w:val="20"/>
          <w:szCs w:val="20"/>
          <w:highlight w:val="none"/>
        </w:rPr>
        <w:t>第94号）第六条规定的财政部门提起投诉。</w:t>
      </w:r>
    </w:p>
    <w:p w14:paraId="0159E82B">
      <w:pPr>
        <w:spacing w:before="152" w:line="227" w:lineRule="auto"/>
        <w:ind w:left="58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37</w:t>
      </w:r>
      <w:r>
        <w:rPr>
          <w:rFonts w:ascii="宋体" w:hAnsi="宋体" w:eastAsia="宋体" w:cs="宋体"/>
          <w:color w:val="auto"/>
          <w:spacing w:val="-37"/>
          <w:sz w:val="20"/>
          <w:szCs w:val="20"/>
          <w:highlight w:val="none"/>
        </w:rPr>
        <w:t xml:space="preserve"> </w:t>
      </w:r>
      <w:r>
        <w:rPr>
          <w:rFonts w:ascii="宋体" w:hAnsi="宋体" w:eastAsia="宋体" w:cs="宋体"/>
          <w:color w:val="auto"/>
          <w:spacing w:val="7"/>
          <w:sz w:val="20"/>
          <w:szCs w:val="20"/>
          <w:highlight w:val="none"/>
        </w:rPr>
        <w:t>本项目是否专门面向中小企业采购：</w:t>
      </w:r>
      <w:r>
        <w:rPr>
          <w:rFonts w:ascii="宋体" w:hAnsi="宋体" w:eastAsia="宋体" w:cs="宋体"/>
          <w:color w:val="auto"/>
          <w:spacing w:val="-73"/>
          <w:sz w:val="20"/>
          <w:szCs w:val="20"/>
          <w:highlight w:val="none"/>
        </w:rPr>
        <w:t xml:space="preserve"> </w:t>
      </w:r>
      <w:r>
        <w:rPr>
          <w:rFonts w:ascii="MS Gothic" w:hAnsi="MS Gothic" w:eastAsia="MS Gothic" w:cs="MS Gothic"/>
          <w:color w:val="auto"/>
          <w:spacing w:val="7"/>
          <w:sz w:val="20"/>
          <w:szCs w:val="20"/>
          <w:highlight w:val="none"/>
        </w:rPr>
        <w:t>☑</w:t>
      </w:r>
      <w:r>
        <w:rPr>
          <w:rFonts w:ascii="宋体" w:hAnsi="宋体" w:eastAsia="宋体" w:cs="宋体"/>
          <w:color w:val="auto"/>
          <w:spacing w:val="7"/>
          <w:sz w:val="20"/>
          <w:szCs w:val="20"/>
          <w:highlight w:val="none"/>
        </w:rPr>
        <w:t xml:space="preserve">是 </w:t>
      </w:r>
      <w:r>
        <w:rPr>
          <w:rFonts w:ascii="宋体" w:hAnsi="宋体" w:eastAsia="宋体" w:cs="宋体"/>
          <w:color w:val="auto"/>
          <w:spacing w:val="6"/>
          <w:sz w:val="20"/>
          <w:szCs w:val="20"/>
          <w:highlight w:val="none"/>
        </w:rPr>
        <w:t xml:space="preserve">     □否</w:t>
      </w:r>
    </w:p>
    <w:p w14:paraId="05FCC31C">
      <w:pPr>
        <w:spacing w:before="155" w:line="227" w:lineRule="auto"/>
        <w:ind w:left="58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37.1</w:t>
      </w:r>
      <w:r>
        <w:rPr>
          <w:rFonts w:ascii="宋体" w:hAnsi="宋体" w:eastAsia="宋体" w:cs="宋体"/>
          <w:color w:val="auto"/>
          <w:spacing w:val="-22"/>
          <w:sz w:val="20"/>
          <w:szCs w:val="20"/>
          <w:highlight w:val="none"/>
        </w:rPr>
        <w:t xml:space="preserve"> </w:t>
      </w:r>
      <w:r>
        <w:rPr>
          <w:rFonts w:ascii="宋体" w:hAnsi="宋体" w:eastAsia="宋体" w:cs="宋体"/>
          <w:color w:val="auto"/>
          <w:spacing w:val="8"/>
          <w:sz w:val="20"/>
          <w:szCs w:val="20"/>
          <w:highlight w:val="none"/>
        </w:rPr>
        <w:t>本项目采购标的对应的中小企业划分标准所属行业为：</w:t>
      </w:r>
      <w:r>
        <w:rPr>
          <w:rFonts w:ascii="宋体" w:hAnsi="宋体" w:eastAsia="宋体" w:cs="宋体"/>
          <w:b/>
          <w:bCs/>
          <w:color w:val="auto"/>
          <w:spacing w:val="8"/>
          <w:sz w:val="20"/>
          <w:szCs w:val="20"/>
          <w:highlight w:val="none"/>
          <w:u w:val="single" w:color="auto"/>
        </w:rPr>
        <w:t>其他未列明行业</w:t>
      </w:r>
    </w:p>
    <w:p w14:paraId="3F7EAF6B">
      <w:pPr>
        <w:spacing w:before="156" w:line="297" w:lineRule="auto"/>
        <w:ind w:left="167" w:right="160" w:firstLine="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37.2</w:t>
      </w:r>
      <w:r>
        <w:rPr>
          <w:rFonts w:ascii="宋体" w:hAnsi="宋体" w:eastAsia="宋体" w:cs="宋体"/>
          <w:color w:val="auto"/>
          <w:spacing w:val="-19"/>
          <w:sz w:val="20"/>
          <w:szCs w:val="20"/>
          <w:highlight w:val="none"/>
        </w:rPr>
        <w:t xml:space="preserve"> </w:t>
      </w:r>
      <w:r>
        <w:rPr>
          <w:rFonts w:ascii="宋体" w:hAnsi="宋体" w:eastAsia="宋体" w:cs="宋体"/>
          <w:color w:val="auto"/>
          <w:spacing w:val="9"/>
          <w:sz w:val="20"/>
          <w:szCs w:val="20"/>
          <w:highlight w:val="none"/>
        </w:rPr>
        <w:t>中小企业划型标准见下表，其中，对于营业收入（Y）、从业人员（X）、资产总额（Z）有</w:t>
      </w:r>
      <w:r>
        <w:rPr>
          <w:rFonts w:ascii="宋体" w:hAnsi="宋体" w:eastAsia="宋体" w:cs="宋体"/>
          <w:color w:val="auto"/>
          <w:spacing w:val="8"/>
          <w:sz w:val="20"/>
          <w:szCs w:val="20"/>
          <w:highlight w:val="none"/>
        </w:rPr>
        <w:t>非单</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一指标划分要求的，须全部指标均在划分范围内才可划入对应档位。</w:t>
      </w:r>
    </w:p>
    <w:p w14:paraId="041F49A3">
      <w:pPr>
        <w:spacing w:line="14" w:lineRule="exact"/>
        <w:rPr>
          <w:color w:val="auto"/>
          <w:highlight w:val="none"/>
        </w:rPr>
      </w:pPr>
    </w:p>
    <w:tbl>
      <w:tblPr>
        <w:tblStyle w:val="18"/>
        <w:tblW w:w="99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5"/>
        <w:gridCol w:w="1677"/>
        <w:gridCol w:w="915"/>
        <w:gridCol w:w="2051"/>
        <w:gridCol w:w="1643"/>
        <w:gridCol w:w="1061"/>
      </w:tblGrid>
      <w:tr w14:paraId="01FB0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2595" w:type="dxa"/>
            <w:vAlign w:val="top"/>
          </w:tcPr>
          <w:p w14:paraId="51701B59">
            <w:pPr>
              <w:spacing w:line="268" w:lineRule="auto"/>
              <w:rPr>
                <w:rFonts w:ascii="Arial"/>
                <w:color w:val="auto"/>
                <w:sz w:val="21"/>
                <w:highlight w:val="none"/>
              </w:rPr>
            </w:pPr>
          </w:p>
          <w:p w14:paraId="19AC3960">
            <w:pPr>
              <w:pStyle w:val="19"/>
              <w:spacing w:before="65" w:line="228" w:lineRule="auto"/>
              <w:ind w:left="882"/>
              <w:rPr>
                <w:color w:val="auto"/>
                <w:highlight w:val="none"/>
              </w:rPr>
            </w:pPr>
            <w:r>
              <w:rPr>
                <w:b/>
                <w:bCs/>
                <w:color w:val="auto"/>
                <w:spacing w:val="5"/>
                <w:highlight w:val="none"/>
              </w:rPr>
              <w:t>行业名称</w:t>
            </w:r>
          </w:p>
        </w:tc>
        <w:tc>
          <w:tcPr>
            <w:tcW w:w="1677" w:type="dxa"/>
            <w:vAlign w:val="top"/>
          </w:tcPr>
          <w:p w14:paraId="4E70A290">
            <w:pPr>
              <w:spacing w:line="268" w:lineRule="auto"/>
              <w:rPr>
                <w:rFonts w:ascii="Arial"/>
                <w:color w:val="auto"/>
                <w:sz w:val="21"/>
                <w:highlight w:val="none"/>
              </w:rPr>
            </w:pPr>
          </w:p>
          <w:p w14:paraId="59ECDE67">
            <w:pPr>
              <w:pStyle w:val="19"/>
              <w:spacing w:before="65" w:line="228" w:lineRule="auto"/>
              <w:ind w:left="420"/>
              <w:rPr>
                <w:color w:val="auto"/>
                <w:highlight w:val="none"/>
              </w:rPr>
            </w:pPr>
            <w:r>
              <w:rPr>
                <w:b/>
                <w:bCs/>
                <w:color w:val="auto"/>
                <w:spacing w:val="5"/>
                <w:highlight w:val="none"/>
              </w:rPr>
              <w:t>指标名称</w:t>
            </w:r>
          </w:p>
        </w:tc>
        <w:tc>
          <w:tcPr>
            <w:tcW w:w="915" w:type="dxa"/>
            <w:vAlign w:val="top"/>
          </w:tcPr>
          <w:p w14:paraId="719D670B">
            <w:pPr>
              <w:pStyle w:val="19"/>
              <w:spacing w:before="154" w:line="289" w:lineRule="auto"/>
              <w:ind w:left="251" w:right="242" w:hanging="1"/>
              <w:rPr>
                <w:color w:val="auto"/>
                <w:highlight w:val="none"/>
              </w:rPr>
            </w:pPr>
            <w:r>
              <w:rPr>
                <w:b/>
                <w:bCs/>
                <w:color w:val="auto"/>
                <w:spacing w:val="3"/>
                <w:highlight w:val="none"/>
              </w:rPr>
              <w:t>计量</w:t>
            </w:r>
            <w:r>
              <w:rPr>
                <w:color w:val="auto"/>
                <w:highlight w:val="none"/>
              </w:rPr>
              <w:t xml:space="preserve"> </w:t>
            </w:r>
            <w:r>
              <w:rPr>
                <w:b/>
                <w:bCs/>
                <w:color w:val="auto"/>
                <w:spacing w:val="3"/>
                <w:highlight w:val="none"/>
              </w:rPr>
              <w:t>单位</w:t>
            </w:r>
          </w:p>
        </w:tc>
        <w:tc>
          <w:tcPr>
            <w:tcW w:w="2051" w:type="dxa"/>
            <w:vAlign w:val="top"/>
          </w:tcPr>
          <w:p w14:paraId="244682C8">
            <w:pPr>
              <w:spacing w:line="268" w:lineRule="auto"/>
              <w:rPr>
                <w:rFonts w:ascii="Arial"/>
                <w:color w:val="auto"/>
                <w:sz w:val="21"/>
                <w:highlight w:val="none"/>
              </w:rPr>
            </w:pPr>
          </w:p>
          <w:p w14:paraId="3131D3B5">
            <w:pPr>
              <w:pStyle w:val="19"/>
              <w:spacing w:before="65" w:line="228" w:lineRule="auto"/>
              <w:ind w:left="837"/>
              <w:rPr>
                <w:color w:val="auto"/>
                <w:highlight w:val="none"/>
              </w:rPr>
            </w:pPr>
            <w:r>
              <w:rPr>
                <w:b/>
                <w:bCs/>
                <w:color w:val="auto"/>
                <w:spacing w:val="-6"/>
                <w:highlight w:val="none"/>
              </w:rPr>
              <w:t>中型</w:t>
            </w:r>
          </w:p>
        </w:tc>
        <w:tc>
          <w:tcPr>
            <w:tcW w:w="1643" w:type="dxa"/>
            <w:vAlign w:val="top"/>
          </w:tcPr>
          <w:p w14:paraId="02F35250">
            <w:pPr>
              <w:spacing w:line="267" w:lineRule="auto"/>
              <w:rPr>
                <w:rFonts w:ascii="Arial"/>
                <w:color w:val="auto"/>
                <w:sz w:val="21"/>
                <w:highlight w:val="none"/>
              </w:rPr>
            </w:pPr>
          </w:p>
          <w:p w14:paraId="058569EA">
            <w:pPr>
              <w:pStyle w:val="19"/>
              <w:spacing w:before="65" w:line="230" w:lineRule="auto"/>
              <w:ind w:left="620"/>
              <w:rPr>
                <w:color w:val="auto"/>
                <w:highlight w:val="none"/>
              </w:rPr>
            </w:pPr>
            <w:r>
              <w:rPr>
                <w:b/>
                <w:bCs/>
                <w:color w:val="auto"/>
                <w:spacing w:val="1"/>
                <w:highlight w:val="none"/>
              </w:rPr>
              <w:t>小型</w:t>
            </w:r>
          </w:p>
        </w:tc>
        <w:tc>
          <w:tcPr>
            <w:tcW w:w="1061" w:type="dxa"/>
            <w:vAlign w:val="top"/>
          </w:tcPr>
          <w:p w14:paraId="68FBAC71">
            <w:pPr>
              <w:spacing w:line="267" w:lineRule="auto"/>
              <w:rPr>
                <w:rFonts w:ascii="Arial"/>
                <w:color w:val="auto"/>
                <w:sz w:val="21"/>
                <w:highlight w:val="none"/>
              </w:rPr>
            </w:pPr>
          </w:p>
          <w:p w14:paraId="323F2D16">
            <w:pPr>
              <w:pStyle w:val="19"/>
              <w:spacing w:before="65" w:line="228" w:lineRule="auto"/>
              <w:ind w:left="323"/>
              <w:rPr>
                <w:color w:val="auto"/>
                <w:highlight w:val="none"/>
              </w:rPr>
            </w:pPr>
            <w:r>
              <w:rPr>
                <w:b/>
                <w:bCs/>
                <w:color w:val="auto"/>
                <w:spacing w:val="3"/>
                <w:highlight w:val="none"/>
              </w:rPr>
              <w:t>微型</w:t>
            </w:r>
          </w:p>
        </w:tc>
      </w:tr>
      <w:tr w14:paraId="14759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595" w:type="dxa"/>
            <w:vAlign w:val="top"/>
          </w:tcPr>
          <w:p w14:paraId="455FE80F">
            <w:pPr>
              <w:pStyle w:val="19"/>
              <w:spacing w:before="147" w:line="228" w:lineRule="auto"/>
              <w:ind w:left="154"/>
              <w:rPr>
                <w:color w:val="auto"/>
                <w:highlight w:val="none"/>
              </w:rPr>
            </w:pPr>
            <w:r>
              <w:rPr>
                <w:color w:val="auto"/>
                <w:spacing w:val="8"/>
                <w:highlight w:val="none"/>
              </w:rPr>
              <w:t>农、林、牧、渔业</w:t>
            </w:r>
          </w:p>
        </w:tc>
        <w:tc>
          <w:tcPr>
            <w:tcW w:w="1677" w:type="dxa"/>
            <w:vAlign w:val="top"/>
          </w:tcPr>
          <w:p w14:paraId="0F83276D">
            <w:pPr>
              <w:pStyle w:val="19"/>
              <w:spacing w:before="147" w:line="228" w:lineRule="auto"/>
              <w:ind w:left="157"/>
              <w:rPr>
                <w:color w:val="auto"/>
                <w:highlight w:val="none"/>
              </w:rPr>
            </w:pPr>
            <w:r>
              <w:rPr>
                <w:color w:val="auto"/>
                <w:spacing w:val="5"/>
                <w:highlight w:val="none"/>
              </w:rPr>
              <w:t>营业收入（Y）</w:t>
            </w:r>
          </w:p>
        </w:tc>
        <w:tc>
          <w:tcPr>
            <w:tcW w:w="915" w:type="dxa"/>
            <w:vAlign w:val="top"/>
          </w:tcPr>
          <w:p w14:paraId="6FD8FD8A">
            <w:pPr>
              <w:pStyle w:val="19"/>
              <w:spacing w:before="148" w:line="228" w:lineRule="auto"/>
              <w:ind w:left="156"/>
              <w:rPr>
                <w:color w:val="auto"/>
                <w:highlight w:val="none"/>
              </w:rPr>
            </w:pPr>
            <w:r>
              <w:rPr>
                <w:color w:val="auto"/>
                <w:spacing w:val="2"/>
                <w:highlight w:val="none"/>
              </w:rPr>
              <w:t>万元</w:t>
            </w:r>
          </w:p>
        </w:tc>
        <w:tc>
          <w:tcPr>
            <w:tcW w:w="2051" w:type="dxa"/>
            <w:vAlign w:val="top"/>
          </w:tcPr>
          <w:p w14:paraId="0DC0E0DF">
            <w:pPr>
              <w:pStyle w:val="19"/>
              <w:spacing w:before="147" w:line="265" w:lineRule="exact"/>
              <w:ind w:left="157"/>
              <w:rPr>
                <w:color w:val="auto"/>
                <w:highlight w:val="none"/>
              </w:rPr>
            </w:pPr>
            <w:r>
              <w:rPr>
                <w:color w:val="auto"/>
                <w:spacing w:val="4"/>
                <w:position w:val="1"/>
                <w:highlight w:val="none"/>
              </w:rPr>
              <w:t>500≤Y&lt;20000</w:t>
            </w:r>
          </w:p>
        </w:tc>
        <w:tc>
          <w:tcPr>
            <w:tcW w:w="1643" w:type="dxa"/>
            <w:vAlign w:val="top"/>
          </w:tcPr>
          <w:p w14:paraId="135BBD65">
            <w:pPr>
              <w:pStyle w:val="19"/>
              <w:spacing w:before="147" w:line="265" w:lineRule="exact"/>
              <w:ind w:left="158"/>
              <w:rPr>
                <w:color w:val="auto"/>
                <w:highlight w:val="none"/>
              </w:rPr>
            </w:pPr>
            <w:r>
              <w:rPr>
                <w:color w:val="auto"/>
                <w:spacing w:val="4"/>
                <w:position w:val="1"/>
                <w:highlight w:val="none"/>
              </w:rPr>
              <w:t>50≤Y&lt;500</w:t>
            </w:r>
          </w:p>
        </w:tc>
        <w:tc>
          <w:tcPr>
            <w:tcW w:w="1061" w:type="dxa"/>
            <w:vAlign w:val="top"/>
          </w:tcPr>
          <w:p w14:paraId="174B04D4">
            <w:pPr>
              <w:pStyle w:val="19"/>
              <w:spacing w:before="147" w:line="267" w:lineRule="exact"/>
              <w:ind w:left="154"/>
              <w:rPr>
                <w:color w:val="auto"/>
                <w:highlight w:val="none"/>
              </w:rPr>
            </w:pPr>
            <w:r>
              <w:rPr>
                <w:color w:val="auto"/>
                <w:spacing w:val="3"/>
                <w:position w:val="1"/>
                <w:highlight w:val="none"/>
              </w:rPr>
              <w:t>Y&lt;50</w:t>
            </w:r>
          </w:p>
        </w:tc>
      </w:tr>
      <w:tr w14:paraId="47583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595" w:type="dxa"/>
            <w:vMerge w:val="restart"/>
            <w:tcBorders>
              <w:bottom w:val="nil"/>
            </w:tcBorders>
            <w:vAlign w:val="top"/>
          </w:tcPr>
          <w:p w14:paraId="0FB7E639">
            <w:pPr>
              <w:pStyle w:val="19"/>
              <w:spacing w:before="148" w:line="303" w:lineRule="auto"/>
              <w:ind w:left="153" w:right="149" w:firstLine="3"/>
              <w:jc w:val="both"/>
              <w:rPr>
                <w:color w:val="auto"/>
                <w:highlight w:val="none"/>
              </w:rPr>
            </w:pPr>
            <w:r>
              <w:rPr>
                <w:color w:val="auto"/>
                <w:spacing w:val="7"/>
                <w:highlight w:val="none"/>
              </w:rPr>
              <w:t>工业（包括采矿业，制造</w:t>
            </w:r>
            <w:r>
              <w:rPr>
                <w:color w:val="auto"/>
                <w:spacing w:val="1"/>
                <w:highlight w:val="none"/>
              </w:rPr>
              <w:t xml:space="preserve"> </w:t>
            </w:r>
            <w:r>
              <w:rPr>
                <w:color w:val="auto"/>
                <w:spacing w:val="7"/>
                <w:highlight w:val="none"/>
              </w:rPr>
              <w:t>业，电力、热力、燃气及</w:t>
            </w:r>
            <w:r>
              <w:rPr>
                <w:color w:val="auto"/>
                <w:spacing w:val="4"/>
                <w:highlight w:val="none"/>
              </w:rPr>
              <w:t xml:space="preserve"> </w:t>
            </w:r>
            <w:r>
              <w:rPr>
                <w:color w:val="auto"/>
                <w:spacing w:val="7"/>
                <w:highlight w:val="none"/>
              </w:rPr>
              <w:t>水生产和供应业）</w:t>
            </w:r>
          </w:p>
        </w:tc>
        <w:tc>
          <w:tcPr>
            <w:tcW w:w="1677" w:type="dxa"/>
            <w:vAlign w:val="top"/>
          </w:tcPr>
          <w:p w14:paraId="26290516">
            <w:pPr>
              <w:pStyle w:val="19"/>
              <w:spacing w:before="148" w:line="228" w:lineRule="auto"/>
              <w:ind w:left="153"/>
              <w:rPr>
                <w:color w:val="auto"/>
                <w:highlight w:val="none"/>
              </w:rPr>
            </w:pPr>
            <w:r>
              <w:rPr>
                <w:color w:val="auto"/>
                <w:spacing w:val="6"/>
                <w:highlight w:val="none"/>
              </w:rPr>
              <w:t>从业人员（X）</w:t>
            </w:r>
          </w:p>
        </w:tc>
        <w:tc>
          <w:tcPr>
            <w:tcW w:w="915" w:type="dxa"/>
            <w:vAlign w:val="top"/>
          </w:tcPr>
          <w:p w14:paraId="4B860539">
            <w:pPr>
              <w:pStyle w:val="19"/>
              <w:spacing w:before="147" w:line="231" w:lineRule="auto"/>
              <w:ind w:left="153"/>
              <w:rPr>
                <w:color w:val="auto"/>
                <w:highlight w:val="none"/>
              </w:rPr>
            </w:pPr>
            <w:r>
              <w:rPr>
                <w:color w:val="auto"/>
                <w:highlight w:val="none"/>
              </w:rPr>
              <w:t>人</w:t>
            </w:r>
          </w:p>
        </w:tc>
        <w:tc>
          <w:tcPr>
            <w:tcW w:w="2051" w:type="dxa"/>
            <w:vAlign w:val="top"/>
          </w:tcPr>
          <w:p w14:paraId="08518726">
            <w:pPr>
              <w:pStyle w:val="19"/>
              <w:spacing w:before="148" w:line="264" w:lineRule="exact"/>
              <w:ind w:left="157"/>
              <w:rPr>
                <w:color w:val="auto"/>
                <w:highlight w:val="none"/>
              </w:rPr>
            </w:pPr>
            <w:r>
              <w:rPr>
                <w:color w:val="auto"/>
                <w:spacing w:val="4"/>
                <w:position w:val="1"/>
                <w:highlight w:val="none"/>
              </w:rPr>
              <w:t>300≤X&lt;1000</w:t>
            </w:r>
          </w:p>
        </w:tc>
        <w:tc>
          <w:tcPr>
            <w:tcW w:w="1643" w:type="dxa"/>
            <w:vAlign w:val="top"/>
          </w:tcPr>
          <w:p w14:paraId="110206CF">
            <w:pPr>
              <w:pStyle w:val="19"/>
              <w:spacing w:before="148" w:line="264" w:lineRule="exact"/>
              <w:ind w:left="157"/>
              <w:rPr>
                <w:color w:val="auto"/>
                <w:highlight w:val="none"/>
              </w:rPr>
            </w:pPr>
            <w:r>
              <w:rPr>
                <w:color w:val="auto"/>
                <w:spacing w:val="4"/>
                <w:position w:val="1"/>
                <w:highlight w:val="none"/>
              </w:rPr>
              <w:t>20≤X&lt;300</w:t>
            </w:r>
          </w:p>
        </w:tc>
        <w:tc>
          <w:tcPr>
            <w:tcW w:w="1061" w:type="dxa"/>
            <w:vAlign w:val="top"/>
          </w:tcPr>
          <w:p w14:paraId="50C4263B">
            <w:pPr>
              <w:pStyle w:val="19"/>
              <w:spacing w:before="148" w:line="266" w:lineRule="exact"/>
              <w:ind w:left="155"/>
              <w:rPr>
                <w:color w:val="auto"/>
                <w:highlight w:val="none"/>
              </w:rPr>
            </w:pPr>
            <w:r>
              <w:rPr>
                <w:color w:val="auto"/>
                <w:spacing w:val="3"/>
                <w:position w:val="1"/>
                <w:highlight w:val="none"/>
              </w:rPr>
              <w:t>X&lt;20</w:t>
            </w:r>
          </w:p>
        </w:tc>
      </w:tr>
      <w:tr w14:paraId="7F09C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595" w:type="dxa"/>
            <w:vMerge w:val="continue"/>
            <w:tcBorders>
              <w:top w:val="nil"/>
            </w:tcBorders>
            <w:vAlign w:val="top"/>
          </w:tcPr>
          <w:p w14:paraId="41D47081">
            <w:pPr>
              <w:rPr>
                <w:rFonts w:ascii="Arial"/>
                <w:color w:val="auto"/>
                <w:sz w:val="21"/>
                <w:highlight w:val="none"/>
              </w:rPr>
            </w:pPr>
          </w:p>
        </w:tc>
        <w:tc>
          <w:tcPr>
            <w:tcW w:w="1677" w:type="dxa"/>
            <w:vAlign w:val="top"/>
          </w:tcPr>
          <w:p w14:paraId="66254F2D">
            <w:pPr>
              <w:pStyle w:val="19"/>
              <w:spacing w:before="292" w:line="228" w:lineRule="auto"/>
              <w:ind w:left="157"/>
              <w:rPr>
                <w:color w:val="auto"/>
                <w:highlight w:val="none"/>
              </w:rPr>
            </w:pPr>
            <w:r>
              <w:rPr>
                <w:color w:val="auto"/>
                <w:spacing w:val="5"/>
                <w:highlight w:val="none"/>
              </w:rPr>
              <w:t>营业收入（Y）</w:t>
            </w:r>
          </w:p>
        </w:tc>
        <w:tc>
          <w:tcPr>
            <w:tcW w:w="915" w:type="dxa"/>
            <w:vAlign w:val="top"/>
          </w:tcPr>
          <w:p w14:paraId="4C822140">
            <w:pPr>
              <w:pStyle w:val="19"/>
              <w:spacing w:before="293" w:line="228" w:lineRule="auto"/>
              <w:ind w:left="156"/>
              <w:rPr>
                <w:color w:val="auto"/>
                <w:highlight w:val="none"/>
              </w:rPr>
            </w:pPr>
            <w:r>
              <w:rPr>
                <w:color w:val="auto"/>
                <w:spacing w:val="2"/>
                <w:highlight w:val="none"/>
              </w:rPr>
              <w:t>万元</w:t>
            </w:r>
          </w:p>
        </w:tc>
        <w:tc>
          <w:tcPr>
            <w:tcW w:w="2051" w:type="dxa"/>
            <w:vAlign w:val="top"/>
          </w:tcPr>
          <w:p w14:paraId="0BFB350A">
            <w:pPr>
              <w:pStyle w:val="19"/>
              <w:spacing w:before="292" w:line="265" w:lineRule="exact"/>
              <w:ind w:left="156"/>
              <w:rPr>
                <w:color w:val="auto"/>
                <w:highlight w:val="none"/>
              </w:rPr>
            </w:pPr>
            <w:r>
              <w:rPr>
                <w:color w:val="auto"/>
                <w:spacing w:val="4"/>
                <w:position w:val="1"/>
                <w:highlight w:val="none"/>
              </w:rPr>
              <w:t>2000≤Y&lt;40000</w:t>
            </w:r>
          </w:p>
        </w:tc>
        <w:tc>
          <w:tcPr>
            <w:tcW w:w="1643" w:type="dxa"/>
            <w:vAlign w:val="top"/>
          </w:tcPr>
          <w:p w14:paraId="133D96AC">
            <w:pPr>
              <w:pStyle w:val="19"/>
              <w:spacing w:before="292" w:line="265" w:lineRule="exact"/>
              <w:ind w:left="158"/>
              <w:rPr>
                <w:color w:val="auto"/>
                <w:highlight w:val="none"/>
              </w:rPr>
            </w:pPr>
            <w:r>
              <w:rPr>
                <w:color w:val="auto"/>
                <w:spacing w:val="4"/>
                <w:position w:val="1"/>
                <w:highlight w:val="none"/>
              </w:rPr>
              <w:t>300≤Y&lt;2000</w:t>
            </w:r>
          </w:p>
        </w:tc>
        <w:tc>
          <w:tcPr>
            <w:tcW w:w="1061" w:type="dxa"/>
            <w:vAlign w:val="top"/>
          </w:tcPr>
          <w:p w14:paraId="324D1E65">
            <w:pPr>
              <w:pStyle w:val="19"/>
              <w:spacing w:before="292" w:line="269" w:lineRule="exact"/>
              <w:ind w:left="154"/>
              <w:rPr>
                <w:color w:val="auto"/>
                <w:highlight w:val="none"/>
              </w:rPr>
            </w:pPr>
            <w:r>
              <w:rPr>
                <w:color w:val="auto"/>
                <w:spacing w:val="3"/>
                <w:position w:val="1"/>
                <w:highlight w:val="none"/>
              </w:rPr>
              <w:t>Y&lt;300</w:t>
            </w:r>
          </w:p>
        </w:tc>
      </w:tr>
      <w:tr w14:paraId="3B355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595" w:type="dxa"/>
            <w:vMerge w:val="restart"/>
            <w:tcBorders>
              <w:bottom w:val="nil"/>
            </w:tcBorders>
            <w:vAlign w:val="top"/>
          </w:tcPr>
          <w:p w14:paraId="5C786D4B">
            <w:pPr>
              <w:spacing w:line="301" w:lineRule="auto"/>
              <w:rPr>
                <w:rFonts w:ascii="Arial"/>
                <w:color w:val="auto"/>
                <w:sz w:val="21"/>
                <w:highlight w:val="none"/>
              </w:rPr>
            </w:pPr>
          </w:p>
          <w:p w14:paraId="01BA6FD4">
            <w:pPr>
              <w:pStyle w:val="19"/>
              <w:spacing w:before="65" w:line="228" w:lineRule="auto"/>
              <w:ind w:left="156"/>
              <w:rPr>
                <w:color w:val="auto"/>
                <w:highlight w:val="none"/>
              </w:rPr>
            </w:pPr>
            <w:r>
              <w:rPr>
                <w:color w:val="auto"/>
                <w:spacing w:val="6"/>
                <w:highlight w:val="none"/>
              </w:rPr>
              <w:t>建筑业</w:t>
            </w:r>
          </w:p>
        </w:tc>
        <w:tc>
          <w:tcPr>
            <w:tcW w:w="1677" w:type="dxa"/>
            <w:vAlign w:val="top"/>
          </w:tcPr>
          <w:p w14:paraId="0DE94236">
            <w:pPr>
              <w:pStyle w:val="19"/>
              <w:spacing w:before="151" w:line="228" w:lineRule="auto"/>
              <w:ind w:left="157"/>
              <w:rPr>
                <w:color w:val="auto"/>
                <w:highlight w:val="none"/>
              </w:rPr>
            </w:pPr>
            <w:r>
              <w:rPr>
                <w:color w:val="auto"/>
                <w:spacing w:val="5"/>
                <w:highlight w:val="none"/>
              </w:rPr>
              <w:t>营业收入（Y）</w:t>
            </w:r>
          </w:p>
        </w:tc>
        <w:tc>
          <w:tcPr>
            <w:tcW w:w="915" w:type="dxa"/>
            <w:vAlign w:val="top"/>
          </w:tcPr>
          <w:p w14:paraId="316C4C2C">
            <w:pPr>
              <w:pStyle w:val="19"/>
              <w:spacing w:before="152" w:line="228" w:lineRule="auto"/>
              <w:ind w:left="156"/>
              <w:rPr>
                <w:color w:val="auto"/>
                <w:highlight w:val="none"/>
              </w:rPr>
            </w:pPr>
            <w:r>
              <w:rPr>
                <w:color w:val="auto"/>
                <w:spacing w:val="2"/>
                <w:highlight w:val="none"/>
              </w:rPr>
              <w:t>万元</w:t>
            </w:r>
          </w:p>
        </w:tc>
        <w:tc>
          <w:tcPr>
            <w:tcW w:w="2051" w:type="dxa"/>
            <w:vAlign w:val="top"/>
          </w:tcPr>
          <w:p w14:paraId="3847B286">
            <w:pPr>
              <w:pStyle w:val="19"/>
              <w:spacing w:before="151" w:line="242" w:lineRule="auto"/>
              <w:ind w:left="155"/>
              <w:rPr>
                <w:color w:val="auto"/>
                <w:highlight w:val="none"/>
              </w:rPr>
            </w:pPr>
            <w:r>
              <w:rPr>
                <w:color w:val="auto"/>
                <w:spacing w:val="4"/>
                <w:highlight w:val="none"/>
              </w:rPr>
              <w:t>6000≤Y&lt;80000</w:t>
            </w:r>
          </w:p>
        </w:tc>
        <w:tc>
          <w:tcPr>
            <w:tcW w:w="1643" w:type="dxa"/>
            <w:vAlign w:val="top"/>
          </w:tcPr>
          <w:p w14:paraId="37DC760C">
            <w:pPr>
              <w:pStyle w:val="19"/>
              <w:spacing w:before="151" w:line="242" w:lineRule="auto"/>
              <w:ind w:left="158"/>
              <w:rPr>
                <w:color w:val="auto"/>
                <w:highlight w:val="none"/>
              </w:rPr>
            </w:pPr>
            <w:r>
              <w:rPr>
                <w:color w:val="auto"/>
                <w:spacing w:val="4"/>
                <w:highlight w:val="none"/>
              </w:rPr>
              <w:t>300≤Y&lt;6000</w:t>
            </w:r>
          </w:p>
        </w:tc>
        <w:tc>
          <w:tcPr>
            <w:tcW w:w="1061" w:type="dxa"/>
            <w:vAlign w:val="top"/>
          </w:tcPr>
          <w:p w14:paraId="099948CF">
            <w:pPr>
              <w:pStyle w:val="19"/>
              <w:spacing w:before="151" w:line="242" w:lineRule="auto"/>
              <w:ind w:left="154"/>
              <w:rPr>
                <w:color w:val="auto"/>
                <w:highlight w:val="none"/>
              </w:rPr>
            </w:pPr>
            <w:r>
              <w:rPr>
                <w:color w:val="auto"/>
                <w:spacing w:val="3"/>
                <w:highlight w:val="none"/>
              </w:rPr>
              <w:t>Y&lt;300</w:t>
            </w:r>
          </w:p>
        </w:tc>
      </w:tr>
      <w:tr w14:paraId="6F142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595" w:type="dxa"/>
            <w:vMerge w:val="continue"/>
            <w:tcBorders>
              <w:top w:val="nil"/>
            </w:tcBorders>
            <w:vAlign w:val="top"/>
          </w:tcPr>
          <w:p w14:paraId="58EC35C3">
            <w:pPr>
              <w:rPr>
                <w:rFonts w:ascii="Arial"/>
                <w:color w:val="auto"/>
                <w:sz w:val="21"/>
                <w:highlight w:val="none"/>
              </w:rPr>
            </w:pPr>
          </w:p>
        </w:tc>
        <w:tc>
          <w:tcPr>
            <w:tcW w:w="1677" w:type="dxa"/>
            <w:vAlign w:val="top"/>
          </w:tcPr>
          <w:p w14:paraId="2611F0FC">
            <w:pPr>
              <w:pStyle w:val="19"/>
              <w:spacing w:before="152" w:line="228" w:lineRule="auto"/>
              <w:ind w:left="160"/>
              <w:rPr>
                <w:color w:val="auto"/>
                <w:highlight w:val="none"/>
              </w:rPr>
            </w:pPr>
            <w:r>
              <w:rPr>
                <w:color w:val="auto"/>
                <w:spacing w:val="5"/>
                <w:highlight w:val="none"/>
              </w:rPr>
              <w:t>资产总额（Z）</w:t>
            </w:r>
          </w:p>
        </w:tc>
        <w:tc>
          <w:tcPr>
            <w:tcW w:w="915" w:type="dxa"/>
            <w:vAlign w:val="top"/>
          </w:tcPr>
          <w:p w14:paraId="28CC8A01">
            <w:pPr>
              <w:pStyle w:val="19"/>
              <w:spacing w:before="152" w:line="228" w:lineRule="auto"/>
              <w:ind w:left="156"/>
              <w:rPr>
                <w:color w:val="auto"/>
                <w:highlight w:val="none"/>
              </w:rPr>
            </w:pPr>
            <w:r>
              <w:rPr>
                <w:color w:val="auto"/>
                <w:spacing w:val="2"/>
                <w:highlight w:val="none"/>
              </w:rPr>
              <w:t>万元</w:t>
            </w:r>
          </w:p>
        </w:tc>
        <w:tc>
          <w:tcPr>
            <w:tcW w:w="2051" w:type="dxa"/>
            <w:vAlign w:val="top"/>
          </w:tcPr>
          <w:p w14:paraId="1DAAEDFA">
            <w:pPr>
              <w:pStyle w:val="19"/>
              <w:spacing w:before="152" w:line="241" w:lineRule="auto"/>
              <w:ind w:left="157"/>
              <w:rPr>
                <w:color w:val="auto"/>
                <w:highlight w:val="none"/>
              </w:rPr>
            </w:pPr>
            <w:r>
              <w:rPr>
                <w:color w:val="auto"/>
                <w:spacing w:val="4"/>
                <w:highlight w:val="none"/>
              </w:rPr>
              <w:t>5000≤Z&lt;80000</w:t>
            </w:r>
          </w:p>
        </w:tc>
        <w:tc>
          <w:tcPr>
            <w:tcW w:w="1643" w:type="dxa"/>
            <w:vAlign w:val="top"/>
          </w:tcPr>
          <w:p w14:paraId="1D3B5136">
            <w:pPr>
              <w:pStyle w:val="19"/>
              <w:spacing w:before="152" w:line="241" w:lineRule="auto"/>
              <w:ind w:left="158"/>
              <w:rPr>
                <w:color w:val="auto"/>
                <w:highlight w:val="none"/>
              </w:rPr>
            </w:pPr>
            <w:r>
              <w:rPr>
                <w:color w:val="auto"/>
                <w:spacing w:val="4"/>
                <w:highlight w:val="none"/>
              </w:rPr>
              <w:t>300≤Z&lt;5000</w:t>
            </w:r>
          </w:p>
        </w:tc>
        <w:tc>
          <w:tcPr>
            <w:tcW w:w="1061" w:type="dxa"/>
            <w:vAlign w:val="top"/>
          </w:tcPr>
          <w:p w14:paraId="1744EE00">
            <w:pPr>
              <w:pStyle w:val="19"/>
              <w:spacing w:before="152" w:line="241" w:lineRule="auto"/>
              <w:ind w:left="157"/>
              <w:rPr>
                <w:color w:val="auto"/>
                <w:highlight w:val="none"/>
              </w:rPr>
            </w:pPr>
            <w:r>
              <w:rPr>
                <w:color w:val="auto"/>
                <w:spacing w:val="3"/>
                <w:highlight w:val="none"/>
              </w:rPr>
              <w:t>Z&lt;300</w:t>
            </w:r>
          </w:p>
        </w:tc>
      </w:tr>
      <w:tr w14:paraId="60AF3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595" w:type="dxa"/>
            <w:vMerge w:val="restart"/>
            <w:tcBorders>
              <w:bottom w:val="nil"/>
            </w:tcBorders>
            <w:vAlign w:val="top"/>
          </w:tcPr>
          <w:p w14:paraId="7FCC8AA2">
            <w:pPr>
              <w:spacing w:line="304" w:lineRule="auto"/>
              <w:rPr>
                <w:rFonts w:ascii="Arial"/>
                <w:color w:val="auto"/>
                <w:sz w:val="21"/>
                <w:highlight w:val="none"/>
              </w:rPr>
            </w:pPr>
          </w:p>
          <w:p w14:paraId="2FFA8F62">
            <w:pPr>
              <w:pStyle w:val="19"/>
              <w:spacing w:before="65" w:line="228" w:lineRule="auto"/>
              <w:ind w:left="153"/>
              <w:rPr>
                <w:color w:val="auto"/>
                <w:highlight w:val="none"/>
              </w:rPr>
            </w:pPr>
            <w:r>
              <w:rPr>
                <w:color w:val="auto"/>
                <w:spacing w:val="7"/>
                <w:highlight w:val="none"/>
              </w:rPr>
              <w:t>批发业</w:t>
            </w:r>
          </w:p>
        </w:tc>
        <w:tc>
          <w:tcPr>
            <w:tcW w:w="1677" w:type="dxa"/>
            <w:vAlign w:val="top"/>
          </w:tcPr>
          <w:p w14:paraId="5C64075F">
            <w:pPr>
              <w:pStyle w:val="19"/>
              <w:spacing w:before="153" w:line="228" w:lineRule="auto"/>
              <w:ind w:left="153"/>
              <w:rPr>
                <w:color w:val="auto"/>
                <w:highlight w:val="none"/>
              </w:rPr>
            </w:pPr>
            <w:r>
              <w:rPr>
                <w:color w:val="auto"/>
                <w:spacing w:val="6"/>
                <w:highlight w:val="none"/>
              </w:rPr>
              <w:t>从业人员（X）</w:t>
            </w:r>
          </w:p>
        </w:tc>
        <w:tc>
          <w:tcPr>
            <w:tcW w:w="915" w:type="dxa"/>
            <w:vAlign w:val="top"/>
          </w:tcPr>
          <w:p w14:paraId="259C654F">
            <w:pPr>
              <w:pStyle w:val="19"/>
              <w:spacing w:before="152" w:line="231" w:lineRule="auto"/>
              <w:ind w:left="153"/>
              <w:rPr>
                <w:color w:val="auto"/>
                <w:highlight w:val="none"/>
              </w:rPr>
            </w:pPr>
            <w:r>
              <w:rPr>
                <w:color w:val="auto"/>
                <w:highlight w:val="none"/>
              </w:rPr>
              <w:t>人</w:t>
            </w:r>
          </w:p>
        </w:tc>
        <w:tc>
          <w:tcPr>
            <w:tcW w:w="2051" w:type="dxa"/>
            <w:vAlign w:val="top"/>
          </w:tcPr>
          <w:p w14:paraId="6A6737C1">
            <w:pPr>
              <w:pStyle w:val="19"/>
              <w:spacing w:before="152" w:line="242" w:lineRule="auto"/>
              <w:ind w:left="156"/>
              <w:rPr>
                <w:color w:val="auto"/>
                <w:highlight w:val="none"/>
              </w:rPr>
            </w:pPr>
            <w:r>
              <w:rPr>
                <w:color w:val="auto"/>
                <w:spacing w:val="4"/>
                <w:highlight w:val="none"/>
              </w:rPr>
              <w:t>20≤X&lt;200</w:t>
            </w:r>
          </w:p>
        </w:tc>
        <w:tc>
          <w:tcPr>
            <w:tcW w:w="1643" w:type="dxa"/>
            <w:vAlign w:val="top"/>
          </w:tcPr>
          <w:p w14:paraId="7480507B">
            <w:pPr>
              <w:pStyle w:val="19"/>
              <w:spacing w:before="152" w:line="242" w:lineRule="auto"/>
              <w:ind w:left="158"/>
              <w:rPr>
                <w:color w:val="auto"/>
                <w:highlight w:val="none"/>
              </w:rPr>
            </w:pPr>
            <w:r>
              <w:rPr>
                <w:color w:val="auto"/>
                <w:spacing w:val="3"/>
                <w:highlight w:val="none"/>
              </w:rPr>
              <w:t>5≤X&lt;20</w:t>
            </w:r>
          </w:p>
        </w:tc>
        <w:tc>
          <w:tcPr>
            <w:tcW w:w="1061" w:type="dxa"/>
            <w:vAlign w:val="top"/>
          </w:tcPr>
          <w:p w14:paraId="3602782A">
            <w:pPr>
              <w:pStyle w:val="19"/>
              <w:spacing w:before="152" w:line="242" w:lineRule="auto"/>
              <w:ind w:left="155"/>
              <w:rPr>
                <w:color w:val="auto"/>
                <w:highlight w:val="none"/>
              </w:rPr>
            </w:pPr>
            <w:r>
              <w:rPr>
                <w:color w:val="auto"/>
                <w:spacing w:val="3"/>
                <w:highlight w:val="none"/>
              </w:rPr>
              <w:t>X&lt;5</w:t>
            </w:r>
          </w:p>
        </w:tc>
      </w:tr>
      <w:tr w14:paraId="635D8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595" w:type="dxa"/>
            <w:vMerge w:val="continue"/>
            <w:tcBorders>
              <w:top w:val="nil"/>
            </w:tcBorders>
            <w:vAlign w:val="top"/>
          </w:tcPr>
          <w:p w14:paraId="368AA029">
            <w:pPr>
              <w:rPr>
                <w:rFonts w:ascii="Arial"/>
                <w:color w:val="auto"/>
                <w:sz w:val="21"/>
                <w:highlight w:val="none"/>
              </w:rPr>
            </w:pPr>
          </w:p>
        </w:tc>
        <w:tc>
          <w:tcPr>
            <w:tcW w:w="1677" w:type="dxa"/>
            <w:vAlign w:val="top"/>
          </w:tcPr>
          <w:p w14:paraId="62E026CE">
            <w:pPr>
              <w:pStyle w:val="19"/>
              <w:spacing w:before="151" w:line="228" w:lineRule="auto"/>
              <w:ind w:left="157"/>
              <w:rPr>
                <w:color w:val="auto"/>
                <w:highlight w:val="none"/>
              </w:rPr>
            </w:pPr>
            <w:r>
              <w:rPr>
                <w:color w:val="auto"/>
                <w:spacing w:val="5"/>
                <w:highlight w:val="none"/>
              </w:rPr>
              <w:t>营业收入（Y）</w:t>
            </w:r>
          </w:p>
        </w:tc>
        <w:tc>
          <w:tcPr>
            <w:tcW w:w="915" w:type="dxa"/>
            <w:vAlign w:val="top"/>
          </w:tcPr>
          <w:p w14:paraId="04BCA715">
            <w:pPr>
              <w:pStyle w:val="19"/>
              <w:spacing w:before="152" w:line="228" w:lineRule="auto"/>
              <w:ind w:left="156"/>
              <w:rPr>
                <w:color w:val="auto"/>
                <w:highlight w:val="none"/>
              </w:rPr>
            </w:pPr>
            <w:r>
              <w:rPr>
                <w:color w:val="auto"/>
                <w:spacing w:val="2"/>
                <w:highlight w:val="none"/>
              </w:rPr>
              <w:t>万元</w:t>
            </w:r>
          </w:p>
        </w:tc>
        <w:tc>
          <w:tcPr>
            <w:tcW w:w="2051" w:type="dxa"/>
            <w:vAlign w:val="top"/>
          </w:tcPr>
          <w:p w14:paraId="21B89C44">
            <w:pPr>
              <w:pStyle w:val="19"/>
              <w:spacing w:before="151" w:line="242" w:lineRule="auto"/>
              <w:ind w:left="157"/>
              <w:rPr>
                <w:color w:val="auto"/>
                <w:highlight w:val="none"/>
              </w:rPr>
            </w:pPr>
            <w:r>
              <w:rPr>
                <w:color w:val="auto"/>
                <w:spacing w:val="4"/>
                <w:highlight w:val="none"/>
              </w:rPr>
              <w:t>5000≤Y&lt;40000</w:t>
            </w:r>
          </w:p>
        </w:tc>
        <w:tc>
          <w:tcPr>
            <w:tcW w:w="1643" w:type="dxa"/>
            <w:vAlign w:val="top"/>
          </w:tcPr>
          <w:p w14:paraId="3D1DED96">
            <w:pPr>
              <w:pStyle w:val="19"/>
              <w:spacing w:before="151" w:line="242" w:lineRule="auto"/>
              <w:ind w:left="169"/>
              <w:rPr>
                <w:color w:val="auto"/>
                <w:highlight w:val="none"/>
              </w:rPr>
            </w:pPr>
            <w:r>
              <w:rPr>
                <w:color w:val="auto"/>
                <w:spacing w:val="3"/>
                <w:highlight w:val="none"/>
              </w:rPr>
              <w:t>1000≤Y&lt;5000</w:t>
            </w:r>
          </w:p>
        </w:tc>
        <w:tc>
          <w:tcPr>
            <w:tcW w:w="1061" w:type="dxa"/>
            <w:vAlign w:val="top"/>
          </w:tcPr>
          <w:p w14:paraId="45078E3D">
            <w:pPr>
              <w:pStyle w:val="19"/>
              <w:spacing w:before="151" w:line="242" w:lineRule="auto"/>
              <w:ind w:left="154"/>
              <w:rPr>
                <w:color w:val="auto"/>
                <w:highlight w:val="none"/>
              </w:rPr>
            </w:pPr>
            <w:r>
              <w:rPr>
                <w:color w:val="auto"/>
                <w:spacing w:val="4"/>
                <w:highlight w:val="none"/>
              </w:rPr>
              <w:t>Y&lt;1000</w:t>
            </w:r>
          </w:p>
        </w:tc>
      </w:tr>
      <w:tr w14:paraId="299F1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595" w:type="dxa"/>
            <w:vMerge w:val="restart"/>
            <w:tcBorders>
              <w:bottom w:val="nil"/>
            </w:tcBorders>
            <w:vAlign w:val="top"/>
          </w:tcPr>
          <w:p w14:paraId="04BEC9C1">
            <w:pPr>
              <w:spacing w:line="303" w:lineRule="auto"/>
              <w:rPr>
                <w:rFonts w:ascii="Arial"/>
                <w:color w:val="auto"/>
                <w:sz w:val="21"/>
                <w:highlight w:val="none"/>
              </w:rPr>
            </w:pPr>
          </w:p>
          <w:p w14:paraId="57E90D52">
            <w:pPr>
              <w:pStyle w:val="19"/>
              <w:spacing w:before="65" w:line="228" w:lineRule="auto"/>
              <w:ind w:left="154"/>
              <w:rPr>
                <w:color w:val="auto"/>
                <w:highlight w:val="none"/>
              </w:rPr>
            </w:pPr>
            <w:r>
              <w:rPr>
                <w:color w:val="auto"/>
                <w:spacing w:val="6"/>
                <w:highlight w:val="none"/>
              </w:rPr>
              <w:t>零售业</w:t>
            </w:r>
          </w:p>
        </w:tc>
        <w:tc>
          <w:tcPr>
            <w:tcW w:w="1677" w:type="dxa"/>
            <w:vAlign w:val="top"/>
          </w:tcPr>
          <w:p w14:paraId="2ECBE272">
            <w:pPr>
              <w:pStyle w:val="19"/>
              <w:spacing w:before="155" w:line="228" w:lineRule="auto"/>
              <w:ind w:left="153"/>
              <w:rPr>
                <w:color w:val="auto"/>
                <w:highlight w:val="none"/>
              </w:rPr>
            </w:pPr>
            <w:r>
              <w:rPr>
                <w:color w:val="auto"/>
                <w:spacing w:val="6"/>
                <w:highlight w:val="none"/>
              </w:rPr>
              <w:t>从业人员（X）</w:t>
            </w:r>
          </w:p>
        </w:tc>
        <w:tc>
          <w:tcPr>
            <w:tcW w:w="915" w:type="dxa"/>
            <w:vAlign w:val="top"/>
          </w:tcPr>
          <w:p w14:paraId="756C1997">
            <w:pPr>
              <w:pStyle w:val="19"/>
              <w:spacing w:before="154" w:line="231" w:lineRule="auto"/>
              <w:ind w:left="153"/>
              <w:rPr>
                <w:color w:val="auto"/>
                <w:highlight w:val="none"/>
              </w:rPr>
            </w:pPr>
            <w:r>
              <w:rPr>
                <w:color w:val="auto"/>
                <w:highlight w:val="none"/>
              </w:rPr>
              <w:t>人</w:t>
            </w:r>
          </w:p>
        </w:tc>
        <w:tc>
          <w:tcPr>
            <w:tcW w:w="2051" w:type="dxa"/>
            <w:vAlign w:val="top"/>
          </w:tcPr>
          <w:p w14:paraId="4669F0D7">
            <w:pPr>
              <w:pStyle w:val="19"/>
              <w:spacing w:before="155"/>
              <w:ind w:left="157"/>
              <w:rPr>
                <w:color w:val="auto"/>
                <w:highlight w:val="none"/>
              </w:rPr>
            </w:pPr>
            <w:r>
              <w:rPr>
                <w:color w:val="auto"/>
                <w:spacing w:val="4"/>
                <w:highlight w:val="none"/>
              </w:rPr>
              <w:t>50≤X&lt;300</w:t>
            </w:r>
          </w:p>
        </w:tc>
        <w:tc>
          <w:tcPr>
            <w:tcW w:w="1643" w:type="dxa"/>
            <w:vAlign w:val="top"/>
          </w:tcPr>
          <w:p w14:paraId="14A0DBFD">
            <w:pPr>
              <w:pStyle w:val="19"/>
              <w:spacing w:before="155"/>
              <w:ind w:left="169"/>
              <w:rPr>
                <w:color w:val="auto"/>
                <w:highlight w:val="none"/>
              </w:rPr>
            </w:pPr>
            <w:r>
              <w:rPr>
                <w:color w:val="auto"/>
                <w:spacing w:val="2"/>
                <w:highlight w:val="none"/>
              </w:rPr>
              <w:t>10≤X&lt;50</w:t>
            </w:r>
          </w:p>
        </w:tc>
        <w:tc>
          <w:tcPr>
            <w:tcW w:w="1061" w:type="dxa"/>
            <w:vAlign w:val="top"/>
          </w:tcPr>
          <w:p w14:paraId="01B2368B">
            <w:pPr>
              <w:pStyle w:val="19"/>
              <w:spacing w:before="155"/>
              <w:ind w:left="155"/>
              <w:rPr>
                <w:color w:val="auto"/>
                <w:highlight w:val="none"/>
              </w:rPr>
            </w:pPr>
            <w:r>
              <w:rPr>
                <w:color w:val="auto"/>
                <w:spacing w:val="3"/>
                <w:highlight w:val="none"/>
              </w:rPr>
              <w:t>X&lt;10</w:t>
            </w:r>
          </w:p>
        </w:tc>
      </w:tr>
      <w:tr w14:paraId="224D9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595" w:type="dxa"/>
            <w:vMerge w:val="continue"/>
            <w:tcBorders>
              <w:top w:val="nil"/>
            </w:tcBorders>
            <w:vAlign w:val="top"/>
          </w:tcPr>
          <w:p w14:paraId="71BFD749">
            <w:pPr>
              <w:rPr>
                <w:rFonts w:ascii="Arial"/>
                <w:color w:val="auto"/>
                <w:sz w:val="21"/>
                <w:highlight w:val="none"/>
              </w:rPr>
            </w:pPr>
          </w:p>
        </w:tc>
        <w:tc>
          <w:tcPr>
            <w:tcW w:w="1677" w:type="dxa"/>
            <w:vAlign w:val="top"/>
          </w:tcPr>
          <w:p w14:paraId="49B725A0">
            <w:pPr>
              <w:pStyle w:val="19"/>
              <w:spacing w:before="154" w:line="228" w:lineRule="auto"/>
              <w:ind w:left="157"/>
              <w:rPr>
                <w:color w:val="auto"/>
                <w:highlight w:val="none"/>
              </w:rPr>
            </w:pPr>
            <w:r>
              <w:rPr>
                <w:color w:val="auto"/>
                <w:spacing w:val="5"/>
                <w:highlight w:val="none"/>
              </w:rPr>
              <w:t>营业收入（Y）</w:t>
            </w:r>
          </w:p>
        </w:tc>
        <w:tc>
          <w:tcPr>
            <w:tcW w:w="915" w:type="dxa"/>
            <w:vAlign w:val="top"/>
          </w:tcPr>
          <w:p w14:paraId="62F9FCCE">
            <w:pPr>
              <w:pStyle w:val="19"/>
              <w:spacing w:before="154" w:line="228" w:lineRule="auto"/>
              <w:ind w:left="156"/>
              <w:rPr>
                <w:color w:val="auto"/>
                <w:highlight w:val="none"/>
              </w:rPr>
            </w:pPr>
            <w:r>
              <w:rPr>
                <w:color w:val="auto"/>
                <w:spacing w:val="2"/>
                <w:highlight w:val="none"/>
              </w:rPr>
              <w:t>万元</w:t>
            </w:r>
          </w:p>
        </w:tc>
        <w:tc>
          <w:tcPr>
            <w:tcW w:w="2051" w:type="dxa"/>
            <w:vAlign w:val="top"/>
          </w:tcPr>
          <w:p w14:paraId="2FDCC703">
            <w:pPr>
              <w:pStyle w:val="19"/>
              <w:spacing w:before="153"/>
              <w:ind w:left="157"/>
              <w:rPr>
                <w:color w:val="auto"/>
                <w:highlight w:val="none"/>
              </w:rPr>
            </w:pPr>
            <w:r>
              <w:rPr>
                <w:color w:val="auto"/>
                <w:spacing w:val="4"/>
                <w:highlight w:val="none"/>
              </w:rPr>
              <w:t>500≤Y&lt;20000</w:t>
            </w:r>
          </w:p>
        </w:tc>
        <w:tc>
          <w:tcPr>
            <w:tcW w:w="1643" w:type="dxa"/>
            <w:vAlign w:val="top"/>
          </w:tcPr>
          <w:p w14:paraId="4021B268">
            <w:pPr>
              <w:pStyle w:val="19"/>
              <w:spacing w:before="153"/>
              <w:ind w:left="169"/>
              <w:rPr>
                <w:color w:val="auto"/>
                <w:highlight w:val="none"/>
              </w:rPr>
            </w:pPr>
            <w:r>
              <w:rPr>
                <w:color w:val="auto"/>
                <w:spacing w:val="2"/>
                <w:highlight w:val="none"/>
              </w:rPr>
              <w:t>100≤Y&lt;500</w:t>
            </w:r>
          </w:p>
        </w:tc>
        <w:tc>
          <w:tcPr>
            <w:tcW w:w="1061" w:type="dxa"/>
            <w:vAlign w:val="top"/>
          </w:tcPr>
          <w:p w14:paraId="016A5D4D">
            <w:pPr>
              <w:pStyle w:val="19"/>
              <w:spacing w:before="153"/>
              <w:ind w:left="154"/>
              <w:rPr>
                <w:color w:val="auto"/>
                <w:highlight w:val="none"/>
              </w:rPr>
            </w:pPr>
            <w:r>
              <w:rPr>
                <w:color w:val="auto"/>
                <w:spacing w:val="3"/>
                <w:highlight w:val="none"/>
              </w:rPr>
              <w:t>Y&lt;100</w:t>
            </w:r>
          </w:p>
        </w:tc>
      </w:tr>
      <w:tr w14:paraId="1E738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595" w:type="dxa"/>
            <w:vMerge w:val="restart"/>
            <w:tcBorders>
              <w:bottom w:val="nil"/>
            </w:tcBorders>
            <w:vAlign w:val="top"/>
          </w:tcPr>
          <w:p w14:paraId="21E7F887">
            <w:pPr>
              <w:pStyle w:val="19"/>
              <w:spacing w:before="192" w:line="303" w:lineRule="auto"/>
              <w:ind w:left="153" w:right="149" w:firstLine="5"/>
              <w:rPr>
                <w:color w:val="auto"/>
                <w:highlight w:val="none"/>
              </w:rPr>
            </w:pPr>
            <w:r>
              <w:rPr>
                <w:color w:val="auto"/>
                <w:spacing w:val="7"/>
                <w:highlight w:val="none"/>
              </w:rPr>
              <w:t>交通运输业（不含铁路运</w:t>
            </w:r>
            <w:r>
              <w:rPr>
                <w:color w:val="auto"/>
                <w:highlight w:val="none"/>
              </w:rPr>
              <w:t xml:space="preserve"> </w:t>
            </w:r>
            <w:r>
              <w:rPr>
                <w:color w:val="auto"/>
                <w:spacing w:val="3"/>
                <w:highlight w:val="none"/>
              </w:rPr>
              <w:t>输业）</w:t>
            </w:r>
          </w:p>
        </w:tc>
        <w:tc>
          <w:tcPr>
            <w:tcW w:w="1677" w:type="dxa"/>
            <w:vAlign w:val="top"/>
          </w:tcPr>
          <w:p w14:paraId="7B466A99">
            <w:pPr>
              <w:pStyle w:val="19"/>
              <w:spacing w:before="155" w:line="228" w:lineRule="auto"/>
              <w:ind w:left="153"/>
              <w:rPr>
                <w:color w:val="auto"/>
                <w:highlight w:val="none"/>
              </w:rPr>
            </w:pPr>
            <w:r>
              <w:rPr>
                <w:color w:val="auto"/>
                <w:spacing w:val="6"/>
                <w:highlight w:val="none"/>
              </w:rPr>
              <w:t>从业人员（X）</w:t>
            </w:r>
          </w:p>
        </w:tc>
        <w:tc>
          <w:tcPr>
            <w:tcW w:w="915" w:type="dxa"/>
            <w:vAlign w:val="top"/>
          </w:tcPr>
          <w:p w14:paraId="2BE23C9B">
            <w:pPr>
              <w:pStyle w:val="19"/>
              <w:spacing w:before="154" w:line="231" w:lineRule="auto"/>
              <w:ind w:left="153"/>
              <w:rPr>
                <w:color w:val="auto"/>
                <w:highlight w:val="none"/>
              </w:rPr>
            </w:pPr>
            <w:r>
              <w:rPr>
                <w:color w:val="auto"/>
                <w:highlight w:val="none"/>
              </w:rPr>
              <w:t>人</w:t>
            </w:r>
          </w:p>
        </w:tc>
        <w:tc>
          <w:tcPr>
            <w:tcW w:w="2051" w:type="dxa"/>
            <w:vAlign w:val="top"/>
          </w:tcPr>
          <w:p w14:paraId="4CE8C393">
            <w:pPr>
              <w:pStyle w:val="19"/>
              <w:spacing w:before="155"/>
              <w:ind w:left="157"/>
              <w:rPr>
                <w:color w:val="auto"/>
                <w:highlight w:val="none"/>
              </w:rPr>
            </w:pPr>
            <w:r>
              <w:rPr>
                <w:color w:val="auto"/>
                <w:spacing w:val="4"/>
                <w:highlight w:val="none"/>
              </w:rPr>
              <w:t>300≤X&lt;1000</w:t>
            </w:r>
          </w:p>
        </w:tc>
        <w:tc>
          <w:tcPr>
            <w:tcW w:w="1643" w:type="dxa"/>
            <w:vAlign w:val="top"/>
          </w:tcPr>
          <w:p w14:paraId="4E4108BC">
            <w:pPr>
              <w:pStyle w:val="19"/>
              <w:spacing w:before="155"/>
              <w:ind w:left="157"/>
              <w:rPr>
                <w:color w:val="auto"/>
                <w:highlight w:val="none"/>
              </w:rPr>
            </w:pPr>
            <w:r>
              <w:rPr>
                <w:color w:val="auto"/>
                <w:spacing w:val="4"/>
                <w:highlight w:val="none"/>
              </w:rPr>
              <w:t>20≤X&lt;300</w:t>
            </w:r>
          </w:p>
        </w:tc>
        <w:tc>
          <w:tcPr>
            <w:tcW w:w="1061" w:type="dxa"/>
            <w:vAlign w:val="top"/>
          </w:tcPr>
          <w:p w14:paraId="5DA77373">
            <w:pPr>
              <w:pStyle w:val="19"/>
              <w:spacing w:before="155"/>
              <w:ind w:left="155"/>
              <w:rPr>
                <w:color w:val="auto"/>
                <w:highlight w:val="none"/>
              </w:rPr>
            </w:pPr>
            <w:r>
              <w:rPr>
                <w:color w:val="auto"/>
                <w:spacing w:val="3"/>
                <w:highlight w:val="none"/>
              </w:rPr>
              <w:t>X&lt;20</w:t>
            </w:r>
          </w:p>
        </w:tc>
      </w:tr>
      <w:tr w14:paraId="46479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595" w:type="dxa"/>
            <w:vMerge w:val="continue"/>
            <w:tcBorders>
              <w:top w:val="nil"/>
            </w:tcBorders>
            <w:vAlign w:val="top"/>
          </w:tcPr>
          <w:p w14:paraId="694495B1">
            <w:pPr>
              <w:rPr>
                <w:rFonts w:ascii="Arial"/>
                <w:color w:val="auto"/>
                <w:sz w:val="21"/>
                <w:highlight w:val="none"/>
              </w:rPr>
            </w:pPr>
          </w:p>
        </w:tc>
        <w:tc>
          <w:tcPr>
            <w:tcW w:w="1677" w:type="dxa"/>
            <w:vAlign w:val="top"/>
          </w:tcPr>
          <w:p w14:paraId="0385EC68">
            <w:pPr>
              <w:pStyle w:val="19"/>
              <w:spacing w:before="153" w:line="228" w:lineRule="auto"/>
              <w:ind w:left="157"/>
              <w:rPr>
                <w:color w:val="auto"/>
                <w:highlight w:val="none"/>
              </w:rPr>
            </w:pPr>
            <w:r>
              <w:rPr>
                <w:color w:val="auto"/>
                <w:spacing w:val="5"/>
                <w:highlight w:val="none"/>
              </w:rPr>
              <w:t>营业收入（Y）</w:t>
            </w:r>
          </w:p>
        </w:tc>
        <w:tc>
          <w:tcPr>
            <w:tcW w:w="915" w:type="dxa"/>
            <w:vAlign w:val="top"/>
          </w:tcPr>
          <w:p w14:paraId="0369EEF9">
            <w:pPr>
              <w:pStyle w:val="19"/>
              <w:spacing w:before="154" w:line="228" w:lineRule="auto"/>
              <w:ind w:left="156"/>
              <w:rPr>
                <w:color w:val="auto"/>
                <w:highlight w:val="none"/>
              </w:rPr>
            </w:pPr>
            <w:r>
              <w:rPr>
                <w:color w:val="auto"/>
                <w:spacing w:val="2"/>
                <w:highlight w:val="none"/>
              </w:rPr>
              <w:t>万元</w:t>
            </w:r>
          </w:p>
        </w:tc>
        <w:tc>
          <w:tcPr>
            <w:tcW w:w="2051" w:type="dxa"/>
            <w:vAlign w:val="top"/>
          </w:tcPr>
          <w:p w14:paraId="768194C4">
            <w:pPr>
              <w:pStyle w:val="19"/>
              <w:spacing w:before="153"/>
              <w:ind w:left="157"/>
              <w:rPr>
                <w:color w:val="auto"/>
                <w:highlight w:val="none"/>
              </w:rPr>
            </w:pPr>
            <w:r>
              <w:rPr>
                <w:color w:val="auto"/>
                <w:spacing w:val="4"/>
                <w:highlight w:val="none"/>
              </w:rPr>
              <w:t>3000≤Y&lt;30000</w:t>
            </w:r>
          </w:p>
        </w:tc>
        <w:tc>
          <w:tcPr>
            <w:tcW w:w="1643" w:type="dxa"/>
            <w:vAlign w:val="top"/>
          </w:tcPr>
          <w:p w14:paraId="2E70D34B">
            <w:pPr>
              <w:pStyle w:val="19"/>
              <w:spacing w:before="153"/>
              <w:ind w:left="157"/>
              <w:rPr>
                <w:color w:val="auto"/>
                <w:highlight w:val="none"/>
              </w:rPr>
            </w:pPr>
            <w:r>
              <w:rPr>
                <w:color w:val="auto"/>
                <w:spacing w:val="4"/>
                <w:highlight w:val="none"/>
              </w:rPr>
              <w:t>200≤Y&lt;3000</w:t>
            </w:r>
          </w:p>
        </w:tc>
        <w:tc>
          <w:tcPr>
            <w:tcW w:w="1061" w:type="dxa"/>
            <w:vAlign w:val="top"/>
          </w:tcPr>
          <w:p w14:paraId="76965D91">
            <w:pPr>
              <w:pStyle w:val="19"/>
              <w:spacing w:before="153"/>
              <w:ind w:left="154"/>
              <w:rPr>
                <w:color w:val="auto"/>
                <w:highlight w:val="none"/>
              </w:rPr>
            </w:pPr>
            <w:r>
              <w:rPr>
                <w:color w:val="auto"/>
                <w:spacing w:val="3"/>
                <w:highlight w:val="none"/>
              </w:rPr>
              <w:t>Y&lt;200</w:t>
            </w:r>
          </w:p>
        </w:tc>
      </w:tr>
      <w:tr w14:paraId="00F94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595" w:type="dxa"/>
            <w:vMerge w:val="restart"/>
            <w:tcBorders>
              <w:bottom w:val="nil"/>
            </w:tcBorders>
            <w:vAlign w:val="top"/>
          </w:tcPr>
          <w:p w14:paraId="73B6C3C6">
            <w:pPr>
              <w:spacing w:line="306" w:lineRule="auto"/>
              <w:rPr>
                <w:rFonts w:ascii="Arial"/>
                <w:color w:val="auto"/>
                <w:sz w:val="21"/>
                <w:highlight w:val="none"/>
              </w:rPr>
            </w:pPr>
          </w:p>
          <w:p w14:paraId="78C4B824">
            <w:pPr>
              <w:pStyle w:val="19"/>
              <w:spacing w:before="65" w:line="228" w:lineRule="auto"/>
              <w:ind w:left="153"/>
              <w:rPr>
                <w:color w:val="auto"/>
                <w:highlight w:val="none"/>
              </w:rPr>
            </w:pPr>
            <w:r>
              <w:rPr>
                <w:color w:val="auto"/>
                <w:spacing w:val="7"/>
                <w:highlight w:val="none"/>
              </w:rPr>
              <w:t>仓储业</w:t>
            </w:r>
          </w:p>
        </w:tc>
        <w:tc>
          <w:tcPr>
            <w:tcW w:w="1677" w:type="dxa"/>
            <w:vAlign w:val="top"/>
          </w:tcPr>
          <w:p w14:paraId="450FC57F">
            <w:pPr>
              <w:pStyle w:val="19"/>
              <w:spacing w:before="157" w:line="228" w:lineRule="auto"/>
              <w:ind w:left="153"/>
              <w:rPr>
                <w:color w:val="auto"/>
                <w:highlight w:val="none"/>
              </w:rPr>
            </w:pPr>
            <w:r>
              <w:rPr>
                <w:color w:val="auto"/>
                <w:spacing w:val="6"/>
                <w:highlight w:val="none"/>
              </w:rPr>
              <w:t>从业人员（X）</w:t>
            </w:r>
          </w:p>
        </w:tc>
        <w:tc>
          <w:tcPr>
            <w:tcW w:w="915" w:type="dxa"/>
            <w:vAlign w:val="top"/>
          </w:tcPr>
          <w:p w14:paraId="15438327">
            <w:pPr>
              <w:pStyle w:val="19"/>
              <w:spacing w:before="156" w:line="231" w:lineRule="auto"/>
              <w:ind w:left="153"/>
              <w:rPr>
                <w:color w:val="auto"/>
                <w:highlight w:val="none"/>
              </w:rPr>
            </w:pPr>
            <w:r>
              <w:rPr>
                <w:color w:val="auto"/>
                <w:highlight w:val="none"/>
              </w:rPr>
              <w:t>人</w:t>
            </w:r>
          </w:p>
        </w:tc>
        <w:tc>
          <w:tcPr>
            <w:tcW w:w="2051" w:type="dxa"/>
            <w:vAlign w:val="top"/>
          </w:tcPr>
          <w:p w14:paraId="31FD1D90">
            <w:pPr>
              <w:pStyle w:val="19"/>
              <w:spacing w:before="157" w:line="238" w:lineRule="auto"/>
              <w:ind w:left="168"/>
              <w:rPr>
                <w:color w:val="auto"/>
                <w:highlight w:val="none"/>
              </w:rPr>
            </w:pPr>
            <w:r>
              <w:rPr>
                <w:color w:val="auto"/>
                <w:spacing w:val="2"/>
                <w:highlight w:val="none"/>
              </w:rPr>
              <w:t>100≤X&lt;200</w:t>
            </w:r>
          </w:p>
        </w:tc>
        <w:tc>
          <w:tcPr>
            <w:tcW w:w="1643" w:type="dxa"/>
            <w:vAlign w:val="top"/>
          </w:tcPr>
          <w:p w14:paraId="660474BF">
            <w:pPr>
              <w:pStyle w:val="19"/>
              <w:spacing w:before="157" w:line="238" w:lineRule="auto"/>
              <w:ind w:left="157"/>
              <w:rPr>
                <w:color w:val="auto"/>
                <w:highlight w:val="none"/>
              </w:rPr>
            </w:pPr>
            <w:r>
              <w:rPr>
                <w:color w:val="auto"/>
                <w:spacing w:val="4"/>
                <w:highlight w:val="none"/>
              </w:rPr>
              <w:t>20≤X&lt;100</w:t>
            </w:r>
          </w:p>
        </w:tc>
        <w:tc>
          <w:tcPr>
            <w:tcW w:w="1061" w:type="dxa"/>
            <w:vAlign w:val="top"/>
          </w:tcPr>
          <w:p w14:paraId="69F03FC9">
            <w:pPr>
              <w:pStyle w:val="19"/>
              <w:spacing w:before="157" w:line="238" w:lineRule="auto"/>
              <w:ind w:left="155"/>
              <w:rPr>
                <w:color w:val="auto"/>
                <w:highlight w:val="none"/>
              </w:rPr>
            </w:pPr>
            <w:r>
              <w:rPr>
                <w:color w:val="auto"/>
                <w:spacing w:val="3"/>
                <w:highlight w:val="none"/>
              </w:rPr>
              <w:t>X&lt;20</w:t>
            </w:r>
          </w:p>
        </w:tc>
      </w:tr>
      <w:tr w14:paraId="18933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595" w:type="dxa"/>
            <w:vMerge w:val="continue"/>
            <w:tcBorders>
              <w:top w:val="nil"/>
            </w:tcBorders>
            <w:vAlign w:val="top"/>
          </w:tcPr>
          <w:p w14:paraId="447AB84B">
            <w:pPr>
              <w:rPr>
                <w:rFonts w:ascii="Arial"/>
                <w:color w:val="auto"/>
                <w:sz w:val="21"/>
                <w:highlight w:val="none"/>
              </w:rPr>
            </w:pPr>
          </w:p>
        </w:tc>
        <w:tc>
          <w:tcPr>
            <w:tcW w:w="1677" w:type="dxa"/>
            <w:vAlign w:val="top"/>
          </w:tcPr>
          <w:p w14:paraId="46972706">
            <w:pPr>
              <w:pStyle w:val="19"/>
              <w:spacing w:before="156" w:line="228" w:lineRule="auto"/>
              <w:ind w:left="157"/>
              <w:rPr>
                <w:color w:val="auto"/>
                <w:highlight w:val="none"/>
              </w:rPr>
            </w:pPr>
            <w:r>
              <w:rPr>
                <w:color w:val="auto"/>
                <w:spacing w:val="5"/>
                <w:highlight w:val="none"/>
              </w:rPr>
              <w:t>营业收入（Y）</w:t>
            </w:r>
          </w:p>
        </w:tc>
        <w:tc>
          <w:tcPr>
            <w:tcW w:w="915" w:type="dxa"/>
            <w:vAlign w:val="top"/>
          </w:tcPr>
          <w:p w14:paraId="26B823C9">
            <w:pPr>
              <w:pStyle w:val="19"/>
              <w:spacing w:before="156" w:line="228" w:lineRule="auto"/>
              <w:ind w:left="156"/>
              <w:rPr>
                <w:color w:val="auto"/>
                <w:highlight w:val="none"/>
              </w:rPr>
            </w:pPr>
            <w:r>
              <w:rPr>
                <w:color w:val="auto"/>
                <w:spacing w:val="2"/>
                <w:highlight w:val="none"/>
              </w:rPr>
              <w:t>万元</w:t>
            </w:r>
          </w:p>
        </w:tc>
        <w:tc>
          <w:tcPr>
            <w:tcW w:w="2051" w:type="dxa"/>
            <w:vAlign w:val="top"/>
          </w:tcPr>
          <w:p w14:paraId="0635608D">
            <w:pPr>
              <w:pStyle w:val="19"/>
              <w:spacing w:before="156" w:line="238" w:lineRule="auto"/>
              <w:ind w:left="168"/>
              <w:rPr>
                <w:color w:val="auto"/>
                <w:highlight w:val="none"/>
              </w:rPr>
            </w:pPr>
            <w:r>
              <w:rPr>
                <w:color w:val="auto"/>
                <w:spacing w:val="3"/>
                <w:highlight w:val="none"/>
              </w:rPr>
              <w:t>1000≤Y&lt;30000</w:t>
            </w:r>
          </w:p>
        </w:tc>
        <w:tc>
          <w:tcPr>
            <w:tcW w:w="1643" w:type="dxa"/>
            <w:vAlign w:val="top"/>
          </w:tcPr>
          <w:p w14:paraId="4E33C1F2">
            <w:pPr>
              <w:pStyle w:val="19"/>
              <w:spacing w:before="156" w:line="238" w:lineRule="auto"/>
              <w:ind w:left="169"/>
              <w:rPr>
                <w:color w:val="auto"/>
                <w:highlight w:val="none"/>
              </w:rPr>
            </w:pPr>
            <w:r>
              <w:rPr>
                <w:color w:val="auto"/>
                <w:spacing w:val="3"/>
                <w:highlight w:val="none"/>
              </w:rPr>
              <w:t>100≤Y&lt;1000</w:t>
            </w:r>
          </w:p>
        </w:tc>
        <w:tc>
          <w:tcPr>
            <w:tcW w:w="1061" w:type="dxa"/>
            <w:vAlign w:val="top"/>
          </w:tcPr>
          <w:p w14:paraId="47053BB4">
            <w:pPr>
              <w:pStyle w:val="19"/>
              <w:spacing w:before="156" w:line="238" w:lineRule="auto"/>
              <w:ind w:left="154"/>
              <w:rPr>
                <w:color w:val="auto"/>
                <w:highlight w:val="none"/>
              </w:rPr>
            </w:pPr>
            <w:r>
              <w:rPr>
                <w:color w:val="auto"/>
                <w:spacing w:val="3"/>
                <w:highlight w:val="none"/>
              </w:rPr>
              <w:t>Y&lt;100</w:t>
            </w:r>
          </w:p>
        </w:tc>
      </w:tr>
      <w:tr w14:paraId="56845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595" w:type="dxa"/>
            <w:vAlign w:val="top"/>
          </w:tcPr>
          <w:p w14:paraId="3C87240A">
            <w:pPr>
              <w:pStyle w:val="19"/>
              <w:spacing w:before="156" w:line="229" w:lineRule="auto"/>
              <w:ind w:left="169"/>
              <w:rPr>
                <w:color w:val="auto"/>
                <w:highlight w:val="none"/>
              </w:rPr>
            </w:pPr>
            <w:r>
              <w:rPr>
                <w:color w:val="auto"/>
                <w:spacing w:val="1"/>
                <w:highlight w:val="none"/>
              </w:rPr>
              <w:t>邮政业</w:t>
            </w:r>
          </w:p>
        </w:tc>
        <w:tc>
          <w:tcPr>
            <w:tcW w:w="1677" w:type="dxa"/>
            <w:vAlign w:val="top"/>
          </w:tcPr>
          <w:p w14:paraId="6BAB398B">
            <w:pPr>
              <w:pStyle w:val="19"/>
              <w:spacing w:before="157" w:line="228" w:lineRule="auto"/>
              <w:ind w:left="153"/>
              <w:rPr>
                <w:color w:val="auto"/>
                <w:highlight w:val="none"/>
              </w:rPr>
            </w:pPr>
            <w:r>
              <w:rPr>
                <w:color w:val="auto"/>
                <w:spacing w:val="6"/>
                <w:highlight w:val="none"/>
              </w:rPr>
              <w:t>从业人员（X）</w:t>
            </w:r>
          </w:p>
        </w:tc>
        <w:tc>
          <w:tcPr>
            <w:tcW w:w="915" w:type="dxa"/>
            <w:vAlign w:val="top"/>
          </w:tcPr>
          <w:p w14:paraId="106A9406">
            <w:pPr>
              <w:pStyle w:val="19"/>
              <w:spacing w:before="156" w:line="231" w:lineRule="auto"/>
              <w:ind w:left="153"/>
              <w:rPr>
                <w:color w:val="auto"/>
                <w:highlight w:val="none"/>
              </w:rPr>
            </w:pPr>
            <w:r>
              <w:rPr>
                <w:color w:val="auto"/>
                <w:highlight w:val="none"/>
              </w:rPr>
              <w:t>人</w:t>
            </w:r>
          </w:p>
        </w:tc>
        <w:tc>
          <w:tcPr>
            <w:tcW w:w="2051" w:type="dxa"/>
            <w:vAlign w:val="top"/>
          </w:tcPr>
          <w:p w14:paraId="60AA3154">
            <w:pPr>
              <w:pStyle w:val="19"/>
              <w:spacing w:before="156" w:line="263" w:lineRule="exact"/>
              <w:ind w:left="157"/>
              <w:rPr>
                <w:color w:val="auto"/>
                <w:highlight w:val="none"/>
              </w:rPr>
            </w:pPr>
            <w:r>
              <w:rPr>
                <w:color w:val="auto"/>
                <w:spacing w:val="4"/>
                <w:position w:val="1"/>
                <w:highlight w:val="none"/>
              </w:rPr>
              <w:t>300≤X&lt;1000</w:t>
            </w:r>
          </w:p>
        </w:tc>
        <w:tc>
          <w:tcPr>
            <w:tcW w:w="1643" w:type="dxa"/>
            <w:vAlign w:val="top"/>
          </w:tcPr>
          <w:p w14:paraId="3FDE128C">
            <w:pPr>
              <w:pStyle w:val="19"/>
              <w:spacing w:before="156" w:line="263" w:lineRule="exact"/>
              <w:ind w:left="157"/>
              <w:rPr>
                <w:color w:val="auto"/>
                <w:highlight w:val="none"/>
              </w:rPr>
            </w:pPr>
            <w:r>
              <w:rPr>
                <w:color w:val="auto"/>
                <w:spacing w:val="4"/>
                <w:position w:val="1"/>
                <w:highlight w:val="none"/>
              </w:rPr>
              <w:t>20≤X&lt;300</w:t>
            </w:r>
          </w:p>
        </w:tc>
        <w:tc>
          <w:tcPr>
            <w:tcW w:w="1061" w:type="dxa"/>
            <w:vAlign w:val="top"/>
          </w:tcPr>
          <w:p w14:paraId="4A898991">
            <w:pPr>
              <w:pStyle w:val="19"/>
              <w:spacing w:before="156" w:line="263" w:lineRule="exact"/>
              <w:ind w:left="155"/>
              <w:rPr>
                <w:color w:val="auto"/>
                <w:highlight w:val="none"/>
              </w:rPr>
            </w:pPr>
            <w:r>
              <w:rPr>
                <w:color w:val="auto"/>
                <w:spacing w:val="3"/>
                <w:position w:val="1"/>
                <w:highlight w:val="none"/>
              </w:rPr>
              <w:t>X&lt;20</w:t>
            </w:r>
          </w:p>
        </w:tc>
      </w:tr>
    </w:tbl>
    <w:p w14:paraId="160C6328">
      <w:pPr>
        <w:pStyle w:val="4"/>
        <w:rPr>
          <w:color w:val="auto"/>
          <w:highlight w:val="none"/>
        </w:rPr>
      </w:pPr>
    </w:p>
    <w:p w14:paraId="2841D327">
      <w:pPr>
        <w:rPr>
          <w:color w:val="auto"/>
          <w:highlight w:val="none"/>
        </w:rPr>
        <w:sectPr>
          <w:footerReference r:id="rId18" w:type="default"/>
          <w:pgSz w:w="11906" w:h="16839"/>
          <w:pgMar w:top="1260" w:right="976" w:bottom="1362" w:left="976" w:header="0" w:footer="1200" w:gutter="0"/>
          <w:pgNumType w:fmt="decimal"/>
          <w:cols w:space="720" w:num="1"/>
        </w:sectPr>
      </w:pPr>
    </w:p>
    <w:tbl>
      <w:tblPr>
        <w:tblStyle w:val="18"/>
        <w:tblW w:w="99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5"/>
        <w:gridCol w:w="1677"/>
        <w:gridCol w:w="915"/>
        <w:gridCol w:w="2051"/>
        <w:gridCol w:w="1643"/>
        <w:gridCol w:w="1061"/>
      </w:tblGrid>
      <w:tr w14:paraId="5424B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595" w:type="dxa"/>
            <w:vAlign w:val="top"/>
          </w:tcPr>
          <w:p w14:paraId="192BBC2E">
            <w:pPr>
              <w:rPr>
                <w:rFonts w:ascii="Arial"/>
                <w:color w:val="auto"/>
                <w:sz w:val="21"/>
                <w:highlight w:val="none"/>
              </w:rPr>
            </w:pPr>
          </w:p>
        </w:tc>
        <w:tc>
          <w:tcPr>
            <w:tcW w:w="1677" w:type="dxa"/>
            <w:vAlign w:val="top"/>
          </w:tcPr>
          <w:p w14:paraId="38A79A64">
            <w:pPr>
              <w:pStyle w:val="19"/>
              <w:spacing w:before="154" w:line="228" w:lineRule="auto"/>
              <w:ind w:left="157"/>
              <w:rPr>
                <w:color w:val="auto"/>
                <w:highlight w:val="none"/>
              </w:rPr>
            </w:pPr>
            <w:r>
              <w:rPr>
                <w:color w:val="auto"/>
                <w:spacing w:val="5"/>
                <w:highlight w:val="none"/>
              </w:rPr>
              <w:t>营业收入（Y）</w:t>
            </w:r>
          </w:p>
        </w:tc>
        <w:tc>
          <w:tcPr>
            <w:tcW w:w="915" w:type="dxa"/>
            <w:vAlign w:val="top"/>
          </w:tcPr>
          <w:p w14:paraId="7E82EDF0">
            <w:pPr>
              <w:pStyle w:val="19"/>
              <w:spacing w:before="155" w:line="228" w:lineRule="auto"/>
              <w:ind w:left="156"/>
              <w:rPr>
                <w:color w:val="auto"/>
                <w:highlight w:val="none"/>
              </w:rPr>
            </w:pPr>
            <w:r>
              <w:rPr>
                <w:color w:val="auto"/>
                <w:spacing w:val="2"/>
                <w:highlight w:val="none"/>
              </w:rPr>
              <w:t>万元</w:t>
            </w:r>
          </w:p>
        </w:tc>
        <w:tc>
          <w:tcPr>
            <w:tcW w:w="2051" w:type="dxa"/>
            <w:vAlign w:val="top"/>
          </w:tcPr>
          <w:p w14:paraId="726C4E3D">
            <w:pPr>
              <w:pStyle w:val="19"/>
              <w:spacing w:before="155" w:line="264" w:lineRule="exact"/>
              <w:ind w:left="156"/>
              <w:rPr>
                <w:color w:val="auto"/>
                <w:highlight w:val="none"/>
              </w:rPr>
            </w:pPr>
            <w:r>
              <w:rPr>
                <w:color w:val="auto"/>
                <w:spacing w:val="4"/>
                <w:position w:val="1"/>
                <w:highlight w:val="none"/>
              </w:rPr>
              <w:t>2000≤Y&lt;30000</w:t>
            </w:r>
          </w:p>
        </w:tc>
        <w:tc>
          <w:tcPr>
            <w:tcW w:w="1643" w:type="dxa"/>
            <w:vAlign w:val="top"/>
          </w:tcPr>
          <w:p w14:paraId="038D1006">
            <w:pPr>
              <w:pStyle w:val="19"/>
              <w:spacing w:before="155" w:line="264" w:lineRule="exact"/>
              <w:ind w:left="169"/>
              <w:rPr>
                <w:color w:val="auto"/>
                <w:highlight w:val="none"/>
              </w:rPr>
            </w:pPr>
            <w:r>
              <w:rPr>
                <w:color w:val="auto"/>
                <w:spacing w:val="3"/>
                <w:position w:val="1"/>
                <w:highlight w:val="none"/>
              </w:rPr>
              <w:t>100≤Y&lt;2000</w:t>
            </w:r>
          </w:p>
        </w:tc>
        <w:tc>
          <w:tcPr>
            <w:tcW w:w="1061" w:type="dxa"/>
            <w:vAlign w:val="top"/>
          </w:tcPr>
          <w:p w14:paraId="7E39DB61">
            <w:pPr>
              <w:pStyle w:val="19"/>
              <w:spacing w:before="155" w:line="266" w:lineRule="exact"/>
              <w:ind w:left="154"/>
              <w:rPr>
                <w:color w:val="auto"/>
                <w:highlight w:val="none"/>
              </w:rPr>
            </w:pPr>
            <w:r>
              <w:rPr>
                <w:color w:val="auto"/>
                <w:spacing w:val="3"/>
                <w:position w:val="1"/>
                <w:highlight w:val="none"/>
              </w:rPr>
              <w:t>Y&lt;100</w:t>
            </w:r>
          </w:p>
        </w:tc>
      </w:tr>
      <w:tr w14:paraId="3D963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595" w:type="dxa"/>
            <w:vMerge w:val="restart"/>
            <w:tcBorders>
              <w:bottom w:val="nil"/>
            </w:tcBorders>
            <w:vAlign w:val="top"/>
          </w:tcPr>
          <w:p w14:paraId="3DEB7BD9">
            <w:pPr>
              <w:spacing w:line="296" w:lineRule="auto"/>
              <w:rPr>
                <w:rFonts w:ascii="Arial"/>
                <w:color w:val="auto"/>
                <w:sz w:val="21"/>
                <w:highlight w:val="none"/>
              </w:rPr>
            </w:pPr>
          </w:p>
          <w:p w14:paraId="36D05F13">
            <w:pPr>
              <w:pStyle w:val="19"/>
              <w:spacing w:before="65" w:line="228" w:lineRule="auto"/>
              <w:ind w:left="153"/>
              <w:rPr>
                <w:color w:val="auto"/>
                <w:highlight w:val="none"/>
              </w:rPr>
            </w:pPr>
            <w:r>
              <w:rPr>
                <w:color w:val="auto"/>
                <w:spacing w:val="7"/>
                <w:highlight w:val="none"/>
              </w:rPr>
              <w:t>住宿业</w:t>
            </w:r>
          </w:p>
        </w:tc>
        <w:tc>
          <w:tcPr>
            <w:tcW w:w="1677" w:type="dxa"/>
            <w:vAlign w:val="top"/>
          </w:tcPr>
          <w:p w14:paraId="0154EDA6">
            <w:pPr>
              <w:pStyle w:val="19"/>
              <w:spacing w:before="148" w:line="228" w:lineRule="auto"/>
              <w:ind w:left="153"/>
              <w:rPr>
                <w:color w:val="auto"/>
                <w:highlight w:val="none"/>
              </w:rPr>
            </w:pPr>
            <w:r>
              <w:rPr>
                <w:color w:val="auto"/>
                <w:spacing w:val="6"/>
                <w:highlight w:val="none"/>
              </w:rPr>
              <w:t>从业人员（X）</w:t>
            </w:r>
          </w:p>
        </w:tc>
        <w:tc>
          <w:tcPr>
            <w:tcW w:w="915" w:type="dxa"/>
            <w:vAlign w:val="top"/>
          </w:tcPr>
          <w:p w14:paraId="7F0AA516">
            <w:pPr>
              <w:pStyle w:val="19"/>
              <w:spacing w:before="147" w:line="231" w:lineRule="auto"/>
              <w:ind w:left="153"/>
              <w:rPr>
                <w:color w:val="auto"/>
                <w:highlight w:val="none"/>
              </w:rPr>
            </w:pPr>
            <w:r>
              <w:rPr>
                <w:color w:val="auto"/>
                <w:highlight w:val="none"/>
              </w:rPr>
              <w:t>人</w:t>
            </w:r>
          </w:p>
        </w:tc>
        <w:tc>
          <w:tcPr>
            <w:tcW w:w="2051" w:type="dxa"/>
            <w:vAlign w:val="top"/>
          </w:tcPr>
          <w:p w14:paraId="01536535">
            <w:pPr>
              <w:pStyle w:val="19"/>
              <w:spacing w:before="147" w:line="265" w:lineRule="exact"/>
              <w:ind w:left="168"/>
              <w:rPr>
                <w:color w:val="auto"/>
                <w:highlight w:val="none"/>
              </w:rPr>
            </w:pPr>
            <w:r>
              <w:rPr>
                <w:color w:val="auto"/>
                <w:spacing w:val="2"/>
                <w:position w:val="1"/>
                <w:highlight w:val="none"/>
              </w:rPr>
              <w:t>100≤X&lt;300</w:t>
            </w:r>
          </w:p>
        </w:tc>
        <w:tc>
          <w:tcPr>
            <w:tcW w:w="1643" w:type="dxa"/>
            <w:vAlign w:val="top"/>
          </w:tcPr>
          <w:p w14:paraId="65EDDE7C">
            <w:pPr>
              <w:pStyle w:val="19"/>
              <w:spacing w:before="147" w:line="265" w:lineRule="exact"/>
              <w:ind w:left="169"/>
              <w:rPr>
                <w:color w:val="auto"/>
                <w:highlight w:val="none"/>
              </w:rPr>
            </w:pPr>
            <w:r>
              <w:rPr>
                <w:color w:val="auto"/>
                <w:spacing w:val="2"/>
                <w:position w:val="1"/>
                <w:highlight w:val="none"/>
              </w:rPr>
              <w:t>10≤X&lt;100</w:t>
            </w:r>
          </w:p>
        </w:tc>
        <w:tc>
          <w:tcPr>
            <w:tcW w:w="1061" w:type="dxa"/>
            <w:vAlign w:val="top"/>
          </w:tcPr>
          <w:p w14:paraId="681EFC99">
            <w:pPr>
              <w:pStyle w:val="19"/>
              <w:spacing w:before="147" w:line="267" w:lineRule="exact"/>
              <w:ind w:left="155"/>
              <w:rPr>
                <w:color w:val="auto"/>
                <w:highlight w:val="none"/>
              </w:rPr>
            </w:pPr>
            <w:r>
              <w:rPr>
                <w:color w:val="auto"/>
                <w:spacing w:val="3"/>
                <w:position w:val="1"/>
                <w:highlight w:val="none"/>
              </w:rPr>
              <w:t>X&lt;10</w:t>
            </w:r>
          </w:p>
        </w:tc>
      </w:tr>
      <w:tr w14:paraId="05255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595" w:type="dxa"/>
            <w:vMerge w:val="continue"/>
            <w:tcBorders>
              <w:top w:val="nil"/>
            </w:tcBorders>
            <w:vAlign w:val="top"/>
          </w:tcPr>
          <w:p w14:paraId="5747C025">
            <w:pPr>
              <w:rPr>
                <w:rFonts w:ascii="Arial"/>
                <w:color w:val="auto"/>
                <w:sz w:val="21"/>
                <w:highlight w:val="none"/>
              </w:rPr>
            </w:pPr>
          </w:p>
        </w:tc>
        <w:tc>
          <w:tcPr>
            <w:tcW w:w="1677" w:type="dxa"/>
            <w:vAlign w:val="top"/>
          </w:tcPr>
          <w:p w14:paraId="6B51811E">
            <w:pPr>
              <w:pStyle w:val="19"/>
              <w:spacing w:before="147" w:line="228" w:lineRule="auto"/>
              <w:ind w:left="157"/>
              <w:rPr>
                <w:color w:val="auto"/>
                <w:highlight w:val="none"/>
              </w:rPr>
            </w:pPr>
            <w:r>
              <w:rPr>
                <w:color w:val="auto"/>
                <w:spacing w:val="5"/>
                <w:highlight w:val="none"/>
              </w:rPr>
              <w:t>营业收入（Y）</w:t>
            </w:r>
          </w:p>
        </w:tc>
        <w:tc>
          <w:tcPr>
            <w:tcW w:w="915" w:type="dxa"/>
            <w:vAlign w:val="top"/>
          </w:tcPr>
          <w:p w14:paraId="64E5BF1B">
            <w:pPr>
              <w:pStyle w:val="19"/>
              <w:spacing w:before="148" w:line="228" w:lineRule="auto"/>
              <w:ind w:left="156"/>
              <w:rPr>
                <w:color w:val="auto"/>
                <w:highlight w:val="none"/>
              </w:rPr>
            </w:pPr>
            <w:r>
              <w:rPr>
                <w:color w:val="auto"/>
                <w:spacing w:val="2"/>
                <w:highlight w:val="none"/>
              </w:rPr>
              <w:t>万元</w:t>
            </w:r>
          </w:p>
        </w:tc>
        <w:tc>
          <w:tcPr>
            <w:tcW w:w="2051" w:type="dxa"/>
            <w:vAlign w:val="top"/>
          </w:tcPr>
          <w:p w14:paraId="72B52C3D">
            <w:pPr>
              <w:pStyle w:val="19"/>
              <w:spacing w:before="148" w:line="264" w:lineRule="exact"/>
              <w:ind w:left="156"/>
              <w:rPr>
                <w:color w:val="auto"/>
                <w:highlight w:val="none"/>
              </w:rPr>
            </w:pPr>
            <w:r>
              <w:rPr>
                <w:color w:val="auto"/>
                <w:spacing w:val="4"/>
                <w:position w:val="1"/>
                <w:highlight w:val="none"/>
              </w:rPr>
              <w:t>2000≤Y&lt;10000</w:t>
            </w:r>
          </w:p>
        </w:tc>
        <w:tc>
          <w:tcPr>
            <w:tcW w:w="1643" w:type="dxa"/>
            <w:vAlign w:val="top"/>
          </w:tcPr>
          <w:p w14:paraId="5210924A">
            <w:pPr>
              <w:pStyle w:val="19"/>
              <w:spacing w:before="148" w:line="264" w:lineRule="exact"/>
              <w:ind w:left="169"/>
              <w:rPr>
                <w:color w:val="auto"/>
                <w:highlight w:val="none"/>
              </w:rPr>
            </w:pPr>
            <w:r>
              <w:rPr>
                <w:color w:val="auto"/>
                <w:spacing w:val="3"/>
                <w:position w:val="1"/>
                <w:highlight w:val="none"/>
              </w:rPr>
              <w:t>100≤Y&lt;2000</w:t>
            </w:r>
          </w:p>
        </w:tc>
        <w:tc>
          <w:tcPr>
            <w:tcW w:w="1061" w:type="dxa"/>
            <w:vAlign w:val="top"/>
          </w:tcPr>
          <w:p w14:paraId="03C2D9FE">
            <w:pPr>
              <w:pStyle w:val="19"/>
              <w:spacing w:before="148" w:line="266" w:lineRule="exact"/>
              <w:ind w:left="154"/>
              <w:rPr>
                <w:color w:val="auto"/>
                <w:highlight w:val="none"/>
              </w:rPr>
            </w:pPr>
            <w:r>
              <w:rPr>
                <w:color w:val="auto"/>
                <w:spacing w:val="3"/>
                <w:position w:val="1"/>
                <w:highlight w:val="none"/>
              </w:rPr>
              <w:t>Y&lt;100</w:t>
            </w:r>
          </w:p>
        </w:tc>
      </w:tr>
      <w:tr w14:paraId="6C7C6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595" w:type="dxa"/>
            <w:vMerge w:val="restart"/>
            <w:tcBorders>
              <w:bottom w:val="nil"/>
            </w:tcBorders>
            <w:vAlign w:val="top"/>
          </w:tcPr>
          <w:p w14:paraId="50E35EF7">
            <w:pPr>
              <w:spacing w:line="299" w:lineRule="auto"/>
              <w:rPr>
                <w:rFonts w:ascii="Arial"/>
                <w:color w:val="auto"/>
                <w:sz w:val="21"/>
                <w:highlight w:val="none"/>
              </w:rPr>
            </w:pPr>
          </w:p>
          <w:p w14:paraId="231B8B0A">
            <w:pPr>
              <w:pStyle w:val="19"/>
              <w:spacing w:before="65" w:line="228" w:lineRule="auto"/>
              <w:ind w:left="155"/>
              <w:rPr>
                <w:color w:val="auto"/>
                <w:highlight w:val="none"/>
              </w:rPr>
            </w:pPr>
            <w:r>
              <w:rPr>
                <w:color w:val="auto"/>
                <w:spacing w:val="6"/>
                <w:highlight w:val="none"/>
              </w:rPr>
              <w:t>餐饮业</w:t>
            </w:r>
          </w:p>
        </w:tc>
        <w:tc>
          <w:tcPr>
            <w:tcW w:w="1677" w:type="dxa"/>
            <w:vAlign w:val="top"/>
          </w:tcPr>
          <w:p w14:paraId="570564B1">
            <w:pPr>
              <w:pStyle w:val="19"/>
              <w:spacing w:before="148" w:line="228" w:lineRule="auto"/>
              <w:ind w:left="153"/>
              <w:rPr>
                <w:color w:val="auto"/>
                <w:highlight w:val="none"/>
              </w:rPr>
            </w:pPr>
            <w:r>
              <w:rPr>
                <w:color w:val="auto"/>
                <w:spacing w:val="6"/>
                <w:highlight w:val="none"/>
              </w:rPr>
              <w:t>从业人员（X）</w:t>
            </w:r>
          </w:p>
        </w:tc>
        <w:tc>
          <w:tcPr>
            <w:tcW w:w="915" w:type="dxa"/>
            <w:vAlign w:val="top"/>
          </w:tcPr>
          <w:p w14:paraId="1D3FD178">
            <w:pPr>
              <w:pStyle w:val="19"/>
              <w:spacing w:before="147" w:line="231" w:lineRule="auto"/>
              <w:ind w:left="153"/>
              <w:rPr>
                <w:color w:val="auto"/>
                <w:highlight w:val="none"/>
              </w:rPr>
            </w:pPr>
            <w:r>
              <w:rPr>
                <w:color w:val="auto"/>
                <w:highlight w:val="none"/>
              </w:rPr>
              <w:t>人</w:t>
            </w:r>
          </w:p>
        </w:tc>
        <w:tc>
          <w:tcPr>
            <w:tcW w:w="2051" w:type="dxa"/>
            <w:vAlign w:val="top"/>
          </w:tcPr>
          <w:p w14:paraId="08B6B8AB">
            <w:pPr>
              <w:pStyle w:val="19"/>
              <w:spacing w:before="148" w:line="265" w:lineRule="exact"/>
              <w:ind w:left="168"/>
              <w:rPr>
                <w:color w:val="auto"/>
                <w:highlight w:val="none"/>
              </w:rPr>
            </w:pPr>
            <w:r>
              <w:rPr>
                <w:color w:val="auto"/>
                <w:spacing w:val="2"/>
                <w:position w:val="1"/>
                <w:highlight w:val="none"/>
              </w:rPr>
              <w:t>100≤X&lt;300</w:t>
            </w:r>
          </w:p>
        </w:tc>
        <w:tc>
          <w:tcPr>
            <w:tcW w:w="1643" w:type="dxa"/>
            <w:vAlign w:val="top"/>
          </w:tcPr>
          <w:p w14:paraId="5B008E5E">
            <w:pPr>
              <w:pStyle w:val="19"/>
              <w:spacing w:before="148" w:line="265" w:lineRule="exact"/>
              <w:ind w:left="169"/>
              <w:rPr>
                <w:color w:val="auto"/>
                <w:highlight w:val="none"/>
              </w:rPr>
            </w:pPr>
            <w:r>
              <w:rPr>
                <w:color w:val="auto"/>
                <w:spacing w:val="2"/>
                <w:position w:val="1"/>
                <w:highlight w:val="none"/>
              </w:rPr>
              <w:t>10≤X&lt;100</w:t>
            </w:r>
          </w:p>
        </w:tc>
        <w:tc>
          <w:tcPr>
            <w:tcW w:w="1061" w:type="dxa"/>
            <w:vAlign w:val="top"/>
          </w:tcPr>
          <w:p w14:paraId="487EFC22">
            <w:pPr>
              <w:pStyle w:val="19"/>
              <w:spacing w:before="148" w:line="266" w:lineRule="exact"/>
              <w:ind w:left="155"/>
              <w:rPr>
                <w:color w:val="auto"/>
                <w:highlight w:val="none"/>
              </w:rPr>
            </w:pPr>
            <w:r>
              <w:rPr>
                <w:color w:val="auto"/>
                <w:spacing w:val="3"/>
                <w:position w:val="1"/>
                <w:highlight w:val="none"/>
              </w:rPr>
              <w:t>X&lt;10</w:t>
            </w:r>
          </w:p>
        </w:tc>
      </w:tr>
      <w:tr w14:paraId="55C59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595" w:type="dxa"/>
            <w:vMerge w:val="continue"/>
            <w:tcBorders>
              <w:top w:val="nil"/>
            </w:tcBorders>
            <w:vAlign w:val="top"/>
          </w:tcPr>
          <w:p w14:paraId="072F8727">
            <w:pPr>
              <w:rPr>
                <w:rFonts w:ascii="Arial"/>
                <w:color w:val="auto"/>
                <w:sz w:val="21"/>
                <w:highlight w:val="none"/>
              </w:rPr>
            </w:pPr>
          </w:p>
        </w:tc>
        <w:tc>
          <w:tcPr>
            <w:tcW w:w="1677" w:type="dxa"/>
            <w:vAlign w:val="top"/>
          </w:tcPr>
          <w:p w14:paraId="51437E1A">
            <w:pPr>
              <w:pStyle w:val="19"/>
              <w:spacing w:before="150" w:line="228" w:lineRule="auto"/>
              <w:ind w:left="157"/>
              <w:rPr>
                <w:color w:val="auto"/>
                <w:highlight w:val="none"/>
              </w:rPr>
            </w:pPr>
            <w:r>
              <w:rPr>
                <w:color w:val="auto"/>
                <w:spacing w:val="5"/>
                <w:highlight w:val="none"/>
              </w:rPr>
              <w:t>营业收入（Y）</w:t>
            </w:r>
          </w:p>
        </w:tc>
        <w:tc>
          <w:tcPr>
            <w:tcW w:w="915" w:type="dxa"/>
            <w:vAlign w:val="top"/>
          </w:tcPr>
          <w:p w14:paraId="6AC82CAF">
            <w:pPr>
              <w:pStyle w:val="19"/>
              <w:spacing w:before="151" w:line="228" w:lineRule="auto"/>
              <w:ind w:left="156"/>
              <w:rPr>
                <w:color w:val="auto"/>
                <w:highlight w:val="none"/>
              </w:rPr>
            </w:pPr>
            <w:r>
              <w:rPr>
                <w:color w:val="auto"/>
                <w:spacing w:val="2"/>
                <w:highlight w:val="none"/>
              </w:rPr>
              <w:t>万元</w:t>
            </w:r>
          </w:p>
        </w:tc>
        <w:tc>
          <w:tcPr>
            <w:tcW w:w="2051" w:type="dxa"/>
            <w:vAlign w:val="top"/>
          </w:tcPr>
          <w:p w14:paraId="6E02B4D3">
            <w:pPr>
              <w:pStyle w:val="19"/>
              <w:spacing w:before="151" w:line="263" w:lineRule="exact"/>
              <w:ind w:left="156"/>
              <w:rPr>
                <w:color w:val="auto"/>
                <w:highlight w:val="none"/>
              </w:rPr>
            </w:pPr>
            <w:r>
              <w:rPr>
                <w:color w:val="auto"/>
                <w:spacing w:val="4"/>
                <w:position w:val="1"/>
                <w:highlight w:val="none"/>
              </w:rPr>
              <w:t>2000≤Y&lt;10000</w:t>
            </w:r>
          </w:p>
        </w:tc>
        <w:tc>
          <w:tcPr>
            <w:tcW w:w="1643" w:type="dxa"/>
            <w:vAlign w:val="top"/>
          </w:tcPr>
          <w:p w14:paraId="33A9578A">
            <w:pPr>
              <w:pStyle w:val="19"/>
              <w:spacing w:before="151" w:line="263" w:lineRule="exact"/>
              <w:ind w:left="169"/>
              <w:rPr>
                <w:color w:val="auto"/>
                <w:highlight w:val="none"/>
              </w:rPr>
            </w:pPr>
            <w:r>
              <w:rPr>
                <w:color w:val="auto"/>
                <w:spacing w:val="3"/>
                <w:position w:val="1"/>
                <w:highlight w:val="none"/>
              </w:rPr>
              <w:t>100≤Y&lt;2000</w:t>
            </w:r>
          </w:p>
        </w:tc>
        <w:tc>
          <w:tcPr>
            <w:tcW w:w="1061" w:type="dxa"/>
            <w:vAlign w:val="top"/>
          </w:tcPr>
          <w:p w14:paraId="4232A901">
            <w:pPr>
              <w:pStyle w:val="19"/>
              <w:spacing w:before="151" w:line="263" w:lineRule="exact"/>
              <w:ind w:left="154"/>
              <w:rPr>
                <w:color w:val="auto"/>
                <w:highlight w:val="none"/>
              </w:rPr>
            </w:pPr>
            <w:r>
              <w:rPr>
                <w:color w:val="auto"/>
                <w:spacing w:val="3"/>
                <w:position w:val="1"/>
                <w:highlight w:val="none"/>
              </w:rPr>
              <w:t>Y&lt;100</w:t>
            </w:r>
          </w:p>
        </w:tc>
      </w:tr>
      <w:tr w14:paraId="4B5E6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595" w:type="dxa"/>
            <w:vMerge w:val="restart"/>
            <w:tcBorders>
              <w:bottom w:val="nil"/>
            </w:tcBorders>
            <w:vAlign w:val="top"/>
          </w:tcPr>
          <w:p w14:paraId="1732E6F9">
            <w:pPr>
              <w:pStyle w:val="19"/>
              <w:spacing w:before="187" w:line="305" w:lineRule="auto"/>
              <w:ind w:left="157" w:right="164" w:hanging="3"/>
              <w:rPr>
                <w:color w:val="auto"/>
                <w:highlight w:val="none"/>
              </w:rPr>
            </w:pPr>
            <w:r>
              <w:rPr>
                <w:color w:val="auto"/>
                <w:spacing w:val="6"/>
                <w:highlight w:val="none"/>
              </w:rPr>
              <w:t>信息传输业（包括电信、</w:t>
            </w:r>
            <w:r>
              <w:rPr>
                <w:color w:val="auto"/>
                <w:highlight w:val="none"/>
              </w:rPr>
              <w:t xml:space="preserve"> </w:t>
            </w:r>
            <w:r>
              <w:rPr>
                <w:color w:val="auto"/>
                <w:spacing w:val="7"/>
                <w:highlight w:val="none"/>
              </w:rPr>
              <w:t>互联网和相关服务）</w:t>
            </w:r>
          </w:p>
        </w:tc>
        <w:tc>
          <w:tcPr>
            <w:tcW w:w="1677" w:type="dxa"/>
            <w:vAlign w:val="top"/>
          </w:tcPr>
          <w:p w14:paraId="674849CC">
            <w:pPr>
              <w:pStyle w:val="19"/>
              <w:spacing w:before="152" w:line="228" w:lineRule="auto"/>
              <w:ind w:left="153"/>
              <w:rPr>
                <w:color w:val="auto"/>
                <w:highlight w:val="none"/>
              </w:rPr>
            </w:pPr>
            <w:r>
              <w:rPr>
                <w:color w:val="auto"/>
                <w:spacing w:val="6"/>
                <w:highlight w:val="none"/>
              </w:rPr>
              <w:t>从业人员（X）</w:t>
            </w:r>
          </w:p>
        </w:tc>
        <w:tc>
          <w:tcPr>
            <w:tcW w:w="915" w:type="dxa"/>
            <w:vAlign w:val="top"/>
          </w:tcPr>
          <w:p w14:paraId="21E40DF1">
            <w:pPr>
              <w:pStyle w:val="19"/>
              <w:spacing w:before="151" w:line="231" w:lineRule="auto"/>
              <w:ind w:left="153"/>
              <w:rPr>
                <w:color w:val="auto"/>
                <w:highlight w:val="none"/>
              </w:rPr>
            </w:pPr>
            <w:r>
              <w:rPr>
                <w:color w:val="auto"/>
                <w:highlight w:val="none"/>
              </w:rPr>
              <w:t>人</w:t>
            </w:r>
          </w:p>
        </w:tc>
        <w:tc>
          <w:tcPr>
            <w:tcW w:w="2051" w:type="dxa"/>
            <w:vAlign w:val="top"/>
          </w:tcPr>
          <w:p w14:paraId="0CF55B33">
            <w:pPr>
              <w:pStyle w:val="19"/>
              <w:spacing w:before="151" w:line="242" w:lineRule="auto"/>
              <w:ind w:left="168"/>
              <w:rPr>
                <w:color w:val="auto"/>
                <w:highlight w:val="none"/>
              </w:rPr>
            </w:pPr>
            <w:r>
              <w:rPr>
                <w:color w:val="auto"/>
                <w:spacing w:val="3"/>
                <w:highlight w:val="none"/>
              </w:rPr>
              <w:t>100≤X&lt;2000</w:t>
            </w:r>
          </w:p>
        </w:tc>
        <w:tc>
          <w:tcPr>
            <w:tcW w:w="1643" w:type="dxa"/>
            <w:vAlign w:val="top"/>
          </w:tcPr>
          <w:p w14:paraId="342F44DB">
            <w:pPr>
              <w:pStyle w:val="19"/>
              <w:spacing w:before="151" w:line="242" w:lineRule="auto"/>
              <w:ind w:left="169"/>
              <w:rPr>
                <w:color w:val="auto"/>
                <w:highlight w:val="none"/>
              </w:rPr>
            </w:pPr>
            <w:r>
              <w:rPr>
                <w:color w:val="auto"/>
                <w:spacing w:val="2"/>
                <w:highlight w:val="none"/>
              </w:rPr>
              <w:t>10≤X&lt;100</w:t>
            </w:r>
          </w:p>
        </w:tc>
        <w:tc>
          <w:tcPr>
            <w:tcW w:w="1061" w:type="dxa"/>
            <w:vAlign w:val="top"/>
          </w:tcPr>
          <w:p w14:paraId="2A7E275D">
            <w:pPr>
              <w:pStyle w:val="19"/>
              <w:spacing w:before="151" w:line="242" w:lineRule="auto"/>
              <w:ind w:left="155"/>
              <w:rPr>
                <w:color w:val="auto"/>
                <w:highlight w:val="none"/>
              </w:rPr>
            </w:pPr>
            <w:r>
              <w:rPr>
                <w:color w:val="auto"/>
                <w:spacing w:val="3"/>
                <w:highlight w:val="none"/>
              </w:rPr>
              <w:t>X&lt;10</w:t>
            </w:r>
          </w:p>
        </w:tc>
      </w:tr>
      <w:tr w14:paraId="12DB7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595" w:type="dxa"/>
            <w:vMerge w:val="continue"/>
            <w:tcBorders>
              <w:top w:val="nil"/>
            </w:tcBorders>
            <w:vAlign w:val="top"/>
          </w:tcPr>
          <w:p w14:paraId="73AED4BF">
            <w:pPr>
              <w:rPr>
                <w:rFonts w:ascii="Arial"/>
                <w:color w:val="auto"/>
                <w:sz w:val="21"/>
                <w:highlight w:val="none"/>
              </w:rPr>
            </w:pPr>
          </w:p>
        </w:tc>
        <w:tc>
          <w:tcPr>
            <w:tcW w:w="1677" w:type="dxa"/>
            <w:vAlign w:val="top"/>
          </w:tcPr>
          <w:p w14:paraId="6A7CF6A0">
            <w:pPr>
              <w:pStyle w:val="19"/>
              <w:spacing w:before="151" w:line="228" w:lineRule="auto"/>
              <w:ind w:left="157"/>
              <w:rPr>
                <w:color w:val="auto"/>
                <w:highlight w:val="none"/>
              </w:rPr>
            </w:pPr>
            <w:r>
              <w:rPr>
                <w:color w:val="auto"/>
                <w:spacing w:val="5"/>
                <w:highlight w:val="none"/>
              </w:rPr>
              <w:t>营业收入（Y）</w:t>
            </w:r>
          </w:p>
        </w:tc>
        <w:tc>
          <w:tcPr>
            <w:tcW w:w="915" w:type="dxa"/>
            <w:vAlign w:val="top"/>
          </w:tcPr>
          <w:p w14:paraId="34CF97D1">
            <w:pPr>
              <w:pStyle w:val="19"/>
              <w:spacing w:before="152" w:line="228" w:lineRule="auto"/>
              <w:ind w:left="156"/>
              <w:rPr>
                <w:color w:val="auto"/>
                <w:highlight w:val="none"/>
              </w:rPr>
            </w:pPr>
            <w:r>
              <w:rPr>
                <w:color w:val="auto"/>
                <w:spacing w:val="2"/>
                <w:highlight w:val="none"/>
              </w:rPr>
              <w:t>万元</w:t>
            </w:r>
          </w:p>
        </w:tc>
        <w:tc>
          <w:tcPr>
            <w:tcW w:w="2051" w:type="dxa"/>
            <w:vAlign w:val="top"/>
          </w:tcPr>
          <w:p w14:paraId="52B86AC9">
            <w:pPr>
              <w:pStyle w:val="19"/>
              <w:spacing w:before="151" w:line="242" w:lineRule="auto"/>
              <w:ind w:left="168"/>
              <w:rPr>
                <w:color w:val="auto"/>
                <w:highlight w:val="none"/>
              </w:rPr>
            </w:pPr>
            <w:r>
              <w:rPr>
                <w:color w:val="auto"/>
                <w:spacing w:val="3"/>
                <w:highlight w:val="none"/>
              </w:rPr>
              <w:t>1000≤Y&lt;100000</w:t>
            </w:r>
          </w:p>
        </w:tc>
        <w:tc>
          <w:tcPr>
            <w:tcW w:w="1643" w:type="dxa"/>
            <w:vAlign w:val="top"/>
          </w:tcPr>
          <w:p w14:paraId="76E5FBF7">
            <w:pPr>
              <w:pStyle w:val="19"/>
              <w:spacing w:before="151" w:line="242" w:lineRule="auto"/>
              <w:ind w:left="169"/>
              <w:rPr>
                <w:color w:val="auto"/>
                <w:highlight w:val="none"/>
              </w:rPr>
            </w:pPr>
            <w:r>
              <w:rPr>
                <w:color w:val="auto"/>
                <w:spacing w:val="3"/>
                <w:highlight w:val="none"/>
              </w:rPr>
              <w:t>100≤Y&lt;1000</w:t>
            </w:r>
          </w:p>
        </w:tc>
        <w:tc>
          <w:tcPr>
            <w:tcW w:w="1061" w:type="dxa"/>
            <w:vAlign w:val="top"/>
          </w:tcPr>
          <w:p w14:paraId="798CC366">
            <w:pPr>
              <w:pStyle w:val="19"/>
              <w:spacing w:before="151" w:line="242" w:lineRule="auto"/>
              <w:ind w:left="154"/>
              <w:rPr>
                <w:color w:val="auto"/>
                <w:highlight w:val="none"/>
              </w:rPr>
            </w:pPr>
            <w:r>
              <w:rPr>
                <w:color w:val="auto"/>
                <w:spacing w:val="3"/>
                <w:highlight w:val="none"/>
              </w:rPr>
              <w:t>Y&lt;100</w:t>
            </w:r>
          </w:p>
        </w:tc>
      </w:tr>
      <w:tr w14:paraId="6CC29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595" w:type="dxa"/>
            <w:vMerge w:val="restart"/>
            <w:tcBorders>
              <w:bottom w:val="nil"/>
            </w:tcBorders>
            <w:vAlign w:val="top"/>
          </w:tcPr>
          <w:p w14:paraId="21B9610D">
            <w:pPr>
              <w:spacing w:line="303" w:lineRule="auto"/>
              <w:rPr>
                <w:rFonts w:ascii="Arial"/>
                <w:color w:val="auto"/>
                <w:sz w:val="21"/>
                <w:highlight w:val="none"/>
              </w:rPr>
            </w:pPr>
          </w:p>
          <w:p w14:paraId="6E806811">
            <w:pPr>
              <w:pStyle w:val="19"/>
              <w:spacing w:before="65" w:line="228" w:lineRule="auto"/>
              <w:ind w:left="156"/>
              <w:rPr>
                <w:color w:val="auto"/>
                <w:highlight w:val="none"/>
              </w:rPr>
            </w:pPr>
            <w:r>
              <w:rPr>
                <w:color w:val="auto"/>
                <w:spacing w:val="8"/>
                <w:highlight w:val="none"/>
              </w:rPr>
              <w:t>软件和信息技术服务业</w:t>
            </w:r>
          </w:p>
        </w:tc>
        <w:tc>
          <w:tcPr>
            <w:tcW w:w="1677" w:type="dxa"/>
            <w:vAlign w:val="top"/>
          </w:tcPr>
          <w:p w14:paraId="4F446F17">
            <w:pPr>
              <w:pStyle w:val="19"/>
              <w:spacing w:before="152" w:line="228" w:lineRule="auto"/>
              <w:ind w:left="153"/>
              <w:rPr>
                <w:color w:val="auto"/>
                <w:highlight w:val="none"/>
              </w:rPr>
            </w:pPr>
            <w:r>
              <w:rPr>
                <w:color w:val="auto"/>
                <w:spacing w:val="6"/>
                <w:highlight w:val="none"/>
              </w:rPr>
              <w:t>从业人员（X）</w:t>
            </w:r>
          </w:p>
        </w:tc>
        <w:tc>
          <w:tcPr>
            <w:tcW w:w="915" w:type="dxa"/>
            <w:vAlign w:val="top"/>
          </w:tcPr>
          <w:p w14:paraId="4FAAC5E9">
            <w:pPr>
              <w:pStyle w:val="19"/>
              <w:spacing w:before="151" w:line="231" w:lineRule="auto"/>
              <w:ind w:left="153"/>
              <w:rPr>
                <w:color w:val="auto"/>
                <w:highlight w:val="none"/>
              </w:rPr>
            </w:pPr>
            <w:r>
              <w:rPr>
                <w:color w:val="auto"/>
                <w:highlight w:val="none"/>
              </w:rPr>
              <w:t>人</w:t>
            </w:r>
          </w:p>
        </w:tc>
        <w:tc>
          <w:tcPr>
            <w:tcW w:w="2051" w:type="dxa"/>
            <w:vAlign w:val="top"/>
          </w:tcPr>
          <w:p w14:paraId="09DDC432">
            <w:pPr>
              <w:pStyle w:val="19"/>
              <w:spacing w:before="152" w:line="241" w:lineRule="auto"/>
              <w:ind w:left="168"/>
              <w:rPr>
                <w:color w:val="auto"/>
                <w:highlight w:val="none"/>
              </w:rPr>
            </w:pPr>
            <w:r>
              <w:rPr>
                <w:color w:val="auto"/>
                <w:spacing w:val="2"/>
                <w:highlight w:val="none"/>
              </w:rPr>
              <w:t>100≤X&lt;300</w:t>
            </w:r>
          </w:p>
        </w:tc>
        <w:tc>
          <w:tcPr>
            <w:tcW w:w="1643" w:type="dxa"/>
            <w:vAlign w:val="top"/>
          </w:tcPr>
          <w:p w14:paraId="4A9562E9">
            <w:pPr>
              <w:pStyle w:val="19"/>
              <w:spacing w:before="152" w:line="241" w:lineRule="auto"/>
              <w:ind w:left="169"/>
              <w:rPr>
                <w:color w:val="auto"/>
                <w:highlight w:val="none"/>
              </w:rPr>
            </w:pPr>
            <w:r>
              <w:rPr>
                <w:color w:val="auto"/>
                <w:spacing w:val="2"/>
                <w:highlight w:val="none"/>
              </w:rPr>
              <w:t>10≤X&lt;100</w:t>
            </w:r>
          </w:p>
        </w:tc>
        <w:tc>
          <w:tcPr>
            <w:tcW w:w="1061" w:type="dxa"/>
            <w:vAlign w:val="top"/>
          </w:tcPr>
          <w:p w14:paraId="661F663D">
            <w:pPr>
              <w:pStyle w:val="19"/>
              <w:spacing w:before="152" w:line="241" w:lineRule="auto"/>
              <w:ind w:left="155"/>
              <w:rPr>
                <w:color w:val="auto"/>
                <w:highlight w:val="none"/>
              </w:rPr>
            </w:pPr>
            <w:r>
              <w:rPr>
                <w:color w:val="auto"/>
                <w:spacing w:val="3"/>
                <w:highlight w:val="none"/>
              </w:rPr>
              <w:t>X&lt;10</w:t>
            </w:r>
          </w:p>
        </w:tc>
      </w:tr>
      <w:tr w14:paraId="434EB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595" w:type="dxa"/>
            <w:vMerge w:val="continue"/>
            <w:tcBorders>
              <w:top w:val="nil"/>
            </w:tcBorders>
            <w:vAlign w:val="top"/>
          </w:tcPr>
          <w:p w14:paraId="16841B5B">
            <w:pPr>
              <w:rPr>
                <w:rFonts w:ascii="Arial"/>
                <w:color w:val="auto"/>
                <w:sz w:val="21"/>
                <w:highlight w:val="none"/>
              </w:rPr>
            </w:pPr>
          </w:p>
        </w:tc>
        <w:tc>
          <w:tcPr>
            <w:tcW w:w="1677" w:type="dxa"/>
            <w:vAlign w:val="top"/>
          </w:tcPr>
          <w:p w14:paraId="4D754E49">
            <w:pPr>
              <w:pStyle w:val="19"/>
              <w:spacing w:before="154" w:line="228" w:lineRule="auto"/>
              <w:ind w:left="157"/>
              <w:rPr>
                <w:color w:val="auto"/>
                <w:highlight w:val="none"/>
              </w:rPr>
            </w:pPr>
            <w:r>
              <w:rPr>
                <w:color w:val="auto"/>
                <w:spacing w:val="5"/>
                <w:highlight w:val="none"/>
              </w:rPr>
              <w:t>营业收入（Y）</w:t>
            </w:r>
          </w:p>
        </w:tc>
        <w:tc>
          <w:tcPr>
            <w:tcW w:w="915" w:type="dxa"/>
            <w:vAlign w:val="top"/>
          </w:tcPr>
          <w:p w14:paraId="072C3243">
            <w:pPr>
              <w:pStyle w:val="19"/>
              <w:spacing w:before="155" w:line="228" w:lineRule="auto"/>
              <w:ind w:left="156"/>
              <w:rPr>
                <w:color w:val="auto"/>
                <w:highlight w:val="none"/>
              </w:rPr>
            </w:pPr>
            <w:r>
              <w:rPr>
                <w:color w:val="auto"/>
                <w:spacing w:val="2"/>
                <w:highlight w:val="none"/>
              </w:rPr>
              <w:t>万元</w:t>
            </w:r>
          </w:p>
        </w:tc>
        <w:tc>
          <w:tcPr>
            <w:tcW w:w="2051" w:type="dxa"/>
            <w:vAlign w:val="top"/>
          </w:tcPr>
          <w:p w14:paraId="46E0B0ED">
            <w:pPr>
              <w:pStyle w:val="19"/>
              <w:spacing w:before="155"/>
              <w:ind w:left="168"/>
              <w:rPr>
                <w:color w:val="auto"/>
                <w:highlight w:val="none"/>
              </w:rPr>
            </w:pPr>
            <w:r>
              <w:rPr>
                <w:color w:val="auto"/>
                <w:spacing w:val="3"/>
                <w:highlight w:val="none"/>
              </w:rPr>
              <w:t>1000≤Y&lt;10000</w:t>
            </w:r>
          </w:p>
        </w:tc>
        <w:tc>
          <w:tcPr>
            <w:tcW w:w="1643" w:type="dxa"/>
            <w:vAlign w:val="top"/>
          </w:tcPr>
          <w:p w14:paraId="72E3871F">
            <w:pPr>
              <w:pStyle w:val="19"/>
              <w:spacing w:before="155"/>
              <w:ind w:left="158"/>
              <w:rPr>
                <w:color w:val="auto"/>
                <w:highlight w:val="none"/>
              </w:rPr>
            </w:pPr>
            <w:r>
              <w:rPr>
                <w:color w:val="auto"/>
                <w:spacing w:val="4"/>
                <w:highlight w:val="none"/>
              </w:rPr>
              <w:t>50≤Y&lt;1000</w:t>
            </w:r>
          </w:p>
        </w:tc>
        <w:tc>
          <w:tcPr>
            <w:tcW w:w="1061" w:type="dxa"/>
            <w:vAlign w:val="top"/>
          </w:tcPr>
          <w:p w14:paraId="603F0910">
            <w:pPr>
              <w:pStyle w:val="19"/>
              <w:spacing w:before="155"/>
              <w:ind w:left="154"/>
              <w:rPr>
                <w:color w:val="auto"/>
                <w:highlight w:val="none"/>
              </w:rPr>
            </w:pPr>
            <w:r>
              <w:rPr>
                <w:color w:val="auto"/>
                <w:spacing w:val="3"/>
                <w:highlight w:val="none"/>
              </w:rPr>
              <w:t>Y&lt;50</w:t>
            </w:r>
          </w:p>
        </w:tc>
      </w:tr>
      <w:tr w14:paraId="49B9C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595" w:type="dxa"/>
            <w:vMerge w:val="restart"/>
            <w:tcBorders>
              <w:bottom w:val="nil"/>
            </w:tcBorders>
            <w:vAlign w:val="top"/>
          </w:tcPr>
          <w:p w14:paraId="7B660FBA">
            <w:pPr>
              <w:spacing w:line="303" w:lineRule="auto"/>
              <w:rPr>
                <w:rFonts w:ascii="Arial"/>
                <w:color w:val="auto"/>
                <w:sz w:val="21"/>
                <w:highlight w:val="none"/>
              </w:rPr>
            </w:pPr>
          </w:p>
          <w:p w14:paraId="108CB6A7">
            <w:pPr>
              <w:pStyle w:val="19"/>
              <w:spacing w:before="65" w:line="228" w:lineRule="auto"/>
              <w:ind w:left="154"/>
              <w:rPr>
                <w:color w:val="auto"/>
                <w:highlight w:val="none"/>
              </w:rPr>
            </w:pPr>
            <w:r>
              <w:rPr>
                <w:color w:val="auto"/>
                <w:spacing w:val="8"/>
                <w:highlight w:val="none"/>
              </w:rPr>
              <w:t>房地产开发经营</w:t>
            </w:r>
          </w:p>
        </w:tc>
        <w:tc>
          <w:tcPr>
            <w:tcW w:w="1677" w:type="dxa"/>
            <w:vAlign w:val="top"/>
          </w:tcPr>
          <w:p w14:paraId="6C65891A">
            <w:pPr>
              <w:pStyle w:val="19"/>
              <w:spacing w:before="154" w:line="228" w:lineRule="auto"/>
              <w:ind w:left="157"/>
              <w:rPr>
                <w:color w:val="auto"/>
                <w:highlight w:val="none"/>
              </w:rPr>
            </w:pPr>
            <w:r>
              <w:rPr>
                <w:color w:val="auto"/>
                <w:spacing w:val="5"/>
                <w:highlight w:val="none"/>
              </w:rPr>
              <w:t>营业收入（Y）</w:t>
            </w:r>
          </w:p>
        </w:tc>
        <w:tc>
          <w:tcPr>
            <w:tcW w:w="915" w:type="dxa"/>
            <w:vAlign w:val="top"/>
          </w:tcPr>
          <w:p w14:paraId="621F1090">
            <w:pPr>
              <w:pStyle w:val="19"/>
              <w:spacing w:before="155" w:line="228" w:lineRule="auto"/>
              <w:ind w:left="156"/>
              <w:rPr>
                <w:color w:val="auto"/>
                <w:highlight w:val="none"/>
              </w:rPr>
            </w:pPr>
            <w:r>
              <w:rPr>
                <w:color w:val="auto"/>
                <w:spacing w:val="2"/>
                <w:highlight w:val="none"/>
              </w:rPr>
              <w:t>万元</w:t>
            </w:r>
          </w:p>
        </w:tc>
        <w:tc>
          <w:tcPr>
            <w:tcW w:w="2051" w:type="dxa"/>
            <w:vAlign w:val="top"/>
          </w:tcPr>
          <w:p w14:paraId="5BD3788E">
            <w:pPr>
              <w:pStyle w:val="19"/>
              <w:spacing w:before="155"/>
              <w:ind w:left="168"/>
              <w:rPr>
                <w:color w:val="auto"/>
                <w:highlight w:val="none"/>
              </w:rPr>
            </w:pPr>
            <w:r>
              <w:rPr>
                <w:color w:val="auto"/>
                <w:spacing w:val="3"/>
                <w:highlight w:val="none"/>
              </w:rPr>
              <w:t>1000≤Y&lt;200000</w:t>
            </w:r>
          </w:p>
        </w:tc>
        <w:tc>
          <w:tcPr>
            <w:tcW w:w="1643" w:type="dxa"/>
            <w:vAlign w:val="top"/>
          </w:tcPr>
          <w:p w14:paraId="724B3CDE">
            <w:pPr>
              <w:pStyle w:val="19"/>
              <w:spacing w:before="155"/>
              <w:ind w:left="169"/>
              <w:rPr>
                <w:color w:val="auto"/>
                <w:highlight w:val="none"/>
              </w:rPr>
            </w:pPr>
            <w:r>
              <w:rPr>
                <w:color w:val="auto"/>
                <w:spacing w:val="3"/>
                <w:highlight w:val="none"/>
              </w:rPr>
              <w:t>100≤Y&lt;1000</w:t>
            </w:r>
          </w:p>
        </w:tc>
        <w:tc>
          <w:tcPr>
            <w:tcW w:w="1061" w:type="dxa"/>
            <w:vAlign w:val="top"/>
          </w:tcPr>
          <w:p w14:paraId="2ED9FDE8">
            <w:pPr>
              <w:pStyle w:val="19"/>
              <w:spacing w:before="155"/>
              <w:ind w:left="154"/>
              <w:rPr>
                <w:color w:val="auto"/>
                <w:highlight w:val="none"/>
              </w:rPr>
            </w:pPr>
            <w:r>
              <w:rPr>
                <w:color w:val="auto"/>
                <w:spacing w:val="3"/>
                <w:highlight w:val="none"/>
              </w:rPr>
              <w:t>Y&lt;100</w:t>
            </w:r>
          </w:p>
        </w:tc>
      </w:tr>
      <w:tr w14:paraId="243C2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595" w:type="dxa"/>
            <w:vMerge w:val="continue"/>
            <w:tcBorders>
              <w:top w:val="nil"/>
            </w:tcBorders>
            <w:vAlign w:val="top"/>
          </w:tcPr>
          <w:p w14:paraId="2AE8687F">
            <w:pPr>
              <w:rPr>
                <w:rFonts w:ascii="Arial"/>
                <w:color w:val="auto"/>
                <w:sz w:val="21"/>
                <w:highlight w:val="none"/>
              </w:rPr>
            </w:pPr>
          </w:p>
        </w:tc>
        <w:tc>
          <w:tcPr>
            <w:tcW w:w="1677" w:type="dxa"/>
            <w:vAlign w:val="top"/>
          </w:tcPr>
          <w:p w14:paraId="0B664720">
            <w:pPr>
              <w:pStyle w:val="19"/>
              <w:spacing w:before="153" w:line="228" w:lineRule="auto"/>
              <w:ind w:left="160"/>
              <w:rPr>
                <w:color w:val="auto"/>
                <w:highlight w:val="none"/>
              </w:rPr>
            </w:pPr>
            <w:r>
              <w:rPr>
                <w:color w:val="auto"/>
                <w:spacing w:val="5"/>
                <w:highlight w:val="none"/>
              </w:rPr>
              <w:t>资产总额（Z）</w:t>
            </w:r>
          </w:p>
        </w:tc>
        <w:tc>
          <w:tcPr>
            <w:tcW w:w="915" w:type="dxa"/>
            <w:vAlign w:val="top"/>
          </w:tcPr>
          <w:p w14:paraId="1B08F9D9">
            <w:pPr>
              <w:pStyle w:val="19"/>
              <w:spacing w:before="154" w:line="228" w:lineRule="auto"/>
              <w:ind w:left="156"/>
              <w:rPr>
                <w:color w:val="auto"/>
                <w:highlight w:val="none"/>
              </w:rPr>
            </w:pPr>
            <w:r>
              <w:rPr>
                <w:color w:val="auto"/>
                <w:spacing w:val="2"/>
                <w:highlight w:val="none"/>
              </w:rPr>
              <w:t>万元</w:t>
            </w:r>
          </w:p>
        </w:tc>
        <w:tc>
          <w:tcPr>
            <w:tcW w:w="2051" w:type="dxa"/>
            <w:vAlign w:val="top"/>
          </w:tcPr>
          <w:p w14:paraId="05DFA711">
            <w:pPr>
              <w:pStyle w:val="19"/>
              <w:spacing w:before="153" w:line="241" w:lineRule="auto"/>
              <w:ind w:left="157"/>
              <w:rPr>
                <w:color w:val="auto"/>
                <w:highlight w:val="none"/>
              </w:rPr>
            </w:pPr>
            <w:r>
              <w:rPr>
                <w:color w:val="auto"/>
                <w:spacing w:val="4"/>
                <w:highlight w:val="none"/>
              </w:rPr>
              <w:t>5000≤Z&lt;10000</w:t>
            </w:r>
          </w:p>
        </w:tc>
        <w:tc>
          <w:tcPr>
            <w:tcW w:w="1643" w:type="dxa"/>
            <w:vAlign w:val="top"/>
          </w:tcPr>
          <w:p w14:paraId="3054FBC1">
            <w:pPr>
              <w:pStyle w:val="19"/>
              <w:spacing w:before="153" w:line="241" w:lineRule="auto"/>
              <w:ind w:left="157"/>
              <w:rPr>
                <w:color w:val="auto"/>
                <w:highlight w:val="none"/>
              </w:rPr>
            </w:pPr>
            <w:r>
              <w:rPr>
                <w:color w:val="auto"/>
                <w:spacing w:val="4"/>
                <w:highlight w:val="none"/>
              </w:rPr>
              <w:t>2000≤Z&lt;5000</w:t>
            </w:r>
          </w:p>
        </w:tc>
        <w:tc>
          <w:tcPr>
            <w:tcW w:w="1061" w:type="dxa"/>
            <w:vAlign w:val="top"/>
          </w:tcPr>
          <w:p w14:paraId="4C8C12DA">
            <w:pPr>
              <w:pStyle w:val="19"/>
              <w:spacing w:before="153" w:line="241" w:lineRule="auto"/>
              <w:ind w:left="157"/>
              <w:rPr>
                <w:color w:val="auto"/>
                <w:highlight w:val="none"/>
              </w:rPr>
            </w:pPr>
            <w:r>
              <w:rPr>
                <w:color w:val="auto"/>
                <w:spacing w:val="3"/>
                <w:highlight w:val="none"/>
              </w:rPr>
              <w:t>Z&lt;2000</w:t>
            </w:r>
          </w:p>
        </w:tc>
      </w:tr>
      <w:tr w14:paraId="22CAD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595" w:type="dxa"/>
            <w:vMerge w:val="restart"/>
            <w:tcBorders>
              <w:bottom w:val="nil"/>
            </w:tcBorders>
            <w:vAlign w:val="top"/>
          </w:tcPr>
          <w:p w14:paraId="0D937754">
            <w:pPr>
              <w:spacing w:line="304" w:lineRule="auto"/>
              <w:rPr>
                <w:rFonts w:ascii="Arial"/>
                <w:color w:val="auto"/>
                <w:sz w:val="21"/>
                <w:highlight w:val="none"/>
              </w:rPr>
            </w:pPr>
          </w:p>
          <w:p w14:paraId="02FEE724">
            <w:pPr>
              <w:pStyle w:val="19"/>
              <w:spacing w:before="65" w:line="228" w:lineRule="auto"/>
              <w:ind w:left="154"/>
              <w:rPr>
                <w:color w:val="auto"/>
                <w:highlight w:val="none"/>
              </w:rPr>
            </w:pPr>
            <w:r>
              <w:rPr>
                <w:color w:val="auto"/>
                <w:spacing w:val="7"/>
                <w:highlight w:val="none"/>
              </w:rPr>
              <w:t>物业管理</w:t>
            </w:r>
          </w:p>
        </w:tc>
        <w:tc>
          <w:tcPr>
            <w:tcW w:w="1677" w:type="dxa"/>
            <w:vAlign w:val="top"/>
          </w:tcPr>
          <w:p w14:paraId="50A9372C">
            <w:pPr>
              <w:pStyle w:val="19"/>
              <w:spacing w:before="153" w:line="228" w:lineRule="auto"/>
              <w:ind w:left="153"/>
              <w:rPr>
                <w:color w:val="auto"/>
                <w:highlight w:val="none"/>
              </w:rPr>
            </w:pPr>
            <w:r>
              <w:rPr>
                <w:color w:val="auto"/>
                <w:spacing w:val="6"/>
                <w:highlight w:val="none"/>
              </w:rPr>
              <w:t>从业人员（X）</w:t>
            </w:r>
          </w:p>
        </w:tc>
        <w:tc>
          <w:tcPr>
            <w:tcW w:w="915" w:type="dxa"/>
            <w:vAlign w:val="top"/>
          </w:tcPr>
          <w:p w14:paraId="6B3C1A95">
            <w:pPr>
              <w:pStyle w:val="19"/>
              <w:spacing w:before="152" w:line="231" w:lineRule="auto"/>
              <w:ind w:left="153"/>
              <w:rPr>
                <w:color w:val="auto"/>
                <w:highlight w:val="none"/>
              </w:rPr>
            </w:pPr>
            <w:r>
              <w:rPr>
                <w:color w:val="auto"/>
                <w:highlight w:val="none"/>
              </w:rPr>
              <w:t>人</w:t>
            </w:r>
          </w:p>
        </w:tc>
        <w:tc>
          <w:tcPr>
            <w:tcW w:w="2051" w:type="dxa"/>
            <w:vAlign w:val="top"/>
          </w:tcPr>
          <w:p w14:paraId="1D8E9660">
            <w:pPr>
              <w:pStyle w:val="19"/>
              <w:spacing w:before="153" w:line="241" w:lineRule="auto"/>
              <w:ind w:left="157"/>
              <w:rPr>
                <w:color w:val="auto"/>
                <w:highlight w:val="none"/>
              </w:rPr>
            </w:pPr>
            <w:r>
              <w:rPr>
                <w:color w:val="auto"/>
                <w:spacing w:val="4"/>
                <w:highlight w:val="none"/>
              </w:rPr>
              <w:t>300≤X&lt;1000</w:t>
            </w:r>
          </w:p>
        </w:tc>
        <w:tc>
          <w:tcPr>
            <w:tcW w:w="1643" w:type="dxa"/>
            <w:vAlign w:val="top"/>
          </w:tcPr>
          <w:p w14:paraId="2BD07BE0">
            <w:pPr>
              <w:pStyle w:val="19"/>
              <w:spacing w:before="153" w:line="241" w:lineRule="auto"/>
              <w:ind w:left="169"/>
              <w:rPr>
                <w:color w:val="auto"/>
                <w:highlight w:val="none"/>
              </w:rPr>
            </w:pPr>
            <w:r>
              <w:rPr>
                <w:color w:val="auto"/>
                <w:spacing w:val="2"/>
                <w:highlight w:val="none"/>
              </w:rPr>
              <w:t>100≤X&lt;300</w:t>
            </w:r>
          </w:p>
        </w:tc>
        <w:tc>
          <w:tcPr>
            <w:tcW w:w="1061" w:type="dxa"/>
            <w:vAlign w:val="top"/>
          </w:tcPr>
          <w:p w14:paraId="7FC0620F">
            <w:pPr>
              <w:pStyle w:val="19"/>
              <w:spacing w:before="153" w:line="241" w:lineRule="auto"/>
              <w:ind w:left="155"/>
              <w:rPr>
                <w:color w:val="auto"/>
                <w:highlight w:val="none"/>
              </w:rPr>
            </w:pPr>
            <w:r>
              <w:rPr>
                <w:color w:val="auto"/>
                <w:spacing w:val="3"/>
                <w:highlight w:val="none"/>
              </w:rPr>
              <w:t>X&lt;100</w:t>
            </w:r>
          </w:p>
        </w:tc>
      </w:tr>
      <w:tr w14:paraId="2C976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595" w:type="dxa"/>
            <w:vMerge w:val="continue"/>
            <w:tcBorders>
              <w:top w:val="nil"/>
            </w:tcBorders>
            <w:vAlign w:val="top"/>
          </w:tcPr>
          <w:p w14:paraId="5D5AF73A">
            <w:pPr>
              <w:rPr>
                <w:rFonts w:ascii="Arial"/>
                <w:color w:val="auto"/>
                <w:sz w:val="21"/>
                <w:highlight w:val="none"/>
              </w:rPr>
            </w:pPr>
          </w:p>
        </w:tc>
        <w:tc>
          <w:tcPr>
            <w:tcW w:w="1677" w:type="dxa"/>
            <w:vAlign w:val="top"/>
          </w:tcPr>
          <w:p w14:paraId="59AF5822">
            <w:pPr>
              <w:pStyle w:val="19"/>
              <w:spacing w:before="154" w:line="228" w:lineRule="auto"/>
              <w:ind w:left="157"/>
              <w:rPr>
                <w:color w:val="auto"/>
                <w:highlight w:val="none"/>
              </w:rPr>
            </w:pPr>
            <w:r>
              <w:rPr>
                <w:color w:val="auto"/>
                <w:spacing w:val="5"/>
                <w:highlight w:val="none"/>
              </w:rPr>
              <w:t>营业收入（Y）</w:t>
            </w:r>
          </w:p>
        </w:tc>
        <w:tc>
          <w:tcPr>
            <w:tcW w:w="915" w:type="dxa"/>
            <w:vAlign w:val="top"/>
          </w:tcPr>
          <w:p w14:paraId="6DCC040E">
            <w:pPr>
              <w:pStyle w:val="19"/>
              <w:spacing w:before="155" w:line="228" w:lineRule="auto"/>
              <w:ind w:left="156"/>
              <w:rPr>
                <w:color w:val="auto"/>
                <w:highlight w:val="none"/>
              </w:rPr>
            </w:pPr>
            <w:r>
              <w:rPr>
                <w:color w:val="auto"/>
                <w:spacing w:val="2"/>
                <w:highlight w:val="none"/>
              </w:rPr>
              <w:t>万元</w:t>
            </w:r>
          </w:p>
        </w:tc>
        <w:tc>
          <w:tcPr>
            <w:tcW w:w="2051" w:type="dxa"/>
            <w:vAlign w:val="top"/>
          </w:tcPr>
          <w:p w14:paraId="113452CE">
            <w:pPr>
              <w:pStyle w:val="19"/>
              <w:spacing w:before="155" w:line="239" w:lineRule="auto"/>
              <w:ind w:left="168"/>
              <w:rPr>
                <w:color w:val="auto"/>
                <w:highlight w:val="none"/>
              </w:rPr>
            </w:pPr>
            <w:r>
              <w:rPr>
                <w:color w:val="auto"/>
                <w:spacing w:val="3"/>
                <w:highlight w:val="none"/>
              </w:rPr>
              <w:t>1000≤Y&lt;5000</w:t>
            </w:r>
          </w:p>
        </w:tc>
        <w:tc>
          <w:tcPr>
            <w:tcW w:w="1643" w:type="dxa"/>
            <w:vAlign w:val="top"/>
          </w:tcPr>
          <w:p w14:paraId="4380BBA1">
            <w:pPr>
              <w:pStyle w:val="19"/>
              <w:spacing w:before="155" w:line="239" w:lineRule="auto"/>
              <w:ind w:left="158"/>
              <w:rPr>
                <w:color w:val="auto"/>
                <w:highlight w:val="none"/>
              </w:rPr>
            </w:pPr>
            <w:r>
              <w:rPr>
                <w:color w:val="auto"/>
                <w:spacing w:val="4"/>
                <w:highlight w:val="none"/>
              </w:rPr>
              <w:t>500≤Y&lt;1000</w:t>
            </w:r>
          </w:p>
        </w:tc>
        <w:tc>
          <w:tcPr>
            <w:tcW w:w="1061" w:type="dxa"/>
            <w:vAlign w:val="top"/>
          </w:tcPr>
          <w:p w14:paraId="7B77A10C">
            <w:pPr>
              <w:pStyle w:val="19"/>
              <w:spacing w:before="155" w:line="239" w:lineRule="auto"/>
              <w:ind w:left="154"/>
              <w:rPr>
                <w:color w:val="auto"/>
                <w:highlight w:val="none"/>
              </w:rPr>
            </w:pPr>
            <w:r>
              <w:rPr>
                <w:color w:val="auto"/>
                <w:spacing w:val="3"/>
                <w:highlight w:val="none"/>
              </w:rPr>
              <w:t>Y&lt;500</w:t>
            </w:r>
          </w:p>
        </w:tc>
      </w:tr>
      <w:tr w14:paraId="6D445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595" w:type="dxa"/>
            <w:vMerge w:val="restart"/>
            <w:tcBorders>
              <w:bottom w:val="nil"/>
            </w:tcBorders>
            <w:vAlign w:val="top"/>
          </w:tcPr>
          <w:p w14:paraId="674C7A74">
            <w:pPr>
              <w:spacing w:line="304" w:lineRule="auto"/>
              <w:rPr>
                <w:rFonts w:ascii="Arial"/>
                <w:color w:val="auto"/>
                <w:sz w:val="21"/>
                <w:highlight w:val="none"/>
              </w:rPr>
            </w:pPr>
          </w:p>
          <w:p w14:paraId="34853396">
            <w:pPr>
              <w:pStyle w:val="19"/>
              <w:spacing w:before="65" w:line="228" w:lineRule="auto"/>
              <w:ind w:left="155"/>
              <w:rPr>
                <w:color w:val="auto"/>
                <w:highlight w:val="none"/>
              </w:rPr>
            </w:pPr>
            <w:r>
              <w:rPr>
                <w:color w:val="auto"/>
                <w:spacing w:val="8"/>
                <w:highlight w:val="none"/>
              </w:rPr>
              <w:t>租赁和商务服务业</w:t>
            </w:r>
          </w:p>
        </w:tc>
        <w:tc>
          <w:tcPr>
            <w:tcW w:w="1677" w:type="dxa"/>
            <w:vAlign w:val="top"/>
          </w:tcPr>
          <w:p w14:paraId="639262D0">
            <w:pPr>
              <w:pStyle w:val="19"/>
              <w:spacing w:before="156" w:line="228" w:lineRule="auto"/>
              <w:ind w:left="153"/>
              <w:rPr>
                <w:color w:val="auto"/>
                <w:highlight w:val="none"/>
              </w:rPr>
            </w:pPr>
            <w:r>
              <w:rPr>
                <w:color w:val="auto"/>
                <w:spacing w:val="6"/>
                <w:highlight w:val="none"/>
              </w:rPr>
              <w:t>从业人员（X）</w:t>
            </w:r>
          </w:p>
        </w:tc>
        <w:tc>
          <w:tcPr>
            <w:tcW w:w="915" w:type="dxa"/>
            <w:vAlign w:val="top"/>
          </w:tcPr>
          <w:p w14:paraId="25EBDB4C">
            <w:pPr>
              <w:pStyle w:val="19"/>
              <w:spacing w:before="155" w:line="231" w:lineRule="auto"/>
              <w:ind w:left="153"/>
              <w:rPr>
                <w:color w:val="auto"/>
                <w:highlight w:val="none"/>
              </w:rPr>
            </w:pPr>
            <w:r>
              <w:rPr>
                <w:color w:val="auto"/>
                <w:highlight w:val="none"/>
              </w:rPr>
              <w:t>人</w:t>
            </w:r>
          </w:p>
        </w:tc>
        <w:tc>
          <w:tcPr>
            <w:tcW w:w="2051" w:type="dxa"/>
            <w:vAlign w:val="top"/>
          </w:tcPr>
          <w:p w14:paraId="6FF4EAC8">
            <w:pPr>
              <w:pStyle w:val="19"/>
              <w:spacing w:before="156" w:line="239" w:lineRule="auto"/>
              <w:ind w:left="168"/>
              <w:rPr>
                <w:color w:val="auto"/>
                <w:highlight w:val="none"/>
              </w:rPr>
            </w:pPr>
            <w:r>
              <w:rPr>
                <w:color w:val="auto"/>
                <w:spacing w:val="2"/>
                <w:highlight w:val="none"/>
              </w:rPr>
              <w:t>100≤X&lt;300</w:t>
            </w:r>
          </w:p>
        </w:tc>
        <w:tc>
          <w:tcPr>
            <w:tcW w:w="1643" w:type="dxa"/>
            <w:vAlign w:val="top"/>
          </w:tcPr>
          <w:p w14:paraId="34564956">
            <w:pPr>
              <w:pStyle w:val="19"/>
              <w:spacing w:before="156" w:line="239" w:lineRule="auto"/>
              <w:ind w:left="169"/>
              <w:rPr>
                <w:color w:val="auto"/>
                <w:highlight w:val="none"/>
              </w:rPr>
            </w:pPr>
            <w:r>
              <w:rPr>
                <w:color w:val="auto"/>
                <w:spacing w:val="2"/>
                <w:highlight w:val="none"/>
              </w:rPr>
              <w:t>10≤X&lt;100</w:t>
            </w:r>
          </w:p>
        </w:tc>
        <w:tc>
          <w:tcPr>
            <w:tcW w:w="1061" w:type="dxa"/>
            <w:vAlign w:val="top"/>
          </w:tcPr>
          <w:p w14:paraId="0D95A034">
            <w:pPr>
              <w:pStyle w:val="19"/>
              <w:spacing w:before="156" w:line="239" w:lineRule="auto"/>
              <w:ind w:left="155"/>
              <w:rPr>
                <w:color w:val="auto"/>
                <w:highlight w:val="none"/>
              </w:rPr>
            </w:pPr>
            <w:r>
              <w:rPr>
                <w:color w:val="auto"/>
                <w:spacing w:val="3"/>
                <w:highlight w:val="none"/>
              </w:rPr>
              <w:t>X&lt;10</w:t>
            </w:r>
          </w:p>
        </w:tc>
      </w:tr>
      <w:tr w14:paraId="7EB2D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595" w:type="dxa"/>
            <w:vMerge w:val="continue"/>
            <w:tcBorders>
              <w:top w:val="nil"/>
            </w:tcBorders>
            <w:vAlign w:val="top"/>
          </w:tcPr>
          <w:p w14:paraId="7860D32C">
            <w:pPr>
              <w:rPr>
                <w:rFonts w:ascii="Arial"/>
                <w:color w:val="auto"/>
                <w:sz w:val="21"/>
                <w:highlight w:val="none"/>
              </w:rPr>
            </w:pPr>
          </w:p>
        </w:tc>
        <w:tc>
          <w:tcPr>
            <w:tcW w:w="1677" w:type="dxa"/>
            <w:vAlign w:val="top"/>
          </w:tcPr>
          <w:p w14:paraId="278D1C9A">
            <w:pPr>
              <w:pStyle w:val="19"/>
              <w:spacing w:before="154" w:line="228" w:lineRule="auto"/>
              <w:ind w:left="160"/>
              <w:rPr>
                <w:color w:val="auto"/>
                <w:highlight w:val="none"/>
              </w:rPr>
            </w:pPr>
            <w:r>
              <w:rPr>
                <w:color w:val="auto"/>
                <w:spacing w:val="5"/>
                <w:highlight w:val="none"/>
              </w:rPr>
              <w:t>资产总额（Z）</w:t>
            </w:r>
          </w:p>
        </w:tc>
        <w:tc>
          <w:tcPr>
            <w:tcW w:w="915" w:type="dxa"/>
            <w:vAlign w:val="top"/>
          </w:tcPr>
          <w:p w14:paraId="2997C5D8">
            <w:pPr>
              <w:pStyle w:val="19"/>
              <w:spacing w:before="155" w:line="228" w:lineRule="auto"/>
              <w:ind w:left="156"/>
              <w:rPr>
                <w:color w:val="auto"/>
                <w:highlight w:val="none"/>
              </w:rPr>
            </w:pPr>
            <w:r>
              <w:rPr>
                <w:color w:val="auto"/>
                <w:spacing w:val="2"/>
                <w:highlight w:val="none"/>
              </w:rPr>
              <w:t>万元</w:t>
            </w:r>
          </w:p>
        </w:tc>
        <w:tc>
          <w:tcPr>
            <w:tcW w:w="2051" w:type="dxa"/>
            <w:vAlign w:val="top"/>
          </w:tcPr>
          <w:p w14:paraId="6A6BE970">
            <w:pPr>
              <w:pStyle w:val="19"/>
              <w:spacing w:before="155"/>
              <w:ind w:left="154"/>
              <w:rPr>
                <w:color w:val="auto"/>
                <w:highlight w:val="none"/>
              </w:rPr>
            </w:pPr>
            <w:r>
              <w:rPr>
                <w:color w:val="auto"/>
                <w:spacing w:val="4"/>
                <w:highlight w:val="none"/>
              </w:rPr>
              <w:t>8000≤Z&lt;120000</w:t>
            </w:r>
          </w:p>
        </w:tc>
        <w:tc>
          <w:tcPr>
            <w:tcW w:w="1643" w:type="dxa"/>
            <w:vAlign w:val="top"/>
          </w:tcPr>
          <w:p w14:paraId="70E7F526">
            <w:pPr>
              <w:pStyle w:val="19"/>
              <w:spacing w:before="155"/>
              <w:ind w:left="169"/>
              <w:rPr>
                <w:color w:val="auto"/>
                <w:highlight w:val="none"/>
              </w:rPr>
            </w:pPr>
            <w:r>
              <w:rPr>
                <w:color w:val="auto"/>
                <w:spacing w:val="3"/>
                <w:highlight w:val="none"/>
              </w:rPr>
              <w:t>100≤Z&lt;8000</w:t>
            </w:r>
          </w:p>
        </w:tc>
        <w:tc>
          <w:tcPr>
            <w:tcW w:w="1061" w:type="dxa"/>
            <w:vAlign w:val="top"/>
          </w:tcPr>
          <w:p w14:paraId="40496381">
            <w:pPr>
              <w:pStyle w:val="19"/>
              <w:spacing w:before="155"/>
              <w:ind w:left="157"/>
              <w:rPr>
                <w:color w:val="auto"/>
                <w:highlight w:val="none"/>
              </w:rPr>
            </w:pPr>
            <w:r>
              <w:rPr>
                <w:color w:val="auto"/>
                <w:spacing w:val="3"/>
                <w:highlight w:val="none"/>
              </w:rPr>
              <w:t>Z&lt;100</w:t>
            </w:r>
          </w:p>
        </w:tc>
      </w:tr>
      <w:tr w14:paraId="76623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0" w:hRule="atLeast"/>
        </w:trPr>
        <w:tc>
          <w:tcPr>
            <w:tcW w:w="2595" w:type="dxa"/>
            <w:vAlign w:val="top"/>
          </w:tcPr>
          <w:p w14:paraId="0572FA04">
            <w:pPr>
              <w:pStyle w:val="19"/>
              <w:spacing w:before="152" w:line="318" w:lineRule="auto"/>
              <w:ind w:left="153" w:right="149" w:firstLine="1"/>
              <w:jc w:val="both"/>
              <w:rPr>
                <w:color w:val="auto"/>
                <w:highlight w:val="none"/>
              </w:rPr>
            </w:pPr>
            <w:r>
              <w:rPr>
                <w:color w:val="auto"/>
                <w:spacing w:val="7"/>
                <w:highlight w:val="none"/>
              </w:rPr>
              <w:t>其他未列明行业（包括科</w:t>
            </w:r>
            <w:r>
              <w:rPr>
                <w:color w:val="auto"/>
                <w:spacing w:val="2"/>
                <w:highlight w:val="none"/>
              </w:rPr>
              <w:t xml:space="preserve"> </w:t>
            </w:r>
            <w:r>
              <w:rPr>
                <w:color w:val="auto"/>
                <w:spacing w:val="7"/>
                <w:highlight w:val="none"/>
              </w:rPr>
              <w:t>学研究和技术服务业，水</w:t>
            </w:r>
            <w:r>
              <w:rPr>
                <w:color w:val="auto"/>
                <w:spacing w:val="4"/>
                <w:highlight w:val="none"/>
              </w:rPr>
              <w:t xml:space="preserve"> </w:t>
            </w:r>
            <w:r>
              <w:rPr>
                <w:color w:val="auto"/>
                <w:spacing w:val="7"/>
                <w:highlight w:val="none"/>
              </w:rPr>
              <w:t>利、环境和公共设施管理</w:t>
            </w:r>
            <w:r>
              <w:rPr>
                <w:color w:val="auto"/>
                <w:spacing w:val="4"/>
                <w:highlight w:val="none"/>
              </w:rPr>
              <w:t xml:space="preserve"> </w:t>
            </w:r>
            <w:r>
              <w:rPr>
                <w:color w:val="auto"/>
                <w:spacing w:val="7"/>
                <w:highlight w:val="none"/>
              </w:rPr>
              <w:t>业，居民服务、修理和其</w:t>
            </w:r>
            <w:r>
              <w:rPr>
                <w:color w:val="auto"/>
                <w:spacing w:val="4"/>
                <w:highlight w:val="none"/>
              </w:rPr>
              <w:t xml:space="preserve"> </w:t>
            </w:r>
            <w:r>
              <w:rPr>
                <w:color w:val="auto"/>
                <w:spacing w:val="7"/>
                <w:highlight w:val="none"/>
              </w:rPr>
              <w:t>他服务业，社会工作，文</w:t>
            </w:r>
            <w:r>
              <w:rPr>
                <w:color w:val="auto"/>
                <w:spacing w:val="4"/>
                <w:highlight w:val="none"/>
              </w:rPr>
              <w:t xml:space="preserve"> </w:t>
            </w:r>
            <w:r>
              <w:rPr>
                <w:color w:val="auto"/>
                <w:spacing w:val="8"/>
                <w:highlight w:val="none"/>
              </w:rPr>
              <w:t>化、体育和娱乐业等）</w:t>
            </w:r>
          </w:p>
        </w:tc>
        <w:tc>
          <w:tcPr>
            <w:tcW w:w="1677" w:type="dxa"/>
            <w:vAlign w:val="top"/>
          </w:tcPr>
          <w:p w14:paraId="7E404D50">
            <w:pPr>
              <w:spacing w:line="245" w:lineRule="auto"/>
              <w:rPr>
                <w:rFonts w:ascii="Arial"/>
                <w:color w:val="auto"/>
                <w:sz w:val="21"/>
                <w:highlight w:val="none"/>
              </w:rPr>
            </w:pPr>
          </w:p>
          <w:p w14:paraId="3AFAB89F">
            <w:pPr>
              <w:spacing w:line="246" w:lineRule="auto"/>
              <w:rPr>
                <w:rFonts w:ascii="Arial"/>
                <w:color w:val="auto"/>
                <w:sz w:val="21"/>
                <w:highlight w:val="none"/>
              </w:rPr>
            </w:pPr>
          </w:p>
          <w:p w14:paraId="3CC02F6C">
            <w:pPr>
              <w:spacing w:line="246" w:lineRule="auto"/>
              <w:rPr>
                <w:rFonts w:ascii="Arial"/>
                <w:color w:val="auto"/>
                <w:sz w:val="21"/>
                <w:highlight w:val="none"/>
              </w:rPr>
            </w:pPr>
          </w:p>
          <w:p w14:paraId="101E1262">
            <w:pPr>
              <w:spacing w:line="246" w:lineRule="auto"/>
              <w:rPr>
                <w:rFonts w:ascii="Arial"/>
                <w:color w:val="auto"/>
                <w:sz w:val="21"/>
                <w:highlight w:val="none"/>
              </w:rPr>
            </w:pPr>
          </w:p>
          <w:p w14:paraId="6C3511D8">
            <w:pPr>
              <w:pStyle w:val="19"/>
              <w:spacing w:before="65" w:line="228" w:lineRule="auto"/>
              <w:ind w:left="153"/>
              <w:rPr>
                <w:color w:val="auto"/>
                <w:highlight w:val="none"/>
              </w:rPr>
            </w:pPr>
            <w:r>
              <w:rPr>
                <w:color w:val="auto"/>
                <w:spacing w:val="6"/>
                <w:highlight w:val="none"/>
              </w:rPr>
              <w:t>从业人员（X）</w:t>
            </w:r>
          </w:p>
        </w:tc>
        <w:tc>
          <w:tcPr>
            <w:tcW w:w="915" w:type="dxa"/>
            <w:vAlign w:val="top"/>
          </w:tcPr>
          <w:p w14:paraId="7A47AB58">
            <w:pPr>
              <w:spacing w:line="245" w:lineRule="auto"/>
              <w:rPr>
                <w:rFonts w:ascii="Arial"/>
                <w:color w:val="auto"/>
                <w:sz w:val="21"/>
                <w:highlight w:val="none"/>
              </w:rPr>
            </w:pPr>
          </w:p>
          <w:p w14:paraId="11972210">
            <w:pPr>
              <w:spacing w:line="245" w:lineRule="auto"/>
              <w:rPr>
                <w:rFonts w:ascii="Arial"/>
                <w:color w:val="auto"/>
                <w:sz w:val="21"/>
                <w:highlight w:val="none"/>
              </w:rPr>
            </w:pPr>
          </w:p>
          <w:p w14:paraId="5B406842">
            <w:pPr>
              <w:spacing w:line="246" w:lineRule="auto"/>
              <w:rPr>
                <w:rFonts w:ascii="Arial"/>
                <w:color w:val="auto"/>
                <w:sz w:val="21"/>
                <w:highlight w:val="none"/>
              </w:rPr>
            </w:pPr>
          </w:p>
          <w:p w14:paraId="6426F79B">
            <w:pPr>
              <w:spacing w:line="246" w:lineRule="auto"/>
              <w:rPr>
                <w:rFonts w:ascii="Arial"/>
                <w:color w:val="auto"/>
                <w:sz w:val="21"/>
                <w:highlight w:val="none"/>
              </w:rPr>
            </w:pPr>
          </w:p>
          <w:p w14:paraId="72DC7DB7">
            <w:pPr>
              <w:pStyle w:val="19"/>
              <w:spacing w:before="65" w:line="231" w:lineRule="auto"/>
              <w:ind w:left="153"/>
              <w:rPr>
                <w:color w:val="auto"/>
                <w:highlight w:val="none"/>
              </w:rPr>
            </w:pPr>
            <w:r>
              <w:rPr>
                <w:color w:val="auto"/>
                <w:highlight w:val="none"/>
              </w:rPr>
              <w:t>人</w:t>
            </w:r>
          </w:p>
        </w:tc>
        <w:tc>
          <w:tcPr>
            <w:tcW w:w="2051" w:type="dxa"/>
            <w:vAlign w:val="top"/>
          </w:tcPr>
          <w:p w14:paraId="78EAC53F">
            <w:pPr>
              <w:spacing w:line="245" w:lineRule="auto"/>
              <w:rPr>
                <w:rFonts w:ascii="Arial"/>
                <w:color w:val="auto"/>
                <w:sz w:val="21"/>
                <w:highlight w:val="none"/>
              </w:rPr>
            </w:pPr>
          </w:p>
          <w:p w14:paraId="3B930CD2">
            <w:pPr>
              <w:spacing w:line="246" w:lineRule="auto"/>
              <w:rPr>
                <w:rFonts w:ascii="Arial"/>
                <w:color w:val="auto"/>
                <w:sz w:val="21"/>
                <w:highlight w:val="none"/>
              </w:rPr>
            </w:pPr>
          </w:p>
          <w:p w14:paraId="73084970">
            <w:pPr>
              <w:spacing w:line="246" w:lineRule="auto"/>
              <w:rPr>
                <w:rFonts w:ascii="Arial"/>
                <w:color w:val="auto"/>
                <w:sz w:val="21"/>
                <w:highlight w:val="none"/>
              </w:rPr>
            </w:pPr>
          </w:p>
          <w:p w14:paraId="13B7ACD9">
            <w:pPr>
              <w:spacing w:line="246" w:lineRule="auto"/>
              <w:rPr>
                <w:rFonts w:ascii="Arial"/>
                <w:color w:val="auto"/>
                <w:sz w:val="21"/>
                <w:highlight w:val="none"/>
              </w:rPr>
            </w:pPr>
          </w:p>
          <w:p w14:paraId="757D643D">
            <w:pPr>
              <w:pStyle w:val="19"/>
              <w:spacing w:before="65" w:line="264" w:lineRule="exact"/>
              <w:ind w:left="168"/>
              <w:rPr>
                <w:color w:val="auto"/>
                <w:highlight w:val="none"/>
              </w:rPr>
            </w:pPr>
            <w:r>
              <w:rPr>
                <w:color w:val="auto"/>
                <w:spacing w:val="2"/>
                <w:position w:val="1"/>
                <w:highlight w:val="none"/>
              </w:rPr>
              <w:t>100≤X&lt;300</w:t>
            </w:r>
          </w:p>
        </w:tc>
        <w:tc>
          <w:tcPr>
            <w:tcW w:w="1643" w:type="dxa"/>
            <w:vAlign w:val="top"/>
          </w:tcPr>
          <w:p w14:paraId="4598152C">
            <w:pPr>
              <w:spacing w:line="245" w:lineRule="auto"/>
              <w:rPr>
                <w:rFonts w:ascii="Arial"/>
                <w:color w:val="auto"/>
                <w:sz w:val="21"/>
                <w:highlight w:val="none"/>
              </w:rPr>
            </w:pPr>
          </w:p>
          <w:p w14:paraId="5D7B1145">
            <w:pPr>
              <w:spacing w:line="246" w:lineRule="auto"/>
              <w:rPr>
                <w:rFonts w:ascii="Arial"/>
                <w:color w:val="auto"/>
                <w:sz w:val="21"/>
                <w:highlight w:val="none"/>
              </w:rPr>
            </w:pPr>
          </w:p>
          <w:p w14:paraId="1BE2DB3A">
            <w:pPr>
              <w:spacing w:line="246" w:lineRule="auto"/>
              <w:rPr>
                <w:rFonts w:ascii="Arial"/>
                <w:color w:val="auto"/>
                <w:sz w:val="21"/>
                <w:highlight w:val="none"/>
              </w:rPr>
            </w:pPr>
          </w:p>
          <w:p w14:paraId="0F851DAD">
            <w:pPr>
              <w:spacing w:line="246" w:lineRule="auto"/>
              <w:rPr>
                <w:rFonts w:ascii="Arial"/>
                <w:color w:val="auto"/>
                <w:sz w:val="21"/>
                <w:highlight w:val="none"/>
              </w:rPr>
            </w:pPr>
          </w:p>
          <w:p w14:paraId="3BCB9323">
            <w:pPr>
              <w:pStyle w:val="19"/>
              <w:spacing w:before="65" w:line="264" w:lineRule="exact"/>
              <w:ind w:left="169"/>
              <w:rPr>
                <w:color w:val="auto"/>
                <w:highlight w:val="none"/>
              </w:rPr>
            </w:pPr>
            <w:r>
              <w:rPr>
                <w:color w:val="auto"/>
                <w:spacing w:val="2"/>
                <w:position w:val="1"/>
                <w:highlight w:val="none"/>
              </w:rPr>
              <w:t>10≤X&lt;100</w:t>
            </w:r>
          </w:p>
        </w:tc>
        <w:tc>
          <w:tcPr>
            <w:tcW w:w="1061" w:type="dxa"/>
            <w:vAlign w:val="top"/>
          </w:tcPr>
          <w:p w14:paraId="122F49AC">
            <w:pPr>
              <w:spacing w:line="245" w:lineRule="auto"/>
              <w:rPr>
                <w:rFonts w:ascii="Arial"/>
                <w:color w:val="auto"/>
                <w:sz w:val="21"/>
                <w:highlight w:val="none"/>
              </w:rPr>
            </w:pPr>
          </w:p>
          <w:p w14:paraId="2912A3C1">
            <w:pPr>
              <w:spacing w:line="246" w:lineRule="auto"/>
              <w:rPr>
                <w:rFonts w:ascii="Arial"/>
                <w:color w:val="auto"/>
                <w:sz w:val="21"/>
                <w:highlight w:val="none"/>
              </w:rPr>
            </w:pPr>
          </w:p>
          <w:p w14:paraId="5BAFDC55">
            <w:pPr>
              <w:spacing w:line="246" w:lineRule="auto"/>
              <w:rPr>
                <w:rFonts w:ascii="Arial"/>
                <w:color w:val="auto"/>
                <w:sz w:val="21"/>
                <w:highlight w:val="none"/>
              </w:rPr>
            </w:pPr>
          </w:p>
          <w:p w14:paraId="51AE8C95">
            <w:pPr>
              <w:spacing w:line="246" w:lineRule="auto"/>
              <w:rPr>
                <w:rFonts w:ascii="Arial"/>
                <w:color w:val="auto"/>
                <w:sz w:val="21"/>
                <w:highlight w:val="none"/>
              </w:rPr>
            </w:pPr>
          </w:p>
          <w:p w14:paraId="06C1130D">
            <w:pPr>
              <w:pStyle w:val="19"/>
              <w:spacing w:before="65" w:line="268" w:lineRule="exact"/>
              <w:ind w:left="155"/>
              <w:rPr>
                <w:color w:val="auto"/>
                <w:highlight w:val="none"/>
              </w:rPr>
            </w:pPr>
            <w:r>
              <w:rPr>
                <w:color w:val="auto"/>
                <w:spacing w:val="3"/>
                <w:position w:val="1"/>
                <w:highlight w:val="none"/>
              </w:rPr>
              <w:t>X&lt;10</w:t>
            </w:r>
          </w:p>
        </w:tc>
      </w:tr>
    </w:tbl>
    <w:p w14:paraId="73595F29">
      <w:pPr>
        <w:spacing w:before="140" w:line="322" w:lineRule="auto"/>
        <w:ind w:left="164" w:right="157" w:firstLine="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37.3</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在货物采购项目中，货物由中小企业制造，即</w:t>
      </w:r>
      <w:r>
        <w:rPr>
          <w:rFonts w:ascii="宋体" w:hAnsi="宋体" w:eastAsia="宋体" w:cs="宋体"/>
          <w:color w:val="auto"/>
          <w:spacing w:val="7"/>
          <w:sz w:val="20"/>
          <w:szCs w:val="20"/>
          <w:highlight w:val="none"/>
        </w:rPr>
        <w:t>货物由中小企业生产且使用该中小企业商号或者注</w:t>
      </w:r>
      <w:r>
        <w:rPr>
          <w:rFonts w:ascii="宋体" w:hAnsi="宋体" w:eastAsia="宋体" w:cs="宋体"/>
          <w:color w:val="auto"/>
          <w:spacing w:val="9"/>
          <w:sz w:val="20"/>
          <w:szCs w:val="20"/>
          <w:highlight w:val="none"/>
        </w:rPr>
        <w:t>册商标的，可享受中小企业扶持政策。货物既有中小企业制造货物，也有大型企业制造货物的，不享受中</w:t>
      </w:r>
      <w:r>
        <w:rPr>
          <w:rFonts w:ascii="宋体" w:hAnsi="宋体" w:eastAsia="宋体" w:cs="宋体"/>
          <w:color w:val="auto"/>
          <w:spacing w:val="7"/>
          <w:sz w:val="20"/>
          <w:szCs w:val="20"/>
          <w:highlight w:val="none"/>
        </w:rPr>
        <w:t>小企业扶持政策。</w:t>
      </w:r>
    </w:p>
    <w:p w14:paraId="44BFBB49">
      <w:pPr>
        <w:spacing w:before="156" w:line="333" w:lineRule="auto"/>
        <w:ind w:left="164" w:right="157" w:firstLine="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37.4</w:t>
      </w:r>
      <w:r>
        <w:rPr>
          <w:rFonts w:ascii="宋体" w:hAnsi="宋体" w:eastAsia="宋体" w:cs="宋体"/>
          <w:color w:val="auto"/>
          <w:spacing w:val="-20"/>
          <w:sz w:val="20"/>
          <w:szCs w:val="20"/>
          <w:highlight w:val="none"/>
        </w:rPr>
        <w:t xml:space="preserve"> </w:t>
      </w:r>
      <w:r>
        <w:rPr>
          <w:rFonts w:ascii="宋体" w:hAnsi="宋体" w:eastAsia="宋体" w:cs="宋体"/>
          <w:color w:val="auto"/>
          <w:spacing w:val="7"/>
          <w:sz w:val="20"/>
          <w:szCs w:val="20"/>
          <w:highlight w:val="none"/>
        </w:rPr>
        <w:t>项目属于专门面向中小企业采购的，不再执行价格评审优惠的扶持政策；项目不属于专门面向中</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小企业采购的，对符合《政府采购促进中小企业发展管理办法》、桂财采〔2024〕55号广西壮族自治区</w:t>
      </w:r>
      <w:r>
        <w:rPr>
          <w:rFonts w:ascii="宋体" w:hAnsi="宋体" w:eastAsia="宋体" w:cs="宋体"/>
          <w:color w:val="auto"/>
          <w:spacing w:val="10"/>
          <w:sz w:val="20"/>
          <w:szCs w:val="20"/>
          <w:highlight w:val="none"/>
        </w:rPr>
        <w:t>财政厅关于持续优化政府采购营商环境推动高质量发展的通知的小微企业报价给</w:t>
      </w:r>
      <w:r>
        <w:rPr>
          <w:rFonts w:ascii="宋体" w:hAnsi="宋体" w:eastAsia="宋体" w:cs="宋体"/>
          <w:color w:val="auto"/>
          <w:spacing w:val="9"/>
          <w:sz w:val="20"/>
          <w:szCs w:val="20"/>
          <w:highlight w:val="none"/>
        </w:rPr>
        <w:t>予20%的扣除，用扣除后的价格参加评审。详见“第四章  评审办法及评分标准”。</w:t>
      </w:r>
    </w:p>
    <w:p w14:paraId="215214DA">
      <w:pPr>
        <w:spacing w:before="155" w:line="298" w:lineRule="auto"/>
        <w:ind w:left="170" w:right="134" w:firstLine="41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37.5</w:t>
      </w:r>
      <w:r>
        <w:rPr>
          <w:rFonts w:ascii="宋体" w:hAnsi="宋体" w:eastAsia="宋体" w:cs="宋体"/>
          <w:color w:val="auto"/>
          <w:spacing w:val="-20"/>
          <w:sz w:val="20"/>
          <w:szCs w:val="20"/>
          <w:highlight w:val="none"/>
        </w:rPr>
        <w:t xml:space="preserve"> </w:t>
      </w:r>
      <w:r>
        <w:rPr>
          <w:rFonts w:ascii="宋体" w:hAnsi="宋体" w:eastAsia="宋体" w:cs="宋体"/>
          <w:color w:val="auto"/>
          <w:spacing w:val="9"/>
          <w:sz w:val="20"/>
          <w:szCs w:val="20"/>
          <w:highlight w:val="none"/>
        </w:rPr>
        <w:t>中小企业参加政府采购活动，应当出</w:t>
      </w:r>
      <w:r>
        <w:rPr>
          <w:rFonts w:ascii="宋体" w:hAnsi="宋体" w:eastAsia="宋体" w:cs="宋体"/>
          <w:color w:val="auto"/>
          <w:spacing w:val="8"/>
          <w:sz w:val="20"/>
          <w:szCs w:val="20"/>
          <w:highlight w:val="none"/>
        </w:rPr>
        <w:t>具《中小企业声明函》（见“第五章 响应文件格式”</w:t>
      </w:r>
      <w:r>
        <w:rPr>
          <w:rFonts w:ascii="宋体" w:hAnsi="宋体" w:eastAsia="宋体" w:cs="宋体"/>
          <w:color w:val="auto"/>
          <w:spacing w:val="-31"/>
          <w:sz w:val="20"/>
          <w:szCs w:val="20"/>
          <w:highlight w:val="none"/>
        </w:rPr>
        <w:t>），</w:t>
      </w:r>
      <w:r>
        <w:rPr>
          <w:rFonts w:ascii="宋体" w:hAnsi="宋体" w:eastAsia="宋体" w:cs="宋体"/>
          <w:color w:val="auto"/>
          <w:spacing w:val="8"/>
          <w:sz w:val="20"/>
          <w:szCs w:val="20"/>
          <w:highlight w:val="none"/>
        </w:rPr>
        <w:t>否则不得享受相关中小企业扶持政策。</w:t>
      </w:r>
    </w:p>
    <w:p w14:paraId="6EB94586">
      <w:pPr>
        <w:spacing w:before="154" w:line="228" w:lineRule="auto"/>
        <w:ind w:left="58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38.其它事项</w:t>
      </w:r>
    </w:p>
    <w:p w14:paraId="4FC6E9B2">
      <w:pPr>
        <w:spacing w:before="153" w:line="297" w:lineRule="auto"/>
        <w:ind w:left="175" w:right="160" w:firstLine="41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38.1</w:t>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成交服务费按成交金额</w:t>
      </w:r>
      <w:r>
        <w:rPr>
          <w:rFonts w:hint="eastAsia" w:ascii="宋体" w:hAnsi="宋体" w:eastAsia="宋体" w:cs="宋体"/>
          <w:color w:val="auto"/>
          <w:spacing w:val="8"/>
          <w:sz w:val="20"/>
          <w:szCs w:val="20"/>
          <w:highlight w:val="none"/>
        </w:rPr>
        <w:t>参照</w:t>
      </w:r>
      <w:r>
        <w:rPr>
          <w:rFonts w:ascii="宋体" w:hAnsi="宋体" w:eastAsia="宋体" w:cs="宋体"/>
          <w:color w:val="auto"/>
          <w:spacing w:val="8"/>
          <w:sz w:val="20"/>
          <w:szCs w:val="20"/>
          <w:highlight w:val="none"/>
        </w:rPr>
        <w:t>《</w:t>
      </w:r>
      <w:r>
        <w:rPr>
          <w:rFonts w:hint="eastAsia" w:ascii="宋体" w:hAnsi="宋体" w:eastAsia="宋体" w:cs="宋体"/>
          <w:color w:val="auto"/>
          <w:spacing w:val="8"/>
          <w:sz w:val="20"/>
          <w:szCs w:val="20"/>
          <w:highlight w:val="none"/>
          <w:lang w:eastAsia="zh-CN"/>
        </w:rPr>
        <w:t>招标代理服务费收费管理暂行办法</w:t>
      </w:r>
      <w:r>
        <w:rPr>
          <w:rFonts w:hint="eastAsia" w:ascii="宋体" w:hAnsi="宋体" w:eastAsia="宋体" w:cs="宋体"/>
          <w:color w:val="auto"/>
          <w:spacing w:val="8"/>
          <w:sz w:val="20"/>
          <w:szCs w:val="20"/>
          <w:highlight w:val="none"/>
          <w:lang w:val="en-US" w:eastAsia="zh-CN"/>
        </w:rPr>
        <w:t>》</w:t>
      </w:r>
      <w:r>
        <w:rPr>
          <w:rFonts w:hint="eastAsia" w:ascii="宋体" w:hAnsi="宋体" w:eastAsia="宋体" w:cs="宋体"/>
          <w:color w:val="auto"/>
          <w:spacing w:val="8"/>
          <w:sz w:val="20"/>
          <w:szCs w:val="20"/>
          <w:highlight w:val="none"/>
          <w:lang w:eastAsia="zh-CN"/>
        </w:rPr>
        <w:t>（</w:t>
      </w:r>
      <w:r>
        <w:rPr>
          <w:rFonts w:hint="eastAsia" w:ascii="宋体" w:hAnsi="宋体" w:eastAsia="宋体" w:cs="宋体"/>
          <w:color w:val="auto"/>
          <w:spacing w:val="8"/>
          <w:sz w:val="20"/>
          <w:szCs w:val="20"/>
          <w:highlight w:val="none"/>
          <w:lang w:val="en-US" w:eastAsia="zh-CN"/>
        </w:rPr>
        <w:t>计价</w:t>
      </w:r>
      <w:r>
        <w:rPr>
          <w:rFonts w:hint="eastAsia" w:ascii="宋体" w:hAnsi="宋体" w:eastAsia="宋体" w:cs="宋体"/>
          <w:color w:val="auto"/>
          <w:spacing w:val="8"/>
          <w:sz w:val="20"/>
          <w:szCs w:val="20"/>
          <w:highlight w:val="none"/>
          <w:lang w:eastAsia="zh-CN"/>
        </w:rPr>
        <w:t>格[2002]1980号）</w:t>
      </w:r>
      <w:r>
        <w:rPr>
          <w:rFonts w:ascii="宋体" w:hAnsi="宋体" w:eastAsia="宋体" w:cs="宋体"/>
          <w:color w:val="auto"/>
          <w:spacing w:val="8"/>
          <w:sz w:val="20"/>
          <w:szCs w:val="20"/>
          <w:highlight w:val="none"/>
        </w:rPr>
        <w:t>的规定向成交供应商收取。</w:t>
      </w:r>
    </w:p>
    <w:p w14:paraId="58A47C48">
      <w:pPr>
        <w:spacing w:before="65" w:line="355" w:lineRule="auto"/>
        <w:ind w:left="0" w:leftChars="0" w:right="5043" w:firstLine="424" w:firstLineChars="200"/>
        <w:rPr>
          <w:rFonts w:ascii="宋体" w:hAnsi="宋体" w:eastAsia="宋体" w:cs="宋体"/>
          <w:color w:val="auto"/>
          <w:spacing w:val="6"/>
          <w:sz w:val="20"/>
          <w:szCs w:val="20"/>
          <w:highlight w:val="none"/>
        </w:rPr>
      </w:pPr>
      <w:r>
        <w:rPr>
          <w:rFonts w:ascii="宋体" w:hAnsi="宋体" w:eastAsia="宋体" w:cs="宋体"/>
          <w:color w:val="auto"/>
          <w:spacing w:val="6"/>
          <w:sz w:val="20"/>
          <w:szCs w:val="20"/>
          <w:highlight w:val="none"/>
        </w:rPr>
        <w:t>38.</w:t>
      </w:r>
      <w:r>
        <w:rPr>
          <w:rFonts w:hint="eastAsia" w:ascii="宋体" w:hAnsi="宋体" w:eastAsia="宋体" w:cs="宋体"/>
          <w:color w:val="auto"/>
          <w:spacing w:val="6"/>
          <w:sz w:val="20"/>
          <w:szCs w:val="20"/>
          <w:highlight w:val="none"/>
          <w:lang w:val="en-US" w:eastAsia="zh-CN"/>
        </w:rPr>
        <w:t>2</w:t>
      </w:r>
      <w:r>
        <w:rPr>
          <w:rFonts w:ascii="宋体" w:hAnsi="宋体" w:eastAsia="宋体" w:cs="宋体"/>
          <w:color w:val="auto"/>
          <w:spacing w:val="-20"/>
          <w:sz w:val="20"/>
          <w:szCs w:val="20"/>
          <w:highlight w:val="none"/>
        </w:rPr>
        <w:t xml:space="preserve"> </w:t>
      </w:r>
      <w:r>
        <w:rPr>
          <w:rFonts w:ascii="宋体" w:hAnsi="宋体" w:eastAsia="宋体" w:cs="宋体"/>
          <w:color w:val="auto"/>
          <w:spacing w:val="6"/>
          <w:sz w:val="20"/>
          <w:szCs w:val="20"/>
          <w:highlight w:val="none"/>
        </w:rPr>
        <w:t>中标（成交）服务费缴纳账户：</w:t>
      </w:r>
    </w:p>
    <w:p w14:paraId="048C2C6F">
      <w:pPr>
        <w:spacing w:before="65" w:line="355" w:lineRule="auto"/>
        <w:ind w:left="0" w:right="5043" w:firstLine="436" w:firstLineChars="200"/>
        <w:rPr>
          <w:rFonts w:hint="eastAsia" w:ascii="宋体" w:hAnsi="宋体" w:eastAsia="宋体" w:cs="宋体"/>
          <w:color w:val="auto"/>
          <w:spacing w:val="9"/>
          <w:sz w:val="20"/>
          <w:szCs w:val="20"/>
          <w:highlight w:val="none"/>
          <w:lang w:eastAsia="zh-CN"/>
        </w:rPr>
      </w:pPr>
      <w:r>
        <w:rPr>
          <w:rFonts w:ascii="宋体" w:hAnsi="宋体" w:eastAsia="宋体" w:cs="宋体"/>
          <w:color w:val="auto"/>
          <w:spacing w:val="9"/>
          <w:sz w:val="20"/>
          <w:szCs w:val="20"/>
          <w:highlight w:val="none"/>
        </w:rPr>
        <w:t>开户名称：</w:t>
      </w:r>
      <w:r>
        <w:rPr>
          <w:rFonts w:hint="eastAsia" w:ascii="宋体" w:hAnsi="宋体" w:eastAsia="宋体" w:cs="宋体"/>
          <w:color w:val="auto"/>
          <w:spacing w:val="9"/>
          <w:sz w:val="20"/>
          <w:szCs w:val="20"/>
          <w:highlight w:val="none"/>
          <w:lang w:eastAsia="zh-CN"/>
        </w:rPr>
        <w:t>广西国栋招标有限公司</w:t>
      </w:r>
    </w:p>
    <w:p w14:paraId="6FCD41E0">
      <w:pPr>
        <w:spacing w:before="65" w:line="355" w:lineRule="auto"/>
        <w:ind w:left="0" w:right="5043" w:firstLine="436" w:firstLineChars="200"/>
        <w:rPr>
          <w:rFonts w:hint="eastAsia" w:ascii="宋体" w:hAnsi="宋体" w:eastAsia="宋体" w:cs="宋体"/>
          <w:color w:val="auto"/>
          <w:spacing w:val="9"/>
          <w:sz w:val="20"/>
          <w:szCs w:val="20"/>
          <w:highlight w:val="none"/>
          <w:lang w:eastAsia="zh-CN"/>
        </w:rPr>
      </w:pPr>
      <w:r>
        <w:rPr>
          <w:rFonts w:ascii="宋体" w:hAnsi="宋体" w:eastAsia="宋体" w:cs="宋体"/>
          <w:color w:val="auto"/>
          <w:spacing w:val="9"/>
          <w:sz w:val="20"/>
          <w:szCs w:val="20"/>
          <w:highlight w:val="none"/>
        </w:rPr>
        <w:t>开户银行：</w:t>
      </w:r>
      <w:r>
        <w:rPr>
          <w:rFonts w:hint="eastAsia" w:ascii="宋体" w:hAnsi="宋体" w:eastAsia="宋体" w:cs="宋体"/>
          <w:color w:val="auto"/>
          <w:spacing w:val="9"/>
          <w:sz w:val="20"/>
          <w:szCs w:val="20"/>
          <w:highlight w:val="none"/>
          <w:lang w:eastAsia="zh-CN"/>
        </w:rPr>
        <w:t>平安银行南宁分行营业部</w:t>
      </w:r>
    </w:p>
    <w:p w14:paraId="6919913E">
      <w:pPr>
        <w:spacing w:before="65" w:line="355" w:lineRule="auto"/>
        <w:ind w:left="0" w:right="5043" w:firstLine="416" w:firstLineChars="200"/>
        <w:rPr>
          <w:rFonts w:hint="eastAsia" w:ascii="宋体" w:hAnsi="宋体" w:eastAsia="宋体" w:cs="宋体"/>
          <w:color w:val="auto"/>
          <w:sz w:val="20"/>
          <w:szCs w:val="20"/>
          <w:highlight w:val="none"/>
          <w:lang w:eastAsia="zh-CN"/>
        </w:rPr>
      </w:pPr>
      <w:r>
        <w:rPr>
          <w:rFonts w:ascii="宋体" w:hAnsi="宋体" w:eastAsia="宋体" w:cs="宋体"/>
          <w:color w:val="auto"/>
          <w:spacing w:val="4"/>
          <w:sz w:val="20"/>
          <w:szCs w:val="20"/>
          <w:highlight w:val="none"/>
        </w:rPr>
        <w:t>银行账号：</w:t>
      </w:r>
      <w:r>
        <w:rPr>
          <w:rFonts w:hint="eastAsia" w:ascii="宋体" w:hAnsi="宋体" w:eastAsia="宋体" w:cs="宋体"/>
          <w:color w:val="auto"/>
          <w:spacing w:val="4"/>
          <w:sz w:val="20"/>
          <w:szCs w:val="20"/>
          <w:highlight w:val="none"/>
          <w:lang w:eastAsia="zh-CN"/>
        </w:rPr>
        <w:t>15333566666608</w:t>
      </w:r>
    </w:p>
    <w:p w14:paraId="711C0191">
      <w:pPr>
        <w:spacing w:line="228" w:lineRule="auto"/>
        <w:rPr>
          <w:rFonts w:ascii="宋体" w:hAnsi="宋体" w:eastAsia="宋体" w:cs="宋体"/>
          <w:color w:val="auto"/>
          <w:sz w:val="20"/>
          <w:szCs w:val="20"/>
          <w:highlight w:val="none"/>
        </w:rPr>
        <w:sectPr>
          <w:footerReference r:id="rId19" w:type="default"/>
          <w:pgSz w:w="11906" w:h="16839"/>
          <w:pgMar w:top="1160" w:right="1147" w:bottom="1362" w:left="1309" w:header="0" w:footer="1200" w:gutter="0"/>
          <w:pgNumType w:fmt="decimal"/>
          <w:cols w:space="720" w:num="1"/>
        </w:sectPr>
      </w:pPr>
    </w:p>
    <w:p w14:paraId="33413EF8">
      <w:pPr>
        <w:spacing w:before="63" w:line="224" w:lineRule="auto"/>
        <w:ind w:left="439"/>
        <w:rPr>
          <w:rFonts w:ascii="宋体" w:hAnsi="宋体" w:eastAsia="宋体" w:cs="宋体"/>
          <w:color w:val="auto"/>
          <w:sz w:val="31"/>
          <w:szCs w:val="31"/>
          <w:highlight w:val="none"/>
        </w:rPr>
      </w:pPr>
      <w:r>
        <w:rPr>
          <w:rFonts w:ascii="宋体" w:hAnsi="宋体" w:eastAsia="宋体" w:cs="宋体"/>
          <w:color w:val="auto"/>
          <w:spacing w:val="-13"/>
          <w:sz w:val="31"/>
          <w:szCs w:val="31"/>
          <w:highlight w:val="none"/>
        </w:rPr>
        <w:t>附件</w:t>
      </w:r>
      <w:r>
        <w:rPr>
          <w:rFonts w:ascii="宋体" w:hAnsi="宋体" w:eastAsia="宋体" w:cs="宋体"/>
          <w:color w:val="auto"/>
          <w:spacing w:val="-36"/>
          <w:sz w:val="31"/>
          <w:szCs w:val="31"/>
          <w:highlight w:val="none"/>
        </w:rPr>
        <w:t xml:space="preserve"> </w:t>
      </w:r>
      <w:r>
        <w:rPr>
          <w:rFonts w:ascii="Times New Roman" w:hAnsi="Times New Roman" w:eastAsia="Times New Roman" w:cs="Times New Roman"/>
          <w:color w:val="auto"/>
          <w:spacing w:val="-13"/>
          <w:sz w:val="31"/>
          <w:szCs w:val="31"/>
          <w:highlight w:val="none"/>
        </w:rPr>
        <w:t>1</w:t>
      </w:r>
      <w:r>
        <w:rPr>
          <w:rFonts w:ascii="宋体" w:hAnsi="宋体" w:eastAsia="宋体" w:cs="宋体"/>
          <w:color w:val="auto"/>
          <w:spacing w:val="-13"/>
          <w:sz w:val="31"/>
          <w:szCs w:val="31"/>
          <w:highlight w:val="none"/>
        </w:rPr>
        <w:t>：</w:t>
      </w:r>
    </w:p>
    <w:p w14:paraId="365AF2A1">
      <w:pPr>
        <w:spacing w:before="130" w:line="224" w:lineRule="auto"/>
        <w:ind w:left="1280"/>
        <w:outlineLvl w:val="9"/>
        <w:rPr>
          <w:rFonts w:ascii="宋体" w:hAnsi="宋体" w:eastAsia="宋体" w:cs="宋体"/>
          <w:color w:val="auto"/>
          <w:sz w:val="31"/>
          <w:szCs w:val="31"/>
          <w:highlight w:val="none"/>
        </w:rPr>
      </w:pPr>
      <w:bookmarkStart w:id="35" w:name="_Toc21997"/>
      <w:r>
        <w:rPr>
          <w:rFonts w:ascii="宋体" w:hAnsi="宋体" w:eastAsia="宋体" w:cs="宋体"/>
          <w:b/>
          <w:bCs/>
          <w:color w:val="auto"/>
          <w:spacing w:val="6"/>
          <w:sz w:val="31"/>
          <w:szCs w:val="31"/>
          <w:highlight w:val="none"/>
        </w:rPr>
        <w:t>广西壮族自治区政府采购项目合同验收书（格式）</w:t>
      </w:r>
      <w:bookmarkEnd w:id="35"/>
    </w:p>
    <w:p w14:paraId="25B3DF4D">
      <w:pPr>
        <w:pStyle w:val="4"/>
        <w:spacing w:line="242" w:lineRule="auto"/>
        <w:rPr>
          <w:color w:val="auto"/>
          <w:highlight w:val="none"/>
        </w:rPr>
      </w:pPr>
    </w:p>
    <w:p w14:paraId="66216C41">
      <w:pPr>
        <w:pStyle w:val="4"/>
        <w:spacing w:line="243" w:lineRule="auto"/>
        <w:rPr>
          <w:color w:val="auto"/>
          <w:highlight w:val="none"/>
        </w:rPr>
      </w:pPr>
    </w:p>
    <w:p w14:paraId="0E87C311">
      <w:pPr>
        <w:pStyle w:val="4"/>
        <w:spacing w:line="243" w:lineRule="auto"/>
        <w:rPr>
          <w:color w:val="auto"/>
          <w:highlight w:val="none"/>
        </w:rPr>
      </w:pPr>
    </w:p>
    <w:p w14:paraId="6A6207F8">
      <w:pPr>
        <w:spacing w:before="65" w:line="227" w:lineRule="auto"/>
        <w:jc w:val="right"/>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根据政府采购项目（</w:t>
      </w:r>
      <w:r>
        <w:rPr>
          <w:rFonts w:ascii="宋体" w:hAnsi="宋体" w:eastAsia="宋体" w:cs="宋体"/>
          <w:color w:val="auto"/>
          <w:spacing w:val="7"/>
          <w:sz w:val="20"/>
          <w:szCs w:val="20"/>
          <w:highlight w:val="none"/>
          <w:u w:val="single" w:color="auto"/>
        </w:rPr>
        <w:t>采购合同编号</w:t>
      </w:r>
      <w:r>
        <w:rPr>
          <w:rFonts w:ascii="宋体" w:hAnsi="宋体" w:eastAsia="宋体" w:cs="宋体"/>
          <w:color w:val="auto"/>
          <w:spacing w:val="-4"/>
          <w:sz w:val="20"/>
          <w:szCs w:val="20"/>
          <w:highlight w:val="none"/>
          <w:u w:val="single" w:color="auto"/>
        </w:rPr>
        <w:t>：</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69"/>
          <w:sz w:val="20"/>
          <w:szCs w:val="20"/>
          <w:highlight w:val="none"/>
        </w:rPr>
        <w:t xml:space="preserve"> </w:t>
      </w:r>
      <w:r>
        <w:rPr>
          <w:rFonts w:ascii="宋体" w:hAnsi="宋体" w:eastAsia="宋体" w:cs="宋体"/>
          <w:color w:val="auto"/>
          <w:spacing w:val="-4"/>
          <w:sz w:val="20"/>
          <w:szCs w:val="20"/>
          <w:highlight w:val="none"/>
        </w:rPr>
        <w:t>）</w:t>
      </w:r>
      <w:r>
        <w:rPr>
          <w:rFonts w:ascii="宋体" w:hAnsi="宋体" w:eastAsia="宋体" w:cs="宋体"/>
          <w:color w:val="auto"/>
          <w:spacing w:val="7"/>
          <w:sz w:val="20"/>
          <w:szCs w:val="20"/>
          <w:highlight w:val="none"/>
        </w:rPr>
        <w:t>的约定，我单位对（</w:t>
      </w:r>
      <w:r>
        <w:rPr>
          <w:rFonts w:ascii="宋体" w:hAnsi="宋体" w:eastAsia="宋体" w:cs="宋体"/>
          <w:color w:val="auto"/>
          <w:spacing w:val="7"/>
          <w:sz w:val="20"/>
          <w:szCs w:val="20"/>
          <w:highlight w:val="none"/>
          <w:u w:val="single" w:color="auto"/>
        </w:rPr>
        <w:t xml:space="preserve"> 项目名称</w:t>
      </w:r>
      <w:r>
        <w:rPr>
          <w:rFonts w:ascii="宋体" w:hAnsi="宋体" w:eastAsia="宋体" w:cs="宋体"/>
          <w:color w:val="auto"/>
          <w:spacing w:val="38"/>
          <w:sz w:val="20"/>
          <w:szCs w:val="20"/>
          <w:highlight w:val="none"/>
          <w:u w:val="single" w:color="auto"/>
        </w:rPr>
        <w:t xml:space="preserve"> </w:t>
      </w:r>
      <w:r>
        <w:rPr>
          <w:rFonts w:ascii="宋体" w:hAnsi="宋体" w:eastAsia="宋体" w:cs="宋体"/>
          <w:color w:val="auto"/>
          <w:spacing w:val="7"/>
          <w:sz w:val="20"/>
          <w:szCs w:val="20"/>
          <w:highlight w:val="none"/>
        </w:rPr>
        <w:t>） 政</w:t>
      </w:r>
      <w:r>
        <w:rPr>
          <w:rFonts w:ascii="宋体" w:hAnsi="宋体" w:eastAsia="宋体" w:cs="宋体"/>
          <w:color w:val="auto"/>
          <w:spacing w:val="6"/>
          <w:sz w:val="20"/>
          <w:szCs w:val="20"/>
          <w:highlight w:val="none"/>
        </w:rPr>
        <w:t>府采购项目成交供应商</w:t>
      </w:r>
    </w:p>
    <w:p w14:paraId="37677C1B">
      <w:pPr>
        <w:spacing w:before="72" w:line="223"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w:t>
      </w:r>
      <w:r>
        <w:rPr>
          <w:rFonts w:ascii="宋体" w:hAnsi="宋体" w:eastAsia="宋体" w:cs="宋体"/>
          <w:color w:val="auto"/>
          <w:spacing w:val="8"/>
          <w:sz w:val="20"/>
          <w:szCs w:val="20"/>
          <w:highlight w:val="none"/>
          <w:u w:val="single" w:color="auto"/>
        </w:rPr>
        <w:t xml:space="preserve"> 公司名称</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8"/>
          <w:sz w:val="20"/>
          <w:szCs w:val="20"/>
          <w:highlight w:val="none"/>
        </w:rPr>
        <w:t>） 提供的货物（或工程、服务）进行了验收，验收情况如</w:t>
      </w:r>
      <w:r>
        <w:rPr>
          <w:rFonts w:ascii="宋体" w:hAnsi="宋体" w:eastAsia="宋体" w:cs="宋体"/>
          <w:color w:val="auto"/>
          <w:spacing w:val="7"/>
          <w:sz w:val="20"/>
          <w:szCs w:val="20"/>
          <w:highlight w:val="none"/>
        </w:rPr>
        <w:t>下：</w:t>
      </w:r>
    </w:p>
    <w:tbl>
      <w:tblPr>
        <w:tblStyle w:val="18"/>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2"/>
        <w:gridCol w:w="823"/>
        <w:gridCol w:w="1620"/>
        <w:gridCol w:w="797"/>
        <w:gridCol w:w="102"/>
        <w:gridCol w:w="1998"/>
        <w:gridCol w:w="178"/>
        <w:gridCol w:w="684"/>
        <w:gridCol w:w="1435"/>
      </w:tblGrid>
      <w:tr w14:paraId="3D7C7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3"/>
            <w:vAlign w:val="top"/>
          </w:tcPr>
          <w:p w14:paraId="5F8800A0">
            <w:pPr>
              <w:pStyle w:val="19"/>
              <w:spacing w:before="173" w:line="228" w:lineRule="auto"/>
              <w:ind w:left="1103"/>
              <w:rPr>
                <w:color w:val="auto"/>
                <w:highlight w:val="none"/>
              </w:rPr>
            </w:pPr>
            <w:r>
              <w:rPr>
                <w:color w:val="auto"/>
                <w:spacing w:val="6"/>
                <w:highlight w:val="none"/>
              </w:rPr>
              <w:t>验收方式：</w:t>
            </w:r>
          </w:p>
        </w:tc>
        <w:tc>
          <w:tcPr>
            <w:tcW w:w="5194" w:type="dxa"/>
            <w:gridSpan w:val="6"/>
            <w:vAlign w:val="top"/>
          </w:tcPr>
          <w:p w14:paraId="36442D50">
            <w:pPr>
              <w:pStyle w:val="19"/>
              <w:spacing w:before="170" w:line="230" w:lineRule="auto"/>
              <w:ind w:left="1512"/>
              <w:rPr>
                <w:color w:val="auto"/>
                <w:highlight w:val="none"/>
              </w:rPr>
            </w:pPr>
            <w:r>
              <w:rPr>
                <w:rFonts w:ascii="MS UI Gothic" w:hAnsi="MS UI Gothic" w:eastAsia="MS UI Gothic" w:cs="MS UI Gothic"/>
                <w:color w:val="auto"/>
                <w:spacing w:val="3"/>
                <w:highlight w:val="none"/>
              </w:rPr>
              <w:t>□</w:t>
            </w:r>
            <w:r>
              <w:rPr>
                <w:color w:val="auto"/>
                <w:spacing w:val="3"/>
                <w:highlight w:val="none"/>
              </w:rPr>
              <w:t>自行验收</w:t>
            </w:r>
            <w:r>
              <w:rPr>
                <w:color w:val="auto"/>
                <w:spacing w:val="44"/>
                <w:highlight w:val="none"/>
              </w:rPr>
              <w:t xml:space="preserve"> </w:t>
            </w:r>
            <w:r>
              <w:rPr>
                <w:rFonts w:ascii="MS UI Gothic" w:hAnsi="MS UI Gothic" w:eastAsia="MS UI Gothic" w:cs="MS UI Gothic"/>
                <w:color w:val="auto"/>
                <w:spacing w:val="3"/>
                <w:highlight w:val="none"/>
              </w:rPr>
              <w:t>□</w:t>
            </w:r>
            <w:r>
              <w:rPr>
                <w:color w:val="auto"/>
                <w:spacing w:val="3"/>
                <w:highlight w:val="none"/>
              </w:rPr>
              <w:t>委托验收</w:t>
            </w:r>
          </w:p>
        </w:tc>
      </w:tr>
      <w:tr w14:paraId="4799A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12" w:type="dxa"/>
            <w:vAlign w:val="top"/>
          </w:tcPr>
          <w:p w14:paraId="1BDD4913">
            <w:pPr>
              <w:pStyle w:val="19"/>
              <w:spacing w:before="235" w:line="229" w:lineRule="auto"/>
              <w:ind w:left="194"/>
              <w:rPr>
                <w:color w:val="auto"/>
                <w:highlight w:val="none"/>
              </w:rPr>
            </w:pPr>
            <w:r>
              <w:rPr>
                <w:color w:val="auto"/>
                <w:spacing w:val="5"/>
                <w:highlight w:val="none"/>
              </w:rPr>
              <w:t>序号</w:t>
            </w:r>
          </w:p>
        </w:tc>
        <w:tc>
          <w:tcPr>
            <w:tcW w:w="2443" w:type="dxa"/>
            <w:gridSpan w:val="2"/>
            <w:vAlign w:val="top"/>
          </w:tcPr>
          <w:p w14:paraId="1C9EABF4">
            <w:pPr>
              <w:pStyle w:val="19"/>
              <w:spacing w:before="235" w:line="230" w:lineRule="auto"/>
              <w:ind w:left="1012"/>
              <w:rPr>
                <w:color w:val="auto"/>
                <w:highlight w:val="none"/>
              </w:rPr>
            </w:pPr>
            <w:r>
              <w:rPr>
                <w:color w:val="auto"/>
                <w:spacing w:val="3"/>
                <w:highlight w:val="none"/>
              </w:rPr>
              <w:t>名称</w:t>
            </w:r>
          </w:p>
        </w:tc>
        <w:tc>
          <w:tcPr>
            <w:tcW w:w="2897" w:type="dxa"/>
            <w:gridSpan w:val="3"/>
            <w:vAlign w:val="top"/>
          </w:tcPr>
          <w:p w14:paraId="0A02644A">
            <w:pPr>
              <w:pStyle w:val="19"/>
              <w:spacing w:before="74" w:line="227" w:lineRule="auto"/>
              <w:ind w:left="91"/>
              <w:rPr>
                <w:color w:val="auto"/>
                <w:highlight w:val="none"/>
              </w:rPr>
            </w:pPr>
            <w:r>
              <w:rPr>
                <w:color w:val="auto"/>
                <w:spacing w:val="8"/>
                <w:highlight w:val="none"/>
              </w:rPr>
              <w:t>货物型号规格、标准及配置等</w:t>
            </w:r>
          </w:p>
          <w:p w14:paraId="608056F7">
            <w:pPr>
              <w:pStyle w:val="19"/>
              <w:spacing w:before="76" w:line="220" w:lineRule="auto"/>
              <w:ind w:left="411"/>
              <w:rPr>
                <w:color w:val="auto"/>
                <w:highlight w:val="none"/>
              </w:rPr>
            </w:pPr>
            <w:r>
              <w:rPr>
                <w:color w:val="auto"/>
                <w:spacing w:val="7"/>
                <w:highlight w:val="none"/>
              </w:rPr>
              <w:t>（或服务内容、标准）</w:t>
            </w:r>
          </w:p>
        </w:tc>
        <w:tc>
          <w:tcPr>
            <w:tcW w:w="862" w:type="dxa"/>
            <w:gridSpan w:val="2"/>
            <w:vAlign w:val="top"/>
          </w:tcPr>
          <w:p w14:paraId="64B7A48D">
            <w:pPr>
              <w:pStyle w:val="19"/>
              <w:spacing w:before="235" w:line="228" w:lineRule="auto"/>
              <w:ind w:left="227"/>
              <w:rPr>
                <w:color w:val="auto"/>
                <w:highlight w:val="none"/>
              </w:rPr>
            </w:pPr>
            <w:r>
              <w:rPr>
                <w:color w:val="auto"/>
                <w:spacing w:val="3"/>
                <w:highlight w:val="none"/>
              </w:rPr>
              <w:t>数量</w:t>
            </w:r>
          </w:p>
        </w:tc>
        <w:tc>
          <w:tcPr>
            <w:tcW w:w="1435" w:type="dxa"/>
            <w:vAlign w:val="top"/>
          </w:tcPr>
          <w:p w14:paraId="52895F07">
            <w:pPr>
              <w:pStyle w:val="19"/>
              <w:spacing w:before="235" w:line="228" w:lineRule="auto"/>
              <w:ind w:left="512"/>
              <w:rPr>
                <w:color w:val="auto"/>
                <w:highlight w:val="none"/>
              </w:rPr>
            </w:pPr>
            <w:r>
              <w:rPr>
                <w:color w:val="auto"/>
                <w:spacing w:val="3"/>
                <w:highlight w:val="none"/>
              </w:rPr>
              <w:t>金额</w:t>
            </w:r>
          </w:p>
        </w:tc>
      </w:tr>
      <w:tr w14:paraId="56ACE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812" w:type="dxa"/>
            <w:vAlign w:val="top"/>
          </w:tcPr>
          <w:p w14:paraId="37828ECC">
            <w:pPr>
              <w:rPr>
                <w:rFonts w:ascii="Arial"/>
                <w:color w:val="auto"/>
                <w:sz w:val="21"/>
                <w:highlight w:val="none"/>
              </w:rPr>
            </w:pPr>
          </w:p>
        </w:tc>
        <w:tc>
          <w:tcPr>
            <w:tcW w:w="2443" w:type="dxa"/>
            <w:gridSpan w:val="2"/>
            <w:vAlign w:val="top"/>
          </w:tcPr>
          <w:p w14:paraId="53439EBC">
            <w:pPr>
              <w:rPr>
                <w:rFonts w:ascii="Arial"/>
                <w:color w:val="auto"/>
                <w:sz w:val="21"/>
                <w:highlight w:val="none"/>
              </w:rPr>
            </w:pPr>
          </w:p>
        </w:tc>
        <w:tc>
          <w:tcPr>
            <w:tcW w:w="2897" w:type="dxa"/>
            <w:gridSpan w:val="3"/>
            <w:vAlign w:val="top"/>
          </w:tcPr>
          <w:p w14:paraId="01ADEE17">
            <w:pPr>
              <w:rPr>
                <w:rFonts w:ascii="Arial"/>
                <w:color w:val="auto"/>
                <w:sz w:val="21"/>
                <w:highlight w:val="none"/>
              </w:rPr>
            </w:pPr>
          </w:p>
        </w:tc>
        <w:tc>
          <w:tcPr>
            <w:tcW w:w="862" w:type="dxa"/>
            <w:gridSpan w:val="2"/>
            <w:vAlign w:val="top"/>
          </w:tcPr>
          <w:p w14:paraId="0BF971CC">
            <w:pPr>
              <w:rPr>
                <w:rFonts w:ascii="Arial"/>
                <w:color w:val="auto"/>
                <w:sz w:val="21"/>
                <w:highlight w:val="none"/>
              </w:rPr>
            </w:pPr>
          </w:p>
        </w:tc>
        <w:tc>
          <w:tcPr>
            <w:tcW w:w="1435" w:type="dxa"/>
            <w:vAlign w:val="top"/>
          </w:tcPr>
          <w:p w14:paraId="30EF85C2">
            <w:pPr>
              <w:rPr>
                <w:rFonts w:ascii="Arial"/>
                <w:color w:val="auto"/>
                <w:sz w:val="21"/>
                <w:highlight w:val="none"/>
              </w:rPr>
            </w:pPr>
          </w:p>
        </w:tc>
      </w:tr>
      <w:tr w14:paraId="16C14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812" w:type="dxa"/>
            <w:vAlign w:val="top"/>
          </w:tcPr>
          <w:p w14:paraId="7DC87351">
            <w:pPr>
              <w:rPr>
                <w:rFonts w:ascii="Arial"/>
                <w:color w:val="auto"/>
                <w:sz w:val="21"/>
                <w:highlight w:val="none"/>
              </w:rPr>
            </w:pPr>
          </w:p>
        </w:tc>
        <w:tc>
          <w:tcPr>
            <w:tcW w:w="2443" w:type="dxa"/>
            <w:gridSpan w:val="2"/>
            <w:vAlign w:val="top"/>
          </w:tcPr>
          <w:p w14:paraId="27ADA6D9">
            <w:pPr>
              <w:rPr>
                <w:rFonts w:ascii="Arial"/>
                <w:color w:val="auto"/>
                <w:sz w:val="21"/>
                <w:highlight w:val="none"/>
              </w:rPr>
            </w:pPr>
          </w:p>
        </w:tc>
        <w:tc>
          <w:tcPr>
            <w:tcW w:w="2897" w:type="dxa"/>
            <w:gridSpan w:val="3"/>
            <w:vAlign w:val="top"/>
          </w:tcPr>
          <w:p w14:paraId="3094886B">
            <w:pPr>
              <w:rPr>
                <w:rFonts w:ascii="Arial"/>
                <w:color w:val="auto"/>
                <w:sz w:val="21"/>
                <w:highlight w:val="none"/>
              </w:rPr>
            </w:pPr>
          </w:p>
        </w:tc>
        <w:tc>
          <w:tcPr>
            <w:tcW w:w="862" w:type="dxa"/>
            <w:gridSpan w:val="2"/>
            <w:vAlign w:val="top"/>
          </w:tcPr>
          <w:p w14:paraId="7F5722C0">
            <w:pPr>
              <w:rPr>
                <w:rFonts w:ascii="Arial"/>
                <w:color w:val="auto"/>
                <w:sz w:val="21"/>
                <w:highlight w:val="none"/>
              </w:rPr>
            </w:pPr>
          </w:p>
        </w:tc>
        <w:tc>
          <w:tcPr>
            <w:tcW w:w="1435" w:type="dxa"/>
            <w:vAlign w:val="top"/>
          </w:tcPr>
          <w:p w14:paraId="21DB4647">
            <w:pPr>
              <w:rPr>
                <w:rFonts w:ascii="Arial"/>
                <w:color w:val="auto"/>
                <w:sz w:val="21"/>
                <w:highlight w:val="none"/>
              </w:rPr>
            </w:pPr>
          </w:p>
        </w:tc>
      </w:tr>
      <w:tr w14:paraId="44146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812" w:type="dxa"/>
            <w:vAlign w:val="top"/>
          </w:tcPr>
          <w:p w14:paraId="20EC67A2">
            <w:pPr>
              <w:rPr>
                <w:rFonts w:ascii="Arial"/>
                <w:color w:val="auto"/>
                <w:sz w:val="21"/>
                <w:highlight w:val="none"/>
              </w:rPr>
            </w:pPr>
          </w:p>
        </w:tc>
        <w:tc>
          <w:tcPr>
            <w:tcW w:w="2443" w:type="dxa"/>
            <w:gridSpan w:val="2"/>
            <w:vAlign w:val="top"/>
          </w:tcPr>
          <w:p w14:paraId="70D4D920">
            <w:pPr>
              <w:rPr>
                <w:rFonts w:ascii="Arial"/>
                <w:color w:val="auto"/>
                <w:sz w:val="21"/>
                <w:highlight w:val="none"/>
              </w:rPr>
            </w:pPr>
          </w:p>
        </w:tc>
        <w:tc>
          <w:tcPr>
            <w:tcW w:w="2897" w:type="dxa"/>
            <w:gridSpan w:val="3"/>
            <w:vAlign w:val="top"/>
          </w:tcPr>
          <w:p w14:paraId="4D2AFD09">
            <w:pPr>
              <w:rPr>
                <w:rFonts w:ascii="Arial"/>
                <w:color w:val="auto"/>
                <w:sz w:val="21"/>
                <w:highlight w:val="none"/>
              </w:rPr>
            </w:pPr>
          </w:p>
        </w:tc>
        <w:tc>
          <w:tcPr>
            <w:tcW w:w="862" w:type="dxa"/>
            <w:gridSpan w:val="2"/>
            <w:vAlign w:val="top"/>
          </w:tcPr>
          <w:p w14:paraId="0074941A">
            <w:pPr>
              <w:rPr>
                <w:rFonts w:ascii="Arial"/>
                <w:color w:val="auto"/>
                <w:sz w:val="21"/>
                <w:highlight w:val="none"/>
              </w:rPr>
            </w:pPr>
          </w:p>
        </w:tc>
        <w:tc>
          <w:tcPr>
            <w:tcW w:w="1435" w:type="dxa"/>
            <w:vAlign w:val="top"/>
          </w:tcPr>
          <w:p w14:paraId="66B17FDC">
            <w:pPr>
              <w:rPr>
                <w:rFonts w:ascii="Arial"/>
                <w:color w:val="auto"/>
                <w:sz w:val="21"/>
                <w:highlight w:val="none"/>
              </w:rPr>
            </w:pPr>
          </w:p>
        </w:tc>
      </w:tr>
      <w:tr w14:paraId="0590A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6152" w:type="dxa"/>
            <w:gridSpan w:val="6"/>
            <w:vAlign w:val="top"/>
          </w:tcPr>
          <w:p w14:paraId="342DAE97">
            <w:pPr>
              <w:pStyle w:val="19"/>
              <w:spacing w:before="159" w:line="229" w:lineRule="auto"/>
              <w:ind w:left="2821"/>
              <w:rPr>
                <w:color w:val="auto"/>
                <w:highlight w:val="none"/>
              </w:rPr>
            </w:pPr>
            <w:r>
              <w:rPr>
                <w:color w:val="auto"/>
                <w:highlight w:val="none"/>
              </w:rPr>
              <w:t>合</w:t>
            </w:r>
            <w:r>
              <w:rPr>
                <w:color w:val="auto"/>
                <w:spacing w:val="13"/>
                <w:highlight w:val="none"/>
              </w:rPr>
              <w:t xml:space="preserve"> </w:t>
            </w:r>
            <w:r>
              <w:rPr>
                <w:color w:val="auto"/>
                <w:highlight w:val="none"/>
              </w:rPr>
              <w:t>计</w:t>
            </w:r>
          </w:p>
        </w:tc>
        <w:tc>
          <w:tcPr>
            <w:tcW w:w="862" w:type="dxa"/>
            <w:gridSpan w:val="2"/>
            <w:vAlign w:val="top"/>
          </w:tcPr>
          <w:p w14:paraId="185DC551">
            <w:pPr>
              <w:rPr>
                <w:rFonts w:ascii="Arial"/>
                <w:color w:val="auto"/>
                <w:sz w:val="21"/>
                <w:highlight w:val="none"/>
              </w:rPr>
            </w:pPr>
          </w:p>
        </w:tc>
        <w:tc>
          <w:tcPr>
            <w:tcW w:w="1435" w:type="dxa"/>
            <w:vAlign w:val="top"/>
          </w:tcPr>
          <w:p w14:paraId="1F5A9D2C">
            <w:pPr>
              <w:rPr>
                <w:rFonts w:ascii="Arial"/>
                <w:color w:val="auto"/>
                <w:sz w:val="21"/>
                <w:highlight w:val="none"/>
              </w:rPr>
            </w:pPr>
          </w:p>
        </w:tc>
      </w:tr>
      <w:tr w14:paraId="0A53B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8449" w:type="dxa"/>
            <w:gridSpan w:val="9"/>
            <w:vAlign w:val="top"/>
          </w:tcPr>
          <w:p w14:paraId="47CDD53B">
            <w:pPr>
              <w:pStyle w:val="19"/>
              <w:spacing w:before="235" w:line="228" w:lineRule="auto"/>
              <w:ind w:left="222"/>
              <w:rPr>
                <w:color w:val="auto"/>
                <w:highlight w:val="none"/>
              </w:rPr>
            </w:pPr>
            <w:r>
              <w:rPr>
                <w:color w:val="auto"/>
                <w:spacing w:val="4"/>
                <w:highlight w:val="none"/>
              </w:rPr>
              <w:t>合计大写金额：</w:t>
            </w:r>
            <w:r>
              <w:rPr>
                <w:color w:val="auto"/>
                <w:spacing w:val="19"/>
                <w:highlight w:val="none"/>
              </w:rPr>
              <w:t xml:space="preserve">  </w:t>
            </w:r>
            <w:r>
              <w:rPr>
                <w:color w:val="auto"/>
                <w:spacing w:val="4"/>
                <w:highlight w:val="none"/>
              </w:rPr>
              <w:t>仟  佰</w:t>
            </w:r>
            <w:r>
              <w:rPr>
                <w:color w:val="auto"/>
                <w:spacing w:val="10"/>
                <w:highlight w:val="none"/>
              </w:rPr>
              <w:t xml:space="preserve">  </w:t>
            </w:r>
            <w:r>
              <w:rPr>
                <w:color w:val="auto"/>
                <w:spacing w:val="4"/>
                <w:highlight w:val="none"/>
              </w:rPr>
              <w:t>拾</w:t>
            </w:r>
            <w:r>
              <w:rPr>
                <w:color w:val="auto"/>
                <w:spacing w:val="12"/>
                <w:highlight w:val="none"/>
              </w:rPr>
              <w:t xml:space="preserve">  </w:t>
            </w:r>
            <w:r>
              <w:rPr>
                <w:color w:val="auto"/>
                <w:spacing w:val="4"/>
                <w:highlight w:val="none"/>
              </w:rPr>
              <w:t>万</w:t>
            </w:r>
            <w:r>
              <w:rPr>
                <w:color w:val="auto"/>
                <w:spacing w:val="10"/>
                <w:highlight w:val="none"/>
              </w:rPr>
              <w:t xml:space="preserve">  </w:t>
            </w:r>
            <w:r>
              <w:rPr>
                <w:color w:val="auto"/>
                <w:spacing w:val="4"/>
                <w:highlight w:val="none"/>
              </w:rPr>
              <w:t>仟  佰</w:t>
            </w:r>
            <w:r>
              <w:rPr>
                <w:color w:val="auto"/>
                <w:spacing w:val="10"/>
                <w:highlight w:val="none"/>
              </w:rPr>
              <w:t xml:space="preserve">  </w:t>
            </w:r>
            <w:r>
              <w:rPr>
                <w:color w:val="auto"/>
                <w:spacing w:val="4"/>
                <w:highlight w:val="none"/>
              </w:rPr>
              <w:t>拾</w:t>
            </w:r>
            <w:r>
              <w:rPr>
                <w:color w:val="auto"/>
                <w:spacing w:val="10"/>
                <w:highlight w:val="none"/>
              </w:rPr>
              <w:t xml:space="preserve">  </w:t>
            </w:r>
            <w:r>
              <w:rPr>
                <w:color w:val="auto"/>
                <w:spacing w:val="4"/>
                <w:highlight w:val="none"/>
              </w:rPr>
              <w:t>元</w:t>
            </w:r>
          </w:p>
        </w:tc>
      </w:tr>
      <w:tr w14:paraId="5E7B1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635" w:type="dxa"/>
            <w:gridSpan w:val="2"/>
            <w:vAlign w:val="top"/>
          </w:tcPr>
          <w:p w14:paraId="64CED945">
            <w:pPr>
              <w:pStyle w:val="19"/>
              <w:spacing w:before="234" w:line="227" w:lineRule="auto"/>
              <w:ind w:left="192"/>
              <w:rPr>
                <w:color w:val="auto"/>
                <w:highlight w:val="none"/>
              </w:rPr>
            </w:pPr>
            <w:r>
              <w:rPr>
                <w:color w:val="auto"/>
                <w:spacing w:val="7"/>
                <w:highlight w:val="none"/>
              </w:rPr>
              <w:t>实际供货日期</w:t>
            </w:r>
          </w:p>
        </w:tc>
        <w:tc>
          <w:tcPr>
            <w:tcW w:w="2417" w:type="dxa"/>
            <w:gridSpan w:val="2"/>
            <w:vAlign w:val="top"/>
          </w:tcPr>
          <w:p w14:paraId="1743A816">
            <w:pPr>
              <w:rPr>
                <w:rFonts w:ascii="Arial"/>
                <w:color w:val="auto"/>
                <w:sz w:val="21"/>
                <w:highlight w:val="none"/>
              </w:rPr>
            </w:pPr>
          </w:p>
        </w:tc>
        <w:tc>
          <w:tcPr>
            <w:tcW w:w="2278" w:type="dxa"/>
            <w:gridSpan w:val="3"/>
            <w:vAlign w:val="top"/>
          </w:tcPr>
          <w:p w14:paraId="08B4758C">
            <w:pPr>
              <w:pStyle w:val="19"/>
              <w:spacing w:before="234" w:line="227" w:lineRule="auto"/>
              <w:ind w:left="324"/>
              <w:rPr>
                <w:color w:val="auto"/>
                <w:highlight w:val="none"/>
              </w:rPr>
            </w:pPr>
            <w:r>
              <w:rPr>
                <w:color w:val="auto"/>
                <w:spacing w:val="8"/>
                <w:highlight w:val="none"/>
              </w:rPr>
              <w:t>合同交货验收日期</w:t>
            </w:r>
          </w:p>
        </w:tc>
        <w:tc>
          <w:tcPr>
            <w:tcW w:w="2119" w:type="dxa"/>
            <w:gridSpan w:val="2"/>
            <w:vAlign w:val="top"/>
          </w:tcPr>
          <w:p w14:paraId="0FA9FE24">
            <w:pPr>
              <w:rPr>
                <w:rFonts w:ascii="Arial"/>
                <w:color w:val="auto"/>
                <w:sz w:val="21"/>
                <w:highlight w:val="none"/>
              </w:rPr>
            </w:pPr>
          </w:p>
        </w:tc>
      </w:tr>
      <w:tr w14:paraId="0FF3B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635" w:type="dxa"/>
            <w:gridSpan w:val="2"/>
            <w:vAlign w:val="top"/>
          </w:tcPr>
          <w:p w14:paraId="39E7A5DF">
            <w:pPr>
              <w:spacing w:line="243" w:lineRule="auto"/>
              <w:rPr>
                <w:rFonts w:ascii="Arial"/>
                <w:color w:val="auto"/>
                <w:sz w:val="21"/>
                <w:highlight w:val="none"/>
              </w:rPr>
            </w:pPr>
          </w:p>
          <w:p w14:paraId="428DB175">
            <w:pPr>
              <w:spacing w:line="244" w:lineRule="auto"/>
              <w:rPr>
                <w:rFonts w:ascii="Arial"/>
                <w:color w:val="auto"/>
                <w:sz w:val="21"/>
                <w:highlight w:val="none"/>
              </w:rPr>
            </w:pPr>
          </w:p>
          <w:p w14:paraId="32B28930">
            <w:pPr>
              <w:pStyle w:val="19"/>
              <w:spacing w:before="65" w:line="228" w:lineRule="auto"/>
              <w:ind w:left="110"/>
              <w:rPr>
                <w:color w:val="auto"/>
                <w:highlight w:val="none"/>
              </w:rPr>
            </w:pPr>
            <w:r>
              <w:rPr>
                <w:color w:val="auto"/>
                <w:spacing w:val="8"/>
                <w:highlight w:val="none"/>
              </w:rPr>
              <w:t>验收具体内容</w:t>
            </w:r>
          </w:p>
        </w:tc>
        <w:tc>
          <w:tcPr>
            <w:tcW w:w="6814" w:type="dxa"/>
            <w:gridSpan w:val="7"/>
            <w:vAlign w:val="top"/>
          </w:tcPr>
          <w:p w14:paraId="1CC622AA">
            <w:pPr>
              <w:pStyle w:val="19"/>
              <w:spacing w:before="77" w:line="276" w:lineRule="auto"/>
              <w:ind w:left="106" w:right="192" w:firstLine="9"/>
              <w:jc w:val="both"/>
              <w:rPr>
                <w:color w:val="auto"/>
                <w:highlight w:val="none"/>
              </w:rPr>
            </w:pPr>
            <w:r>
              <w:rPr>
                <w:color w:val="auto"/>
                <w:spacing w:val="9"/>
                <w:highlight w:val="none"/>
              </w:rPr>
              <w:t>（应按采购合同、竞争性磋商文件、竞标响应文件及验收方案等进行验</w:t>
            </w:r>
            <w:r>
              <w:rPr>
                <w:color w:val="auto"/>
                <w:spacing w:val="10"/>
                <w:highlight w:val="none"/>
              </w:rPr>
              <w:t xml:space="preserve"> 收；并核对成交供应商在安装调试等方面是</w:t>
            </w:r>
            <w:r>
              <w:rPr>
                <w:color w:val="auto"/>
                <w:spacing w:val="9"/>
                <w:highlight w:val="none"/>
              </w:rPr>
              <w:t>否违反合同约定或服务规范</w:t>
            </w:r>
            <w:r>
              <w:rPr>
                <w:color w:val="auto"/>
                <w:highlight w:val="none"/>
              </w:rPr>
              <w:t xml:space="preserve"> </w:t>
            </w:r>
            <w:r>
              <w:rPr>
                <w:color w:val="auto"/>
                <w:spacing w:val="10"/>
                <w:highlight w:val="none"/>
              </w:rPr>
              <w:t>要求、提供的质量保证证明材料是否齐全、</w:t>
            </w:r>
            <w:r>
              <w:rPr>
                <w:color w:val="auto"/>
                <w:spacing w:val="9"/>
                <w:highlight w:val="none"/>
              </w:rPr>
              <w:t>应有的配件及附件是否达到</w:t>
            </w:r>
            <w:r>
              <w:rPr>
                <w:color w:val="auto"/>
                <w:highlight w:val="none"/>
              </w:rPr>
              <w:t xml:space="preserve"> </w:t>
            </w:r>
            <w:r>
              <w:rPr>
                <w:color w:val="auto"/>
                <w:spacing w:val="8"/>
                <w:highlight w:val="none"/>
              </w:rPr>
              <w:t>合同约定等。可附件)</w:t>
            </w:r>
          </w:p>
        </w:tc>
      </w:tr>
      <w:tr w14:paraId="68BE7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5" w:hRule="atLeast"/>
        </w:trPr>
        <w:tc>
          <w:tcPr>
            <w:tcW w:w="1635" w:type="dxa"/>
            <w:gridSpan w:val="2"/>
            <w:vMerge w:val="restart"/>
            <w:tcBorders>
              <w:bottom w:val="nil"/>
            </w:tcBorders>
            <w:vAlign w:val="top"/>
          </w:tcPr>
          <w:p w14:paraId="7D147683">
            <w:pPr>
              <w:spacing w:line="318" w:lineRule="auto"/>
              <w:rPr>
                <w:rFonts w:ascii="Arial"/>
                <w:color w:val="auto"/>
                <w:sz w:val="21"/>
                <w:highlight w:val="none"/>
              </w:rPr>
            </w:pPr>
          </w:p>
          <w:p w14:paraId="4260E09D">
            <w:pPr>
              <w:spacing w:line="319" w:lineRule="auto"/>
              <w:rPr>
                <w:rFonts w:ascii="Arial"/>
                <w:color w:val="auto"/>
                <w:sz w:val="21"/>
                <w:highlight w:val="none"/>
              </w:rPr>
            </w:pPr>
          </w:p>
          <w:p w14:paraId="32EC2760">
            <w:pPr>
              <w:spacing w:line="319" w:lineRule="auto"/>
              <w:rPr>
                <w:rFonts w:ascii="Arial"/>
                <w:color w:val="auto"/>
                <w:sz w:val="21"/>
                <w:highlight w:val="none"/>
              </w:rPr>
            </w:pPr>
          </w:p>
          <w:p w14:paraId="4F46690E">
            <w:pPr>
              <w:pStyle w:val="19"/>
              <w:spacing w:before="65" w:line="228" w:lineRule="auto"/>
              <w:ind w:left="110"/>
              <w:rPr>
                <w:color w:val="auto"/>
                <w:highlight w:val="none"/>
              </w:rPr>
            </w:pPr>
            <w:r>
              <w:rPr>
                <w:color w:val="auto"/>
                <w:spacing w:val="8"/>
                <w:highlight w:val="none"/>
              </w:rPr>
              <w:t>验收小组意见</w:t>
            </w:r>
          </w:p>
        </w:tc>
        <w:tc>
          <w:tcPr>
            <w:tcW w:w="6814" w:type="dxa"/>
            <w:gridSpan w:val="7"/>
            <w:vAlign w:val="top"/>
          </w:tcPr>
          <w:p w14:paraId="4953ED95">
            <w:pPr>
              <w:spacing w:line="244" w:lineRule="auto"/>
              <w:rPr>
                <w:rFonts w:ascii="Arial"/>
                <w:color w:val="auto"/>
                <w:sz w:val="21"/>
                <w:highlight w:val="none"/>
              </w:rPr>
            </w:pPr>
          </w:p>
          <w:p w14:paraId="3BCD98B5">
            <w:pPr>
              <w:spacing w:line="245" w:lineRule="auto"/>
              <w:rPr>
                <w:rFonts w:ascii="Arial"/>
                <w:color w:val="auto"/>
                <w:sz w:val="21"/>
                <w:highlight w:val="none"/>
              </w:rPr>
            </w:pPr>
          </w:p>
          <w:p w14:paraId="0AE42FA0">
            <w:pPr>
              <w:pStyle w:val="19"/>
              <w:spacing w:before="65" w:line="228" w:lineRule="auto"/>
              <w:ind w:left="215"/>
              <w:rPr>
                <w:color w:val="auto"/>
                <w:highlight w:val="none"/>
              </w:rPr>
            </w:pPr>
            <w:r>
              <w:rPr>
                <w:color w:val="auto"/>
                <w:spacing w:val="7"/>
                <w:highlight w:val="none"/>
              </w:rPr>
              <w:t>验收结论性意见：</w:t>
            </w:r>
          </w:p>
        </w:tc>
      </w:tr>
      <w:tr w14:paraId="42963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635" w:type="dxa"/>
            <w:gridSpan w:val="2"/>
            <w:vMerge w:val="continue"/>
            <w:tcBorders>
              <w:top w:val="nil"/>
            </w:tcBorders>
            <w:vAlign w:val="top"/>
          </w:tcPr>
          <w:p w14:paraId="2D0F9A26">
            <w:pPr>
              <w:rPr>
                <w:rFonts w:ascii="Arial"/>
                <w:color w:val="auto"/>
                <w:sz w:val="21"/>
                <w:highlight w:val="none"/>
              </w:rPr>
            </w:pPr>
          </w:p>
        </w:tc>
        <w:tc>
          <w:tcPr>
            <w:tcW w:w="6814" w:type="dxa"/>
            <w:gridSpan w:val="7"/>
            <w:vAlign w:val="top"/>
          </w:tcPr>
          <w:p w14:paraId="6D27279C">
            <w:pPr>
              <w:pStyle w:val="19"/>
              <w:spacing w:before="77" w:line="386" w:lineRule="auto"/>
              <w:ind w:left="216" w:right="4125"/>
              <w:rPr>
                <w:color w:val="auto"/>
                <w:highlight w:val="none"/>
              </w:rPr>
            </w:pPr>
            <w:r>
              <w:rPr>
                <w:color w:val="auto"/>
                <w:spacing w:val="4"/>
                <w:highlight w:val="none"/>
              </w:rPr>
              <w:t>有异议的意见和说明理由：</w:t>
            </w:r>
            <w:r>
              <w:rPr>
                <w:color w:val="auto"/>
                <w:spacing w:val="7"/>
                <w:highlight w:val="none"/>
              </w:rPr>
              <w:t xml:space="preserve"> </w:t>
            </w:r>
            <w:r>
              <w:rPr>
                <w:color w:val="auto"/>
                <w:spacing w:val="3"/>
                <w:highlight w:val="none"/>
              </w:rPr>
              <w:t>签字：</w:t>
            </w:r>
          </w:p>
        </w:tc>
      </w:tr>
      <w:tr w14:paraId="7CA14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8449" w:type="dxa"/>
            <w:gridSpan w:val="9"/>
            <w:vAlign w:val="top"/>
          </w:tcPr>
          <w:p w14:paraId="59690C9B">
            <w:pPr>
              <w:pStyle w:val="19"/>
              <w:spacing w:before="171" w:line="228" w:lineRule="auto"/>
              <w:ind w:left="110"/>
              <w:rPr>
                <w:color w:val="auto"/>
                <w:highlight w:val="none"/>
              </w:rPr>
            </w:pPr>
            <w:r>
              <w:rPr>
                <w:color w:val="auto"/>
                <w:spacing w:val="7"/>
                <w:highlight w:val="none"/>
              </w:rPr>
              <w:t>验收小组成员签字：</w:t>
            </w:r>
          </w:p>
        </w:tc>
      </w:tr>
      <w:tr w14:paraId="68165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8449" w:type="dxa"/>
            <w:gridSpan w:val="9"/>
            <w:tcBorders>
              <w:bottom w:val="single" w:color="000000" w:sz="2" w:space="0"/>
            </w:tcBorders>
            <w:vAlign w:val="top"/>
          </w:tcPr>
          <w:p w14:paraId="12F6924E">
            <w:pPr>
              <w:pStyle w:val="19"/>
              <w:spacing w:before="77" w:line="384" w:lineRule="auto"/>
              <w:ind w:left="187" w:right="5445" w:hanging="76"/>
              <w:rPr>
                <w:color w:val="auto"/>
                <w:highlight w:val="none"/>
              </w:rPr>
            </w:pPr>
            <w:r>
              <w:rPr>
                <w:color w:val="auto"/>
                <w:spacing w:val="5"/>
                <w:highlight w:val="none"/>
              </w:rPr>
              <w:t xml:space="preserve">监督人员或其他相关人员签字： </w:t>
            </w:r>
            <w:r>
              <w:rPr>
                <w:color w:val="auto"/>
                <w:spacing w:val="8"/>
                <w:highlight w:val="none"/>
              </w:rPr>
              <w:t>或受邀机构的意见（盖章</w:t>
            </w:r>
            <w:r>
              <w:rPr>
                <w:color w:val="auto"/>
                <w:spacing w:val="4"/>
                <w:highlight w:val="none"/>
              </w:rPr>
              <w:t>）：</w:t>
            </w:r>
          </w:p>
        </w:tc>
      </w:tr>
      <w:tr w14:paraId="16E46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9" w:hRule="atLeast"/>
        </w:trPr>
        <w:tc>
          <w:tcPr>
            <w:tcW w:w="4154" w:type="dxa"/>
            <w:gridSpan w:val="5"/>
            <w:tcBorders>
              <w:top w:val="single" w:color="000000" w:sz="2" w:space="0"/>
              <w:left w:val="single" w:color="000000" w:sz="2" w:space="0"/>
              <w:bottom w:val="single" w:color="000000" w:sz="2" w:space="0"/>
              <w:right w:val="single" w:color="000000" w:sz="2" w:space="0"/>
            </w:tcBorders>
            <w:vAlign w:val="top"/>
          </w:tcPr>
          <w:p w14:paraId="41E7E0D7">
            <w:pPr>
              <w:pStyle w:val="19"/>
              <w:spacing w:before="85" w:line="227" w:lineRule="auto"/>
              <w:ind w:left="117"/>
              <w:rPr>
                <w:color w:val="auto"/>
                <w:highlight w:val="none"/>
              </w:rPr>
            </w:pPr>
            <w:r>
              <w:rPr>
                <w:color w:val="auto"/>
                <w:spacing w:val="8"/>
                <w:highlight w:val="none"/>
              </w:rPr>
              <w:t>成交供应商负责人签字或盖章：</w:t>
            </w:r>
          </w:p>
          <w:p w14:paraId="5FCFAEAF">
            <w:pPr>
              <w:spacing w:line="294" w:lineRule="auto"/>
              <w:rPr>
                <w:rFonts w:ascii="Arial"/>
                <w:color w:val="auto"/>
                <w:sz w:val="21"/>
                <w:highlight w:val="none"/>
              </w:rPr>
            </w:pPr>
          </w:p>
          <w:p w14:paraId="7460D5BD">
            <w:pPr>
              <w:spacing w:line="294" w:lineRule="auto"/>
              <w:rPr>
                <w:rFonts w:ascii="Arial"/>
                <w:color w:val="auto"/>
                <w:sz w:val="21"/>
                <w:highlight w:val="none"/>
              </w:rPr>
            </w:pPr>
          </w:p>
          <w:p w14:paraId="33D152DF">
            <w:pPr>
              <w:spacing w:line="295" w:lineRule="auto"/>
              <w:rPr>
                <w:rFonts w:ascii="Arial"/>
                <w:color w:val="auto"/>
                <w:sz w:val="21"/>
                <w:highlight w:val="none"/>
              </w:rPr>
            </w:pPr>
          </w:p>
          <w:p w14:paraId="74246192">
            <w:pPr>
              <w:pStyle w:val="19"/>
              <w:spacing w:before="65" w:line="216" w:lineRule="auto"/>
              <w:ind w:left="116"/>
              <w:rPr>
                <w:color w:val="auto"/>
                <w:highlight w:val="none"/>
              </w:rPr>
            </w:pPr>
            <w:r>
              <w:rPr>
                <w:color w:val="auto"/>
                <w:spacing w:val="3"/>
                <w:highlight w:val="none"/>
              </w:rPr>
              <w:t>联系电话：</w:t>
            </w:r>
            <w:r>
              <w:rPr>
                <w:color w:val="auto"/>
                <w:spacing w:val="6"/>
                <w:highlight w:val="none"/>
              </w:rPr>
              <w:t xml:space="preserve">                </w:t>
            </w:r>
            <w:r>
              <w:rPr>
                <w:color w:val="auto"/>
                <w:spacing w:val="3"/>
                <w:highlight w:val="none"/>
              </w:rPr>
              <w:t>年</w:t>
            </w:r>
            <w:r>
              <w:rPr>
                <w:color w:val="auto"/>
                <w:spacing w:val="13"/>
                <w:highlight w:val="none"/>
              </w:rPr>
              <w:t xml:space="preserve">  </w:t>
            </w:r>
            <w:r>
              <w:rPr>
                <w:color w:val="auto"/>
                <w:spacing w:val="3"/>
                <w:highlight w:val="none"/>
              </w:rPr>
              <w:t>月</w:t>
            </w:r>
            <w:r>
              <w:rPr>
                <w:color w:val="auto"/>
                <w:spacing w:val="28"/>
                <w:highlight w:val="none"/>
              </w:rPr>
              <w:t xml:space="preserve">  </w:t>
            </w:r>
            <w:r>
              <w:rPr>
                <w:color w:val="auto"/>
                <w:spacing w:val="3"/>
                <w:highlight w:val="none"/>
              </w:rPr>
              <w:t>日</w:t>
            </w:r>
          </w:p>
        </w:tc>
        <w:tc>
          <w:tcPr>
            <w:tcW w:w="4295" w:type="dxa"/>
            <w:gridSpan w:val="4"/>
            <w:tcBorders>
              <w:top w:val="single" w:color="000000" w:sz="2" w:space="0"/>
              <w:left w:val="single" w:color="000000" w:sz="2" w:space="0"/>
              <w:bottom w:val="single" w:color="000000" w:sz="2" w:space="0"/>
              <w:right w:val="single" w:color="000000" w:sz="2" w:space="0"/>
            </w:tcBorders>
            <w:vAlign w:val="top"/>
          </w:tcPr>
          <w:p w14:paraId="08CA50D5">
            <w:pPr>
              <w:pStyle w:val="19"/>
              <w:spacing w:before="85" w:line="227" w:lineRule="auto"/>
              <w:ind w:left="218"/>
              <w:rPr>
                <w:color w:val="auto"/>
                <w:highlight w:val="none"/>
              </w:rPr>
            </w:pPr>
            <w:r>
              <w:rPr>
                <w:color w:val="auto"/>
                <w:spacing w:val="9"/>
                <w:highlight w:val="none"/>
              </w:rPr>
              <w:t>采购人或受托机构的意见（盖章</w:t>
            </w:r>
            <w:r>
              <w:rPr>
                <w:color w:val="auto"/>
                <w:spacing w:val="1"/>
                <w:highlight w:val="none"/>
              </w:rPr>
              <w:t>）：</w:t>
            </w:r>
          </w:p>
          <w:p w14:paraId="4835B3AF">
            <w:pPr>
              <w:spacing w:line="294" w:lineRule="auto"/>
              <w:rPr>
                <w:rFonts w:ascii="Arial"/>
                <w:color w:val="auto"/>
                <w:sz w:val="21"/>
                <w:highlight w:val="none"/>
              </w:rPr>
            </w:pPr>
          </w:p>
          <w:p w14:paraId="4CD0996C">
            <w:pPr>
              <w:spacing w:line="294" w:lineRule="auto"/>
              <w:rPr>
                <w:rFonts w:ascii="Arial"/>
                <w:color w:val="auto"/>
                <w:sz w:val="21"/>
                <w:highlight w:val="none"/>
              </w:rPr>
            </w:pPr>
          </w:p>
          <w:p w14:paraId="10204B4C">
            <w:pPr>
              <w:spacing w:line="295" w:lineRule="auto"/>
              <w:rPr>
                <w:rFonts w:ascii="Arial"/>
                <w:color w:val="auto"/>
                <w:sz w:val="21"/>
                <w:highlight w:val="none"/>
              </w:rPr>
            </w:pPr>
          </w:p>
          <w:p w14:paraId="28F142DC">
            <w:pPr>
              <w:pStyle w:val="19"/>
              <w:spacing w:before="65" w:line="216" w:lineRule="auto"/>
              <w:ind w:left="220"/>
              <w:rPr>
                <w:color w:val="auto"/>
                <w:highlight w:val="none"/>
              </w:rPr>
            </w:pPr>
            <w:r>
              <w:rPr>
                <w:color w:val="auto"/>
                <w:spacing w:val="3"/>
                <w:highlight w:val="none"/>
              </w:rPr>
              <w:t>联系电话：</w:t>
            </w:r>
            <w:r>
              <w:rPr>
                <w:color w:val="auto"/>
                <w:highlight w:val="none"/>
              </w:rPr>
              <w:t xml:space="preserve">                   </w:t>
            </w:r>
            <w:r>
              <w:rPr>
                <w:color w:val="auto"/>
                <w:spacing w:val="3"/>
                <w:highlight w:val="none"/>
              </w:rPr>
              <w:t>年</w:t>
            </w:r>
            <w:r>
              <w:rPr>
                <w:color w:val="auto"/>
                <w:spacing w:val="17"/>
                <w:highlight w:val="none"/>
              </w:rPr>
              <w:t xml:space="preserve">  </w:t>
            </w:r>
            <w:r>
              <w:rPr>
                <w:color w:val="auto"/>
                <w:spacing w:val="3"/>
                <w:highlight w:val="none"/>
              </w:rPr>
              <w:t>月</w:t>
            </w:r>
            <w:r>
              <w:rPr>
                <w:color w:val="auto"/>
                <w:spacing w:val="28"/>
                <w:highlight w:val="none"/>
              </w:rPr>
              <w:t xml:space="preserve">  </w:t>
            </w:r>
            <w:r>
              <w:rPr>
                <w:color w:val="auto"/>
                <w:spacing w:val="3"/>
                <w:highlight w:val="none"/>
              </w:rPr>
              <w:t>日</w:t>
            </w:r>
          </w:p>
        </w:tc>
      </w:tr>
    </w:tbl>
    <w:p w14:paraId="607DDE6E">
      <w:pPr>
        <w:pStyle w:val="4"/>
        <w:rPr>
          <w:color w:val="auto"/>
          <w:highlight w:val="none"/>
        </w:rPr>
      </w:pPr>
    </w:p>
    <w:p w14:paraId="6C41F03E">
      <w:pPr>
        <w:rPr>
          <w:color w:val="auto"/>
          <w:highlight w:val="none"/>
        </w:rPr>
        <w:sectPr>
          <w:footerReference r:id="rId20" w:type="default"/>
          <w:pgSz w:w="11906" w:h="16839"/>
          <w:pgMar w:top="1144" w:right="1134" w:bottom="1362" w:left="1151" w:header="0" w:footer="1200" w:gutter="0"/>
          <w:pgNumType w:fmt="decimal"/>
          <w:cols w:space="720" w:num="1"/>
        </w:sectPr>
      </w:pPr>
    </w:p>
    <w:p w14:paraId="4C220EA8">
      <w:pPr>
        <w:spacing w:before="63" w:line="224" w:lineRule="auto"/>
        <w:ind w:left="3619"/>
        <w:outlineLvl w:val="0"/>
        <w:rPr>
          <w:rFonts w:ascii="宋体" w:hAnsi="宋体" w:eastAsia="宋体" w:cs="宋体"/>
          <w:color w:val="auto"/>
          <w:sz w:val="31"/>
          <w:szCs w:val="31"/>
          <w:highlight w:val="none"/>
        </w:rPr>
      </w:pPr>
      <w:bookmarkStart w:id="36" w:name="bookmark5"/>
      <w:bookmarkEnd w:id="36"/>
      <w:bookmarkStart w:id="37" w:name="bookmark6"/>
      <w:bookmarkEnd w:id="37"/>
      <w:bookmarkStart w:id="38" w:name="_Toc30464"/>
      <w:bookmarkStart w:id="39" w:name="_Toc1710"/>
      <w:r>
        <w:rPr>
          <w:rFonts w:ascii="宋体" w:hAnsi="宋体" w:eastAsia="宋体" w:cs="宋体"/>
          <w:b/>
          <w:bCs/>
          <w:color w:val="auto"/>
          <w:spacing w:val="5"/>
          <w:sz w:val="31"/>
          <w:szCs w:val="31"/>
          <w:highlight w:val="none"/>
        </w:rPr>
        <w:t>第三章</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采购需求</w:t>
      </w:r>
      <w:bookmarkEnd w:id="38"/>
      <w:bookmarkEnd w:id="39"/>
    </w:p>
    <w:p w14:paraId="65B31B38">
      <w:pPr>
        <w:pStyle w:val="4"/>
        <w:spacing w:line="266" w:lineRule="auto"/>
        <w:rPr>
          <w:color w:val="auto"/>
          <w:highlight w:val="none"/>
        </w:rPr>
      </w:pPr>
    </w:p>
    <w:p w14:paraId="4673351E">
      <w:pPr>
        <w:pStyle w:val="4"/>
        <w:spacing w:line="267" w:lineRule="auto"/>
        <w:rPr>
          <w:color w:val="auto"/>
          <w:highlight w:val="none"/>
        </w:rPr>
      </w:pPr>
    </w:p>
    <w:p w14:paraId="1FA8C934">
      <w:pPr>
        <w:pStyle w:val="4"/>
        <w:spacing w:line="267" w:lineRule="auto"/>
        <w:rPr>
          <w:color w:val="auto"/>
          <w:highlight w:val="none"/>
        </w:rPr>
      </w:pPr>
    </w:p>
    <w:p w14:paraId="0B5B9AAA">
      <w:pPr>
        <w:spacing w:before="65" w:line="228" w:lineRule="auto"/>
        <w:ind w:left="3"/>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说明：</w:t>
      </w:r>
    </w:p>
    <w:p w14:paraId="0221B8A4">
      <w:pPr>
        <w:spacing w:before="231" w:line="434" w:lineRule="auto"/>
        <w:ind w:right="92" w:firstLine="441"/>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1.根据《政府采购促进中小企业发展管理办法》（财库[2</w:t>
      </w:r>
      <w:r>
        <w:rPr>
          <w:rFonts w:ascii="宋体" w:hAnsi="宋体" w:eastAsia="宋体" w:cs="宋体"/>
          <w:color w:val="auto"/>
          <w:spacing w:val="6"/>
          <w:sz w:val="20"/>
          <w:szCs w:val="20"/>
          <w:highlight w:val="none"/>
        </w:rPr>
        <w:t>020]46</w:t>
      </w:r>
      <w:r>
        <w:rPr>
          <w:rFonts w:ascii="宋体" w:hAnsi="宋体" w:eastAsia="宋体" w:cs="宋体"/>
          <w:color w:val="auto"/>
          <w:spacing w:val="-35"/>
          <w:sz w:val="20"/>
          <w:szCs w:val="20"/>
          <w:highlight w:val="none"/>
        </w:rPr>
        <w:t xml:space="preserve"> </w:t>
      </w:r>
      <w:r>
        <w:rPr>
          <w:rFonts w:ascii="宋体" w:hAnsi="宋体" w:eastAsia="宋体" w:cs="宋体"/>
          <w:color w:val="auto"/>
          <w:spacing w:val="6"/>
          <w:sz w:val="20"/>
          <w:szCs w:val="20"/>
          <w:highlight w:val="none"/>
        </w:rPr>
        <w:t>号）的规定，如供应商为小型微型企</w:t>
      </w:r>
      <w:r>
        <w:rPr>
          <w:rFonts w:ascii="宋体" w:hAnsi="宋体" w:eastAsia="宋体" w:cs="宋体"/>
          <w:color w:val="auto"/>
          <w:spacing w:val="7"/>
          <w:sz w:val="20"/>
          <w:szCs w:val="20"/>
          <w:highlight w:val="none"/>
        </w:rPr>
        <w:t>业，本项目属于专门面向中小企业采购的项目，享受预留份额后不再进行价格折扣，具体详见“第四章 评</w:t>
      </w:r>
      <w:r>
        <w:rPr>
          <w:rFonts w:ascii="宋体" w:hAnsi="宋体" w:eastAsia="宋体" w:cs="宋体"/>
          <w:color w:val="auto"/>
          <w:spacing w:val="1"/>
          <w:sz w:val="20"/>
          <w:szCs w:val="20"/>
          <w:highlight w:val="none"/>
        </w:rPr>
        <w:t xml:space="preserve"> </w:t>
      </w:r>
      <w:r>
        <w:rPr>
          <w:rFonts w:ascii="宋体" w:hAnsi="宋体" w:eastAsia="宋体" w:cs="宋体"/>
          <w:color w:val="auto"/>
          <w:spacing w:val="8"/>
          <w:sz w:val="20"/>
          <w:szCs w:val="20"/>
          <w:highlight w:val="none"/>
        </w:rPr>
        <w:t>审程序、评审方法和评审标准</w:t>
      </w:r>
      <w:r>
        <w:rPr>
          <w:rFonts w:ascii="宋体" w:hAnsi="宋体" w:eastAsia="宋体" w:cs="宋体"/>
          <w:color w:val="auto"/>
          <w:spacing w:val="-60"/>
          <w:sz w:val="20"/>
          <w:szCs w:val="20"/>
          <w:highlight w:val="none"/>
        </w:rPr>
        <w:t xml:space="preserve"> </w:t>
      </w:r>
      <w:r>
        <w:rPr>
          <w:rFonts w:ascii="宋体" w:hAnsi="宋体" w:eastAsia="宋体" w:cs="宋体"/>
          <w:color w:val="auto"/>
          <w:spacing w:val="8"/>
          <w:sz w:val="20"/>
          <w:szCs w:val="20"/>
          <w:highlight w:val="none"/>
        </w:rPr>
        <w:t>”。</w:t>
      </w:r>
    </w:p>
    <w:p w14:paraId="346BA5D3">
      <w:pPr>
        <w:spacing w:before="31" w:line="433" w:lineRule="auto"/>
        <w:ind w:left="5" w:right="38" w:firstLine="423"/>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2.根据《财政部司法部关于政府采购支持监狱企业发展有关问题的通知》（财库〔2014〕68</w:t>
      </w:r>
      <w:r>
        <w:rPr>
          <w:rFonts w:ascii="宋体" w:hAnsi="宋体" w:eastAsia="宋体" w:cs="宋体"/>
          <w:color w:val="auto"/>
          <w:spacing w:val="-33"/>
          <w:sz w:val="20"/>
          <w:szCs w:val="20"/>
          <w:highlight w:val="none"/>
        </w:rPr>
        <w:t xml:space="preserve"> </w:t>
      </w:r>
      <w:r>
        <w:rPr>
          <w:rFonts w:ascii="宋体" w:hAnsi="宋体" w:eastAsia="宋体" w:cs="宋体"/>
          <w:color w:val="auto"/>
          <w:spacing w:val="6"/>
          <w:sz w:val="20"/>
          <w:szCs w:val="20"/>
          <w:highlight w:val="none"/>
        </w:rPr>
        <w:t>号）的规定，如供应商为监狱企业，本项目属于专门面向中小企业采购的项目，享受预留份额后不再进行价格</w:t>
      </w:r>
      <w:r>
        <w:rPr>
          <w:rFonts w:ascii="宋体" w:hAnsi="宋体" w:eastAsia="宋体" w:cs="宋体"/>
          <w:color w:val="auto"/>
          <w:spacing w:val="5"/>
          <w:sz w:val="20"/>
          <w:szCs w:val="20"/>
          <w:highlight w:val="none"/>
        </w:rPr>
        <w:t>折扣，</w:t>
      </w:r>
      <w:r>
        <w:rPr>
          <w:rFonts w:ascii="宋体" w:hAnsi="宋体" w:eastAsia="宋体" w:cs="宋体"/>
          <w:color w:val="auto"/>
          <w:spacing w:val="9"/>
          <w:sz w:val="20"/>
          <w:szCs w:val="20"/>
          <w:highlight w:val="none"/>
        </w:rPr>
        <w:t>具体详见“第四章 评审程序、评审方法和评审标</w:t>
      </w:r>
      <w:r>
        <w:rPr>
          <w:rFonts w:ascii="宋体" w:hAnsi="宋体" w:eastAsia="宋体" w:cs="宋体"/>
          <w:color w:val="auto"/>
          <w:spacing w:val="8"/>
          <w:sz w:val="20"/>
          <w:szCs w:val="20"/>
          <w:highlight w:val="none"/>
        </w:rPr>
        <w:t>准</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w:t>
      </w:r>
    </w:p>
    <w:p w14:paraId="623250BF">
      <w:pPr>
        <w:spacing w:before="32" w:line="433" w:lineRule="auto"/>
        <w:ind w:right="92" w:firstLine="429"/>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3.根据《关于促进残疾人就业政府采购政策的通</w:t>
      </w:r>
      <w:r>
        <w:rPr>
          <w:rFonts w:ascii="宋体" w:hAnsi="宋体" w:eastAsia="宋体" w:cs="宋体"/>
          <w:color w:val="auto"/>
          <w:spacing w:val="8"/>
          <w:sz w:val="20"/>
          <w:szCs w:val="20"/>
          <w:highlight w:val="none"/>
        </w:rPr>
        <w:t>知》（财库〔2017〕141</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号）的规定，如供应商为残</w:t>
      </w:r>
      <w:r>
        <w:rPr>
          <w:rFonts w:ascii="宋体" w:hAnsi="宋体" w:eastAsia="宋体" w:cs="宋体"/>
          <w:color w:val="auto"/>
          <w:spacing w:val="9"/>
          <w:sz w:val="20"/>
          <w:szCs w:val="20"/>
          <w:highlight w:val="none"/>
        </w:rPr>
        <w:t>疾人福利性单位，本项目属于专门面向中小企业采购的项目，享受预留份额后不再进行价格折扣，具体详见“第四章 评审程序、评审方法和评审标</w:t>
      </w:r>
      <w:r>
        <w:rPr>
          <w:rFonts w:ascii="宋体" w:hAnsi="宋体" w:eastAsia="宋体" w:cs="宋体"/>
          <w:color w:val="auto"/>
          <w:spacing w:val="8"/>
          <w:sz w:val="20"/>
          <w:szCs w:val="20"/>
          <w:highlight w:val="none"/>
        </w:rPr>
        <w:t>准</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w:t>
      </w:r>
    </w:p>
    <w:p w14:paraId="3FC89532">
      <w:pPr>
        <w:spacing w:before="33" w:line="428" w:lineRule="auto"/>
        <w:ind w:left="8" w:right="92" w:firstLine="41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4.“实质性要求</w:t>
      </w:r>
      <w:r>
        <w:rPr>
          <w:rFonts w:ascii="宋体" w:hAnsi="宋体" w:eastAsia="宋体" w:cs="宋体"/>
          <w:color w:val="auto"/>
          <w:spacing w:val="-55"/>
          <w:sz w:val="20"/>
          <w:szCs w:val="20"/>
          <w:highlight w:val="none"/>
        </w:rPr>
        <w:t xml:space="preserve"> </w:t>
      </w:r>
      <w:r>
        <w:rPr>
          <w:rFonts w:ascii="宋体" w:hAnsi="宋体" w:eastAsia="宋体" w:cs="宋体"/>
          <w:color w:val="auto"/>
          <w:spacing w:val="8"/>
          <w:sz w:val="20"/>
          <w:szCs w:val="20"/>
          <w:highlight w:val="none"/>
        </w:rPr>
        <w:t>”是指竞争性磋商文件中已经指明不满足则响应文件按无效响应处理的条款，或不能</w:t>
      </w:r>
      <w:r>
        <w:rPr>
          <w:rFonts w:ascii="宋体" w:hAnsi="宋体" w:eastAsia="宋体" w:cs="宋体"/>
          <w:color w:val="auto"/>
          <w:spacing w:val="7"/>
          <w:sz w:val="20"/>
          <w:szCs w:val="20"/>
          <w:highlight w:val="none"/>
        </w:rPr>
        <w:t>负偏离的条款，或采购需求中带“★”的条款。</w:t>
      </w:r>
    </w:p>
    <w:p w14:paraId="4DDE7551">
      <w:pPr>
        <w:spacing w:before="32" w:line="428" w:lineRule="auto"/>
        <w:ind w:left="10" w:firstLine="4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5.所属行业依照《中小企业划型标准规定》（工信部联企业〔2011</w:t>
      </w:r>
      <w:r>
        <w:rPr>
          <w:rFonts w:ascii="宋体" w:hAnsi="宋体" w:eastAsia="宋体" w:cs="宋体"/>
          <w:color w:val="auto"/>
          <w:spacing w:val="6"/>
          <w:sz w:val="20"/>
          <w:szCs w:val="20"/>
          <w:highlight w:val="none"/>
        </w:rPr>
        <w:t>〕300号）及《国民经济行业分类》</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GB</w:t>
      </w:r>
      <w:r>
        <w:rPr>
          <w:rFonts w:ascii="宋体" w:hAnsi="宋体" w:eastAsia="宋体" w:cs="宋体"/>
          <w:color w:val="auto"/>
          <w:spacing w:val="8"/>
          <w:sz w:val="20"/>
          <w:szCs w:val="20"/>
          <w:highlight w:val="none"/>
        </w:rPr>
        <w:t>/T4754-2017）的有关规定执行。本项目服务所属行业为</w:t>
      </w:r>
      <w:r>
        <w:rPr>
          <w:rFonts w:ascii="宋体" w:hAnsi="宋体" w:eastAsia="宋体" w:cs="宋体"/>
          <w:b/>
          <w:bCs/>
          <w:color w:val="auto"/>
          <w:spacing w:val="8"/>
          <w:sz w:val="20"/>
          <w:szCs w:val="20"/>
          <w:highlight w:val="none"/>
          <w:u w:val="single" w:color="auto"/>
        </w:rPr>
        <w:t>“其他未列明</w:t>
      </w:r>
      <w:r>
        <w:rPr>
          <w:rFonts w:ascii="宋体" w:hAnsi="宋体" w:eastAsia="宋体" w:cs="宋体"/>
          <w:b/>
          <w:bCs/>
          <w:color w:val="auto"/>
          <w:spacing w:val="7"/>
          <w:sz w:val="20"/>
          <w:szCs w:val="20"/>
          <w:highlight w:val="none"/>
          <w:u w:val="single" w:color="auto"/>
        </w:rPr>
        <w:t>行业</w:t>
      </w:r>
      <w:r>
        <w:rPr>
          <w:rFonts w:ascii="宋体" w:hAnsi="宋体" w:eastAsia="宋体" w:cs="宋体"/>
          <w:color w:val="auto"/>
          <w:spacing w:val="-70"/>
          <w:sz w:val="20"/>
          <w:szCs w:val="20"/>
          <w:highlight w:val="none"/>
          <w:u w:val="single" w:color="auto"/>
        </w:rPr>
        <w:t xml:space="preserve"> </w:t>
      </w:r>
      <w:r>
        <w:rPr>
          <w:rFonts w:ascii="宋体" w:hAnsi="宋体" w:eastAsia="宋体" w:cs="宋体"/>
          <w:b/>
          <w:bCs/>
          <w:color w:val="auto"/>
          <w:spacing w:val="7"/>
          <w:sz w:val="20"/>
          <w:szCs w:val="20"/>
          <w:highlight w:val="none"/>
          <w:u w:val="single" w:color="auto"/>
        </w:rPr>
        <w:t>”</w:t>
      </w:r>
      <w:r>
        <w:rPr>
          <w:rFonts w:ascii="宋体" w:hAnsi="宋体" w:eastAsia="宋体" w:cs="宋体"/>
          <w:color w:val="auto"/>
          <w:spacing w:val="7"/>
          <w:sz w:val="20"/>
          <w:szCs w:val="20"/>
          <w:highlight w:val="none"/>
        </w:rPr>
        <w:t>。</w:t>
      </w:r>
    </w:p>
    <w:p w14:paraId="27ACD642">
      <w:pPr>
        <w:spacing w:before="33" w:line="227" w:lineRule="auto"/>
        <w:ind w:left="4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6.供应商必须自行为其磋商产品侵犯他人的知识产权或专利成果的行为承担相应法律责任。</w:t>
      </w:r>
    </w:p>
    <w:p w14:paraId="014B3009">
      <w:pPr>
        <w:spacing w:line="227" w:lineRule="auto"/>
        <w:rPr>
          <w:rFonts w:ascii="宋体" w:hAnsi="宋体" w:eastAsia="宋体" w:cs="宋体"/>
          <w:color w:val="auto"/>
          <w:sz w:val="20"/>
          <w:szCs w:val="20"/>
          <w:highlight w:val="none"/>
        </w:rPr>
        <w:sectPr>
          <w:footerReference r:id="rId21" w:type="default"/>
          <w:pgSz w:w="11906" w:h="16839"/>
          <w:pgMar w:top="1252" w:right="1041" w:bottom="1362" w:left="1140" w:header="0" w:footer="1200" w:gutter="0"/>
          <w:pgNumType w:fmt="decimal"/>
          <w:cols w:space="720" w:num="1"/>
        </w:sectPr>
      </w:pPr>
    </w:p>
    <w:p w14:paraId="34B469CC">
      <w:pPr>
        <w:spacing w:line="140" w:lineRule="exact"/>
        <w:rPr>
          <w:color w:val="auto"/>
          <w:highlight w:val="none"/>
        </w:rPr>
      </w:pPr>
    </w:p>
    <w:tbl>
      <w:tblPr>
        <w:tblStyle w:val="18"/>
        <w:tblW w:w="985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8"/>
        <w:gridCol w:w="1249"/>
        <w:gridCol w:w="1078"/>
        <w:gridCol w:w="7083"/>
      </w:tblGrid>
      <w:tr w14:paraId="44183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858" w:type="dxa"/>
            <w:gridSpan w:val="4"/>
            <w:tcBorders>
              <w:left w:val="single" w:color="000000" w:sz="6" w:space="0"/>
              <w:right w:val="single" w:color="000000" w:sz="6" w:space="0"/>
            </w:tcBorders>
            <w:vAlign w:val="top"/>
          </w:tcPr>
          <w:p w14:paraId="61B8E131">
            <w:pPr>
              <w:pStyle w:val="19"/>
              <w:spacing w:before="200" w:line="228" w:lineRule="auto"/>
              <w:ind w:left="113"/>
              <w:rPr>
                <w:color w:val="auto"/>
                <w:sz w:val="24"/>
                <w:szCs w:val="24"/>
                <w:highlight w:val="none"/>
              </w:rPr>
            </w:pPr>
            <w:r>
              <w:rPr>
                <w:b/>
                <w:bCs/>
                <w:color w:val="auto"/>
                <w:spacing w:val="7"/>
                <w:sz w:val="24"/>
                <w:szCs w:val="24"/>
                <w:highlight w:val="none"/>
              </w:rPr>
              <w:t>一、项目技术需求表</w:t>
            </w:r>
          </w:p>
        </w:tc>
      </w:tr>
      <w:tr w14:paraId="7F3DD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448" w:type="dxa"/>
            <w:tcBorders>
              <w:left w:val="single" w:color="000000" w:sz="6" w:space="0"/>
              <w:right w:val="single" w:color="000000" w:sz="6" w:space="0"/>
            </w:tcBorders>
            <w:textDirection w:val="tbRlV"/>
            <w:vAlign w:val="top"/>
          </w:tcPr>
          <w:p w14:paraId="6F44C7FC">
            <w:pPr>
              <w:pStyle w:val="19"/>
              <w:spacing w:before="114" w:line="218" w:lineRule="auto"/>
              <w:ind w:left="173"/>
              <w:rPr>
                <w:color w:val="auto"/>
                <w:sz w:val="24"/>
                <w:szCs w:val="24"/>
                <w:highlight w:val="none"/>
              </w:rPr>
            </w:pPr>
            <w:r>
              <w:rPr>
                <w:b/>
                <w:bCs/>
                <w:color w:val="auto"/>
                <w:spacing w:val="6"/>
                <w:sz w:val="24"/>
                <w:szCs w:val="24"/>
                <w:highlight w:val="none"/>
              </w:rPr>
              <w:t>序号</w:t>
            </w:r>
          </w:p>
        </w:tc>
        <w:tc>
          <w:tcPr>
            <w:tcW w:w="1249" w:type="dxa"/>
            <w:tcBorders>
              <w:left w:val="single" w:color="000000" w:sz="6" w:space="0"/>
              <w:right w:val="single" w:color="000000" w:sz="6" w:space="0"/>
            </w:tcBorders>
            <w:vAlign w:val="top"/>
          </w:tcPr>
          <w:p w14:paraId="063849B0">
            <w:pPr>
              <w:spacing w:line="314" w:lineRule="auto"/>
              <w:rPr>
                <w:rFonts w:ascii="Arial"/>
                <w:color w:val="auto"/>
                <w:sz w:val="24"/>
                <w:szCs w:val="24"/>
                <w:highlight w:val="none"/>
              </w:rPr>
            </w:pPr>
          </w:p>
          <w:p w14:paraId="21F60C5A">
            <w:pPr>
              <w:pStyle w:val="19"/>
              <w:spacing w:before="65" w:line="228" w:lineRule="auto"/>
              <w:ind w:left="197"/>
              <w:rPr>
                <w:color w:val="auto"/>
                <w:sz w:val="24"/>
                <w:szCs w:val="24"/>
                <w:highlight w:val="none"/>
              </w:rPr>
            </w:pPr>
            <w:r>
              <w:rPr>
                <w:b/>
                <w:bCs/>
                <w:color w:val="auto"/>
                <w:spacing w:val="5"/>
                <w:sz w:val="24"/>
                <w:szCs w:val="24"/>
                <w:highlight w:val="none"/>
              </w:rPr>
              <w:t>服务名称</w:t>
            </w:r>
          </w:p>
        </w:tc>
        <w:tc>
          <w:tcPr>
            <w:tcW w:w="1078" w:type="dxa"/>
            <w:tcBorders>
              <w:left w:val="single" w:color="000000" w:sz="6" w:space="0"/>
              <w:right w:val="single" w:color="000000" w:sz="6" w:space="0"/>
            </w:tcBorders>
            <w:vAlign w:val="top"/>
          </w:tcPr>
          <w:p w14:paraId="496B08CC">
            <w:pPr>
              <w:pStyle w:val="19"/>
              <w:spacing w:before="174" w:line="312" w:lineRule="auto"/>
              <w:ind w:left="219" w:right="115" w:hanging="108"/>
              <w:rPr>
                <w:color w:val="auto"/>
                <w:sz w:val="24"/>
                <w:szCs w:val="24"/>
                <w:highlight w:val="none"/>
              </w:rPr>
            </w:pPr>
            <w:r>
              <w:rPr>
                <w:b/>
                <w:bCs/>
                <w:color w:val="auto"/>
                <w:spacing w:val="6"/>
                <w:sz w:val="24"/>
                <w:szCs w:val="24"/>
                <w:highlight w:val="none"/>
              </w:rPr>
              <w:t>采购数量</w:t>
            </w:r>
            <w:r>
              <w:rPr>
                <w:b/>
                <w:bCs/>
                <w:color w:val="auto"/>
                <w:spacing w:val="5"/>
                <w:sz w:val="24"/>
                <w:szCs w:val="24"/>
                <w:highlight w:val="none"/>
              </w:rPr>
              <w:t>及单位</w:t>
            </w:r>
          </w:p>
        </w:tc>
        <w:tc>
          <w:tcPr>
            <w:tcW w:w="7083" w:type="dxa"/>
            <w:tcBorders>
              <w:left w:val="single" w:color="000000" w:sz="6" w:space="0"/>
              <w:right w:val="single" w:color="000000" w:sz="6" w:space="0"/>
            </w:tcBorders>
            <w:vAlign w:val="top"/>
          </w:tcPr>
          <w:p w14:paraId="2F427398">
            <w:pPr>
              <w:spacing w:line="315" w:lineRule="auto"/>
              <w:rPr>
                <w:rFonts w:ascii="Arial"/>
                <w:color w:val="auto"/>
                <w:sz w:val="24"/>
                <w:szCs w:val="24"/>
                <w:highlight w:val="none"/>
              </w:rPr>
            </w:pPr>
          </w:p>
          <w:p w14:paraId="159F009B">
            <w:pPr>
              <w:pStyle w:val="19"/>
              <w:spacing w:before="65" w:line="227" w:lineRule="auto"/>
              <w:ind w:left="2066"/>
              <w:rPr>
                <w:color w:val="auto"/>
                <w:sz w:val="24"/>
                <w:szCs w:val="24"/>
                <w:highlight w:val="none"/>
              </w:rPr>
            </w:pPr>
            <w:r>
              <w:rPr>
                <w:b/>
                <w:bCs/>
                <w:color w:val="auto"/>
                <w:spacing w:val="6"/>
                <w:sz w:val="24"/>
                <w:szCs w:val="24"/>
                <w:highlight w:val="none"/>
              </w:rPr>
              <w:t>项目采购需求（配置技术参数）</w:t>
            </w:r>
          </w:p>
        </w:tc>
      </w:tr>
      <w:tr w14:paraId="5458C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48" w:type="dxa"/>
            <w:vAlign w:val="center"/>
          </w:tcPr>
          <w:p w14:paraId="284DDA58">
            <w:pPr>
              <w:pStyle w:val="19"/>
              <w:spacing w:before="65" w:line="189" w:lineRule="auto"/>
              <w:ind w:left="0"/>
              <w:jc w:val="center"/>
              <w:rPr>
                <w:color w:val="auto"/>
                <w:sz w:val="24"/>
                <w:szCs w:val="24"/>
                <w:highlight w:val="none"/>
              </w:rPr>
            </w:pPr>
            <w:r>
              <w:rPr>
                <w:b/>
                <w:bCs/>
                <w:color w:val="auto"/>
                <w:spacing w:val="-3"/>
                <w:sz w:val="24"/>
                <w:szCs w:val="24"/>
                <w:highlight w:val="none"/>
              </w:rPr>
              <w:t>1</w:t>
            </w:r>
          </w:p>
        </w:tc>
        <w:tc>
          <w:tcPr>
            <w:tcW w:w="1249" w:type="dxa"/>
            <w:vAlign w:val="center"/>
          </w:tcPr>
          <w:p w14:paraId="5C8B0655">
            <w:pPr>
              <w:jc w:val="center"/>
              <w:rPr>
                <w:color w:val="auto"/>
                <w:sz w:val="24"/>
                <w:szCs w:val="24"/>
                <w:highlight w:val="none"/>
              </w:rPr>
            </w:pPr>
            <w:r>
              <w:rPr>
                <w:rFonts w:hint="eastAsia" w:ascii="Arial" w:hAnsi="Arial" w:eastAsia="Arial" w:cs="Arial"/>
                <w:snapToGrid w:val="0"/>
                <w:color w:val="auto"/>
                <w:kern w:val="0"/>
                <w:sz w:val="24"/>
                <w:szCs w:val="24"/>
                <w:highlight w:val="none"/>
                <w:lang w:val="en-US" w:eastAsia="zh-CN" w:bidi="ar-SA"/>
              </w:rPr>
              <w:t>西南岩溶国家公园等自然保护地重点生态产品普查和价值实现路径研究</w:t>
            </w:r>
          </w:p>
        </w:tc>
        <w:tc>
          <w:tcPr>
            <w:tcW w:w="1078" w:type="dxa"/>
            <w:vAlign w:val="center"/>
          </w:tcPr>
          <w:p w14:paraId="3610F97E">
            <w:pPr>
              <w:pStyle w:val="19"/>
              <w:spacing w:before="65" w:line="228" w:lineRule="auto"/>
              <w:ind w:left="0" w:leftChars="0"/>
              <w:jc w:val="center"/>
              <w:rPr>
                <w:color w:val="auto"/>
                <w:sz w:val="24"/>
                <w:szCs w:val="24"/>
                <w:highlight w:val="none"/>
              </w:rPr>
            </w:pPr>
            <w:r>
              <w:rPr>
                <w:rFonts w:hint="eastAsia" w:ascii="Arial" w:hAnsi="Arial" w:eastAsia="Arial" w:cs="Arial"/>
                <w:snapToGrid w:val="0"/>
                <w:color w:val="auto"/>
                <w:kern w:val="0"/>
                <w:sz w:val="24"/>
                <w:szCs w:val="24"/>
                <w:highlight w:val="none"/>
                <w:lang w:val="en-US" w:eastAsia="zh-CN" w:bidi="ar-SA"/>
              </w:rPr>
              <w:t>1项</w:t>
            </w:r>
          </w:p>
        </w:tc>
        <w:tc>
          <w:tcPr>
            <w:tcW w:w="7083" w:type="dxa"/>
            <w:vAlign w:val="top"/>
          </w:tcPr>
          <w:p w14:paraId="7C9D9800">
            <w:pPr>
              <w:keepNext w:val="0"/>
              <w:keepLines w:val="0"/>
              <w:pageBreakBefore w:val="0"/>
              <w:widowControl w:val="0"/>
              <w:numPr>
                <w:ilvl w:val="0"/>
                <w:numId w:val="0"/>
              </w:numPr>
              <w:kinsoku/>
              <w:wordWrap/>
              <w:overflowPunct/>
              <w:topLinePunct w:val="0"/>
              <w:autoSpaceDE/>
              <w:autoSpaceDN/>
              <w:bidi w:val="0"/>
              <w:adjustRightInd/>
              <w:snapToGrid/>
              <w:spacing w:before="172" w:line="400" w:lineRule="exact"/>
              <w:ind w:left="113" w:right="108" w:firstLine="480" w:firstLineChars="200"/>
              <w:jc w:val="left"/>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一、工作任务</w:t>
            </w:r>
          </w:p>
          <w:p w14:paraId="3D844785">
            <w:pPr>
              <w:keepNext w:val="0"/>
              <w:keepLines w:val="0"/>
              <w:pageBreakBefore w:val="0"/>
              <w:widowControl w:val="0"/>
              <w:numPr>
                <w:ilvl w:val="0"/>
                <w:numId w:val="0"/>
              </w:numPr>
              <w:kinsoku/>
              <w:wordWrap/>
              <w:overflowPunct/>
              <w:topLinePunct w:val="0"/>
              <w:autoSpaceDE/>
              <w:autoSpaceDN/>
              <w:bidi w:val="0"/>
              <w:adjustRightInd/>
              <w:snapToGrid/>
              <w:spacing w:before="172" w:line="400" w:lineRule="exact"/>
              <w:ind w:left="113" w:right="108" w:firstLine="480" w:firstLineChars="200"/>
              <w:jc w:val="left"/>
              <w:textAlignment w:val="auto"/>
              <w:outlineLvl w:val="9"/>
              <w:rPr>
                <w:rFonts w:hint="eastAsia"/>
                <w:color w:val="auto"/>
                <w:sz w:val="24"/>
                <w:szCs w:val="24"/>
                <w:highlight w:val="none"/>
                <w:u w:val="single"/>
                <w:lang w:val="en-US" w:eastAsia="zh-CN"/>
              </w:rPr>
            </w:pPr>
            <w:r>
              <w:rPr>
                <w:rFonts w:hint="eastAsia"/>
                <w:color w:val="auto"/>
                <w:sz w:val="24"/>
                <w:szCs w:val="24"/>
                <w:highlight w:val="none"/>
                <w:lang w:val="en-US" w:eastAsia="zh-CN"/>
              </w:rPr>
              <w:t>1. 选择西南岩溶国家公园拟创建区（广西），4处自然保护区，7处自然公园（风景名胜区，森林公园，湿地公园，地质公园等类型）等各级各类自然保护地，研究其生态产品价值实现机制，提炼不少于12个相关典型案例，总结其实现模式、基本经验及推广意义，编制形成《西南岩溶国家公园等自然保护地生态产品价值实现典型案例》。</w:t>
            </w:r>
          </w:p>
          <w:p w14:paraId="6B54CF3C">
            <w:pPr>
              <w:keepNext w:val="0"/>
              <w:keepLines w:val="0"/>
              <w:pageBreakBefore w:val="0"/>
              <w:widowControl w:val="0"/>
              <w:numPr>
                <w:ilvl w:val="0"/>
                <w:numId w:val="0"/>
              </w:numPr>
              <w:kinsoku/>
              <w:wordWrap/>
              <w:overflowPunct/>
              <w:topLinePunct w:val="0"/>
              <w:autoSpaceDE/>
              <w:autoSpaceDN/>
              <w:bidi w:val="0"/>
              <w:adjustRightInd/>
              <w:snapToGrid/>
              <w:spacing w:before="172" w:line="400" w:lineRule="exact"/>
              <w:ind w:left="113" w:right="108" w:firstLine="480" w:firstLineChars="200"/>
              <w:jc w:val="left"/>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2. 以西南岩溶国家公园拟创建区的广西雅长兰科植物国家级自然保护区为试点单位，核算该国家级自然保护区2024年供给服务、调节服务、文化服务等生态系统服务的价值量，并在此基础上提出符合西南岩溶国家公园的GEP核算框架（指标体系、算法、数据来源和统计口径等）。</w:t>
            </w:r>
            <w:r>
              <w:rPr>
                <w:rFonts w:hint="eastAsia"/>
                <w:color w:val="auto"/>
                <w:sz w:val="24"/>
                <w:szCs w:val="24"/>
                <w:highlight w:val="none"/>
                <w:u w:val="none"/>
                <w:lang w:val="en-US" w:eastAsia="zh-CN"/>
              </w:rPr>
              <w:t>编制形成</w:t>
            </w:r>
            <w:r>
              <w:rPr>
                <w:rFonts w:hint="eastAsia"/>
                <w:color w:val="auto"/>
                <w:sz w:val="24"/>
                <w:szCs w:val="24"/>
                <w:highlight w:val="none"/>
                <w:lang w:val="en-US" w:eastAsia="zh-CN"/>
              </w:rPr>
              <w:t>《广西雅长兰科植物国家级自然保护区2024年生态产品价值核算报告》。</w:t>
            </w:r>
          </w:p>
          <w:p w14:paraId="6854293F">
            <w:pPr>
              <w:keepNext w:val="0"/>
              <w:keepLines w:val="0"/>
              <w:pageBreakBefore w:val="0"/>
              <w:widowControl w:val="0"/>
              <w:numPr>
                <w:ilvl w:val="0"/>
                <w:numId w:val="0"/>
              </w:numPr>
              <w:kinsoku/>
              <w:wordWrap/>
              <w:overflowPunct/>
              <w:topLinePunct w:val="0"/>
              <w:autoSpaceDE/>
              <w:autoSpaceDN/>
              <w:bidi w:val="0"/>
              <w:adjustRightInd/>
              <w:snapToGrid/>
              <w:spacing w:before="172" w:line="400" w:lineRule="exact"/>
              <w:ind w:left="113" w:right="108"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3.结合前期调查结果，选择西南岩溶国家公园拟创建区（广西），4处自然保护区，7处自然公园（风景名胜区，森林公园，湿地公园，地质公园等类型）等各级各类自然保护地作为试点，研究生态产品价值实现模式，提出实现路径。</w:t>
            </w:r>
            <w:r>
              <w:rPr>
                <w:rFonts w:hint="eastAsia"/>
                <w:color w:val="auto"/>
                <w:sz w:val="24"/>
                <w:szCs w:val="24"/>
                <w:highlight w:val="none"/>
                <w:u w:val="none"/>
                <w:lang w:val="en-US" w:eastAsia="zh-CN"/>
              </w:rPr>
              <w:t>编制形成</w:t>
            </w:r>
            <w:r>
              <w:rPr>
                <w:rFonts w:hint="eastAsia"/>
                <w:color w:val="auto"/>
                <w:sz w:val="24"/>
                <w:szCs w:val="24"/>
                <w:highlight w:val="none"/>
                <w:lang w:val="en-US" w:eastAsia="zh-CN"/>
              </w:rPr>
              <w:t>《西南岩溶国家公园等自然保护地生态产品价值实现路径研究报告》。</w:t>
            </w:r>
          </w:p>
          <w:p w14:paraId="6FF38470">
            <w:pPr>
              <w:keepNext w:val="0"/>
              <w:keepLines w:val="0"/>
              <w:pageBreakBefore w:val="0"/>
              <w:widowControl w:val="0"/>
              <w:numPr>
                <w:ilvl w:val="0"/>
                <w:numId w:val="0"/>
              </w:numPr>
              <w:kinsoku/>
              <w:wordWrap/>
              <w:overflowPunct/>
              <w:topLinePunct w:val="0"/>
              <w:autoSpaceDE/>
              <w:autoSpaceDN/>
              <w:bidi w:val="0"/>
              <w:adjustRightInd/>
              <w:snapToGrid/>
              <w:spacing w:before="172" w:line="400" w:lineRule="exact"/>
              <w:ind w:left="113" w:right="108" w:firstLine="480" w:firstLineChars="200"/>
              <w:jc w:val="left"/>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二、提交成果</w:t>
            </w:r>
          </w:p>
          <w:p w14:paraId="3157DFAB">
            <w:pPr>
              <w:keepNext w:val="0"/>
              <w:keepLines w:val="0"/>
              <w:pageBreakBefore w:val="0"/>
              <w:widowControl w:val="0"/>
              <w:numPr>
                <w:ilvl w:val="0"/>
                <w:numId w:val="0"/>
              </w:numPr>
              <w:kinsoku/>
              <w:wordWrap/>
              <w:overflowPunct/>
              <w:topLinePunct w:val="0"/>
              <w:autoSpaceDE/>
              <w:autoSpaceDN/>
              <w:bidi w:val="0"/>
              <w:adjustRightInd/>
              <w:snapToGrid/>
              <w:spacing w:before="172" w:line="400" w:lineRule="exact"/>
              <w:ind w:left="113" w:right="108" w:firstLine="480" w:firstLineChars="200"/>
              <w:jc w:val="left"/>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西南岩溶国家公园等自然保护地生态产品价值实现典型案例》、《广西雅长兰科植物国家级自然保护区2024年生态产品价值核算报告》、《西南岩溶国家公园等自然保护地生态产品价值实现路径研究报告》（文本形式，电子版1份，纸质版一式10份）。</w:t>
            </w:r>
          </w:p>
          <w:p w14:paraId="2D0C0A16">
            <w:pPr>
              <w:keepNext w:val="0"/>
              <w:keepLines w:val="0"/>
              <w:pageBreakBefore w:val="0"/>
              <w:widowControl w:val="0"/>
              <w:numPr>
                <w:ilvl w:val="0"/>
                <w:numId w:val="0"/>
              </w:numPr>
              <w:kinsoku/>
              <w:wordWrap/>
              <w:overflowPunct/>
              <w:topLinePunct w:val="0"/>
              <w:autoSpaceDE/>
              <w:autoSpaceDN/>
              <w:bidi w:val="0"/>
              <w:adjustRightInd/>
              <w:snapToGrid/>
              <w:spacing w:before="172" w:line="400" w:lineRule="exact"/>
              <w:ind w:left="113" w:right="108"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三、项目服务期限</w:t>
            </w:r>
          </w:p>
          <w:p w14:paraId="489DB86A">
            <w:pPr>
              <w:widowControl w:val="0"/>
              <w:numPr>
                <w:ilvl w:val="0"/>
                <w:numId w:val="0"/>
              </w:numPr>
              <w:kinsoku/>
              <w:autoSpaceDE/>
              <w:autoSpaceDN/>
              <w:adjustRightInd/>
              <w:snapToGrid/>
              <w:spacing w:before="172" w:line="400" w:lineRule="exact"/>
              <w:ind w:left="113" w:right="108" w:firstLine="480" w:firstLineChars="200"/>
              <w:textAlignment w:val="auto"/>
              <w:outlineLvl w:val="9"/>
              <w:rPr>
                <w:color w:val="auto"/>
                <w:sz w:val="24"/>
                <w:szCs w:val="24"/>
                <w:highlight w:val="none"/>
              </w:rPr>
            </w:pPr>
            <w:r>
              <w:rPr>
                <w:rFonts w:hint="default"/>
                <w:color w:val="auto"/>
                <w:sz w:val="24"/>
                <w:szCs w:val="24"/>
                <w:highlight w:val="none"/>
                <w:lang w:val="en-US" w:eastAsia="zh-CN"/>
              </w:rPr>
              <w:t>2025年12月10日前提交成果并验收通过。</w:t>
            </w:r>
          </w:p>
        </w:tc>
      </w:tr>
      <w:tr w14:paraId="66608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9858" w:type="dxa"/>
            <w:gridSpan w:val="4"/>
            <w:vAlign w:val="top"/>
          </w:tcPr>
          <w:p w14:paraId="62334FCC">
            <w:pPr>
              <w:pStyle w:val="19"/>
              <w:spacing w:before="278" w:line="228" w:lineRule="auto"/>
              <w:ind w:left="118"/>
              <w:rPr>
                <w:color w:val="auto"/>
                <w:sz w:val="24"/>
                <w:szCs w:val="24"/>
                <w:highlight w:val="none"/>
              </w:rPr>
            </w:pPr>
            <w:r>
              <w:rPr>
                <w:b/>
                <w:bCs/>
                <w:color w:val="auto"/>
                <w:spacing w:val="6"/>
                <w:sz w:val="24"/>
                <w:szCs w:val="24"/>
                <w:highlight w:val="none"/>
              </w:rPr>
              <w:t>二、商务要求表</w:t>
            </w:r>
          </w:p>
        </w:tc>
      </w:tr>
      <w:tr w14:paraId="50DFF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2" w:hRule="atLeast"/>
        </w:trPr>
        <w:tc>
          <w:tcPr>
            <w:tcW w:w="1697" w:type="dxa"/>
            <w:gridSpan w:val="2"/>
            <w:vAlign w:val="top"/>
          </w:tcPr>
          <w:p w14:paraId="065766D3">
            <w:pPr>
              <w:spacing w:line="360" w:lineRule="auto"/>
              <w:rPr>
                <w:rFonts w:hint="eastAsia" w:ascii="Arial" w:hAnsi="Arial" w:eastAsia="Arial" w:cs="Arial"/>
                <w:snapToGrid w:val="0"/>
                <w:color w:val="auto"/>
                <w:kern w:val="0"/>
                <w:sz w:val="24"/>
                <w:szCs w:val="24"/>
                <w:highlight w:val="none"/>
                <w:lang w:val="en-US" w:eastAsia="zh-CN" w:bidi="ar-SA"/>
              </w:rPr>
            </w:pPr>
          </w:p>
          <w:p w14:paraId="1031132D">
            <w:pPr>
              <w:spacing w:line="360" w:lineRule="auto"/>
              <w:rPr>
                <w:rFonts w:hint="eastAsia" w:ascii="Arial" w:hAnsi="Arial" w:eastAsia="Arial" w:cs="Arial"/>
                <w:snapToGrid w:val="0"/>
                <w:color w:val="auto"/>
                <w:kern w:val="0"/>
                <w:sz w:val="24"/>
                <w:szCs w:val="24"/>
                <w:highlight w:val="none"/>
                <w:lang w:val="en-US" w:eastAsia="zh-CN" w:bidi="ar-SA"/>
              </w:rPr>
            </w:pPr>
          </w:p>
          <w:p w14:paraId="40D8A0F1">
            <w:pPr>
              <w:spacing w:line="360" w:lineRule="auto"/>
              <w:rPr>
                <w:rFonts w:hint="eastAsia" w:ascii="Arial" w:hAnsi="Arial" w:eastAsia="Arial" w:cs="Arial"/>
                <w:snapToGrid w:val="0"/>
                <w:color w:val="auto"/>
                <w:kern w:val="0"/>
                <w:sz w:val="24"/>
                <w:szCs w:val="24"/>
                <w:highlight w:val="none"/>
                <w:lang w:val="en-US" w:eastAsia="zh-CN" w:bidi="ar-SA"/>
              </w:rPr>
            </w:pPr>
          </w:p>
          <w:p w14:paraId="370C47FD">
            <w:pPr>
              <w:pStyle w:val="19"/>
              <w:spacing w:before="65" w:line="360" w:lineRule="auto"/>
              <w:ind w:left="121" w:leftChars="0"/>
              <w:rPr>
                <w:color w:val="auto"/>
                <w:sz w:val="24"/>
                <w:szCs w:val="24"/>
                <w:highlight w:val="none"/>
              </w:rPr>
            </w:pPr>
            <w:r>
              <w:rPr>
                <w:rFonts w:hint="eastAsia" w:ascii="Arial" w:hAnsi="Arial" w:eastAsia="Arial" w:cs="Arial"/>
                <w:snapToGrid w:val="0"/>
                <w:color w:val="auto"/>
                <w:kern w:val="0"/>
                <w:sz w:val="24"/>
                <w:szCs w:val="24"/>
                <w:highlight w:val="none"/>
                <w:lang w:val="en-US" w:eastAsia="zh-CN" w:bidi="ar-SA"/>
              </w:rPr>
              <w:t>★磋商报价要求</w:t>
            </w:r>
          </w:p>
        </w:tc>
        <w:tc>
          <w:tcPr>
            <w:tcW w:w="8161" w:type="dxa"/>
            <w:gridSpan w:val="2"/>
            <w:vAlign w:val="top"/>
          </w:tcPr>
          <w:p w14:paraId="78E61F37">
            <w:pPr>
              <w:pStyle w:val="19"/>
              <w:autoSpaceDE/>
              <w:autoSpaceDN/>
              <w:spacing w:before="33" w:line="360" w:lineRule="auto"/>
              <w:ind w:left="113" w:right="109" w:firstLine="420"/>
              <w:jc w:val="left"/>
              <w:rPr>
                <w:rFonts w:hint="default" w:ascii="Arial" w:hAnsi="Arial" w:eastAsia="Arial" w:cs="Arial"/>
                <w:snapToGrid w:val="0"/>
                <w:color w:val="auto"/>
                <w:kern w:val="0"/>
                <w:sz w:val="24"/>
                <w:szCs w:val="24"/>
                <w:highlight w:val="none"/>
                <w:lang w:val="en-US" w:eastAsia="zh-CN" w:bidi="ar-SA"/>
              </w:rPr>
            </w:pPr>
            <w:r>
              <w:rPr>
                <w:rFonts w:hint="default" w:ascii="Arial" w:hAnsi="Arial" w:eastAsia="Arial" w:cs="Arial"/>
                <w:snapToGrid w:val="0"/>
                <w:color w:val="auto"/>
                <w:kern w:val="0"/>
                <w:sz w:val="24"/>
                <w:szCs w:val="24"/>
                <w:highlight w:val="none"/>
                <w:lang w:val="en-US" w:eastAsia="en-US" w:bidi="ar-SA"/>
              </w:rPr>
              <w:t>1.</w:t>
            </w:r>
            <w:r>
              <w:rPr>
                <w:rFonts w:hint="eastAsia" w:ascii="Arial" w:hAnsi="Arial" w:eastAsia="Arial" w:cs="Arial"/>
                <w:snapToGrid w:val="0"/>
                <w:color w:val="auto"/>
                <w:kern w:val="0"/>
                <w:sz w:val="24"/>
                <w:szCs w:val="24"/>
                <w:highlight w:val="none"/>
                <w:lang w:val="en-US" w:eastAsia="zh-CN" w:bidi="ar-SA"/>
              </w:rPr>
              <w:t>磋商报价为供应商指定地点的完成采购人全部服务内容的所有费用，包含但不限于实施和完成本项目全部工作所需的人员工资及福利、办公设备、调研费、差旅费、咨询服务、专家评审费、方案评审会费用、印制费、保险、税费、售后服务、利润和招标代理服务费等与业务有关一切费用，供应商自行考虑完成项目所需的人力、物力等，磋商报价中应包含全部内容，国家规定的相关价格调整系数供应商须自行考虑在内，成交</w:t>
            </w:r>
            <w:r>
              <w:rPr>
                <w:rFonts w:hint="default" w:ascii="Arial" w:hAnsi="Arial" w:eastAsia="Arial" w:cs="Arial"/>
                <w:snapToGrid w:val="0"/>
                <w:color w:val="auto"/>
                <w:kern w:val="0"/>
                <w:sz w:val="24"/>
                <w:szCs w:val="24"/>
                <w:highlight w:val="none"/>
                <w:lang w:val="en-US" w:eastAsia="zh-CN" w:bidi="ar-SA"/>
              </w:rPr>
              <w:t>后采购人不再另行支付额外费用。</w:t>
            </w:r>
          </w:p>
          <w:p w14:paraId="0F270723">
            <w:pPr>
              <w:pStyle w:val="19"/>
              <w:autoSpaceDE/>
              <w:autoSpaceDN/>
              <w:spacing w:before="33" w:line="360" w:lineRule="auto"/>
              <w:ind w:left="113" w:leftChars="0" w:right="109" w:rightChars="0" w:firstLine="420" w:firstLineChars="0"/>
              <w:jc w:val="left"/>
              <w:rPr>
                <w:rFonts w:hint="eastAsia" w:eastAsia="宋体"/>
                <w:color w:val="auto"/>
                <w:sz w:val="24"/>
                <w:szCs w:val="24"/>
                <w:highlight w:val="none"/>
                <w:lang w:eastAsia="zh-CN"/>
              </w:rPr>
            </w:pPr>
            <w:r>
              <w:rPr>
                <w:rFonts w:hint="default" w:ascii="Arial" w:hAnsi="Arial" w:eastAsia="Arial" w:cs="Arial"/>
                <w:snapToGrid w:val="0"/>
                <w:color w:val="auto"/>
                <w:kern w:val="0"/>
                <w:sz w:val="24"/>
                <w:szCs w:val="24"/>
                <w:highlight w:val="none"/>
                <w:lang w:val="en-US" w:eastAsia="zh-CN" w:bidi="ar-SA"/>
              </w:rPr>
              <w:t>2.有效的供应商的报价≤本项目的采购预算。</w:t>
            </w:r>
          </w:p>
        </w:tc>
      </w:tr>
      <w:tr w14:paraId="7B5F2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97" w:type="dxa"/>
            <w:gridSpan w:val="2"/>
            <w:vAlign w:val="top"/>
          </w:tcPr>
          <w:p w14:paraId="4DC29E6B">
            <w:pPr>
              <w:pStyle w:val="19"/>
              <w:spacing w:before="283" w:line="363" w:lineRule="auto"/>
              <w:ind w:left="539" w:leftChars="0" w:right="112" w:rightChars="0" w:hanging="418" w:firstLineChars="0"/>
              <w:rPr>
                <w:color w:val="auto"/>
                <w:sz w:val="24"/>
                <w:szCs w:val="24"/>
                <w:highlight w:val="none"/>
              </w:rPr>
            </w:pPr>
            <w:r>
              <w:rPr>
                <w:rFonts w:hint="eastAsia" w:ascii="Arial" w:hAnsi="Arial" w:eastAsia="Arial" w:cs="Arial"/>
                <w:snapToGrid w:val="0"/>
                <w:color w:val="auto"/>
                <w:kern w:val="0"/>
                <w:sz w:val="24"/>
                <w:szCs w:val="24"/>
                <w:highlight w:val="none"/>
                <w:lang w:val="en-US" w:eastAsia="zh-CN" w:bidi="ar-SA"/>
              </w:rPr>
              <w:t>★服务期限及服务地点</w:t>
            </w:r>
          </w:p>
        </w:tc>
        <w:tc>
          <w:tcPr>
            <w:tcW w:w="8161" w:type="dxa"/>
            <w:gridSpan w:val="2"/>
            <w:vAlign w:val="center"/>
          </w:tcPr>
          <w:p w14:paraId="57B3C9F7">
            <w:pPr>
              <w:pStyle w:val="19"/>
              <w:autoSpaceDE/>
              <w:autoSpaceDN/>
              <w:spacing w:before="33" w:line="360" w:lineRule="auto"/>
              <w:ind w:left="113" w:leftChars="0" w:right="109" w:rightChars="0" w:firstLine="420" w:firstLineChars="0"/>
              <w:jc w:val="left"/>
              <w:rPr>
                <w:rFonts w:hint="eastAsia" w:ascii="Arial" w:hAnsi="Arial" w:eastAsia="Arial" w:cs="Arial"/>
                <w:snapToGrid w:val="0"/>
                <w:color w:val="auto"/>
                <w:kern w:val="0"/>
                <w:sz w:val="24"/>
                <w:szCs w:val="24"/>
                <w:highlight w:val="none"/>
                <w:lang w:val="en-US" w:eastAsia="zh-CN" w:bidi="ar-SA"/>
              </w:rPr>
            </w:pPr>
            <w:r>
              <w:rPr>
                <w:rFonts w:hint="eastAsia" w:ascii="Arial" w:hAnsi="Arial" w:eastAsia="Arial" w:cs="Arial"/>
                <w:snapToGrid w:val="0"/>
                <w:color w:val="auto"/>
                <w:kern w:val="0"/>
                <w:sz w:val="24"/>
                <w:szCs w:val="24"/>
                <w:highlight w:val="none"/>
                <w:lang w:val="en-US" w:eastAsia="zh-CN" w:bidi="ar-SA"/>
              </w:rPr>
              <w:t>1.服务期限：合同签订之日起4个月内提交初稿，6个月内提交服务成果终稿。</w:t>
            </w:r>
          </w:p>
          <w:p w14:paraId="18BE5795">
            <w:pPr>
              <w:pStyle w:val="19"/>
              <w:autoSpaceDE/>
              <w:autoSpaceDN/>
              <w:spacing w:before="33" w:line="360" w:lineRule="auto"/>
              <w:ind w:left="113" w:leftChars="0" w:right="109" w:rightChars="0" w:firstLine="420" w:firstLineChars="0"/>
              <w:jc w:val="left"/>
              <w:rPr>
                <w:color w:val="auto"/>
                <w:spacing w:val="8"/>
                <w:sz w:val="24"/>
                <w:szCs w:val="24"/>
                <w:highlight w:val="none"/>
              </w:rPr>
            </w:pPr>
            <w:r>
              <w:rPr>
                <w:rFonts w:hint="eastAsia" w:ascii="Arial" w:hAnsi="Arial" w:eastAsia="Arial" w:cs="Arial"/>
                <w:snapToGrid w:val="0"/>
                <w:color w:val="auto"/>
                <w:kern w:val="0"/>
                <w:sz w:val="24"/>
                <w:szCs w:val="24"/>
                <w:highlight w:val="none"/>
                <w:lang w:val="en-US" w:eastAsia="zh-CN" w:bidi="ar-SA"/>
              </w:rPr>
              <w:t>2.服务地点：</w:t>
            </w:r>
            <w:r>
              <w:rPr>
                <w:rFonts w:hint="default" w:ascii="Arial" w:hAnsi="Arial" w:eastAsia="Arial" w:cs="Arial"/>
                <w:snapToGrid w:val="0"/>
                <w:color w:val="auto"/>
                <w:kern w:val="0"/>
                <w:sz w:val="24"/>
                <w:szCs w:val="24"/>
                <w:highlight w:val="none"/>
                <w:lang w:val="en-US" w:eastAsia="zh-CN" w:bidi="ar-SA"/>
              </w:rPr>
              <w:t>广西壮族自治区林业局</w:t>
            </w:r>
            <w:r>
              <w:rPr>
                <w:rFonts w:hint="eastAsia" w:ascii="Arial" w:hAnsi="Arial" w:eastAsia="Arial" w:cs="Arial"/>
                <w:snapToGrid w:val="0"/>
                <w:color w:val="auto"/>
                <w:kern w:val="0"/>
                <w:sz w:val="24"/>
                <w:szCs w:val="24"/>
                <w:highlight w:val="none"/>
                <w:lang w:val="en-US" w:eastAsia="zh-CN" w:bidi="ar-SA"/>
              </w:rPr>
              <w:t>采购人指定地点。</w:t>
            </w:r>
          </w:p>
        </w:tc>
      </w:tr>
      <w:tr w14:paraId="55D84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697" w:type="dxa"/>
            <w:gridSpan w:val="2"/>
            <w:vAlign w:val="center"/>
          </w:tcPr>
          <w:p w14:paraId="4906B4DC">
            <w:pPr>
              <w:pStyle w:val="19"/>
              <w:spacing w:before="65" w:line="228" w:lineRule="auto"/>
              <w:ind w:left="0" w:leftChars="0"/>
              <w:jc w:val="center"/>
              <w:rPr>
                <w:color w:val="auto"/>
                <w:spacing w:val="7"/>
                <w:sz w:val="24"/>
                <w:szCs w:val="24"/>
                <w:highlight w:val="none"/>
              </w:rPr>
            </w:pPr>
            <w:r>
              <w:rPr>
                <w:rFonts w:hint="eastAsia" w:ascii="Arial" w:hAnsi="Arial" w:eastAsia="Arial" w:cs="Arial"/>
                <w:snapToGrid w:val="0"/>
                <w:color w:val="auto"/>
                <w:kern w:val="0"/>
                <w:sz w:val="24"/>
                <w:szCs w:val="24"/>
                <w:highlight w:val="none"/>
                <w:lang w:val="en-US" w:eastAsia="zh-CN" w:bidi="ar-SA"/>
              </w:rPr>
              <w:t>付款方式</w:t>
            </w:r>
          </w:p>
        </w:tc>
        <w:tc>
          <w:tcPr>
            <w:tcW w:w="8161" w:type="dxa"/>
            <w:gridSpan w:val="2"/>
            <w:vAlign w:val="top"/>
          </w:tcPr>
          <w:p w14:paraId="2A5A4C89">
            <w:pPr>
              <w:pStyle w:val="19"/>
              <w:spacing w:before="33" w:line="360" w:lineRule="auto"/>
              <w:ind w:left="113" w:leftChars="0" w:right="109" w:rightChars="0" w:firstLine="420" w:firstLineChars="0"/>
              <w:rPr>
                <w:color w:val="auto"/>
                <w:spacing w:val="7"/>
                <w:sz w:val="24"/>
                <w:szCs w:val="24"/>
                <w:highlight w:val="none"/>
              </w:rPr>
            </w:pPr>
            <w:r>
              <w:rPr>
                <w:rFonts w:hint="eastAsia" w:ascii="Arial" w:hAnsi="Arial" w:eastAsia="Arial" w:cs="Arial"/>
                <w:snapToGrid w:val="0"/>
                <w:color w:val="auto"/>
                <w:kern w:val="0"/>
                <w:sz w:val="24"/>
                <w:szCs w:val="24"/>
                <w:highlight w:val="none"/>
                <w:lang w:val="en-US" w:eastAsia="zh-CN" w:bidi="ar-SA"/>
              </w:rPr>
              <w:t>自合同签订之日起十个工作日内由采购人支付给成交供应商合同总额的50%，项目经验收通过后十个工作日内支付合同总额的50%。成交供应商在采购人支付每笔款项前五个工作日内开具足额发票给采购人。</w:t>
            </w:r>
          </w:p>
        </w:tc>
      </w:tr>
      <w:tr w14:paraId="5CAC7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697" w:type="dxa"/>
            <w:gridSpan w:val="2"/>
            <w:vAlign w:val="center"/>
          </w:tcPr>
          <w:p w14:paraId="582F865D">
            <w:pPr>
              <w:jc w:val="center"/>
              <w:rPr>
                <w:rFonts w:hint="default" w:eastAsia="宋体"/>
                <w:color w:val="auto"/>
                <w:spacing w:val="7"/>
                <w:sz w:val="24"/>
                <w:szCs w:val="24"/>
                <w:highlight w:val="none"/>
                <w:lang w:val="en-US" w:eastAsia="zh-CN"/>
              </w:rPr>
            </w:pPr>
            <w:r>
              <w:rPr>
                <w:rFonts w:hint="eastAsia"/>
                <w:color w:val="auto"/>
                <w:spacing w:val="7"/>
                <w:sz w:val="24"/>
                <w:szCs w:val="24"/>
                <w:highlight w:val="none"/>
                <w:lang w:val="en-US" w:eastAsia="zh-CN"/>
              </w:rPr>
              <w:t>后续服务要求</w:t>
            </w:r>
          </w:p>
        </w:tc>
        <w:tc>
          <w:tcPr>
            <w:tcW w:w="8161" w:type="dxa"/>
            <w:gridSpan w:val="2"/>
            <w:vAlign w:val="top"/>
          </w:tcPr>
          <w:p w14:paraId="291F91BF">
            <w:pPr>
              <w:pStyle w:val="19"/>
              <w:spacing w:before="33" w:line="360" w:lineRule="auto"/>
              <w:ind w:left="113" w:leftChars="0" w:right="109" w:rightChars="0" w:firstLine="420" w:firstLineChars="0"/>
              <w:rPr>
                <w:color w:val="auto"/>
                <w:spacing w:val="9"/>
                <w:sz w:val="24"/>
                <w:szCs w:val="24"/>
                <w:highlight w:val="none"/>
              </w:rPr>
            </w:pPr>
            <w:r>
              <w:rPr>
                <w:rFonts w:hint="eastAsia"/>
                <w:color w:val="auto"/>
                <w:spacing w:val="9"/>
                <w:sz w:val="24"/>
                <w:szCs w:val="24"/>
                <w:highlight w:val="none"/>
              </w:rPr>
              <w:t>服务成果后的1年内，处理问题响应时间：接到采购人处理问题通知后24小时内到达采购人指定现场，并在8小时内处理好常规性问题。如遇特殊情况下，与</w:t>
            </w:r>
            <w:r>
              <w:rPr>
                <w:rFonts w:hint="eastAsia"/>
                <w:color w:val="auto"/>
                <w:spacing w:val="9"/>
                <w:sz w:val="24"/>
                <w:szCs w:val="24"/>
                <w:highlight w:val="none"/>
                <w:lang w:val="en-US" w:eastAsia="zh-CN"/>
              </w:rPr>
              <w:t>采购人</w:t>
            </w:r>
            <w:r>
              <w:rPr>
                <w:rFonts w:hint="eastAsia"/>
                <w:color w:val="auto"/>
                <w:spacing w:val="9"/>
                <w:sz w:val="24"/>
                <w:szCs w:val="24"/>
                <w:highlight w:val="none"/>
              </w:rPr>
              <w:t>进一步协商。</w:t>
            </w:r>
          </w:p>
        </w:tc>
      </w:tr>
      <w:tr w14:paraId="4B28F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97" w:type="dxa"/>
            <w:gridSpan w:val="2"/>
            <w:vAlign w:val="center"/>
          </w:tcPr>
          <w:p w14:paraId="0E5AD08F">
            <w:pPr>
              <w:pStyle w:val="19"/>
              <w:spacing w:before="33" w:line="360" w:lineRule="auto"/>
              <w:ind w:left="0" w:leftChars="0" w:right="109" w:rightChars="0" w:firstLine="0" w:firstLineChars="0"/>
              <w:jc w:val="both"/>
              <w:rPr>
                <w:rFonts w:hint="eastAsia"/>
                <w:color w:val="auto"/>
                <w:spacing w:val="7"/>
                <w:sz w:val="40"/>
                <w:szCs w:val="40"/>
                <w:highlight w:val="none"/>
                <w:lang w:val="en-US" w:eastAsia="zh-CN"/>
              </w:rPr>
            </w:pPr>
            <w:r>
              <w:rPr>
                <w:color w:val="auto"/>
                <w:spacing w:val="9"/>
                <w:sz w:val="24"/>
                <w:szCs w:val="24"/>
                <w:highlight w:val="none"/>
              </w:rPr>
              <w:t>合同签订时间</w:t>
            </w:r>
          </w:p>
        </w:tc>
        <w:tc>
          <w:tcPr>
            <w:tcW w:w="8161" w:type="dxa"/>
            <w:gridSpan w:val="2"/>
            <w:vAlign w:val="center"/>
          </w:tcPr>
          <w:p w14:paraId="700865B0">
            <w:pPr>
              <w:pStyle w:val="19"/>
              <w:spacing w:before="33" w:line="360" w:lineRule="auto"/>
              <w:ind w:left="113" w:leftChars="0" w:right="109" w:rightChars="0" w:firstLine="420" w:firstLineChars="0"/>
              <w:jc w:val="left"/>
              <w:rPr>
                <w:rFonts w:hint="eastAsia"/>
                <w:color w:val="auto"/>
                <w:spacing w:val="9"/>
                <w:sz w:val="40"/>
                <w:szCs w:val="40"/>
                <w:highlight w:val="none"/>
              </w:rPr>
            </w:pPr>
            <w:r>
              <w:rPr>
                <w:color w:val="auto"/>
                <w:spacing w:val="9"/>
                <w:sz w:val="24"/>
                <w:szCs w:val="24"/>
                <w:highlight w:val="none"/>
              </w:rPr>
              <w:t>自成交通知书发出之日起25个日历日内。</w:t>
            </w:r>
          </w:p>
        </w:tc>
      </w:tr>
      <w:tr w14:paraId="0682B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697" w:type="dxa"/>
            <w:gridSpan w:val="2"/>
            <w:vAlign w:val="center"/>
          </w:tcPr>
          <w:p w14:paraId="108736EF">
            <w:pPr>
              <w:pStyle w:val="19"/>
              <w:spacing w:before="33" w:line="360" w:lineRule="auto"/>
              <w:ind w:left="0" w:leftChars="0" w:right="109" w:rightChars="0" w:firstLine="0" w:firstLineChars="0"/>
              <w:jc w:val="center"/>
              <w:rPr>
                <w:color w:val="auto"/>
                <w:spacing w:val="9"/>
                <w:sz w:val="40"/>
                <w:szCs w:val="40"/>
                <w:highlight w:val="none"/>
              </w:rPr>
            </w:pPr>
            <w:r>
              <w:rPr>
                <w:color w:val="auto"/>
                <w:spacing w:val="9"/>
                <w:sz w:val="24"/>
                <w:szCs w:val="24"/>
                <w:highlight w:val="none"/>
              </w:rPr>
              <w:t>服务标准</w:t>
            </w:r>
          </w:p>
        </w:tc>
        <w:tc>
          <w:tcPr>
            <w:tcW w:w="8161" w:type="dxa"/>
            <w:gridSpan w:val="2"/>
            <w:vAlign w:val="center"/>
          </w:tcPr>
          <w:p w14:paraId="5319D9A0">
            <w:pPr>
              <w:pStyle w:val="19"/>
              <w:spacing w:before="33" w:line="360" w:lineRule="auto"/>
              <w:ind w:left="113" w:leftChars="0" w:right="109" w:rightChars="0" w:firstLine="420" w:firstLineChars="0"/>
              <w:jc w:val="left"/>
              <w:rPr>
                <w:color w:val="auto"/>
                <w:spacing w:val="9"/>
                <w:sz w:val="40"/>
                <w:szCs w:val="40"/>
                <w:highlight w:val="none"/>
              </w:rPr>
            </w:pPr>
            <w:r>
              <w:rPr>
                <w:color w:val="auto"/>
                <w:spacing w:val="9"/>
                <w:sz w:val="24"/>
                <w:szCs w:val="24"/>
                <w:highlight w:val="none"/>
              </w:rPr>
              <w:t>须执行国家标准、行业标准、地方标准或者其他标准、规范。</w:t>
            </w:r>
          </w:p>
        </w:tc>
      </w:tr>
      <w:tr w14:paraId="1E178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697" w:type="dxa"/>
            <w:gridSpan w:val="2"/>
            <w:vAlign w:val="top"/>
          </w:tcPr>
          <w:p w14:paraId="2A02E078">
            <w:pPr>
              <w:spacing w:line="360" w:lineRule="auto"/>
              <w:rPr>
                <w:rFonts w:ascii="Arial"/>
                <w:color w:val="auto"/>
                <w:sz w:val="24"/>
                <w:szCs w:val="24"/>
                <w:highlight w:val="none"/>
              </w:rPr>
            </w:pPr>
          </w:p>
          <w:p w14:paraId="5F2111B4">
            <w:pPr>
              <w:spacing w:line="360" w:lineRule="auto"/>
              <w:rPr>
                <w:rFonts w:ascii="Arial"/>
                <w:color w:val="auto"/>
                <w:sz w:val="24"/>
                <w:szCs w:val="24"/>
                <w:highlight w:val="none"/>
              </w:rPr>
            </w:pPr>
          </w:p>
          <w:p w14:paraId="71EFA935">
            <w:pPr>
              <w:spacing w:line="360" w:lineRule="auto"/>
              <w:rPr>
                <w:rFonts w:ascii="Arial"/>
                <w:color w:val="auto"/>
                <w:sz w:val="24"/>
                <w:szCs w:val="24"/>
                <w:highlight w:val="none"/>
              </w:rPr>
            </w:pPr>
          </w:p>
          <w:p w14:paraId="26EE5283">
            <w:pPr>
              <w:spacing w:line="360" w:lineRule="auto"/>
              <w:rPr>
                <w:rFonts w:ascii="Arial"/>
                <w:color w:val="auto"/>
                <w:sz w:val="24"/>
                <w:szCs w:val="24"/>
                <w:highlight w:val="none"/>
              </w:rPr>
            </w:pPr>
          </w:p>
          <w:p w14:paraId="3C25B3B3">
            <w:pPr>
              <w:spacing w:line="360" w:lineRule="auto"/>
              <w:rPr>
                <w:rFonts w:ascii="Arial"/>
                <w:color w:val="auto"/>
                <w:sz w:val="24"/>
                <w:szCs w:val="24"/>
                <w:highlight w:val="none"/>
              </w:rPr>
            </w:pPr>
          </w:p>
          <w:p w14:paraId="5FEADE9F">
            <w:pPr>
              <w:spacing w:line="360" w:lineRule="auto"/>
              <w:rPr>
                <w:rFonts w:ascii="Arial"/>
                <w:color w:val="auto"/>
                <w:sz w:val="24"/>
                <w:szCs w:val="24"/>
                <w:highlight w:val="none"/>
              </w:rPr>
            </w:pPr>
          </w:p>
          <w:p w14:paraId="2BD5C331">
            <w:pPr>
              <w:spacing w:line="360" w:lineRule="auto"/>
              <w:rPr>
                <w:rFonts w:ascii="Arial"/>
                <w:color w:val="auto"/>
                <w:sz w:val="24"/>
                <w:szCs w:val="24"/>
                <w:highlight w:val="none"/>
              </w:rPr>
            </w:pPr>
          </w:p>
          <w:p w14:paraId="591A41DB">
            <w:pPr>
              <w:spacing w:line="360" w:lineRule="auto"/>
              <w:rPr>
                <w:rFonts w:ascii="Arial"/>
                <w:color w:val="auto"/>
                <w:sz w:val="24"/>
                <w:szCs w:val="24"/>
                <w:highlight w:val="none"/>
              </w:rPr>
            </w:pPr>
          </w:p>
          <w:p w14:paraId="0F2107CD">
            <w:pPr>
              <w:spacing w:line="360" w:lineRule="auto"/>
              <w:rPr>
                <w:rFonts w:ascii="Arial"/>
                <w:color w:val="auto"/>
                <w:sz w:val="24"/>
                <w:szCs w:val="24"/>
                <w:highlight w:val="none"/>
              </w:rPr>
            </w:pPr>
          </w:p>
          <w:p w14:paraId="3D20FBAC">
            <w:pPr>
              <w:spacing w:line="360" w:lineRule="auto"/>
              <w:rPr>
                <w:rFonts w:ascii="Arial"/>
                <w:color w:val="auto"/>
                <w:sz w:val="24"/>
                <w:szCs w:val="24"/>
                <w:highlight w:val="none"/>
              </w:rPr>
            </w:pPr>
          </w:p>
          <w:p w14:paraId="318B883D">
            <w:pPr>
              <w:spacing w:line="360" w:lineRule="auto"/>
              <w:rPr>
                <w:rFonts w:ascii="Arial"/>
                <w:color w:val="auto"/>
                <w:sz w:val="24"/>
                <w:szCs w:val="24"/>
                <w:highlight w:val="none"/>
              </w:rPr>
            </w:pPr>
          </w:p>
          <w:p w14:paraId="658BCAF9">
            <w:pPr>
              <w:spacing w:line="360" w:lineRule="auto"/>
              <w:rPr>
                <w:rFonts w:ascii="Arial"/>
                <w:color w:val="auto"/>
                <w:sz w:val="24"/>
                <w:szCs w:val="24"/>
                <w:highlight w:val="none"/>
              </w:rPr>
            </w:pPr>
          </w:p>
          <w:p w14:paraId="1D501694">
            <w:pPr>
              <w:spacing w:line="360" w:lineRule="auto"/>
              <w:rPr>
                <w:rFonts w:ascii="Arial"/>
                <w:color w:val="auto"/>
                <w:sz w:val="24"/>
                <w:szCs w:val="24"/>
                <w:highlight w:val="none"/>
              </w:rPr>
            </w:pPr>
          </w:p>
          <w:p w14:paraId="067D48F7">
            <w:pPr>
              <w:spacing w:line="360" w:lineRule="auto"/>
              <w:rPr>
                <w:rFonts w:ascii="Arial"/>
                <w:color w:val="auto"/>
                <w:sz w:val="24"/>
                <w:szCs w:val="24"/>
                <w:highlight w:val="none"/>
              </w:rPr>
            </w:pPr>
          </w:p>
          <w:p w14:paraId="42C64679">
            <w:pPr>
              <w:spacing w:line="360" w:lineRule="auto"/>
              <w:rPr>
                <w:rFonts w:ascii="Arial"/>
                <w:color w:val="auto"/>
                <w:sz w:val="24"/>
                <w:szCs w:val="24"/>
                <w:highlight w:val="none"/>
              </w:rPr>
            </w:pPr>
          </w:p>
          <w:p w14:paraId="19161285">
            <w:pPr>
              <w:pStyle w:val="19"/>
              <w:spacing w:before="65" w:line="360" w:lineRule="auto"/>
              <w:ind w:left="330" w:leftChars="0"/>
              <w:rPr>
                <w:color w:val="auto"/>
                <w:spacing w:val="9"/>
                <w:sz w:val="40"/>
                <w:szCs w:val="40"/>
                <w:highlight w:val="none"/>
              </w:rPr>
            </w:pPr>
            <w:r>
              <w:rPr>
                <w:color w:val="auto"/>
                <w:spacing w:val="7"/>
                <w:sz w:val="24"/>
                <w:szCs w:val="24"/>
                <w:highlight w:val="none"/>
              </w:rPr>
              <w:t>★其他要求</w:t>
            </w:r>
          </w:p>
        </w:tc>
        <w:tc>
          <w:tcPr>
            <w:tcW w:w="8161" w:type="dxa"/>
            <w:gridSpan w:val="2"/>
            <w:vAlign w:val="top"/>
          </w:tcPr>
          <w:p w14:paraId="4FF98F48">
            <w:pPr>
              <w:pStyle w:val="19"/>
              <w:spacing w:before="33" w:line="360" w:lineRule="auto"/>
              <w:ind w:left="113" w:right="109" w:firstLine="420"/>
              <w:rPr>
                <w:color w:val="auto"/>
                <w:spacing w:val="9"/>
                <w:sz w:val="24"/>
                <w:szCs w:val="24"/>
                <w:highlight w:val="none"/>
              </w:rPr>
            </w:pPr>
            <w:r>
              <w:rPr>
                <w:color w:val="auto"/>
                <w:spacing w:val="9"/>
                <w:sz w:val="24"/>
                <w:szCs w:val="24"/>
                <w:highlight w:val="none"/>
              </w:rPr>
              <w:t>1.采购人对本项目成果提出完善要求的，供应商应无条件予以配合和落实。</w:t>
            </w:r>
          </w:p>
          <w:p w14:paraId="281AAC06">
            <w:pPr>
              <w:pStyle w:val="19"/>
              <w:spacing w:before="33" w:line="360" w:lineRule="auto"/>
              <w:ind w:left="113" w:right="109" w:firstLine="420"/>
              <w:rPr>
                <w:color w:val="auto"/>
                <w:spacing w:val="9"/>
                <w:sz w:val="24"/>
                <w:szCs w:val="24"/>
                <w:highlight w:val="none"/>
              </w:rPr>
            </w:pPr>
            <w:r>
              <w:rPr>
                <w:color w:val="auto"/>
                <w:spacing w:val="9"/>
                <w:sz w:val="24"/>
                <w:szCs w:val="24"/>
                <w:highlight w:val="none"/>
              </w:rPr>
              <w:t>2.保证后期跟踪服务质量，成交供应商须指派专人负责与采购单位联系服务事宜、指导采购单位正确使用成果材料等。</w:t>
            </w:r>
          </w:p>
          <w:p w14:paraId="27A52612">
            <w:pPr>
              <w:pStyle w:val="19"/>
              <w:spacing w:before="33" w:line="360" w:lineRule="auto"/>
              <w:ind w:left="113" w:right="109" w:firstLine="420"/>
              <w:rPr>
                <w:color w:val="auto"/>
                <w:spacing w:val="9"/>
                <w:sz w:val="24"/>
                <w:szCs w:val="24"/>
                <w:highlight w:val="none"/>
              </w:rPr>
            </w:pPr>
            <w:r>
              <w:rPr>
                <w:color w:val="auto"/>
                <w:spacing w:val="9"/>
                <w:sz w:val="24"/>
                <w:szCs w:val="24"/>
                <w:highlight w:val="none"/>
              </w:rPr>
              <w:t>3.本项目所有文档最终须向采购人提供纸质和电子文档，所有的技术文件必须用中文书写或有完整的中文注释，套数按采购人的要求。</w:t>
            </w:r>
          </w:p>
          <w:p w14:paraId="46D48E84">
            <w:pPr>
              <w:pStyle w:val="19"/>
              <w:spacing w:before="33" w:line="360" w:lineRule="auto"/>
              <w:ind w:left="113" w:right="109" w:firstLine="420"/>
              <w:rPr>
                <w:color w:val="auto"/>
                <w:spacing w:val="9"/>
                <w:sz w:val="24"/>
                <w:szCs w:val="24"/>
                <w:highlight w:val="none"/>
              </w:rPr>
            </w:pPr>
            <w:r>
              <w:rPr>
                <w:color w:val="auto"/>
                <w:spacing w:val="9"/>
                <w:sz w:val="24"/>
                <w:szCs w:val="24"/>
                <w:highlight w:val="none"/>
              </w:rPr>
              <w:t>4.成交供应商提交的服务成果文件有下列情形之一的，项目采购人将有权终止合同，造成损失的，将由成交供应商承担由此所产生的所有损失。</w:t>
            </w:r>
          </w:p>
          <w:p w14:paraId="5A7D3C97">
            <w:pPr>
              <w:pStyle w:val="19"/>
              <w:spacing w:before="33" w:line="360" w:lineRule="auto"/>
              <w:ind w:left="113" w:right="109" w:firstLine="420"/>
              <w:rPr>
                <w:color w:val="auto"/>
                <w:spacing w:val="9"/>
                <w:sz w:val="24"/>
                <w:szCs w:val="24"/>
                <w:highlight w:val="none"/>
              </w:rPr>
            </w:pPr>
            <w:r>
              <w:rPr>
                <w:color w:val="auto"/>
                <w:spacing w:val="9"/>
                <w:sz w:val="24"/>
                <w:szCs w:val="24"/>
                <w:highlight w:val="none"/>
              </w:rPr>
              <w:t>（1）提交的服务成果文件不符合本项目采购需求和说明规定的；</w:t>
            </w:r>
          </w:p>
          <w:p w14:paraId="26500E0D">
            <w:pPr>
              <w:pStyle w:val="19"/>
              <w:spacing w:before="33" w:line="360" w:lineRule="auto"/>
              <w:ind w:left="113" w:right="109" w:firstLine="420"/>
              <w:rPr>
                <w:color w:val="auto"/>
                <w:spacing w:val="9"/>
                <w:sz w:val="24"/>
                <w:szCs w:val="24"/>
                <w:highlight w:val="none"/>
              </w:rPr>
            </w:pPr>
            <w:r>
              <w:rPr>
                <w:color w:val="auto"/>
                <w:spacing w:val="9"/>
                <w:sz w:val="24"/>
                <w:szCs w:val="24"/>
                <w:highlight w:val="none"/>
              </w:rPr>
              <w:t>（2）提交的服务成果文件（图纸或文字）辨认不清，内容不全或粗制滥造的；</w:t>
            </w:r>
          </w:p>
          <w:p w14:paraId="7C6935A0">
            <w:pPr>
              <w:pStyle w:val="19"/>
              <w:spacing w:before="33" w:line="360" w:lineRule="auto"/>
              <w:ind w:left="113" w:right="109" w:firstLine="420"/>
              <w:rPr>
                <w:color w:val="auto"/>
                <w:spacing w:val="9"/>
                <w:sz w:val="24"/>
                <w:szCs w:val="24"/>
                <w:highlight w:val="none"/>
              </w:rPr>
            </w:pPr>
            <w:r>
              <w:rPr>
                <w:color w:val="auto"/>
                <w:spacing w:val="9"/>
                <w:sz w:val="24"/>
                <w:szCs w:val="24"/>
                <w:highlight w:val="none"/>
              </w:rPr>
              <w:t>（3）未经采购人同意，逾期上报服务成果文件的；</w:t>
            </w:r>
          </w:p>
          <w:p w14:paraId="57306DC9">
            <w:pPr>
              <w:pStyle w:val="19"/>
              <w:spacing w:before="33" w:line="360" w:lineRule="auto"/>
              <w:ind w:left="113" w:right="109" w:firstLine="420"/>
              <w:rPr>
                <w:color w:val="auto"/>
                <w:spacing w:val="9"/>
                <w:sz w:val="24"/>
                <w:szCs w:val="24"/>
                <w:highlight w:val="none"/>
              </w:rPr>
            </w:pPr>
            <w:r>
              <w:rPr>
                <w:color w:val="auto"/>
                <w:spacing w:val="9"/>
                <w:sz w:val="24"/>
                <w:szCs w:val="24"/>
                <w:highlight w:val="none"/>
              </w:rPr>
              <w:t>（4）编制的服务成果文件不能通过法定程序审批的；</w:t>
            </w:r>
          </w:p>
          <w:p w14:paraId="214B4C84">
            <w:pPr>
              <w:pStyle w:val="19"/>
              <w:spacing w:before="33" w:line="360" w:lineRule="auto"/>
              <w:ind w:left="113" w:right="109" w:firstLine="420"/>
              <w:rPr>
                <w:color w:val="auto"/>
                <w:spacing w:val="9"/>
                <w:sz w:val="24"/>
                <w:szCs w:val="24"/>
                <w:highlight w:val="none"/>
              </w:rPr>
            </w:pPr>
            <w:r>
              <w:rPr>
                <w:color w:val="auto"/>
                <w:spacing w:val="9"/>
                <w:sz w:val="24"/>
                <w:szCs w:val="24"/>
                <w:highlight w:val="none"/>
              </w:rPr>
              <w:t>（5）成交供应商未经采购人正式书面同意擅自修改服务成果文件的。</w:t>
            </w:r>
          </w:p>
          <w:p w14:paraId="60F6CB45">
            <w:pPr>
              <w:pStyle w:val="19"/>
              <w:spacing w:before="33" w:line="360" w:lineRule="auto"/>
              <w:ind w:left="113" w:right="109" w:firstLine="420"/>
              <w:rPr>
                <w:color w:val="auto"/>
                <w:spacing w:val="9"/>
                <w:sz w:val="24"/>
                <w:szCs w:val="24"/>
                <w:highlight w:val="none"/>
              </w:rPr>
            </w:pPr>
            <w:r>
              <w:rPr>
                <w:color w:val="auto"/>
                <w:spacing w:val="9"/>
                <w:sz w:val="24"/>
                <w:szCs w:val="24"/>
                <w:highlight w:val="none"/>
              </w:rPr>
              <w:t>5.成交供应商必须严格遵守采购人各项管理规定，在任何情况下，禁止复制、传播、引用及所接触到的采购人各类业务数据、工作措施等信息，如出现业务数据、涉密数据泄漏，采购人将终止服务合同，并将追究成交供应商相关法律责任。</w:t>
            </w:r>
          </w:p>
          <w:p w14:paraId="78E194EE">
            <w:pPr>
              <w:pStyle w:val="19"/>
              <w:spacing w:before="33" w:line="360" w:lineRule="auto"/>
              <w:ind w:left="113" w:right="109" w:firstLine="420"/>
              <w:rPr>
                <w:color w:val="auto"/>
                <w:sz w:val="24"/>
                <w:szCs w:val="24"/>
                <w:highlight w:val="none"/>
              </w:rPr>
            </w:pPr>
            <w:r>
              <w:rPr>
                <w:color w:val="auto"/>
                <w:spacing w:val="9"/>
                <w:sz w:val="24"/>
                <w:szCs w:val="24"/>
                <w:highlight w:val="none"/>
              </w:rPr>
              <w:t>6.成交供应商须承担参与实施本项目人员的工资、福利、意外保险及其他社会保险 等，承担项目实施期间所发生的安全责任事故、用工意外伤害等事故责任。</w:t>
            </w:r>
          </w:p>
          <w:p w14:paraId="73487BAF">
            <w:pPr>
              <w:pStyle w:val="19"/>
              <w:spacing w:before="31" w:line="360" w:lineRule="auto"/>
              <w:ind w:left="0" w:leftChars="0" w:firstLine="512" w:firstLineChars="200"/>
              <w:rPr>
                <w:color w:val="auto"/>
                <w:spacing w:val="9"/>
                <w:sz w:val="40"/>
                <w:szCs w:val="40"/>
                <w:highlight w:val="none"/>
              </w:rPr>
            </w:pPr>
            <w:r>
              <w:rPr>
                <w:color w:val="auto"/>
                <w:spacing w:val="8"/>
                <w:sz w:val="24"/>
                <w:szCs w:val="24"/>
                <w:highlight w:val="none"/>
              </w:rPr>
              <w:t>7.成交供应商必须对其响应文件中提供各种资料、说明的真实性负责。如发现成交</w:t>
            </w:r>
            <w:r>
              <w:rPr>
                <w:rFonts w:hint="eastAsia"/>
                <w:color w:val="auto"/>
                <w:spacing w:val="8"/>
                <w:sz w:val="24"/>
                <w:szCs w:val="24"/>
                <w:highlight w:val="none"/>
              </w:rPr>
              <w:t>人是提供虚假材料谋取成交资格，采购人将取消其成交资格并上报监督管理部门，给采购人造成损失的，将由成交供应商承担由此所产生的所有损失。</w:t>
            </w:r>
          </w:p>
        </w:tc>
      </w:tr>
      <w:tr w14:paraId="3997E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trPr>
        <w:tc>
          <w:tcPr>
            <w:tcW w:w="1697" w:type="dxa"/>
            <w:gridSpan w:val="2"/>
            <w:vAlign w:val="top"/>
          </w:tcPr>
          <w:p w14:paraId="2D74DFC9">
            <w:pPr>
              <w:spacing w:line="244" w:lineRule="auto"/>
              <w:rPr>
                <w:rFonts w:ascii="Arial"/>
                <w:color w:val="auto"/>
                <w:sz w:val="24"/>
                <w:szCs w:val="24"/>
                <w:highlight w:val="none"/>
              </w:rPr>
            </w:pPr>
          </w:p>
          <w:p w14:paraId="2CC7C5B8">
            <w:pPr>
              <w:spacing w:line="244" w:lineRule="auto"/>
              <w:rPr>
                <w:rFonts w:ascii="Arial"/>
                <w:color w:val="auto"/>
                <w:sz w:val="24"/>
                <w:szCs w:val="24"/>
                <w:highlight w:val="none"/>
              </w:rPr>
            </w:pPr>
          </w:p>
          <w:p w14:paraId="607040A4">
            <w:pPr>
              <w:spacing w:line="245" w:lineRule="auto"/>
              <w:rPr>
                <w:rFonts w:ascii="Arial"/>
                <w:color w:val="auto"/>
                <w:sz w:val="24"/>
                <w:szCs w:val="24"/>
                <w:highlight w:val="none"/>
              </w:rPr>
            </w:pPr>
          </w:p>
          <w:p w14:paraId="0665E06C">
            <w:pPr>
              <w:pStyle w:val="19"/>
              <w:spacing w:before="65" w:line="228" w:lineRule="auto"/>
              <w:ind w:left="431" w:leftChars="0"/>
              <w:rPr>
                <w:color w:val="auto"/>
                <w:spacing w:val="9"/>
                <w:sz w:val="40"/>
                <w:szCs w:val="40"/>
                <w:highlight w:val="none"/>
              </w:rPr>
            </w:pPr>
            <w:r>
              <w:rPr>
                <w:color w:val="auto"/>
                <w:spacing w:val="7"/>
                <w:sz w:val="24"/>
                <w:szCs w:val="24"/>
                <w:highlight w:val="none"/>
              </w:rPr>
              <w:t>验收标准</w:t>
            </w:r>
          </w:p>
        </w:tc>
        <w:tc>
          <w:tcPr>
            <w:tcW w:w="8161" w:type="dxa"/>
            <w:gridSpan w:val="2"/>
            <w:vAlign w:val="top"/>
          </w:tcPr>
          <w:p w14:paraId="5D4DF1B1">
            <w:pPr>
              <w:pStyle w:val="19"/>
              <w:spacing w:before="31" w:line="360" w:lineRule="auto"/>
              <w:ind w:left="0" w:firstLine="512" w:firstLineChars="200"/>
              <w:rPr>
                <w:rFonts w:hint="eastAsia"/>
                <w:color w:val="auto"/>
                <w:spacing w:val="8"/>
                <w:sz w:val="24"/>
                <w:szCs w:val="24"/>
                <w:highlight w:val="none"/>
              </w:rPr>
            </w:pPr>
            <w:r>
              <w:rPr>
                <w:rFonts w:hint="eastAsia"/>
                <w:color w:val="auto"/>
                <w:spacing w:val="8"/>
                <w:sz w:val="24"/>
                <w:szCs w:val="24"/>
                <w:highlight w:val="none"/>
              </w:rPr>
              <w:t>1.符合现行国家相关标准、行业标准、地</w:t>
            </w:r>
            <w:r>
              <w:rPr>
                <w:color w:val="auto"/>
                <w:spacing w:val="8"/>
                <w:sz w:val="24"/>
                <w:szCs w:val="24"/>
                <w:highlight w:val="none"/>
              </w:rPr>
              <w:t>方标准或者其他标准、规范。</w:t>
            </w:r>
          </w:p>
          <w:p w14:paraId="5AC8D5D4">
            <w:pPr>
              <w:pStyle w:val="19"/>
              <w:spacing w:before="31" w:line="360" w:lineRule="auto"/>
              <w:ind w:left="0" w:firstLine="512" w:firstLineChars="200"/>
              <w:rPr>
                <w:rFonts w:hint="eastAsia"/>
                <w:color w:val="auto"/>
                <w:spacing w:val="8"/>
                <w:sz w:val="24"/>
                <w:szCs w:val="24"/>
                <w:highlight w:val="none"/>
              </w:rPr>
            </w:pPr>
            <w:r>
              <w:rPr>
                <w:rFonts w:hint="eastAsia"/>
                <w:color w:val="auto"/>
                <w:spacing w:val="8"/>
                <w:sz w:val="24"/>
                <w:szCs w:val="24"/>
                <w:highlight w:val="none"/>
              </w:rPr>
              <w:t>2.验收过程中所产生的一切费用均由成交供应商承担，报价时应考虑相关费用。</w:t>
            </w:r>
          </w:p>
          <w:p w14:paraId="3D869621">
            <w:pPr>
              <w:pStyle w:val="19"/>
              <w:spacing w:before="31" w:line="360" w:lineRule="auto"/>
              <w:ind w:left="0" w:leftChars="0" w:right="0" w:rightChars="0" w:firstLine="512" w:firstLineChars="200"/>
              <w:rPr>
                <w:color w:val="auto"/>
                <w:spacing w:val="9"/>
                <w:sz w:val="40"/>
                <w:szCs w:val="40"/>
                <w:highlight w:val="none"/>
              </w:rPr>
            </w:pPr>
            <w:r>
              <w:rPr>
                <w:color w:val="auto"/>
                <w:spacing w:val="8"/>
                <w:sz w:val="24"/>
                <w:szCs w:val="24"/>
                <w:highlight w:val="none"/>
              </w:rPr>
              <w:t>3.成交供应商提供的服务成果达不到质量要求的，不予验收，造成的一切不利后果</w:t>
            </w:r>
            <w:r>
              <w:rPr>
                <w:rFonts w:hint="eastAsia"/>
                <w:color w:val="auto"/>
                <w:spacing w:val="8"/>
                <w:sz w:val="24"/>
                <w:szCs w:val="24"/>
                <w:highlight w:val="none"/>
              </w:rPr>
              <w:t>由成交供应商自行承担。</w:t>
            </w:r>
          </w:p>
        </w:tc>
      </w:tr>
    </w:tbl>
    <w:p w14:paraId="4597EC89">
      <w:pPr>
        <w:pStyle w:val="4"/>
        <w:rPr>
          <w:color w:val="auto"/>
          <w:highlight w:val="none"/>
        </w:rPr>
      </w:pPr>
    </w:p>
    <w:p w14:paraId="1DD2A63A">
      <w:pPr>
        <w:pStyle w:val="4"/>
        <w:rPr>
          <w:color w:val="auto"/>
          <w:highlight w:val="none"/>
        </w:rPr>
      </w:pPr>
    </w:p>
    <w:p w14:paraId="530E6145">
      <w:pPr>
        <w:spacing w:before="0" w:line="240" w:lineRule="auto"/>
        <w:ind w:left="0"/>
        <w:outlineLvl w:val="9"/>
        <w:rPr>
          <w:rFonts w:ascii="宋体" w:hAnsi="宋体" w:eastAsia="宋体" w:cs="宋体"/>
          <w:b/>
          <w:bCs/>
          <w:color w:val="auto"/>
          <w:spacing w:val="7"/>
          <w:sz w:val="31"/>
          <w:szCs w:val="31"/>
          <w:highlight w:val="none"/>
        </w:rPr>
      </w:pPr>
      <w:bookmarkStart w:id="40" w:name="bookmark7"/>
      <w:bookmarkEnd w:id="40"/>
      <w:bookmarkStart w:id="41" w:name="bookmark8"/>
      <w:bookmarkEnd w:id="41"/>
      <w:bookmarkStart w:id="42" w:name="_Toc19859"/>
      <w:bookmarkStart w:id="43" w:name="_Toc13119"/>
      <w:r>
        <w:rPr>
          <w:rFonts w:ascii="宋体" w:hAnsi="宋体" w:eastAsia="宋体" w:cs="宋体"/>
          <w:b/>
          <w:bCs/>
          <w:color w:val="auto"/>
          <w:spacing w:val="7"/>
          <w:sz w:val="31"/>
          <w:szCs w:val="31"/>
          <w:highlight w:val="none"/>
        </w:rPr>
        <w:br w:type="page"/>
      </w:r>
    </w:p>
    <w:p w14:paraId="2EBB23D8">
      <w:pPr>
        <w:spacing w:before="63" w:line="224" w:lineRule="auto"/>
        <w:ind w:left="1932"/>
        <w:outlineLvl w:val="0"/>
        <w:rPr>
          <w:rFonts w:ascii="宋体" w:hAnsi="宋体" w:eastAsia="宋体" w:cs="宋体"/>
          <w:color w:val="auto"/>
          <w:sz w:val="31"/>
          <w:szCs w:val="31"/>
          <w:highlight w:val="none"/>
        </w:rPr>
      </w:pPr>
      <w:r>
        <w:rPr>
          <w:rFonts w:ascii="宋体" w:hAnsi="宋体" w:eastAsia="宋体" w:cs="宋体"/>
          <w:b/>
          <w:bCs/>
          <w:color w:val="auto"/>
          <w:spacing w:val="7"/>
          <w:sz w:val="31"/>
          <w:szCs w:val="31"/>
          <w:highlight w:val="none"/>
        </w:rPr>
        <w:t>第四章</w:t>
      </w:r>
      <w:r>
        <w:rPr>
          <w:rFonts w:ascii="宋体" w:hAnsi="宋体" w:eastAsia="宋体" w:cs="宋体"/>
          <w:color w:val="auto"/>
          <w:spacing w:val="7"/>
          <w:sz w:val="31"/>
          <w:szCs w:val="31"/>
          <w:highlight w:val="none"/>
        </w:rPr>
        <w:t xml:space="preserve">  </w:t>
      </w:r>
      <w:r>
        <w:rPr>
          <w:rFonts w:ascii="宋体" w:hAnsi="宋体" w:eastAsia="宋体" w:cs="宋体"/>
          <w:b/>
          <w:bCs/>
          <w:color w:val="auto"/>
          <w:spacing w:val="7"/>
          <w:sz w:val="31"/>
          <w:szCs w:val="31"/>
          <w:highlight w:val="none"/>
        </w:rPr>
        <w:t>评审程序、评审方法和评审标准</w:t>
      </w:r>
      <w:bookmarkEnd w:id="42"/>
      <w:bookmarkEnd w:id="43"/>
    </w:p>
    <w:p w14:paraId="72D7475D">
      <w:pPr>
        <w:pStyle w:val="4"/>
        <w:spacing w:line="315" w:lineRule="auto"/>
        <w:rPr>
          <w:color w:val="auto"/>
          <w:highlight w:val="none"/>
        </w:rPr>
      </w:pPr>
    </w:p>
    <w:p w14:paraId="23536FE2">
      <w:pPr>
        <w:pStyle w:val="4"/>
        <w:spacing w:line="316" w:lineRule="auto"/>
        <w:rPr>
          <w:color w:val="auto"/>
          <w:highlight w:val="none"/>
        </w:rPr>
      </w:pPr>
    </w:p>
    <w:p w14:paraId="2CEECA95">
      <w:pPr>
        <w:spacing w:before="65" w:line="228" w:lineRule="auto"/>
        <w:ind w:left="424"/>
        <w:outlineLvl w:val="1"/>
        <w:rPr>
          <w:rFonts w:ascii="宋体" w:hAnsi="宋体" w:eastAsia="宋体" w:cs="宋体"/>
          <w:color w:val="auto"/>
          <w:sz w:val="20"/>
          <w:szCs w:val="20"/>
          <w:highlight w:val="none"/>
        </w:rPr>
      </w:pPr>
      <w:bookmarkStart w:id="44" w:name="_Toc15376"/>
      <w:bookmarkStart w:id="45" w:name="_Toc309"/>
      <w:r>
        <w:rPr>
          <w:rFonts w:ascii="宋体" w:hAnsi="宋体" w:eastAsia="宋体" w:cs="宋体"/>
          <w:b/>
          <w:bCs/>
          <w:color w:val="auto"/>
          <w:spacing w:val="7"/>
          <w:sz w:val="20"/>
          <w:szCs w:val="20"/>
          <w:highlight w:val="none"/>
        </w:rPr>
        <w:t>一、评审程序和评审方法</w:t>
      </w:r>
      <w:bookmarkEnd w:id="44"/>
      <w:bookmarkEnd w:id="45"/>
    </w:p>
    <w:p w14:paraId="1DC7A9E0">
      <w:pPr>
        <w:spacing w:before="151" w:line="228" w:lineRule="auto"/>
        <w:ind w:left="43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（一）磋商小组成立</w:t>
      </w:r>
    </w:p>
    <w:p w14:paraId="33AF807F">
      <w:pPr>
        <w:spacing w:before="155" w:line="363" w:lineRule="auto"/>
        <w:ind w:right="87" w:firstLine="441"/>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1.磋商小组由采购人代表和评审专家或评审专家共</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人以上单数组成，具体人数见“供应商须知前附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表</w:t>
      </w:r>
      <w:r>
        <w:rPr>
          <w:rFonts w:ascii="宋体" w:hAnsi="宋体" w:eastAsia="宋体" w:cs="宋体"/>
          <w:color w:val="auto"/>
          <w:spacing w:val="-62"/>
          <w:sz w:val="20"/>
          <w:szCs w:val="20"/>
          <w:highlight w:val="none"/>
        </w:rPr>
        <w:t xml:space="preserve"> </w:t>
      </w:r>
      <w:r>
        <w:rPr>
          <w:rFonts w:ascii="宋体" w:hAnsi="宋体" w:eastAsia="宋体" w:cs="宋体"/>
          <w:color w:val="auto"/>
          <w:spacing w:val="9"/>
          <w:sz w:val="20"/>
          <w:szCs w:val="20"/>
          <w:highlight w:val="none"/>
        </w:rPr>
        <w:t>”，其中评审专家人数不得少于磋商小组成员总数的</w:t>
      </w:r>
      <w:r>
        <w:rPr>
          <w:rFonts w:ascii="宋体" w:hAnsi="宋体" w:eastAsia="宋体" w:cs="宋体"/>
          <w:color w:val="auto"/>
          <w:spacing w:val="-34"/>
          <w:sz w:val="20"/>
          <w:szCs w:val="20"/>
          <w:highlight w:val="none"/>
        </w:rPr>
        <w:t xml:space="preserve"> </w:t>
      </w:r>
      <w:r>
        <w:rPr>
          <w:rFonts w:ascii="宋体" w:hAnsi="宋体" w:eastAsia="宋体" w:cs="宋体"/>
          <w:color w:val="auto"/>
          <w:spacing w:val="9"/>
          <w:sz w:val="20"/>
          <w:szCs w:val="20"/>
          <w:highlight w:val="none"/>
        </w:rPr>
        <w:t>2/3。采购人代表不得以评审专家身份参加本部门</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或本单位采购项目的评审。采购代理机构人员不得参加本机构代理的采购项目的评审。达到公开招标数额</w:t>
      </w:r>
      <w:r>
        <w:rPr>
          <w:rFonts w:ascii="宋体" w:hAnsi="宋体" w:eastAsia="宋体" w:cs="宋体"/>
          <w:color w:val="auto"/>
          <w:spacing w:val="13"/>
          <w:sz w:val="20"/>
          <w:szCs w:val="20"/>
          <w:highlight w:val="none"/>
        </w:rPr>
        <w:t xml:space="preserve"> </w:t>
      </w:r>
      <w:r>
        <w:rPr>
          <w:rFonts w:ascii="宋体" w:hAnsi="宋体" w:eastAsia="宋体" w:cs="宋体"/>
          <w:color w:val="auto"/>
          <w:spacing w:val="9"/>
          <w:sz w:val="20"/>
          <w:szCs w:val="20"/>
          <w:highlight w:val="none"/>
        </w:rPr>
        <w:t>标准的货物或者服务采购项目，或者达到公开招标规模标准的政府采购工程，经批准采用竞争性磋商方式</w:t>
      </w:r>
      <w:r>
        <w:rPr>
          <w:rFonts w:ascii="宋体" w:hAnsi="宋体" w:eastAsia="宋体" w:cs="宋体"/>
          <w:color w:val="auto"/>
          <w:spacing w:val="13"/>
          <w:sz w:val="20"/>
          <w:szCs w:val="20"/>
          <w:highlight w:val="none"/>
        </w:rPr>
        <w:t xml:space="preserve"> </w:t>
      </w:r>
      <w:r>
        <w:rPr>
          <w:rFonts w:ascii="宋体" w:hAnsi="宋体" w:eastAsia="宋体" w:cs="宋体"/>
          <w:color w:val="auto"/>
          <w:spacing w:val="7"/>
          <w:sz w:val="20"/>
          <w:szCs w:val="20"/>
          <w:highlight w:val="none"/>
        </w:rPr>
        <w:t>采购的，磋商小组由</w:t>
      </w:r>
      <w:r>
        <w:rPr>
          <w:rFonts w:ascii="宋体" w:hAnsi="宋体" w:eastAsia="宋体" w:cs="宋体"/>
          <w:color w:val="auto"/>
          <w:spacing w:val="-27"/>
          <w:sz w:val="20"/>
          <w:szCs w:val="20"/>
          <w:highlight w:val="none"/>
        </w:rPr>
        <w:t xml:space="preserve"> </w:t>
      </w:r>
      <w:r>
        <w:rPr>
          <w:rFonts w:ascii="宋体" w:hAnsi="宋体" w:eastAsia="宋体" w:cs="宋体"/>
          <w:color w:val="auto"/>
          <w:spacing w:val="7"/>
          <w:sz w:val="20"/>
          <w:szCs w:val="20"/>
          <w:highlight w:val="none"/>
        </w:rPr>
        <w:t>5</w:t>
      </w:r>
      <w:r>
        <w:rPr>
          <w:rFonts w:ascii="宋体" w:hAnsi="宋体" w:eastAsia="宋体" w:cs="宋体"/>
          <w:color w:val="auto"/>
          <w:spacing w:val="-39"/>
          <w:sz w:val="20"/>
          <w:szCs w:val="20"/>
          <w:highlight w:val="none"/>
        </w:rPr>
        <w:t xml:space="preserve"> </w:t>
      </w:r>
      <w:r>
        <w:rPr>
          <w:rFonts w:ascii="宋体" w:hAnsi="宋体" w:eastAsia="宋体" w:cs="宋体"/>
          <w:color w:val="auto"/>
          <w:spacing w:val="7"/>
          <w:sz w:val="20"/>
          <w:szCs w:val="20"/>
          <w:highlight w:val="none"/>
        </w:rPr>
        <w:t>人以上单数组成。</w:t>
      </w:r>
    </w:p>
    <w:p w14:paraId="6B97D583">
      <w:pPr>
        <w:spacing w:before="30" w:line="362" w:lineRule="auto"/>
        <w:ind w:left="2" w:right="87" w:firstLine="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2.评审专家应当从政府采购评审专家库内相关专业的专家名单中随机抽取。市场竞争不充分的</w:t>
      </w:r>
      <w:r>
        <w:rPr>
          <w:rFonts w:ascii="宋体" w:hAnsi="宋体" w:eastAsia="宋体" w:cs="宋体"/>
          <w:color w:val="auto"/>
          <w:spacing w:val="8"/>
          <w:sz w:val="20"/>
          <w:szCs w:val="20"/>
          <w:highlight w:val="none"/>
        </w:rPr>
        <w:t>科研项</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目，</w:t>
      </w:r>
      <w:r>
        <w:rPr>
          <w:rFonts w:ascii="宋体" w:hAnsi="宋体" w:eastAsia="宋体" w:cs="宋体"/>
          <w:color w:val="auto"/>
          <w:spacing w:val="-59"/>
          <w:sz w:val="20"/>
          <w:szCs w:val="20"/>
          <w:highlight w:val="none"/>
        </w:rPr>
        <w:t xml:space="preserve"> </w:t>
      </w:r>
      <w:r>
        <w:rPr>
          <w:rFonts w:ascii="宋体" w:hAnsi="宋体" w:eastAsia="宋体" w:cs="宋体"/>
          <w:color w:val="auto"/>
          <w:spacing w:val="8"/>
          <w:sz w:val="20"/>
          <w:szCs w:val="20"/>
          <w:highlight w:val="none"/>
        </w:rPr>
        <w:t>以及需要扶持的科技成果转化项目，</w:t>
      </w:r>
      <w:r>
        <w:rPr>
          <w:rFonts w:ascii="宋体" w:hAnsi="宋体" w:eastAsia="宋体" w:cs="宋体"/>
          <w:color w:val="auto"/>
          <w:spacing w:val="-60"/>
          <w:sz w:val="20"/>
          <w:szCs w:val="20"/>
          <w:highlight w:val="none"/>
        </w:rPr>
        <w:t xml:space="preserve"> </w:t>
      </w:r>
      <w:r>
        <w:rPr>
          <w:rFonts w:ascii="宋体" w:hAnsi="宋体" w:eastAsia="宋体" w:cs="宋体"/>
          <w:color w:val="auto"/>
          <w:spacing w:val="8"/>
          <w:sz w:val="20"/>
          <w:szCs w:val="20"/>
          <w:highlight w:val="none"/>
        </w:rPr>
        <w:t>以及情况特殊</w:t>
      </w:r>
      <w:r>
        <w:rPr>
          <w:rFonts w:ascii="宋体" w:hAnsi="宋体" w:eastAsia="宋体" w:cs="宋体"/>
          <w:color w:val="auto"/>
          <w:spacing w:val="7"/>
          <w:sz w:val="20"/>
          <w:szCs w:val="20"/>
          <w:highlight w:val="none"/>
        </w:rPr>
        <w:t>、通过随机方式难以确定合适的评审专家的项目，</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经主管预算单位同意，可以自行选定评审专家。技术复杂、专业性强的采购项目，评审专家中应当包含</w:t>
      </w:r>
      <w:r>
        <w:rPr>
          <w:rFonts w:ascii="宋体" w:hAnsi="宋体" w:eastAsia="宋体" w:cs="宋体"/>
          <w:color w:val="auto"/>
          <w:spacing w:val="-17"/>
          <w:sz w:val="20"/>
          <w:szCs w:val="20"/>
          <w:highlight w:val="none"/>
        </w:rPr>
        <w:t xml:space="preserve"> </w:t>
      </w:r>
      <w:r>
        <w:rPr>
          <w:rFonts w:ascii="宋体" w:hAnsi="宋体" w:eastAsia="宋体" w:cs="宋体"/>
          <w:color w:val="auto"/>
          <w:spacing w:val="9"/>
          <w:sz w:val="20"/>
          <w:szCs w:val="20"/>
          <w:highlight w:val="none"/>
        </w:rPr>
        <w:t>1</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名法律专家。</w:t>
      </w:r>
    </w:p>
    <w:p w14:paraId="7E4228FA">
      <w:pPr>
        <w:spacing w:before="32" w:line="227" w:lineRule="auto"/>
        <w:ind w:left="4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3.响应文件的开启：具体详见“供应商须知前附表</w:t>
      </w:r>
      <w:r>
        <w:rPr>
          <w:rFonts w:ascii="宋体" w:hAnsi="宋体" w:eastAsia="宋体" w:cs="宋体"/>
          <w:color w:val="auto"/>
          <w:spacing w:val="-54"/>
          <w:sz w:val="20"/>
          <w:szCs w:val="20"/>
          <w:highlight w:val="none"/>
        </w:rPr>
        <w:t xml:space="preserve"> </w:t>
      </w:r>
      <w:r>
        <w:rPr>
          <w:rFonts w:ascii="宋体" w:hAnsi="宋体" w:eastAsia="宋体" w:cs="宋体"/>
          <w:color w:val="auto"/>
          <w:spacing w:val="8"/>
          <w:sz w:val="20"/>
          <w:szCs w:val="20"/>
          <w:highlight w:val="none"/>
        </w:rPr>
        <w:t>”。</w:t>
      </w:r>
    </w:p>
    <w:p w14:paraId="115DA52A">
      <w:pPr>
        <w:spacing w:before="155" w:line="228" w:lineRule="auto"/>
        <w:ind w:left="43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（二）响应文件评审程序</w:t>
      </w:r>
    </w:p>
    <w:p w14:paraId="0E8A5C91">
      <w:pPr>
        <w:spacing w:before="151" w:line="228" w:lineRule="auto"/>
        <w:ind w:left="42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4.资格审查</w:t>
      </w:r>
    </w:p>
    <w:p w14:paraId="1FCFA89A">
      <w:pPr>
        <w:spacing w:before="155" w:line="227" w:lineRule="auto"/>
        <w:ind w:left="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4.1</w:t>
      </w:r>
      <w:r>
        <w:rPr>
          <w:rFonts w:ascii="宋体" w:hAnsi="宋体" w:eastAsia="宋体" w:cs="宋体"/>
          <w:color w:val="auto"/>
          <w:spacing w:val="-17"/>
          <w:sz w:val="20"/>
          <w:szCs w:val="20"/>
          <w:highlight w:val="none"/>
        </w:rPr>
        <w:t xml:space="preserve"> </w:t>
      </w:r>
      <w:r>
        <w:rPr>
          <w:rFonts w:ascii="宋体" w:hAnsi="宋体" w:eastAsia="宋体" w:cs="宋体"/>
          <w:color w:val="auto"/>
          <w:spacing w:val="8"/>
          <w:sz w:val="20"/>
          <w:szCs w:val="20"/>
          <w:highlight w:val="none"/>
        </w:rPr>
        <w:t>响应文件开启后，磋商小组依法对供应商的资格证明文件进行审查。</w:t>
      </w:r>
    </w:p>
    <w:p w14:paraId="008B192B">
      <w:pPr>
        <w:spacing w:before="155" w:line="297" w:lineRule="auto"/>
        <w:ind w:left="1" w:right="87" w:firstLine="41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4.2</w:t>
      </w:r>
      <w:r>
        <w:rPr>
          <w:rFonts w:ascii="宋体" w:hAnsi="宋体" w:eastAsia="宋体" w:cs="宋体"/>
          <w:color w:val="auto"/>
          <w:spacing w:val="-29"/>
          <w:sz w:val="20"/>
          <w:szCs w:val="20"/>
          <w:highlight w:val="none"/>
        </w:rPr>
        <w:t xml:space="preserve"> </w:t>
      </w:r>
      <w:r>
        <w:rPr>
          <w:rFonts w:ascii="宋体" w:hAnsi="宋体" w:eastAsia="宋体" w:cs="宋体"/>
          <w:color w:val="auto"/>
          <w:spacing w:val="10"/>
          <w:sz w:val="20"/>
          <w:szCs w:val="20"/>
          <w:highlight w:val="none"/>
        </w:rPr>
        <w:t>资格审查标准为本竞争性磋商文件中载明对供应商资格要求的条件。</w:t>
      </w:r>
      <w:r>
        <w:rPr>
          <w:rFonts w:ascii="宋体" w:hAnsi="宋体" w:eastAsia="宋体" w:cs="宋体"/>
          <w:color w:val="auto"/>
          <w:spacing w:val="9"/>
          <w:sz w:val="20"/>
          <w:szCs w:val="20"/>
          <w:highlight w:val="none"/>
        </w:rPr>
        <w:t>资格审查采用合格制，凡符</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合竞争性磋商文件规定的供应商资格要求的响应文件均通过资格审查。</w:t>
      </w:r>
    </w:p>
    <w:p w14:paraId="6DE24BB2">
      <w:pPr>
        <w:spacing w:before="155" w:line="227" w:lineRule="auto"/>
        <w:ind w:left="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4.3</w:t>
      </w:r>
      <w:r>
        <w:rPr>
          <w:rFonts w:ascii="宋体" w:hAnsi="宋体" w:eastAsia="宋体" w:cs="宋体"/>
          <w:color w:val="auto"/>
          <w:spacing w:val="-40"/>
          <w:sz w:val="20"/>
          <w:szCs w:val="20"/>
          <w:highlight w:val="none"/>
        </w:rPr>
        <w:t xml:space="preserve"> </w:t>
      </w:r>
      <w:r>
        <w:rPr>
          <w:rFonts w:ascii="宋体" w:hAnsi="宋体" w:eastAsia="宋体" w:cs="宋体"/>
          <w:color w:val="auto"/>
          <w:spacing w:val="9"/>
          <w:sz w:val="20"/>
          <w:szCs w:val="20"/>
          <w:highlight w:val="none"/>
        </w:rPr>
        <w:t>供应商有下列情形之一的，资格审查不通过，其响应文件</w:t>
      </w:r>
      <w:r>
        <w:rPr>
          <w:rFonts w:ascii="宋体" w:hAnsi="宋体" w:eastAsia="宋体" w:cs="宋体"/>
          <w:color w:val="auto"/>
          <w:spacing w:val="8"/>
          <w:sz w:val="20"/>
          <w:szCs w:val="20"/>
          <w:highlight w:val="none"/>
        </w:rPr>
        <w:t>按无效响应处理：</w:t>
      </w:r>
    </w:p>
    <w:p w14:paraId="00866055">
      <w:pPr>
        <w:spacing w:before="155"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（1）未按竞争性磋商文件规定的方式获取本竞争性磋商文件的供应</w:t>
      </w:r>
      <w:r>
        <w:rPr>
          <w:rFonts w:ascii="宋体" w:hAnsi="宋体" w:eastAsia="宋体" w:cs="宋体"/>
          <w:color w:val="auto"/>
          <w:spacing w:val="8"/>
          <w:sz w:val="20"/>
          <w:szCs w:val="20"/>
          <w:highlight w:val="none"/>
        </w:rPr>
        <w:t>商；</w:t>
      </w:r>
    </w:p>
    <w:p w14:paraId="19E9BCCF">
      <w:pPr>
        <w:spacing w:before="153" w:line="227" w:lineRule="auto"/>
        <w:jc w:val="right"/>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（2）不具备竞争性磋商文件中规定的资格要求的</w:t>
      </w:r>
      <w:r>
        <w:rPr>
          <w:rFonts w:ascii="宋体" w:hAnsi="宋体" w:eastAsia="宋体" w:cs="宋体"/>
          <w:color w:val="auto"/>
          <w:spacing w:val="-29"/>
          <w:sz w:val="20"/>
          <w:szCs w:val="20"/>
          <w:highlight w:val="none"/>
        </w:rPr>
        <w:t>；（</w:t>
      </w:r>
      <w:r>
        <w:rPr>
          <w:rFonts w:ascii="宋体" w:hAnsi="宋体" w:eastAsia="宋体" w:cs="宋体"/>
          <w:color w:val="auto"/>
          <w:spacing w:val="5"/>
          <w:sz w:val="20"/>
          <w:szCs w:val="20"/>
          <w:highlight w:val="none"/>
        </w:rPr>
        <w:t>注：其中信用查询规则见“供应商须</w:t>
      </w:r>
      <w:r>
        <w:rPr>
          <w:rFonts w:ascii="宋体" w:hAnsi="宋体" w:eastAsia="宋体" w:cs="宋体"/>
          <w:color w:val="auto"/>
          <w:spacing w:val="4"/>
          <w:sz w:val="20"/>
          <w:szCs w:val="20"/>
          <w:highlight w:val="none"/>
        </w:rPr>
        <w:t>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4"/>
          <w:sz w:val="20"/>
          <w:szCs w:val="20"/>
          <w:highlight w:val="none"/>
        </w:rPr>
        <w:t>”）</w:t>
      </w:r>
    </w:p>
    <w:p w14:paraId="48B915AD">
      <w:pPr>
        <w:spacing w:before="154" w:line="227" w:lineRule="auto"/>
        <w:jc w:val="right"/>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（3）响应文件未提供任一项“供应商须知前附</w:t>
      </w:r>
      <w:r>
        <w:rPr>
          <w:rFonts w:ascii="宋体" w:hAnsi="宋体" w:eastAsia="宋体" w:cs="宋体"/>
          <w:color w:val="auto"/>
          <w:spacing w:val="6"/>
          <w:sz w:val="20"/>
          <w:szCs w:val="20"/>
          <w:highlight w:val="none"/>
        </w:rPr>
        <w:t>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6"/>
          <w:sz w:val="20"/>
          <w:szCs w:val="20"/>
          <w:highlight w:val="none"/>
        </w:rPr>
        <w:t>”资格证明文件规定的“必须提供</w:t>
      </w:r>
      <w:r>
        <w:rPr>
          <w:rFonts w:ascii="宋体" w:hAnsi="宋体" w:eastAsia="宋体" w:cs="宋体"/>
          <w:color w:val="auto"/>
          <w:spacing w:val="-70"/>
          <w:sz w:val="20"/>
          <w:szCs w:val="20"/>
          <w:highlight w:val="none"/>
        </w:rPr>
        <w:t xml:space="preserve"> </w:t>
      </w:r>
      <w:r>
        <w:rPr>
          <w:rFonts w:ascii="宋体" w:hAnsi="宋体" w:eastAsia="宋体" w:cs="宋体"/>
          <w:color w:val="auto"/>
          <w:spacing w:val="6"/>
          <w:sz w:val="20"/>
          <w:szCs w:val="20"/>
          <w:highlight w:val="none"/>
        </w:rPr>
        <w:t>”的文件资料的；</w:t>
      </w:r>
    </w:p>
    <w:p w14:paraId="0F0E9220">
      <w:pPr>
        <w:spacing w:before="156" w:line="297" w:lineRule="auto"/>
        <w:ind w:left="4" w:right="87" w:firstLine="42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（4）响应文件提供的资格证明文件出现任一项不符合“供应商须知前附表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6"/>
          <w:sz w:val="20"/>
          <w:szCs w:val="20"/>
          <w:highlight w:val="none"/>
        </w:rPr>
        <w:t>”资格证明文件规定的“必</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须提供</w:t>
      </w:r>
      <w:r>
        <w:rPr>
          <w:rFonts w:ascii="宋体" w:hAnsi="宋体" w:eastAsia="宋体" w:cs="宋体"/>
          <w:color w:val="auto"/>
          <w:spacing w:val="-57"/>
          <w:sz w:val="20"/>
          <w:szCs w:val="20"/>
          <w:highlight w:val="none"/>
        </w:rPr>
        <w:t xml:space="preserve"> </w:t>
      </w:r>
      <w:r>
        <w:rPr>
          <w:rFonts w:ascii="宋体" w:hAnsi="宋体" w:eastAsia="宋体" w:cs="宋体"/>
          <w:color w:val="auto"/>
          <w:spacing w:val="6"/>
          <w:sz w:val="20"/>
          <w:szCs w:val="20"/>
          <w:highlight w:val="none"/>
        </w:rPr>
        <w:t>”的文件资料要求或者无效的。</w:t>
      </w:r>
    </w:p>
    <w:p w14:paraId="083B0390">
      <w:pPr>
        <w:spacing w:before="155" w:line="227" w:lineRule="auto"/>
        <w:ind w:left="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4.4</w:t>
      </w:r>
      <w:r>
        <w:rPr>
          <w:rFonts w:ascii="宋体" w:hAnsi="宋体" w:eastAsia="宋体" w:cs="宋体"/>
          <w:color w:val="auto"/>
          <w:spacing w:val="-27"/>
          <w:sz w:val="20"/>
          <w:szCs w:val="20"/>
          <w:highlight w:val="none"/>
        </w:rPr>
        <w:t xml:space="preserve"> </w:t>
      </w:r>
      <w:r>
        <w:rPr>
          <w:rFonts w:ascii="宋体" w:hAnsi="宋体" w:eastAsia="宋体" w:cs="宋体"/>
          <w:color w:val="auto"/>
          <w:spacing w:val="9"/>
          <w:sz w:val="20"/>
          <w:szCs w:val="20"/>
          <w:highlight w:val="none"/>
        </w:rPr>
        <w:t>通过资格审查的合格供应商不足</w:t>
      </w:r>
      <w:r>
        <w:rPr>
          <w:rFonts w:ascii="宋体" w:hAnsi="宋体" w:eastAsia="宋体" w:cs="宋体"/>
          <w:color w:val="auto"/>
          <w:spacing w:val="-32"/>
          <w:sz w:val="20"/>
          <w:szCs w:val="20"/>
          <w:highlight w:val="none"/>
        </w:rPr>
        <w:t xml:space="preserve"> </w:t>
      </w:r>
      <w:r>
        <w:rPr>
          <w:rFonts w:ascii="宋体" w:hAnsi="宋体" w:eastAsia="宋体" w:cs="宋体"/>
          <w:color w:val="auto"/>
          <w:spacing w:val="9"/>
          <w:sz w:val="20"/>
          <w:szCs w:val="20"/>
          <w:highlight w:val="none"/>
        </w:rPr>
        <w:t>3</w:t>
      </w:r>
      <w:r>
        <w:rPr>
          <w:rFonts w:ascii="宋体" w:hAnsi="宋体" w:eastAsia="宋体" w:cs="宋体"/>
          <w:color w:val="auto"/>
          <w:spacing w:val="-39"/>
          <w:sz w:val="20"/>
          <w:szCs w:val="20"/>
          <w:highlight w:val="none"/>
        </w:rPr>
        <w:t xml:space="preserve"> </w:t>
      </w:r>
      <w:r>
        <w:rPr>
          <w:rFonts w:ascii="宋体" w:hAnsi="宋体" w:eastAsia="宋体" w:cs="宋体"/>
          <w:color w:val="auto"/>
          <w:spacing w:val="9"/>
          <w:sz w:val="20"/>
          <w:szCs w:val="20"/>
          <w:highlight w:val="none"/>
        </w:rPr>
        <w:t>家的，不得进入符合性审查环节，采购人或采购代理机构应当</w:t>
      </w:r>
    </w:p>
    <w:p w14:paraId="6DB1D905">
      <w:pPr>
        <w:spacing w:before="155" w:line="353" w:lineRule="auto"/>
        <w:ind w:left="424" w:right="7871" w:hanging="42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重新开展采购活动。</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5.符合性审查</w:t>
      </w:r>
    </w:p>
    <w:p w14:paraId="18DF7B48">
      <w:pPr>
        <w:spacing w:before="34" w:line="299" w:lineRule="auto"/>
        <w:ind w:left="2" w:right="87" w:firstLine="4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5.1 由磋商小组对通过资格审查的合格供应商的响应文件的竞标报价、商务、</w:t>
      </w:r>
      <w:r>
        <w:rPr>
          <w:rFonts w:ascii="宋体" w:hAnsi="宋体" w:eastAsia="宋体" w:cs="宋体"/>
          <w:color w:val="auto"/>
          <w:spacing w:val="8"/>
          <w:sz w:val="20"/>
          <w:szCs w:val="20"/>
          <w:highlight w:val="none"/>
        </w:rPr>
        <w:t>技术等实质性要求进行</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符合性审查，</w:t>
      </w:r>
      <w:r>
        <w:rPr>
          <w:rFonts w:ascii="宋体" w:hAnsi="宋体" w:eastAsia="宋体" w:cs="宋体"/>
          <w:color w:val="auto"/>
          <w:spacing w:val="-60"/>
          <w:sz w:val="20"/>
          <w:szCs w:val="20"/>
          <w:highlight w:val="none"/>
        </w:rPr>
        <w:t xml:space="preserve"> </w:t>
      </w:r>
      <w:r>
        <w:rPr>
          <w:rFonts w:ascii="宋体" w:hAnsi="宋体" w:eastAsia="宋体" w:cs="宋体"/>
          <w:color w:val="auto"/>
          <w:spacing w:val="8"/>
          <w:sz w:val="20"/>
          <w:szCs w:val="20"/>
          <w:highlight w:val="none"/>
        </w:rPr>
        <w:t>以确定其是否满足竞争性磋商文件</w:t>
      </w:r>
      <w:r>
        <w:rPr>
          <w:rFonts w:ascii="宋体" w:hAnsi="宋体" w:eastAsia="宋体" w:cs="宋体"/>
          <w:color w:val="auto"/>
          <w:spacing w:val="7"/>
          <w:sz w:val="20"/>
          <w:szCs w:val="20"/>
          <w:highlight w:val="none"/>
        </w:rPr>
        <w:t>的实质性要求。</w:t>
      </w:r>
    </w:p>
    <w:p w14:paraId="40FCB0D4">
      <w:pPr>
        <w:spacing w:before="150" w:line="323" w:lineRule="auto"/>
        <w:ind w:right="87" w:firstLine="42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5.2</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磋商小组在对响应文件进行符合性审查时，可以要求供应商对响应文件中含义不</w:t>
      </w:r>
      <w:r>
        <w:rPr>
          <w:rFonts w:ascii="宋体" w:hAnsi="宋体" w:eastAsia="宋体" w:cs="宋体"/>
          <w:color w:val="auto"/>
          <w:spacing w:val="9"/>
          <w:sz w:val="20"/>
          <w:szCs w:val="20"/>
          <w:highlight w:val="none"/>
        </w:rPr>
        <w:t>明确、同类问题</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表述不一致或者有明显文字和计算错误的内容等作出必要的澄清、说明或者更正。供应商的澄清、说明或</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rPr>
        <w:t>者更正不得超出响应文件的范围或者改变响应文件的实质性内容。</w:t>
      </w:r>
    </w:p>
    <w:p w14:paraId="00966750">
      <w:pPr>
        <w:spacing w:before="152" w:line="227" w:lineRule="auto"/>
        <w:ind w:left="425"/>
        <w:rPr>
          <w:rFonts w:ascii="宋体" w:hAnsi="宋体" w:eastAsia="宋体" w:cs="宋体"/>
          <w:color w:val="auto"/>
          <w:spacing w:val="9"/>
          <w:sz w:val="20"/>
          <w:szCs w:val="20"/>
          <w:highlight w:val="none"/>
        </w:rPr>
      </w:pPr>
      <w:r>
        <w:rPr>
          <w:rFonts w:ascii="宋体" w:hAnsi="宋体" w:eastAsia="宋体" w:cs="宋体"/>
          <w:color w:val="auto"/>
          <w:spacing w:val="10"/>
          <w:sz w:val="20"/>
          <w:szCs w:val="20"/>
          <w:highlight w:val="none"/>
        </w:rPr>
        <w:t>5.3</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磋商小组要求供应商澄清、说明或者更正响应文件应当以书面形式作出。供应商</w:t>
      </w:r>
      <w:r>
        <w:rPr>
          <w:rFonts w:ascii="宋体" w:hAnsi="宋体" w:eastAsia="宋体" w:cs="宋体"/>
          <w:color w:val="auto"/>
          <w:spacing w:val="9"/>
          <w:sz w:val="20"/>
          <w:szCs w:val="20"/>
          <w:highlight w:val="none"/>
        </w:rPr>
        <w:t>的澄清、说明或</w:t>
      </w:r>
    </w:p>
    <w:p w14:paraId="36144497">
      <w:pPr>
        <w:spacing w:before="40" w:line="363" w:lineRule="auto"/>
        <w:ind w:right="196" w:firstLine="1"/>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者更正应当以书面形式按照磋商小组的要求作出明确的澄清、说明或者更正，未按磋商小组的要求作出明</w:t>
      </w:r>
      <w:r>
        <w:rPr>
          <w:rFonts w:ascii="宋体" w:hAnsi="宋体" w:eastAsia="宋体" w:cs="宋体"/>
          <w:color w:val="auto"/>
          <w:spacing w:val="11"/>
          <w:sz w:val="20"/>
          <w:szCs w:val="20"/>
          <w:highlight w:val="none"/>
        </w:rPr>
        <w:t xml:space="preserve"> </w:t>
      </w:r>
      <w:r>
        <w:rPr>
          <w:rFonts w:ascii="宋体" w:hAnsi="宋体" w:eastAsia="宋体" w:cs="宋体"/>
          <w:color w:val="auto"/>
          <w:spacing w:val="9"/>
          <w:sz w:val="20"/>
          <w:szCs w:val="20"/>
          <w:highlight w:val="none"/>
        </w:rPr>
        <w:t>确澄清、说明或者更正的供应商的响应文件将按照有利于采购人的原则由磋商小组进行判定。供应商的澄</w:t>
      </w:r>
      <w:r>
        <w:rPr>
          <w:rFonts w:ascii="宋体" w:hAnsi="宋体" w:eastAsia="宋体" w:cs="宋体"/>
          <w:color w:val="auto"/>
          <w:spacing w:val="15"/>
          <w:sz w:val="20"/>
          <w:szCs w:val="20"/>
          <w:highlight w:val="none"/>
        </w:rPr>
        <w:t xml:space="preserve"> </w:t>
      </w:r>
      <w:r>
        <w:rPr>
          <w:rFonts w:ascii="宋体" w:hAnsi="宋体" w:eastAsia="宋体" w:cs="宋体"/>
          <w:color w:val="auto"/>
          <w:spacing w:val="8"/>
          <w:sz w:val="20"/>
          <w:szCs w:val="20"/>
          <w:highlight w:val="none"/>
        </w:rPr>
        <w:t>清、说明或者更正应当由法定代表人</w:t>
      </w:r>
      <w:r>
        <w:rPr>
          <w:rFonts w:ascii="Times New Roman" w:hAnsi="Times New Roman" w:eastAsia="Times New Roman" w:cs="Times New Roman"/>
          <w:color w:val="auto"/>
          <w:spacing w:val="8"/>
          <w:sz w:val="20"/>
          <w:szCs w:val="20"/>
          <w:highlight w:val="none"/>
        </w:rPr>
        <w:t>/</w:t>
      </w:r>
      <w:r>
        <w:rPr>
          <w:rFonts w:ascii="宋体" w:hAnsi="宋体" w:eastAsia="宋体" w:cs="宋体"/>
          <w:color w:val="auto"/>
          <w:spacing w:val="8"/>
          <w:sz w:val="20"/>
          <w:szCs w:val="20"/>
          <w:highlight w:val="none"/>
        </w:rPr>
        <w:t>法定代表或其授权代表签字或者加盖公章。由授权代表签字的，应当</w:t>
      </w:r>
      <w:r>
        <w:rPr>
          <w:rFonts w:ascii="宋体" w:hAnsi="宋体" w:eastAsia="宋体" w:cs="宋体"/>
          <w:color w:val="auto"/>
          <w:spacing w:val="7"/>
          <w:sz w:val="20"/>
          <w:szCs w:val="20"/>
          <w:highlight w:val="none"/>
        </w:rPr>
        <w:t xml:space="preserve"> </w:t>
      </w:r>
      <w:r>
        <w:rPr>
          <w:rFonts w:ascii="宋体" w:hAnsi="宋体" w:eastAsia="宋体" w:cs="宋体"/>
          <w:color w:val="auto"/>
          <w:spacing w:val="9"/>
          <w:sz w:val="20"/>
          <w:szCs w:val="20"/>
          <w:highlight w:val="none"/>
        </w:rPr>
        <w:t>附法定代表人授权书（若委托代理人为响应文件中承诺的授权委托代理人的，无须出示法定代表人授权委</w:t>
      </w:r>
      <w:r>
        <w:rPr>
          <w:rFonts w:ascii="宋体" w:hAnsi="宋体" w:eastAsia="宋体" w:cs="宋体"/>
          <w:color w:val="auto"/>
          <w:spacing w:val="15"/>
          <w:sz w:val="20"/>
          <w:szCs w:val="20"/>
          <w:highlight w:val="none"/>
        </w:rPr>
        <w:t xml:space="preserve"> </w:t>
      </w:r>
      <w:r>
        <w:rPr>
          <w:rFonts w:ascii="宋体" w:hAnsi="宋体" w:eastAsia="宋体" w:cs="宋体"/>
          <w:color w:val="auto"/>
          <w:spacing w:val="-2"/>
          <w:sz w:val="20"/>
          <w:szCs w:val="20"/>
          <w:highlight w:val="none"/>
        </w:rPr>
        <w:t>托书）</w:t>
      </w:r>
      <w:r>
        <w:rPr>
          <w:rFonts w:ascii="宋体" w:hAnsi="宋体" w:eastAsia="宋体" w:cs="宋体"/>
          <w:color w:val="auto"/>
          <w:spacing w:val="-58"/>
          <w:sz w:val="20"/>
          <w:szCs w:val="20"/>
          <w:highlight w:val="none"/>
        </w:rPr>
        <w:t xml:space="preserve"> </w:t>
      </w:r>
      <w:r>
        <w:rPr>
          <w:rFonts w:ascii="宋体" w:hAnsi="宋体" w:eastAsia="宋体" w:cs="宋体"/>
          <w:color w:val="auto"/>
          <w:spacing w:val="-2"/>
          <w:sz w:val="20"/>
          <w:szCs w:val="20"/>
          <w:highlight w:val="none"/>
        </w:rPr>
        <w:t>。供应商为自然人的，应当由本人签字并附身份证</w:t>
      </w:r>
      <w:r>
        <w:rPr>
          <w:rFonts w:ascii="宋体" w:hAnsi="宋体" w:eastAsia="宋体" w:cs="宋体"/>
          <w:color w:val="auto"/>
          <w:spacing w:val="-3"/>
          <w:sz w:val="20"/>
          <w:szCs w:val="20"/>
          <w:highlight w:val="none"/>
        </w:rPr>
        <w:t>明。</w:t>
      </w:r>
    </w:p>
    <w:p w14:paraId="2C0C848E">
      <w:pPr>
        <w:spacing w:before="33" w:line="226" w:lineRule="auto"/>
        <w:ind w:left="4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5.4</w:t>
      </w:r>
      <w:r>
        <w:rPr>
          <w:rFonts w:ascii="宋体" w:hAnsi="宋体" w:eastAsia="宋体" w:cs="宋体"/>
          <w:color w:val="auto"/>
          <w:spacing w:val="-47"/>
          <w:sz w:val="20"/>
          <w:szCs w:val="20"/>
          <w:highlight w:val="none"/>
        </w:rPr>
        <w:t xml:space="preserve"> </w:t>
      </w:r>
      <w:r>
        <w:rPr>
          <w:rFonts w:ascii="宋体" w:hAnsi="宋体" w:eastAsia="宋体" w:cs="宋体"/>
          <w:color w:val="auto"/>
          <w:spacing w:val="8"/>
          <w:sz w:val="20"/>
          <w:szCs w:val="20"/>
          <w:highlight w:val="none"/>
        </w:rPr>
        <w:t>首次响应文件报价出现前后不一致的，按照下列规定修</w:t>
      </w:r>
      <w:r>
        <w:rPr>
          <w:rFonts w:ascii="宋体" w:hAnsi="宋体" w:eastAsia="宋体" w:cs="宋体"/>
          <w:color w:val="auto"/>
          <w:spacing w:val="7"/>
          <w:sz w:val="20"/>
          <w:szCs w:val="20"/>
          <w:highlight w:val="none"/>
        </w:rPr>
        <w:t>正：</w:t>
      </w:r>
    </w:p>
    <w:p w14:paraId="23D55B6D">
      <w:pPr>
        <w:spacing w:before="155" w:line="226"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（1）响应文件中报价表内容与响应文件中相应内容不一致的，</w:t>
      </w:r>
      <w:r>
        <w:rPr>
          <w:rFonts w:ascii="宋体" w:hAnsi="宋体" w:eastAsia="宋体" w:cs="宋体"/>
          <w:color w:val="auto"/>
          <w:spacing w:val="-59"/>
          <w:sz w:val="20"/>
          <w:szCs w:val="20"/>
          <w:highlight w:val="none"/>
        </w:rPr>
        <w:t xml:space="preserve"> </w:t>
      </w:r>
      <w:r>
        <w:rPr>
          <w:rFonts w:ascii="宋体" w:hAnsi="宋体" w:eastAsia="宋体" w:cs="宋体"/>
          <w:color w:val="auto"/>
          <w:spacing w:val="8"/>
          <w:sz w:val="20"/>
          <w:szCs w:val="20"/>
          <w:highlight w:val="none"/>
        </w:rPr>
        <w:t>以</w:t>
      </w:r>
      <w:r>
        <w:rPr>
          <w:rFonts w:ascii="宋体" w:hAnsi="宋体" w:eastAsia="宋体" w:cs="宋体"/>
          <w:color w:val="auto"/>
          <w:spacing w:val="7"/>
          <w:sz w:val="20"/>
          <w:szCs w:val="20"/>
          <w:highlight w:val="none"/>
        </w:rPr>
        <w:t>报价表为准；</w:t>
      </w:r>
    </w:p>
    <w:p w14:paraId="58AE32CE">
      <w:pPr>
        <w:spacing w:before="153"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（2）大写金额和小写金额不一致的，以大写金额为准；</w:t>
      </w:r>
    </w:p>
    <w:p w14:paraId="07A6FE6B">
      <w:pPr>
        <w:spacing w:before="155" w:line="226"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（3）单价金额小数点或者百分比有明显错位的，</w:t>
      </w:r>
      <w:r>
        <w:rPr>
          <w:rFonts w:ascii="宋体" w:hAnsi="宋体" w:eastAsia="宋体" w:cs="宋体"/>
          <w:color w:val="auto"/>
          <w:spacing w:val="-58"/>
          <w:sz w:val="20"/>
          <w:szCs w:val="20"/>
          <w:highlight w:val="none"/>
        </w:rPr>
        <w:t xml:space="preserve"> </w:t>
      </w:r>
      <w:r>
        <w:rPr>
          <w:rFonts w:ascii="宋体" w:hAnsi="宋体" w:eastAsia="宋体" w:cs="宋体"/>
          <w:color w:val="auto"/>
          <w:spacing w:val="8"/>
          <w:sz w:val="20"/>
          <w:szCs w:val="20"/>
          <w:highlight w:val="none"/>
        </w:rPr>
        <w:t>以报价表的总价为准，并修改单价；</w:t>
      </w:r>
    </w:p>
    <w:p w14:paraId="0AC40D83">
      <w:pPr>
        <w:spacing w:before="156" w:line="226"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（4）总价金额与按单价汇总金额不一致的，</w:t>
      </w:r>
      <w:r>
        <w:rPr>
          <w:rFonts w:ascii="宋体" w:hAnsi="宋体" w:eastAsia="宋体" w:cs="宋体"/>
          <w:color w:val="auto"/>
          <w:spacing w:val="-59"/>
          <w:sz w:val="20"/>
          <w:szCs w:val="20"/>
          <w:highlight w:val="none"/>
        </w:rPr>
        <w:t xml:space="preserve"> </w:t>
      </w:r>
      <w:r>
        <w:rPr>
          <w:rFonts w:ascii="宋体" w:hAnsi="宋体" w:eastAsia="宋体" w:cs="宋体"/>
          <w:color w:val="auto"/>
          <w:spacing w:val="8"/>
          <w:sz w:val="20"/>
          <w:szCs w:val="20"/>
          <w:highlight w:val="none"/>
        </w:rPr>
        <w:t>以</w:t>
      </w:r>
      <w:r>
        <w:rPr>
          <w:rFonts w:ascii="宋体" w:hAnsi="宋体" w:eastAsia="宋体" w:cs="宋体"/>
          <w:color w:val="auto"/>
          <w:spacing w:val="7"/>
          <w:sz w:val="20"/>
          <w:szCs w:val="20"/>
          <w:highlight w:val="none"/>
        </w:rPr>
        <w:t>单价金额计算结果为准。</w:t>
      </w:r>
    </w:p>
    <w:p w14:paraId="7A380713">
      <w:pPr>
        <w:spacing w:before="153" w:line="355" w:lineRule="auto"/>
        <w:ind w:left="4" w:right="205" w:firstLine="436"/>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同时出现两种以上不一致的，按照以上（1）-（4）规定的顺序逐条进行修正。修正</w:t>
      </w:r>
      <w:r>
        <w:rPr>
          <w:rFonts w:ascii="宋体" w:hAnsi="宋体" w:eastAsia="宋体" w:cs="宋体"/>
          <w:color w:val="auto"/>
          <w:spacing w:val="10"/>
          <w:sz w:val="20"/>
          <w:szCs w:val="20"/>
          <w:highlight w:val="none"/>
        </w:rPr>
        <w:t>后的报价经供应</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商确认后产生约束力，供应商不确认的，其响应文件按无效响应处理。</w:t>
      </w:r>
    </w:p>
    <w:p w14:paraId="56100F11">
      <w:pPr>
        <w:spacing w:before="33" w:line="226" w:lineRule="auto"/>
        <w:ind w:left="42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5.5</w:t>
      </w:r>
      <w:r>
        <w:rPr>
          <w:rFonts w:ascii="宋体" w:hAnsi="宋体" w:eastAsia="宋体" w:cs="宋体"/>
          <w:color w:val="auto"/>
          <w:spacing w:val="-35"/>
          <w:sz w:val="20"/>
          <w:szCs w:val="20"/>
          <w:highlight w:val="none"/>
        </w:rPr>
        <w:t xml:space="preserve"> </w:t>
      </w:r>
      <w:r>
        <w:rPr>
          <w:rFonts w:ascii="宋体" w:hAnsi="宋体" w:eastAsia="宋体" w:cs="宋体"/>
          <w:color w:val="auto"/>
          <w:spacing w:val="6"/>
          <w:sz w:val="20"/>
          <w:szCs w:val="20"/>
          <w:highlight w:val="none"/>
        </w:rPr>
        <w:t>商务技术报价评审</w:t>
      </w:r>
    </w:p>
    <w:p w14:paraId="108C361D">
      <w:pPr>
        <w:spacing w:before="153" w:line="228" w:lineRule="auto"/>
        <w:ind w:left="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在评审时，如发现下列情形之一的，将被视为响应文件无效处理：</w:t>
      </w:r>
    </w:p>
    <w:p w14:paraId="1CDE12B8">
      <w:pPr>
        <w:spacing w:before="153" w:line="228"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（1）商务技术评审</w:t>
      </w:r>
    </w:p>
    <w:p w14:paraId="3CB35844">
      <w:pPr>
        <w:spacing w:before="155" w:line="227" w:lineRule="auto"/>
        <w:ind w:left="43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1）提供响应文件正、副本数量不足的；</w:t>
      </w:r>
    </w:p>
    <w:p w14:paraId="144AB890">
      <w:pPr>
        <w:spacing w:before="152" w:line="227" w:lineRule="auto"/>
        <w:ind w:left="4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2）响应文件未按竞争性磋商文件要求签署</w:t>
      </w:r>
      <w:r>
        <w:rPr>
          <w:rFonts w:ascii="宋体" w:hAnsi="宋体" w:eastAsia="宋体" w:cs="宋体"/>
          <w:color w:val="auto"/>
          <w:spacing w:val="8"/>
          <w:sz w:val="20"/>
          <w:szCs w:val="20"/>
          <w:highlight w:val="none"/>
        </w:rPr>
        <w:t>、盖章的；</w:t>
      </w:r>
    </w:p>
    <w:p w14:paraId="61981BE8">
      <w:pPr>
        <w:spacing w:before="155" w:line="227" w:lineRule="auto"/>
        <w:ind w:left="42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3）委托代理人未能出具有效身份证明或出具的身份证明与授权委托书中的信息不符的；</w:t>
      </w:r>
    </w:p>
    <w:p w14:paraId="304551E1">
      <w:pPr>
        <w:spacing w:before="155" w:line="228" w:lineRule="auto"/>
        <w:ind w:left="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4）提交的磋商保证金无效的或未按照竞争性磋商文件的规定提交磋商保证金的；</w:t>
      </w:r>
    </w:p>
    <w:p w14:paraId="1A7C2044">
      <w:pPr>
        <w:spacing w:before="152" w:line="322" w:lineRule="auto"/>
        <w:ind w:right="206" w:firstLine="42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5）响应文件未提供任一项“供应商须知前附表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”第</w:t>
      </w:r>
      <w:r>
        <w:rPr>
          <w:rFonts w:ascii="宋体" w:hAnsi="宋体" w:eastAsia="宋体" w:cs="宋体"/>
          <w:color w:val="auto"/>
          <w:spacing w:val="-24"/>
          <w:sz w:val="20"/>
          <w:szCs w:val="20"/>
          <w:highlight w:val="none"/>
        </w:rPr>
        <w:t xml:space="preserve"> </w:t>
      </w:r>
      <w:r>
        <w:rPr>
          <w:rFonts w:ascii="宋体" w:hAnsi="宋体" w:eastAsia="宋体" w:cs="宋体"/>
          <w:color w:val="auto"/>
          <w:spacing w:val="7"/>
          <w:sz w:val="20"/>
          <w:szCs w:val="20"/>
          <w:highlight w:val="none"/>
        </w:rPr>
        <w:t>12.2</w:t>
      </w:r>
      <w:r>
        <w:rPr>
          <w:rFonts w:ascii="宋体" w:hAnsi="宋体" w:eastAsia="宋体" w:cs="宋体"/>
          <w:color w:val="auto"/>
          <w:spacing w:val="-39"/>
          <w:sz w:val="20"/>
          <w:szCs w:val="20"/>
          <w:highlight w:val="none"/>
        </w:rPr>
        <w:t xml:space="preserve"> </w:t>
      </w:r>
      <w:r>
        <w:rPr>
          <w:rFonts w:ascii="宋体" w:hAnsi="宋体" w:eastAsia="宋体" w:cs="宋体"/>
          <w:color w:val="auto"/>
          <w:spacing w:val="7"/>
          <w:sz w:val="20"/>
          <w:szCs w:val="20"/>
          <w:highlight w:val="none"/>
        </w:rPr>
        <w:t>条规</w:t>
      </w:r>
      <w:r>
        <w:rPr>
          <w:rFonts w:ascii="宋体" w:hAnsi="宋体" w:eastAsia="宋体" w:cs="宋体"/>
          <w:color w:val="auto"/>
          <w:spacing w:val="6"/>
          <w:sz w:val="20"/>
          <w:szCs w:val="20"/>
          <w:highlight w:val="none"/>
        </w:rPr>
        <w:t>定的“必须提供</w:t>
      </w:r>
      <w:r>
        <w:rPr>
          <w:rFonts w:ascii="宋体" w:hAnsi="宋体" w:eastAsia="宋体" w:cs="宋体"/>
          <w:color w:val="auto"/>
          <w:spacing w:val="-70"/>
          <w:sz w:val="20"/>
          <w:szCs w:val="20"/>
          <w:highlight w:val="none"/>
        </w:rPr>
        <w:t xml:space="preserve"> </w:t>
      </w:r>
      <w:r>
        <w:rPr>
          <w:rFonts w:ascii="宋体" w:hAnsi="宋体" w:eastAsia="宋体" w:cs="宋体"/>
          <w:color w:val="auto"/>
          <w:spacing w:val="6"/>
          <w:sz w:val="20"/>
          <w:szCs w:val="20"/>
          <w:highlight w:val="none"/>
        </w:rPr>
        <w:t>”或者“委托时必须提</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供</w:t>
      </w:r>
      <w:r>
        <w:rPr>
          <w:rFonts w:ascii="宋体" w:hAnsi="宋体" w:eastAsia="宋体" w:cs="宋体"/>
          <w:color w:val="auto"/>
          <w:spacing w:val="-53"/>
          <w:sz w:val="20"/>
          <w:szCs w:val="20"/>
          <w:highlight w:val="none"/>
        </w:rPr>
        <w:t xml:space="preserve"> </w:t>
      </w:r>
      <w:r>
        <w:rPr>
          <w:rFonts w:ascii="宋体" w:hAnsi="宋体" w:eastAsia="宋体" w:cs="宋体"/>
          <w:color w:val="auto"/>
          <w:spacing w:val="10"/>
          <w:sz w:val="20"/>
          <w:szCs w:val="20"/>
          <w:highlight w:val="none"/>
        </w:rPr>
        <w:t>”的文件资料的；响应文件提供的报价商务技术文件出现任一项不符合“供应商须知前附表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10"/>
          <w:sz w:val="20"/>
          <w:szCs w:val="20"/>
          <w:highlight w:val="none"/>
        </w:rPr>
        <w:t>”第</w:t>
      </w:r>
      <w:r>
        <w:rPr>
          <w:rFonts w:ascii="宋体" w:hAnsi="宋体" w:eastAsia="宋体" w:cs="宋体"/>
          <w:color w:val="auto"/>
          <w:spacing w:val="-19"/>
          <w:sz w:val="20"/>
          <w:szCs w:val="20"/>
          <w:highlight w:val="none"/>
        </w:rPr>
        <w:t xml:space="preserve"> </w:t>
      </w:r>
      <w:r>
        <w:rPr>
          <w:rFonts w:ascii="宋体" w:hAnsi="宋体" w:eastAsia="宋体" w:cs="宋体"/>
          <w:color w:val="auto"/>
          <w:spacing w:val="10"/>
          <w:sz w:val="20"/>
          <w:szCs w:val="20"/>
          <w:highlight w:val="none"/>
        </w:rPr>
        <w:t>12.2</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条规定的“必须提供</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”或者“委托时必须提供</w:t>
      </w:r>
      <w:r>
        <w:rPr>
          <w:rFonts w:ascii="宋体" w:hAnsi="宋体" w:eastAsia="宋体" w:cs="宋体"/>
          <w:color w:val="auto"/>
          <w:spacing w:val="-73"/>
          <w:sz w:val="20"/>
          <w:szCs w:val="20"/>
          <w:highlight w:val="none"/>
        </w:rPr>
        <w:t xml:space="preserve"> </w:t>
      </w:r>
      <w:r>
        <w:rPr>
          <w:rFonts w:ascii="宋体" w:hAnsi="宋体" w:eastAsia="宋体" w:cs="宋体"/>
          <w:color w:val="auto"/>
          <w:spacing w:val="8"/>
          <w:sz w:val="20"/>
          <w:szCs w:val="20"/>
          <w:highlight w:val="none"/>
        </w:rPr>
        <w:t>”的文件</w:t>
      </w:r>
      <w:r>
        <w:rPr>
          <w:rFonts w:ascii="宋体" w:hAnsi="宋体" w:eastAsia="宋体" w:cs="宋体"/>
          <w:color w:val="auto"/>
          <w:spacing w:val="7"/>
          <w:sz w:val="20"/>
          <w:szCs w:val="20"/>
          <w:highlight w:val="none"/>
        </w:rPr>
        <w:t>资料要求或者无效的。</w:t>
      </w:r>
    </w:p>
    <w:p w14:paraId="1E987D0E">
      <w:pPr>
        <w:spacing w:before="152" w:line="299" w:lineRule="auto"/>
        <w:ind w:left="3" w:right="208" w:firstLine="41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6）商务条款中标“★</w:t>
      </w:r>
      <w:r>
        <w:rPr>
          <w:rFonts w:ascii="宋体" w:hAnsi="宋体" w:eastAsia="宋体" w:cs="宋体"/>
          <w:color w:val="auto"/>
          <w:spacing w:val="-68"/>
          <w:sz w:val="20"/>
          <w:szCs w:val="20"/>
          <w:highlight w:val="none"/>
        </w:rPr>
        <w:t xml:space="preserve"> </w:t>
      </w:r>
      <w:r>
        <w:rPr>
          <w:rFonts w:ascii="宋体" w:hAnsi="宋体" w:eastAsia="宋体" w:cs="宋体"/>
          <w:color w:val="auto"/>
          <w:spacing w:val="10"/>
          <w:sz w:val="20"/>
          <w:szCs w:val="20"/>
          <w:highlight w:val="none"/>
        </w:rPr>
        <w:t>”的条款发生负偏离的或允许负偏离的条款数超过“供应商须知前附表</w:t>
      </w:r>
      <w:r>
        <w:rPr>
          <w:rFonts w:ascii="宋体" w:hAnsi="宋体" w:eastAsia="宋体" w:cs="宋体"/>
          <w:color w:val="auto"/>
          <w:spacing w:val="-67"/>
          <w:sz w:val="20"/>
          <w:szCs w:val="20"/>
          <w:highlight w:val="none"/>
        </w:rPr>
        <w:t xml:space="preserve"> </w:t>
      </w:r>
      <w:r>
        <w:rPr>
          <w:rFonts w:ascii="宋体" w:hAnsi="宋体" w:eastAsia="宋体" w:cs="宋体"/>
          <w:color w:val="auto"/>
          <w:spacing w:val="10"/>
          <w:sz w:val="20"/>
          <w:szCs w:val="20"/>
          <w:highlight w:val="none"/>
        </w:rPr>
        <w:t>”规定</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项数的或标明实质性的要求发生负偏离的；</w:t>
      </w:r>
    </w:p>
    <w:p w14:paraId="7FF0D1B8">
      <w:pPr>
        <w:spacing w:before="154" w:line="228" w:lineRule="auto"/>
        <w:ind w:left="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7）未对竞标有效期作出响应或响应文件承诺的竞标有效期不满足竞争性磋商文件要求的；</w:t>
      </w:r>
    </w:p>
    <w:p w14:paraId="3EAF9709">
      <w:pPr>
        <w:spacing w:before="152" w:line="228" w:lineRule="auto"/>
        <w:ind w:left="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8）响应文件的实质性内容未使用中文表述、使用计量单位不符合竞争性磋商文件要求的；</w:t>
      </w:r>
    </w:p>
    <w:p w14:paraId="49F13682">
      <w:pPr>
        <w:spacing w:before="154" w:line="300" w:lineRule="auto"/>
        <w:ind w:left="17" w:right="206" w:firstLine="40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9）响应文件中的文件资料因填写不齐全或者内容虚假</w:t>
      </w:r>
      <w:r>
        <w:rPr>
          <w:rFonts w:ascii="宋体" w:hAnsi="宋体" w:eastAsia="宋体" w:cs="宋体"/>
          <w:color w:val="auto"/>
          <w:spacing w:val="11"/>
          <w:sz w:val="20"/>
          <w:szCs w:val="20"/>
          <w:highlight w:val="none"/>
        </w:rPr>
        <w:t>或者出现其他情形而导致被磋商小组认定无效</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的；</w:t>
      </w:r>
    </w:p>
    <w:p w14:paraId="14B92BAF">
      <w:pPr>
        <w:spacing w:before="149" w:line="227" w:lineRule="auto"/>
        <w:ind w:left="43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10）响应文件含有采购人不能接受的附加条件的；</w:t>
      </w:r>
    </w:p>
    <w:p w14:paraId="2557DA5D">
      <w:pPr>
        <w:spacing w:before="155" w:line="227" w:lineRule="auto"/>
        <w:ind w:left="43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11）属于“供应商须知正文</w:t>
      </w:r>
      <w:r>
        <w:rPr>
          <w:rFonts w:ascii="宋体" w:hAnsi="宋体" w:eastAsia="宋体" w:cs="宋体"/>
          <w:color w:val="auto"/>
          <w:spacing w:val="-61"/>
          <w:sz w:val="20"/>
          <w:szCs w:val="20"/>
          <w:highlight w:val="none"/>
        </w:rPr>
        <w:t xml:space="preserve"> </w:t>
      </w:r>
      <w:r>
        <w:rPr>
          <w:rFonts w:ascii="宋体" w:hAnsi="宋体" w:eastAsia="宋体" w:cs="宋体"/>
          <w:color w:val="auto"/>
          <w:spacing w:val="5"/>
          <w:sz w:val="20"/>
          <w:szCs w:val="20"/>
          <w:highlight w:val="none"/>
        </w:rPr>
        <w:t>”第</w:t>
      </w:r>
      <w:r>
        <w:rPr>
          <w:rFonts w:ascii="宋体" w:hAnsi="宋体" w:eastAsia="宋体" w:cs="宋体"/>
          <w:color w:val="auto"/>
          <w:spacing w:val="-34"/>
          <w:sz w:val="20"/>
          <w:szCs w:val="20"/>
          <w:highlight w:val="none"/>
        </w:rPr>
        <w:t xml:space="preserve"> </w:t>
      </w:r>
      <w:r>
        <w:rPr>
          <w:rFonts w:ascii="宋体" w:hAnsi="宋体" w:eastAsia="宋体" w:cs="宋体"/>
          <w:color w:val="auto"/>
          <w:spacing w:val="5"/>
          <w:sz w:val="20"/>
          <w:szCs w:val="20"/>
          <w:highlight w:val="none"/>
        </w:rPr>
        <w:t>7.7</w:t>
      </w:r>
      <w:r>
        <w:rPr>
          <w:rFonts w:ascii="宋体" w:hAnsi="宋体" w:eastAsia="宋体" w:cs="宋体"/>
          <w:color w:val="auto"/>
          <w:spacing w:val="-39"/>
          <w:sz w:val="20"/>
          <w:szCs w:val="20"/>
          <w:highlight w:val="none"/>
        </w:rPr>
        <w:t xml:space="preserve"> </w:t>
      </w:r>
      <w:r>
        <w:rPr>
          <w:rFonts w:ascii="宋体" w:hAnsi="宋体" w:eastAsia="宋体" w:cs="宋体"/>
          <w:color w:val="auto"/>
          <w:spacing w:val="5"/>
          <w:sz w:val="20"/>
          <w:szCs w:val="20"/>
          <w:highlight w:val="none"/>
        </w:rPr>
        <w:t>条和第</w:t>
      </w:r>
      <w:r>
        <w:rPr>
          <w:rFonts w:ascii="宋体" w:hAnsi="宋体" w:eastAsia="宋体" w:cs="宋体"/>
          <w:color w:val="auto"/>
          <w:spacing w:val="-32"/>
          <w:sz w:val="20"/>
          <w:szCs w:val="20"/>
          <w:highlight w:val="none"/>
        </w:rPr>
        <w:t xml:space="preserve"> </w:t>
      </w:r>
      <w:r>
        <w:rPr>
          <w:rFonts w:ascii="宋体" w:hAnsi="宋体" w:eastAsia="宋体" w:cs="宋体"/>
          <w:color w:val="auto"/>
          <w:spacing w:val="5"/>
          <w:sz w:val="20"/>
          <w:szCs w:val="20"/>
          <w:highlight w:val="none"/>
        </w:rPr>
        <w:t>7.9</w:t>
      </w:r>
      <w:r>
        <w:rPr>
          <w:rFonts w:ascii="宋体" w:hAnsi="宋体" w:eastAsia="宋体" w:cs="宋体"/>
          <w:color w:val="auto"/>
          <w:spacing w:val="-38"/>
          <w:sz w:val="20"/>
          <w:szCs w:val="20"/>
          <w:highlight w:val="none"/>
        </w:rPr>
        <w:t xml:space="preserve"> </w:t>
      </w:r>
      <w:r>
        <w:rPr>
          <w:rFonts w:ascii="宋体" w:hAnsi="宋体" w:eastAsia="宋体" w:cs="宋体"/>
          <w:color w:val="auto"/>
          <w:spacing w:val="5"/>
          <w:sz w:val="20"/>
          <w:szCs w:val="20"/>
          <w:highlight w:val="none"/>
        </w:rPr>
        <w:t>条（2）的情形的；</w:t>
      </w:r>
    </w:p>
    <w:p w14:paraId="2EEEF4FA">
      <w:pPr>
        <w:spacing w:before="154" w:line="298" w:lineRule="auto"/>
        <w:ind w:left="17" w:firstLine="4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12）明显不满足竞争性磋商文件要求的技术规格、安全、质量标准，或者与竞争性磋商文件中标“★</w:t>
      </w:r>
      <w:r>
        <w:rPr>
          <w:rFonts w:ascii="宋体" w:hAnsi="宋体" w:eastAsia="宋体" w:cs="宋体"/>
          <w:color w:val="auto"/>
          <w:spacing w:val="-69"/>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的技术需求或标明实质性的要求发生负偏离的；</w:t>
      </w:r>
    </w:p>
    <w:p w14:paraId="1B56C18D">
      <w:pPr>
        <w:spacing w:before="154" w:line="227" w:lineRule="auto"/>
        <w:ind w:left="43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13）技术需求允许负偏离的条款数超过“供应商须知前附表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”规定项数的；</w:t>
      </w:r>
    </w:p>
    <w:p w14:paraId="520E4B3A">
      <w:pPr>
        <w:spacing w:before="155" w:line="227" w:lineRule="auto"/>
        <w:ind w:left="43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14）虚假竞标，或者出现其他情形而导致被磋商小组认定无效的；</w:t>
      </w:r>
    </w:p>
    <w:p w14:paraId="12B12E95">
      <w:pPr>
        <w:spacing w:before="152" w:line="228" w:lineRule="auto"/>
        <w:ind w:left="43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15）竞标技术方案不明确，竞争性磋商文件未允许但响应文件中存在一个或一</w:t>
      </w:r>
      <w:r>
        <w:rPr>
          <w:rFonts w:ascii="宋体" w:hAnsi="宋体" w:eastAsia="宋体" w:cs="宋体"/>
          <w:color w:val="auto"/>
          <w:spacing w:val="8"/>
          <w:sz w:val="20"/>
          <w:szCs w:val="20"/>
          <w:highlight w:val="none"/>
        </w:rPr>
        <w:t>个以上备选（替代）竞</w:t>
      </w:r>
    </w:p>
    <w:p w14:paraId="622E1EFB">
      <w:pPr>
        <w:spacing w:line="228" w:lineRule="auto"/>
        <w:rPr>
          <w:rFonts w:ascii="宋体" w:hAnsi="宋体" w:eastAsia="宋体" w:cs="宋体"/>
          <w:color w:val="auto"/>
          <w:sz w:val="20"/>
          <w:szCs w:val="20"/>
          <w:highlight w:val="none"/>
        </w:rPr>
        <w:sectPr>
          <w:footerReference r:id="rId22" w:type="default"/>
          <w:pgSz w:w="11906" w:h="16839"/>
          <w:pgMar w:top="1260" w:right="928" w:bottom="1362" w:left="1140" w:header="0" w:footer="1200" w:gutter="0"/>
          <w:pgNumType w:fmt="decimal"/>
          <w:cols w:space="720" w:num="1"/>
        </w:sectPr>
      </w:pPr>
    </w:p>
    <w:p w14:paraId="6E4C9E63">
      <w:pPr>
        <w:spacing w:before="42" w:line="228" w:lineRule="auto"/>
        <w:ind w:left="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标方案的；</w:t>
      </w:r>
    </w:p>
    <w:p w14:paraId="7DD7DB74">
      <w:pPr>
        <w:spacing w:before="150" w:line="228" w:lineRule="auto"/>
        <w:ind w:left="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16）未响应竞争性磋商文件实质性要求的；</w:t>
      </w:r>
    </w:p>
    <w:p w14:paraId="5B6E818B">
      <w:pPr>
        <w:spacing w:before="153" w:line="228" w:lineRule="auto"/>
        <w:ind w:left="4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17）法律、法规和竞争性磋商文件规定的其他无效情形。</w:t>
      </w:r>
    </w:p>
    <w:p w14:paraId="656B1564">
      <w:pPr>
        <w:spacing w:before="154" w:line="226" w:lineRule="auto"/>
        <w:ind w:left="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（2）报价评审</w:t>
      </w:r>
    </w:p>
    <w:p w14:paraId="69196BBB">
      <w:pPr>
        <w:spacing w:before="153" w:line="226" w:lineRule="auto"/>
        <w:ind w:left="43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 响应文件未提供“供应商须知前附表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6"/>
          <w:sz w:val="20"/>
          <w:szCs w:val="20"/>
          <w:highlight w:val="none"/>
        </w:rPr>
        <w:t>”第</w:t>
      </w:r>
      <w:r>
        <w:rPr>
          <w:rFonts w:ascii="宋体" w:hAnsi="宋体" w:eastAsia="宋体" w:cs="宋体"/>
          <w:color w:val="auto"/>
          <w:spacing w:val="-23"/>
          <w:sz w:val="20"/>
          <w:szCs w:val="20"/>
          <w:highlight w:val="none"/>
        </w:rPr>
        <w:t xml:space="preserve"> </w:t>
      </w:r>
      <w:r>
        <w:rPr>
          <w:rFonts w:ascii="宋体" w:hAnsi="宋体" w:eastAsia="宋体" w:cs="宋体"/>
          <w:color w:val="auto"/>
          <w:spacing w:val="6"/>
          <w:sz w:val="20"/>
          <w:szCs w:val="20"/>
          <w:highlight w:val="none"/>
        </w:rPr>
        <w:t>12.2</w:t>
      </w:r>
      <w:r>
        <w:rPr>
          <w:rFonts w:ascii="宋体" w:hAnsi="宋体" w:eastAsia="宋体" w:cs="宋体"/>
          <w:color w:val="auto"/>
          <w:spacing w:val="-39"/>
          <w:sz w:val="20"/>
          <w:szCs w:val="20"/>
          <w:highlight w:val="none"/>
        </w:rPr>
        <w:t xml:space="preserve"> </w:t>
      </w:r>
      <w:r>
        <w:rPr>
          <w:rFonts w:ascii="宋体" w:hAnsi="宋体" w:eastAsia="宋体" w:cs="宋体"/>
          <w:color w:val="auto"/>
          <w:spacing w:val="6"/>
          <w:sz w:val="20"/>
          <w:szCs w:val="20"/>
          <w:highlight w:val="none"/>
        </w:rPr>
        <w:t>条规定中的“</w:t>
      </w:r>
      <w:r>
        <w:rPr>
          <w:rFonts w:ascii="宋体" w:hAnsi="宋体" w:eastAsia="宋体" w:cs="宋体"/>
          <w:color w:val="auto"/>
          <w:spacing w:val="5"/>
          <w:sz w:val="20"/>
          <w:szCs w:val="20"/>
          <w:highlight w:val="none"/>
        </w:rPr>
        <w:t>磋商报价表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5"/>
          <w:sz w:val="20"/>
          <w:szCs w:val="20"/>
          <w:highlight w:val="none"/>
        </w:rPr>
        <w:t>”的；</w:t>
      </w:r>
    </w:p>
    <w:p w14:paraId="795A83E1">
      <w:pPr>
        <w:spacing w:before="156" w:line="226" w:lineRule="auto"/>
        <w:ind w:left="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2）未采用人民币报价或者未按照竞争性磋商文件标明的币种报价的；</w:t>
      </w:r>
    </w:p>
    <w:p w14:paraId="73A8581E">
      <w:pPr>
        <w:spacing w:before="155" w:line="322" w:lineRule="auto"/>
        <w:ind w:right="35" w:firstLine="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3）供应商未就所竞标分标进行报价或存在漏项报价；供应商未就所竞标分标的单项内容作唯一</w:t>
      </w:r>
      <w:r>
        <w:rPr>
          <w:rFonts w:ascii="宋体" w:hAnsi="宋体" w:eastAsia="宋体" w:cs="宋体"/>
          <w:color w:val="auto"/>
          <w:spacing w:val="7"/>
          <w:sz w:val="20"/>
          <w:szCs w:val="20"/>
          <w:highlight w:val="none"/>
        </w:rPr>
        <w:t>报价；</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供应商未就所竞标分标的全部内容作唯一总价报价；供应商响应文件中存在有选择、有条件报价的（竞争</w:t>
      </w:r>
      <w:r>
        <w:rPr>
          <w:rFonts w:ascii="宋体" w:hAnsi="宋体" w:eastAsia="宋体" w:cs="宋体"/>
          <w:color w:val="auto"/>
          <w:spacing w:val="13"/>
          <w:sz w:val="20"/>
          <w:szCs w:val="20"/>
          <w:highlight w:val="none"/>
        </w:rPr>
        <w:t xml:space="preserve"> </w:t>
      </w:r>
      <w:r>
        <w:rPr>
          <w:rFonts w:ascii="宋体" w:hAnsi="宋体" w:eastAsia="宋体" w:cs="宋体"/>
          <w:color w:val="auto"/>
          <w:spacing w:val="9"/>
          <w:sz w:val="20"/>
          <w:szCs w:val="20"/>
          <w:highlight w:val="none"/>
        </w:rPr>
        <w:t>性磋商文件允许有备选方案或其他约定的除外</w:t>
      </w:r>
      <w:r>
        <w:rPr>
          <w:rFonts w:ascii="宋体" w:hAnsi="宋体" w:eastAsia="宋体" w:cs="宋体"/>
          <w:color w:val="auto"/>
          <w:spacing w:val="4"/>
          <w:sz w:val="20"/>
          <w:szCs w:val="20"/>
          <w:highlight w:val="none"/>
        </w:rPr>
        <w:t>）；</w:t>
      </w:r>
    </w:p>
    <w:p w14:paraId="6CF028D0">
      <w:pPr>
        <w:spacing w:before="155" w:line="321" w:lineRule="auto"/>
        <w:ind w:left="1" w:right="87" w:firstLine="41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4）竞标报价（包含首次报价、最后报价）超过所竞标分</w:t>
      </w:r>
      <w:r>
        <w:rPr>
          <w:rFonts w:ascii="宋体" w:hAnsi="宋体" w:eastAsia="宋体" w:cs="宋体"/>
          <w:color w:val="auto"/>
          <w:spacing w:val="11"/>
          <w:sz w:val="20"/>
          <w:szCs w:val="20"/>
          <w:highlight w:val="none"/>
        </w:rPr>
        <w:t>标规定的采购预算金额或者最高限价的（如</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本项目公布了最高限价</w:t>
      </w:r>
      <w:r>
        <w:rPr>
          <w:rFonts w:ascii="宋体" w:hAnsi="宋体" w:eastAsia="宋体" w:cs="宋体"/>
          <w:color w:val="auto"/>
          <w:spacing w:val="16"/>
          <w:sz w:val="20"/>
          <w:szCs w:val="20"/>
          <w:highlight w:val="none"/>
        </w:rPr>
        <w:t>）；</w:t>
      </w:r>
      <w:r>
        <w:rPr>
          <w:rFonts w:ascii="宋体" w:hAnsi="宋体" w:eastAsia="宋体" w:cs="宋体"/>
          <w:color w:val="auto"/>
          <w:spacing w:val="9"/>
          <w:sz w:val="20"/>
          <w:szCs w:val="20"/>
          <w:highlight w:val="none"/>
        </w:rPr>
        <w:t>竞标报价（包含首次报价、最后报价）超过竞争性磋商文件分项采购预算金额</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或者最高限价的（如本项目公布了最高限价</w:t>
      </w:r>
      <w:r>
        <w:rPr>
          <w:rFonts w:ascii="宋体" w:hAnsi="宋体" w:eastAsia="宋体" w:cs="宋体"/>
          <w:color w:val="auto"/>
          <w:spacing w:val="3"/>
          <w:sz w:val="20"/>
          <w:szCs w:val="20"/>
          <w:highlight w:val="none"/>
        </w:rPr>
        <w:t>）；</w:t>
      </w:r>
    </w:p>
    <w:p w14:paraId="70820077">
      <w:pPr>
        <w:spacing w:before="158" w:line="333" w:lineRule="auto"/>
        <w:ind w:firstLine="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5）修正后的报价，供应商不确认的；或经供应商确认修正后的竞标报价</w:t>
      </w:r>
      <w:r>
        <w:rPr>
          <w:rFonts w:ascii="宋体" w:hAnsi="宋体" w:eastAsia="宋体" w:cs="宋体"/>
          <w:color w:val="auto"/>
          <w:spacing w:val="8"/>
          <w:sz w:val="20"/>
          <w:szCs w:val="20"/>
          <w:highlight w:val="none"/>
        </w:rPr>
        <w:t>（包含首次报价、最后报价）</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超过所竞标分标规定的采购预算金额或者最高限价的（如本项目公布了最高限价</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或经供应商确认修正</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后竞标报价（包含首次报价、最后报价）超过竞争性磋商文件分项采购预算金额或者最高限价的（如本项</w:t>
      </w:r>
      <w:r>
        <w:rPr>
          <w:rFonts w:ascii="宋体" w:hAnsi="宋体" w:eastAsia="宋体" w:cs="宋体"/>
          <w:color w:val="auto"/>
          <w:spacing w:val="8"/>
          <w:sz w:val="20"/>
          <w:szCs w:val="20"/>
          <w:highlight w:val="none"/>
        </w:rPr>
        <w:t xml:space="preserve">  </w:t>
      </w:r>
      <w:r>
        <w:rPr>
          <w:rFonts w:ascii="宋体" w:hAnsi="宋体" w:eastAsia="宋体" w:cs="宋体"/>
          <w:color w:val="auto"/>
          <w:spacing w:val="7"/>
          <w:sz w:val="20"/>
          <w:szCs w:val="20"/>
          <w:highlight w:val="none"/>
        </w:rPr>
        <w:t>目公布了最高限价）。</w:t>
      </w:r>
    </w:p>
    <w:p w14:paraId="179F9769">
      <w:pPr>
        <w:spacing w:before="154" w:line="322" w:lineRule="auto"/>
        <w:ind w:left="3" w:right="87" w:firstLine="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5.6</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磋商小组对响应文件进行评审，未实质性响应竞争性磋商文件的响应文件按无效</w:t>
      </w:r>
      <w:r>
        <w:rPr>
          <w:rFonts w:ascii="宋体" w:hAnsi="宋体" w:eastAsia="宋体" w:cs="宋体"/>
          <w:color w:val="auto"/>
          <w:spacing w:val="9"/>
          <w:sz w:val="20"/>
          <w:szCs w:val="20"/>
          <w:highlight w:val="none"/>
        </w:rPr>
        <w:t>处理，由磋商小</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组告知有关供应商。磋商小组从符合竞争性磋商文件规定的相应资格</w:t>
      </w:r>
      <w:r>
        <w:rPr>
          <w:rFonts w:ascii="宋体" w:hAnsi="宋体" w:eastAsia="宋体" w:cs="宋体"/>
          <w:color w:val="auto"/>
          <w:spacing w:val="8"/>
          <w:sz w:val="20"/>
          <w:szCs w:val="20"/>
          <w:highlight w:val="none"/>
        </w:rPr>
        <w:t>条件的供应商名单中确定不少于</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家</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的供应商参加磋商。</w:t>
      </w:r>
    </w:p>
    <w:p w14:paraId="3B6AC13E">
      <w:pPr>
        <w:spacing w:before="154" w:line="298" w:lineRule="auto"/>
        <w:ind w:left="1" w:right="89" w:firstLine="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5.7</w:t>
      </w:r>
      <w:r>
        <w:rPr>
          <w:rFonts w:ascii="宋体" w:hAnsi="宋体" w:eastAsia="宋体" w:cs="宋体"/>
          <w:color w:val="auto"/>
          <w:spacing w:val="-32"/>
          <w:sz w:val="20"/>
          <w:szCs w:val="20"/>
          <w:highlight w:val="none"/>
        </w:rPr>
        <w:t xml:space="preserve"> </w:t>
      </w:r>
      <w:r>
        <w:rPr>
          <w:rFonts w:ascii="宋体" w:hAnsi="宋体" w:eastAsia="宋体" w:cs="宋体"/>
          <w:color w:val="auto"/>
          <w:spacing w:val="9"/>
          <w:sz w:val="20"/>
          <w:szCs w:val="20"/>
          <w:highlight w:val="none"/>
        </w:rPr>
        <w:t>通过符合性审查的合格供应商不足</w:t>
      </w:r>
      <w:r>
        <w:rPr>
          <w:rFonts w:ascii="宋体" w:hAnsi="宋体" w:eastAsia="宋体" w:cs="宋体"/>
          <w:color w:val="auto"/>
          <w:spacing w:val="-32"/>
          <w:sz w:val="20"/>
          <w:szCs w:val="20"/>
          <w:highlight w:val="none"/>
        </w:rPr>
        <w:t xml:space="preserve"> </w:t>
      </w:r>
      <w:r>
        <w:rPr>
          <w:rFonts w:ascii="宋体" w:hAnsi="宋体" w:eastAsia="宋体" w:cs="宋体"/>
          <w:color w:val="auto"/>
          <w:spacing w:val="9"/>
          <w:sz w:val="20"/>
          <w:szCs w:val="20"/>
          <w:highlight w:val="none"/>
        </w:rPr>
        <w:t>3</w:t>
      </w:r>
      <w:r>
        <w:rPr>
          <w:rFonts w:ascii="宋体" w:hAnsi="宋体" w:eastAsia="宋体" w:cs="宋体"/>
          <w:color w:val="auto"/>
          <w:spacing w:val="-39"/>
          <w:sz w:val="20"/>
          <w:szCs w:val="20"/>
          <w:highlight w:val="none"/>
        </w:rPr>
        <w:t xml:space="preserve"> </w:t>
      </w:r>
      <w:r>
        <w:rPr>
          <w:rFonts w:ascii="宋体" w:hAnsi="宋体" w:eastAsia="宋体" w:cs="宋体"/>
          <w:color w:val="auto"/>
          <w:spacing w:val="9"/>
          <w:sz w:val="20"/>
          <w:szCs w:val="20"/>
          <w:highlight w:val="none"/>
        </w:rPr>
        <w:t>家的，不得进入磋商环节，采购人或采购代理机构应当重新</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开展采购活动。</w:t>
      </w:r>
    </w:p>
    <w:p w14:paraId="4EBF7C95">
      <w:pPr>
        <w:spacing w:before="155" w:line="228" w:lineRule="auto"/>
        <w:ind w:left="430"/>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（三）磋商</w:t>
      </w:r>
    </w:p>
    <w:p w14:paraId="037ADDC2">
      <w:pPr>
        <w:spacing w:before="152" w:line="360" w:lineRule="auto"/>
        <w:ind w:left="2" w:right="87" w:firstLine="42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6.磋商小组按照“供应商须知前附表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11"/>
          <w:sz w:val="20"/>
          <w:szCs w:val="20"/>
          <w:highlight w:val="none"/>
        </w:rPr>
        <w:t>” 确定的顺序，集中</w:t>
      </w:r>
      <w:r>
        <w:rPr>
          <w:rFonts w:ascii="宋体" w:hAnsi="宋体" w:eastAsia="宋体" w:cs="宋体"/>
          <w:color w:val="auto"/>
          <w:spacing w:val="10"/>
          <w:sz w:val="20"/>
          <w:szCs w:val="20"/>
          <w:highlight w:val="none"/>
        </w:rPr>
        <w:t>与单一供应商分别进行磋商，并给予所有</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参加磋商的供应商平等的磋商机会。符合磋商资格的供应商应当在接到磋商通知后规定时间内参加磋商，</w:t>
      </w:r>
      <w:r>
        <w:rPr>
          <w:rFonts w:ascii="宋体" w:hAnsi="宋体" w:eastAsia="宋体" w:cs="宋体"/>
          <w:color w:val="auto"/>
          <w:spacing w:val="13"/>
          <w:sz w:val="20"/>
          <w:szCs w:val="20"/>
          <w:highlight w:val="none"/>
        </w:rPr>
        <w:t xml:space="preserve"> </w:t>
      </w:r>
      <w:r>
        <w:rPr>
          <w:rFonts w:ascii="宋体" w:hAnsi="宋体" w:eastAsia="宋体" w:cs="宋体"/>
          <w:color w:val="auto"/>
          <w:spacing w:val="9"/>
          <w:sz w:val="20"/>
          <w:szCs w:val="20"/>
          <w:highlight w:val="none"/>
        </w:rPr>
        <w:t>未在规定时间内参加磋商的视同放弃参加磋商权利，其响应文件按无效响应处理。</w:t>
      </w:r>
    </w:p>
    <w:p w14:paraId="7282F82A">
      <w:pPr>
        <w:spacing w:before="29" w:line="360" w:lineRule="auto"/>
        <w:ind w:right="87" w:firstLine="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7.在磋商过程中，磋商小组可以根据磋商文件和磋商情况实质性变动采购需求中的技术、服务要求以</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及合同草案条款，但不得变动磋商文件中的其他内容。实质性变动的内容，须经采购人代表确认。可能实</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rPr>
        <w:t>质性变动的内容详见“供应商须知前附表</w:t>
      </w:r>
      <w:r>
        <w:rPr>
          <w:rFonts w:ascii="宋体" w:hAnsi="宋体" w:eastAsia="宋体" w:cs="宋体"/>
          <w:color w:val="auto"/>
          <w:spacing w:val="-69"/>
          <w:sz w:val="20"/>
          <w:szCs w:val="20"/>
          <w:highlight w:val="none"/>
        </w:rPr>
        <w:t xml:space="preserve"> </w:t>
      </w:r>
      <w:r>
        <w:rPr>
          <w:rFonts w:ascii="宋体" w:hAnsi="宋体" w:eastAsia="宋体" w:cs="宋体"/>
          <w:color w:val="auto"/>
          <w:spacing w:val="9"/>
          <w:sz w:val="20"/>
          <w:szCs w:val="20"/>
          <w:highlight w:val="none"/>
        </w:rPr>
        <w:t>”。</w:t>
      </w:r>
    </w:p>
    <w:p w14:paraId="566F0EBD">
      <w:pPr>
        <w:spacing w:before="30" w:line="355" w:lineRule="auto"/>
        <w:ind w:left="5" w:right="87" w:firstLine="41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8.对竞争性磋商文件作出的实质性变动是竞争性磋商文件的有效组成部分，由磋商小组及时以书面形</w:t>
      </w:r>
      <w:r>
        <w:rPr>
          <w:rFonts w:ascii="宋体" w:hAnsi="宋体" w:eastAsia="宋体" w:cs="宋体"/>
          <w:color w:val="auto"/>
          <w:spacing w:val="3"/>
          <w:sz w:val="20"/>
          <w:szCs w:val="20"/>
          <w:highlight w:val="none"/>
        </w:rPr>
        <w:t xml:space="preserve"> </w:t>
      </w:r>
      <w:r>
        <w:rPr>
          <w:rFonts w:ascii="宋体" w:hAnsi="宋体" w:eastAsia="宋体" w:cs="宋体"/>
          <w:color w:val="auto"/>
          <w:spacing w:val="8"/>
          <w:sz w:val="20"/>
          <w:szCs w:val="20"/>
          <w:highlight w:val="none"/>
        </w:rPr>
        <w:t>式同时通知所有参加磋商的供应商。</w:t>
      </w:r>
    </w:p>
    <w:p w14:paraId="1DF7E70E">
      <w:pPr>
        <w:spacing w:before="31" w:line="362" w:lineRule="auto"/>
        <w:ind w:right="87" w:firstLine="421"/>
        <w:jc w:val="both"/>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9. 供应商应当按照竞争性磋商文件的变动情况和磋商小组的要求重新提交响应文件，并由其法定代</w:t>
      </w:r>
      <w:r>
        <w:rPr>
          <w:rFonts w:ascii="宋体" w:hAnsi="宋体" w:eastAsia="宋体" w:cs="宋体"/>
          <w:color w:val="auto"/>
          <w:spacing w:val="13"/>
          <w:sz w:val="20"/>
          <w:szCs w:val="20"/>
          <w:highlight w:val="none"/>
        </w:rPr>
        <w:t xml:space="preserve"> </w:t>
      </w:r>
      <w:r>
        <w:rPr>
          <w:rFonts w:ascii="宋体" w:hAnsi="宋体" w:eastAsia="宋体" w:cs="宋体"/>
          <w:color w:val="auto"/>
          <w:spacing w:val="8"/>
          <w:sz w:val="20"/>
          <w:szCs w:val="20"/>
          <w:highlight w:val="none"/>
        </w:rPr>
        <w:t>表人</w:t>
      </w:r>
      <w:r>
        <w:rPr>
          <w:rFonts w:ascii="Times New Roman" w:hAnsi="Times New Roman" w:eastAsia="Times New Roman" w:cs="Times New Roman"/>
          <w:color w:val="auto"/>
          <w:spacing w:val="8"/>
          <w:sz w:val="20"/>
          <w:szCs w:val="20"/>
          <w:highlight w:val="none"/>
        </w:rPr>
        <w:t>/</w:t>
      </w:r>
      <w:r>
        <w:rPr>
          <w:rFonts w:ascii="宋体" w:hAnsi="宋体" w:eastAsia="宋体" w:cs="宋体"/>
          <w:color w:val="auto"/>
          <w:spacing w:val="8"/>
          <w:sz w:val="20"/>
          <w:szCs w:val="20"/>
          <w:highlight w:val="none"/>
        </w:rPr>
        <w:t>法定代表或授权代表签字或者加盖公章。由授权代表签字的，应当附法定代表人授权书（若委托</w:t>
      </w:r>
      <w:r>
        <w:rPr>
          <w:rFonts w:ascii="宋体" w:hAnsi="宋体" w:eastAsia="宋体" w:cs="宋体"/>
          <w:color w:val="auto"/>
          <w:spacing w:val="7"/>
          <w:sz w:val="20"/>
          <w:szCs w:val="20"/>
          <w:highlight w:val="none"/>
        </w:rPr>
        <w:t>代理</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人为响应文件中承诺的授权委托代理人的，无须出示法定代表人授权委托书）。供应商为自然人的，应当</w:t>
      </w:r>
      <w:r>
        <w:rPr>
          <w:rFonts w:ascii="宋体" w:hAnsi="宋体" w:eastAsia="宋体" w:cs="宋体"/>
          <w:color w:val="auto"/>
          <w:spacing w:val="13"/>
          <w:sz w:val="20"/>
          <w:szCs w:val="20"/>
          <w:highlight w:val="none"/>
        </w:rPr>
        <w:t xml:space="preserve"> </w:t>
      </w:r>
      <w:r>
        <w:rPr>
          <w:rFonts w:ascii="宋体" w:hAnsi="宋体" w:eastAsia="宋体" w:cs="宋体"/>
          <w:color w:val="auto"/>
          <w:spacing w:val="10"/>
          <w:sz w:val="20"/>
          <w:szCs w:val="20"/>
          <w:highlight w:val="none"/>
        </w:rPr>
        <w:t>由本人签字并附身份证明。参加磋商的供应商未在规定</w:t>
      </w:r>
      <w:r>
        <w:rPr>
          <w:rFonts w:ascii="宋体" w:hAnsi="宋体" w:eastAsia="宋体" w:cs="宋体"/>
          <w:color w:val="auto"/>
          <w:spacing w:val="9"/>
          <w:sz w:val="20"/>
          <w:szCs w:val="20"/>
          <w:highlight w:val="none"/>
        </w:rPr>
        <w:t>时间内重新提交响应文件的，视同退出磋商。</w:t>
      </w:r>
    </w:p>
    <w:p w14:paraId="662EAD3A">
      <w:pPr>
        <w:spacing w:before="32" w:line="226" w:lineRule="auto"/>
        <w:ind w:left="43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10.磋商中，磋商的任何一方不得透露与磋商有关的其他供应商的技术资料、价格和其他信息。</w:t>
      </w:r>
    </w:p>
    <w:p w14:paraId="03F75B86">
      <w:pPr>
        <w:spacing w:line="226" w:lineRule="auto"/>
        <w:rPr>
          <w:rFonts w:ascii="宋体" w:hAnsi="宋体" w:eastAsia="宋体" w:cs="宋体"/>
          <w:color w:val="auto"/>
          <w:sz w:val="20"/>
          <w:szCs w:val="20"/>
          <w:highlight w:val="none"/>
        </w:rPr>
        <w:sectPr>
          <w:footerReference r:id="rId23" w:type="default"/>
          <w:pgSz w:w="11906" w:h="16839"/>
          <w:pgMar w:top="1260" w:right="1047" w:bottom="1362" w:left="1140" w:header="0" w:footer="1200" w:gutter="0"/>
          <w:pgNumType w:fmt="decimal"/>
          <w:cols w:space="720" w:num="1"/>
        </w:sectPr>
      </w:pPr>
    </w:p>
    <w:p w14:paraId="2EA42FE9">
      <w:pPr>
        <w:spacing w:before="41" w:line="353" w:lineRule="auto"/>
        <w:ind w:left="436" w:right="1584"/>
        <w:rPr>
          <w:rFonts w:ascii="宋体" w:hAnsi="宋体" w:eastAsia="宋体" w:cs="宋体"/>
          <w:color w:val="auto"/>
          <w:spacing w:val="2"/>
          <w:sz w:val="20"/>
          <w:szCs w:val="20"/>
          <w:highlight w:val="none"/>
        </w:rPr>
      </w:pPr>
      <w:r>
        <w:rPr>
          <w:rFonts w:ascii="宋体" w:hAnsi="宋体" w:eastAsia="宋体" w:cs="宋体"/>
          <w:color w:val="auto"/>
          <w:spacing w:val="8"/>
          <w:sz w:val="20"/>
          <w:szCs w:val="20"/>
          <w:highlight w:val="none"/>
        </w:rPr>
        <w:t>11.采购代理机构对磋商过程和重要磋商内容进行记录。</w:t>
      </w:r>
      <w:r>
        <w:rPr>
          <w:rFonts w:ascii="宋体" w:hAnsi="宋体" w:eastAsia="宋体" w:cs="宋体"/>
          <w:color w:val="auto"/>
          <w:spacing w:val="2"/>
          <w:sz w:val="20"/>
          <w:szCs w:val="20"/>
          <w:highlight w:val="none"/>
        </w:rPr>
        <w:t xml:space="preserve"> </w:t>
      </w:r>
    </w:p>
    <w:p w14:paraId="7AC16327">
      <w:pPr>
        <w:spacing w:before="41" w:line="353" w:lineRule="auto"/>
        <w:ind w:left="436" w:right="158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12.磋商过程中重新提交的响应文件，供应商可以在开启前补充、修改。</w:t>
      </w:r>
    </w:p>
    <w:p w14:paraId="4E09E867">
      <w:pPr>
        <w:spacing w:before="36" w:line="363" w:lineRule="auto"/>
        <w:ind w:right="138" w:firstLine="436"/>
        <w:jc w:val="both"/>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13.根据《财政部关于政府采购竞争性磋商采购方式管理暂行办法有关问题的补充通知》（财库〔2015〕</w:t>
      </w:r>
      <w:r>
        <w:rPr>
          <w:rFonts w:ascii="宋体" w:hAnsi="宋体" w:eastAsia="宋体" w:cs="宋体"/>
          <w:color w:val="auto"/>
          <w:spacing w:val="13"/>
          <w:sz w:val="20"/>
          <w:szCs w:val="20"/>
          <w:highlight w:val="none"/>
        </w:rPr>
        <w:t xml:space="preserve"> </w:t>
      </w:r>
      <w:r>
        <w:rPr>
          <w:rFonts w:ascii="宋体" w:hAnsi="宋体" w:eastAsia="宋体" w:cs="宋体"/>
          <w:color w:val="auto"/>
          <w:spacing w:val="9"/>
          <w:sz w:val="20"/>
          <w:szCs w:val="20"/>
          <w:highlight w:val="none"/>
        </w:rPr>
        <w:t>124</w:t>
      </w:r>
      <w:r>
        <w:rPr>
          <w:rFonts w:ascii="宋体" w:hAnsi="宋体" w:eastAsia="宋体" w:cs="宋体"/>
          <w:color w:val="auto"/>
          <w:spacing w:val="-35"/>
          <w:sz w:val="20"/>
          <w:szCs w:val="20"/>
          <w:highlight w:val="none"/>
        </w:rPr>
        <w:t xml:space="preserve"> </w:t>
      </w:r>
      <w:r>
        <w:rPr>
          <w:rFonts w:ascii="宋体" w:hAnsi="宋体" w:eastAsia="宋体" w:cs="宋体"/>
          <w:color w:val="auto"/>
          <w:spacing w:val="9"/>
          <w:sz w:val="20"/>
          <w:szCs w:val="20"/>
          <w:highlight w:val="none"/>
        </w:rPr>
        <w:t>号）的规定，采用竞争性磋商采购方式采购的政府购买服务项目（含政府和社会资本合作项目</w:t>
      </w:r>
      <w:r>
        <w:rPr>
          <w:rFonts w:ascii="宋体" w:hAnsi="宋体" w:eastAsia="宋体" w:cs="宋体"/>
          <w:color w:val="auto"/>
          <w:spacing w:val="13"/>
          <w:sz w:val="20"/>
          <w:szCs w:val="20"/>
          <w:highlight w:val="none"/>
        </w:rPr>
        <w:t>），</w:t>
      </w:r>
      <w:r>
        <w:rPr>
          <w:rFonts w:ascii="宋体" w:hAnsi="宋体" w:eastAsia="宋体" w:cs="宋体"/>
          <w:color w:val="auto"/>
          <w:spacing w:val="9"/>
          <w:sz w:val="20"/>
          <w:szCs w:val="20"/>
          <w:highlight w:val="none"/>
        </w:rPr>
        <w:t>在</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采购过程中符合要求的供应商（社会资本）只有</w:t>
      </w:r>
      <w:r>
        <w:rPr>
          <w:rFonts w:ascii="宋体" w:hAnsi="宋体" w:eastAsia="宋体" w:cs="宋体"/>
          <w:color w:val="auto"/>
          <w:spacing w:val="-34"/>
          <w:sz w:val="20"/>
          <w:szCs w:val="20"/>
          <w:highlight w:val="none"/>
        </w:rPr>
        <w:t xml:space="preserve"> </w:t>
      </w:r>
      <w:r>
        <w:rPr>
          <w:rFonts w:ascii="宋体" w:hAnsi="宋体" w:eastAsia="宋体" w:cs="宋体"/>
          <w:color w:val="auto"/>
          <w:spacing w:val="9"/>
          <w:sz w:val="20"/>
          <w:szCs w:val="20"/>
          <w:highlight w:val="none"/>
        </w:rPr>
        <w:t>2</w:t>
      </w:r>
      <w:r>
        <w:rPr>
          <w:rFonts w:ascii="宋体" w:hAnsi="宋体" w:eastAsia="宋体" w:cs="宋体"/>
          <w:color w:val="auto"/>
          <w:spacing w:val="-36"/>
          <w:sz w:val="20"/>
          <w:szCs w:val="20"/>
          <w:highlight w:val="none"/>
        </w:rPr>
        <w:t xml:space="preserve"> </w:t>
      </w:r>
      <w:r>
        <w:rPr>
          <w:rFonts w:ascii="宋体" w:hAnsi="宋体" w:eastAsia="宋体" w:cs="宋体"/>
          <w:color w:val="auto"/>
          <w:spacing w:val="9"/>
          <w:sz w:val="20"/>
          <w:szCs w:val="20"/>
          <w:highlight w:val="none"/>
        </w:rPr>
        <w:t>家的，竞争性磋商采购</w:t>
      </w:r>
      <w:r>
        <w:rPr>
          <w:rFonts w:ascii="宋体" w:hAnsi="宋体" w:eastAsia="宋体" w:cs="宋体"/>
          <w:color w:val="auto"/>
          <w:spacing w:val="8"/>
          <w:sz w:val="20"/>
          <w:szCs w:val="20"/>
          <w:highlight w:val="none"/>
        </w:rPr>
        <w:t>活动可以继续进行。采购过程中</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符合要求的供应商（社会资本）只有</w:t>
      </w:r>
      <w:r>
        <w:rPr>
          <w:rFonts w:ascii="宋体" w:hAnsi="宋体" w:eastAsia="宋体" w:cs="宋体"/>
          <w:color w:val="auto"/>
          <w:spacing w:val="-24"/>
          <w:sz w:val="20"/>
          <w:szCs w:val="20"/>
          <w:highlight w:val="none"/>
        </w:rPr>
        <w:t xml:space="preserve"> </w:t>
      </w:r>
      <w:r>
        <w:rPr>
          <w:rFonts w:ascii="宋体" w:hAnsi="宋体" w:eastAsia="宋体" w:cs="宋体"/>
          <w:color w:val="auto"/>
          <w:spacing w:val="9"/>
          <w:sz w:val="20"/>
          <w:szCs w:val="20"/>
          <w:highlight w:val="none"/>
        </w:rPr>
        <w:t>1</w:t>
      </w:r>
      <w:r>
        <w:rPr>
          <w:rFonts w:ascii="宋体" w:hAnsi="宋体" w:eastAsia="宋体" w:cs="宋体"/>
          <w:color w:val="auto"/>
          <w:spacing w:val="-36"/>
          <w:sz w:val="20"/>
          <w:szCs w:val="20"/>
          <w:highlight w:val="none"/>
        </w:rPr>
        <w:t xml:space="preserve"> </w:t>
      </w:r>
      <w:r>
        <w:rPr>
          <w:rFonts w:ascii="宋体" w:hAnsi="宋体" w:eastAsia="宋体" w:cs="宋体"/>
          <w:color w:val="auto"/>
          <w:spacing w:val="9"/>
          <w:sz w:val="20"/>
          <w:szCs w:val="20"/>
          <w:highlight w:val="none"/>
        </w:rPr>
        <w:t>家的，采购</w:t>
      </w:r>
      <w:r>
        <w:rPr>
          <w:rFonts w:ascii="宋体" w:hAnsi="宋体" w:eastAsia="宋体" w:cs="宋体"/>
          <w:color w:val="auto"/>
          <w:spacing w:val="8"/>
          <w:sz w:val="20"/>
          <w:szCs w:val="20"/>
          <w:highlight w:val="none"/>
        </w:rPr>
        <w:t>人（项目实施机构）或者采购代理机构应当终止竞争性</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磋商采购活动，发布项目终止公告并说明原因，重新开展采购活动。</w:t>
      </w:r>
    </w:p>
    <w:p w14:paraId="02CB2756">
      <w:pPr>
        <w:spacing w:before="32" w:line="298" w:lineRule="auto"/>
        <w:ind w:left="2" w:right="235" w:firstLine="43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14. 对磋商过程提交的响应文件进行有效性、完整性和响应</w:t>
      </w:r>
      <w:r>
        <w:rPr>
          <w:rFonts w:ascii="宋体" w:hAnsi="宋体" w:eastAsia="宋体" w:cs="宋体"/>
          <w:color w:val="auto"/>
          <w:spacing w:val="8"/>
          <w:sz w:val="20"/>
          <w:szCs w:val="20"/>
          <w:highlight w:val="none"/>
        </w:rPr>
        <w:t>程度审查，通过审查的合格供应商不足</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家的，除本章第</w:t>
      </w:r>
      <w:r>
        <w:rPr>
          <w:rFonts w:ascii="宋体" w:hAnsi="宋体" w:eastAsia="宋体" w:cs="宋体"/>
          <w:color w:val="auto"/>
          <w:spacing w:val="-17"/>
          <w:sz w:val="20"/>
          <w:szCs w:val="20"/>
          <w:highlight w:val="none"/>
        </w:rPr>
        <w:t xml:space="preserve"> </w:t>
      </w:r>
      <w:r>
        <w:rPr>
          <w:rFonts w:ascii="宋体" w:hAnsi="宋体" w:eastAsia="宋体" w:cs="宋体"/>
          <w:color w:val="auto"/>
          <w:spacing w:val="8"/>
          <w:sz w:val="20"/>
          <w:szCs w:val="20"/>
          <w:highlight w:val="none"/>
        </w:rPr>
        <w:t>13</w:t>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条的情形外，采购人或采购代理机构应当重新开展采购活动。</w:t>
      </w:r>
    </w:p>
    <w:p w14:paraId="0897D96E">
      <w:pPr>
        <w:spacing w:before="155" w:line="226" w:lineRule="auto"/>
        <w:ind w:left="430"/>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（四）最后报价</w:t>
      </w:r>
    </w:p>
    <w:p w14:paraId="013A071C">
      <w:pPr>
        <w:spacing w:before="152" w:line="355" w:lineRule="auto"/>
        <w:ind w:left="5" w:right="208" w:firstLine="43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15.竞争性磋商文件能够详细列明采购标的的技术、服务要求的，磋商结束后，</w:t>
      </w:r>
      <w:r>
        <w:rPr>
          <w:rFonts w:ascii="宋体" w:hAnsi="宋体" w:eastAsia="宋体" w:cs="宋体"/>
          <w:color w:val="auto"/>
          <w:spacing w:val="-55"/>
          <w:sz w:val="20"/>
          <w:szCs w:val="20"/>
          <w:highlight w:val="none"/>
        </w:rPr>
        <w:t xml:space="preserve"> </w:t>
      </w:r>
      <w:r>
        <w:rPr>
          <w:rFonts w:ascii="宋体" w:hAnsi="宋体" w:eastAsia="宋体" w:cs="宋体"/>
          <w:color w:val="auto"/>
          <w:spacing w:val="10"/>
          <w:sz w:val="20"/>
          <w:szCs w:val="20"/>
          <w:highlight w:val="none"/>
        </w:rPr>
        <w:t>由磋商小组</w:t>
      </w:r>
      <w:r>
        <w:rPr>
          <w:rFonts w:ascii="宋体" w:hAnsi="宋体" w:eastAsia="宋体" w:cs="宋体"/>
          <w:color w:val="auto"/>
          <w:spacing w:val="9"/>
          <w:sz w:val="20"/>
          <w:szCs w:val="20"/>
          <w:highlight w:val="none"/>
        </w:rPr>
        <w:t>要求所有</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继续参加磋商的供应商在规定时间内密封提交最后报价，提交最后报</w:t>
      </w:r>
      <w:r>
        <w:rPr>
          <w:rFonts w:ascii="宋体" w:hAnsi="宋体" w:eastAsia="宋体" w:cs="宋体"/>
          <w:color w:val="auto"/>
          <w:spacing w:val="8"/>
          <w:sz w:val="20"/>
          <w:szCs w:val="20"/>
          <w:highlight w:val="none"/>
        </w:rPr>
        <w:t>价的供应商不得少于</w:t>
      </w:r>
      <w:r>
        <w:rPr>
          <w:rFonts w:ascii="宋体" w:hAnsi="宋体" w:eastAsia="宋体" w:cs="宋体"/>
          <w:color w:val="auto"/>
          <w:spacing w:val="-32"/>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家。</w:t>
      </w:r>
    </w:p>
    <w:p w14:paraId="4EA03689">
      <w:pPr>
        <w:spacing w:before="32" w:line="359" w:lineRule="auto"/>
        <w:ind w:left="7" w:right="208" w:firstLine="41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竞争性磋商文件不能详细列明采购标的的技术、服务要求，需经磋商由供应商提供最后设计方案或解</w:t>
      </w:r>
      <w:r>
        <w:rPr>
          <w:rFonts w:ascii="宋体" w:hAnsi="宋体" w:eastAsia="宋体" w:cs="宋体"/>
          <w:color w:val="auto"/>
          <w:spacing w:val="8"/>
          <w:sz w:val="20"/>
          <w:szCs w:val="20"/>
          <w:highlight w:val="none"/>
        </w:rPr>
        <w:t xml:space="preserve"> </w:t>
      </w:r>
      <w:r>
        <w:rPr>
          <w:rFonts w:ascii="宋体" w:hAnsi="宋体" w:eastAsia="宋体" w:cs="宋体"/>
          <w:color w:val="auto"/>
          <w:spacing w:val="9"/>
          <w:sz w:val="20"/>
          <w:szCs w:val="20"/>
          <w:highlight w:val="none"/>
        </w:rPr>
        <w:t>决方案的，磋商结束后，由磋商小组按照少数服从多</w:t>
      </w:r>
      <w:r>
        <w:rPr>
          <w:rFonts w:ascii="宋体" w:hAnsi="宋体" w:eastAsia="宋体" w:cs="宋体"/>
          <w:color w:val="auto"/>
          <w:spacing w:val="8"/>
          <w:sz w:val="20"/>
          <w:szCs w:val="20"/>
          <w:highlight w:val="none"/>
        </w:rPr>
        <w:t>数的原则投票推荐</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家以上供应商的设计方案或者解</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决方案，并要求其在规定时间内密封提交最后报价。</w:t>
      </w:r>
    </w:p>
    <w:p w14:paraId="7212F939">
      <w:pPr>
        <w:spacing w:before="33" w:line="359" w:lineRule="auto"/>
        <w:ind w:left="1" w:firstLine="43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16. 最后报价是供应商响应文件的有效组成部分。符合《政府采购竞争性磋商采购方式管理暂行办法》</w:t>
      </w:r>
      <w:r>
        <w:rPr>
          <w:rFonts w:ascii="宋体" w:hAnsi="宋体" w:eastAsia="宋体" w:cs="宋体"/>
          <w:color w:val="auto"/>
          <w:spacing w:val="2"/>
          <w:sz w:val="20"/>
          <w:szCs w:val="20"/>
          <w:highlight w:val="none"/>
        </w:rPr>
        <w:t xml:space="preserve">  </w:t>
      </w:r>
      <w:r>
        <w:rPr>
          <w:rFonts w:ascii="宋体" w:hAnsi="宋体" w:eastAsia="宋体" w:cs="宋体"/>
          <w:color w:val="auto"/>
          <w:spacing w:val="9"/>
          <w:sz w:val="20"/>
          <w:szCs w:val="20"/>
          <w:highlight w:val="none"/>
        </w:rPr>
        <w:t>（财库〔2014〕214</w:t>
      </w:r>
      <w:r>
        <w:rPr>
          <w:rFonts w:ascii="宋体" w:hAnsi="宋体" w:eastAsia="宋体" w:cs="宋体"/>
          <w:color w:val="auto"/>
          <w:spacing w:val="-35"/>
          <w:sz w:val="20"/>
          <w:szCs w:val="20"/>
          <w:highlight w:val="none"/>
        </w:rPr>
        <w:t xml:space="preserve"> </w:t>
      </w:r>
      <w:r>
        <w:rPr>
          <w:rFonts w:ascii="宋体" w:hAnsi="宋体" w:eastAsia="宋体" w:cs="宋体"/>
          <w:color w:val="auto"/>
          <w:spacing w:val="9"/>
          <w:sz w:val="20"/>
          <w:szCs w:val="20"/>
          <w:highlight w:val="none"/>
        </w:rPr>
        <w:t>号）第三条第四项“市场竞争不充分的科研项目，以及需要扶</w:t>
      </w:r>
      <w:r>
        <w:rPr>
          <w:rFonts w:ascii="宋体" w:hAnsi="宋体" w:eastAsia="宋体" w:cs="宋体"/>
          <w:color w:val="auto"/>
          <w:spacing w:val="8"/>
          <w:sz w:val="20"/>
          <w:szCs w:val="20"/>
          <w:highlight w:val="none"/>
        </w:rPr>
        <w:t>持的科技成果转化项目</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和本章第</w:t>
      </w:r>
      <w:r>
        <w:rPr>
          <w:rFonts w:ascii="宋体" w:hAnsi="宋体" w:eastAsia="宋体" w:cs="宋体"/>
          <w:color w:val="auto"/>
          <w:spacing w:val="-9"/>
          <w:sz w:val="20"/>
          <w:szCs w:val="20"/>
          <w:highlight w:val="none"/>
        </w:rPr>
        <w:t xml:space="preserve"> </w:t>
      </w:r>
      <w:r>
        <w:rPr>
          <w:rFonts w:ascii="宋体" w:hAnsi="宋体" w:eastAsia="宋体" w:cs="宋体"/>
          <w:color w:val="auto"/>
          <w:spacing w:val="6"/>
          <w:sz w:val="20"/>
          <w:szCs w:val="20"/>
          <w:highlight w:val="none"/>
        </w:rPr>
        <w:t>13</w:t>
      </w:r>
      <w:r>
        <w:rPr>
          <w:rFonts w:ascii="宋体" w:hAnsi="宋体" w:eastAsia="宋体" w:cs="宋体"/>
          <w:color w:val="auto"/>
          <w:spacing w:val="-36"/>
          <w:sz w:val="20"/>
          <w:szCs w:val="20"/>
          <w:highlight w:val="none"/>
        </w:rPr>
        <w:t xml:space="preserve"> </w:t>
      </w:r>
      <w:r>
        <w:rPr>
          <w:rFonts w:ascii="宋体" w:hAnsi="宋体" w:eastAsia="宋体" w:cs="宋体"/>
          <w:color w:val="auto"/>
          <w:spacing w:val="6"/>
          <w:sz w:val="20"/>
          <w:szCs w:val="20"/>
          <w:highlight w:val="none"/>
        </w:rPr>
        <w:t>条情形的，提交最后报价的供应商可以为</w:t>
      </w:r>
      <w:r>
        <w:rPr>
          <w:rFonts w:ascii="宋体" w:hAnsi="宋体" w:eastAsia="宋体" w:cs="宋体"/>
          <w:color w:val="auto"/>
          <w:spacing w:val="-37"/>
          <w:sz w:val="20"/>
          <w:szCs w:val="20"/>
          <w:highlight w:val="none"/>
        </w:rPr>
        <w:t xml:space="preserve"> </w:t>
      </w:r>
      <w:r>
        <w:rPr>
          <w:rFonts w:ascii="宋体" w:hAnsi="宋体" w:eastAsia="宋体" w:cs="宋体"/>
          <w:color w:val="auto"/>
          <w:spacing w:val="6"/>
          <w:sz w:val="20"/>
          <w:szCs w:val="20"/>
          <w:highlight w:val="none"/>
        </w:rPr>
        <w:t>2</w:t>
      </w:r>
      <w:r>
        <w:rPr>
          <w:rFonts w:ascii="宋体" w:hAnsi="宋体" w:eastAsia="宋体" w:cs="宋体"/>
          <w:color w:val="auto"/>
          <w:spacing w:val="-36"/>
          <w:sz w:val="20"/>
          <w:szCs w:val="20"/>
          <w:highlight w:val="none"/>
        </w:rPr>
        <w:t xml:space="preserve"> </w:t>
      </w:r>
      <w:r>
        <w:rPr>
          <w:rFonts w:ascii="宋体" w:hAnsi="宋体" w:eastAsia="宋体" w:cs="宋体"/>
          <w:color w:val="auto"/>
          <w:spacing w:val="6"/>
          <w:sz w:val="20"/>
          <w:szCs w:val="20"/>
          <w:highlight w:val="none"/>
        </w:rPr>
        <w:t>家。</w:t>
      </w:r>
    </w:p>
    <w:p w14:paraId="0E82EB77">
      <w:pPr>
        <w:spacing w:before="33" w:line="353" w:lineRule="auto"/>
        <w:ind w:right="208" w:firstLine="43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17.已经提交响应文件的供应商，在提交最后报价之前，可以根据磋商情况退出磋商，退出</w:t>
      </w:r>
      <w:r>
        <w:rPr>
          <w:rFonts w:ascii="宋体" w:hAnsi="宋体" w:eastAsia="宋体" w:cs="宋体"/>
          <w:color w:val="auto"/>
          <w:spacing w:val="10"/>
          <w:sz w:val="20"/>
          <w:szCs w:val="20"/>
          <w:highlight w:val="none"/>
        </w:rPr>
        <w:t>磋商的供</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应商的响应文件按无效响应处理。采购人、</w:t>
      </w:r>
      <w:r>
        <w:rPr>
          <w:rFonts w:ascii="宋体" w:hAnsi="宋体" w:eastAsia="宋体" w:cs="宋体"/>
          <w:color w:val="auto"/>
          <w:spacing w:val="9"/>
          <w:sz w:val="20"/>
          <w:szCs w:val="20"/>
          <w:highlight w:val="none"/>
        </w:rPr>
        <w:t>采购代理机构将退还退出磋商的供应商的保证金。</w:t>
      </w:r>
    </w:p>
    <w:p w14:paraId="3710FE19">
      <w:pPr>
        <w:spacing w:before="36" w:line="226" w:lineRule="auto"/>
        <w:ind w:left="4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18.供应商未在规定时间内提交最后报价的，视同退出磋商。</w:t>
      </w:r>
    </w:p>
    <w:p w14:paraId="19FCE370">
      <w:pPr>
        <w:spacing w:before="156" w:line="353" w:lineRule="auto"/>
        <w:ind w:right="208" w:firstLine="436"/>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19.磋商小组收齐某一分标最后报价后统一开启，磋商小组对最后报价进行有效性、完整性</w:t>
      </w:r>
      <w:r>
        <w:rPr>
          <w:rFonts w:ascii="宋体" w:hAnsi="宋体" w:eastAsia="宋体" w:cs="宋体"/>
          <w:color w:val="auto"/>
          <w:spacing w:val="10"/>
          <w:sz w:val="20"/>
          <w:szCs w:val="20"/>
          <w:highlight w:val="none"/>
        </w:rPr>
        <w:t>和响应程</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度的审查。</w:t>
      </w:r>
    </w:p>
    <w:p w14:paraId="64EBF9B9">
      <w:pPr>
        <w:spacing w:before="33" w:line="355" w:lineRule="auto"/>
        <w:ind w:left="423" w:right="263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20.响应文件最后报价出现前后不一致的，按照本章第</w:t>
      </w:r>
      <w:r>
        <w:rPr>
          <w:rFonts w:ascii="宋体" w:hAnsi="宋体" w:eastAsia="宋体" w:cs="宋体"/>
          <w:color w:val="auto"/>
          <w:spacing w:val="-30"/>
          <w:sz w:val="20"/>
          <w:szCs w:val="20"/>
          <w:highlight w:val="none"/>
        </w:rPr>
        <w:t xml:space="preserve"> </w:t>
      </w:r>
      <w:r>
        <w:rPr>
          <w:rFonts w:ascii="宋体" w:hAnsi="宋体" w:eastAsia="宋体" w:cs="宋体"/>
          <w:color w:val="auto"/>
          <w:spacing w:val="7"/>
          <w:sz w:val="20"/>
          <w:szCs w:val="20"/>
          <w:highlight w:val="none"/>
        </w:rPr>
        <w:t>5.4</w:t>
      </w:r>
      <w:r>
        <w:rPr>
          <w:rFonts w:ascii="宋体" w:hAnsi="宋体" w:eastAsia="宋体" w:cs="宋体"/>
          <w:color w:val="auto"/>
          <w:spacing w:val="-36"/>
          <w:sz w:val="20"/>
          <w:szCs w:val="20"/>
          <w:highlight w:val="none"/>
        </w:rPr>
        <w:t xml:space="preserve"> </w:t>
      </w:r>
      <w:r>
        <w:rPr>
          <w:rFonts w:ascii="宋体" w:hAnsi="宋体" w:eastAsia="宋体" w:cs="宋体"/>
          <w:color w:val="auto"/>
          <w:spacing w:val="7"/>
          <w:sz w:val="20"/>
          <w:szCs w:val="20"/>
          <w:highlight w:val="none"/>
        </w:rPr>
        <w:t>条的规定修正。</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21.修正后的报价出现下列情形的，按无效响应处理：</w:t>
      </w:r>
    </w:p>
    <w:p w14:paraId="0C7DE368">
      <w:pPr>
        <w:spacing w:before="31" w:line="227" w:lineRule="auto"/>
        <w:ind w:left="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（1）供应商不确认的；</w:t>
      </w:r>
    </w:p>
    <w:p w14:paraId="768D59B5">
      <w:pPr>
        <w:spacing w:before="155" w:line="298" w:lineRule="auto"/>
        <w:ind w:left="2" w:right="208" w:firstLine="428"/>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（2）经供应商确认修正后的竞标报价（包含首次报价、最后报价）超过所竞标分标规定的采购预算</w:t>
      </w:r>
      <w:r>
        <w:rPr>
          <w:rFonts w:ascii="宋体" w:hAnsi="宋体" w:eastAsia="宋体" w:cs="宋体"/>
          <w:color w:val="auto"/>
          <w:spacing w:val="12"/>
          <w:sz w:val="20"/>
          <w:szCs w:val="20"/>
          <w:highlight w:val="none"/>
        </w:rPr>
        <w:t xml:space="preserve"> </w:t>
      </w:r>
      <w:r>
        <w:rPr>
          <w:rFonts w:ascii="宋体" w:hAnsi="宋体" w:eastAsia="宋体" w:cs="宋体"/>
          <w:color w:val="auto"/>
          <w:spacing w:val="9"/>
          <w:sz w:val="20"/>
          <w:szCs w:val="20"/>
          <w:highlight w:val="none"/>
        </w:rPr>
        <w:t>金额或者最高限价的（如本项目公布了最高限价</w:t>
      </w:r>
      <w:r>
        <w:rPr>
          <w:rFonts w:ascii="宋体" w:hAnsi="宋体" w:eastAsia="宋体" w:cs="宋体"/>
          <w:color w:val="auto"/>
          <w:spacing w:val="4"/>
          <w:sz w:val="20"/>
          <w:szCs w:val="20"/>
          <w:highlight w:val="none"/>
        </w:rPr>
        <w:t>）；</w:t>
      </w:r>
    </w:p>
    <w:p w14:paraId="35ACF084">
      <w:pPr>
        <w:spacing w:before="153" w:line="298" w:lineRule="auto"/>
        <w:ind w:left="15" w:right="208" w:firstLine="41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（3）经供应商确认修正后的竞标报价（包含首次报价、最后报价）超过分项采购预算金额或者最高</w:t>
      </w:r>
      <w:r>
        <w:rPr>
          <w:rFonts w:ascii="宋体" w:hAnsi="宋体" w:eastAsia="宋体" w:cs="宋体"/>
          <w:color w:val="auto"/>
          <w:spacing w:val="12"/>
          <w:sz w:val="20"/>
          <w:szCs w:val="20"/>
          <w:highlight w:val="none"/>
        </w:rPr>
        <w:t xml:space="preserve"> </w:t>
      </w:r>
      <w:r>
        <w:rPr>
          <w:rFonts w:ascii="宋体" w:hAnsi="宋体" w:eastAsia="宋体" w:cs="宋体"/>
          <w:color w:val="auto"/>
          <w:spacing w:val="7"/>
          <w:sz w:val="20"/>
          <w:szCs w:val="20"/>
          <w:highlight w:val="none"/>
        </w:rPr>
        <w:t>限价的（如本项目公布了最高限价）。</w:t>
      </w:r>
    </w:p>
    <w:p w14:paraId="7E7B28ED">
      <w:pPr>
        <w:spacing w:before="156" w:line="226" w:lineRule="auto"/>
        <w:ind w:left="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22.经供应商确认修正后的最后报价作为评审及</w:t>
      </w:r>
      <w:r>
        <w:rPr>
          <w:rFonts w:ascii="宋体" w:hAnsi="宋体" w:eastAsia="宋体" w:cs="宋体"/>
          <w:color w:val="auto"/>
          <w:spacing w:val="8"/>
          <w:sz w:val="20"/>
          <w:szCs w:val="20"/>
          <w:highlight w:val="none"/>
        </w:rPr>
        <w:t>签订合同的依据。</w:t>
      </w:r>
    </w:p>
    <w:p w14:paraId="60239ED0">
      <w:pPr>
        <w:spacing w:before="154" w:line="226" w:lineRule="auto"/>
        <w:ind w:left="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23.最后报价结束后，磋商小组不得再与供应商进行任何</w:t>
      </w:r>
      <w:r>
        <w:rPr>
          <w:rFonts w:ascii="宋体" w:hAnsi="宋体" w:eastAsia="宋体" w:cs="宋体"/>
          <w:color w:val="auto"/>
          <w:spacing w:val="8"/>
          <w:sz w:val="20"/>
          <w:szCs w:val="20"/>
          <w:highlight w:val="none"/>
        </w:rPr>
        <w:t>形式的商谈。</w:t>
      </w:r>
    </w:p>
    <w:p w14:paraId="391A7754">
      <w:pPr>
        <w:spacing w:before="156" w:line="226" w:lineRule="auto"/>
        <w:ind w:left="430"/>
        <w:rPr>
          <w:rFonts w:ascii="宋体" w:hAnsi="宋体" w:eastAsia="宋体" w:cs="宋体"/>
          <w:color w:val="auto"/>
          <w:sz w:val="20"/>
          <w:szCs w:val="20"/>
          <w:highlight w:val="none"/>
        </w:rPr>
      </w:pPr>
      <w:r>
        <w:rPr>
          <w:rFonts w:ascii="宋体" w:hAnsi="宋体" w:eastAsia="宋体" w:cs="宋体"/>
          <w:b/>
          <w:bCs/>
          <w:color w:val="auto"/>
          <w:sz w:val="20"/>
          <w:szCs w:val="20"/>
          <w:highlight w:val="none"/>
        </w:rPr>
        <w:t>（五）</w:t>
      </w:r>
      <w:r>
        <w:rPr>
          <w:rFonts w:ascii="宋体" w:hAnsi="宋体" w:eastAsia="宋体" w:cs="宋体"/>
          <w:color w:val="auto"/>
          <w:spacing w:val="-52"/>
          <w:sz w:val="20"/>
          <w:szCs w:val="20"/>
          <w:highlight w:val="none"/>
        </w:rPr>
        <w:t xml:space="preserve"> </w:t>
      </w:r>
      <w:r>
        <w:rPr>
          <w:rFonts w:ascii="宋体" w:hAnsi="宋体" w:eastAsia="宋体" w:cs="宋体"/>
          <w:b/>
          <w:bCs/>
          <w:color w:val="auto"/>
          <w:sz w:val="20"/>
          <w:szCs w:val="20"/>
          <w:highlight w:val="none"/>
        </w:rPr>
        <w:t>比较与评价</w:t>
      </w:r>
    </w:p>
    <w:p w14:paraId="2B1AFDA3">
      <w:pPr>
        <w:spacing w:before="156" w:line="228" w:lineRule="auto"/>
        <w:ind w:left="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24.评审方法：综合评分法。</w:t>
      </w:r>
    </w:p>
    <w:p w14:paraId="17A7104D">
      <w:pPr>
        <w:spacing w:before="151" w:line="226" w:lineRule="auto"/>
        <w:ind w:left="42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25.经磋商确定最终采购需求和提交最后报价的供应商后，</w:t>
      </w:r>
      <w:r>
        <w:rPr>
          <w:rFonts w:ascii="宋体" w:hAnsi="宋体" w:eastAsia="宋体" w:cs="宋体"/>
          <w:color w:val="auto"/>
          <w:spacing w:val="-46"/>
          <w:sz w:val="20"/>
          <w:szCs w:val="20"/>
          <w:highlight w:val="none"/>
        </w:rPr>
        <w:t xml:space="preserve"> </w:t>
      </w:r>
      <w:r>
        <w:rPr>
          <w:rFonts w:ascii="宋体" w:hAnsi="宋体" w:eastAsia="宋体" w:cs="宋体"/>
          <w:color w:val="auto"/>
          <w:spacing w:val="10"/>
          <w:sz w:val="20"/>
          <w:szCs w:val="20"/>
          <w:highlight w:val="none"/>
        </w:rPr>
        <w:t>由磋商小组采用综合评分法对提交最后报</w:t>
      </w:r>
    </w:p>
    <w:p w14:paraId="6923059C">
      <w:pPr>
        <w:spacing w:line="226" w:lineRule="auto"/>
        <w:rPr>
          <w:rFonts w:ascii="宋体" w:hAnsi="宋体" w:eastAsia="宋体" w:cs="宋体"/>
          <w:color w:val="auto"/>
          <w:sz w:val="20"/>
          <w:szCs w:val="20"/>
          <w:highlight w:val="none"/>
        </w:rPr>
        <w:sectPr>
          <w:footerReference r:id="rId24" w:type="default"/>
          <w:pgSz w:w="11906" w:h="16839"/>
          <w:pgMar w:top="1260" w:right="928" w:bottom="1362" w:left="1140" w:header="0" w:footer="1200" w:gutter="0"/>
          <w:pgNumType w:fmt="decimal"/>
          <w:cols w:space="720" w:num="1"/>
        </w:sectPr>
      </w:pPr>
    </w:p>
    <w:p w14:paraId="48ED5BA0">
      <w:pPr>
        <w:spacing w:before="41" w:line="226" w:lineRule="auto"/>
        <w:ind w:left="1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价的供应商的响应文件和最后报价进行综合评分。</w:t>
      </w:r>
    </w:p>
    <w:p w14:paraId="7B1468BC">
      <w:pPr>
        <w:spacing w:before="154" w:line="355" w:lineRule="auto"/>
        <w:ind w:left="9" w:right="6" w:firstLine="42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26.评审时，磋商小组各成员应当独立对每个有效响应的文件进行评价、打分，然后汇总每个供应商</w:t>
      </w:r>
      <w:r>
        <w:rPr>
          <w:rFonts w:ascii="宋体" w:hAnsi="宋体" w:eastAsia="宋体" w:cs="宋体"/>
          <w:color w:val="auto"/>
          <w:spacing w:val="9"/>
          <w:sz w:val="20"/>
          <w:szCs w:val="20"/>
          <w:highlight w:val="none"/>
        </w:rPr>
        <w:t xml:space="preserve"> </w:t>
      </w:r>
      <w:r>
        <w:rPr>
          <w:rFonts w:ascii="宋体" w:hAnsi="宋体" w:eastAsia="宋体" w:cs="宋体"/>
          <w:color w:val="auto"/>
          <w:spacing w:val="8"/>
          <w:sz w:val="20"/>
          <w:szCs w:val="20"/>
          <w:highlight w:val="none"/>
        </w:rPr>
        <w:t>每项评分因素的得分。</w:t>
      </w:r>
    </w:p>
    <w:p w14:paraId="54C84DA2">
      <w:pPr>
        <w:spacing w:before="31" w:line="297" w:lineRule="auto"/>
        <w:ind w:left="13" w:right="57" w:firstLine="42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（1）磋商小组按照竞争性磋商文件中规定的评审标准计算各供应商的报价得分。项目评审过程中，</w:t>
      </w:r>
      <w:r>
        <w:rPr>
          <w:rFonts w:ascii="宋体" w:hAnsi="宋体" w:eastAsia="宋体" w:cs="宋体"/>
          <w:color w:val="auto"/>
          <w:spacing w:val="5"/>
          <w:sz w:val="20"/>
          <w:szCs w:val="20"/>
          <w:highlight w:val="none"/>
        </w:rPr>
        <w:t xml:space="preserve"> </w:t>
      </w:r>
      <w:r>
        <w:rPr>
          <w:rFonts w:ascii="宋体" w:hAnsi="宋体" w:eastAsia="宋体" w:cs="宋体"/>
          <w:color w:val="auto"/>
          <w:spacing w:val="8"/>
          <w:sz w:val="20"/>
          <w:szCs w:val="20"/>
          <w:highlight w:val="none"/>
        </w:rPr>
        <w:t>不得去掉最后报价中的最高报价和最低报价。</w:t>
      </w:r>
    </w:p>
    <w:p w14:paraId="3E90181D">
      <w:pPr>
        <w:spacing w:before="155" w:line="227" w:lineRule="auto"/>
        <w:ind w:left="43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（2）各供应商的得分为磋商小组所有成员的有效评分的算术</w:t>
      </w:r>
      <w:r>
        <w:rPr>
          <w:rFonts w:ascii="宋体" w:hAnsi="宋体" w:eastAsia="宋体" w:cs="宋体"/>
          <w:color w:val="auto"/>
          <w:spacing w:val="8"/>
          <w:sz w:val="20"/>
          <w:szCs w:val="20"/>
          <w:highlight w:val="none"/>
        </w:rPr>
        <w:t>平均数。</w:t>
      </w:r>
    </w:p>
    <w:p w14:paraId="19F52BEE">
      <w:pPr>
        <w:spacing w:before="156" w:line="352" w:lineRule="auto"/>
        <w:ind w:left="13" w:right="6" w:firstLine="419"/>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27.评审价为供应商的最后报价，本项目属于专门面向中小企业采购的项目，享受预留份额后不再进</w:t>
      </w:r>
      <w:r>
        <w:rPr>
          <w:rFonts w:ascii="宋体" w:hAnsi="宋体" w:eastAsia="宋体" w:cs="宋体"/>
          <w:color w:val="auto"/>
          <w:spacing w:val="9"/>
          <w:sz w:val="20"/>
          <w:szCs w:val="20"/>
          <w:highlight w:val="none"/>
        </w:rPr>
        <w:t xml:space="preserve"> </w:t>
      </w:r>
      <w:r>
        <w:rPr>
          <w:rFonts w:ascii="宋体" w:hAnsi="宋体" w:eastAsia="宋体" w:cs="宋体"/>
          <w:color w:val="auto"/>
          <w:spacing w:val="7"/>
          <w:sz w:val="20"/>
          <w:szCs w:val="20"/>
          <w:highlight w:val="none"/>
        </w:rPr>
        <w:t>行价格折扣。（如有修正，</w:t>
      </w:r>
      <w:r>
        <w:rPr>
          <w:rFonts w:ascii="宋体" w:hAnsi="宋体" w:eastAsia="宋体" w:cs="宋体"/>
          <w:color w:val="auto"/>
          <w:spacing w:val="-53"/>
          <w:sz w:val="20"/>
          <w:szCs w:val="20"/>
          <w:highlight w:val="none"/>
        </w:rPr>
        <w:t xml:space="preserve"> </w:t>
      </w:r>
      <w:r>
        <w:rPr>
          <w:rFonts w:ascii="宋体" w:hAnsi="宋体" w:eastAsia="宋体" w:cs="宋体"/>
          <w:color w:val="auto"/>
          <w:spacing w:val="7"/>
          <w:sz w:val="20"/>
          <w:szCs w:val="20"/>
          <w:highlight w:val="none"/>
        </w:rPr>
        <w:t>以确认修正后的最后报价为准）。</w:t>
      </w:r>
    </w:p>
    <w:p w14:paraId="26B734C6">
      <w:pPr>
        <w:spacing w:before="36" w:line="228" w:lineRule="auto"/>
        <w:ind w:left="433"/>
        <w:outlineLvl w:val="1"/>
        <w:rPr>
          <w:rFonts w:ascii="宋体" w:hAnsi="宋体" w:eastAsia="宋体" w:cs="宋体"/>
          <w:color w:val="auto"/>
          <w:sz w:val="20"/>
          <w:szCs w:val="20"/>
          <w:highlight w:val="none"/>
        </w:rPr>
      </w:pPr>
      <w:bookmarkStart w:id="46" w:name="_Toc21795"/>
      <w:bookmarkStart w:id="47" w:name="_Toc30859"/>
      <w:r>
        <w:rPr>
          <w:rFonts w:ascii="宋体" w:hAnsi="宋体" w:eastAsia="宋体" w:cs="宋体"/>
          <w:b/>
          <w:bCs/>
          <w:color w:val="auto"/>
          <w:spacing w:val="6"/>
          <w:sz w:val="20"/>
          <w:szCs w:val="20"/>
          <w:highlight w:val="none"/>
        </w:rPr>
        <w:t>二、评审标准</w:t>
      </w:r>
      <w:bookmarkEnd w:id="46"/>
      <w:bookmarkEnd w:id="47"/>
    </w:p>
    <w:p w14:paraId="04C84528">
      <w:pPr>
        <w:spacing w:before="153" w:line="304" w:lineRule="auto"/>
        <w:ind w:left="10" w:right="5" w:firstLine="4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评审依据：磋商小组将以磋商响应文件为评审依据，对供应商的报价、技术、商务等方面内容按百分</w:t>
      </w:r>
      <w:r>
        <w:rPr>
          <w:rFonts w:ascii="宋体" w:hAnsi="宋体" w:eastAsia="宋体" w:cs="宋体"/>
          <w:color w:val="auto"/>
          <w:spacing w:val="11"/>
          <w:sz w:val="20"/>
          <w:szCs w:val="20"/>
          <w:highlight w:val="none"/>
        </w:rPr>
        <w:t xml:space="preserve"> </w:t>
      </w:r>
      <w:r>
        <w:rPr>
          <w:rFonts w:ascii="宋体" w:hAnsi="宋体" w:eastAsia="宋体" w:cs="宋体"/>
          <w:color w:val="auto"/>
          <w:spacing w:val="8"/>
          <w:sz w:val="20"/>
          <w:szCs w:val="20"/>
          <w:highlight w:val="none"/>
        </w:rPr>
        <w:t>制打分。（计分方法按四舍五入取至百分位）</w:t>
      </w:r>
    </w:p>
    <w:tbl>
      <w:tblPr>
        <w:tblStyle w:val="18"/>
        <w:tblW w:w="96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904"/>
        <w:gridCol w:w="7084"/>
        <w:gridCol w:w="1038"/>
      </w:tblGrid>
      <w:tr w14:paraId="056C2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12" w:type="dxa"/>
            <w:textDirection w:val="tbRlV"/>
            <w:vAlign w:val="top"/>
          </w:tcPr>
          <w:p w14:paraId="24B8AF8A">
            <w:pPr>
              <w:pStyle w:val="19"/>
              <w:spacing w:before="199" w:line="240" w:lineRule="auto"/>
              <w:ind w:left="56"/>
              <w:rPr>
                <w:color w:val="auto"/>
                <w:highlight w:val="none"/>
              </w:rPr>
            </w:pPr>
            <w:r>
              <w:rPr>
                <w:b/>
                <w:bCs/>
                <w:color w:val="auto"/>
                <w:spacing w:val="5"/>
                <w:highlight w:val="none"/>
              </w:rPr>
              <w:t>序</w:t>
            </w:r>
            <w:r>
              <w:rPr>
                <w:color w:val="auto"/>
                <w:spacing w:val="5"/>
                <w:highlight w:val="none"/>
              </w:rPr>
              <w:t xml:space="preserve"> </w:t>
            </w:r>
            <w:r>
              <w:rPr>
                <w:b/>
                <w:bCs/>
                <w:color w:val="auto"/>
                <w:spacing w:val="5"/>
                <w:highlight w:val="none"/>
              </w:rPr>
              <w:t>号</w:t>
            </w:r>
          </w:p>
        </w:tc>
        <w:tc>
          <w:tcPr>
            <w:tcW w:w="904" w:type="dxa"/>
            <w:vAlign w:val="top"/>
          </w:tcPr>
          <w:p w14:paraId="1E9E55D7">
            <w:pPr>
              <w:pStyle w:val="19"/>
              <w:spacing w:before="55" w:line="240" w:lineRule="auto"/>
              <w:ind w:left="260" w:right="242" w:hanging="17"/>
              <w:rPr>
                <w:color w:val="auto"/>
                <w:highlight w:val="none"/>
              </w:rPr>
            </w:pPr>
            <w:r>
              <w:rPr>
                <w:b/>
                <w:bCs/>
                <w:color w:val="auto"/>
                <w:spacing w:val="4"/>
                <w:highlight w:val="none"/>
              </w:rPr>
              <w:t>评分</w:t>
            </w:r>
            <w:r>
              <w:rPr>
                <w:color w:val="auto"/>
                <w:highlight w:val="none"/>
              </w:rPr>
              <w:t xml:space="preserve"> </w:t>
            </w:r>
            <w:r>
              <w:rPr>
                <w:b/>
                <w:bCs/>
                <w:color w:val="auto"/>
                <w:spacing w:val="-5"/>
                <w:highlight w:val="none"/>
              </w:rPr>
              <w:t>因素</w:t>
            </w:r>
          </w:p>
        </w:tc>
        <w:tc>
          <w:tcPr>
            <w:tcW w:w="7084" w:type="dxa"/>
            <w:vAlign w:val="top"/>
          </w:tcPr>
          <w:p w14:paraId="78DCF9EC">
            <w:pPr>
              <w:pStyle w:val="19"/>
              <w:spacing w:before="211" w:line="240" w:lineRule="auto"/>
              <w:ind w:left="3124"/>
              <w:rPr>
                <w:color w:val="auto"/>
                <w:highlight w:val="none"/>
              </w:rPr>
            </w:pPr>
            <w:r>
              <w:rPr>
                <w:b/>
                <w:bCs/>
                <w:color w:val="auto"/>
                <w:spacing w:val="6"/>
                <w:highlight w:val="none"/>
              </w:rPr>
              <w:t>评分内容</w:t>
            </w:r>
          </w:p>
        </w:tc>
        <w:tc>
          <w:tcPr>
            <w:tcW w:w="1038" w:type="dxa"/>
            <w:vAlign w:val="top"/>
          </w:tcPr>
          <w:p w14:paraId="0EDB949E">
            <w:pPr>
              <w:pStyle w:val="19"/>
              <w:spacing w:before="211" w:line="240" w:lineRule="auto"/>
              <w:ind w:left="306"/>
              <w:rPr>
                <w:color w:val="auto"/>
                <w:highlight w:val="none"/>
              </w:rPr>
            </w:pPr>
            <w:r>
              <w:rPr>
                <w:b/>
                <w:bCs/>
                <w:color w:val="auto"/>
                <w:spacing w:val="3"/>
                <w:highlight w:val="none"/>
              </w:rPr>
              <w:t>满分</w:t>
            </w:r>
          </w:p>
        </w:tc>
      </w:tr>
      <w:tr w14:paraId="5F396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2" w:type="dxa"/>
            <w:vAlign w:val="top"/>
          </w:tcPr>
          <w:p w14:paraId="0EF95521">
            <w:pPr>
              <w:spacing w:line="240" w:lineRule="auto"/>
              <w:rPr>
                <w:rFonts w:ascii="Arial"/>
                <w:color w:val="auto"/>
                <w:sz w:val="21"/>
                <w:highlight w:val="none"/>
              </w:rPr>
            </w:pPr>
          </w:p>
          <w:p w14:paraId="5D9DFC47">
            <w:pPr>
              <w:spacing w:line="240" w:lineRule="auto"/>
              <w:rPr>
                <w:rFonts w:ascii="Arial"/>
                <w:color w:val="auto"/>
                <w:sz w:val="21"/>
                <w:highlight w:val="none"/>
              </w:rPr>
            </w:pPr>
          </w:p>
          <w:p w14:paraId="4B7FFE11">
            <w:pPr>
              <w:spacing w:line="240" w:lineRule="auto"/>
              <w:rPr>
                <w:rFonts w:ascii="Arial"/>
                <w:color w:val="auto"/>
                <w:sz w:val="21"/>
                <w:highlight w:val="none"/>
              </w:rPr>
            </w:pPr>
          </w:p>
          <w:p w14:paraId="0243FFBD">
            <w:pPr>
              <w:spacing w:line="240" w:lineRule="auto"/>
              <w:rPr>
                <w:rFonts w:ascii="Arial"/>
                <w:color w:val="auto"/>
                <w:sz w:val="21"/>
                <w:highlight w:val="none"/>
              </w:rPr>
            </w:pPr>
          </w:p>
          <w:p w14:paraId="60AAB7CA">
            <w:pPr>
              <w:spacing w:line="240" w:lineRule="auto"/>
              <w:rPr>
                <w:rFonts w:ascii="Arial"/>
                <w:color w:val="auto"/>
                <w:sz w:val="21"/>
                <w:highlight w:val="none"/>
              </w:rPr>
            </w:pPr>
          </w:p>
          <w:p w14:paraId="781372BC">
            <w:pPr>
              <w:pStyle w:val="19"/>
              <w:spacing w:before="65" w:line="240" w:lineRule="auto"/>
              <w:ind w:left="274"/>
              <w:rPr>
                <w:color w:val="auto"/>
                <w:highlight w:val="none"/>
              </w:rPr>
            </w:pPr>
            <w:r>
              <w:rPr>
                <w:b/>
                <w:bCs/>
                <w:color w:val="auto"/>
                <w:spacing w:val="-3"/>
                <w:highlight w:val="none"/>
              </w:rPr>
              <w:t>1</w:t>
            </w:r>
          </w:p>
        </w:tc>
        <w:tc>
          <w:tcPr>
            <w:tcW w:w="904" w:type="dxa"/>
            <w:vAlign w:val="top"/>
          </w:tcPr>
          <w:p w14:paraId="7341CD1C">
            <w:pPr>
              <w:spacing w:line="240" w:lineRule="auto"/>
              <w:rPr>
                <w:rFonts w:ascii="Arial"/>
                <w:color w:val="auto"/>
                <w:sz w:val="21"/>
                <w:highlight w:val="none"/>
              </w:rPr>
            </w:pPr>
          </w:p>
          <w:p w14:paraId="78D5A6EC">
            <w:pPr>
              <w:spacing w:line="240" w:lineRule="auto"/>
              <w:rPr>
                <w:rFonts w:ascii="Arial"/>
                <w:color w:val="auto"/>
                <w:sz w:val="21"/>
                <w:highlight w:val="none"/>
              </w:rPr>
            </w:pPr>
          </w:p>
          <w:p w14:paraId="3601E8B1">
            <w:pPr>
              <w:spacing w:line="240" w:lineRule="auto"/>
              <w:rPr>
                <w:rFonts w:ascii="Arial"/>
                <w:color w:val="auto"/>
                <w:sz w:val="21"/>
                <w:highlight w:val="none"/>
              </w:rPr>
            </w:pPr>
          </w:p>
          <w:p w14:paraId="51D5F588">
            <w:pPr>
              <w:spacing w:line="240" w:lineRule="auto"/>
              <w:rPr>
                <w:rFonts w:ascii="Arial"/>
                <w:color w:val="auto"/>
                <w:sz w:val="21"/>
                <w:highlight w:val="none"/>
              </w:rPr>
            </w:pPr>
          </w:p>
          <w:p w14:paraId="422E7617">
            <w:pPr>
              <w:spacing w:line="240" w:lineRule="auto"/>
              <w:rPr>
                <w:rFonts w:ascii="Arial"/>
                <w:color w:val="auto"/>
                <w:sz w:val="21"/>
                <w:highlight w:val="none"/>
              </w:rPr>
            </w:pPr>
          </w:p>
          <w:p w14:paraId="6634C54E">
            <w:pPr>
              <w:pStyle w:val="19"/>
              <w:spacing w:before="65" w:line="240" w:lineRule="auto"/>
              <w:ind w:left="139"/>
              <w:rPr>
                <w:color w:val="auto"/>
                <w:highlight w:val="none"/>
              </w:rPr>
            </w:pPr>
            <w:r>
              <w:rPr>
                <w:b/>
                <w:bCs/>
                <w:color w:val="auto"/>
                <w:spacing w:val="5"/>
                <w:highlight w:val="none"/>
              </w:rPr>
              <w:t>价格分</w:t>
            </w:r>
          </w:p>
        </w:tc>
        <w:tc>
          <w:tcPr>
            <w:tcW w:w="7084" w:type="dxa"/>
            <w:vAlign w:val="top"/>
          </w:tcPr>
          <w:p w14:paraId="58029BF1">
            <w:pPr>
              <w:pStyle w:val="19"/>
              <w:spacing w:before="158" w:line="240" w:lineRule="auto"/>
              <w:ind w:left="111" w:right="52" w:firstLine="429"/>
              <w:rPr>
                <w:color w:val="auto"/>
                <w:highlight w:val="none"/>
              </w:rPr>
            </w:pPr>
            <w:r>
              <w:rPr>
                <w:b/>
                <w:bCs/>
                <w:color w:val="auto"/>
                <w:spacing w:val="4"/>
                <w:highlight w:val="none"/>
              </w:rPr>
              <w:t>（1）政策性扣除计算方法：本项目属于专门面</w:t>
            </w:r>
            <w:r>
              <w:rPr>
                <w:b/>
                <w:bCs/>
                <w:color w:val="auto"/>
                <w:spacing w:val="3"/>
                <w:highlight w:val="none"/>
              </w:rPr>
              <w:t>向中小企业采购的项目，</w:t>
            </w:r>
            <w:r>
              <w:rPr>
                <w:color w:val="auto"/>
                <w:highlight w:val="none"/>
              </w:rPr>
              <w:t xml:space="preserve"> </w:t>
            </w:r>
            <w:r>
              <w:rPr>
                <w:b/>
                <w:bCs/>
                <w:color w:val="auto"/>
                <w:spacing w:val="7"/>
                <w:highlight w:val="none"/>
              </w:rPr>
              <w:t>享受预留份额后不再进行价格折扣。</w:t>
            </w:r>
          </w:p>
          <w:p w14:paraId="440934BA">
            <w:pPr>
              <w:pStyle w:val="19"/>
              <w:spacing w:before="32" w:line="240" w:lineRule="auto"/>
              <w:ind w:left="111" w:right="104" w:firstLine="430"/>
              <w:rPr>
                <w:color w:val="auto"/>
                <w:highlight w:val="none"/>
              </w:rPr>
            </w:pPr>
            <w:r>
              <w:rPr>
                <w:color w:val="auto"/>
                <w:spacing w:val="9"/>
                <w:highlight w:val="none"/>
              </w:rPr>
              <w:t>（2）</w:t>
            </w:r>
            <w:r>
              <w:rPr>
                <w:color w:val="auto"/>
                <w:spacing w:val="-48"/>
                <w:highlight w:val="none"/>
              </w:rPr>
              <w:t xml:space="preserve"> </w:t>
            </w:r>
            <w:r>
              <w:rPr>
                <w:color w:val="auto"/>
                <w:spacing w:val="9"/>
                <w:highlight w:val="none"/>
              </w:rPr>
              <w:t>以进入综合评分环节的最低的评标报价为基准价，基准价报价得</w:t>
            </w:r>
            <w:r>
              <w:rPr>
                <w:color w:val="auto"/>
                <w:spacing w:val="3"/>
                <w:highlight w:val="none"/>
              </w:rPr>
              <w:t>满分。</w:t>
            </w:r>
          </w:p>
          <w:p w14:paraId="0E5C6C84">
            <w:pPr>
              <w:pStyle w:val="19"/>
              <w:spacing w:before="173" w:line="240" w:lineRule="auto"/>
              <w:ind w:left="541"/>
              <w:rPr>
                <w:color w:val="auto"/>
                <w:highlight w:val="none"/>
              </w:rPr>
            </w:pPr>
            <w:r>
              <w:rPr>
                <w:color w:val="auto"/>
                <w:spacing w:val="6"/>
                <w:highlight w:val="none"/>
              </w:rPr>
              <w:t>（3）价格分计算公式：</w:t>
            </w:r>
          </w:p>
          <w:p w14:paraId="1E36ACE2">
            <w:pPr>
              <w:pStyle w:val="19"/>
              <w:spacing w:before="174" w:line="240" w:lineRule="auto"/>
              <w:ind w:left="531" w:right="1465"/>
              <w:rPr>
                <w:color w:val="auto"/>
                <w:highlight w:val="none"/>
              </w:rPr>
            </w:pPr>
            <w:r>
              <w:rPr>
                <w:color w:val="auto"/>
                <w:spacing w:val="8"/>
                <w:highlight w:val="none"/>
              </w:rPr>
              <w:t>某供应商价格分=基准价/某供应商磋商报价金额×10分</w:t>
            </w:r>
            <w:r>
              <w:rPr>
                <w:color w:val="auto"/>
                <w:spacing w:val="3"/>
                <w:highlight w:val="none"/>
              </w:rPr>
              <w:t>价格分满分为10分。</w:t>
            </w:r>
          </w:p>
        </w:tc>
        <w:tc>
          <w:tcPr>
            <w:tcW w:w="1038" w:type="dxa"/>
            <w:vAlign w:val="top"/>
          </w:tcPr>
          <w:p w14:paraId="732915CE">
            <w:pPr>
              <w:spacing w:line="240" w:lineRule="auto"/>
              <w:rPr>
                <w:rFonts w:ascii="Arial"/>
                <w:color w:val="auto"/>
                <w:sz w:val="21"/>
                <w:highlight w:val="none"/>
              </w:rPr>
            </w:pPr>
          </w:p>
          <w:p w14:paraId="2504748F">
            <w:pPr>
              <w:spacing w:line="240" w:lineRule="auto"/>
              <w:rPr>
                <w:rFonts w:ascii="Arial"/>
                <w:color w:val="auto"/>
                <w:sz w:val="21"/>
                <w:highlight w:val="none"/>
              </w:rPr>
            </w:pPr>
          </w:p>
          <w:p w14:paraId="103B5ACB">
            <w:pPr>
              <w:spacing w:line="240" w:lineRule="auto"/>
              <w:rPr>
                <w:rFonts w:ascii="Arial"/>
                <w:color w:val="auto"/>
                <w:sz w:val="21"/>
                <w:highlight w:val="none"/>
              </w:rPr>
            </w:pPr>
          </w:p>
          <w:p w14:paraId="428E8629">
            <w:pPr>
              <w:spacing w:line="240" w:lineRule="auto"/>
              <w:rPr>
                <w:rFonts w:ascii="Arial"/>
                <w:color w:val="auto"/>
                <w:sz w:val="21"/>
                <w:highlight w:val="none"/>
              </w:rPr>
            </w:pPr>
          </w:p>
          <w:p w14:paraId="2672930F">
            <w:pPr>
              <w:spacing w:line="240" w:lineRule="auto"/>
              <w:rPr>
                <w:rFonts w:ascii="Arial"/>
                <w:color w:val="auto"/>
                <w:sz w:val="21"/>
                <w:highlight w:val="none"/>
              </w:rPr>
            </w:pPr>
          </w:p>
          <w:p w14:paraId="032DAD3B">
            <w:pPr>
              <w:pStyle w:val="19"/>
              <w:spacing w:before="65" w:line="240" w:lineRule="auto"/>
              <w:ind w:left="295"/>
              <w:rPr>
                <w:color w:val="auto"/>
                <w:highlight w:val="none"/>
              </w:rPr>
            </w:pPr>
            <w:r>
              <w:rPr>
                <w:b/>
                <w:bCs/>
                <w:color w:val="auto"/>
                <w:spacing w:val="-6"/>
                <w:highlight w:val="none"/>
              </w:rPr>
              <w:t>10分</w:t>
            </w:r>
          </w:p>
        </w:tc>
      </w:tr>
      <w:tr w14:paraId="3C4F2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12" w:type="dxa"/>
            <w:vAlign w:val="top"/>
          </w:tcPr>
          <w:p w14:paraId="5AF99E09">
            <w:pPr>
              <w:pStyle w:val="19"/>
              <w:spacing w:before="174" w:line="240" w:lineRule="auto"/>
              <w:ind w:left="261"/>
              <w:rPr>
                <w:color w:val="auto"/>
                <w:highlight w:val="none"/>
              </w:rPr>
            </w:pPr>
            <w:r>
              <w:rPr>
                <w:b/>
                <w:bCs/>
                <w:color w:val="auto"/>
                <w:spacing w:val="-3"/>
                <w:highlight w:val="none"/>
              </w:rPr>
              <w:t>2</w:t>
            </w:r>
          </w:p>
        </w:tc>
        <w:tc>
          <w:tcPr>
            <w:tcW w:w="904" w:type="dxa"/>
            <w:vAlign w:val="top"/>
          </w:tcPr>
          <w:p w14:paraId="30785208">
            <w:pPr>
              <w:pStyle w:val="19"/>
              <w:spacing w:before="141" w:line="240" w:lineRule="auto"/>
              <w:ind w:left="139"/>
              <w:rPr>
                <w:rFonts w:hint="eastAsia" w:eastAsia="宋体"/>
                <w:color w:val="auto"/>
                <w:highlight w:val="none"/>
                <w:lang w:eastAsia="zh-CN"/>
              </w:rPr>
            </w:pPr>
            <w:r>
              <w:rPr>
                <w:b/>
                <w:bCs/>
                <w:color w:val="auto"/>
                <w:spacing w:val="5"/>
                <w:highlight w:val="none"/>
              </w:rPr>
              <w:t>技术分</w:t>
            </w:r>
            <w:r>
              <w:rPr>
                <w:rFonts w:hint="eastAsia"/>
                <w:b/>
                <w:bCs/>
                <w:color w:val="auto"/>
                <w:spacing w:val="5"/>
                <w:highlight w:val="none"/>
                <w:lang w:eastAsia="zh-CN"/>
              </w:rPr>
              <w:t>（</w:t>
            </w:r>
            <w:r>
              <w:rPr>
                <w:rFonts w:hint="eastAsia"/>
                <w:b/>
                <w:bCs/>
                <w:color w:val="auto"/>
                <w:spacing w:val="5"/>
                <w:highlight w:val="none"/>
                <w:lang w:val="en-US" w:eastAsia="zh-CN"/>
              </w:rPr>
              <w:t>78分</w:t>
            </w:r>
            <w:r>
              <w:rPr>
                <w:rFonts w:hint="eastAsia"/>
                <w:b/>
                <w:bCs/>
                <w:color w:val="auto"/>
                <w:spacing w:val="5"/>
                <w:highlight w:val="none"/>
                <w:lang w:eastAsia="zh-CN"/>
              </w:rPr>
              <w:t>）</w:t>
            </w:r>
          </w:p>
        </w:tc>
        <w:tc>
          <w:tcPr>
            <w:tcW w:w="8122" w:type="dxa"/>
            <w:gridSpan w:val="2"/>
            <w:vAlign w:val="center"/>
          </w:tcPr>
          <w:p w14:paraId="038EA262">
            <w:pPr>
              <w:pStyle w:val="19"/>
              <w:spacing w:before="141" w:line="240" w:lineRule="auto"/>
              <w:ind w:left="3643"/>
              <w:rPr>
                <w:color w:val="auto"/>
                <w:highlight w:val="none"/>
              </w:rPr>
            </w:pPr>
            <w:r>
              <w:rPr>
                <w:b/>
                <w:bCs/>
                <w:color w:val="auto"/>
                <w:spacing w:val="6"/>
                <w:highlight w:val="none"/>
              </w:rPr>
              <w:t>评审因素</w:t>
            </w:r>
          </w:p>
        </w:tc>
      </w:tr>
      <w:tr w14:paraId="55D4D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612" w:type="dxa"/>
            <w:vAlign w:val="center"/>
          </w:tcPr>
          <w:p w14:paraId="234D28EB">
            <w:pPr>
              <w:pStyle w:val="19"/>
              <w:spacing w:before="65" w:line="240" w:lineRule="auto"/>
              <w:ind w:left="0"/>
              <w:jc w:val="center"/>
              <w:rPr>
                <w:rFonts w:hint="eastAsia" w:eastAsia="宋体"/>
                <w:color w:val="auto"/>
                <w:highlight w:val="none"/>
                <w:lang w:eastAsia="zh-CN"/>
              </w:rPr>
            </w:pPr>
            <w:r>
              <w:rPr>
                <w:b/>
                <w:bCs/>
                <w:color w:val="auto"/>
                <w:spacing w:val="-1"/>
                <w:highlight w:val="none"/>
              </w:rPr>
              <w:t>2.</w:t>
            </w:r>
            <w:r>
              <w:rPr>
                <w:rFonts w:hint="eastAsia"/>
                <w:b/>
                <w:bCs/>
                <w:color w:val="auto"/>
                <w:spacing w:val="-1"/>
                <w:highlight w:val="none"/>
                <w:lang w:val="en-US" w:eastAsia="zh-CN"/>
              </w:rPr>
              <w:t>1</w:t>
            </w:r>
          </w:p>
        </w:tc>
        <w:tc>
          <w:tcPr>
            <w:tcW w:w="904" w:type="dxa"/>
            <w:vAlign w:val="center"/>
          </w:tcPr>
          <w:p w14:paraId="5D35E142">
            <w:pPr>
              <w:pStyle w:val="19"/>
              <w:spacing w:before="65" w:line="240" w:lineRule="auto"/>
              <w:ind w:left="0" w:right="136" w:firstLine="0"/>
              <w:jc w:val="center"/>
              <w:rPr>
                <w:color w:val="auto"/>
                <w:highlight w:val="none"/>
              </w:rPr>
            </w:pPr>
            <w:r>
              <w:rPr>
                <w:rFonts w:hint="default"/>
                <w:b/>
                <w:bCs/>
                <w:color w:val="auto"/>
                <w:spacing w:val="4"/>
                <w:highlight w:val="none"/>
              </w:rPr>
              <w:t>服务方案</w:t>
            </w:r>
          </w:p>
        </w:tc>
        <w:tc>
          <w:tcPr>
            <w:tcW w:w="7084" w:type="dxa"/>
            <w:vAlign w:val="top"/>
          </w:tcPr>
          <w:p w14:paraId="69AB723B">
            <w:pPr>
              <w:pStyle w:val="19"/>
              <w:spacing w:before="145" w:line="240" w:lineRule="auto"/>
              <w:ind w:left="111" w:right="52" w:firstLine="432" w:firstLineChars="200"/>
              <w:jc w:val="both"/>
              <w:rPr>
                <w:color w:val="auto"/>
                <w:spacing w:val="8"/>
                <w:highlight w:val="none"/>
              </w:rPr>
            </w:pPr>
            <w:r>
              <w:rPr>
                <w:color w:val="auto"/>
                <w:spacing w:val="8"/>
                <w:highlight w:val="none"/>
              </w:rPr>
              <w:t>根据供应商方案的完整性、合理性等进行评价打分，以下各项不重复计分：</w:t>
            </w:r>
          </w:p>
          <w:p w14:paraId="31D39A75">
            <w:pPr>
              <w:pStyle w:val="19"/>
              <w:spacing w:before="145" w:line="240" w:lineRule="auto"/>
              <w:ind w:left="111" w:right="52" w:firstLine="400" w:firstLineChars="200"/>
              <w:jc w:val="both"/>
              <w:rPr>
                <w:rFonts w:hint="eastAsia"/>
                <w:color w:val="auto"/>
                <w:highlight w:val="none"/>
                <w:lang w:eastAsia="zh-CN"/>
              </w:rPr>
            </w:pPr>
            <w:r>
              <w:rPr>
                <w:rFonts w:hint="eastAsia"/>
                <w:color w:val="auto"/>
                <w:highlight w:val="none"/>
                <w:lang w:eastAsia="zh-CN"/>
              </w:rPr>
              <w:t>一档（</w:t>
            </w:r>
            <w:r>
              <w:rPr>
                <w:rFonts w:hint="eastAsia"/>
                <w:color w:val="auto"/>
                <w:highlight w:val="none"/>
                <w:lang w:val="en-US" w:eastAsia="zh-CN"/>
              </w:rPr>
              <w:t>9</w:t>
            </w:r>
            <w:r>
              <w:rPr>
                <w:rFonts w:hint="eastAsia"/>
                <w:color w:val="auto"/>
                <w:highlight w:val="none"/>
                <w:lang w:eastAsia="zh-CN"/>
              </w:rPr>
              <w:t>分）：基本理解项目需求，思路简单，切入点不准确，对研究内容的主要问题阐述不清晰，研究方法、手段、途径单一，综合评定一般；</w:t>
            </w:r>
          </w:p>
          <w:p w14:paraId="022035FA">
            <w:pPr>
              <w:pStyle w:val="19"/>
              <w:spacing w:before="145" w:line="240" w:lineRule="auto"/>
              <w:ind w:left="111" w:right="52" w:firstLine="400" w:firstLineChars="200"/>
              <w:jc w:val="both"/>
              <w:rPr>
                <w:rFonts w:hint="eastAsia"/>
                <w:color w:val="auto"/>
                <w:highlight w:val="none"/>
                <w:lang w:eastAsia="zh-CN"/>
              </w:rPr>
            </w:pPr>
            <w:r>
              <w:rPr>
                <w:rFonts w:hint="eastAsia"/>
                <w:color w:val="auto"/>
                <w:highlight w:val="none"/>
                <w:lang w:eastAsia="zh-CN"/>
              </w:rPr>
              <w:t>二档（</w:t>
            </w:r>
            <w:r>
              <w:rPr>
                <w:rFonts w:hint="eastAsia"/>
                <w:color w:val="auto"/>
                <w:highlight w:val="none"/>
                <w:lang w:val="en-US" w:eastAsia="zh-CN"/>
              </w:rPr>
              <w:t>18</w:t>
            </w:r>
            <w:r>
              <w:rPr>
                <w:rFonts w:hint="eastAsia"/>
                <w:color w:val="auto"/>
                <w:highlight w:val="none"/>
                <w:lang w:eastAsia="zh-CN"/>
              </w:rPr>
              <w:t>分）：正确理解项目需求，对项目阐述的范围较深入，研究目标明确，对研究内容的主要问题提出了解决方法，且有多种研究方法、手段、途径，综合评定良好；</w:t>
            </w:r>
          </w:p>
          <w:p w14:paraId="4E9A01A9">
            <w:pPr>
              <w:pStyle w:val="19"/>
              <w:spacing w:before="145" w:line="240" w:lineRule="auto"/>
              <w:ind w:left="111" w:right="52" w:firstLine="400" w:firstLineChars="200"/>
              <w:jc w:val="both"/>
              <w:rPr>
                <w:color w:val="auto"/>
                <w:highlight w:val="none"/>
              </w:rPr>
            </w:pPr>
            <w:r>
              <w:rPr>
                <w:rFonts w:hint="eastAsia"/>
                <w:color w:val="auto"/>
                <w:highlight w:val="none"/>
                <w:lang w:eastAsia="zh-CN"/>
              </w:rPr>
              <w:t>三档（</w:t>
            </w:r>
            <w:r>
              <w:rPr>
                <w:rFonts w:hint="eastAsia"/>
                <w:color w:val="auto"/>
                <w:highlight w:val="none"/>
                <w:lang w:val="en-US" w:eastAsia="zh-CN"/>
              </w:rPr>
              <w:t>28</w:t>
            </w:r>
            <w:r>
              <w:rPr>
                <w:rFonts w:hint="eastAsia"/>
                <w:color w:val="auto"/>
                <w:highlight w:val="none"/>
                <w:lang w:eastAsia="zh-CN"/>
              </w:rPr>
              <w:t>分）：对项目的研究内容有正确深刻理解与充分认识，对项目阐述的范围全面深入，对项目指导思想、工作目标、重点领域、保障措施难点、关键点详细具体分析，且能够根据项目特点，给出相应的解决办法，能结合相关文件基本原则为指导，有科学合理的调研计划，且能够通过多渠道、多途径、多种研究方法、手段保证项目顺利进行，综合评定优秀。</w:t>
            </w:r>
          </w:p>
        </w:tc>
        <w:tc>
          <w:tcPr>
            <w:tcW w:w="1038" w:type="dxa"/>
            <w:vAlign w:val="center"/>
          </w:tcPr>
          <w:p w14:paraId="2D29A376">
            <w:pPr>
              <w:pStyle w:val="19"/>
              <w:spacing w:before="65" w:line="240" w:lineRule="auto"/>
              <w:ind w:left="0"/>
              <w:jc w:val="center"/>
              <w:rPr>
                <w:color w:val="auto"/>
                <w:highlight w:val="none"/>
              </w:rPr>
            </w:pPr>
            <w:r>
              <w:rPr>
                <w:rFonts w:hint="eastAsia"/>
                <w:b/>
                <w:bCs/>
                <w:color w:val="auto"/>
                <w:spacing w:val="-2"/>
                <w:highlight w:val="none"/>
                <w:lang w:val="en-US" w:eastAsia="zh-CN"/>
              </w:rPr>
              <w:t>28</w:t>
            </w:r>
            <w:r>
              <w:rPr>
                <w:b/>
                <w:bCs/>
                <w:color w:val="auto"/>
                <w:spacing w:val="-2"/>
                <w:highlight w:val="none"/>
              </w:rPr>
              <w:t>分</w:t>
            </w:r>
          </w:p>
        </w:tc>
      </w:tr>
      <w:tr w14:paraId="12F5E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5" w:hRule="atLeast"/>
        </w:trPr>
        <w:tc>
          <w:tcPr>
            <w:tcW w:w="612" w:type="dxa"/>
            <w:vAlign w:val="center"/>
          </w:tcPr>
          <w:p w14:paraId="6DF075EE">
            <w:pPr>
              <w:pStyle w:val="19"/>
              <w:spacing w:before="65" w:line="240" w:lineRule="auto"/>
              <w:ind w:left="0" w:leftChars="0"/>
              <w:jc w:val="center"/>
              <w:rPr>
                <w:rFonts w:hint="eastAsia" w:eastAsia="宋体"/>
                <w:b/>
                <w:bCs/>
                <w:color w:val="auto"/>
                <w:spacing w:val="-1"/>
                <w:highlight w:val="none"/>
                <w:lang w:eastAsia="zh-CN"/>
              </w:rPr>
            </w:pPr>
            <w:r>
              <w:rPr>
                <w:b/>
                <w:bCs/>
                <w:color w:val="auto"/>
                <w:spacing w:val="-1"/>
                <w:highlight w:val="none"/>
              </w:rPr>
              <w:t>2.</w:t>
            </w:r>
            <w:r>
              <w:rPr>
                <w:rFonts w:hint="eastAsia"/>
                <w:b/>
                <w:bCs/>
                <w:color w:val="auto"/>
                <w:spacing w:val="-1"/>
                <w:highlight w:val="none"/>
                <w:lang w:val="en-US" w:eastAsia="zh-CN"/>
              </w:rPr>
              <w:t>2</w:t>
            </w:r>
          </w:p>
        </w:tc>
        <w:tc>
          <w:tcPr>
            <w:tcW w:w="904" w:type="dxa"/>
            <w:vAlign w:val="center"/>
          </w:tcPr>
          <w:p w14:paraId="4639A336">
            <w:pPr>
              <w:pStyle w:val="19"/>
              <w:spacing w:before="65" w:line="240" w:lineRule="auto"/>
              <w:ind w:left="0" w:leftChars="0" w:right="136" w:rightChars="0" w:firstLine="0" w:firstLineChars="0"/>
              <w:jc w:val="both"/>
              <w:rPr>
                <w:b/>
                <w:bCs/>
                <w:color w:val="auto"/>
                <w:spacing w:val="4"/>
                <w:highlight w:val="none"/>
              </w:rPr>
            </w:pPr>
            <w:r>
              <w:rPr>
                <w:b/>
                <w:bCs/>
                <w:color w:val="auto"/>
                <w:spacing w:val="4"/>
                <w:highlight w:val="none"/>
              </w:rPr>
              <w:t>关键问</w:t>
            </w:r>
            <w:r>
              <w:rPr>
                <w:b/>
                <w:bCs/>
                <w:color w:val="auto"/>
                <w:spacing w:val="5"/>
                <w:highlight w:val="none"/>
              </w:rPr>
              <w:t>题及解决思路</w:t>
            </w:r>
          </w:p>
        </w:tc>
        <w:tc>
          <w:tcPr>
            <w:tcW w:w="7084" w:type="dxa"/>
            <w:vAlign w:val="top"/>
          </w:tcPr>
          <w:p w14:paraId="3D6B434B">
            <w:pPr>
              <w:pStyle w:val="19"/>
              <w:spacing w:before="144" w:line="240" w:lineRule="auto"/>
              <w:ind w:left="534" w:right="99" w:hanging="423"/>
              <w:rPr>
                <w:color w:val="auto"/>
                <w:highlight w:val="none"/>
              </w:rPr>
            </w:pPr>
            <w:r>
              <w:rPr>
                <w:color w:val="auto"/>
                <w:spacing w:val="8"/>
                <w:highlight w:val="none"/>
              </w:rPr>
              <w:t>根据供应商方案的完整性、合理性等进行评价打分，以下各项不重复计分：</w:t>
            </w:r>
            <w:r>
              <w:rPr>
                <w:color w:val="auto"/>
                <w:spacing w:val="10"/>
                <w:highlight w:val="none"/>
              </w:rPr>
              <w:t>一档（</w:t>
            </w:r>
            <w:r>
              <w:rPr>
                <w:rFonts w:hint="eastAsia"/>
                <w:color w:val="auto"/>
                <w:spacing w:val="10"/>
                <w:highlight w:val="none"/>
                <w:lang w:val="en-US" w:eastAsia="zh-CN"/>
              </w:rPr>
              <w:t>5</w:t>
            </w:r>
            <w:r>
              <w:rPr>
                <w:color w:val="auto"/>
                <w:spacing w:val="10"/>
                <w:highlight w:val="none"/>
              </w:rPr>
              <w:t>分</w:t>
            </w:r>
            <w:r>
              <w:rPr>
                <w:color w:val="auto"/>
                <w:spacing w:val="21"/>
                <w:highlight w:val="none"/>
              </w:rPr>
              <w:t>）：</w:t>
            </w:r>
            <w:r>
              <w:rPr>
                <w:color w:val="auto"/>
                <w:spacing w:val="10"/>
                <w:highlight w:val="none"/>
              </w:rPr>
              <w:t>提出重点难点问题和方案，但解决思路不清晰。</w:t>
            </w:r>
          </w:p>
          <w:p w14:paraId="31B56D9F">
            <w:pPr>
              <w:pStyle w:val="19"/>
              <w:spacing w:before="33" w:line="240" w:lineRule="auto"/>
              <w:ind w:left="116" w:right="107" w:firstLine="418"/>
              <w:rPr>
                <w:color w:val="auto"/>
                <w:highlight w:val="none"/>
              </w:rPr>
            </w:pPr>
            <w:r>
              <w:rPr>
                <w:color w:val="auto"/>
                <w:spacing w:val="8"/>
                <w:highlight w:val="none"/>
              </w:rPr>
              <w:t>二档（</w:t>
            </w:r>
            <w:r>
              <w:rPr>
                <w:rFonts w:hint="eastAsia"/>
                <w:color w:val="auto"/>
                <w:spacing w:val="8"/>
                <w:highlight w:val="none"/>
                <w:lang w:val="en-US" w:eastAsia="zh-CN"/>
              </w:rPr>
              <w:t>10</w:t>
            </w:r>
            <w:r>
              <w:rPr>
                <w:color w:val="auto"/>
                <w:spacing w:val="8"/>
                <w:highlight w:val="none"/>
              </w:rPr>
              <w:t>分</w:t>
            </w:r>
            <w:r>
              <w:rPr>
                <w:color w:val="auto"/>
                <w:spacing w:val="19"/>
                <w:highlight w:val="none"/>
              </w:rPr>
              <w:t>）：</w:t>
            </w:r>
            <w:r>
              <w:rPr>
                <w:color w:val="auto"/>
                <w:spacing w:val="8"/>
                <w:highlight w:val="none"/>
              </w:rPr>
              <w:t>提出重点难点问题，解决思路合理，基本符合地区发展</w:t>
            </w:r>
            <w:r>
              <w:rPr>
                <w:color w:val="auto"/>
                <w:spacing w:val="1"/>
                <w:highlight w:val="none"/>
              </w:rPr>
              <w:t>实际。</w:t>
            </w:r>
          </w:p>
          <w:p w14:paraId="3256E149">
            <w:pPr>
              <w:pStyle w:val="19"/>
              <w:spacing w:before="30" w:line="240" w:lineRule="auto"/>
              <w:ind w:left="112" w:leftChars="0" w:right="104" w:rightChars="0" w:firstLine="418" w:firstLineChars="0"/>
              <w:jc w:val="both"/>
              <w:rPr>
                <w:rFonts w:hint="eastAsia"/>
                <w:color w:val="auto"/>
                <w:highlight w:val="none"/>
                <w:lang w:eastAsia="zh-CN"/>
              </w:rPr>
            </w:pPr>
            <w:r>
              <w:rPr>
                <w:color w:val="auto"/>
                <w:spacing w:val="11"/>
                <w:highlight w:val="none"/>
              </w:rPr>
              <w:t>三档（</w:t>
            </w:r>
            <w:r>
              <w:rPr>
                <w:rFonts w:hint="eastAsia"/>
                <w:color w:val="auto"/>
                <w:spacing w:val="11"/>
                <w:highlight w:val="none"/>
                <w:lang w:val="en-US" w:eastAsia="zh-CN"/>
              </w:rPr>
              <w:t>15</w:t>
            </w:r>
            <w:r>
              <w:rPr>
                <w:color w:val="auto"/>
                <w:spacing w:val="11"/>
                <w:highlight w:val="none"/>
              </w:rPr>
              <w:t>分</w:t>
            </w:r>
            <w:r>
              <w:rPr>
                <w:color w:val="auto"/>
                <w:spacing w:val="13"/>
                <w:highlight w:val="none"/>
              </w:rPr>
              <w:t>）：</w:t>
            </w:r>
            <w:r>
              <w:rPr>
                <w:color w:val="auto"/>
                <w:spacing w:val="11"/>
                <w:highlight w:val="none"/>
              </w:rPr>
              <w:t>对本项目的采购需求提出重点难点问题并</w:t>
            </w:r>
            <w:r>
              <w:rPr>
                <w:color w:val="auto"/>
                <w:spacing w:val="10"/>
                <w:highlight w:val="none"/>
              </w:rPr>
              <w:t>进行深入分</w:t>
            </w:r>
            <w:r>
              <w:rPr>
                <w:color w:val="auto"/>
                <w:spacing w:val="8"/>
                <w:highlight w:val="none"/>
              </w:rPr>
              <w:t>析，有详细的解决思路和方案，符合地区发展实际且具有较强的可</w:t>
            </w:r>
            <w:r>
              <w:rPr>
                <w:color w:val="auto"/>
                <w:spacing w:val="7"/>
                <w:highlight w:val="none"/>
              </w:rPr>
              <w:t>实施操作</w:t>
            </w:r>
            <w:r>
              <w:rPr>
                <w:color w:val="auto"/>
                <w:spacing w:val="-1"/>
                <w:highlight w:val="none"/>
              </w:rPr>
              <w:t>性。</w:t>
            </w:r>
          </w:p>
        </w:tc>
        <w:tc>
          <w:tcPr>
            <w:tcW w:w="1038" w:type="dxa"/>
            <w:vAlign w:val="top"/>
          </w:tcPr>
          <w:p w14:paraId="5CD2C09A">
            <w:pPr>
              <w:spacing w:line="240" w:lineRule="auto"/>
              <w:rPr>
                <w:rFonts w:ascii="Arial"/>
                <w:color w:val="auto"/>
                <w:sz w:val="21"/>
                <w:highlight w:val="none"/>
              </w:rPr>
            </w:pPr>
          </w:p>
          <w:p w14:paraId="30A4CF29">
            <w:pPr>
              <w:spacing w:line="240" w:lineRule="auto"/>
              <w:rPr>
                <w:rFonts w:ascii="Arial"/>
                <w:color w:val="auto"/>
                <w:sz w:val="21"/>
                <w:highlight w:val="none"/>
              </w:rPr>
            </w:pPr>
          </w:p>
          <w:p w14:paraId="25998220">
            <w:pPr>
              <w:spacing w:line="240" w:lineRule="auto"/>
              <w:rPr>
                <w:rFonts w:ascii="Arial"/>
                <w:color w:val="auto"/>
                <w:sz w:val="21"/>
                <w:highlight w:val="none"/>
              </w:rPr>
            </w:pPr>
          </w:p>
          <w:p w14:paraId="53A6DFD5">
            <w:pPr>
              <w:spacing w:line="240" w:lineRule="auto"/>
              <w:rPr>
                <w:rFonts w:ascii="Arial"/>
                <w:color w:val="auto"/>
                <w:sz w:val="21"/>
                <w:highlight w:val="none"/>
              </w:rPr>
            </w:pPr>
          </w:p>
          <w:p w14:paraId="6E3E5BBB">
            <w:pPr>
              <w:spacing w:line="240" w:lineRule="auto"/>
              <w:rPr>
                <w:rFonts w:ascii="Arial"/>
                <w:color w:val="auto"/>
                <w:sz w:val="21"/>
                <w:highlight w:val="none"/>
              </w:rPr>
            </w:pPr>
          </w:p>
          <w:p w14:paraId="059B84B1">
            <w:pPr>
              <w:pStyle w:val="19"/>
              <w:spacing w:before="65" w:line="240" w:lineRule="auto"/>
              <w:ind w:left="302" w:leftChars="0"/>
              <w:rPr>
                <w:b/>
                <w:bCs/>
                <w:color w:val="auto"/>
                <w:spacing w:val="-2"/>
                <w:highlight w:val="none"/>
              </w:rPr>
            </w:pPr>
            <w:r>
              <w:rPr>
                <w:rFonts w:hint="eastAsia"/>
                <w:b/>
                <w:bCs/>
                <w:color w:val="auto"/>
                <w:spacing w:val="-6"/>
                <w:highlight w:val="none"/>
                <w:lang w:val="en-US" w:eastAsia="zh-CN"/>
              </w:rPr>
              <w:t>15</w:t>
            </w:r>
            <w:r>
              <w:rPr>
                <w:b/>
                <w:bCs/>
                <w:color w:val="auto"/>
                <w:spacing w:val="-6"/>
                <w:highlight w:val="none"/>
              </w:rPr>
              <w:t>分</w:t>
            </w:r>
          </w:p>
        </w:tc>
      </w:tr>
      <w:tr w14:paraId="73D7E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612" w:type="dxa"/>
            <w:vAlign w:val="center"/>
          </w:tcPr>
          <w:p w14:paraId="28FF16E6">
            <w:pPr>
              <w:pStyle w:val="19"/>
              <w:spacing w:before="65" w:line="240" w:lineRule="auto"/>
              <w:ind w:left="0" w:leftChars="0"/>
              <w:jc w:val="center"/>
              <w:rPr>
                <w:rFonts w:hint="eastAsia" w:eastAsia="宋体"/>
                <w:b/>
                <w:bCs/>
                <w:color w:val="auto"/>
                <w:spacing w:val="-1"/>
                <w:highlight w:val="none"/>
                <w:lang w:eastAsia="zh-CN"/>
              </w:rPr>
            </w:pPr>
            <w:r>
              <w:rPr>
                <w:b/>
                <w:bCs/>
                <w:color w:val="auto"/>
                <w:spacing w:val="-1"/>
                <w:highlight w:val="none"/>
              </w:rPr>
              <w:t>2.</w:t>
            </w:r>
            <w:r>
              <w:rPr>
                <w:rFonts w:hint="eastAsia"/>
                <w:b/>
                <w:bCs/>
                <w:color w:val="auto"/>
                <w:spacing w:val="-1"/>
                <w:highlight w:val="none"/>
                <w:lang w:val="en-US" w:eastAsia="zh-CN"/>
              </w:rPr>
              <w:t>3</w:t>
            </w:r>
          </w:p>
        </w:tc>
        <w:tc>
          <w:tcPr>
            <w:tcW w:w="904" w:type="dxa"/>
            <w:vAlign w:val="center"/>
          </w:tcPr>
          <w:p w14:paraId="281A7E93">
            <w:pPr>
              <w:pStyle w:val="19"/>
              <w:spacing w:before="65" w:line="240" w:lineRule="auto"/>
              <w:ind w:left="0"/>
              <w:jc w:val="center"/>
              <w:rPr>
                <w:color w:val="auto"/>
                <w:highlight w:val="none"/>
              </w:rPr>
            </w:pPr>
            <w:r>
              <w:rPr>
                <w:b/>
                <w:bCs/>
                <w:color w:val="auto"/>
                <w:spacing w:val="5"/>
                <w:highlight w:val="none"/>
              </w:rPr>
              <w:t>质量保</w:t>
            </w:r>
          </w:p>
          <w:p w14:paraId="585104C3">
            <w:pPr>
              <w:pStyle w:val="19"/>
              <w:spacing w:before="150" w:line="240" w:lineRule="auto"/>
              <w:ind w:left="149"/>
              <w:jc w:val="center"/>
              <w:rPr>
                <w:color w:val="auto"/>
                <w:highlight w:val="none"/>
              </w:rPr>
            </w:pPr>
            <w:r>
              <w:rPr>
                <w:b/>
                <w:bCs/>
                <w:color w:val="auto"/>
                <w:spacing w:val="2"/>
                <w:highlight w:val="none"/>
              </w:rPr>
              <w:t>障和进</w:t>
            </w:r>
          </w:p>
          <w:p w14:paraId="065C7C2F">
            <w:pPr>
              <w:pStyle w:val="19"/>
              <w:spacing w:before="153" w:line="240" w:lineRule="auto"/>
              <w:ind w:left="138"/>
              <w:jc w:val="center"/>
              <w:rPr>
                <w:color w:val="auto"/>
                <w:highlight w:val="none"/>
              </w:rPr>
            </w:pPr>
            <w:r>
              <w:rPr>
                <w:b/>
                <w:bCs/>
                <w:color w:val="auto"/>
                <w:spacing w:val="5"/>
                <w:highlight w:val="none"/>
              </w:rPr>
              <w:t>度保障</w:t>
            </w:r>
          </w:p>
          <w:p w14:paraId="435A62EE">
            <w:pPr>
              <w:pStyle w:val="19"/>
              <w:spacing w:before="154" w:line="240" w:lineRule="auto"/>
              <w:ind w:left="244" w:leftChars="0"/>
              <w:jc w:val="center"/>
              <w:rPr>
                <w:b/>
                <w:bCs/>
                <w:color w:val="auto"/>
                <w:spacing w:val="4"/>
                <w:highlight w:val="none"/>
              </w:rPr>
            </w:pPr>
            <w:r>
              <w:rPr>
                <w:b/>
                <w:bCs/>
                <w:color w:val="auto"/>
                <w:spacing w:val="3"/>
                <w:highlight w:val="none"/>
              </w:rPr>
              <w:t>措施</w:t>
            </w:r>
          </w:p>
        </w:tc>
        <w:tc>
          <w:tcPr>
            <w:tcW w:w="7084" w:type="dxa"/>
            <w:vAlign w:val="top"/>
          </w:tcPr>
          <w:p w14:paraId="2A1A6E26">
            <w:pPr>
              <w:pStyle w:val="19"/>
              <w:spacing w:before="143" w:line="240" w:lineRule="auto"/>
              <w:ind w:left="534" w:right="99" w:hanging="423"/>
              <w:rPr>
                <w:color w:val="auto"/>
                <w:highlight w:val="none"/>
              </w:rPr>
            </w:pPr>
            <w:r>
              <w:rPr>
                <w:color w:val="auto"/>
                <w:spacing w:val="8"/>
                <w:highlight w:val="none"/>
              </w:rPr>
              <w:t>根据供应商方案的完整性、合理性等进行评价打分，以下各项不重复计分：一档（</w:t>
            </w:r>
            <w:r>
              <w:rPr>
                <w:rFonts w:hint="eastAsia"/>
                <w:color w:val="auto"/>
                <w:spacing w:val="8"/>
                <w:highlight w:val="none"/>
                <w:lang w:val="en-US" w:eastAsia="zh-CN"/>
              </w:rPr>
              <w:t>5</w:t>
            </w:r>
            <w:r>
              <w:rPr>
                <w:color w:val="auto"/>
                <w:spacing w:val="8"/>
                <w:highlight w:val="none"/>
              </w:rPr>
              <w:t>分</w:t>
            </w:r>
            <w:r>
              <w:rPr>
                <w:color w:val="auto"/>
                <w:spacing w:val="21"/>
                <w:highlight w:val="none"/>
              </w:rPr>
              <w:t>）：</w:t>
            </w:r>
            <w:r>
              <w:rPr>
                <w:rFonts w:hint="eastAsia"/>
                <w:color w:val="auto"/>
                <w:spacing w:val="21"/>
                <w:highlight w:val="none"/>
                <w:lang w:val="en-US" w:eastAsia="zh-CN"/>
              </w:rPr>
              <w:t>质量保障措施、</w:t>
            </w:r>
            <w:r>
              <w:rPr>
                <w:color w:val="auto"/>
                <w:spacing w:val="8"/>
                <w:highlight w:val="none"/>
              </w:rPr>
              <w:t>进度计划安排、进度计划的各项保证措施基本满足项目</w:t>
            </w:r>
          </w:p>
          <w:p w14:paraId="0E684684">
            <w:pPr>
              <w:pStyle w:val="19"/>
              <w:spacing w:before="32" w:line="240" w:lineRule="auto"/>
              <w:ind w:left="111"/>
              <w:rPr>
                <w:color w:val="auto"/>
                <w:highlight w:val="none"/>
              </w:rPr>
            </w:pPr>
            <w:r>
              <w:rPr>
                <w:color w:val="auto"/>
                <w:spacing w:val="2"/>
                <w:highlight w:val="none"/>
              </w:rPr>
              <w:t>要求。</w:t>
            </w:r>
          </w:p>
          <w:p w14:paraId="7A726301">
            <w:pPr>
              <w:pStyle w:val="19"/>
              <w:spacing w:before="150" w:line="240" w:lineRule="auto"/>
              <w:ind w:left="111" w:right="150" w:firstLine="423"/>
              <w:rPr>
                <w:color w:val="auto"/>
                <w:highlight w:val="none"/>
              </w:rPr>
            </w:pPr>
            <w:r>
              <w:rPr>
                <w:color w:val="auto"/>
                <w:spacing w:val="7"/>
                <w:highlight w:val="none"/>
              </w:rPr>
              <w:t>二档（</w:t>
            </w:r>
            <w:r>
              <w:rPr>
                <w:rFonts w:hint="eastAsia"/>
                <w:color w:val="auto"/>
                <w:spacing w:val="7"/>
                <w:highlight w:val="none"/>
                <w:lang w:val="en-US" w:eastAsia="zh-CN"/>
              </w:rPr>
              <w:t>10</w:t>
            </w:r>
            <w:r>
              <w:rPr>
                <w:color w:val="auto"/>
                <w:spacing w:val="7"/>
                <w:highlight w:val="none"/>
              </w:rPr>
              <w:t>分</w:t>
            </w:r>
            <w:r>
              <w:rPr>
                <w:color w:val="auto"/>
                <w:spacing w:val="13"/>
                <w:highlight w:val="none"/>
              </w:rPr>
              <w:t>）：</w:t>
            </w:r>
            <w:r>
              <w:rPr>
                <w:rFonts w:hint="eastAsia"/>
                <w:color w:val="auto"/>
                <w:spacing w:val="21"/>
                <w:highlight w:val="none"/>
                <w:lang w:val="en-US" w:eastAsia="zh-CN"/>
              </w:rPr>
              <w:t>质量保障措施、</w:t>
            </w:r>
            <w:r>
              <w:rPr>
                <w:color w:val="auto"/>
                <w:spacing w:val="7"/>
                <w:highlight w:val="none"/>
              </w:rPr>
              <w:t>进度计划安排基本合理，有针对项目的各项保证措施，</w:t>
            </w:r>
            <w:r>
              <w:rPr>
                <w:color w:val="auto"/>
                <w:spacing w:val="8"/>
                <w:highlight w:val="none"/>
              </w:rPr>
              <w:t>较符合本项目实际要求。</w:t>
            </w:r>
          </w:p>
          <w:p w14:paraId="0BC98323">
            <w:pPr>
              <w:pStyle w:val="19"/>
              <w:spacing w:before="31" w:line="240" w:lineRule="auto"/>
              <w:ind w:left="112" w:leftChars="0" w:right="104" w:rightChars="0" w:firstLine="418" w:firstLineChars="0"/>
              <w:jc w:val="both"/>
              <w:rPr>
                <w:color w:val="auto"/>
                <w:spacing w:val="11"/>
                <w:highlight w:val="none"/>
              </w:rPr>
            </w:pPr>
            <w:r>
              <w:rPr>
                <w:color w:val="auto"/>
                <w:spacing w:val="11"/>
                <w:highlight w:val="none"/>
              </w:rPr>
              <w:t>三档（</w:t>
            </w:r>
            <w:r>
              <w:rPr>
                <w:rFonts w:hint="eastAsia"/>
                <w:color w:val="auto"/>
                <w:spacing w:val="11"/>
                <w:highlight w:val="none"/>
                <w:lang w:val="en-US" w:eastAsia="zh-CN"/>
              </w:rPr>
              <w:t>15</w:t>
            </w:r>
            <w:r>
              <w:rPr>
                <w:color w:val="auto"/>
                <w:spacing w:val="11"/>
                <w:highlight w:val="none"/>
              </w:rPr>
              <w:t>分</w:t>
            </w:r>
            <w:r>
              <w:rPr>
                <w:color w:val="auto"/>
                <w:spacing w:val="13"/>
                <w:highlight w:val="none"/>
              </w:rPr>
              <w:t>）：</w:t>
            </w:r>
            <w:r>
              <w:rPr>
                <w:rFonts w:hint="eastAsia"/>
                <w:color w:val="auto"/>
                <w:spacing w:val="21"/>
                <w:highlight w:val="none"/>
                <w:lang w:val="en-US" w:eastAsia="zh-CN"/>
              </w:rPr>
              <w:t>质量保障措施、</w:t>
            </w:r>
            <w:r>
              <w:rPr>
                <w:color w:val="auto"/>
                <w:spacing w:val="11"/>
                <w:highlight w:val="none"/>
              </w:rPr>
              <w:t>进度计划安排详细合理，</w:t>
            </w:r>
            <w:r>
              <w:rPr>
                <w:rFonts w:hint="eastAsia"/>
                <w:color w:val="auto"/>
                <w:spacing w:val="11"/>
                <w:highlight w:val="none"/>
                <w:lang w:val="en-US" w:eastAsia="zh-CN"/>
              </w:rPr>
              <w:t>质量保障措施切实可行，</w:t>
            </w:r>
            <w:r>
              <w:rPr>
                <w:color w:val="auto"/>
                <w:spacing w:val="11"/>
                <w:highlight w:val="none"/>
              </w:rPr>
              <w:t>时间进度明确，进</w:t>
            </w:r>
            <w:r>
              <w:rPr>
                <w:color w:val="auto"/>
                <w:spacing w:val="10"/>
                <w:highlight w:val="none"/>
              </w:rPr>
              <w:t>度计划的</w:t>
            </w:r>
            <w:r>
              <w:rPr>
                <w:color w:val="auto"/>
                <w:spacing w:val="8"/>
                <w:highlight w:val="none"/>
              </w:rPr>
              <w:t>各项保证措施详尽周密，满足采购人按期完成规划的目标。有完整</w:t>
            </w:r>
            <w:r>
              <w:rPr>
                <w:color w:val="auto"/>
                <w:spacing w:val="7"/>
                <w:highlight w:val="none"/>
              </w:rPr>
              <w:t>的</w:t>
            </w:r>
            <w:r>
              <w:rPr>
                <w:rFonts w:hint="eastAsia"/>
                <w:color w:val="auto"/>
                <w:spacing w:val="7"/>
                <w:highlight w:val="none"/>
                <w:lang w:val="en-US" w:eastAsia="zh-CN"/>
              </w:rPr>
              <w:t>质量</w:t>
            </w:r>
            <w:r>
              <w:rPr>
                <w:color w:val="auto"/>
                <w:spacing w:val="7"/>
                <w:highlight w:val="none"/>
              </w:rPr>
              <w:t>标</w:t>
            </w:r>
            <w:r>
              <w:rPr>
                <w:color w:val="auto"/>
                <w:spacing w:val="8"/>
                <w:highlight w:val="none"/>
              </w:rPr>
              <w:t>准与</w:t>
            </w:r>
            <w:r>
              <w:rPr>
                <w:rFonts w:hint="eastAsia"/>
                <w:color w:val="auto"/>
                <w:spacing w:val="8"/>
                <w:highlight w:val="none"/>
                <w:lang w:val="en-US" w:eastAsia="zh-CN"/>
              </w:rPr>
              <w:t>进度</w:t>
            </w:r>
            <w:r>
              <w:rPr>
                <w:color w:val="auto"/>
                <w:spacing w:val="8"/>
                <w:highlight w:val="none"/>
              </w:rPr>
              <w:t>规划</w:t>
            </w:r>
            <w:r>
              <w:rPr>
                <w:rFonts w:hint="eastAsia"/>
                <w:color w:val="auto"/>
                <w:spacing w:val="8"/>
                <w:highlight w:val="none"/>
                <w:lang w:val="en-US" w:eastAsia="zh-CN"/>
              </w:rPr>
              <w:t>且</w:t>
            </w:r>
            <w:r>
              <w:rPr>
                <w:color w:val="auto"/>
                <w:spacing w:val="8"/>
                <w:highlight w:val="none"/>
              </w:rPr>
              <w:t>能有效落地与执行。</w:t>
            </w:r>
          </w:p>
        </w:tc>
        <w:tc>
          <w:tcPr>
            <w:tcW w:w="1038" w:type="dxa"/>
            <w:vAlign w:val="top"/>
          </w:tcPr>
          <w:p w14:paraId="08C58DC4">
            <w:pPr>
              <w:spacing w:line="240" w:lineRule="auto"/>
              <w:rPr>
                <w:rFonts w:ascii="Arial"/>
                <w:color w:val="auto"/>
                <w:sz w:val="21"/>
                <w:highlight w:val="none"/>
              </w:rPr>
            </w:pPr>
          </w:p>
          <w:p w14:paraId="0297C8F2">
            <w:pPr>
              <w:spacing w:line="240" w:lineRule="auto"/>
              <w:rPr>
                <w:rFonts w:ascii="Arial"/>
                <w:color w:val="auto"/>
                <w:sz w:val="21"/>
                <w:highlight w:val="none"/>
              </w:rPr>
            </w:pPr>
          </w:p>
          <w:p w14:paraId="34DAD4DF">
            <w:pPr>
              <w:spacing w:line="240" w:lineRule="auto"/>
              <w:rPr>
                <w:rFonts w:ascii="Arial"/>
                <w:color w:val="auto"/>
                <w:sz w:val="21"/>
                <w:highlight w:val="none"/>
              </w:rPr>
            </w:pPr>
          </w:p>
          <w:p w14:paraId="73146C58">
            <w:pPr>
              <w:spacing w:line="240" w:lineRule="auto"/>
              <w:rPr>
                <w:rFonts w:ascii="Arial"/>
                <w:color w:val="auto"/>
                <w:sz w:val="21"/>
                <w:highlight w:val="none"/>
              </w:rPr>
            </w:pPr>
          </w:p>
          <w:p w14:paraId="7901883C">
            <w:pPr>
              <w:spacing w:line="240" w:lineRule="auto"/>
              <w:rPr>
                <w:rFonts w:ascii="Arial"/>
                <w:color w:val="auto"/>
                <w:sz w:val="21"/>
                <w:highlight w:val="none"/>
              </w:rPr>
            </w:pPr>
          </w:p>
          <w:p w14:paraId="45FD449D">
            <w:pPr>
              <w:spacing w:line="240" w:lineRule="auto"/>
              <w:rPr>
                <w:rFonts w:ascii="Arial"/>
                <w:color w:val="auto"/>
                <w:sz w:val="21"/>
                <w:highlight w:val="none"/>
              </w:rPr>
            </w:pPr>
          </w:p>
          <w:p w14:paraId="430896DA">
            <w:pPr>
              <w:pStyle w:val="19"/>
              <w:spacing w:before="65" w:line="240" w:lineRule="auto"/>
              <w:ind w:left="302" w:leftChars="0"/>
              <w:rPr>
                <w:b/>
                <w:bCs/>
                <w:color w:val="auto"/>
                <w:spacing w:val="-6"/>
                <w:highlight w:val="none"/>
              </w:rPr>
            </w:pPr>
            <w:r>
              <w:rPr>
                <w:rFonts w:hint="eastAsia"/>
                <w:b/>
                <w:bCs/>
                <w:color w:val="auto"/>
                <w:spacing w:val="-6"/>
                <w:highlight w:val="none"/>
                <w:lang w:val="en-US" w:eastAsia="zh-CN"/>
              </w:rPr>
              <w:t>15</w:t>
            </w:r>
            <w:r>
              <w:rPr>
                <w:b/>
                <w:bCs/>
                <w:color w:val="auto"/>
                <w:spacing w:val="-6"/>
                <w:highlight w:val="none"/>
              </w:rPr>
              <w:t>分</w:t>
            </w:r>
          </w:p>
        </w:tc>
      </w:tr>
      <w:tr w14:paraId="389F0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612" w:type="dxa"/>
            <w:vAlign w:val="center"/>
          </w:tcPr>
          <w:p w14:paraId="7B7C75BE">
            <w:pPr>
              <w:pStyle w:val="19"/>
              <w:spacing w:before="65" w:line="240" w:lineRule="auto"/>
              <w:ind w:left="0" w:leftChars="0"/>
              <w:jc w:val="center"/>
              <w:rPr>
                <w:rFonts w:hint="eastAsia" w:eastAsia="宋体"/>
                <w:b/>
                <w:bCs/>
                <w:color w:val="auto"/>
                <w:spacing w:val="-1"/>
                <w:highlight w:val="none"/>
                <w:lang w:eastAsia="zh-CN"/>
              </w:rPr>
            </w:pPr>
            <w:r>
              <w:rPr>
                <w:b/>
                <w:bCs/>
                <w:color w:val="auto"/>
                <w:spacing w:val="-1"/>
                <w:highlight w:val="none"/>
              </w:rPr>
              <w:t>2.</w:t>
            </w:r>
            <w:r>
              <w:rPr>
                <w:rFonts w:hint="eastAsia"/>
                <w:b/>
                <w:bCs/>
                <w:color w:val="auto"/>
                <w:spacing w:val="-1"/>
                <w:highlight w:val="none"/>
                <w:lang w:val="en-US" w:eastAsia="zh-CN"/>
              </w:rPr>
              <w:t>4</w:t>
            </w:r>
          </w:p>
        </w:tc>
        <w:tc>
          <w:tcPr>
            <w:tcW w:w="904" w:type="dxa"/>
            <w:vAlign w:val="center"/>
          </w:tcPr>
          <w:p w14:paraId="43B02823">
            <w:pPr>
              <w:pStyle w:val="19"/>
              <w:spacing w:before="65" w:line="240" w:lineRule="auto"/>
              <w:ind w:left="0" w:leftChars="0" w:right="136" w:rightChars="0" w:firstLine="0" w:firstLineChars="0"/>
              <w:jc w:val="center"/>
              <w:rPr>
                <w:b/>
                <w:bCs/>
                <w:color w:val="auto"/>
                <w:spacing w:val="3"/>
                <w:highlight w:val="none"/>
              </w:rPr>
            </w:pPr>
            <w:r>
              <w:rPr>
                <w:b/>
                <w:bCs/>
                <w:color w:val="auto"/>
                <w:spacing w:val="5"/>
                <w:highlight w:val="none"/>
              </w:rPr>
              <w:t>服务承</w:t>
            </w:r>
            <w:r>
              <w:rPr>
                <w:b/>
                <w:bCs/>
                <w:color w:val="auto"/>
                <w:spacing w:val="-2"/>
                <w:highlight w:val="none"/>
              </w:rPr>
              <w:t>诺</w:t>
            </w:r>
          </w:p>
        </w:tc>
        <w:tc>
          <w:tcPr>
            <w:tcW w:w="7084" w:type="dxa"/>
            <w:vAlign w:val="top"/>
          </w:tcPr>
          <w:p w14:paraId="4D5C4FD5">
            <w:pPr>
              <w:pStyle w:val="19"/>
              <w:spacing w:before="184" w:line="240" w:lineRule="auto"/>
              <w:ind w:left="121" w:right="258" w:firstLine="408"/>
              <w:rPr>
                <w:color w:val="auto"/>
                <w:highlight w:val="none"/>
              </w:rPr>
            </w:pPr>
            <w:r>
              <w:rPr>
                <w:color w:val="auto"/>
                <w:spacing w:val="10"/>
                <w:highlight w:val="none"/>
              </w:rPr>
              <w:t>磋商小组在打分前根据响应文件中提供的项</w:t>
            </w:r>
            <w:r>
              <w:rPr>
                <w:color w:val="auto"/>
                <w:spacing w:val="9"/>
                <w:highlight w:val="none"/>
              </w:rPr>
              <w:t>目服务承诺确定各供应商响应情况，进行独立评审并进行评价打分，以下各项不重</w:t>
            </w:r>
            <w:r>
              <w:rPr>
                <w:color w:val="auto"/>
                <w:spacing w:val="8"/>
                <w:highlight w:val="none"/>
              </w:rPr>
              <w:t>复计分：</w:t>
            </w:r>
          </w:p>
          <w:p w14:paraId="524B0FD8">
            <w:pPr>
              <w:pStyle w:val="19"/>
              <w:spacing w:before="184" w:line="240" w:lineRule="auto"/>
              <w:ind w:left="125" w:right="104" w:firstLine="408"/>
              <w:rPr>
                <w:color w:val="auto"/>
                <w:spacing w:val="-1"/>
                <w:highlight w:val="none"/>
              </w:rPr>
            </w:pPr>
            <w:r>
              <w:rPr>
                <w:color w:val="auto"/>
                <w:spacing w:val="8"/>
                <w:highlight w:val="none"/>
              </w:rPr>
              <w:t>一档（1分</w:t>
            </w:r>
            <w:r>
              <w:rPr>
                <w:color w:val="auto"/>
                <w:spacing w:val="21"/>
                <w:highlight w:val="none"/>
              </w:rPr>
              <w:t>）：</w:t>
            </w:r>
            <w:r>
              <w:rPr>
                <w:color w:val="auto"/>
                <w:spacing w:val="8"/>
                <w:highlight w:val="none"/>
              </w:rPr>
              <w:t>能根据采购文件需求提供项目服务承诺，但服务承诺简</w:t>
            </w:r>
            <w:r>
              <w:rPr>
                <w:color w:val="auto"/>
                <w:spacing w:val="-1"/>
                <w:highlight w:val="none"/>
              </w:rPr>
              <w:t>单。</w:t>
            </w:r>
          </w:p>
          <w:p w14:paraId="6782CBDB">
            <w:pPr>
              <w:pStyle w:val="19"/>
              <w:spacing w:before="184" w:line="240" w:lineRule="auto"/>
              <w:ind w:left="125" w:right="104" w:firstLine="408"/>
              <w:rPr>
                <w:color w:val="auto"/>
                <w:highlight w:val="none"/>
              </w:rPr>
            </w:pPr>
            <w:r>
              <w:rPr>
                <w:color w:val="auto"/>
                <w:spacing w:val="8"/>
                <w:highlight w:val="none"/>
              </w:rPr>
              <w:t>二档（3分</w:t>
            </w:r>
            <w:r>
              <w:rPr>
                <w:color w:val="auto"/>
                <w:spacing w:val="21"/>
                <w:highlight w:val="none"/>
              </w:rPr>
              <w:t>）：</w:t>
            </w:r>
            <w:r>
              <w:rPr>
                <w:color w:val="auto"/>
                <w:spacing w:val="8"/>
                <w:highlight w:val="none"/>
              </w:rPr>
              <w:t>在一档的基础上，对服务措施描述仔细、针对本项目实际情况，提供有服务质量及成果完成时间承诺。</w:t>
            </w:r>
          </w:p>
          <w:p w14:paraId="4385E532">
            <w:pPr>
              <w:pStyle w:val="19"/>
              <w:spacing w:before="34" w:line="240" w:lineRule="auto"/>
              <w:ind w:left="112" w:leftChars="0" w:right="104" w:rightChars="0" w:firstLine="421" w:firstLineChars="0"/>
              <w:rPr>
                <w:color w:val="auto"/>
                <w:spacing w:val="11"/>
                <w:highlight w:val="none"/>
              </w:rPr>
            </w:pPr>
            <w:r>
              <w:rPr>
                <w:color w:val="auto"/>
                <w:spacing w:val="9"/>
                <w:highlight w:val="none"/>
              </w:rPr>
              <w:t>三档（5分</w:t>
            </w:r>
            <w:r>
              <w:rPr>
                <w:color w:val="auto"/>
                <w:spacing w:val="12"/>
                <w:highlight w:val="none"/>
              </w:rPr>
              <w:t>）：</w:t>
            </w:r>
            <w:r>
              <w:rPr>
                <w:color w:val="auto"/>
                <w:spacing w:val="9"/>
                <w:highlight w:val="none"/>
              </w:rPr>
              <w:t>在满足二档的基础上，针对项目实</w:t>
            </w:r>
            <w:r>
              <w:rPr>
                <w:color w:val="auto"/>
                <w:spacing w:val="8"/>
                <w:highlight w:val="none"/>
              </w:rPr>
              <w:t>际情况提出具体可操作的保证措施；同时包含有合理并且具有针对性的项目保障措施、保</w:t>
            </w:r>
            <w:r>
              <w:rPr>
                <w:color w:val="auto"/>
                <w:spacing w:val="7"/>
                <w:highlight w:val="none"/>
              </w:rPr>
              <w:t>密承诺书及廉洁承诺书等。</w:t>
            </w:r>
          </w:p>
        </w:tc>
        <w:tc>
          <w:tcPr>
            <w:tcW w:w="1038" w:type="dxa"/>
            <w:vAlign w:val="center"/>
          </w:tcPr>
          <w:p w14:paraId="19684D1D">
            <w:pPr>
              <w:pStyle w:val="19"/>
              <w:spacing w:before="65" w:line="240" w:lineRule="auto"/>
              <w:ind w:left="0" w:leftChars="0"/>
              <w:jc w:val="center"/>
              <w:rPr>
                <w:b/>
                <w:bCs/>
                <w:color w:val="auto"/>
                <w:spacing w:val="-6"/>
                <w:highlight w:val="none"/>
              </w:rPr>
            </w:pPr>
            <w:r>
              <w:rPr>
                <w:b/>
                <w:bCs/>
                <w:color w:val="auto"/>
                <w:spacing w:val="-7"/>
                <w:highlight w:val="none"/>
              </w:rPr>
              <w:t>5分</w:t>
            </w:r>
          </w:p>
        </w:tc>
      </w:tr>
      <w:tr w14:paraId="308E2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612" w:type="dxa"/>
            <w:vAlign w:val="center"/>
          </w:tcPr>
          <w:p w14:paraId="4D7EB2C6">
            <w:pPr>
              <w:pStyle w:val="19"/>
              <w:spacing w:before="65" w:line="240" w:lineRule="auto"/>
              <w:ind w:left="0" w:leftChars="0"/>
              <w:jc w:val="center"/>
              <w:rPr>
                <w:rFonts w:hint="default" w:eastAsia="宋体"/>
                <w:b/>
                <w:bCs/>
                <w:color w:val="auto"/>
                <w:spacing w:val="-1"/>
                <w:highlight w:val="none"/>
                <w:lang w:val="en-US" w:eastAsia="zh-CN"/>
              </w:rPr>
            </w:pPr>
            <w:r>
              <w:rPr>
                <w:rFonts w:hint="eastAsia"/>
                <w:b/>
                <w:bCs/>
                <w:color w:val="auto"/>
                <w:spacing w:val="-1"/>
                <w:highlight w:val="none"/>
                <w:lang w:val="en-US" w:eastAsia="zh-CN"/>
              </w:rPr>
              <w:t>2.5</w:t>
            </w:r>
          </w:p>
        </w:tc>
        <w:tc>
          <w:tcPr>
            <w:tcW w:w="904" w:type="dxa"/>
            <w:vAlign w:val="center"/>
          </w:tcPr>
          <w:p w14:paraId="3E36302A">
            <w:pPr>
              <w:pStyle w:val="19"/>
              <w:spacing w:before="65" w:line="240" w:lineRule="auto"/>
              <w:ind w:left="0" w:leftChars="0" w:right="136" w:rightChars="0" w:firstLine="0" w:firstLineChars="0"/>
              <w:jc w:val="center"/>
              <w:rPr>
                <w:rFonts w:hint="default" w:eastAsia="宋体"/>
                <w:b/>
                <w:bCs/>
                <w:color w:val="auto"/>
                <w:spacing w:val="5"/>
                <w:highlight w:val="none"/>
                <w:lang w:val="en-US" w:eastAsia="zh-CN"/>
              </w:rPr>
            </w:pPr>
            <w:r>
              <w:rPr>
                <w:rFonts w:hint="eastAsia"/>
                <w:b/>
                <w:bCs/>
                <w:color w:val="auto"/>
                <w:spacing w:val="5"/>
                <w:highlight w:val="none"/>
                <w:lang w:val="en-US" w:eastAsia="zh-CN"/>
              </w:rPr>
              <w:t>项目实施人员</w:t>
            </w:r>
          </w:p>
        </w:tc>
        <w:tc>
          <w:tcPr>
            <w:tcW w:w="7084" w:type="dxa"/>
            <w:vAlign w:val="top"/>
          </w:tcPr>
          <w:p w14:paraId="4F75DFC3">
            <w:pPr>
              <w:pStyle w:val="19"/>
              <w:spacing w:before="28" w:line="240" w:lineRule="auto"/>
              <w:ind w:left="114" w:leftChars="0" w:right="104" w:rightChars="0" w:firstLine="416" w:firstLineChars="0"/>
              <w:rPr>
                <w:rFonts w:hint="eastAsia"/>
                <w:b w:val="0"/>
                <w:bCs w:val="0"/>
                <w:color w:val="auto"/>
                <w:spacing w:val="7"/>
                <w:highlight w:val="none"/>
              </w:rPr>
            </w:pPr>
            <w:r>
              <w:rPr>
                <w:rFonts w:hint="eastAsia"/>
                <w:b w:val="0"/>
                <w:bCs w:val="0"/>
                <w:color w:val="auto"/>
                <w:spacing w:val="7"/>
                <w:highlight w:val="none"/>
              </w:rPr>
              <w:t>1.投入本项目的项目负责人：具有正高级职称（林业/林学/生态学等</w:t>
            </w:r>
            <w:r>
              <w:rPr>
                <w:rFonts w:hint="eastAsia"/>
                <w:b w:val="0"/>
                <w:bCs w:val="0"/>
                <w:color w:val="auto"/>
                <w:spacing w:val="7"/>
                <w:highlight w:val="none"/>
                <w:lang w:val="en-US" w:eastAsia="zh-CN"/>
              </w:rPr>
              <w:t>相关领域</w:t>
            </w:r>
            <w:r>
              <w:rPr>
                <w:rFonts w:hint="eastAsia"/>
                <w:b w:val="0"/>
                <w:bCs w:val="0"/>
                <w:color w:val="auto"/>
                <w:spacing w:val="7"/>
                <w:highlight w:val="none"/>
              </w:rPr>
              <w:t>专业）的得3分，副高级职称得2分；满分3分（不重复计分，同时具有多个职称的以最高职称计分）。</w:t>
            </w:r>
          </w:p>
          <w:p w14:paraId="68229A8D">
            <w:pPr>
              <w:pStyle w:val="19"/>
              <w:spacing w:before="28" w:line="240" w:lineRule="auto"/>
              <w:ind w:left="114" w:leftChars="0" w:right="104" w:rightChars="0" w:firstLine="416" w:firstLineChars="0"/>
              <w:rPr>
                <w:rFonts w:hint="eastAsia"/>
                <w:b w:val="0"/>
                <w:bCs w:val="0"/>
                <w:color w:val="auto"/>
                <w:spacing w:val="7"/>
                <w:highlight w:val="none"/>
              </w:rPr>
            </w:pPr>
            <w:r>
              <w:rPr>
                <w:rFonts w:hint="eastAsia"/>
                <w:b w:val="0"/>
                <w:bCs w:val="0"/>
                <w:color w:val="auto"/>
                <w:spacing w:val="7"/>
                <w:highlight w:val="none"/>
              </w:rPr>
              <w:t>2.项目团队（不含项目负责人）：每有1名副高级或以上职称（林业/林学/生态学等</w:t>
            </w:r>
            <w:r>
              <w:rPr>
                <w:rFonts w:hint="eastAsia"/>
                <w:b w:val="0"/>
                <w:bCs w:val="0"/>
                <w:color w:val="auto"/>
                <w:spacing w:val="7"/>
                <w:highlight w:val="none"/>
                <w:lang w:val="en-US" w:eastAsia="zh-CN"/>
              </w:rPr>
              <w:t>相关领域</w:t>
            </w:r>
            <w:r>
              <w:rPr>
                <w:rFonts w:hint="eastAsia"/>
                <w:b w:val="0"/>
                <w:bCs w:val="0"/>
                <w:color w:val="auto"/>
                <w:spacing w:val="7"/>
                <w:highlight w:val="none"/>
              </w:rPr>
              <w:t>专业）得2分，中级职称得1分，满分12分。</w:t>
            </w:r>
          </w:p>
          <w:p w14:paraId="3BDFCA76">
            <w:pPr>
              <w:rPr>
                <w:color w:val="auto"/>
                <w:highlight w:val="none"/>
              </w:rPr>
            </w:pPr>
            <w:r>
              <w:rPr>
                <w:rFonts w:hint="eastAsia"/>
                <w:b w:val="0"/>
                <w:bCs w:val="0"/>
                <w:color w:val="auto"/>
                <w:spacing w:val="7"/>
                <w:highlight w:val="none"/>
                <w:lang w:val="en-US" w:eastAsia="zh-CN"/>
              </w:rPr>
              <w:t>注：</w:t>
            </w:r>
            <w:r>
              <w:rPr>
                <w:rFonts w:hint="eastAsia"/>
                <w:b w:val="0"/>
                <w:bCs w:val="0"/>
                <w:color w:val="auto"/>
                <w:spacing w:val="7"/>
                <w:highlight w:val="none"/>
              </w:rPr>
              <w:t>提供相关</w:t>
            </w:r>
            <w:r>
              <w:rPr>
                <w:rFonts w:hint="eastAsia"/>
                <w:b w:val="0"/>
                <w:bCs w:val="0"/>
                <w:color w:val="auto"/>
                <w:spacing w:val="7"/>
                <w:highlight w:val="none"/>
                <w:lang w:val="en-US" w:eastAsia="zh-CN"/>
              </w:rPr>
              <w:t>人员的</w:t>
            </w:r>
            <w:r>
              <w:rPr>
                <w:rFonts w:hint="eastAsia"/>
                <w:b w:val="0"/>
                <w:bCs w:val="0"/>
                <w:color w:val="auto"/>
                <w:spacing w:val="7"/>
                <w:highlight w:val="none"/>
                <w:lang w:eastAsia="zh-CN"/>
              </w:rPr>
              <w:t>职称证</w:t>
            </w:r>
            <w:r>
              <w:rPr>
                <w:rFonts w:hint="eastAsia"/>
                <w:b w:val="0"/>
                <w:bCs w:val="0"/>
                <w:color w:val="auto"/>
                <w:spacing w:val="7"/>
                <w:highlight w:val="none"/>
              </w:rPr>
              <w:t>等</w:t>
            </w:r>
            <w:r>
              <w:rPr>
                <w:rFonts w:hint="eastAsia"/>
                <w:b w:val="0"/>
                <w:bCs w:val="0"/>
                <w:color w:val="auto"/>
                <w:spacing w:val="7"/>
                <w:highlight w:val="none"/>
                <w:lang w:val="en-US" w:eastAsia="zh-CN"/>
              </w:rPr>
              <w:t>证明材料</w:t>
            </w:r>
            <w:r>
              <w:rPr>
                <w:rFonts w:hint="eastAsia"/>
                <w:b w:val="0"/>
                <w:bCs w:val="0"/>
                <w:color w:val="auto"/>
                <w:spacing w:val="7"/>
                <w:highlight w:val="none"/>
              </w:rPr>
              <w:t>复印件</w:t>
            </w:r>
            <w:r>
              <w:rPr>
                <w:rFonts w:hint="eastAsia"/>
                <w:b w:val="0"/>
                <w:bCs w:val="0"/>
                <w:color w:val="auto"/>
                <w:spacing w:val="7"/>
                <w:highlight w:val="none"/>
                <w:lang w:val="en-US" w:eastAsia="zh-CN"/>
              </w:rPr>
              <w:t>并加盖公章</w:t>
            </w:r>
            <w:r>
              <w:rPr>
                <w:rFonts w:hint="eastAsia"/>
                <w:b w:val="0"/>
                <w:bCs w:val="0"/>
                <w:color w:val="auto"/>
                <w:spacing w:val="7"/>
                <w:highlight w:val="none"/>
              </w:rPr>
              <w:t>，否则不得分</w:t>
            </w:r>
            <w:r>
              <w:rPr>
                <w:rFonts w:hint="eastAsia"/>
                <w:b w:val="0"/>
                <w:bCs w:val="0"/>
                <w:color w:val="auto"/>
                <w:spacing w:val="7"/>
                <w:highlight w:val="none"/>
                <w:lang w:eastAsia="zh-CN"/>
              </w:rPr>
              <w:t>，以上人员不重复计分</w:t>
            </w:r>
            <w:r>
              <w:rPr>
                <w:rFonts w:hint="eastAsia"/>
                <w:b w:val="0"/>
                <w:bCs w:val="0"/>
                <w:color w:val="auto"/>
                <w:spacing w:val="7"/>
                <w:highlight w:val="none"/>
              </w:rPr>
              <w:t>。</w:t>
            </w:r>
          </w:p>
          <w:p w14:paraId="51096970">
            <w:pPr>
              <w:pStyle w:val="19"/>
              <w:spacing w:before="34" w:line="240" w:lineRule="auto"/>
              <w:ind w:left="0" w:leftChars="0" w:right="104" w:rightChars="0" w:firstLine="0" w:firstLineChars="0"/>
              <w:rPr>
                <w:color w:val="auto"/>
                <w:spacing w:val="9"/>
                <w:highlight w:val="none"/>
              </w:rPr>
            </w:pPr>
          </w:p>
        </w:tc>
        <w:tc>
          <w:tcPr>
            <w:tcW w:w="1038" w:type="dxa"/>
            <w:vAlign w:val="center"/>
          </w:tcPr>
          <w:p w14:paraId="732C8BEC">
            <w:pPr>
              <w:pStyle w:val="19"/>
              <w:spacing w:before="65" w:line="240" w:lineRule="auto"/>
              <w:ind w:left="0" w:leftChars="0"/>
              <w:jc w:val="center"/>
              <w:rPr>
                <w:b/>
                <w:bCs/>
                <w:color w:val="auto"/>
                <w:spacing w:val="-7"/>
                <w:highlight w:val="none"/>
              </w:rPr>
            </w:pPr>
            <w:r>
              <w:rPr>
                <w:rFonts w:hint="eastAsia"/>
                <w:b/>
                <w:bCs/>
                <w:color w:val="auto"/>
                <w:spacing w:val="-6"/>
                <w:highlight w:val="none"/>
                <w:lang w:val="en-US" w:eastAsia="zh-CN"/>
              </w:rPr>
              <w:t>15</w:t>
            </w:r>
            <w:r>
              <w:rPr>
                <w:b/>
                <w:bCs/>
                <w:color w:val="auto"/>
                <w:spacing w:val="-6"/>
                <w:highlight w:val="none"/>
              </w:rPr>
              <w:t>分</w:t>
            </w:r>
          </w:p>
        </w:tc>
      </w:tr>
      <w:tr w14:paraId="27C35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612" w:type="dxa"/>
            <w:vAlign w:val="top"/>
          </w:tcPr>
          <w:p w14:paraId="68C264B0">
            <w:pPr>
              <w:pStyle w:val="19"/>
              <w:spacing w:before="180" w:line="240" w:lineRule="auto"/>
              <w:ind w:left="263" w:leftChars="0"/>
              <w:rPr>
                <w:b/>
                <w:bCs/>
                <w:color w:val="auto"/>
                <w:spacing w:val="-1"/>
                <w:highlight w:val="none"/>
              </w:rPr>
            </w:pPr>
            <w:r>
              <w:rPr>
                <w:b/>
                <w:bCs/>
                <w:color w:val="auto"/>
                <w:spacing w:val="-3"/>
                <w:highlight w:val="none"/>
              </w:rPr>
              <w:t>3</w:t>
            </w:r>
          </w:p>
        </w:tc>
        <w:tc>
          <w:tcPr>
            <w:tcW w:w="904" w:type="dxa"/>
            <w:vAlign w:val="top"/>
          </w:tcPr>
          <w:p w14:paraId="2E9C7735">
            <w:pPr>
              <w:pStyle w:val="19"/>
              <w:spacing w:before="146" w:line="240" w:lineRule="auto"/>
              <w:ind w:left="143" w:leftChars="0"/>
              <w:rPr>
                <w:rFonts w:hint="eastAsia" w:eastAsia="宋体"/>
                <w:b/>
                <w:bCs/>
                <w:color w:val="auto"/>
                <w:spacing w:val="5"/>
                <w:highlight w:val="none"/>
                <w:lang w:eastAsia="zh-CN"/>
              </w:rPr>
            </w:pPr>
            <w:r>
              <w:rPr>
                <w:b/>
                <w:bCs/>
                <w:color w:val="auto"/>
                <w:spacing w:val="4"/>
                <w:highlight w:val="none"/>
              </w:rPr>
              <w:t>商务分</w:t>
            </w:r>
            <w:r>
              <w:rPr>
                <w:rFonts w:hint="eastAsia"/>
                <w:b/>
                <w:bCs/>
                <w:color w:val="auto"/>
                <w:spacing w:val="4"/>
                <w:highlight w:val="none"/>
                <w:lang w:eastAsia="zh-CN"/>
              </w:rPr>
              <w:t>（</w:t>
            </w:r>
            <w:r>
              <w:rPr>
                <w:rFonts w:hint="eastAsia"/>
                <w:b/>
                <w:bCs/>
                <w:color w:val="auto"/>
                <w:spacing w:val="4"/>
                <w:highlight w:val="none"/>
                <w:lang w:val="en-US" w:eastAsia="zh-CN"/>
              </w:rPr>
              <w:t>12分</w:t>
            </w:r>
            <w:r>
              <w:rPr>
                <w:rFonts w:hint="eastAsia"/>
                <w:b/>
                <w:bCs/>
                <w:color w:val="auto"/>
                <w:spacing w:val="4"/>
                <w:highlight w:val="none"/>
                <w:lang w:eastAsia="zh-CN"/>
              </w:rPr>
              <w:t>）</w:t>
            </w:r>
          </w:p>
        </w:tc>
        <w:tc>
          <w:tcPr>
            <w:tcW w:w="8122" w:type="dxa"/>
            <w:gridSpan w:val="2"/>
            <w:vAlign w:val="center"/>
          </w:tcPr>
          <w:p w14:paraId="6FA66DE0">
            <w:pPr>
              <w:pStyle w:val="19"/>
              <w:spacing w:before="146" w:line="240" w:lineRule="auto"/>
              <w:ind w:left="3643" w:leftChars="0"/>
              <w:rPr>
                <w:b/>
                <w:bCs/>
                <w:color w:val="auto"/>
                <w:spacing w:val="-7"/>
                <w:highlight w:val="none"/>
              </w:rPr>
            </w:pPr>
            <w:r>
              <w:rPr>
                <w:b/>
                <w:bCs/>
                <w:color w:val="auto"/>
                <w:spacing w:val="6"/>
                <w:highlight w:val="none"/>
              </w:rPr>
              <w:t>评审因素</w:t>
            </w:r>
          </w:p>
        </w:tc>
      </w:tr>
      <w:tr w14:paraId="3AC70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612" w:type="dxa"/>
            <w:vAlign w:val="center"/>
          </w:tcPr>
          <w:p w14:paraId="5D7711EC">
            <w:pPr>
              <w:pStyle w:val="19"/>
              <w:spacing w:before="65" w:line="240" w:lineRule="auto"/>
              <w:ind w:left="0" w:leftChars="0"/>
              <w:jc w:val="center"/>
              <w:rPr>
                <w:b/>
                <w:bCs/>
                <w:color w:val="auto"/>
                <w:spacing w:val="-1"/>
                <w:highlight w:val="none"/>
              </w:rPr>
            </w:pPr>
            <w:r>
              <w:rPr>
                <w:b/>
                <w:bCs/>
                <w:color w:val="auto"/>
                <w:spacing w:val="-1"/>
                <w:highlight w:val="none"/>
              </w:rPr>
              <w:t>3.</w:t>
            </w:r>
            <w:r>
              <w:rPr>
                <w:rFonts w:hint="eastAsia"/>
                <w:b/>
                <w:bCs/>
                <w:color w:val="auto"/>
                <w:spacing w:val="-1"/>
                <w:highlight w:val="none"/>
                <w:lang w:val="en-US" w:eastAsia="zh-CN"/>
              </w:rPr>
              <w:t>1</w:t>
            </w:r>
          </w:p>
        </w:tc>
        <w:tc>
          <w:tcPr>
            <w:tcW w:w="904" w:type="dxa"/>
            <w:vAlign w:val="center"/>
          </w:tcPr>
          <w:p w14:paraId="3296A356">
            <w:pPr>
              <w:pStyle w:val="19"/>
              <w:spacing w:before="65" w:line="240" w:lineRule="auto"/>
              <w:ind w:left="0" w:leftChars="0"/>
              <w:jc w:val="center"/>
              <w:rPr>
                <w:b/>
                <w:bCs/>
                <w:color w:val="auto"/>
                <w:spacing w:val="4"/>
                <w:highlight w:val="none"/>
              </w:rPr>
            </w:pPr>
            <w:r>
              <w:rPr>
                <w:b/>
                <w:bCs/>
                <w:color w:val="auto"/>
                <w:spacing w:val="5"/>
                <w:highlight w:val="none"/>
              </w:rPr>
              <w:t>业绩分</w:t>
            </w:r>
          </w:p>
        </w:tc>
        <w:tc>
          <w:tcPr>
            <w:tcW w:w="7084" w:type="dxa"/>
            <w:vAlign w:val="top"/>
          </w:tcPr>
          <w:p w14:paraId="19D527F8">
            <w:pPr>
              <w:pStyle w:val="19"/>
              <w:spacing w:before="116" w:line="240" w:lineRule="auto"/>
              <w:ind w:left="0" w:firstLine="416" w:firstLineChars="200"/>
              <w:rPr>
                <w:color w:val="auto"/>
                <w:highlight w:val="none"/>
              </w:rPr>
            </w:pPr>
            <w:r>
              <w:rPr>
                <w:color w:val="auto"/>
                <w:spacing w:val="4"/>
                <w:highlight w:val="none"/>
              </w:rPr>
              <w:t>供应商自202</w:t>
            </w:r>
            <w:r>
              <w:rPr>
                <w:rFonts w:hint="eastAsia"/>
                <w:color w:val="auto"/>
                <w:spacing w:val="4"/>
                <w:highlight w:val="none"/>
                <w:lang w:val="en-US" w:eastAsia="zh-CN"/>
              </w:rPr>
              <w:t>0</w:t>
            </w:r>
            <w:r>
              <w:rPr>
                <w:color w:val="auto"/>
                <w:spacing w:val="4"/>
                <w:highlight w:val="none"/>
              </w:rPr>
              <w:t>年1月1日以来承接或完成过类似项目业绩的，每提供</w:t>
            </w:r>
            <w:r>
              <w:rPr>
                <w:color w:val="auto"/>
                <w:spacing w:val="-1"/>
                <w:highlight w:val="none"/>
              </w:rPr>
              <w:t>1个得</w:t>
            </w:r>
            <w:r>
              <w:rPr>
                <w:rFonts w:hint="eastAsia"/>
                <w:color w:val="auto"/>
                <w:spacing w:val="-1"/>
                <w:highlight w:val="none"/>
                <w:lang w:val="en-US" w:eastAsia="zh-CN"/>
              </w:rPr>
              <w:t>4</w:t>
            </w:r>
            <w:r>
              <w:rPr>
                <w:color w:val="auto"/>
                <w:spacing w:val="-1"/>
                <w:highlight w:val="none"/>
              </w:rPr>
              <w:t>分，满分</w:t>
            </w:r>
            <w:r>
              <w:rPr>
                <w:rFonts w:hint="eastAsia"/>
                <w:color w:val="auto"/>
                <w:spacing w:val="-22"/>
                <w:highlight w:val="none"/>
                <w:lang w:val="en-US" w:eastAsia="zh-CN"/>
              </w:rPr>
              <w:t>12</w:t>
            </w:r>
            <w:r>
              <w:rPr>
                <w:color w:val="auto"/>
                <w:spacing w:val="-1"/>
                <w:highlight w:val="none"/>
              </w:rPr>
              <w:t>分。</w:t>
            </w:r>
          </w:p>
          <w:p w14:paraId="1979730B">
            <w:pPr>
              <w:pStyle w:val="19"/>
              <w:spacing w:before="149" w:line="240" w:lineRule="auto"/>
              <w:ind w:left="117" w:leftChars="0" w:right="104" w:rightChars="0" w:firstLine="413" w:firstLineChars="0"/>
              <w:rPr>
                <w:b/>
                <w:bCs/>
                <w:color w:val="auto"/>
                <w:spacing w:val="6"/>
                <w:highlight w:val="none"/>
              </w:rPr>
            </w:pPr>
            <w:r>
              <w:rPr>
                <w:b/>
                <w:bCs/>
                <w:color w:val="auto"/>
                <w:spacing w:val="9"/>
                <w:highlight w:val="none"/>
              </w:rPr>
              <w:t>注：业绩证明材料以中标/成交通知书或合同原件扫描件为准，</w:t>
            </w:r>
            <w:r>
              <w:rPr>
                <w:b/>
                <w:bCs/>
                <w:color w:val="auto"/>
                <w:spacing w:val="8"/>
                <w:highlight w:val="none"/>
              </w:rPr>
              <w:t>否则不</w:t>
            </w:r>
            <w:r>
              <w:rPr>
                <w:b/>
                <w:bCs/>
                <w:color w:val="auto"/>
                <w:spacing w:val="2"/>
                <w:highlight w:val="none"/>
              </w:rPr>
              <w:t>予计分。</w:t>
            </w:r>
          </w:p>
        </w:tc>
        <w:tc>
          <w:tcPr>
            <w:tcW w:w="1038" w:type="dxa"/>
            <w:vAlign w:val="center"/>
          </w:tcPr>
          <w:p w14:paraId="029920DF">
            <w:pPr>
              <w:pStyle w:val="19"/>
              <w:spacing w:before="149" w:line="240" w:lineRule="auto"/>
              <w:ind w:left="0" w:leftChars="0" w:right="104" w:rightChars="0" w:firstLine="0" w:firstLineChars="0"/>
              <w:jc w:val="center"/>
              <w:rPr>
                <w:b/>
                <w:bCs/>
                <w:color w:val="auto"/>
                <w:spacing w:val="9"/>
                <w:highlight w:val="none"/>
              </w:rPr>
            </w:pPr>
            <w:r>
              <w:rPr>
                <w:rFonts w:hint="eastAsia"/>
                <w:b/>
                <w:bCs/>
                <w:color w:val="auto"/>
                <w:spacing w:val="-7"/>
                <w:highlight w:val="none"/>
                <w:lang w:val="en-US" w:eastAsia="zh-CN"/>
              </w:rPr>
              <w:t>12</w:t>
            </w:r>
            <w:r>
              <w:rPr>
                <w:b/>
                <w:bCs/>
                <w:color w:val="auto"/>
                <w:spacing w:val="-7"/>
                <w:highlight w:val="none"/>
              </w:rPr>
              <w:t>分</w:t>
            </w:r>
          </w:p>
        </w:tc>
      </w:tr>
      <w:tr w14:paraId="4D935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9638" w:type="dxa"/>
            <w:gridSpan w:val="4"/>
            <w:vAlign w:val="top"/>
          </w:tcPr>
          <w:p w14:paraId="74ECEC83">
            <w:pPr>
              <w:pStyle w:val="19"/>
              <w:spacing w:before="149" w:line="240" w:lineRule="auto"/>
              <w:ind w:left="117" w:leftChars="0" w:right="104" w:rightChars="0" w:firstLine="413" w:firstLineChars="0"/>
              <w:rPr>
                <w:b/>
                <w:bCs/>
                <w:color w:val="auto"/>
                <w:spacing w:val="9"/>
                <w:highlight w:val="none"/>
              </w:rPr>
            </w:pPr>
            <w:r>
              <w:rPr>
                <w:color w:val="auto"/>
                <w:spacing w:val="5"/>
                <w:highlight w:val="none"/>
              </w:rPr>
              <w:t>总得分＝1+2+3</w:t>
            </w:r>
          </w:p>
        </w:tc>
      </w:tr>
    </w:tbl>
    <w:p w14:paraId="5E515112">
      <w:pPr>
        <w:pStyle w:val="4"/>
        <w:spacing w:line="163" w:lineRule="exact"/>
        <w:rPr>
          <w:color w:val="auto"/>
          <w:sz w:val="14"/>
          <w:highlight w:val="none"/>
        </w:rPr>
      </w:pPr>
    </w:p>
    <w:p w14:paraId="5DA3655A">
      <w:pPr>
        <w:pStyle w:val="4"/>
        <w:spacing w:line="176" w:lineRule="exact"/>
        <w:rPr>
          <w:color w:val="auto"/>
          <w:sz w:val="15"/>
          <w:highlight w:val="none"/>
        </w:rPr>
      </w:pPr>
    </w:p>
    <w:p w14:paraId="794DE425">
      <w:pPr>
        <w:spacing w:before="139" w:line="227" w:lineRule="auto"/>
        <w:ind w:left="429"/>
        <w:outlineLvl w:val="1"/>
        <w:rPr>
          <w:rFonts w:ascii="宋体" w:hAnsi="宋体" w:eastAsia="宋体" w:cs="宋体"/>
          <w:color w:val="auto"/>
          <w:sz w:val="20"/>
          <w:szCs w:val="20"/>
          <w:highlight w:val="none"/>
        </w:rPr>
      </w:pPr>
      <w:bookmarkStart w:id="48" w:name="_Toc6723"/>
      <w:bookmarkStart w:id="49" w:name="_Toc27330"/>
      <w:r>
        <w:rPr>
          <w:rFonts w:ascii="宋体" w:hAnsi="宋体" w:eastAsia="宋体" w:cs="宋体"/>
          <w:b/>
          <w:bCs/>
          <w:color w:val="auto"/>
          <w:spacing w:val="7"/>
          <w:sz w:val="20"/>
          <w:szCs w:val="20"/>
          <w:highlight w:val="none"/>
        </w:rPr>
        <w:t>三、成交候选人推荐原则</w:t>
      </w:r>
      <w:bookmarkEnd w:id="48"/>
      <w:bookmarkEnd w:id="49"/>
    </w:p>
    <w:p w14:paraId="06C25507">
      <w:pPr>
        <w:spacing w:before="157" w:line="363" w:lineRule="auto"/>
        <w:ind w:left="8" w:right="3" w:firstLine="423"/>
        <w:jc w:val="both"/>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28.由磋商小组根据综合评分情况，按照评审得</w:t>
      </w:r>
      <w:r>
        <w:rPr>
          <w:rFonts w:ascii="宋体" w:hAnsi="宋体" w:eastAsia="宋体" w:cs="宋体"/>
          <w:color w:val="auto"/>
          <w:spacing w:val="10"/>
          <w:sz w:val="20"/>
          <w:szCs w:val="20"/>
          <w:highlight w:val="none"/>
        </w:rPr>
        <w:t>分由高到低顺序推荐3名以上成交候选供应商，并编写评审报告。符合本章第16条情形的，可以推荐2家成交候选供应商。评审得分相同的</w:t>
      </w:r>
      <w:r>
        <w:rPr>
          <w:rFonts w:ascii="宋体" w:hAnsi="宋体" w:eastAsia="宋体" w:cs="宋体"/>
          <w:color w:val="auto"/>
          <w:spacing w:val="9"/>
          <w:sz w:val="20"/>
          <w:szCs w:val="20"/>
          <w:highlight w:val="none"/>
        </w:rPr>
        <w:t>，按照最后报价由低到高的顺序推荐。评审得分且最后报价相同的，按照技术指标优劣顺序推荐（按技术得分由高到低排序，技术得分相同的按照技术需求偏离分由高到低排序）。评审得分、最后报价、技术得分、技术需求偏</w:t>
      </w:r>
      <w:r>
        <w:rPr>
          <w:rFonts w:ascii="宋体" w:hAnsi="宋体" w:eastAsia="宋体" w:cs="宋体"/>
          <w:color w:val="auto"/>
          <w:spacing w:val="8"/>
          <w:sz w:val="20"/>
          <w:szCs w:val="20"/>
          <w:highlight w:val="none"/>
        </w:rPr>
        <w:t>离分均相同的，由磋商小组随机抽取推荐。</w:t>
      </w:r>
    </w:p>
    <w:p w14:paraId="07554248">
      <w:pPr>
        <w:spacing w:line="363" w:lineRule="auto"/>
        <w:rPr>
          <w:rFonts w:ascii="宋体" w:hAnsi="宋体" w:eastAsia="宋体" w:cs="宋体"/>
          <w:color w:val="auto"/>
          <w:sz w:val="20"/>
          <w:szCs w:val="20"/>
          <w:highlight w:val="none"/>
        </w:rPr>
        <w:sectPr>
          <w:footerReference r:id="rId25" w:type="default"/>
          <w:pgSz w:w="11906" w:h="16839"/>
          <w:pgMar w:top="1160" w:right="1131" w:bottom="1362" w:left="1131" w:header="0" w:footer="1200" w:gutter="0"/>
          <w:pgNumType w:fmt="decimal"/>
          <w:cols w:space="720" w:num="1"/>
        </w:sectPr>
      </w:pPr>
    </w:p>
    <w:p w14:paraId="5EA047D6">
      <w:pPr>
        <w:pStyle w:val="4"/>
        <w:spacing w:line="331" w:lineRule="auto"/>
        <w:rPr>
          <w:color w:val="auto"/>
          <w:highlight w:val="none"/>
        </w:rPr>
      </w:pPr>
    </w:p>
    <w:p w14:paraId="60F997CF">
      <w:pPr>
        <w:pStyle w:val="4"/>
        <w:spacing w:line="331" w:lineRule="auto"/>
        <w:rPr>
          <w:color w:val="auto"/>
          <w:highlight w:val="none"/>
        </w:rPr>
      </w:pPr>
    </w:p>
    <w:p w14:paraId="7B388F79">
      <w:pPr>
        <w:spacing w:before="101" w:line="224" w:lineRule="auto"/>
        <w:ind w:left="3290"/>
        <w:outlineLvl w:val="0"/>
        <w:rPr>
          <w:rFonts w:ascii="宋体" w:hAnsi="宋体" w:eastAsia="宋体" w:cs="宋体"/>
          <w:color w:val="auto"/>
          <w:sz w:val="31"/>
          <w:szCs w:val="31"/>
          <w:highlight w:val="none"/>
        </w:rPr>
      </w:pPr>
      <w:bookmarkStart w:id="50" w:name="bookmark9"/>
      <w:bookmarkEnd w:id="50"/>
      <w:bookmarkStart w:id="51" w:name="bookmark10"/>
      <w:bookmarkEnd w:id="51"/>
      <w:bookmarkStart w:id="52" w:name="_Toc21776"/>
      <w:bookmarkStart w:id="53" w:name="_Toc8864"/>
      <w:r>
        <w:rPr>
          <w:rFonts w:ascii="宋体" w:hAnsi="宋体" w:eastAsia="宋体" w:cs="宋体"/>
          <w:b/>
          <w:bCs/>
          <w:color w:val="auto"/>
          <w:spacing w:val="2"/>
          <w:sz w:val="31"/>
          <w:szCs w:val="31"/>
          <w:highlight w:val="none"/>
        </w:rPr>
        <w:t>第五章</w:t>
      </w:r>
      <w:r>
        <w:rPr>
          <w:rFonts w:ascii="宋体" w:hAnsi="宋体" w:eastAsia="宋体" w:cs="宋体"/>
          <w:color w:val="auto"/>
          <w:spacing w:val="42"/>
          <w:sz w:val="31"/>
          <w:szCs w:val="31"/>
          <w:highlight w:val="none"/>
        </w:rPr>
        <w:t xml:space="preserve"> </w:t>
      </w:r>
      <w:r>
        <w:rPr>
          <w:rFonts w:ascii="宋体" w:hAnsi="宋体" w:eastAsia="宋体" w:cs="宋体"/>
          <w:b/>
          <w:bCs/>
          <w:color w:val="auto"/>
          <w:spacing w:val="2"/>
          <w:sz w:val="31"/>
          <w:szCs w:val="31"/>
          <w:highlight w:val="none"/>
        </w:rPr>
        <w:t>响应文件格式</w:t>
      </w:r>
      <w:bookmarkEnd w:id="52"/>
      <w:bookmarkEnd w:id="53"/>
    </w:p>
    <w:p w14:paraId="0F22BF33">
      <w:pPr>
        <w:pStyle w:val="4"/>
        <w:spacing w:line="277" w:lineRule="auto"/>
        <w:rPr>
          <w:color w:val="auto"/>
          <w:highlight w:val="none"/>
        </w:rPr>
      </w:pPr>
    </w:p>
    <w:p w14:paraId="16CA8DBB">
      <w:pPr>
        <w:pStyle w:val="4"/>
        <w:spacing w:line="277" w:lineRule="auto"/>
        <w:rPr>
          <w:color w:val="auto"/>
          <w:highlight w:val="none"/>
        </w:rPr>
      </w:pPr>
    </w:p>
    <w:p w14:paraId="125B6378">
      <w:pPr>
        <w:pStyle w:val="4"/>
        <w:spacing w:line="278" w:lineRule="auto"/>
        <w:rPr>
          <w:color w:val="auto"/>
          <w:highlight w:val="none"/>
        </w:rPr>
      </w:pPr>
    </w:p>
    <w:p w14:paraId="2A4C7A1C">
      <w:pPr>
        <w:spacing w:before="101" w:line="225" w:lineRule="auto"/>
        <w:outlineLvl w:val="1"/>
        <w:rPr>
          <w:rFonts w:ascii="宋体" w:hAnsi="宋体" w:eastAsia="宋体" w:cs="宋体"/>
          <w:color w:val="auto"/>
          <w:sz w:val="31"/>
          <w:szCs w:val="31"/>
          <w:highlight w:val="none"/>
        </w:rPr>
      </w:pPr>
      <w:bookmarkStart w:id="54" w:name="_Toc27547"/>
      <w:bookmarkStart w:id="55" w:name="_Toc29423"/>
      <w:r>
        <w:rPr>
          <w:rFonts w:ascii="宋体" w:hAnsi="宋体" w:eastAsia="宋体" w:cs="宋体"/>
          <w:b/>
          <w:bCs/>
          <w:color w:val="auto"/>
          <w:spacing w:val="6"/>
          <w:sz w:val="31"/>
          <w:szCs w:val="31"/>
          <w:highlight w:val="none"/>
        </w:rPr>
        <w:t>一、资格证明文件格式</w:t>
      </w:r>
      <w:bookmarkEnd w:id="54"/>
      <w:bookmarkEnd w:id="55"/>
    </w:p>
    <w:p w14:paraId="2CA74767">
      <w:pPr>
        <w:spacing w:before="296" w:line="225" w:lineRule="auto"/>
        <w:ind w:left="18"/>
        <w:rPr>
          <w:rFonts w:ascii="宋体" w:hAnsi="宋体" w:eastAsia="宋体" w:cs="宋体"/>
          <w:color w:val="auto"/>
          <w:sz w:val="31"/>
          <w:szCs w:val="31"/>
          <w:highlight w:val="none"/>
        </w:rPr>
      </w:pPr>
      <w:r>
        <w:rPr>
          <w:rFonts w:ascii="宋体" w:hAnsi="宋体" w:eastAsia="宋体" w:cs="宋体"/>
          <w:b/>
          <w:bCs/>
          <w:color w:val="auto"/>
          <w:spacing w:val="3"/>
          <w:sz w:val="31"/>
          <w:szCs w:val="31"/>
          <w:highlight w:val="none"/>
        </w:rPr>
        <w:t>1.资格证明文件封面格式：</w:t>
      </w:r>
    </w:p>
    <w:p w14:paraId="75BCCFA2">
      <w:pPr>
        <w:pStyle w:val="4"/>
        <w:spacing w:line="253" w:lineRule="auto"/>
        <w:rPr>
          <w:color w:val="auto"/>
          <w:highlight w:val="none"/>
        </w:rPr>
      </w:pPr>
    </w:p>
    <w:p w14:paraId="3759D316">
      <w:pPr>
        <w:pStyle w:val="4"/>
        <w:spacing w:line="253" w:lineRule="auto"/>
        <w:rPr>
          <w:color w:val="auto"/>
          <w:highlight w:val="none"/>
        </w:rPr>
      </w:pPr>
    </w:p>
    <w:p w14:paraId="3A043E7B">
      <w:pPr>
        <w:pStyle w:val="4"/>
        <w:spacing w:line="253" w:lineRule="auto"/>
        <w:rPr>
          <w:color w:val="auto"/>
          <w:highlight w:val="none"/>
        </w:rPr>
      </w:pPr>
    </w:p>
    <w:p w14:paraId="14EF5A19">
      <w:pPr>
        <w:pStyle w:val="4"/>
        <w:spacing w:line="253" w:lineRule="auto"/>
        <w:rPr>
          <w:color w:val="auto"/>
          <w:highlight w:val="none"/>
        </w:rPr>
      </w:pPr>
    </w:p>
    <w:p w14:paraId="3FA7D331">
      <w:pPr>
        <w:pStyle w:val="4"/>
        <w:spacing w:line="254" w:lineRule="auto"/>
        <w:rPr>
          <w:color w:val="auto"/>
          <w:highlight w:val="none"/>
        </w:rPr>
      </w:pPr>
    </w:p>
    <w:p w14:paraId="7921F32D">
      <w:pPr>
        <w:pStyle w:val="4"/>
        <w:spacing w:line="254" w:lineRule="auto"/>
        <w:rPr>
          <w:color w:val="auto"/>
          <w:highlight w:val="none"/>
        </w:rPr>
      </w:pPr>
    </w:p>
    <w:p w14:paraId="5C91D8C0">
      <w:pPr>
        <w:pStyle w:val="4"/>
        <w:spacing w:line="254" w:lineRule="auto"/>
        <w:rPr>
          <w:color w:val="auto"/>
          <w:highlight w:val="none"/>
        </w:rPr>
      </w:pPr>
    </w:p>
    <w:p w14:paraId="6DECCEB6">
      <w:pPr>
        <w:spacing w:before="139" w:line="223" w:lineRule="auto"/>
        <w:ind w:left="2418"/>
        <w:rPr>
          <w:rFonts w:ascii="宋体" w:hAnsi="宋体" w:eastAsia="宋体" w:cs="宋体"/>
          <w:color w:val="auto"/>
          <w:sz w:val="43"/>
          <w:szCs w:val="43"/>
          <w:highlight w:val="none"/>
        </w:rPr>
      </w:pPr>
      <w:r>
        <w:rPr>
          <w:rFonts w:ascii="宋体" w:hAnsi="宋体" w:eastAsia="宋体" w:cs="宋体"/>
          <w:color w:val="auto"/>
          <w:spacing w:val="-18"/>
          <w:sz w:val="43"/>
          <w:szCs w:val="43"/>
          <w:highlight w:val="none"/>
        </w:rPr>
        <w:t>资</w:t>
      </w:r>
      <w:r>
        <w:rPr>
          <w:rFonts w:ascii="宋体" w:hAnsi="宋体" w:eastAsia="宋体" w:cs="宋体"/>
          <w:color w:val="auto"/>
          <w:spacing w:val="15"/>
          <w:sz w:val="43"/>
          <w:szCs w:val="43"/>
          <w:highlight w:val="none"/>
        </w:rPr>
        <w:t xml:space="preserve">  </w:t>
      </w:r>
      <w:r>
        <w:rPr>
          <w:rFonts w:ascii="宋体" w:hAnsi="宋体" w:eastAsia="宋体" w:cs="宋体"/>
          <w:color w:val="auto"/>
          <w:spacing w:val="-18"/>
          <w:sz w:val="43"/>
          <w:szCs w:val="43"/>
          <w:highlight w:val="none"/>
        </w:rPr>
        <w:t>格</w:t>
      </w:r>
      <w:r>
        <w:rPr>
          <w:rFonts w:ascii="宋体" w:hAnsi="宋体" w:eastAsia="宋体" w:cs="宋体"/>
          <w:color w:val="auto"/>
          <w:spacing w:val="14"/>
          <w:sz w:val="43"/>
          <w:szCs w:val="43"/>
          <w:highlight w:val="none"/>
        </w:rPr>
        <w:t xml:space="preserve">  </w:t>
      </w:r>
      <w:r>
        <w:rPr>
          <w:rFonts w:ascii="宋体" w:hAnsi="宋体" w:eastAsia="宋体" w:cs="宋体"/>
          <w:color w:val="auto"/>
          <w:spacing w:val="-18"/>
          <w:sz w:val="43"/>
          <w:szCs w:val="43"/>
          <w:highlight w:val="none"/>
        </w:rPr>
        <w:t>证</w:t>
      </w:r>
      <w:r>
        <w:rPr>
          <w:rFonts w:ascii="宋体" w:hAnsi="宋体" w:eastAsia="宋体" w:cs="宋体"/>
          <w:color w:val="auto"/>
          <w:spacing w:val="35"/>
          <w:sz w:val="43"/>
          <w:szCs w:val="43"/>
          <w:highlight w:val="none"/>
        </w:rPr>
        <w:t xml:space="preserve">  </w:t>
      </w:r>
      <w:r>
        <w:rPr>
          <w:rFonts w:ascii="宋体" w:hAnsi="宋体" w:eastAsia="宋体" w:cs="宋体"/>
          <w:color w:val="auto"/>
          <w:spacing w:val="-18"/>
          <w:sz w:val="43"/>
          <w:szCs w:val="43"/>
          <w:highlight w:val="none"/>
        </w:rPr>
        <w:t>明</w:t>
      </w:r>
      <w:r>
        <w:rPr>
          <w:rFonts w:ascii="宋体" w:hAnsi="宋体" w:eastAsia="宋体" w:cs="宋体"/>
          <w:color w:val="auto"/>
          <w:spacing w:val="16"/>
          <w:sz w:val="43"/>
          <w:szCs w:val="43"/>
          <w:highlight w:val="none"/>
        </w:rPr>
        <w:t xml:space="preserve">  </w:t>
      </w:r>
      <w:r>
        <w:rPr>
          <w:rFonts w:ascii="宋体" w:hAnsi="宋体" w:eastAsia="宋体" w:cs="宋体"/>
          <w:color w:val="auto"/>
          <w:spacing w:val="-18"/>
          <w:sz w:val="43"/>
          <w:szCs w:val="43"/>
          <w:highlight w:val="none"/>
        </w:rPr>
        <w:t>文</w:t>
      </w:r>
      <w:r>
        <w:rPr>
          <w:rFonts w:ascii="宋体" w:hAnsi="宋体" w:eastAsia="宋体" w:cs="宋体"/>
          <w:color w:val="auto"/>
          <w:spacing w:val="12"/>
          <w:sz w:val="43"/>
          <w:szCs w:val="43"/>
          <w:highlight w:val="none"/>
        </w:rPr>
        <w:t xml:space="preserve">  </w:t>
      </w:r>
      <w:r>
        <w:rPr>
          <w:rFonts w:ascii="宋体" w:hAnsi="宋体" w:eastAsia="宋体" w:cs="宋体"/>
          <w:color w:val="auto"/>
          <w:spacing w:val="-18"/>
          <w:sz w:val="43"/>
          <w:szCs w:val="43"/>
          <w:highlight w:val="none"/>
        </w:rPr>
        <w:t>件</w:t>
      </w:r>
    </w:p>
    <w:p w14:paraId="7C679E4B">
      <w:pPr>
        <w:pStyle w:val="4"/>
        <w:spacing w:line="243" w:lineRule="auto"/>
        <w:rPr>
          <w:color w:val="auto"/>
          <w:highlight w:val="none"/>
        </w:rPr>
      </w:pPr>
    </w:p>
    <w:p w14:paraId="5F8DCCA2">
      <w:pPr>
        <w:pStyle w:val="4"/>
        <w:spacing w:line="243" w:lineRule="auto"/>
        <w:rPr>
          <w:color w:val="auto"/>
          <w:highlight w:val="none"/>
        </w:rPr>
      </w:pPr>
    </w:p>
    <w:p w14:paraId="564BA1A5">
      <w:pPr>
        <w:pStyle w:val="4"/>
        <w:spacing w:line="243" w:lineRule="auto"/>
        <w:rPr>
          <w:color w:val="auto"/>
          <w:highlight w:val="none"/>
        </w:rPr>
      </w:pPr>
    </w:p>
    <w:p w14:paraId="76F8C055">
      <w:pPr>
        <w:pStyle w:val="4"/>
        <w:spacing w:line="243" w:lineRule="auto"/>
        <w:rPr>
          <w:color w:val="auto"/>
          <w:highlight w:val="none"/>
        </w:rPr>
      </w:pPr>
    </w:p>
    <w:p w14:paraId="5F73BD55">
      <w:pPr>
        <w:pStyle w:val="4"/>
        <w:spacing w:line="243" w:lineRule="auto"/>
        <w:rPr>
          <w:color w:val="auto"/>
          <w:highlight w:val="none"/>
        </w:rPr>
      </w:pPr>
    </w:p>
    <w:p w14:paraId="51F45640">
      <w:pPr>
        <w:pStyle w:val="4"/>
        <w:spacing w:line="243" w:lineRule="auto"/>
        <w:rPr>
          <w:color w:val="auto"/>
          <w:highlight w:val="none"/>
        </w:rPr>
      </w:pPr>
    </w:p>
    <w:p w14:paraId="52CE108C">
      <w:pPr>
        <w:pStyle w:val="4"/>
        <w:spacing w:line="243" w:lineRule="auto"/>
        <w:rPr>
          <w:color w:val="auto"/>
          <w:highlight w:val="none"/>
        </w:rPr>
      </w:pPr>
    </w:p>
    <w:p w14:paraId="3C083795">
      <w:pPr>
        <w:pStyle w:val="4"/>
        <w:spacing w:line="244" w:lineRule="auto"/>
        <w:rPr>
          <w:color w:val="auto"/>
          <w:highlight w:val="none"/>
        </w:rPr>
      </w:pPr>
    </w:p>
    <w:p w14:paraId="07137332">
      <w:pPr>
        <w:spacing w:before="101" w:line="225" w:lineRule="auto"/>
        <w:ind w:left="640"/>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项目名称：</w:t>
      </w:r>
    </w:p>
    <w:p w14:paraId="1E47E6DC">
      <w:pPr>
        <w:pStyle w:val="4"/>
        <w:spacing w:line="329" w:lineRule="auto"/>
        <w:rPr>
          <w:color w:val="auto"/>
          <w:highlight w:val="none"/>
        </w:rPr>
      </w:pPr>
    </w:p>
    <w:p w14:paraId="0586B2CB">
      <w:pPr>
        <w:pStyle w:val="4"/>
        <w:spacing w:line="329" w:lineRule="auto"/>
        <w:rPr>
          <w:color w:val="auto"/>
          <w:highlight w:val="none"/>
        </w:rPr>
      </w:pPr>
    </w:p>
    <w:p w14:paraId="2EF356A5">
      <w:pPr>
        <w:spacing w:before="102" w:line="225" w:lineRule="auto"/>
        <w:ind w:left="720"/>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项目编号：</w:t>
      </w:r>
    </w:p>
    <w:p w14:paraId="6F916440">
      <w:pPr>
        <w:pStyle w:val="4"/>
        <w:spacing w:line="330" w:lineRule="auto"/>
        <w:rPr>
          <w:color w:val="auto"/>
          <w:highlight w:val="none"/>
        </w:rPr>
      </w:pPr>
    </w:p>
    <w:p w14:paraId="2A541CEE">
      <w:pPr>
        <w:pStyle w:val="4"/>
        <w:spacing w:line="330" w:lineRule="auto"/>
        <w:rPr>
          <w:color w:val="auto"/>
          <w:highlight w:val="none"/>
        </w:rPr>
      </w:pPr>
    </w:p>
    <w:p w14:paraId="28521B8C">
      <w:pPr>
        <w:spacing w:before="101" w:line="225" w:lineRule="auto"/>
        <w:jc w:val="right"/>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所竞分标（如有则填写，无分标时填写“无</w:t>
      </w:r>
      <w:r>
        <w:rPr>
          <w:rFonts w:ascii="宋体" w:hAnsi="宋体" w:eastAsia="宋体" w:cs="宋体"/>
          <w:color w:val="auto"/>
          <w:spacing w:val="-110"/>
          <w:sz w:val="31"/>
          <w:szCs w:val="31"/>
          <w:highlight w:val="none"/>
        </w:rPr>
        <w:t xml:space="preserve"> </w:t>
      </w:r>
      <w:r>
        <w:rPr>
          <w:rFonts w:ascii="宋体" w:hAnsi="宋体" w:eastAsia="宋体" w:cs="宋体"/>
          <w:color w:val="auto"/>
          <w:spacing w:val="7"/>
          <w:sz w:val="31"/>
          <w:szCs w:val="31"/>
          <w:highlight w:val="none"/>
        </w:rPr>
        <w:t>”或者留空</w:t>
      </w:r>
      <w:r>
        <w:rPr>
          <w:rFonts w:ascii="宋体" w:hAnsi="宋体" w:eastAsia="宋体" w:cs="宋体"/>
          <w:color w:val="auto"/>
          <w:spacing w:val="-22"/>
          <w:sz w:val="31"/>
          <w:szCs w:val="31"/>
          <w:highlight w:val="none"/>
        </w:rPr>
        <w:t>）：</w:t>
      </w:r>
    </w:p>
    <w:p w14:paraId="1D308E8E">
      <w:pPr>
        <w:pStyle w:val="4"/>
        <w:spacing w:line="275" w:lineRule="auto"/>
        <w:rPr>
          <w:color w:val="auto"/>
          <w:highlight w:val="none"/>
        </w:rPr>
      </w:pPr>
    </w:p>
    <w:p w14:paraId="1D0CD4BE">
      <w:pPr>
        <w:pStyle w:val="4"/>
        <w:spacing w:line="276" w:lineRule="auto"/>
        <w:rPr>
          <w:color w:val="auto"/>
          <w:highlight w:val="none"/>
        </w:rPr>
      </w:pPr>
    </w:p>
    <w:p w14:paraId="0F5601DE">
      <w:pPr>
        <w:spacing w:before="102" w:line="224" w:lineRule="auto"/>
        <w:ind w:left="714"/>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供应商名称：</w:t>
      </w:r>
    </w:p>
    <w:p w14:paraId="6A4F0C8B">
      <w:pPr>
        <w:pStyle w:val="4"/>
        <w:spacing w:line="242" w:lineRule="auto"/>
        <w:rPr>
          <w:color w:val="auto"/>
          <w:highlight w:val="none"/>
        </w:rPr>
      </w:pPr>
    </w:p>
    <w:p w14:paraId="63FD9528">
      <w:pPr>
        <w:pStyle w:val="4"/>
        <w:spacing w:line="242" w:lineRule="auto"/>
        <w:rPr>
          <w:color w:val="auto"/>
          <w:highlight w:val="none"/>
        </w:rPr>
      </w:pPr>
    </w:p>
    <w:p w14:paraId="21BB2D9C">
      <w:pPr>
        <w:pStyle w:val="4"/>
        <w:spacing w:line="242" w:lineRule="auto"/>
        <w:rPr>
          <w:color w:val="auto"/>
          <w:highlight w:val="none"/>
        </w:rPr>
      </w:pPr>
    </w:p>
    <w:p w14:paraId="6A1DFACF">
      <w:pPr>
        <w:pStyle w:val="4"/>
        <w:spacing w:line="243" w:lineRule="auto"/>
        <w:rPr>
          <w:color w:val="auto"/>
          <w:highlight w:val="none"/>
        </w:rPr>
      </w:pPr>
    </w:p>
    <w:p w14:paraId="6A211F6E">
      <w:pPr>
        <w:pStyle w:val="4"/>
        <w:spacing w:line="243" w:lineRule="auto"/>
        <w:rPr>
          <w:color w:val="auto"/>
          <w:highlight w:val="none"/>
        </w:rPr>
      </w:pPr>
    </w:p>
    <w:p w14:paraId="761E1A76">
      <w:pPr>
        <w:pStyle w:val="4"/>
        <w:spacing w:line="243" w:lineRule="auto"/>
        <w:rPr>
          <w:color w:val="auto"/>
          <w:highlight w:val="none"/>
        </w:rPr>
      </w:pPr>
    </w:p>
    <w:p w14:paraId="31D969A2">
      <w:pPr>
        <w:pStyle w:val="4"/>
        <w:spacing w:line="243" w:lineRule="auto"/>
        <w:rPr>
          <w:color w:val="auto"/>
          <w:highlight w:val="none"/>
        </w:rPr>
      </w:pPr>
    </w:p>
    <w:p w14:paraId="7EBF48C4">
      <w:pPr>
        <w:pStyle w:val="4"/>
        <w:spacing w:line="243" w:lineRule="auto"/>
        <w:rPr>
          <w:color w:val="auto"/>
          <w:highlight w:val="none"/>
        </w:rPr>
      </w:pPr>
    </w:p>
    <w:p w14:paraId="693D303B">
      <w:pPr>
        <w:spacing w:before="102" w:line="225" w:lineRule="auto"/>
        <w:ind w:left="3696"/>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年</w:t>
      </w:r>
      <w:r>
        <w:rPr>
          <w:rFonts w:ascii="宋体" w:hAnsi="宋体" w:eastAsia="宋体" w:cs="宋体"/>
          <w:color w:val="auto"/>
          <w:spacing w:val="10"/>
          <w:sz w:val="31"/>
          <w:szCs w:val="31"/>
          <w:highlight w:val="none"/>
        </w:rPr>
        <w:t xml:space="preserve">    </w:t>
      </w:r>
      <w:r>
        <w:rPr>
          <w:rFonts w:ascii="宋体" w:hAnsi="宋体" w:eastAsia="宋体" w:cs="宋体"/>
          <w:color w:val="auto"/>
          <w:spacing w:val="-6"/>
          <w:sz w:val="31"/>
          <w:szCs w:val="31"/>
          <w:highlight w:val="none"/>
        </w:rPr>
        <w:t>月</w:t>
      </w:r>
      <w:r>
        <w:rPr>
          <w:rFonts w:ascii="宋体" w:hAnsi="宋体" w:eastAsia="宋体" w:cs="宋体"/>
          <w:color w:val="auto"/>
          <w:spacing w:val="22"/>
          <w:sz w:val="31"/>
          <w:szCs w:val="31"/>
          <w:highlight w:val="none"/>
        </w:rPr>
        <w:t xml:space="preserve">    </w:t>
      </w:r>
      <w:r>
        <w:rPr>
          <w:rFonts w:ascii="宋体" w:hAnsi="宋体" w:eastAsia="宋体" w:cs="宋体"/>
          <w:color w:val="auto"/>
          <w:spacing w:val="-6"/>
          <w:sz w:val="31"/>
          <w:szCs w:val="31"/>
          <w:highlight w:val="none"/>
        </w:rPr>
        <w:t>日</w:t>
      </w:r>
    </w:p>
    <w:p w14:paraId="48E16CCE">
      <w:pPr>
        <w:spacing w:line="225" w:lineRule="auto"/>
        <w:rPr>
          <w:rFonts w:ascii="宋体" w:hAnsi="宋体" w:eastAsia="宋体" w:cs="宋体"/>
          <w:color w:val="auto"/>
          <w:sz w:val="31"/>
          <w:szCs w:val="31"/>
          <w:highlight w:val="none"/>
        </w:rPr>
        <w:sectPr>
          <w:footerReference r:id="rId26" w:type="default"/>
          <w:pgSz w:w="11906" w:h="16839"/>
          <w:pgMar w:top="1431" w:right="1785" w:bottom="1362" w:left="1150" w:header="0" w:footer="1200" w:gutter="0"/>
          <w:pgNumType w:fmt="decimal"/>
          <w:cols w:space="720" w:num="1"/>
        </w:sectPr>
      </w:pPr>
    </w:p>
    <w:p w14:paraId="072A5181">
      <w:pPr>
        <w:spacing w:before="63" w:line="225" w:lineRule="auto"/>
        <w:ind w:left="147"/>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2.资格证明文件目录</w:t>
      </w:r>
    </w:p>
    <w:p w14:paraId="6C3A4376">
      <w:pPr>
        <w:pStyle w:val="4"/>
        <w:spacing w:line="297" w:lineRule="auto"/>
        <w:rPr>
          <w:color w:val="auto"/>
          <w:highlight w:val="none"/>
        </w:rPr>
      </w:pPr>
    </w:p>
    <w:p w14:paraId="5F306F20">
      <w:pPr>
        <w:spacing w:before="101" w:line="357" w:lineRule="auto"/>
        <w:ind w:left="2" w:firstLine="643"/>
        <w:rPr>
          <w:rFonts w:ascii="宋体" w:hAnsi="宋体" w:eastAsia="宋体" w:cs="宋体"/>
          <w:color w:val="auto"/>
          <w:sz w:val="31"/>
          <w:szCs w:val="31"/>
          <w:highlight w:val="none"/>
        </w:rPr>
      </w:pPr>
      <w:r>
        <w:rPr>
          <w:rFonts w:ascii="宋体" w:hAnsi="宋体" w:eastAsia="宋体" w:cs="宋体"/>
          <w:color w:val="auto"/>
          <w:spacing w:val="10"/>
          <w:sz w:val="31"/>
          <w:szCs w:val="31"/>
          <w:highlight w:val="none"/>
        </w:rPr>
        <w:t>根据磋商文件规定及供应商提供的材料自行编写目录（部分格式</w:t>
      </w:r>
      <w:r>
        <w:rPr>
          <w:rFonts w:ascii="宋体" w:hAnsi="宋体" w:eastAsia="宋体" w:cs="宋体"/>
          <w:color w:val="auto"/>
          <w:spacing w:val="18"/>
          <w:sz w:val="31"/>
          <w:szCs w:val="31"/>
          <w:highlight w:val="none"/>
        </w:rPr>
        <w:t xml:space="preserve"> </w:t>
      </w:r>
      <w:r>
        <w:rPr>
          <w:rFonts w:ascii="宋体" w:hAnsi="宋体" w:eastAsia="宋体" w:cs="宋体"/>
          <w:color w:val="auto"/>
          <w:sz w:val="31"/>
          <w:szCs w:val="31"/>
          <w:highlight w:val="none"/>
        </w:rPr>
        <w:t>后附）。</w:t>
      </w:r>
    </w:p>
    <w:p w14:paraId="7BE5E4CA">
      <w:pPr>
        <w:spacing w:before="95" w:line="233" w:lineRule="auto"/>
        <w:ind w:firstLine="143"/>
        <w:jc w:val="both"/>
        <w:outlineLvl w:val="2"/>
        <w:rPr>
          <w:rFonts w:ascii="宋体" w:hAnsi="宋体" w:eastAsia="宋体" w:cs="宋体"/>
          <w:color w:val="auto"/>
          <w:sz w:val="31"/>
          <w:szCs w:val="31"/>
          <w:highlight w:val="none"/>
        </w:rPr>
      </w:pPr>
      <w:r>
        <w:rPr>
          <w:rFonts w:ascii="宋体" w:hAnsi="宋体" w:eastAsia="宋体" w:cs="宋体"/>
          <w:b/>
          <w:bCs/>
          <w:color w:val="auto"/>
          <w:spacing w:val="2"/>
          <w:sz w:val="31"/>
          <w:szCs w:val="31"/>
          <w:highlight w:val="none"/>
        </w:rPr>
        <w:t>1.供应商为法人或者其他组织的提供其营业执照等证明文件（如营业</w:t>
      </w:r>
      <w:r>
        <w:rPr>
          <w:rFonts w:ascii="宋体" w:hAnsi="宋体" w:eastAsia="宋体" w:cs="宋体"/>
          <w:color w:val="auto"/>
          <w:spacing w:val="18"/>
          <w:sz w:val="31"/>
          <w:szCs w:val="31"/>
          <w:highlight w:val="none"/>
        </w:rPr>
        <w:t xml:space="preserve"> </w:t>
      </w:r>
      <w:r>
        <w:rPr>
          <w:rFonts w:ascii="宋体" w:hAnsi="宋体" w:eastAsia="宋体" w:cs="宋体"/>
          <w:b/>
          <w:bCs/>
          <w:color w:val="auto"/>
          <w:spacing w:val="7"/>
          <w:sz w:val="31"/>
          <w:szCs w:val="31"/>
          <w:highlight w:val="none"/>
        </w:rPr>
        <w:t>执照或者事业单位法人证书或者执业许可证等</w:t>
      </w:r>
      <w:r>
        <w:rPr>
          <w:rFonts w:ascii="宋体" w:hAnsi="宋体" w:eastAsia="宋体" w:cs="宋体"/>
          <w:b/>
          <w:bCs/>
          <w:color w:val="auto"/>
          <w:spacing w:val="16"/>
          <w:sz w:val="31"/>
          <w:szCs w:val="31"/>
          <w:highlight w:val="none"/>
        </w:rPr>
        <w:t>），</w:t>
      </w:r>
      <w:r>
        <w:rPr>
          <w:rFonts w:ascii="宋体" w:hAnsi="宋体" w:eastAsia="宋体" w:cs="宋体"/>
          <w:b/>
          <w:bCs/>
          <w:color w:val="auto"/>
          <w:spacing w:val="7"/>
          <w:sz w:val="31"/>
          <w:szCs w:val="31"/>
          <w:highlight w:val="none"/>
        </w:rPr>
        <w:t>供应商为</w:t>
      </w:r>
      <w:r>
        <w:rPr>
          <w:rFonts w:ascii="宋体" w:hAnsi="宋体" w:eastAsia="宋体" w:cs="宋体"/>
          <w:b/>
          <w:bCs/>
          <w:color w:val="auto"/>
          <w:spacing w:val="6"/>
          <w:sz w:val="31"/>
          <w:szCs w:val="31"/>
          <w:highlight w:val="none"/>
        </w:rPr>
        <w:t>自然人的</w:t>
      </w:r>
      <w:r>
        <w:rPr>
          <w:rFonts w:ascii="宋体" w:hAnsi="宋体" w:eastAsia="宋体" w:cs="宋体"/>
          <w:color w:val="auto"/>
          <w:sz w:val="31"/>
          <w:szCs w:val="31"/>
          <w:highlight w:val="none"/>
        </w:rPr>
        <w:t xml:space="preserve"> </w:t>
      </w:r>
      <w:r>
        <w:rPr>
          <w:rFonts w:ascii="宋体" w:hAnsi="宋体" w:eastAsia="宋体" w:cs="宋体"/>
          <w:b/>
          <w:bCs/>
          <w:color w:val="auto"/>
          <w:spacing w:val="5"/>
          <w:sz w:val="31"/>
          <w:szCs w:val="31"/>
          <w:highlight w:val="none"/>
        </w:rPr>
        <w:t>提供其身份证复印件；</w:t>
      </w:r>
    </w:p>
    <w:p w14:paraId="05BBF73F">
      <w:pPr>
        <w:pStyle w:val="4"/>
        <w:spacing w:line="248" w:lineRule="auto"/>
        <w:rPr>
          <w:color w:val="auto"/>
          <w:highlight w:val="none"/>
        </w:rPr>
      </w:pPr>
    </w:p>
    <w:p w14:paraId="61BC3E24">
      <w:pPr>
        <w:pStyle w:val="4"/>
        <w:spacing w:line="248" w:lineRule="auto"/>
        <w:rPr>
          <w:color w:val="auto"/>
          <w:highlight w:val="none"/>
        </w:rPr>
      </w:pPr>
    </w:p>
    <w:p w14:paraId="6144DFFF">
      <w:pPr>
        <w:spacing w:before="101" w:line="224" w:lineRule="auto"/>
        <w:ind w:left="2252"/>
        <w:outlineLvl w:val="2"/>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2.供应商依法缴纳税收的相关材料；</w:t>
      </w:r>
    </w:p>
    <w:p w14:paraId="0050B213">
      <w:pPr>
        <w:spacing w:before="265" w:line="224" w:lineRule="auto"/>
        <w:ind w:left="1614"/>
        <w:rPr>
          <w:rFonts w:ascii="宋体" w:hAnsi="宋体" w:eastAsia="宋体" w:cs="宋体"/>
          <w:b/>
          <w:bCs/>
          <w:color w:val="auto"/>
          <w:spacing w:val="6"/>
          <w:sz w:val="31"/>
          <w:szCs w:val="31"/>
          <w:highlight w:val="none"/>
        </w:rPr>
      </w:pPr>
    </w:p>
    <w:p w14:paraId="6905CA77">
      <w:pPr>
        <w:spacing w:before="265" w:line="224" w:lineRule="auto"/>
        <w:ind w:left="1614"/>
        <w:rPr>
          <w:rFonts w:ascii="宋体" w:hAnsi="宋体" w:eastAsia="宋体" w:cs="宋体"/>
          <w:b/>
          <w:bCs/>
          <w:color w:val="auto"/>
          <w:spacing w:val="6"/>
          <w:sz w:val="31"/>
          <w:szCs w:val="31"/>
          <w:highlight w:val="none"/>
        </w:rPr>
      </w:pPr>
    </w:p>
    <w:p w14:paraId="77EFB935">
      <w:pPr>
        <w:spacing w:before="265" w:line="224" w:lineRule="auto"/>
        <w:ind w:left="1614"/>
        <w:outlineLvl w:val="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3.供应商依法缴纳社会保障资金的相关材</w:t>
      </w:r>
      <w:r>
        <w:rPr>
          <w:rFonts w:ascii="宋体" w:hAnsi="宋体" w:eastAsia="宋体" w:cs="宋体"/>
          <w:b/>
          <w:bCs/>
          <w:color w:val="auto"/>
          <w:spacing w:val="5"/>
          <w:sz w:val="31"/>
          <w:szCs w:val="31"/>
          <w:highlight w:val="none"/>
        </w:rPr>
        <w:t>料；</w:t>
      </w:r>
    </w:p>
    <w:p w14:paraId="35DDF0F7">
      <w:pPr>
        <w:spacing w:line="224" w:lineRule="auto"/>
        <w:rPr>
          <w:rFonts w:ascii="宋体" w:hAnsi="宋体" w:eastAsia="宋体" w:cs="宋体"/>
          <w:color w:val="auto"/>
          <w:sz w:val="31"/>
          <w:szCs w:val="31"/>
          <w:highlight w:val="none"/>
        </w:rPr>
      </w:pPr>
    </w:p>
    <w:p w14:paraId="5A625ECA">
      <w:pPr>
        <w:spacing w:line="224" w:lineRule="auto"/>
        <w:rPr>
          <w:rFonts w:ascii="宋体" w:hAnsi="宋体" w:eastAsia="宋体" w:cs="宋体"/>
          <w:color w:val="auto"/>
          <w:sz w:val="31"/>
          <w:szCs w:val="31"/>
          <w:highlight w:val="none"/>
        </w:rPr>
      </w:pPr>
    </w:p>
    <w:p w14:paraId="536E8E59">
      <w:pPr>
        <w:spacing w:line="224" w:lineRule="auto"/>
        <w:rPr>
          <w:rFonts w:ascii="宋体" w:hAnsi="宋体" w:eastAsia="宋体" w:cs="宋体"/>
          <w:color w:val="auto"/>
          <w:sz w:val="31"/>
          <w:szCs w:val="31"/>
          <w:highlight w:val="none"/>
        </w:rPr>
      </w:pPr>
    </w:p>
    <w:p w14:paraId="14D321FF">
      <w:pPr>
        <w:spacing w:before="265" w:line="224" w:lineRule="auto"/>
        <w:ind w:left="1614"/>
        <w:outlineLvl w:val="2"/>
        <w:rPr>
          <w:rFonts w:hint="eastAsia" w:ascii="宋体" w:hAnsi="宋体" w:eastAsia="宋体" w:cs="宋体"/>
          <w:b/>
          <w:bCs/>
          <w:color w:val="auto"/>
          <w:spacing w:val="6"/>
          <w:sz w:val="31"/>
          <w:szCs w:val="31"/>
          <w:highlight w:val="none"/>
          <w:lang w:eastAsia="zh-CN"/>
        </w:rPr>
        <w:sectPr>
          <w:footerReference r:id="rId27" w:type="default"/>
          <w:pgSz w:w="11906" w:h="16839"/>
          <w:pgMar w:top="1252" w:right="1135" w:bottom="1362" w:left="1145" w:header="0" w:footer="1200" w:gutter="0"/>
          <w:pgNumType w:fmt="decimal"/>
          <w:cols w:space="720" w:num="1"/>
        </w:sectPr>
      </w:pPr>
      <w:r>
        <w:rPr>
          <w:rFonts w:hint="eastAsia" w:ascii="宋体" w:hAnsi="宋体" w:eastAsia="宋体" w:cs="宋体"/>
          <w:b/>
          <w:bCs/>
          <w:color w:val="auto"/>
          <w:spacing w:val="6"/>
          <w:sz w:val="31"/>
          <w:szCs w:val="31"/>
          <w:highlight w:val="none"/>
          <w:lang w:eastAsia="zh-CN"/>
        </w:rPr>
        <w:t>4.</w:t>
      </w:r>
      <w:r>
        <w:rPr>
          <w:rFonts w:hint="default" w:ascii="宋体" w:hAnsi="宋体" w:eastAsia="宋体" w:cs="宋体"/>
          <w:b/>
          <w:bCs/>
          <w:color w:val="auto"/>
          <w:spacing w:val="6"/>
          <w:kern w:val="0"/>
          <w:sz w:val="31"/>
          <w:szCs w:val="31"/>
          <w:highlight w:val="none"/>
        </w:rPr>
        <w:t>财务状况报告方面的材料</w:t>
      </w:r>
      <w:r>
        <w:rPr>
          <w:rFonts w:hint="eastAsia" w:ascii="宋体" w:hAnsi="宋体" w:eastAsia="宋体" w:cs="宋体"/>
          <w:b/>
          <w:bCs/>
          <w:color w:val="auto"/>
          <w:spacing w:val="6"/>
          <w:kern w:val="0"/>
          <w:sz w:val="31"/>
          <w:szCs w:val="31"/>
          <w:highlight w:val="none"/>
          <w:lang w:eastAsia="zh-CN"/>
        </w:rPr>
        <w:t>；</w:t>
      </w:r>
    </w:p>
    <w:p w14:paraId="1865B4EC">
      <w:pPr>
        <w:pStyle w:val="4"/>
        <w:spacing w:line="250" w:lineRule="auto"/>
        <w:rPr>
          <w:color w:val="auto"/>
          <w:highlight w:val="none"/>
        </w:rPr>
      </w:pPr>
    </w:p>
    <w:p w14:paraId="55E90DAE">
      <w:pPr>
        <w:spacing w:before="100" w:line="224" w:lineRule="auto"/>
        <w:ind w:left="2518"/>
        <w:outlineLvl w:val="2"/>
        <w:rPr>
          <w:rFonts w:ascii="宋体" w:hAnsi="宋体" w:eastAsia="宋体" w:cs="宋体"/>
          <w:color w:val="auto"/>
          <w:sz w:val="31"/>
          <w:szCs w:val="31"/>
          <w:highlight w:val="none"/>
        </w:rPr>
      </w:pPr>
      <w:r>
        <w:rPr>
          <w:rFonts w:hint="eastAsia" w:ascii="宋体" w:hAnsi="宋体" w:eastAsia="宋体" w:cs="宋体"/>
          <w:b/>
          <w:bCs/>
          <w:color w:val="auto"/>
          <w:spacing w:val="6"/>
          <w:sz w:val="31"/>
          <w:szCs w:val="31"/>
          <w:highlight w:val="none"/>
          <w:lang w:val="en-US" w:eastAsia="zh-CN"/>
        </w:rPr>
        <w:t>5</w:t>
      </w:r>
      <w:r>
        <w:rPr>
          <w:rFonts w:ascii="宋体" w:hAnsi="宋体" w:eastAsia="宋体" w:cs="宋体"/>
          <w:b/>
          <w:bCs/>
          <w:color w:val="auto"/>
          <w:spacing w:val="6"/>
          <w:sz w:val="31"/>
          <w:szCs w:val="31"/>
          <w:highlight w:val="none"/>
        </w:rPr>
        <w:t>.供应商直接控股、管理关系信息表</w:t>
      </w:r>
    </w:p>
    <w:p w14:paraId="174E111B">
      <w:pPr>
        <w:spacing w:before="255" w:line="224" w:lineRule="auto"/>
        <w:ind w:left="3163"/>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供应商直接控股股东信息表</w:t>
      </w:r>
    </w:p>
    <w:p w14:paraId="40ECDD77">
      <w:pPr>
        <w:spacing w:before="76"/>
        <w:rPr>
          <w:color w:val="auto"/>
          <w:highlight w:val="none"/>
        </w:rPr>
      </w:pPr>
    </w:p>
    <w:p w14:paraId="4A1A837C">
      <w:pPr>
        <w:spacing w:before="75"/>
        <w:rPr>
          <w:color w:val="auto"/>
          <w:highlight w:val="none"/>
        </w:rPr>
      </w:pPr>
    </w:p>
    <w:tbl>
      <w:tblPr>
        <w:tblStyle w:val="18"/>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79EA8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vAlign w:val="top"/>
          </w:tcPr>
          <w:p w14:paraId="3FC442EB">
            <w:pPr>
              <w:pStyle w:val="19"/>
              <w:spacing w:before="239" w:line="221" w:lineRule="auto"/>
              <w:ind w:left="206"/>
              <w:rPr>
                <w:color w:val="auto"/>
                <w:sz w:val="24"/>
                <w:szCs w:val="24"/>
                <w:highlight w:val="none"/>
              </w:rPr>
            </w:pPr>
            <w:r>
              <w:rPr>
                <w:b/>
                <w:bCs/>
                <w:color w:val="auto"/>
                <w:spacing w:val="-7"/>
                <w:sz w:val="24"/>
                <w:szCs w:val="24"/>
                <w:highlight w:val="none"/>
              </w:rPr>
              <w:t>序号</w:t>
            </w:r>
          </w:p>
        </w:tc>
        <w:tc>
          <w:tcPr>
            <w:tcW w:w="2654" w:type="dxa"/>
            <w:vAlign w:val="top"/>
          </w:tcPr>
          <w:p w14:paraId="6FA0D7BC">
            <w:pPr>
              <w:pStyle w:val="19"/>
              <w:spacing w:before="240" w:line="219" w:lineRule="auto"/>
              <w:ind w:left="369"/>
              <w:rPr>
                <w:color w:val="auto"/>
                <w:sz w:val="24"/>
                <w:szCs w:val="24"/>
                <w:highlight w:val="none"/>
              </w:rPr>
            </w:pPr>
            <w:r>
              <w:rPr>
                <w:b/>
                <w:bCs/>
                <w:color w:val="auto"/>
                <w:spacing w:val="-4"/>
                <w:sz w:val="24"/>
                <w:szCs w:val="24"/>
                <w:highlight w:val="none"/>
              </w:rPr>
              <w:t>直接控股股东名称</w:t>
            </w:r>
          </w:p>
        </w:tc>
        <w:tc>
          <w:tcPr>
            <w:tcW w:w="1454" w:type="dxa"/>
            <w:vAlign w:val="top"/>
          </w:tcPr>
          <w:p w14:paraId="6B87551A">
            <w:pPr>
              <w:pStyle w:val="19"/>
              <w:spacing w:before="239" w:line="221" w:lineRule="auto"/>
              <w:ind w:left="271"/>
              <w:rPr>
                <w:color w:val="auto"/>
                <w:sz w:val="24"/>
                <w:szCs w:val="24"/>
                <w:highlight w:val="none"/>
              </w:rPr>
            </w:pPr>
            <w:r>
              <w:rPr>
                <w:b/>
                <w:bCs/>
                <w:color w:val="auto"/>
                <w:spacing w:val="-10"/>
                <w:sz w:val="24"/>
                <w:szCs w:val="24"/>
                <w:highlight w:val="none"/>
              </w:rPr>
              <w:t>出资比例</w:t>
            </w:r>
          </w:p>
        </w:tc>
        <w:tc>
          <w:tcPr>
            <w:tcW w:w="4285" w:type="dxa"/>
            <w:vAlign w:val="top"/>
          </w:tcPr>
          <w:p w14:paraId="11B0297A">
            <w:pPr>
              <w:pStyle w:val="19"/>
              <w:spacing w:before="239" w:line="219" w:lineRule="auto"/>
              <w:ind w:left="348"/>
              <w:rPr>
                <w:color w:val="auto"/>
                <w:sz w:val="24"/>
                <w:szCs w:val="24"/>
                <w:highlight w:val="none"/>
              </w:rPr>
            </w:pPr>
            <w:r>
              <w:rPr>
                <w:b/>
                <w:bCs/>
                <w:color w:val="auto"/>
                <w:spacing w:val="-3"/>
                <w:sz w:val="24"/>
                <w:szCs w:val="24"/>
                <w:highlight w:val="none"/>
              </w:rPr>
              <w:t>身份证号码或者统一社会信用代码</w:t>
            </w:r>
          </w:p>
        </w:tc>
        <w:tc>
          <w:tcPr>
            <w:tcW w:w="874" w:type="dxa"/>
            <w:vAlign w:val="top"/>
          </w:tcPr>
          <w:p w14:paraId="5643D6BA">
            <w:pPr>
              <w:pStyle w:val="19"/>
              <w:spacing w:before="239" w:line="221" w:lineRule="auto"/>
              <w:ind w:left="204"/>
              <w:rPr>
                <w:color w:val="auto"/>
                <w:sz w:val="24"/>
                <w:szCs w:val="24"/>
                <w:highlight w:val="none"/>
              </w:rPr>
            </w:pPr>
            <w:r>
              <w:rPr>
                <w:b/>
                <w:bCs/>
                <w:color w:val="auto"/>
                <w:spacing w:val="-9"/>
                <w:sz w:val="24"/>
                <w:szCs w:val="24"/>
                <w:highlight w:val="none"/>
              </w:rPr>
              <w:t>备注</w:t>
            </w:r>
          </w:p>
        </w:tc>
      </w:tr>
      <w:tr w14:paraId="460A6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4B14BCBE">
            <w:pPr>
              <w:pStyle w:val="19"/>
              <w:spacing w:before="273" w:line="184" w:lineRule="auto"/>
              <w:ind w:left="407"/>
              <w:rPr>
                <w:color w:val="auto"/>
                <w:sz w:val="24"/>
                <w:szCs w:val="24"/>
                <w:highlight w:val="none"/>
              </w:rPr>
            </w:pPr>
            <w:r>
              <w:rPr>
                <w:color w:val="auto"/>
                <w:sz w:val="24"/>
                <w:szCs w:val="24"/>
                <w:highlight w:val="none"/>
              </w:rPr>
              <w:t>1</w:t>
            </w:r>
          </w:p>
        </w:tc>
        <w:tc>
          <w:tcPr>
            <w:tcW w:w="2654" w:type="dxa"/>
            <w:vAlign w:val="top"/>
          </w:tcPr>
          <w:p w14:paraId="1A6EC9A3">
            <w:pPr>
              <w:rPr>
                <w:rFonts w:ascii="Arial"/>
                <w:color w:val="auto"/>
                <w:sz w:val="21"/>
                <w:highlight w:val="none"/>
              </w:rPr>
            </w:pPr>
          </w:p>
        </w:tc>
        <w:tc>
          <w:tcPr>
            <w:tcW w:w="1454" w:type="dxa"/>
            <w:vAlign w:val="top"/>
          </w:tcPr>
          <w:p w14:paraId="311D6E21">
            <w:pPr>
              <w:rPr>
                <w:rFonts w:ascii="Arial"/>
                <w:color w:val="auto"/>
                <w:sz w:val="21"/>
                <w:highlight w:val="none"/>
              </w:rPr>
            </w:pPr>
          </w:p>
        </w:tc>
        <w:tc>
          <w:tcPr>
            <w:tcW w:w="4285" w:type="dxa"/>
            <w:vAlign w:val="top"/>
          </w:tcPr>
          <w:p w14:paraId="2AE18440">
            <w:pPr>
              <w:rPr>
                <w:rFonts w:ascii="Arial"/>
                <w:color w:val="auto"/>
                <w:sz w:val="21"/>
                <w:highlight w:val="none"/>
              </w:rPr>
            </w:pPr>
          </w:p>
        </w:tc>
        <w:tc>
          <w:tcPr>
            <w:tcW w:w="874" w:type="dxa"/>
            <w:vAlign w:val="top"/>
          </w:tcPr>
          <w:p w14:paraId="11474740">
            <w:pPr>
              <w:rPr>
                <w:rFonts w:ascii="Arial"/>
                <w:color w:val="auto"/>
                <w:sz w:val="21"/>
                <w:highlight w:val="none"/>
              </w:rPr>
            </w:pPr>
          </w:p>
        </w:tc>
      </w:tr>
      <w:tr w14:paraId="3CA30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003881C2">
            <w:pPr>
              <w:pStyle w:val="19"/>
              <w:spacing w:before="274" w:line="183" w:lineRule="auto"/>
              <w:ind w:left="393"/>
              <w:rPr>
                <w:color w:val="auto"/>
                <w:sz w:val="24"/>
                <w:szCs w:val="24"/>
                <w:highlight w:val="none"/>
              </w:rPr>
            </w:pPr>
            <w:r>
              <w:rPr>
                <w:color w:val="auto"/>
                <w:sz w:val="24"/>
                <w:szCs w:val="24"/>
                <w:highlight w:val="none"/>
              </w:rPr>
              <w:t>2</w:t>
            </w:r>
          </w:p>
        </w:tc>
        <w:tc>
          <w:tcPr>
            <w:tcW w:w="2654" w:type="dxa"/>
            <w:vAlign w:val="top"/>
          </w:tcPr>
          <w:p w14:paraId="19181F8F">
            <w:pPr>
              <w:rPr>
                <w:rFonts w:ascii="Arial"/>
                <w:color w:val="auto"/>
                <w:sz w:val="21"/>
                <w:highlight w:val="none"/>
              </w:rPr>
            </w:pPr>
          </w:p>
        </w:tc>
        <w:tc>
          <w:tcPr>
            <w:tcW w:w="1454" w:type="dxa"/>
            <w:vAlign w:val="top"/>
          </w:tcPr>
          <w:p w14:paraId="2C3226E6">
            <w:pPr>
              <w:rPr>
                <w:rFonts w:ascii="Arial"/>
                <w:color w:val="auto"/>
                <w:sz w:val="21"/>
                <w:highlight w:val="none"/>
              </w:rPr>
            </w:pPr>
          </w:p>
        </w:tc>
        <w:tc>
          <w:tcPr>
            <w:tcW w:w="4285" w:type="dxa"/>
            <w:vAlign w:val="top"/>
          </w:tcPr>
          <w:p w14:paraId="4836A0A2">
            <w:pPr>
              <w:rPr>
                <w:rFonts w:ascii="Arial"/>
                <w:color w:val="auto"/>
                <w:sz w:val="21"/>
                <w:highlight w:val="none"/>
              </w:rPr>
            </w:pPr>
          </w:p>
        </w:tc>
        <w:tc>
          <w:tcPr>
            <w:tcW w:w="874" w:type="dxa"/>
            <w:vAlign w:val="top"/>
          </w:tcPr>
          <w:p w14:paraId="35E76892">
            <w:pPr>
              <w:rPr>
                <w:rFonts w:ascii="Arial"/>
                <w:color w:val="auto"/>
                <w:sz w:val="21"/>
                <w:highlight w:val="none"/>
              </w:rPr>
            </w:pPr>
          </w:p>
        </w:tc>
      </w:tr>
      <w:tr w14:paraId="7EB2C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02424666">
            <w:pPr>
              <w:pStyle w:val="19"/>
              <w:spacing w:before="275" w:line="183" w:lineRule="auto"/>
              <w:ind w:left="394"/>
              <w:rPr>
                <w:color w:val="auto"/>
                <w:sz w:val="24"/>
                <w:szCs w:val="24"/>
                <w:highlight w:val="none"/>
              </w:rPr>
            </w:pPr>
            <w:r>
              <w:rPr>
                <w:color w:val="auto"/>
                <w:sz w:val="24"/>
                <w:szCs w:val="24"/>
                <w:highlight w:val="none"/>
              </w:rPr>
              <w:t>3</w:t>
            </w:r>
          </w:p>
        </w:tc>
        <w:tc>
          <w:tcPr>
            <w:tcW w:w="2654" w:type="dxa"/>
            <w:vAlign w:val="top"/>
          </w:tcPr>
          <w:p w14:paraId="550417E8">
            <w:pPr>
              <w:rPr>
                <w:rFonts w:ascii="Arial"/>
                <w:color w:val="auto"/>
                <w:sz w:val="21"/>
                <w:highlight w:val="none"/>
              </w:rPr>
            </w:pPr>
          </w:p>
        </w:tc>
        <w:tc>
          <w:tcPr>
            <w:tcW w:w="1454" w:type="dxa"/>
            <w:vAlign w:val="top"/>
          </w:tcPr>
          <w:p w14:paraId="72FCF9A2">
            <w:pPr>
              <w:rPr>
                <w:rFonts w:ascii="Arial"/>
                <w:color w:val="auto"/>
                <w:sz w:val="21"/>
                <w:highlight w:val="none"/>
              </w:rPr>
            </w:pPr>
          </w:p>
        </w:tc>
        <w:tc>
          <w:tcPr>
            <w:tcW w:w="4285" w:type="dxa"/>
            <w:vAlign w:val="top"/>
          </w:tcPr>
          <w:p w14:paraId="17D5ED66">
            <w:pPr>
              <w:rPr>
                <w:rFonts w:ascii="Arial"/>
                <w:color w:val="auto"/>
                <w:sz w:val="21"/>
                <w:highlight w:val="none"/>
              </w:rPr>
            </w:pPr>
          </w:p>
        </w:tc>
        <w:tc>
          <w:tcPr>
            <w:tcW w:w="874" w:type="dxa"/>
            <w:vAlign w:val="top"/>
          </w:tcPr>
          <w:p w14:paraId="577FD663">
            <w:pPr>
              <w:rPr>
                <w:rFonts w:ascii="Arial"/>
                <w:color w:val="auto"/>
                <w:sz w:val="21"/>
                <w:highlight w:val="none"/>
              </w:rPr>
            </w:pPr>
          </w:p>
        </w:tc>
      </w:tr>
      <w:tr w14:paraId="44F71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84" w:type="dxa"/>
            <w:vAlign w:val="top"/>
          </w:tcPr>
          <w:p w14:paraId="46DD69DE">
            <w:pPr>
              <w:pStyle w:val="19"/>
              <w:spacing w:before="238" w:line="378" w:lineRule="exact"/>
              <w:ind w:left="225"/>
              <w:rPr>
                <w:color w:val="auto"/>
                <w:sz w:val="24"/>
                <w:szCs w:val="24"/>
                <w:highlight w:val="none"/>
              </w:rPr>
            </w:pPr>
            <w:r>
              <w:rPr>
                <w:color w:val="auto"/>
                <w:spacing w:val="-13"/>
                <w:position w:val="3"/>
                <w:sz w:val="24"/>
                <w:szCs w:val="24"/>
                <w:highlight w:val="none"/>
              </w:rPr>
              <w:t>……</w:t>
            </w:r>
          </w:p>
        </w:tc>
        <w:tc>
          <w:tcPr>
            <w:tcW w:w="2654" w:type="dxa"/>
            <w:vAlign w:val="top"/>
          </w:tcPr>
          <w:p w14:paraId="716ED1C5">
            <w:pPr>
              <w:rPr>
                <w:rFonts w:ascii="Arial"/>
                <w:color w:val="auto"/>
                <w:sz w:val="21"/>
                <w:highlight w:val="none"/>
              </w:rPr>
            </w:pPr>
          </w:p>
        </w:tc>
        <w:tc>
          <w:tcPr>
            <w:tcW w:w="1454" w:type="dxa"/>
            <w:vAlign w:val="top"/>
          </w:tcPr>
          <w:p w14:paraId="5C9B421E">
            <w:pPr>
              <w:rPr>
                <w:rFonts w:ascii="Arial"/>
                <w:color w:val="auto"/>
                <w:sz w:val="21"/>
                <w:highlight w:val="none"/>
              </w:rPr>
            </w:pPr>
          </w:p>
        </w:tc>
        <w:tc>
          <w:tcPr>
            <w:tcW w:w="4285" w:type="dxa"/>
            <w:vAlign w:val="top"/>
          </w:tcPr>
          <w:p w14:paraId="6596D44C">
            <w:pPr>
              <w:rPr>
                <w:rFonts w:ascii="Arial"/>
                <w:color w:val="auto"/>
                <w:sz w:val="21"/>
                <w:highlight w:val="none"/>
              </w:rPr>
            </w:pPr>
          </w:p>
        </w:tc>
        <w:tc>
          <w:tcPr>
            <w:tcW w:w="874" w:type="dxa"/>
            <w:vAlign w:val="top"/>
          </w:tcPr>
          <w:p w14:paraId="48071592">
            <w:pPr>
              <w:rPr>
                <w:rFonts w:ascii="Arial"/>
                <w:color w:val="auto"/>
                <w:sz w:val="21"/>
                <w:highlight w:val="none"/>
              </w:rPr>
            </w:pPr>
          </w:p>
        </w:tc>
      </w:tr>
    </w:tbl>
    <w:p w14:paraId="20166FD0">
      <w:pPr>
        <w:spacing w:before="33" w:line="224" w:lineRule="auto"/>
        <w:ind w:left="26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注：</w:t>
      </w:r>
    </w:p>
    <w:p w14:paraId="53FC21EF">
      <w:pPr>
        <w:spacing w:before="176" w:line="353" w:lineRule="auto"/>
        <w:ind w:left="267" w:right="298" w:firstLine="497"/>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1.直接控股股东：是指其出资额占有限责任公司资本总额百分之五十以上或者其持有的</w:t>
      </w:r>
      <w:r>
        <w:rPr>
          <w:rFonts w:ascii="宋体" w:hAnsi="宋体" w:eastAsia="宋体" w:cs="宋体"/>
          <w:color w:val="auto"/>
          <w:spacing w:val="10"/>
          <w:sz w:val="24"/>
          <w:szCs w:val="24"/>
          <w:highlight w:val="none"/>
        </w:rPr>
        <w:t xml:space="preserve"> </w:t>
      </w:r>
      <w:r>
        <w:rPr>
          <w:rFonts w:ascii="宋体" w:hAnsi="宋体" w:eastAsia="宋体" w:cs="宋体"/>
          <w:color w:val="auto"/>
          <w:sz w:val="24"/>
          <w:szCs w:val="24"/>
          <w:highlight w:val="none"/>
        </w:rPr>
        <w:t>股份占股份有限公司股份总额百分之五十以上的股东；出资额或者</w:t>
      </w:r>
      <w:r>
        <w:rPr>
          <w:rFonts w:ascii="宋体" w:hAnsi="宋体" w:eastAsia="宋体" w:cs="宋体"/>
          <w:color w:val="auto"/>
          <w:spacing w:val="-1"/>
          <w:sz w:val="24"/>
          <w:szCs w:val="24"/>
          <w:highlight w:val="none"/>
        </w:rPr>
        <w:t>持有股份的比例虽然不足</w:t>
      </w:r>
      <w:r>
        <w:rPr>
          <w:rFonts w:ascii="宋体" w:hAnsi="宋体" w:eastAsia="宋体" w:cs="宋体"/>
          <w:color w:val="auto"/>
          <w:sz w:val="24"/>
          <w:szCs w:val="24"/>
          <w:highlight w:val="none"/>
        </w:rPr>
        <w:t xml:space="preserve"> 百分之五十，但依其出资额或者持有的股份所享有的表决权已足以</w:t>
      </w:r>
      <w:r>
        <w:rPr>
          <w:rFonts w:ascii="宋体" w:hAnsi="宋体" w:eastAsia="宋体" w:cs="宋体"/>
          <w:color w:val="auto"/>
          <w:spacing w:val="-1"/>
          <w:sz w:val="24"/>
          <w:szCs w:val="24"/>
          <w:highlight w:val="none"/>
        </w:rPr>
        <w:t>对股东会、股东大会的决</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议产生重大影响的股东。</w:t>
      </w:r>
    </w:p>
    <w:p w14:paraId="0F7857A8">
      <w:pPr>
        <w:spacing w:before="34" w:line="346" w:lineRule="auto"/>
        <w:ind w:left="272" w:right="298"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2.本表所指的控股关系仅限于直接控股关系，不包括间</w:t>
      </w:r>
      <w:r>
        <w:rPr>
          <w:rFonts w:ascii="宋体" w:hAnsi="宋体" w:eastAsia="宋体" w:cs="宋体"/>
          <w:color w:val="auto"/>
          <w:spacing w:val="-1"/>
          <w:sz w:val="24"/>
          <w:szCs w:val="24"/>
          <w:highlight w:val="none"/>
        </w:rPr>
        <w:t>接的控股关系。公司实际控制人</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与公司之间的关系不属于本表所指的直接控股关系。</w:t>
      </w:r>
    </w:p>
    <w:p w14:paraId="4E543948">
      <w:pPr>
        <w:spacing w:before="35" w:line="219" w:lineRule="auto"/>
        <w:ind w:left="75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3.供应商不存在直接控股股东的，则填“无</w:t>
      </w:r>
      <w:r>
        <w:rPr>
          <w:rFonts w:ascii="宋体" w:hAnsi="宋体" w:eastAsia="宋体" w:cs="宋体"/>
          <w:color w:val="auto"/>
          <w:spacing w:val="-81"/>
          <w:sz w:val="24"/>
          <w:szCs w:val="24"/>
          <w:highlight w:val="none"/>
        </w:rPr>
        <w:t xml:space="preserve"> </w:t>
      </w:r>
      <w:r>
        <w:rPr>
          <w:rFonts w:ascii="宋体" w:hAnsi="宋体" w:eastAsia="宋体" w:cs="宋体"/>
          <w:color w:val="auto"/>
          <w:spacing w:val="-1"/>
          <w:sz w:val="24"/>
          <w:szCs w:val="24"/>
          <w:highlight w:val="none"/>
        </w:rPr>
        <w:t>”。</w:t>
      </w:r>
    </w:p>
    <w:p w14:paraId="0CDE5F22">
      <w:pPr>
        <w:pStyle w:val="4"/>
        <w:spacing w:line="259" w:lineRule="auto"/>
        <w:rPr>
          <w:color w:val="auto"/>
          <w:highlight w:val="none"/>
        </w:rPr>
      </w:pPr>
    </w:p>
    <w:p w14:paraId="055F4D4A">
      <w:pPr>
        <w:spacing w:before="78" w:line="464" w:lineRule="auto"/>
        <w:ind w:left="3267" w:right="739" w:hanging="10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法定代表人/法定代表或者委托代理人签字：</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供应商（盖公章</w:t>
      </w:r>
      <w:r>
        <w:rPr>
          <w:rFonts w:ascii="宋体" w:hAnsi="宋体" w:eastAsia="宋体" w:cs="宋体"/>
          <w:color w:val="auto"/>
          <w:spacing w:val="34"/>
          <w:sz w:val="24"/>
          <w:szCs w:val="24"/>
          <w:highlight w:val="none"/>
        </w:rPr>
        <w:t xml:space="preserve"> </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u w:val="single" w:color="auto"/>
        </w:rPr>
        <w:t xml:space="preserve">                              </w:t>
      </w:r>
    </w:p>
    <w:p w14:paraId="55B48990">
      <w:pPr>
        <w:spacing w:before="38" w:line="219" w:lineRule="auto"/>
        <w:ind w:left="5548"/>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3"/>
          <w:sz w:val="24"/>
          <w:szCs w:val="24"/>
          <w:highlight w:val="none"/>
        </w:rPr>
        <w:t xml:space="preserve">    </w:t>
      </w:r>
      <w:r>
        <w:rPr>
          <w:rFonts w:ascii="宋体" w:hAnsi="宋体" w:eastAsia="宋体" w:cs="宋体"/>
          <w:color w:val="auto"/>
          <w:spacing w:val="-9"/>
          <w:sz w:val="24"/>
          <w:szCs w:val="24"/>
          <w:highlight w:val="none"/>
        </w:rPr>
        <w:t>日</w:t>
      </w:r>
    </w:p>
    <w:p w14:paraId="0204CDDC">
      <w:pPr>
        <w:spacing w:line="219" w:lineRule="auto"/>
        <w:rPr>
          <w:rFonts w:ascii="宋体" w:hAnsi="宋体" w:eastAsia="宋体" w:cs="宋体"/>
          <w:color w:val="auto"/>
          <w:sz w:val="24"/>
          <w:szCs w:val="24"/>
          <w:highlight w:val="none"/>
        </w:rPr>
        <w:sectPr>
          <w:footerReference r:id="rId28" w:type="default"/>
          <w:pgSz w:w="11906" w:h="16839"/>
          <w:pgMar w:top="1431" w:right="875" w:bottom="1362" w:left="874" w:header="0" w:footer="1200" w:gutter="0"/>
          <w:pgNumType w:fmt="decimal"/>
          <w:cols w:space="720" w:num="1"/>
        </w:sectPr>
      </w:pPr>
    </w:p>
    <w:p w14:paraId="36C7EA40">
      <w:pPr>
        <w:pStyle w:val="4"/>
        <w:spacing w:line="250" w:lineRule="auto"/>
        <w:rPr>
          <w:color w:val="auto"/>
          <w:highlight w:val="none"/>
        </w:rPr>
      </w:pPr>
    </w:p>
    <w:p w14:paraId="37137838">
      <w:pPr>
        <w:spacing w:before="100" w:line="224" w:lineRule="auto"/>
        <w:ind w:left="2915"/>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供应商直接管理关系信息表</w:t>
      </w:r>
    </w:p>
    <w:p w14:paraId="75A6AA58">
      <w:pPr>
        <w:spacing w:before="186"/>
        <w:rPr>
          <w:color w:val="auto"/>
          <w:highlight w:val="none"/>
        </w:rPr>
      </w:pPr>
    </w:p>
    <w:tbl>
      <w:tblPr>
        <w:tblStyle w:val="18"/>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711BC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14:paraId="48D63BAE">
            <w:pPr>
              <w:pStyle w:val="19"/>
              <w:spacing w:before="237" w:line="221" w:lineRule="auto"/>
              <w:ind w:left="170"/>
              <w:rPr>
                <w:color w:val="auto"/>
                <w:sz w:val="24"/>
                <w:szCs w:val="24"/>
                <w:highlight w:val="none"/>
              </w:rPr>
            </w:pPr>
            <w:r>
              <w:rPr>
                <w:b/>
                <w:bCs/>
                <w:color w:val="auto"/>
                <w:spacing w:val="-7"/>
                <w:sz w:val="24"/>
                <w:szCs w:val="24"/>
                <w:highlight w:val="none"/>
              </w:rPr>
              <w:t>序号</w:t>
            </w:r>
          </w:p>
        </w:tc>
        <w:tc>
          <w:tcPr>
            <w:tcW w:w="3598" w:type="dxa"/>
            <w:vAlign w:val="top"/>
          </w:tcPr>
          <w:p w14:paraId="657D6DBA">
            <w:pPr>
              <w:pStyle w:val="19"/>
              <w:spacing w:before="238" w:line="219" w:lineRule="auto"/>
              <w:ind w:left="601"/>
              <w:rPr>
                <w:color w:val="auto"/>
                <w:sz w:val="24"/>
                <w:szCs w:val="24"/>
                <w:highlight w:val="none"/>
              </w:rPr>
            </w:pPr>
            <w:r>
              <w:rPr>
                <w:b/>
                <w:bCs/>
                <w:color w:val="auto"/>
                <w:spacing w:val="-3"/>
                <w:sz w:val="24"/>
                <w:szCs w:val="24"/>
                <w:highlight w:val="none"/>
              </w:rPr>
              <w:t>直接管理关系单位名称</w:t>
            </w:r>
          </w:p>
        </w:tc>
        <w:tc>
          <w:tcPr>
            <w:tcW w:w="3553" w:type="dxa"/>
            <w:vAlign w:val="top"/>
          </w:tcPr>
          <w:p w14:paraId="17BB4D71">
            <w:pPr>
              <w:pStyle w:val="19"/>
              <w:spacing w:before="237" w:line="219" w:lineRule="auto"/>
              <w:ind w:left="825"/>
              <w:rPr>
                <w:color w:val="auto"/>
                <w:sz w:val="24"/>
                <w:szCs w:val="24"/>
                <w:highlight w:val="none"/>
              </w:rPr>
            </w:pPr>
            <w:r>
              <w:rPr>
                <w:b/>
                <w:bCs/>
                <w:color w:val="auto"/>
                <w:spacing w:val="-4"/>
                <w:sz w:val="24"/>
                <w:szCs w:val="24"/>
                <w:highlight w:val="none"/>
              </w:rPr>
              <w:t>统一社会信用代码</w:t>
            </w:r>
          </w:p>
        </w:tc>
        <w:tc>
          <w:tcPr>
            <w:tcW w:w="1693" w:type="dxa"/>
            <w:vAlign w:val="top"/>
          </w:tcPr>
          <w:p w14:paraId="205DA11A">
            <w:pPr>
              <w:pStyle w:val="19"/>
              <w:spacing w:before="237" w:line="221" w:lineRule="auto"/>
              <w:ind w:left="615"/>
              <w:rPr>
                <w:color w:val="auto"/>
                <w:sz w:val="24"/>
                <w:szCs w:val="24"/>
                <w:highlight w:val="none"/>
              </w:rPr>
            </w:pPr>
            <w:r>
              <w:rPr>
                <w:b/>
                <w:bCs/>
                <w:color w:val="auto"/>
                <w:spacing w:val="-9"/>
                <w:sz w:val="24"/>
                <w:szCs w:val="24"/>
                <w:highlight w:val="none"/>
              </w:rPr>
              <w:t>备注</w:t>
            </w:r>
          </w:p>
        </w:tc>
      </w:tr>
      <w:tr w14:paraId="3C3C7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13EF779A">
            <w:pPr>
              <w:pStyle w:val="19"/>
              <w:spacing w:before="273" w:line="184" w:lineRule="auto"/>
              <w:ind w:left="371"/>
              <w:rPr>
                <w:color w:val="auto"/>
                <w:sz w:val="24"/>
                <w:szCs w:val="24"/>
                <w:highlight w:val="none"/>
              </w:rPr>
            </w:pPr>
            <w:r>
              <w:rPr>
                <w:color w:val="auto"/>
                <w:sz w:val="24"/>
                <w:szCs w:val="24"/>
                <w:highlight w:val="none"/>
              </w:rPr>
              <w:t>1</w:t>
            </w:r>
          </w:p>
        </w:tc>
        <w:tc>
          <w:tcPr>
            <w:tcW w:w="3598" w:type="dxa"/>
            <w:vAlign w:val="top"/>
          </w:tcPr>
          <w:p w14:paraId="40C82AF1">
            <w:pPr>
              <w:rPr>
                <w:rFonts w:ascii="Arial"/>
                <w:color w:val="auto"/>
                <w:sz w:val="21"/>
                <w:highlight w:val="none"/>
              </w:rPr>
            </w:pPr>
          </w:p>
        </w:tc>
        <w:tc>
          <w:tcPr>
            <w:tcW w:w="3553" w:type="dxa"/>
            <w:vAlign w:val="top"/>
          </w:tcPr>
          <w:p w14:paraId="53EAB1EF">
            <w:pPr>
              <w:rPr>
                <w:rFonts w:ascii="Arial"/>
                <w:color w:val="auto"/>
                <w:sz w:val="21"/>
                <w:highlight w:val="none"/>
              </w:rPr>
            </w:pPr>
          </w:p>
        </w:tc>
        <w:tc>
          <w:tcPr>
            <w:tcW w:w="1693" w:type="dxa"/>
            <w:vAlign w:val="top"/>
          </w:tcPr>
          <w:p w14:paraId="10177D32">
            <w:pPr>
              <w:rPr>
                <w:rFonts w:ascii="Arial"/>
                <w:color w:val="auto"/>
                <w:sz w:val="21"/>
                <w:highlight w:val="none"/>
              </w:rPr>
            </w:pPr>
          </w:p>
        </w:tc>
      </w:tr>
      <w:tr w14:paraId="0C4B8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14E4BED0">
            <w:pPr>
              <w:pStyle w:val="19"/>
              <w:spacing w:before="275" w:line="183" w:lineRule="auto"/>
              <w:ind w:left="356"/>
              <w:rPr>
                <w:color w:val="auto"/>
                <w:sz w:val="24"/>
                <w:szCs w:val="24"/>
                <w:highlight w:val="none"/>
              </w:rPr>
            </w:pPr>
            <w:r>
              <w:rPr>
                <w:color w:val="auto"/>
                <w:sz w:val="24"/>
                <w:szCs w:val="24"/>
                <w:highlight w:val="none"/>
              </w:rPr>
              <w:t>2</w:t>
            </w:r>
          </w:p>
        </w:tc>
        <w:tc>
          <w:tcPr>
            <w:tcW w:w="3598" w:type="dxa"/>
            <w:vAlign w:val="top"/>
          </w:tcPr>
          <w:p w14:paraId="2E91AA81">
            <w:pPr>
              <w:rPr>
                <w:rFonts w:ascii="Arial"/>
                <w:color w:val="auto"/>
                <w:sz w:val="21"/>
                <w:highlight w:val="none"/>
              </w:rPr>
            </w:pPr>
          </w:p>
        </w:tc>
        <w:tc>
          <w:tcPr>
            <w:tcW w:w="3553" w:type="dxa"/>
            <w:vAlign w:val="top"/>
          </w:tcPr>
          <w:p w14:paraId="02F3512A">
            <w:pPr>
              <w:rPr>
                <w:rFonts w:ascii="Arial"/>
                <w:color w:val="auto"/>
                <w:sz w:val="21"/>
                <w:highlight w:val="none"/>
              </w:rPr>
            </w:pPr>
          </w:p>
        </w:tc>
        <w:tc>
          <w:tcPr>
            <w:tcW w:w="1693" w:type="dxa"/>
            <w:vAlign w:val="top"/>
          </w:tcPr>
          <w:p w14:paraId="0E1A64DC">
            <w:pPr>
              <w:rPr>
                <w:rFonts w:ascii="Arial"/>
                <w:color w:val="auto"/>
                <w:sz w:val="21"/>
                <w:highlight w:val="none"/>
              </w:rPr>
            </w:pPr>
          </w:p>
        </w:tc>
      </w:tr>
      <w:tr w14:paraId="367F8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1F09FA76">
            <w:pPr>
              <w:pStyle w:val="19"/>
              <w:spacing w:before="275" w:line="183" w:lineRule="auto"/>
              <w:ind w:left="358"/>
              <w:rPr>
                <w:color w:val="auto"/>
                <w:sz w:val="24"/>
                <w:szCs w:val="24"/>
                <w:highlight w:val="none"/>
              </w:rPr>
            </w:pPr>
            <w:r>
              <w:rPr>
                <w:color w:val="auto"/>
                <w:sz w:val="24"/>
                <w:szCs w:val="24"/>
                <w:highlight w:val="none"/>
              </w:rPr>
              <w:t>3</w:t>
            </w:r>
          </w:p>
        </w:tc>
        <w:tc>
          <w:tcPr>
            <w:tcW w:w="3598" w:type="dxa"/>
            <w:vAlign w:val="top"/>
          </w:tcPr>
          <w:p w14:paraId="07F9F7F3">
            <w:pPr>
              <w:rPr>
                <w:rFonts w:ascii="Arial"/>
                <w:color w:val="auto"/>
                <w:sz w:val="21"/>
                <w:highlight w:val="none"/>
              </w:rPr>
            </w:pPr>
          </w:p>
        </w:tc>
        <w:tc>
          <w:tcPr>
            <w:tcW w:w="3553" w:type="dxa"/>
            <w:vAlign w:val="top"/>
          </w:tcPr>
          <w:p w14:paraId="572005F2">
            <w:pPr>
              <w:rPr>
                <w:rFonts w:ascii="Arial"/>
                <w:color w:val="auto"/>
                <w:sz w:val="21"/>
                <w:highlight w:val="none"/>
              </w:rPr>
            </w:pPr>
          </w:p>
        </w:tc>
        <w:tc>
          <w:tcPr>
            <w:tcW w:w="1693" w:type="dxa"/>
            <w:vAlign w:val="top"/>
          </w:tcPr>
          <w:p w14:paraId="542157B1">
            <w:pPr>
              <w:rPr>
                <w:rFonts w:ascii="Arial"/>
                <w:color w:val="auto"/>
                <w:sz w:val="21"/>
                <w:highlight w:val="none"/>
              </w:rPr>
            </w:pPr>
          </w:p>
        </w:tc>
      </w:tr>
      <w:tr w14:paraId="7EC2F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12" w:type="dxa"/>
            <w:vAlign w:val="top"/>
          </w:tcPr>
          <w:p w14:paraId="44B0C353">
            <w:pPr>
              <w:pStyle w:val="19"/>
              <w:spacing w:before="238" w:line="378" w:lineRule="exact"/>
              <w:ind w:left="188"/>
              <w:rPr>
                <w:color w:val="auto"/>
                <w:sz w:val="24"/>
                <w:szCs w:val="24"/>
                <w:highlight w:val="none"/>
              </w:rPr>
            </w:pPr>
            <w:r>
              <w:rPr>
                <w:color w:val="auto"/>
                <w:spacing w:val="-13"/>
                <w:position w:val="3"/>
                <w:sz w:val="24"/>
                <w:szCs w:val="24"/>
                <w:highlight w:val="none"/>
              </w:rPr>
              <w:t>……</w:t>
            </w:r>
          </w:p>
        </w:tc>
        <w:tc>
          <w:tcPr>
            <w:tcW w:w="3598" w:type="dxa"/>
            <w:vAlign w:val="top"/>
          </w:tcPr>
          <w:p w14:paraId="23FF0C6D">
            <w:pPr>
              <w:rPr>
                <w:rFonts w:ascii="Arial"/>
                <w:color w:val="auto"/>
                <w:sz w:val="21"/>
                <w:highlight w:val="none"/>
              </w:rPr>
            </w:pPr>
          </w:p>
        </w:tc>
        <w:tc>
          <w:tcPr>
            <w:tcW w:w="3553" w:type="dxa"/>
            <w:vAlign w:val="top"/>
          </w:tcPr>
          <w:p w14:paraId="73ADF075">
            <w:pPr>
              <w:rPr>
                <w:rFonts w:ascii="Arial"/>
                <w:color w:val="auto"/>
                <w:sz w:val="21"/>
                <w:highlight w:val="none"/>
              </w:rPr>
            </w:pPr>
          </w:p>
        </w:tc>
        <w:tc>
          <w:tcPr>
            <w:tcW w:w="1693" w:type="dxa"/>
            <w:vAlign w:val="top"/>
          </w:tcPr>
          <w:p w14:paraId="2997132F">
            <w:pPr>
              <w:rPr>
                <w:rFonts w:ascii="Arial"/>
                <w:color w:val="auto"/>
                <w:sz w:val="21"/>
                <w:highlight w:val="none"/>
              </w:rPr>
            </w:pPr>
          </w:p>
        </w:tc>
      </w:tr>
    </w:tbl>
    <w:p w14:paraId="5989CB69">
      <w:pPr>
        <w:spacing w:before="33" w:line="224" w:lineRule="auto"/>
        <w:ind w:left="1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注：</w:t>
      </w:r>
    </w:p>
    <w:p w14:paraId="27281F76">
      <w:pPr>
        <w:spacing w:before="178" w:line="345" w:lineRule="auto"/>
        <w:ind w:left="23" w:right="51" w:firstLine="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1.管理关系：是指不具有出资持股关系的其他单位之间存在的管理与被管理关系，如一</w:t>
      </w:r>
      <w:r>
        <w:rPr>
          <w:rFonts w:ascii="宋体" w:hAnsi="宋体" w:eastAsia="宋体" w:cs="宋体"/>
          <w:color w:val="auto"/>
          <w:spacing w:val="10"/>
          <w:sz w:val="24"/>
          <w:szCs w:val="24"/>
          <w:highlight w:val="none"/>
        </w:rPr>
        <w:t xml:space="preserve"> </w:t>
      </w:r>
      <w:r>
        <w:rPr>
          <w:rFonts w:ascii="宋体" w:hAnsi="宋体" w:eastAsia="宋体" w:cs="宋体"/>
          <w:color w:val="auto"/>
          <w:spacing w:val="-1"/>
          <w:sz w:val="24"/>
          <w:szCs w:val="24"/>
          <w:highlight w:val="none"/>
        </w:rPr>
        <w:t>些上下级关系的事业单位和团体组织。</w:t>
      </w:r>
    </w:p>
    <w:p w14:paraId="41D86E6C">
      <w:pPr>
        <w:spacing w:before="37" w:line="346" w:lineRule="auto"/>
        <w:ind w:left="503" w:right="2118" w:hanging="1"/>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2.本表所指的管理关系仅限于直接管理关系，不包括间接的管理关系。</w:t>
      </w:r>
      <w:r>
        <w:rPr>
          <w:rFonts w:ascii="宋体" w:hAnsi="宋体" w:eastAsia="宋体" w:cs="宋体"/>
          <w:color w:val="auto"/>
          <w:spacing w:val="14"/>
          <w:sz w:val="24"/>
          <w:szCs w:val="24"/>
          <w:highlight w:val="none"/>
        </w:rPr>
        <w:t xml:space="preserve"> </w:t>
      </w:r>
      <w:r>
        <w:rPr>
          <w:rFonts w:ascii="宋体" w:hAnsi="宋体" w:eastAsia="宋体" w:cs="宋体"/>
          <w:color w:val="auto"/>
          <w:spacing w:val="-1"/>
          <w:sz w:val="24"/>
          <w:szCs w:val="24"/>
          <w:highlight w:val="none"/>
        </w:rPr>
        <w:t>3.供应商不存在直接管理关系的，则填“无</w:t>
      </w:r>
      <w:r>
        <w:rPr>
          <w:rFonts w:ascii="宋体" w:hAnsi="宋体" w:eastAsia="宋体" w:cs="宋体"/>
          <w:color w:val="auto"/>
          <w:spacing w:val="-81"/>
          <w:sz w:val="24"/>
          <w:szCs w:val="24"/>
          <w:highlight w:val="none"/>
        </w:rPr>
        <w:t xml:space="preserve"> </w:t>
      </w:r>
      <w:r>
        <w:rPr>
          <w:rFonts w:ascii="宋体" w:hAnsi="宋体" w:eastAsia="宋体" w:cs="宋体"/>
          <w:color w:val="auto"/>
          <w:spacing w:val="-1"/>
          <w:sz w:val="24"/>
          <w:szCs w:val="24"/>
          <w:highlight w:val="none"/>
        </w:rPr>
        <w:t>”。</w:t>
      </w:r>
    </w:p>
    <w:p w14:paraId="7160B298">
      <w:pPr>
        <w:pStyle w:val="4"/>
        <w:spacing w:line="241" w:lineRule="auto"/>
        <w:rPr>
          <w:color w:val="auto"/>
          <w:highlight w:val="none"/>
        </w:rPr>
      </w:pPr>
    </w:p>
    <w:p w14:paraId="62CF03BE">
      <w:pPr>
        <w:pStyle w:val="4"/>
        <w:spacing w:line="241" w:lineRule="auto"/>
        <w:rPr>
          <w:color w:val="auto"/>
          <w:highlight w:val="none"/>
        </w:rPr>
      </w:pPr>
    </w:p>
    <w:p w14:paraId="746C1507">
      <w:pPr>
        <w:pStyle w:val="4"/>
        <w:spacing w:line="241" w:lineRule="auto"/>
        <w:rPr>
          <w:color w:val="auto"/>
          <w:highlight w:val="none"/>
        </w:rPr>
      </w:pPr>
    </w:p>
    <w:p w14:paraId="6D83CDF3">
      <w:pPr>
        <w:pStyle w:val="4"/>
        <w:spacing w:line="241" w:lineRule="auto"/>
        <w:rPr>
          <w:color w:val="auto"/>
          <w:highlight w:val="none"/>
        </w:rPr>
      </w:pPr>
    </w:p>
    <w:p w14:paraId="465095A0">
      <w:pPr>
        <w:pStyle w:val="4"/>
        <w:spacing w:line="241" w:lineRule="auto"/>
        <w:rPr>
          <w:color w:val="auto"/>
          <w:highlight w:val="none"/>
        </w:rPr>
      </w:pPr>
    </w:p>
    <w:p w14:paraId="1E64BB28">
      <w:pPr>
        <w:pStyle w:val="4"/>
        <w:spacing w:line="241" w:lineRule="auto"/>
        <w:rPr>
          <w:color w:val="auto"/>
          <w:highlight w:val="none"/>
        </w:rPr>
      </w:pPr>
    </w:p>
    <w:p w14:paraId="67C87AE0">
      <w:pPr>
        <w:pStyle w:val="4"/>
        <w:spacing w:line="241" w:lineRule="auto"/>
        <w:rPr>
          <w:color w:val="auto"/>
          <w:highlight w:val="none"/>
        </w:rPr>
      </w:pPr>
    </w:p>
    <w:p w14:paraId="14C628A6">
      <w:pPr>
        <w:pStyle w:val="4"/>
        <w:spacing w:line="241" w:lineRule="auto"/>
        <w:rPr>
          <w:color w:val="auto"/>
          <w:highlight w:val="none"/>
        </w:rPr>
      </w:pPr>
    </w:p>
    <w:p w14:paraId="7CA0D94F">
      <w:pPr>
        <w:pStyle w:val="4"/>
        <w:spacing w:line="241" w:lineRule="auto"/>
        <w:rPr>
          <w:color w:val="auto"/>
          <w:highlight w:val="none"/>
        </w:rPr>
      </w:pPr>
    </w:p>
    <w:p w14:paraId="1B9FA60D">
      <w:pPr>
        <w:pStyle w:val="4"/>
        <w:spacing w:line="241" w:lineRule="auto"/>
        <w:rPr>
          <w:color w:val="auto"/>
          <w:highlight w:val="none"/>
        </w:rPr>
      </w:pPr>
    </w:p>
    <w:p w14:paraId="6D687DD7">
      <w:pPr>
        <w:pStyle w:val="4"/>
        <w:spacing w:line="242" w:lineRule="auto"/>
        <w:rPr>
          <w:color w:val="auto"/>
          <w:highlight w:val="none"/>
        </w:rPr>
      </w:pPr>
    </w:p>
    <w:p w14:paraId="13665777">
      <w:pPr>
        <w:pStyle w:val="4"/>
        <w:spacing w:line="242" w:lineRule="auto"/>
        <w:rPr>
          <w:color w:val="auto"/>
          <w:highlight w:val="none"/>
        </w:rPr>
      </w:pPr>
    </w:p>
    <w:p w14:paraId="597C2632">
      <w:pPr>
        <w:spacing w:before="78" w:line="219" w:lineRule="auto"/>
        <w:ind w:left="21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法定代表人/法定代表或者委托代理人签字：</w:t>
      </w:r>
      <w:r>
        <w:rPr>
          <w:rFonts w:ascii="宋体" w:hAnsi="宋体" w:eastAsia="宋体" w:cs="宋体"/>
          <w:color w:val="auto"/>
          <w:sz w:val="24"/>
          <w:szCs w:val="24"/>
          <w:highlight w:val="none"/>
          <w:u w:val="single" w:color="auto"/>
        </w:rPr>
        <w:t xml:space="preserve">               </w:t>
      </w:r>
    </w:p>
    <w:p w14:paraId="694DA549">
      <w:pPr>
        <w:pStyle w:val="4"/>
        <w:spacing w:line="258" w:lineRule="auto"/>
        <w:rPr>
          <w:color w:val="auto"/>
          <w:highlight w:val="none"/>
        </w:rPr>
      </w:pPr>
    </w:p>
    <w:p w14:paraId="33992AD9">
      <w:pPr>
        <w:spacing w:before="79" w:line="219" w:lineRule="auto"/>
        <w:ind w:left="33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供应商（盖公章</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u w:val="single" w:color="auto"/>
        </w:rPr>
        <w:t xml:space="preserve">                </w:t>
      </w:r>
    </w:p>
    <w:p w14:paraId="1DFEB883">
      <w:pPr>
        <w:pStyle w:val="4"/>
        <w:spacing w:line="258" w:lineRule="auto"/>
        <w:rPr>
          <w:color w:val="auto"/>
          <w:highlight w:val="none"/>
        </w:rPr>
      </w:pPr>
    </w:p>
    <w:p w14:paraId="1CF3900E">
      <w:pPr>
        <w:spacing w:before="78" w:line="219" w:lineRule="auto"/>
        <w:ind w:left="6280"/>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3"/>
          <w:sz w:val="24"/>
          <w:szCs w:val="24"/>
          <w:highlight w:val="none"/>
        </w:rPr>
        <w:t xml:space="preserve">    </w:t>
      </w:r>
      <w:r>
        <w:rPr>
          <w:rFonts w:ascii="宋体" w:hAnsi="宋体" w:eastAsia="宋体" w:cs="宋体"/>
          <w:color w:val="auto"/>
          <w:spacing w:val="-9"/>
          <w:sz w:val="24"/>
          <w:szCs w:val="24"/>
          <w:highlight w:val="none"/>
        </w:rPr>
        <w:t>日</w:t>
      </w:r>
    </w:p>
    <w:p w14:paraId="22E774B7">
      <w:pPr>
        <w:spacing w:line="219" w:lineRule="auto"/>
        <w:rPr>
          <w:rFonts w:ascii="宋体" w:hAnsi="宋体" w:eastAsia="宋体" w:cs="宋体"/>
          <w:color w:val="auto"/>
          <w:sz w:val="24"/>
          <w:szCs w:val="24"/>
          <w:highlight w:val="none"/>
        </w:rPr>
        <w:sectPr>
          <w:footerReference r:id="rId29" w:type="default"/>
          <w:pgSz w:w="11906" w:h="16839"/>
          <w:pgMar w:top="1431" w:right="1122" w:bottom="1362" w:left="1122" w:header="0" w:footer="1200" w:gutter="0"/>
          <w:pgNumType w:fmt="decimal"/>
          <w:cols w:space="720" w:num="1"/>
        </w:sectPr>
      </w:pPr>
    </w:p>
    <w:p w14:paraId="66EAEF21">
      <w:pPr>
        <w:spacing w:before="63" w:line="225" w:lineRule="auto"/>
        <w:ind w:left="4036"/>
        <w:outlineLvl w:val="2"/>
        <w:rPr>
          <w:rFonts w:ascii="宋体" w:hAnsi="宋体" w:eastAsia="宋体" w:cs="宋体"/>
          <w:color w:val="auto"/>
          <w:sz w:val="31"/>
          <w:szCs w:val="31"/>
          <w:highlight w:val="none"/>
        </w:rPr>
      </w:pPr>
      <w:r>
        <w:rPr>
          <w:rFonts w:hint="eastAsia" w:ascii="宋体" w:hAnsi="宋体" w:eastAsia="宋体" w:cs="宋体"/>
          <w:b/>
          <w:bCs/>
          <w:color w:val="auto"/>
          <w:spacing w:val="2"/>
          <w:sz w:val="28"/>
          <w:szCs w:val="28"/>
          <w:highlight w:val="none"/>
          <w:lang w:val="en-US" w:eastAsia="zh-CN"/>
        </w:rPr>
        <w:t>6</w:t>
      </w:r>
      <w:r>
        <w:rPr>
          <w:rFonts w:ascii="宋体" w:hAnsi="宋体" w:eastAsia="宋体" w:cs="宋体"/>
          <w:b/>
          <w:bCs/>
          <w:color w:val="auto"/>
          <w:spacing w:val="2"/>
          <w:sz w:val="31"/>
          <w:szCs w:val="31"/>
          <w:highlight w:val="none"/>
        </w:rPr>
        <w:t>.竞标声明</w:t>
      </w:r>
    </w:p>
    <w:p w14:paraId="347876F2">
      <w:pPr>
        <w:pStyle w:val="4"/>
        <w:spacing w:line="315" w:lineRule="auto"/>
        <w:rPr>
          <w:color w:val="auto"/>
          <w:highlight w:val="none"/>
        </w:rPr>
      </w:pPr>
    </w:p>
    <w:p w14:paraId="3536B562">
      <w:pPr>
        <w:spacing w:before="78" w:line="219" w:lineRule="auto"/>
        <w:ind w:left="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致</w:t>
      </w:r>
      <w:r>
        <w:rPr>
          <w:rFonts w:ascii="宋体" w:hAnsi="宋体" w:eastAsia="宋体" w:cs="宋体"/>
          <w:color w:val="auto"/>
          <w:spacing w:val="-17"/>
          <w:sz w:val="24"/>
          <w:szCs w:val="24"/>
          <w:highlight w:val="none"/>
        </w:rPr>
        <w:t>：</w:t>
      </w:r>
      <w:r>
        <w:rPr>
          <w:rFonts w:ascii="宋体" w:hAnsi="宋体" w:eastAsia="宋体" w:cs="宋体"/>
          <w:color w:val="auto"/>
          <w:spacing w:val="-17"/>
          <w:sz w:val="24"/>
          <w:szCs w:val="24"/>
          <w:highlight w:val="none"/>
          <w:u w:val="single" w:color="auto"/>
        </w:rPr>
        <w:t>（</w:t>
      </w:r>
      <w:r>
        <w:rPr>
          <w:rFonts w:ascii="宋体" w:hAnsi="宋体" w:eastAsia="宋体" w:cs="宋体"/>
          <w:color w:val="auto"/>
          <w:spacing w:val="6"/>
          <w:sz w:val="24"/>
          <w:szCs w:val="24"/>
          <w:highlight w:val="none"/>
          <w:u w:val="single" w:color="auto"/>
        </w:rPr>
        <w:t>采购代理机构名称</w:t>
      </w:r>
      <w:r>
        <w:rPr>
          <w:rFonts w:ascii="宋体" w:hAnsi="宋体" w:eastAsia="宋体" w:cs="宋体"/>
          <w:color w:val="auto"/>
          <w:spacing w:val="-17"/>
          <w:sz w:val="24"/>
          <w:szCs w:val="24"/>
          <w:highlight w:val="none"/>
          <w:u w:val="single" w:color="auto"/>
        </w:rPr>
        <w:t>）</w:t>
      </w:r>
      <w:r>
        <w:rPr>
          <w:rFonts w:ascii="宋体" w:hAnsi="宋体" w:eastAsia="宋体" w:cs="宋体"/>
          <w:color w:val="auto"/>
          <w:spacing w:val="-17"/>
          <w:sz w:val="24"/>
          <w:szCs w:val="24"/>
          <w:highlight w:val="none"/>
        </w:rPr>
        <w:t>：</w:t>
      </w:r>
    </w:p>
    <w:p w14:paraId="1D293B46">
      <w:pPr>
        <w:tabs>
          <w:tab w:val="left" w:pos="607"/>
        </w:tabs>
        <w:spacing w:before="183" w:line="219" w:lineRule="auto"/>
        <w:ind w:left="471"/>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21"/>
          <w:sz w:val="24"/>
          <w:szCs w:val="24"/>
          <w:highlight w:val="none"/>
          <w:u w:val="single" w:color="auto"/>
        </w:rPr>
        <w:t>（</w:t>
      </w:r>
      <w:r>
        <w:rPr>
          <w:rFonts w:ascii="宋体" w:hAnsi="宋体" w:eastAsia="宋体" w:cs="宋体"/>
          <w:color w:val="auto"/>
          <w:spacing w:val="54"/>
          <w:sz w:val="24"/>
          <w:szCs w:val="24"/>
          <w:highlight w:val="none"/>
          <w:u w:val="single" w:color="auto"/>
        </w:rPr>
        <w:t xml:space="preserve"> </w:t>
      </w:r>
      <w:r>
        <w:rPr>
          <w:rFonts w:ascii="宋体" w:hAnsi="宋体" w:eastAsia="宋体" w:cs="宋体"/>
          <w:color w:val="auto"/>
          <w:spacing w:val="-21"/>
          <w:sz w:val="24"/>
          <w:szCs w:val="24"/>
          <w:highlight w:val="none"/>
          <w:u w:val="single" w:color="auto"/>
        </w:rPr>
        <w:t>供</w:t>
      </w:r>
      <w:r>
        <w:rPr>
          <w:rFonts w:ascii="宋体" w:hAnsi="宋体" w:eastAsia="宋体" w:cs="宋体"/>
          <w:color w:val="auto"/>
          <w:spacing w:val="36"/>
          <w:sz w:val="24"/>
          <w:szCs w:val="24"/>
          <w:highlight w:val="none"/>
          <w:u w:val="single" w:color="auto"/>
        </w:rPr>
        <w:t xml:space="preserve"> </w:t>
      </w:r>
      <w:r>
        <w:rPr>
          <w:rFonts w:ascii="宋体" w:hAnsi="宋体" w:eastAsia="宋体" w:cs="宋体"/>
          <w:color w:val="auto"/>
          <w:spacing w:val="-21"/>
          <w:sz w:val="24"/>
          <w:szCs w:val="24"/>
          <w:highlight w:val="none"/>
          <w:u w:val="single" w:color="auto"/>
        </w:rPr>
        <w:t>应</w:t>
      </w:r>
      <w:r>
        <w:rPr>
          <w:rFonts w:ascii="宋体" w:hAnsi="宋体" w:eastAsia="宋体" w:cs="宋体"/>
          <w:color w:val="auto"/>
          <w:spacing w:val="43"/>
          <w:sz w:val="24"/>
          <w:szCs w:val="24"/>
          <w:highlight w:val="none"/>
          <w:u w:val="single" w:color="auto"/>
        </w:rPr>
        <w:t xml:space="preserve"> </w:t>
      </w:r>
      <w:r>
        <w:rPr>
          <w:rFonts w:ascii="宋体" w:hAnsi="宋体" w:eastAsia="宋体" w:cs="宋体"/>
          <w:color w:val="auto"/>
          <w:spacing w:val="-21"/>
          <w:sz w:val="24"/>
          <w:szCs w:val="24"/>
          <w:highlight w:val="none"/>
          <w:u w:val="single" w:color="auto"/>
        </w:rPr>
        <w:t>商</w:t>
      </w:r>
      <w:r>
        <w:rPr>
          <w:rFonts w:ascii="宋体" w:hAnsi="宋体" w:eastAsia="宋体" w:cs="宋体"/>
          <w:color w:val="auto"/>
          <w:spacing w:val="38"/>
          <w:sz w:val="24"/>
          <w:szCs w:val="24"/>
          <w:highlight w:val="none"/>
          <w:u w:val="single" w:color="auto"/>
        </w:rPr>
        <w:t xml:space="preserve"> </w:t>
      </w:r>
      <w:r>
        <w:rPr>
          <w:rFonts w:ascii="宋体" w:hAnsi="宋体" w:eastAsia="宋体" w:cs="宋体"/>
          <w:color w:val="auto"/>
          <w:spacing w:val="-21"/>
          <w:sz w:val="24"/>
          <w:szCs w:val="24"/>
          <w:highlight w:val="none"/>
          <w:u w:val="single" w:color="auto"/>
        </w:rPr>
        <w:t>名</w:t>
      </w:r>
      <w:r>
        <w:rPr>
          <w:rFonts w:ascii="宋体" w:hAnsi="宋体" w:eastAsia="宋体" w:cs="宋体"/>
          <w:color w:val="auto"/>
          <w:spacing w:val="38"/>
          <w:sz w:val="24"/>
          <w:szCs w:val="24"/>
          <w:highlight w:val="none"/>
          <w:u w:val="single" w:color="auto"/>
        </w:rPr>
        <w:t xml:space="preserve"> </w:t>
      </w:r>
      <w:r>
        <w:rPr>
          <w:rFonts w:ascii="宋体" w:hAnsi="宋体" w:eastAsia="宋体" w:cs="宋体"/>
          <w:color w:val="auto"/>
          <w:spacing w:val="-21"/>
          <w:sz w:val="24"/>
          <w:szCs w:val="24"/>
          <w:highlight w:val="none"/>
          <w:u w:val="single" w:color="auto"/>
        </w:rPr>
        <w:t>称</w:t>
      </w:r>
      <w:r>
        <w:rPr>
          <w:rFonts w:ascii="宋体" w:hAnsi="宋体" w:eastAsia="宋体" w:cs="宋体"/>
          <w:color w:val="auto"/>
          <w:spacing w:val="61"/>
          <w:sz w:val="24"/>
          <w:szCs w:val="24"/>
          <w:highlight w:val="none"/>
          <w:u w:val="single" w:color="auto"/>
        </w:rPr>
        <w:t xml:space="preserve"> </w:t>
      </w:r>
      <w:r>
        <w:rPr>
          <w:rFonts w:ascii="宋体" w:hAnsi="宋体" w:eastAsia="宋体" w:cs="宋体"/>
          <w:color w:val="auto"/>
          <w:spacing w:val="-21"/>
          <w:sz w:val="24"/>
          <w:szCs w:val="24"/>
          <w:highlight w:val="none"/>
          <w:u w:val="single" w:color="auto"/>
        </w:rPr>
        <w:t>）</w:t>
      </w:r>
      <w:r>
        <w:rPr>
          <w:rFonts w:ascii="宋体" w:hAnsi="宋体" w:eastAsia="宋体" w:cs="宋体"/>
          <w:color w:val="auto"/>
          <w:spacing w:val="28"/>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21"/>
          <w:sz w:val="24"/>
          <w:szCs w:val="24"/>
          <w:highlight w:val="none"/>
        </w:rPr>
        <w:t>系</w:t>
      </w:r>
      <w:r>
        <w:rPr>
          <w:rFonts w:ascii="宋体" w:hAnsi="宋体" w:eastAsia="宋体" w:cs="宋体"/>
          <w:color w:val="auto"/>
          <w:spacing w:val="60"/>
          <w:sz w:val="24"/>
          <w:szCs w:val="24"/>
          <w:highlight w:val="none"/>
        </w:rPr>
        <w:t xml:space="preserve"> </w:t>
      </w:r>
      <w:r>
        <w:rPr>
          <w:rFonts w:ascii="宋体" w:hAnsi="宋体" w:eastAsia="宋体" w:cs="宋体"/>
          <w:color w:val="auto"/>
          <w:spacing w:val="-21"/>
          <w:sz w:val="24"/>
          <w:szCs w:val="24"/>
          <w:highlight w:val="none"/>
        </w:rPr>
        <w:t>中</w:t>
      </w:r>
      <w:r>
        <w:rPr>
          <w:rFonts w:ascii="宋体" w:hAnsi="宋体" w:eastAsia="宋体" w:cs="宋体"/>
          <w:color w:val="auto"/>
          <w:spacing w:val="37"/>
          <w:sz w:val="24"/>
          <w:szCs w:val="24"/>
          <w:highlight w:val="none"/>
        </w:rPr>
        <w:t xml:space="preserve"> </w:t>
      </w:r>
      <w:r>
        <w:rPr>
          <w:rFonts w:ascii="宋体" w:hAnsi="宋体" w:eastAsia="宋体" w:cs="宋体"/>
          <w:color w:val="auto"/>
          <w:spacing w:val="-21"/>
          <w:sz w:val="24"/>
          <w:szCs w:val="24"/>
          <w:highlight w:val="none"/>
        </w:rPr>
        <w:t>华</w:t>
      </w:r>
      <w:r>
        <w:rPr>
          <w:rFonts w:ascii="宋体" w:hAnsi="宋体" w:eastAsia="宋体" w:cs="宋体"/>
          <w:color w:val="auto"/>
          <w:spacing w:val="40"/>
          <w:sz w:val="24"/>
          <w:szCs w:val="24"/>
          <w:highlight w:val="none"/>
        </w:rPr>
        <w:t xml:space="preserve"> </w:t>
      </w:r>
      <w:r>
        <w:rPr>
          <w:rFonts w:ascii="宋体" w:hAnsi="宋体" w:eastAsia="宋体" w:cs="宋体"/>
          <w:color w:val="auto"/>
          <w:spacing w:val="-21"/>
          <w:sz w:val="24"/>
          <w:szCs w:val="24"/>
          <w:highlight w:val="none"/>
        </w:rPr>
        <w:t>人</w:t>
      </w:r>
      <w:r>
        <w:rPr>
          <w:rFonts w:ascii="宋体" w:hAnsi="宋体" w:eastAsia="宋体" w:cs="宋体"/>
          <w:color w:val="auto"/>
          <w:spacing w:val="59"/>
          <w:sz w:val="24"/>
          <w:szCs w:val="24"/>
          <w:highlight w:val="none"/>
        </w:rPr>
        <w:t xml:space="preserve"> </w:t>
      </w:r>
      <w:r>
        <w:rPr>
          <w:rFonts w:ascii="宋体" w:hAnsi="宋体" w:eastAsia="宋体" w:cs="宋体"/>
          <w:color w:val="auto"/>
          <w:spacing w:val="-21"/>
          <w:sz w:val="24"/>
          <w:szCs w:val="24"/>
          <w:highlight w:val="none"/>
        </w:rPr>
        <w:t>民</w:t>
      </w:r>
      <w:r>
        <w:rPr>
          <w:rFonts w:ascii="宋体" w:hAnsi="宋体" w:eastAsia="宋体" w:cs="宋体"/>
          <w:color w:val="auto"/>
          <w:spacing w:val="38"/>
          <w:sz w:val="24"/>
          <w:szCs w:val="24"/>
          <w:highlight w:val="none"/>
        </w:rPr>
        <w:t xml:space="preserve"> </w:t>
      </w:r>
      <w:r>
        <w:rPr>
          <w:rFonts w:ascii="宋体" w:hAnsi="宋体" w:eastAsia="宋体" w:cs="宋体"/>
          <w:color w:val="auto"/>
          <w:spacing w:val="-21"/>
          <w:sz w:val="24"/>
          <w:szCs w:val="24"/>
          <w:highlight w:val="none"/>
        </w:rPr>
        <w:t>共</w:t>
      </w:r>
      <w:r>
        <w:rPr>
          <w:rFonts w:ascii="宋体" w:hAnsi="宋体" w:eastAsia="宋体" w:cs="宋体"/>
          <w:color w:val="auto"/>
          <w:spacing w:val="36"/>
          <w:sz w:val="24"/>
          <w:szCs w:val="24"/>
          <w:highlight w:val="none"/>
        </w:rPr>
        <w:t xml:space="preserve"> </w:t>
      </w:r>
      <w:r>
        <w:rPr>
          <w:rFonts w:ascii="宋体" w:hAnsi="宋体" w:eastAsia="宋体" w:cs="宋体"/>
          <w:color w:val="auto"/>
          <w:spacing w:val="-21"/>
          <w:sz w:val="24"/>
          <w:szCs w:val="24"/>
          <w:highlight w:val="none"/>
        </w:rPr>
        <w:t>和</w:t>
      </w:r>
      <w:r>
        <w:rPr>
          <w:rFonts w:ascii="宋体" w:hAnsi="宋体" w:eastAsia="宋体" w:cs="宋体"/>
          <w:color w:val="auto"/>
          <w:spacing w:val="62"/>
          <w:sz w:val="24"/>
          <w:szCs w:val="24"/>
          <w:highlight w:val="none"/>
        </w:rPr>
        <w:t xml:space="preserve"> </w:t>
      </w:r>
      <w:r>
        <w:rPr>
          <w:rFonts w:ascii="宋体" w:hAnsi="宋体" w:eastAsia="宋体" w:cs="宋体"/>
          <w:color w:val="auto"/>
          <w:spacing w:val="-21"/>
          <w:sz w:val="24"/>
          <w:szCs w:val="24"/>
          <w:highlight w:val="none"/>
        </w:rPr>
        <w:t>国</w:t>
      </w:r>
      <w:r>
        <w:rPr>
          <w:rFonts w:ascii="宋体" w:hAnsi="宋体" w:eastAsia="宋体" w:cs="宋体"/>
          <w:color w:val="auto"/>
          <w:spacing w:val="37"/>
          <w:sz w:val="24"/>
          <w:szCs w:val="24"/>
          <w:highlight w:val="none"/>
        </w:rPr>
        <w:t xml:space="preserve"> </w:t>
      </w:r>
      <w:r>
        <w:rPr>
          <w:rFonts w:ascii="宋体" w:hAnsi="宋体" w:eastAsia="宋体" w:cs="宋体"/>
          <w:color w:val="auto"/>
          <w:spacing w:val="-21"/>
          <w:sz w:val="24"/>
          <w:szCs w:val="24"/>
          <w:highlight w:val="none"/>
        </w:rPr>
        <w:t>合</w:t>
      </w:r>
      <w:r>
        <w:rPr>
          <w:rFonts w:ascii="宋体" w:hAnsi="宋体" w:eastAsia="宋体" w:cs="宋体"/>
          <w:color w:val="auto"/>
          <w:spacing w:val="39"/>
          <w:sz w:val="24"/>
          <w:szCs w:val="24"/>
          <w:highlight w:val="none"/>
        </w:rPr>
        <w:t xml:space="preserve"> </w:t>
      </w:r>
      <w:r>
        <w:rPr>
          <w:rFonts w:ascii="宋体" w:hAnsi="宋体" w:eastAsia="宋体" w:cs="宋体"/>
          <w:color w:val="auto"/>
          <w:spacing w:val="-21"/>
          <w:sz w:val="24"/>
          <w:szCs w:val="24"/>
          <w:highlight w:val="none"/>
        </w:rPr>
        <w:t>法</w:t>
      </w:r>
      <w:r>
        <w:rPr>
          <w:rFonts w:ascii="宋体" w:hAnsi="宋体" w:eastAsia="宋体" w:cs="宋体"/>
          <w:color w:val="auto"/>
          <w:spacing w:val="38"/>
          <w:sz w:val="24"/>
          <w:szCs w:val="24"/>
          <w:highlight w:val="none"/>
        </w:rPr>
        <w:t xml:space="preserve"> </w:t>
      </w:r>
      <w:r>
        <w:rPr>
          <w:rFonts w:ascii="宋体" w:hAnsi="宋体" w:eastAsia="宋体" w:cs="宋体"/>
          <w:color w:val="auto"/>
          <w:spacing w:val="-21"/>
          <w:sz w:val="24"/>
          <w:szCs w:val="24"/>
          <w:highlight w:val="none"/>
        </w:rPr>
        <w:t>供</w:t>
      </w:r>
      <w:r>
        <w:rPr>
          <w:rFonts w:ascii="宋体" w:hAnsi="宋体" w:eastAsia="宋体" w:cs="宋体"/>
          <w:color w:val="auto"/>
          <w:spacing w:val="36"/>
          <w:sz w:val="24"/>
          <w:szCs w:val="24"/>
          <w:highlight w:val="none"/>
        </w:rPr>
        <w:t xml:space="preserve"> </w:t>
      </w:r>
      <w:r>
        <w:rPr>
          <w:rFonts w:ascii="宋体" w:hAnsi="宋体" w:eastAsia="宋体" w:cs="宋体"/>
          <w:color w:val="auto"/>
          <w:spacing w:val="-21"/>
          <w:sz w:val="24"/>
          <w:szCs w:val="24"/>
          <w:highlight w:val="none"/>
        </w:rPr>
        <w:t>应</w:t>
      </w:r>
      <w:r>
        <w:rPr>
          <w:rFonts w:ascii="宋体" w:hAnsi="宋体" w:eastAsia="宋体" w:cs="宋体"/>
          <w:color w:val="auto"/>
          <w:spacing w:val="43"/>
          <w:sz w:val="24"/>
          <w:szCs w:val="24"/>
          <w:highlight w:val="none"/>
        </w:rPr>
        <w:t xml:space="preserve"> </w:t>
      </w:r>
      <w:r>
        <w:rPr>
          <w:rFonts w:ascii="宋体" w:hAnsi="宋体" w:eastAsia="宋体" w:cs="宋体"/>
          <w:color w:val="auto"/>
          <w:spacing w:val="-21"/>
          <w:sz w:val="24"/>
          <w:szCs w:val="24"/>
          <w:highlight w:val="none"/>
        </w:rPr>
        <w:t>商</w:t>
      </w:r>
      <w:r>
        <w:rPr>
          <w:rFonts w:ascii="宋体" w:hAnsi="宋体" w:eastAsia="宋体" w:cs="宋体"/>
          <w:color w:val="auto"/>
          <w:spacing w:val="55"/>
          <w:sz w:val="24"/>
          <w:szCs w:val="24"/>
          <w:highlight w:val="none"/>
        </w:rPr>
        <w:t xml:space="preserve"> </w:t>
      </w:r>
      <w:r>
        <w:rPr>
          <w:rFonts w:ascii="宋体" w:hAnsi="宋体" w:eastAsia="宋体" w:cs="宋体"/>
          <w:color w:val="auto"/>
          <w:spacing w:val="-21"/>
          <w:sz w:val="24"/>
          <w:szCs w:val="24"/>
          <w:highlight w:val="none"/>
        </w:rPr>
        <w:t>，</w:t>
      </w:r>
      <w:r>
        <w:rPr>
          <w:rFonts w:ascii="宋体" w:hAnsi="宋体" w:eastAsia="宋体" w:cs="宋体"/>
          <w:color w:val="auto"/>
          <w:spacing w:val="40"/>
          <w:sz w:val="24"/>
          <w:szCs w:val="24"/>
          <w:highlight w:val="none"/>
        </w:rPr>
        <w:t xml:space="preserve"> </w:t>
      </w:r>
      <w:r>
        <w:rPr>
          <w:rFonts w:ascii="宋体" w:hAnsi="宋体" w:eastAsia="宋体" w:cs="宋体"/>
          <w:color w:val="auto"/>
          <w:spacing w:val="-21"/>
          <w:sz w:val="24"/>
          <w:szCs w:val="24"/>
          <w:highlight w:val="none"/>
        </w:rPr>
        <w:t>经</w:t>
      </w:r>
      <w:r>
        <w:rPr>
          <w:rFonts w:ascii="宋体" w:hAnsi="宋体" w:eastAsia="宋体" w:cs="宋体"/>
          <w:color w:val="auto"/>
          <w:spacing w:val="44"/>
          <w:sz w:val="24"/>
          <w:szCs w:val="24"/>
          <w:highlight w:val="none"/>
        </w:rPr>
        <w:t xml:space="preserve"> </w:t>
      </w:r>
      <w:r>
        <w:rPr>
          <w:rFonts w:ascii="宋体" w:hAnsi="宋体" w:eastAsia="宋体" w:cs="宋体"/>
          <w:color w:val="auto"/>
          <w:spacing w:val="-21"/>
          <w:sz w:val="24"/>
          <w:szCs w:val="24"/>
          <w:highlight w:val="none"/>
        </w:rPr>
        <w:t>营</w:t>
      </w:r>
      <w:r>
        <w:rPr>
          <w:rFonts w:ascii="宋体" w:hAnsi="宋体" w:eastAsia="宋体" w:cs="宋体"/>
          <w:color w:val="auto"/>
          <w:spacing w:val="38"/>
          <w:sz w:val="24"/>
          <w:szCs w:val="24"/>
          <w:highlight w:val="none"/>
        </w:rPr>
        <w:t xml:space="preserve"> </w:t>
      </w:r>
      <w:r>
        <w:rPr>
          <w:rFonts w:ascii="宋体" w:hAnsi="宋体" w:eastAsia="宋体" w:cs="宋体"/>
          <w:color w:val="auto"/>
          <w:spacing w:val="-21"/>
          <w:sz w:val="24"/>
          <w:szCs w:val="24"/>
          <w:highlight w:val="none"/>
        </w:rPr>
        <w:t>地</w:t>
      </w:r>
    </w:p>
    <w:p w14:paraId="6D2EA764">
      <w:pPr>
        <w:spacing w:before="183" w:line="229" w:lineRule="auto"/>
        <w:ind w:left="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址</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6"/>
          <w:sz w:val="24"/>
          <w:szCs w:val="24"/>
          <w:highlight w:val="none"/>
        </w:rPr>
        <w:t>。</w:t>
      </w:r>
    </w:p>
    <w:p w14:paraId="6E0E2AB4">
      <w:pPr>
        <w:spacing w:before="171" w:line="346" w:lineRule="auto"/>
        <w:ind w:left="1" w:right="77"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我方愿意参加贵方组织的</w:t>
      </w:r>
      <w:r>
        <w:rPr>
          <w:rFonts w:ascii="宋体" w:hAnsi="宋体" w:eastAsia="宋体" w:cs="宋体"/>
          <w:color w:val="auto"/>
          <w:spacing w:val="1"/>
          <w:sz w:val="24"/>
          <w:szCs w:val="24"/>
          <w:highlight w:val="none"/>
          <w:u w:val="single" w:color="auto"/>
        </w:rPr>
        <w:t>（项目名称）</w:t>
      </w:r>
      <w:r>
        <w:rPr>
          <w:rFonts w:ascii="宋体" w:hAnsi="宋体" w:eastAsia="宋体" w:cs="宋体"/>
          <w:color w:val="auto"/>
          <w:spacing w:val="1"/>
          <w:sz w:val="24"/>
          <w:szCs w:val="24"/>
          <w:highlight w:val="none"/>
        </w:rPr>
        <w:t>项目的竞标，为便于贵方</w:t>
      </w:r>
      <w:r>
        <w:rPr>
          <w:rFonts w:ascii="宋体" w:hAnsi="宋体" w:eastAsia="宋体" w:cs="宋体"/>
          <w:color w:val="auto"/>
          <w:sz w:val="24"/>
          <w:szCs w:val="24"/>
          <w:highlight w:val="none"/>
        </w:rPr>
        <w:t>公正、择优地确定成交 供应商及其竞标产品和服务，我方就本次竞标</w:t>
      </w:r>
      <w:r>
        <w:rPr>
          <w:rFonts w:ascii="宋体" w:hAnsi="宋体" w:eastAsia="宋体" w:cs="宋体"/>
          <w:color w:val="auto"/>
          <w:spacing w:val="-1"/>
          <w:sz w:val="24"/>
          <w:szCs w:val="24"/>
          <w:highlight w:val="none"/>
        </w:rPr>
        <w:t>有关事项郑重声明如下：</w:t>
      </w:r>
    </w:p>
    <w:p w14:paraId="6DDDBB4C">
      <w:pPr>
        <w:spacing w:before="36" w:line="219" w:lineRule="auto"/>
        <w:ind w:left="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1.我方向贵方提交的所有响应文件、资料都是准确的和真实的。</w:t>
      </w:r>
    </w:p>
    <w:p w14:paraId="4B529B61">
      <w:pPr>
        <w:spacing w:before="182" w:line="351" w:lineRule="auto"/>
        <w:ind w:left="1" w:right="80"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2.我方不是采购人的附属机构；不是为本次采购项目提</w:t>
      </w:r>
      <w:r>
        <w:rPr>
          <w:rFonts w:ascii="宋体" w:hAnsi="宋体" w:eastAsia="宋体" w:cs="宋体"/>
          <w:color w:val="auto"/>
          <w:sz w:val="24"/>
          <w:szCs w:val="24"/>
          <w:highlight w:val="none"/>
        </w:rPr>
        <w:t xml:space="preserve">供整体设计、规范编制或者项目 </w:t>
      </w:r>
      <w:r>
        <w:rPr>
          <w:rFonts w:ascii="宋体" w:hAnsi="宋体" w:eastAsia="宋体" w:cs="宋体"/>
          <w:color w:val="auto"/>
          <w:spacing w:val="1"/>
          <w:sz w:val="24"/>
          <w:szCs w:val="24"/>
          <w:highlight w:val="none"/>
        </w:rPr>
        <w:t>管理、监理、检测等服务的供应商；在获知本项目采购信息后</w:t>
      </w:r>
      <w:r>
        <w:rPr>
          <w:rFonts w:ascii="宋体" w:hAnsi="宋体" w:eastAsia="宋体" w:cs="宋体"/>
          <w:color w:val="auto"/>
          <w:sz w:val="24"/>
          <w:szCs w:val="24"/>
          <w:highlight w:val="none"/>
        </w:rPr>
        <w:t xml:space="preserve">，与采购人聘请的为此项目提 </w:t>
      </w:r>
      <w:r>
        <w:rPr>
          <w:rFonts w:ascii="宋体" w:hAnsi="宋体" w:eastAsia="宋体" w:cs="宋体"/>
          <w:color w:val="auto"/>
          <w:spacing w:val="-1"/>
          <w:sz w:val="24"/>
          <w:szCs w:val="24"/>
          <w:highlight w:val="none"/>
        </w:rPr>
        <w:t>供咨询服务的公司及其附属机构没有任何联系。</w:t>
      </w:r>
    </w:p>
    <w:p w14:paraId="1E35A036">
      <w:pPr>
        <w:spacing w:before="35" w:line="219"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3.在此，我方宣布同意如下：</w:t>
      </w:r>
    </w:p>
    <w:p w14:paraId="31B35F0D">
      <w:pPr>
        <w:spacing w:before="184"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（1）将按磋商文件的约定履行合同责任和义务；</w:t>
      </w:r>
    </w:p>
    <w:p w14:paraId="13600553">
      <w:pPr>
        <w:spacing w:before="183" w:line="218"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（2）已详细审查全部磋商文件，包括澄清或者更正公告（如有</w:t>
      </w:r>
      <w:r>
        <w:rPr>
          <w:rFonts w:ascii="宋体" w:hAnsi="宋体" w:eastAsia="宋体" w:cs="宋体"/>
          <w:color w:val="auto"/>
          <w:spacing w:val="3"/>
          <w:sz w:val="24"/>
          <w:szCs w:val="24"/>
          <w:highlight w:val="none"/>
        </w:rPr>
        <w:t>）；</w:t>
      </w:r>
    </w:p>
    <w:p w14:paraId="5E2D8D64">
      <w:pPr>
        <w:spacing w:before="184"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（3）同意提供按照贵方可能要求的与磋商有关的一切数据或者资料；</w:t>
      </w:r>
    </w:p>
    <w:p w14:paraId="2E98CD15">
      <w:pPr>
        <w:spacing w:before="185" w:line="219" w:lineRule="auto"/>
        <w:ind w:left="49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（4）响应磋商文件规定的竞标有效期。</w:t>
      </w:r>
    </w:p>
    <w:p w14:paraId="3BF7404D">
      <w:pPr>
        <w:spacing w:before="182" w:line="219" w:lineRule="auto"/>
        <w:ind w:left="480"/>
        <w:rPr>
          <w:rFonts w:ascii="宋体" w:hAnsi="宋体" w:eastAsia="宋体" w:cs="宋体"/>
          <w:color w:val="auto"/>
          <w:sz w:val="24"/>
          <w:szCs w:val="24"/>
          <w:highlight w:val="none"/>
        </w:rPr>
      </w:pPr>
      <w:r>
        <w:rPr>
          <w:rFonts w:ascii="宋体" w:hAnsi="宋体" w:eastAsia="宋体" w:cs="宋体"/>
          <w:color w:val="auto"/>
          <w:sz w:val="24"/>
          <w:szCs w:val="24"/>
          <w:highlight w:val="none"/>
        </w:rPr>
        <w:t>4.我方承诺符合《中华人民共和国政府采购</w:t>
      </w:r>
      <w:r>
        <w:rPr>
          <w:rFonts w:ascii="宋体" w:hAnsi="宋体" w:eastAsia="宋体" w:cs="宋体"/>
          <w:color w:val="auto"/>
          <w:spacing w:val="-1"/>
          <w:sz w:val="24"/>
          <w:szCs w:val="24"/>
          <w:highlight w:val="none"/>
        </w:rPr>
        <w:t>法》第二十二条规定：</w:t>
      </w:r>
    </w:p>
    <w:p w14:paraId="7302D137">
      <w:pPr>
        <w:spacing w:before="184" w:line="219" w:lineRule="auto"/>
        <w:ind w:left="49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（1）具有独立承担民事责任的能力；</w:t>
      </w:r>
    </w:p>
    <w:p w14:paraId="78C37025">
      <w:pPr>
        <w:spacing w:before="183"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（2）具有良好的商业信誉和健全的财务会计制度；</w:t>
      </w:r>
    </w:p>
    <w:p w14:paraId="1F03F002">
      <w:pPr>
        <w:spacing w:before="184"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（3）具有履行合同所必需的设备和专业技术能力；</w:t>
      </w:r>
    </w:p>
    <w:p w14:paraId="5AF71E16">
      <w:pPr>
        <w:spacing w:before="182"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（4）有依法缴纳税收和社会保障资金的良好记录；</w:t>
      </w:r>
    </w:p>
    <w:p w14:paraId="429DA4F6">
      <w:pPr>
        <w:spacing w:before="183"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（5）参加政府采购活动前三年内，在经营活动中没有重大违法记录；</w:t>
      </w:r>
    </w:p>
    <w:p w14:paraId="5DF0C79C">
      <w:pPr>
        <w:spacing w:before="185" w:line="219" w:lineRule="auto"/>
        <w:ind w:left="49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（6）法律、行政法规规定的其他条件。</w:t>
      </w:r>
    </w:p>
    <w:p w14:paraId="14AC3BBB">
      <w:pPr>
        <w:spacing w:before="180" w:line="355" w:lineRule="auto"/>
        <w:ind w:firstLine="485"/>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5.我方在此声明，我方在参加本项目的政府采购活</w:t>
      </w:r>
      <w:r>
        <w:rPr>
          <w:rFonts w:ascii="宋体" w:hAnsi="宋体" w:eastAsia="宋体" w:cs="宋体"/>
          <w:color w:val="auto"/>
          <w:sz w:val="24"/>
          <w:szCs w:val="24"/>
          <w:highlight w:val="none"/>
        </w:rPr>
        <w:t xml:space="preserve">动前三年内，在经营活动中没有重大 </w:t>
      </w:r>
      <w:r>
        <w:rPr>
          <w:rFonts w:ascii="宋体" w:hAnsi="宋体" w:eastAsia="宋体" w:cs="宋体"/>
          <w:color w:val="auto"/>
          <w:spacing w:val="1"/>
          <w:sz w:val="24"/>
          <w:szCs w:val="24"/>
          <w:highlight w:val="none"/>
        </w:rPr>
        <w:t>违法记录（重大违法记录是指供应商因违法经营受到刑事处罚或</w:t>
      </w:r>
      <w:r>
        <w:rPr>
          <w:rFonts w:ascii="宋体" w:hAnsi="宋体" w:eastAsia="宋体" w:cs="宋体"/>
          <w:color w:val="auto"/>
          <w:sz w:val="24"/>
          <w:szCs w:val="24"/>
          <w:highlight w:val="none"/>
        </w:rPr>
        <w:t xml:space="preserve">者责令停产停业、吊销许可 </w:t>
      </w:r>
      <w:r>
        <w:rPr>
          <w:rFonts w:ascii="宋体" w:hAnsi="宋体" w:eastAsia="宋体" w:cs="宋体"/>
          <w:color w:val="auto"/>
          <w:spacing w:val="-3"/>
          <w:sz w:val="24"/>
          <w:szCs w:val="24"/>
          <w:highlight w:val="none"/>
        </w:rPr>
        <w:t>证或者执照、较大数额罚款等行政处罚</w:t>
      </w:r>
      <w:r>
        <w:rPr>
          <w:rFonts w:ascii="宋体" w:hAnsi="宋体" w:eastAsia="宋体" w:cs="宋体"/>
          <w:color w:val="auto"/>
          <w:spacing w:val="-7"/>
          <w:sz w:val="24"/>
          <w:szCs w:val="24"/>
          <w:highlight w:val="none"/>
        </w:rPr>
        <w:t>），</w:t>
      </w:r>
      <w:r>
        <w:rPr>
          <w:rFonts w:ascii="宋体" w:hAnsi="宋体" w:eastAsia="宋体" w:cs="宋体"/>
          <w:color w:val="auto"/>
          <w:spacing w:val="-3"/>
          <w:sz w:val="24"/>
          <w:szCs w:val="24"/>
          <w:highlight w:val="none"/>
        </w:rPr>
        <w:t>未被列入失信被执行人、重大税收违法失信主体、</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政府采购严重违法失信行为记录名单，完全符合《中华人民共和</w:t>
      </w:r>
      <w:r>
        <w:rPr>
          <w:rFonts w:ascii="宋体" w:hAnsi="宋体" w:eastAsia="宋体" w:cs="宋体"/>
          <w:color w:val="auto"/>
          <w:sz w:val="24"/>
          <w:szCs w:val="24"/>
          <w:highlight w:val="none"/>
        </w:rPr>
        <w:t xml:space="preserve">国政府采购法》第二十二条 </w:t>
      </w:r>
      <w:r>
        <w:rPr>
          <w:rFonts w:ascii="宋体" w:hAnsi="宋体" w:eastAsia="宋体" w:cs="宋体"/>
          <w:color w:val="auto"/>
          <w:spacing w:val="-1"/>
          <w:sz w:val="24"/>
          <w:szCs w:val="24"/>
          <w:highlight w:val="none"/>
        </w:rPr>
        <w:t>规定的供应商资格条件，我方对此声明负全部法律责任。</w:t>
      </w:r>
    </w:p>
    <w:p w14:paraId="0A8D6924">
      <w:pPr>
        <w:spacing w:before="36" w:line="351" w:lineRule="auto"/>
        <w:ind w:right="18" w:firstLine="483"/>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6.根据《中华人民共和国政府采购法实施条例》第五十条要求对政府采购合同进行公告，</w:t>
      </w:r>
      <w:r>
        <w:rPr>
          <w:rFonts w:ascii="宋体" w:hAnsi="宋体" w:eastAsia="宋体" w:cs="宋体"/>
          <w:color w:val="auto"/>
          <w:spacing w:val="7"/>
          <w:sz w:val="24"/>
          <w:szCs w:val="24"/>
          <w:highlight w:val="none"/>
        </w:rPr>
        <w:t xml:space="preserve"> </w:t>
      </w:r>
      <w:r>
        <w:rPr>
          <w:rFonts w:ascii="宋体" w:hAnsi="宋体" w:eastAsia="宋体" w:cs="宋体"/>
          <w:color w:val="auto"/>
          <w:spacing w:val="1"/>
          <w:sz w:val="24"/>
          <w:szCs w:val="24"/>
          <w:highlight w:val="none"/>
        </w:rPr>
        <w:t>但政府采购合同中涉及国家秘密、商业秘密的内容除外。我方就对</w:t>
      </w:r>
      <w:r>
        <w:rPr>
          <w:rFonts w:ascii="宋体" w:hAnsi="宋体" w:eastAsia="宋体" w:cs="宋体"/>
          <w:color w:val="auto"/>
          <w:sz w:val="24"/>
          <w:szCs w:val="24"/>
          <w:highlight w:val="none"/>
        </w:rPr>
        <w:t xml:space="preserve">本次响应文件进行注明如 </w:t>
      </w:r>
      <w:r>
        <w:rPr>
          <w:rFonts w:ascii="宋体" w:hAnsi="宋体" w:eastAsia="宋体" w:cs="宋体"/>
          <w:color w:val="auto"/>
          <w:spacing w:val="2"/>
          <w:sz w:val="24"/>
          <w:szCs w:val="24"/>
          <w:highlight w:val="none"/>
        </w:rPr>
        <w:t>下</w:t>
      </w:r>
      <w:r>
        <w:rPr>
          <w:rFonts w:ascii="宋体" w:hAnsi="宋体" w:eastAsia="宋体" w:cs="宋体"/>
          <w:color w:val="auto"/>
          <w:spacing w:val="-29"/>
          <w:sz w:val="24"/>
          <w:szCs w:val="24"/>
          <w:highlight w:val="none"/>
        </w:rPr>
        <w:t>：</w:t>
      </w:r>
      <w:r>
        <w:rPr>
          <w:rFonts w:ascii="宋体" w:hAnsi="宋体" w:eastAsia="宋体" w:cs="宋体"/>
          <w:b/>
          <w:bCs/>
          <w:color w:val="auto"/>
          <w:spacing w:val="-29"/>
          <w:sz w:val="24"/>
          <w:szCs w:val="24"/>
          <w:highlight w:val="none"/>
        </w:rPr>
        <w:t>（</w:t>
      </w:r>
      <w:r>
        <w:rPr>
          <w:rFonts w:ascii="宋体" w:hAnsi="宋体" w:eastAsia="宋体" w:cs="宋体"/>
          <w:b/>
          <w:bCs/>
          <w:color w:val="auto"/>
          <w:spacing w:val="2"/>
          <w:sz w:val="24"/>
          <w:szCs w:val="24"/>
          <w:highlight w:val="none"/>
        </w:rPr>
        <w:t>两项内容中必须选择一项）</w:t>
      </w:r>
    </w:p>
    <w:p w14:paraId="2A995F12">
      <w:pPr>
        <w:spacing w:line="351" w:lineRule="auto"/>
        <w:rPr>
          <w:rFonts w:ascii="宋体" w:hAnsi="宋体" w:eastAsia="宋体" w:cs="宋体"/>
          <w:color w:val="auto"/>
          <w:sz w:val="24"/>
          <w:szCs w:val="24"/>
          <w:highlight w:val="none"/>
        </w:rPr>
        <w:sectPr>
          <w:footerReference r:id="rId30" w:type="default"/>
          <w:pgSz w:w="11906" w:h="16839"/>
          <w:pgMar w:top="1079" w:right="1054" w:bottom="1362" w:left="1140" w:header="0" w:footer="1200" w:gutter="0"/>
          <w:pgNumType w:fmt="decimal"/>
          <w:cols w:space="720" w:num="1"/>
        </w:sectPr>
      </w:pPr>
    </w:p>
    <w:p w14:paraId="2D595B28">
      <w:pPr>
        <w:spacing w:before="47" w:line="219" w:lineRule="auto"/>
        <w:ind w:left="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□我方本次响应文件内容中未涉及商业秘密；</w:t>
      </w:r>
    </w:p>
    <w:p w14:paraId="5580B6FE">
      <w:pPr>
        <w:spacing w:before="183" w:line="219" w:lineRule="auto"/>
        <w:ind w:left="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□我方本次响应文件涉及商业秘密的内容有</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rPr>
        <w:t>；</w:t>
      </w:r>
    </w:p>
    <w:p w14:paraId="0F14B2E2">
      <w:pPr>
        <w:tabs>
          <w:tab w:val="left" w:pos="9344"/>
        </w:tabs>
        <w:spacing w:before="185" w:line="351" w:lineRule="auto"/>
        <w:ind w:left="495" w:right="257" w:hanging="16"/>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7.与本磋商有关的一切正式往来信函请寄：</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92"/>
          <w:sz w:val="24"/>
          <w:szCs w:val="24"/>
          <w:highlight w:val="none"/>
        </w:rPr>
        <w:t xml:space="preserve"> </w:t>
      </w:r>
      <w:r>
        <w:rPr>
          <w:rFonts w:ascii="宋体" w:hAnsi="宋体" w:eastAsia="宋体" w:cs="宋体"/>
          <w:color w:val="auto"/>
          <w:spacing w:val="-1"/>
          <w:sz w:val="24"/>
          <w:szCs w:val="24"/>
          <w:highlight w:val="none"/>
        </w:rPr>
        <w:t>邮政编</w:t>
      </w:r>
      <w:r>
        <w:rPr>
          <w:rFonts w:ascii="宋体" w:hAnsi="宋体" w:eastAsia="宋体" w:cs="宋体"/>
          <w:color w:val="auto"/>
          <w:spacing w:val="-2"/>
          <w:sz w:val="24"/>
          <w:szCs w:val="24"/>
          <w:highlight w:val="none"/>
        </w:rPr>
        <w:t>号：</w:t>
      </w:r>
      <w:r>
        <w:rPr>
          <w:rFonts w:ascii="宋体" w:hAnsi="宋体" w:eastAsia="宋体" w:cs="宋体"/>
          <w:color w:val="auto"/>
          <w:sz w:val="24"/>
          <w:szCs w:val="24"/>
          <w:highlight w:val="none"/>
          <w:u w:val="single" w:color="auto"/>
        </w:rPr>
        <w:tab/>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电话/传真：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43"/>
          <w:sz w:val="24"/>
          <w:szCs w:val="24"/>
          <w:highlight w:val="none"/>
        </w:rPr>
        <w:t xml:space="preserve"> </w:t>
      </w:r>
      <w:r>
        <w:rPr>
          <w:rFonts w:ascii="宋体" w:hAnsi="宋体" w:eastAsia="宋体" w:cs="宋体"/>
          <w:color w:val="auto"/>
          <w:spacing w:val="-7"/>
          <w:sz w:val="24"/>
          <w:szCs w:val="24"/>
          <w:highlight w:val="none"/>
        </w:rPr>
        <w:t>电子函件：</w:t>
      </w:r>
      <w:r>
        <w:rPr>
          <w:rFonts w:ascii="宋体" w:hAnsi="宋体" w:eastAsia="宋体" w:cs="宋体"/>
          <w:color w:val="auto"/>
          <w:sz w:val="24"/>
          <w:szCs w:val="24"/>
          <w:highlight w:val="none"/>
          <w:u w:val="single" w:color="auto"/>
        </w:rPr>
        <w:tab/>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开户银行：</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
          <w:sz w:val="24"/>
          <w:szCs w:val="24"/>
          <w:highlight w:val="none"/>
        </w:rPr>
        <w:t xml:space="preserve">  </w:t>
      </w:r>
      <w:r>
        <w:rPr>
          <w:rFonts w:ascii="宋体" w:hAnsi="宋体" w:eastAsia="宋体" w:cs="宋体"/>
          <w:color w:val="auto"/>
          <w:spacing w:val="-4"/>
          <w:sz w:val="24"/>
          <w:szCs w:val="24"/>
          <w:highlight w:val="none"/>
        </w:rPr>
        <w:t>帐号：</w:t>
      </w:r>
      <w:r>
        <w:rPr>
          <w:rFonts w:ascii="宋体" w:hAnsi="宋体" w:eastAsia="宋体" w:cs="宋体"/>
          <w:color w:val="auto"/>
          <w:sz w:val="24"/>
          <w:szCs w:val="24"/>
          <w:highlight w:val="none"/>
          <w:u w:val="single" w:color="auto"/>
        </w:rPr>
        <w:t xml:space="preserve">                               </w:t>
      </w:r>
    </w:p>
    <w:p w14:paraId="43B6B764">
      <w:pPr>
        <w:spacing w:before="32" w:line="347" w:lineRule="auto"/>
        <w:ind w:firstLine="47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8.以上事项如有虚假或者隐瞒，我方愿意承担一切后果，</w:t>
      </w:r>
      <w:r>
        <w:rPr>
          <w:rFonts w:ascii="宋体" w:hAnsi="宋体" w:eastAsia="宋体" w:cs="宋体"/>
          <w:color w:val="auto"/>
          <w:sz w:val="24"/>
          <w:szCs w:val="24"/>
          <w:highlight w:val="none"/>
        </w:rPr>
        <w:t xml:space="preserve">并不再寻求任何旨在减轻或者 </w:t>
      </w:r>
      <w:r>
        <w:rPr>
          <w:rFonts w:ascii="宋体" w:hAnsi="宋体" w:eastAsia="宋体" w:cs="宋体"/>
          <w:color w:val="auto"/>
          <w:spacing w:val="-2"/>
          <w:sz w:val="24"/>
          <w:szCs w:val="24"/>
          <w:highlight w:val="none"/>
        </w:rPr>
        <w:t>免除法律责任的辩解。</w:t>
      </w:r>
    </w:p>
    <w:p w14:paraId="33758CE2">
      <w:pPr>
        <w:spacing w:before="34" w:line="219" w:lineRule="auto"/>
        <w:ind w:left="49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201DFA86">
      <w:pPr>
        <w:spacing w:before="183" w:line="347" w:lineRule="auto"/>
        <w:ind w:left="1" w:right="58" w:firstLine="47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注：如为联合体竞标，盖章处须加盖联合体各方公章并由联合体各方法定代表人签署，</w:t>
      </w: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否则其响应文件按无效响应处理。</w:t>
      </w:r>
    </w:p>
    <w:p w14:paraId="6717D0D8">
      <w:pPr>
        <w:spacing w:before="35" w:line="346" w:lineRule="auto"/>
        <w:ind w:left="43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法定代表人/法定代表（签字</w:t>
      </w:r>
      <w:r>
        <w:rPr>
          <w:rFonts w:ascii="宋体" w:hAnsi="宋体" w:eastAsia="宋体" w:cs="宋体"/>
          <w:color w:val="auto"/>
          <w:sz w:val="24"/>
          <w:szCs w:val="24"/>
          <w:highlight w:val="none"/>
        </w:rPr>
        <w:t>）：</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9"/>
          <w:sz w:val="24"/>
          <w:szCs w:val="24"/>
          <w:highlight w:val="none"/>
        </w:rPr>
        <w:t xml:space="preserve"> </w:t>
      </w:r>
      <w:r>
        <w:rPr>
          <w:rFonts w:ascii="宋体" w:hAnsi="宋体" w:eastAsia="宋体" w:cs="宋体"/>
          <w:color w:val="auto"/>
          <w:spacing w:val="-2"/>
          <w:sz w:val="24"/>
          <w:szCs w:val="24"/>
          <w:highlight w:val="none"/>
        </w:rPr>
        <w:t>供应商（盖公章</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u w:val="single" w:color="auto"/>
        </w:rPr>
        <w:t xml:space="preserve">                           </w:t>
      </w:r>
    </w:p>
    <w:p w14:paraId="3BED1285">
      <w:pPr>
        <w:spacing w:before="113" w:line="219" w:lineRule="auto"/>
        <w:ind w:left="6914"/>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3"/>
          <w:sz w:val="24"/>
          <w:szCs w:val="24"/>
          <w:highlight w:val="none"/>
        </w:rPr>
        <w:t xml:space="preserve">    </w:t>
      </w:r>
      <w:r>
        <w:rPr>
          <w:rFonts w:ascii="宋体" w:hAnsi="宋体" w:eastAsia="宋体" w:cs="宋体"/>
          <w:color w:val="auto"/>
          <w:spacing w:val="-9"/>
          <w:sz w:val="24"/>
          <w:szCs w:val="24"/>
          <w:highlight w:val="none"/>
        </w:rPr>
        <w:t>日</w:t>
      </w:r>
    </w:p>
    <w:p w14:paraId="755CE683">
      <w:pPr>
        <w:spacing w:line="219" w:lineRule="auto"/>
        <w:rPr>
          <w:rFonts w:ascii="宋体" w:hAnsi="宋体" w:eastAsia="宋体" w:cs="宋体"/>
          <w:color w:val="auto"/>
          <w:sz w:val="24"/>
          <w:szCs w:val="24"/>
          <w:highlight w:val="none"/>
        </w:rPr>
        <w:sectPr>
          <w:footerReference r:id="rId31" w:type="default"/>
          <w:pgSz w:w="11906" w:h="16839"/>
          <w:pgMar w:top="1227" w:right="1134" w:bottom="1362" w:left="1147" w:header="0" w:footer="1200" w:gutter="0"/>
          <w:pgNumType w:fmt="decimal"/>
          <w:cols w:space="720" w:num="1"/>
        </w:sectPr>
      </w:pPr>
    </w:p>
    <w:p w14:paraId="5F052A5A">
      <w:pPr>
        <w:spacing w:before="62" w:line="356" w:lineRule="auto"/>
        <w:ind w:left="5" w:right="470" w:firstLine="1"/>
        <w:outlineLvl w:val="2"/>
        <w:rPr>
          <w:rFonts w:ascii="宋体" w:hAnsi="宋体" w:eastAsia="宋体" w:cs="宋体"/>
          <w:color w:val="auto"/>
          <w:sz w:val="31"/>
          <w:szCs w:val="31"/>
          <w:highlight w:val="none"/>
        </w:rPr>
      </w:pPr>
      <w:r>
        <w:rPr>
          <w:rFonts w:hint="eastAsia" w:ascii="宋体" w:hAnsi="宋体" w:eastAsia="宋体" w:cs="宋体"/>
          <w:b/>
          <w:bCs/>
          <w:color w:val="auto"/>
          <w:spacing w:val="12"/>
          <w:sz w:val="31"/>
          <w:szCs w:val="31"/>
          <w:highlight w:val="none"/>
          <w:lang w:val="en-US" w:eastAsia="zh-CN"/>
        </w:rPr>
        <w:t>7</w:t>
      </w:r>
      <w:r>
        <w:rPr>
          <w:rFonts w:ascii="宋体" w:hAnsi="宋体" w:eastAsia="宋体" w:cs="宋体"/>
          <w:b/>
          <w:bCs/>
          <w:color w:val="auto"/>
          <w:spacing w:val="12"/>
          <w:sz w:val="31"/>
          <w:szCs w:val="31"/>
          <w:highlight w:val="none"/>
        </w:rPr>
        <w:t>.中小企业声明函或者残疾人福利性单位声明函或者供应商属于</w:t>
      </w:r>
      <w:r>
        <w:rPr>
          <w:rFonts w:ascii="宋体" w:hAnsi="宋体" w:eastAsia="宋体" w:cs="宋体"/>
          <w:color w:val="auto"/>
          <w:spacing w:val="17"/>
          <w:sz w:val="31"/>
          <w:szCs w:val="31"/>
          <w:highlight w:val="none"/>
        </w:rPr>
        <w:t xml:space="preserve"> </w:t>
      </w:r>
      <w:r>
        <w:rPr>
          <w:rFonts w:ascii="宋体" w:hAnsi="宋体" w:eastAsia="宋体" w:cs="宋体"/>
          <w:b/>
          <w:bCs/>
          <w:color w:val="auto"/>
          <w:spacing w:val="5"/>
          <w:sz w:val="31"/>
          <w:szCs w:val="31"/>
          <w:highlight w:val="none"/>
        </w:rPr>
        <w:t>监狱企业的证明材料；</w:t>
      </w:r>
    </w:p>
    <w:p w14:paraId="71A54C94">
      <w:pPr>
        <w:pStyle w:val="4"/>
        <w:spacing w:line="302" w:lineRule="auto"/>
        <w:rPr>
          <w:color w:val="auto"/>
          <w:highlight w:val="none"/>
        </w:rPr>
      </w:pPr>
    </w:p>
    <w:p w14:paraId="6B3E8133">
      <w:pPr>
        <w:pStyle w:val="4"/>
        <w:spacing w:line="302" w:lineRule="auto"/>
        <w:rPr>
          <w:color w:val="auto"/>
          <w:highlight w:val="none"/>
        </w:rPr>
      </w:pPr>
    </w:p>
    <w:p w14:paraId="7A88F9F5">
      <w:pPr>
        <w:spacing w:before="78" w:line="219" w:lineRule="auto"/>
        <w:ind w:left="3071"/>
        <w:outlineLvl w:val="9"/>
        <w:rPr>
          <w:rFonts w:ascii="宋体" w:hAnsi="宋体" w:eastAsia="宋体" w:cs="宋体"/>
          <w:color w:val="auto"/>
          <w:sz w:val="24"/>
          <w:szCs w:val="24"/>
          <w:highlight w:val="none"/>
        </w:rPr>
      </w:pPr>
      <w:bookmarkStart w:id="56" w:name="_Toc25290"/>
      <w:r>
        <w:rPr>
          <w:rFonts w:ascii="宋体" w:hAnsi="宋体" w:eastAsia="宋体" w:cs="宋体"/>
          <w:b/>
          <w:bCs/>
          <w:color w:val="auto"/>
          <w:spacing w:val="6"/>
          <w:sz w:val="24"/>
          <w:szCs w:val="24"/>
          <w:highlight w:val="none"/>
        </w:rPr>
        <w:t>中小企业声明函（服务）</w:t>
      </w:r>
      <w:bookmarkEnd w:id="56"/>
    </w:p>
    <w:p w14:paraId="3F086645">
      <w:pPr>
        <w:spacing w:before="116" w:line="219" w:lineRule="auto"/>
        <w:ind w:left="4327"/>
        <w:rPr>
          <w:rFonts w:ascii="宋体" w:hAnsi="宋体" w:eastAsia="宋体" w:cs="宋体"/>
          <w:color w:val="auto"/>
          <w:sz w:val="24"/>
          <w:szCs w:val="24"/>
          <w:highlight w:val="none"/>
        </w:rPr>
      </w:pPr>
      <w:r>
        <w:rPr>
          <w:rFonts w:ascii="宋体" w:hAnsi="宋体" w:eastAsia="宋体" w:cs="宋体"/>
          <w:color w:val="auto"/>
          <w:sz w:val="24"/>
          <w:szCs w:val="24"/>
          <w:highlight w:val="none"/>
        </w:rPr>
        <w:t>（格式）</w:t>
      </w:r>
    </w:p>
    <w:p w14:paraId="23D7AA1D">
      <w:pPr>
        <w:pStyle w:val="4"/>
        <w:spacing w:line="431" w:lineRule="auto"/>
        <w:rPr>
          <w:color w:val="auto"/>
          <w:highlight w:val="none"/>
        </w:rPr>
      </w:pPr>
    </w:p>
    <w:p w14:paraId="33044A0D">
      <w:pPr>
        <w:spacing w:before="78" w:line="303" w:lineRule="auto"/>
        <w:ind w:firstLine="505"/>
        <w:jc w:val="both"/>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本公司（联合体）郑重声明，根据《政府采购促进中小企业发展管理办法》</w:t>
      </w:r>
      <w:r>
        <w:rPr>
          <w:rFonts w:ascii="宋体" w:hAnsi="宋体" w:eastAsia="宋体" w:cs="宋体"/>
          <w:color w:val="auto"/>
          <w:spacing w:val="-82"/>
          <w:sz w:val="24"/>
          <w:szCs w:val="24"/>
          <w:highlight w:val="none"/>
        </w:rPr>
        <w:t xml:space="preserve"> </w:t>
      </w:r>
      <w:r>
        <w:rPr>
          <w:rFonts w:ascii="宋体" w:hAnsi="宋体" w:eastAsia="宋体" w:cs="宋体"/>
          <w:color w:val="auto"/>
          <w:spacing w:val="12"/>
          <w:sz w:val="24"/>
          <w:szCs w:val="24"/>
          <w:highlight w:val="none"/>
        </w:rPr>
        <w:t>（财库</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﹝2020﹞46</w:t>
      </w:r>
      <w:r>
        <w:rPr>
          <w:rFonts w:ascii="宋体" w:hAnsi="宋体" w:eastAsia="宋体" w:cs="宋体"/>
          <w:color w:val="auto"/>
          <w:spacing w:val="41"/>
          <w:sz w:val="24"/>
          <w:szCs w:val="24"/>
          <w:highlight w:val="none"/>
        </w:rPr>
        <w:t xml:space="preserve"> </w:t>
      </w:r>
      <w:r>
        <w:rPr>
          <w:rFonts w:ascii="宋体" w:hAnsi="宋体" w:eastAsia="宋体" w:cs="宋体"/>
          <w:color w:val="auto"/>
          <w:spacing w:val="7"/>
          <w:sz w:val="24"/>
          <w:szCs w:val="24"/>
          <w:highlight w:val="none"/>
        </w:rPr>
        <w:t xml:space="preserve">号）的规定，本公司（联合体）参加 </w:t>
      </w:r>
      <w:r>
        <w:rPr>
          <w:rFonts w:ascii="宋体" w:hAnsi="宋体" w:eastAsia="宋体" w:cs="宋体"/>
          <w:color w:val="auto"/>
          <w:spacing w:val="7"/>
          <w:sz w:val="24"/>
          <w:szCs w:val="24"/>
          <w:highlight w:val="none"/>
          <w:u w:val="single" w:color="auto"/>
        </w:rPr>
        <w:t>（单位名称）</w:t>
      </w:r>
      <w:r>
        <w:rPr>
          <w:rFonts w:ascii="宋体" w:hAnsi="宋体" w:eastAsia="宋体" w:cs="宋体"/>
          <w:color w:val="auto"/>
          <w:spacing w:val="41"/>
          <w:sz w:val="24"/>
          <w:szCs w:val="24"/>
          <w:highlight w:val="none"/>
        </w:rPr>
        <w:t xml:space="preserve"> </w:t>
      </w:r>
      <w:r>
        <w:rPr>
          <w:rFonts w:ascii="宋体" w:hAnsi="宋体" w:eastAsia="宋体" w:cs="宋体"/>
          <w:color w:val="auto"/>
          <w:spacing w:val="7"/>
          <w:sz w:val="24"/>
          <w:szCs w:val="24"/>
          <w:highlight w:val="none"/>
        </w:rPr>
        <w:t xml:space="preserve">的 </w:t>
      </w:r>
      <w:r>
        <w:rPr>
          <w:rFonts w:ascii="宋体" w:hAnsi="宋体" w:eastAsia="宋体" w:cs="宋体"/>
          <w:color w:val="auto"/>
          <w:spacing w:val="7"/>
          <w:sz w:val="24"/>
          <w:szCs w:val="24"/>
          <w:highlight w:val="none"/>
          <w:u w:val="single" w:color="auto"/>
        </w:rPr>
        <w:t>（项目名称）</w:t>
      </w:r>
      <w:r>
        <w:rPr>
          <w:rFonts w:ascii="宋体" w:hAnsi="宋体" w:eastAsia="宋体" w:cs="宋体"/>
          <w:color w:val="auto"/>
          <w:spacing w:val="7"/>
          <w:sz w:val="24"/>
          <w:szCs w:val="24"/>
          <w:highlight w:val="none"/>
        </w:rPr>
        <w:t xml:space="preserve"> 采购</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活动，服务全部由符合政策要</w:t>
      </w:r>
      <w:r>
        <w:rPr>
          <w:rFonts w:ascii="宋体" w:hAnsi="宋体" w:eastAsia="宋体" w:cs="宋体"/>
          <w:color w:val="auto"/>
          <w:spacing w:val="12"/>
          <w:sz w:val="24"/>
          <w:szCs w:val="24"/>
          <w:highlight w:val="none"/>
        </w:rPr>
        <w:t>求的中小企业承接</w:t>
      </w:r>
      <w:r>
        <w:rPr>
          <w:rFonts w:ascii="宋体" w:hAnsi="宋体" w:eastAsia="宋体" w:cs="宋体"/>
          <w:color w:val="auto"/>
          <w:spacing w:val="-61"/>
          <w:sz w:val="24"/>
          <w:szCs w:val="24"/>
          <w:highlight w:val="none"/>
        </w:rPr>
        <w:t xml:space="preserve"> </w:t>
      </w:r>
      <w:r>
        <w:rPr>
          <w:rFonts w:ascii="宋体" w:hAnsi="宋体" w:eastAsia="宋体" w:cs="宋体"/>
          <w:color w:val="auto"/>
          <w:spacing w:val="12"/>
          <w:sz w:val="24"/>
          <w:szCs w:val="24"/>
          <w:highlight w:val="none"/>
        </w:rPr>
        <w:t>。相关企业（含联合体</w:t>
      </w:r>
      <w:r>
        <w:rPr>
          <w:rFonts w:ascii="宋体" w:hAnsi="宋体" w:eastAsia="宋体" w:cs="宋体"/>
          <w:color w:val="auto"/>
          <w:spacing w:val="11"/>
          <w:sz w:val="24"/>
          <w:szCs w:val="24"/>
          <w:highlight w:val="none"/>
        </w:rPr>
        <w:t>中的中小企业、签订分包意向协议的中小企</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业）</w:t>
      </w:r>
      <w:r>
        <w:rPr>
          <w:rFonts w:ascii="宋体" w:hAnsi="宋体" w:eastAsia="宋体" w:cs="宋体"/>
          <w:color w:val="auto"/>
          <w:spacing w:val="-64"/>
          <w:sz w:val="24"/>
          <w:szCs w:val="24"/>
          <w:highlight w:val="none"/>
        </w:rPr>
        <w:t xml:space="preserve"> </w:t>
      </w:r>
      <w:r>
        <w:rPr>
          <w:rFonts w:ascii="宋体" w:hAnsi="宋体" w:eastAsia="宋体" w:cs="宋体"/>
          <w:color w:val="auto"/>
          <w:spacing w:val="3"/>
          <w:sz w:val="24"/>
          <w:szCs w:val="24"/>
          <w:highlight w:val="none"/>
        </w:rPr>
        <w:t>的具体情况如下：</w:t>
      </w:r>
    </w:p>
    <w:p w14:paraId="279D5753">
      <w:pPr>
        <w:spacing w:before="32" w:line="299" w:lineRule="auto"/>
        <w:ind w:firstLine="522"/>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 xml:space="preserve">1. </w:t>
      </w:r>
      <w:r>
        <w:rPr>
          <w:rFonts w:ascii="宋体" w:hAnsi="宋体" w:eastAsia="宋体" w:cs="宋体"/>
          <w:color w:val="auto"/>
          <w:spacing w:val="2"/>
          <w:sz w:val="24"/>
          <w:szCs w:val="24"/>
          <w:highlight w:val="none"/>
          <w:u w:val="single" w:color="auto"/>
        </w:rPr>
        <w:t>（标的名称</w:t>
      </w:r>
      <w:r>
        <w:rPr>
          <w:rFonts w:ascii="宋体" w:hAnsi="宋体" w:eastAsia="宋体" w:cs="宋体"/>
          <w:color w:val="auto"/>
          <w:spacing w:val="-35"/>
          <w:sz w:val="24"/>
          <w:szCs w:val="24"/>
          <w:highlight w:val="none"/>
          <w:u w:val="single" w:color="auto"/>
        </w:rPr>
        <w:t>）</w:t>
      </w:r>
      <w:r>
        <w:rPr>
          <w:rFonts w:ascii="宋体" w:hAnsi="宋体" w:eastAsia="宋体" w:cs="宋体"/>
          <w:color w:val="auto"/>
          <w:spacing w:val="13"/>
          <w:sz w:val="24"/>
          <w:szCs w:val="24"/>
          <w:highlight w:val="none"/>
        </w:rPr>
        <w:t xml:space="preserve"> </w:t>
      </w:r>
      <w:r>
        <w:rPr>
          <w:rFonts w:ascii="宋体" w:hAnsi="宋体" w:eastAsia="宋体" w:cs="宋体"/>
          <w:color w:val="auto"/>
          <w:spacing w:val="-35"/>
          <w:sz w:val="24"/>
          <w:szCs w:val="24"/>
          <w:highlight w:val="none"/>
        </w:rPr>
        <w:t>，</w:t>
      </w:r>
      <w:r>
        <w:rPr>
          <w:rFonts w:ascii="宋体" w:hAnsi="宋体" w:eastAsia="宋体" w:cs="宋体"/>
          <w:color w:val="auto"/>
          <w:spacing w:val="2"/>
          <w:sz w:val="24"/>
          <w:szCs w:val="24"/>
          <w:highlight w:val="none"/>
        </w:rPr>
        <w:t>属于</w:t>
      </w:r>
      <w:r>
        <w:rPr>
          <w:rFonts w:ascii="宋体" w:hAnsi="宋体" w:eastAsia="宋体" w:cs="宋体"/>
          <w:color w:val="auto"/>
          <w:spacing w:val="-108"/>
          <w:sz w:val="24"/>
          <w:szCs w:val="24"/>
          <w:highlight w:val="none"/>
        </w:rPr>
        <w:t xml:space="preserve"> </w:t>
      </w:r>
      <w:r>
        <w:rPr>
          <w:rFonts w:ascii="宋体" w:hAnsi="宋体" w:eastAsia="宋体" w:cs="宋体"/>
          <w:color w:val="auto"/>
          <w:spacing w:val="-58"/>
          <w:sz w:val="24"/>
          <w:szCs w:val="24"/>
          <w:highlight w:val="none"/>
          <w:u w:val="single" w:color="auto"/>
        </w:rPr>
        <w:t xml:space="preserve"> </w:t>
      </w:r>
      <w:r>
        <w:rPr>
          <w:rFonts w:ascii="宋体" w:hAnsi="宋体" w:eastAsia="宋体" w:cs="宋体"/>
          <w:color w:val="auto"/>
          <w:spacing w:val="2"/>
          <w:sz w:val="24"/>
          <w:szCs w:val="24"/>
          <w:highlight w:val="none"/>
          <w:u w:val="single" w:color="auto"/>
        </w:rPr>
        <w:t>（采购文件中明确的所属行业</w:t>
      </w:r>
      <w:r>
        <w:rPr>
          <w:rFonts w:ascii="宋体" w:hAnsi="宋体" w:eastAsia="宋体" w:cs="宋体"/>
          <w:color w:val="auto"/>
          <w:spacing w:val="-35"/>
          <w:sz w:val="24"/>
          <w:szCs w:val="24"/>
          <w:highlight w:val="none"/>
          <w:u w:val="single" w:color="auto"/>
        </w:rPr>
        <w:t>）</w:t>
      </w:r>
      <w:r>
        <w:rPr>
          <w:rFonts w:ascii="宋体" w:hAnsi="宋体" w:eastAsia="宋体" w:cs="宋体"/>
          <w:color w:val="auto"/>
          <w:spacing w:val="-34"/>
          <w:sz w:val="24"/>
          <w:szCs w:val="24"/>
          <w:highlight w:val="none"/>
          <w:u w:val="single" w:color="auto"/>
        </w:rPr>
        <w:t xml:space="preserve"> </w:t>
      </w:r>
      <w:r>
        <w:rPr>
          <w:rFonts w:ascii="宋体" w:hAnsi="宋体" w:eastAsia="宋体" w:cs="宋体"/>
          <w:color w:val="auto"/>
          <w:spacing w:val="-35"/>
          <w:sz w:val="24"/>
          <w:szCs w:val="24"/>
          <w:highlight w:val="none"/>
        </w:rPr>
        <w:t>；</w:t>
      </w:r>
      <w:r>
        <w:rPr>
          <w:rFonts w:ascii="宋体" w:hAnsi="宋体" w:eastAsia="宋体" w:cs="宋体"/>
          <w:color w:val="auto"/>
          <w:spacing w:val="1"/>
          <w:sz w:val="24"/>
          <w:szCs w:val="24"/>
          <w:highlight w:val="none"/>
        </w:rPr>
        <w:t xml:space="preserve">承接企业为 </w:t>
      </w:r>
      <w:r>
        <w:rPr>
          <w:rFonts w:ascii="宋体" w:hAnsi="宋体" w:eastAsia="宋体" w:cs="宋体"/>
          <w:color w:val="auto"/>
          <w:spacing w:val="1"/>
          <w:sz w:val="24"/>
          <w:szCs w:val="24"/>
          <w:highlight w:val="none"/>
          <w:u w:val="single" w:color="auto"/>
        </w:rPr>
        <w:t>（企</w:t>
      </w:r>
      <w:r>
        <w:rPr>
          <w:rFonts w:ascii="宋体" w:hAnsi="宋体" w:eastAsia="宋体" w:cs="宋体"/>
          <w:color w:val="auto"/>
          <w:spacing w:val="7"/>
          <w:sz w:val="24"/>
          <w:szCs w:val="24"/>
          <w:highlight w:val="none"/>
          <w:u w:val="single" w:color="auto"/>
        </w:rPr>
        <w:t>业名称</w:t>
      </w:r>
      <w:r>
        <w:rPr>
          <w:rFonts w:ascii="宋体" w:hAnsi="宋体" w:eastAsia="宋体" w:cs="宋体"/>
          <w:color w:val="auto"/>
          <w:spacing w:val="3"/>
          <w:sz w:val="24"/>
          <w:szCs w:val="24"/>
          <w:highlight w:val="none"/>
          <w:u w:val="single" w:color="auto"/>
        </w:rPr>
        <w:t>）</w:t>
      </w:r>
      <w:r>
        <w:rPr>
          <w:rFonts w:ascii="宋体" w:hAnsi="宋体" w:eastAsia="宋体" w:cs="宋体"/>
          <w:color w:val="auto"/>
          <w:spacing w:val="-97"/>
          <w:sz w:val="24"/>
          <w:szCs w:val="24"/>
          <w:highlight w:val="none"/>
          <w:u w:val="single" w:color="auto"/>
        </w:rPr>
        <w:t xml:space="preserve"> </w:t>
      </w:r>
      <w:r>
        <w:rPr>
          <w:rFonts w:ascii="宋体" w:hAnsi="宋体" w:eastAsia="宋体" w:cs="宋体"/>
          <w:color w:val="auto"/>
          <w:spacing w:val="42"/>
          <w:sz w:val="24"/>
          <w:szCs w:val="24"/>
          <w:highlight w:val="none"/>
        </w:rPr>
        <w:t xml:space="preserve"> </w:t>
      </w:r>
      <w:r>
        <w:rPr>
          <w:rFonts w:ascii="宋体" w:hAnsi="宋体" w:eastAsia="宋体" w:cs="宋体"/>
          <w:color w:val="auto"/>
          <w:spacing w:val="3"/>
          <w:sz w:val="24"/>
          <w:szCs w:val="24"/>
          <w:highlight w:val="none"/>
        </w:rPr>
        <w:t>，</w:t>
      </w:r>
      <w:r>
        <w:rPr>
          <w:rFonts w:ascii="宋体" w:hAnsi="宋体" w:eastAsia="宋体" w:cs="宋体"/>
          <w:color w:val="auto"/>
          <w:spacing w:val="7"/>
          <w:sz w:val="24"/>
          <w:szCs w:val="24"/>
          <w:highlight w:val="none"/>
        </w:rPr>
        <w:t>从业人员</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2"/>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7"/>
          <w:sz w:val="24"/>
          <w:szCs w:val="24"/>
          <w:highlight w:val="none"/>
        </w:rPr>
        <w:t>人，营业收入为</w:t>
      </w:r>
      <w:r>
        <w:rPr>
          <w:rFonts w:ascii="宋体" w:hAnsi="宋体" w:eastAsia="宋体" w:cs="宋体"/>
          <w:color w:val="auto"/>
          <w:spacing w:val="-108"/>
          <w:sz w:val="24"/>
          <w:szCs w:val="24"/>
          <w:highlight w:val="none"/>
        </w:rPr>
        <w:t xml:space="preserve"> </w:t>
      </w:r>
      <w:r>
        <w:rPr>
          <w:rFonts w:ascii="宋体" w:hAnsi="宋体" w:eastAsia="宋体" w:cs="宋体"/>
          <w:color w:val="auto"/>
          <w:spacing w:val="12"/>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7"/>
          <w:sz w:val="24"/>
          <w:szCs w:val="24"/>
          <w:highlight w:val="none"/>
        </w:rPr>
        <w:t>万元，资产总额为</w:t>
      </w:r>
      <w:r>
        <w:rPr>
          <w:rFonts w:ascii="宋体" w:hAnsi="宋体" w:eastAsia="宋体" w:cs="宋体"/>
          <w:color w:val="auto"/>
          <w:spacing w:val="-108"/>
          <w:sz w:val="24"/>
          <w:szCs w:val="24"/>
          <w:highlight w:val="none"/>
        </w:rPr>
        <w:t xml:space="preserve"> </w:t>
      </w:r>
      <w:r>
        <w:rPr>
          <w:rFonts w:ascii="宋体" w:hAnsi="宋体" w:eastAsia="宋体" w:cs="宋体"/>
          <w:color w:val="auto"/>
          <w:spacing w:val="12"/>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7"/>
          <w:sz w:val="24"/>
          <w:szCs w:val="24"/>
          <w:highlight w:val="none"/>
        </w:rPr>
        <w:t>万元，属于</w:t>
      </w:r>
      <w:r>
        <w:rPr>
          <w:rFonts w:ascii="宋体" w:hAnsi="宋体" w:eastAsia="宋体" w:cs="宋体"/>
          <w:color w:val="auto"/>
          <w:spacing w:val="-109"/>
          <w:sz w:val="24"/>
          <w:szCs w:val="24"/>
          <w:highlight w:val="none"/>
        </w:rPr>
        <w:t xml:space="preserve"> </w:t>
      </w:r>
      <w:r>
        <w:rPr>
          <w:rFonts w:ascii="宋体" w:hAnsi="宋体" w:eastAsia="宋体" w:cs="宋体"/>
          <w:color w:val="auto"/>
          <w:spacing w:val="7"/>
          <w:sz w:val="24"/>
          <w:szCs w:val="24"/>
          <w:highlight w:val="none"/>
          <w:u w:val="single" w:color="auto"/>
        </w:rPr>
        <w:t xml:space="preserve"> （中型</w:t>
      </w:r>
      <w:r>
        <w:rPr>
          <w:rFonts w:ascii="宋体" w:hAnsi="宋体" w:eastAsia="宋体" w:cs="宋体"/>
          <w:color w:val="auto"/>
          <w:spacing w:val="10"/>
          <w:sz w:val="24"/>
          <w:szCs w:val="24"/>
          <w:highlight w:val="none"/>
          <w:u w:val="single" w:color="auto"/>
        </w:rPr>
        <w:t>企业、小型企业、微型企业</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97"/>
          <w:sz w:val="24"/>
          <w:szCs w:val="24"/>
          <w:highlight w:val="none"/>
          <w:u w:val="single" w:color="auto"/>
        </w:rPr>
        <w:t xml:space="preserve"> </w:t>
      </w:r>
      <w:r>
        <w:rPr>
          <w:rFonts w:ascii="宋体" w:hAnsi="宋体" w:eastAsia="宋体" w:cs="宋体"/>
          <w:color w:val="auto"/>
          <w:spacing w:val="13"/>
          <w:sz w:val="24"/>
          <w:szCs w:val="24"/>
          <w:highlight w:val="none"/>
        </w:rPr>
        <w:t xml:space="preserve"> </w:t>
      </w:r>
      <w:r>
        <w:rPr>
          <w:rFonts w:ascii="宋体" w:hAnsi="宋体" w:eastAsia="宋体" w:cs="宋体"/>
          <w:color w:val="auto"/>
          <w:spacing w:val="1"/>
          <w:sz w:val="24"/>
          <w:szCs w:val="24"/>
          <w:highlight w:val="none"/>
        </w:rPr>
        <w:t>；</w:t>
      </w:r>
    </w:p>
    <w:p w14:paraId="10E138C6">
      <w:pPr>
        <w:spacing w:before="33" w:line="299" w:lineRule="auto"/>
        <w:ind w:firstLine="50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 xml:space="preserve">2. </w:t>
      </w:r>
      <w:r>
        <w:rPr>
          <w:rFonts w:ascii="宋体" w:hAnsi="宋体" w:eastAsia="宋体" w:cs="宋体"/>
          <w:color w:val="auto"/>
          <w:spacing w:val="3"/>
          <w:sz w:val="24"/>
          <w:szCs w:val="24"/>
          <w:highlight w:val="none"/>
          <w:u w:val="single" w:color="auto"/>
        </w:rPr>
        <w:t>（标的名称</w:t>
      </w:r>
      <w:r>
        <w:rPr>
          <w:rFonts w:ascii="宋体" w:hAnsi="宋体" w:eastAsia="宋体" w:cs="宋体"/>
          <w:color w:val="auto"/>
          <w:spacing w:val="-47"/>
          <w:sz w:val="24"/>
          <w:szCs w:val="24"/>
          <w:highlight w:val="none"/>
          <w:u w:val="single" w:color="auto"/>
        </w:rPr>
        <w:t>）</w:t>
      </w:r>
      <w:r>
        <w:rPr>
          <w:rFonts w:ascii="宋体" w:hAnsi="宋体" w:eastAsia="宋体" w:cs="宋体"/>
          <w:color w:val="auto"/>
          <w:spacing w:val="13"/>
          <w:sz w:val="24"/>
          <w:szCs w:val="24"/>
          <w:highlight w:val="none"/>
        </w:rPr>
        <w:t xml:space="preserve"> </w:t>
      </w:r>
      <w:r>
        <w:rPr>
          <w:rFonts w:ascii="宋体" w:hAnsi="宋体" w:eastAsia="宋体" w:cs="宋体"/>
          <w:color w:val="auto"/>
          <w:spacing w:val="-47"/>
          <w:sz w:val="24"/>
          <w:szCs w:val="24"/>
          <w:highlight w:val="none"/>
        </w:rPr>
        <w:t>，</w:t>
      </w:r>
      <w:r>
        <w:rPr>
          <w:rFonts w:ascii="宋体" w:hAnsi="宋体" w:eastAsia="宋体" w:cs="宋体"/>
          <w:color w:val="auto"/>
          <w:spacing w:val="3"/>
          <w:sz w:val="24"/>
          <w:szCs w:val="24"/>
          <w:highlight w:val="none"/>
        </w:rPr>
        <w:t>属于</w:t>
      </w:r>
      <w:r>
        <w:rPr>
          <w:rFonts w:ascii="宋体" w:hAnsi="宋体" w:eastAsia="宋体" w:cs="宋体"/>
          <w:color w:val="auto"/>
          <w:spacing w:val="-108"/>
          <w:sz w:val="24"/>
          <w:szCs w:val="24"/>
          <w:highlight w:val="none"/>
        </w:rPr>
        <w:t xml:space="preserve"> </w:t>
      </w:r>
      <w:r>
        <w:rPr>
          <w:rFonts w:ascii="宋体" w:hAnsi="宋体" w:eastAsia="宋体" w:cs="宋体"/>
          <w:color w:val="auto"/>
          <w:spacing w:val="-57"/>
          <w:sz w:val="24"/>
          <w:szCs w:val="24"/>
          <w:highlight w:val="none"/>
          <w:u w:val="single" w:color="auto"/>
        </w:rPr>
        <w:t xml:space="preserve"> </w:t>
      </w:r>
      <w:r>
        <w:rPr>
          <w:rFonts w:ascii="宋体" w:hAnsi="宋体" w:eastAsia="宋体" w:cs="宋体"/>
          <w:color w:val="auto"/>
          <w:spacing w:val="3"/>
          <w:sz w:val="24"/>
          <w:szCs w:val="24"/>
          <w:highlight w:val="none"/>
          <w:u w:val="single" w:color="auto"/>
        </w:rPr>
        <w:t>（采购文件中明确的所属行业</w:t>
      </w:r>
      <w:r>
        <w:rPr>
          <w:rFonts w:ascii="宋体" w:hAnsi="宋体" w:eastAsia="宋体" w:cs="宋体"/>
          <w:color w:val="auto"/>
          <w:spacing w:val="-47"/>
          <w:sz w:val="24"/>
          <w:szCs w:val="24"/>
          <w:highlight w:val="none"/>
          <w:u w:val="single" w:color="auto"/>
        </w:rPr>
        <w:t>）</w:t>
      </w:r>
      <w:r>
        <w:rPr>
          <w:rFonts w:ascii="宋体" w:hAnsi="宋体" w:eastAsia="宋体" w:cs="宋体"/>
          <w:color w:val="auto"/>
          <w:spacing w:val="13"/>
          <w:sz w:val="24"/>
          <w:szCs w:val="24"/>
          <w:highlight w:val="none"/>
        </w:rPr>
        <w:t xml:space="preserve"> </w:t>
      </w:r>
      <w:r>
        <w:rPr>
          <w:rFonts w:ascii="宋体" w:hAnsi="宋体" w:eastAsia="宋体" w:cs="宋体"/>
          <w:color w:val="auto"/>
          <w:spacing w:val="-47"/>
          <w:sz w:val="24"/>
          <w:szCs w:val="24"/>
          <w:highlight w:val="none"/>
        </w:rPr>
        <w:t>；</w:t>
      </w:r>
      <w:r>
        <w:rPr>
          <w:rFonts w:ascii="宋体" w:hAnsi="宋体" w:eastAsia="宋体" w:cs="宋体"/>
          <w:color w:val="auto"/>
          <w:spacing w:val="2"/>
          <w:sz w:val="24"/>
          <w:szCs w:val="24"/>
          <w:highlight w:val="none"/>
        </w:rPr>
        <w:t>承接企业为</w:t>
      </w:r>
      <w:r>
        <w:rPr>
          <w:rFonts w:ascii="宋体" w:hAnsi="宋体" w:eastAsia="宋体" w:cs="宋体"/>
          <w:color w:val="auto"/>
          <w:spacing w:val="-108"/>
          <w:sz w:val="24"/>
          <w:szCs w:val="24"/>
          <w:highlight w:val="none"/>
        </w:rPr>
        <w:t xml:space="preserve"> </w:t>
      </w:r>
      <w:r>
        <w:rPr>
          <w:rFonts w:ascii="宋体" w:hAnsi="宋体" w:eastAsia="宋体" w:cs="宋体"/>
          <w:color w:val="auto"/>
          <w:spacing w:val="-29"/>
          <w:sz w:val="24"/>
          <w:szCs w:val="24"/>
          <w:highlight w:val="none"/>
          <w:u w:val="single" w:color="auto"/>
        </w:rPr>
        <w:t xml:space="preserve"> </w:t>
      </w:r>
      <w:r>
        <w:rPr>
          <w:rFonts w:ascii="宋体" w:hAnsi="宋体" w:eastAsia="宋体" w:cs="宋体"/>
          <w:color w:val="auto"/>
          <w:spacing w:val="2"/>
          <w:sz w:val="24"/>
          <w:szCs w:val="24"/>
          <w:highlight w:val="none"/>
          <w:u w:val="single" w:color="auto"/>
        </w:rPr>
        <w:t>（企</w:t>
      </w:r>
      <w:r>
        <w:rPr>
          <w:rFonts w:ascii="宋体" w:hAnsi="宋体" w:eastAsia="宋体" w:cs="宋体"/>
          <w:color w:val="auto"/>
          <w:spacing w:val="10"/>
          <w:sz w:val="24"/>
          <w:szCs w:val="24"/>
          <w:highlight w:val="none"/>
          <w:u w:val="single" w:color="auto"/>
        </w:rPr>
        <w:t>业名称</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90"/>
          <w:sz w:val="24"/>
          <w:szCs w:val="24"/>
          <w:highlight w:val="none"/>
          <w:u w:val="single" w:color="auto"/>
        </w:rPr>
        <w:t xml:space="preserve"> </w:t>
      </w:r>
      <w:r>
        <w:rPr>
          <w:rFonts w:ascii="宋体" w:hAnsi="宋体" w:eastAsia="宋体" w:cs="宋体"/>
          <w:color w:val="auto"/>
          <w:spacing w:val="42"/>
          <w:sz w:val="24"/>
          <w:szCs w:val="24"/>
          <w:highlight w:val="none"/>
        </w:rPr>
        <w:t xml:space="preserve"> </w:t>
      </w:r>
      <w:r>
        <w:rPr>
          <w:rFonts w:ascii="宋体" w:hAnsi="宋体" w:eastAsia="宋体" w:cs="宋体"/>
          <w:color w:val="auto"/>
          <w:spacing w:val="-1"/>
          <w:sz w:val="24"/>
          <w:szCs w:val="24"/>
          <w:highlight w:val="none"/>
        </w:rPr>
        <w:t>，</w:t>
      </w:r>
      <w:r>
        <w:rPr>
          <w:rFonts w:ascii="宋体" w:hAnsi="宋体" w:eastAsia="宋体" w:cs="宋体"/>
          <w:color w:val="auto"/>
          <w:spacing w:val="10"/>
          <w:sz w:val="24"/>
          <w:szCs w:val="24"/>
          <w:highlight w:val="none"/>
        </w:rPr>
        <w:t>从业人员</w:t>
      </w:r>
      <w:r>
        <w:rPr>
          <w:rFonts w:ascii="宋体" w:hAnsi="宋体" w:eastAsia="宋体" w:cs="宋体"/>
          <w:color w:val="auto"/>
          <w:spacing w:val="-103"/>
          <w:sz w:val="24"/>
          <w:szCs w:val="24"/>
          <w:highlight w:val="none"/>
        </w:rPr>
        <w:t xml:space="preserve"> </w:t>
      </w:r>
      <w:r>
        <w:rPr>
          <w:rFonts w:ascii="宋体" w:hAnsi="宋体" w:eastAsia="宋体" w:cs="宋体"/>
          <w:color w:val="auto"/>
          <w:spacing w:val="14"/>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10"/>
          <w:sz w:val="24"/>
          <w:szCs w:val="24"/>
          <w:highlight w:val="none"/>
        </w:rPr>
        <w:t>人，营业收入为</w:t>
      </w:r>
      <w:r>
        <w:rPr>
          <w:rFonts w:ascii="宋体" w:hAnsi="宋体" w:eastAsia="宋体" w:cs="宋体"/>
          <w:color w:val="auto"/>
          <w:spacing w:val="-103"/>
          <w:sz w:val="24"/>
          <w:szCs w:val="24"/>
          <w:highlight w:val="none"/>
        </w:rPr>
        <w:t xml:space="preserve"> </w:t>
      </w:r>
      <w:r>
        <w:rPr>
          <w:rFonts w:ascii="宋体" w:hAnsi="宋体" w:eastAsia="宋体" w:cs="宋体"/>
          <w:color w:val="auto"/>
          <w:spacing w:val="14"/>
          <w:sz w:val="24"/>
          <w:szCs w:val="24"/>
          <w:highlight w:val="none"/>
          <w:u w:val="single" w:color="auto"/>
        </w:rPr>
        <w:t xml:space="preserve">    </w:t>
      </w:r>
      <w:r>
        <w:rPr>
          <w:rFonts w:ascii="宋体" w:hAnsi="宋体" w:eastAsia="宋体" w:cs="宋体"/>
          <w:color w:val="auto"/>
          <w:spacing w:val="-103"/>
          <w:sz w:val="24"/>
          <w:szCs w:val="24"/>
          <w:highlight w:val="none"/>
        </w:rPr>
        <w:t xml:space="preserve"> </w:t>
      </w:r>
      <w:r>
        <w:rPr>
          <w:rFonts w:ascii="宋体" w:hAnsi="宋体" w:eastAsia="宋体" w:cs="宋体"/>
          <w:color w:val="auto"/>
          <w:spacing w:val="10"/>
          <w:sz w:val="24"/>
          <w:szCs w:val="24"/>
          <w:highlight w:val="none"/>
        </w:rPr>
        <w:t>万元，资产总额为</w:t>
      </w:r>
      <w:r>
        <w:rPr>
          <w:rFonts w:ascii="宋体" w:hAnsi="宋体" w:eastAsia="宋体" w:cs="宋体"/>
          <w:color w:val="auto"/>
          <w:spacing w:val="-106"/>
          <w:sz w:val="24"/>
          <w:szCs w:val="24"/>
          <w:highlight w:val="none"/>
        </w:rPr>
        <w:t xml:space="preserve"> </w:t>
      </w:r>
      <w:r>
        <w:rPr>
          <w:rFonts w:ascii="宋体" w:hAnsi="宋体" w:eastAsia="宋体" w:cs="宋体"/>
          <w:color w:val="auto"/>
          <w:spacing w:val="15"/>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0"/>
          <w:sz w:val="24"/>
          <w:szCs w:val="24"/>
          <w:highlight w:val="none"/>
        </w:rPr>
        <w:t>万元，属</w:t>
      </w:r>
      <w:r>
        <w:rPr>
          <w:rFonts w:ascii="宋体" w:hAnsi="宋体" w:eastAsia="宋体" w:cs="宋体"/>
          <w:color w:val="auto"/>
          <w:spacing w:val="9"/>
          <w:sz w:val="24"/>
          <w:szCs w:val="24"/>
          <w:highlight w:val="none"/>
        </w:rPr>
        <w:t xml:space="preserve">于 </w:t>
      </w:r>
      <w:r>
        <w:rPr>
          <w:rFonts w:ascii="宋体" w:hAnsi="宋体" w:eastAsia="宋体" w:cs="宋体"/>
          <w:color w:val="auto"/>
          <w:spacing w:val="9"/>
          <w:sz w:val="24"/>
          <w:szCs w:val="24"/>
          <w:highlight w:val="none"/>
          <w:u w:val="single" w:color="auto"/>
        </w:rPr>
        <w:t>（中</w:t>
      </w:r>
      <w:r>
        <w:rPr>
          <w:rFonts w:ascii="宋体" w:hAnsi="宋体" w:eastAsia="宋体" w:cs="宋体"/>
          <w:color w:val="auto"/>
          <w:spacing w:val="10"/>
          <w:sz w:val="24"/>
          <w:szCs w:val="24"/>
          <w:highlight w:val="none"/>
          <w:u w:val="single" w:color="auto"/>
        </w:rPr>
        <w:t>型企业、小型企业、微型企业</w:t>
      </w:r>
      <w:r>
        <w:rPr>
          <w:rFonts w:ascii="宋体" w:hAnsi="宋体" w:eastAsia="宋体" w:cs="宋体"/>
          <w:color w:val="auto"/>
          <w:spacing w:val="2"/>
          <w:sz w:val="24"/>
          <w:szCs w:val="24"/>
          <w:highlight w:val="none"/>
          <w:u w:val="single" w:color="auto"/>
        </w:rPr>
        <w:t>）</w:t>
      </w:r>
      <w:r>
        <w:rPr>
          <w:rFonts w:ascii="宋体" w:hAnsi="宋体" w:eastAsia="宋体" w:cs="宋体"/>
          <w:color w:val="auto"/>
          <w:spacing w:val="35"/>
          <w:sz w:val="24"/>
          <w:szCs w:val="24"/>
          <w:highlight w:val="none"/>
          <w:u w:val="single" w:color="auto"/>
        </w:rPr>
        <w:t xml:space="preserve"> </w:t>
      </w:r>
      <w:r>
        <w:rPr>
          <w:rFonts w:ascii="宋体" w:hAnsi="宋体" w:eastAsia="宋体" w:cs="宋体"/>
          <w:color w:val="auto"/>
          <w:spacing w:val="2"/>
          <w:sz w:val="24"/>
          <w:szCs w:val="24"/>
          <w:highlight w:val="none"/>
        </w:rPr>
        <w:t>；</w:t>
      </w:r>
    </w:p>
    <w:p w14:paraId="302EF89C">
      <w:pPr>
        <w:spacing w:before="36" w:line="378" w:lineRule="exact"/>
        <w:ind w:left="520"/>
        <w:rPr>
          <w:rFonts w:ascii="宋体" w:hAnsi="宋体" w:eastAsia="宋体" w:cs="宋体"/>
          <w:color w:val="auto"/>
          <w:sz w:val="24"/>
          <w:szCs w:val="24"/>
          <w:highlight w:val="none"/>
        </w:rPr>
      </w:pPr>
      <w:r>
        <w:rPr>
          <w:rFonts w:ascii="宋体" w:hAnsi="宋体" w:eastAsia="宋体" w:cs="宋体"/>
          <w:color w:val="auto"/>
          <w:spacing w:val="-7"/>
          <w:position w:val="3"/>
          <w:sz w:val="24"/>
          <w:szCs w:val="24"/>
          <w:highlight w:val="none"/>
        </w:rPr>
        <w:t>……</w:t>
      </w:r>
    </w:p>
    <w:p w14:paraId="5C416AB3">
      <w:pPr>
        <w:spacing w:before="20" w:line="295" w:lineRule="auto"/>
        <w:ind w:left="5" w:firstLine="526"/>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 xml:space="preserve">以上企业，不属于大企业的分支机构，不存在控股股东为大企业的情形，也不存在 </w:t>
      </w:r>
      <w:r>
        <w:rPr>
          <w:rFonts w:ascii="宋体" w:hAnsi="宋体" w:eastAsia="宋体" w:cs="宋体"/>
          <w:color w:val="auto"/>
          <w:spacing w:val="9"/>
          <w:sz w:val="24"/>
          <w:szCs w:val="24"/>
          <w:highlight w:val="none"/>
        </w:rPr>
        <w:t>与大企业的负责人为同一人的情形。</w:t>
      </w:r>
    </w:p>
    <w:p w14:paraId="5363A467">
      <w:pPr>
        <w:spacing w:before="34" w:line="219" w:lineRule="auto"/>
        <w:ind w:left="505"/>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本企业对上述声明内容的真实性负责。如有虚假，将依法承担相</w:t>
      </w:r>
      <w:r>
        <w:rPr>
          <w:rFonts w:ascii="宋体" w:hAnsi="宋体" w:eastAsia="宋体" w:cs="宋体"/>
          <w:color w:val="auto"/>
          <w:spacing w:val="10"/>
          <w:sz w:val="24"/>
          <w:szCs w:val="24"/>
          <w:highlight w:val="none"/>
        </w:rPr>
        <w:t>应责任。</w:t>
      </w:r>
    </w:p>
    <w:p w14:paraId="08B52F7B">
      <w:pPr>
        <w:pStyle w:val="4"/>
        <w:spacing w:line="435" w:lineRule="auto"/>
        <w:rPr>
          <w:color w:val="auto"/>
          <w:highlight w:val="none"/>
        </w:rPr>
      </w:pPr>
    </w:p>
    <w:p w14:paraId="4BB19C5F">
      <w:pPr>
        <w:spacing w:before="78" w:line="295" w:lineRule="auto"/>
        <w:ind w:left="7388" w:right="60" w:hanging="13"/>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企业名称（盖章</w:t>
      </w:r>
      <w:r>
        <w:rPr>
          <w:rFonts w:ascii="宋体" w:hAnsi="宋体" w:eastAsia="宋体" w:cs="宋体"/>
          <w:color w:val="auto"/>
          <w:spacing w:val="-18"/>
          <w:sz w:val="24"/>
          <w:szCs w:val="24"/>
          <w:highlight w:val="none"/>
        </w:rPr>
        <w:t>）：</w:t>
      </w:r>
      <w:r>
        <w:rPr>
          <w:rFonts w:ascii="宋体" w:hAnsi="宋体" w:eastAsia="宋体" w:cs="宋体"/>
          <w:color w:val="auto"/>
          <w:spacing w:val="1"/>
          <w:sz w:val="24"/>
          <w:szCs w:val="24"/>
          <w:highlight w:val="none"/>
        </w:rPr>
        <w:t xml:space="preserve"> </w:t>
      </w:r>
      <w:r>
        <w:rPr>
          <w:rFonts w:ascii="宋体" w:hAnsi="宋体" w:eastAsia="宋体" w:cs="宋体"/>
          <w:color w:val="auto"/>
          <w:spacing w:val="-21"/>
          <w:sz w:val="24"/>
          <w:szCs w:val="24"/>
          <w:highlight w:val="none"/>
        </w:rPr>
        <w:t>日</w:t>
      </w:r>
      <w:r>
        <w:rPr>
          <w:rFonts w:ascii="宋体" w:hAnsi="宋体" w:eastAsia="宋体" w:cs="宋体"/>
          <w:color w:val="auto"/>
          <w:spacing w:val="36"/>
          <w:sz w:val="24"/>
          <w:szCs w:val="24"/>
          <w:highlight w:val="none"/>
        </w:rPr>
        <w:t xml:space="preserve"> </w:t>
      </w:r>
      <w:r>
        <w:rPr>
          <w:rFonts w:ascii="宋体" w:hAnsi="宋体" w:eastAsia="宋体" w:cs="宋体"/>
          <w:color w:val="auto"/>
          <w:spacing w:val="-21"/>
          <w:sz w:val="24"/>
          <w:szCs w:val="24"/>
          <w:highlight w:val="none"/>
        </w:rPr>
        <w:t>期：</w:t>
      </w:r>
    </w:p>
    <w:p w14:paraId="6F270636">
      <w:pPr>
        <w:pStyle w:val="4"/>
        <w:spacing w:line="352" w:lineRule="auto"/>
        <w:rPr>
          <w:color w:val="auto"/>
          <w:highlight w:val="none"/>
        </w:rPr>
      </w:pPr>
    </w:p>
    <w:p w14:paraId="301D4E53">
      <w:pPr>
        <w:spacing w:before="79" w:line="301" w:lineRule="auto"/>
        <w:jc w:val="both"/>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注：享受《政府采购促进中小企业发展管理办法》（财库〔2020〕46</w:t>
      </w:r>
      <w:r>
        <w:rPr>
          <w:rFonts w:ascii="宋体" w:hAnsi="宋体" w:eastAsia="宋体" w:cs="宋体"/>
          <w:color w:val="auto"/>
          <w:spacing w:val="-15"/>
          <w:sz w:val="24"/>
          <w:szCs w:val="24"/>
          <w:highlight w:val="none"/>
        </w:rPr>
        <w:t xml:space="preserve"> </w:t>
      </w:r>
      <w:r>
        <w:rPr>
          <w:rFonts w:ascii="宋体" w:hAnsi="宋体" w:eastAsia="宋体" w:cs="宋体"/>
          <w:b/>
          <w:bCs/>
          <w:color w:val="auto"/>
          <w:spacing w:val="7"/>
          <w:sz w:val="24"/>
          <w:szCs w:val="24"/>
          <w:highlight w:val="none"/>
        </w:rPr>
        <w:t>号）规定的中小企</w:t>
      </w:r>
      <w:r>
        <w:rPr>
          <w:rFonts w:ascii="宋体" w:hAnsi="宋体" w:eastAsia="宋体" w:cs="宋体"/>
          <w:color w:val="auto"/>
          <w:sz w:val="24"/>
          <w:szCs w:val="24"/>
          <w:highlight w:val="none"/>
        </w:rPr>
        <w:t xml:space="preserve"> </w:t>
      </w:r>
      <w:r>
        <w:rPr>
          <w:rFonts w:ascii="宋体" w:hAnsi="宋体" w:eastAsia="宋体" w:cs="宋体"/>
          <w:b/>
          <w:bCs/>
          <w:color w:val="auto"/>
          <w:spacing w:val="10"/>
          <w:sz w:val="24"/>
          <w:szCs w:val="24"/>
          <w:highlight w:val="none"/>
        </w:rPr>
        <w:t>业扶持政策的，采购人、采购代理机构应当随成交结果公开成交供应</w:t>
      </w:r>
      <w:r>
        <w:rPr>
          <w:rFonts w:ascii="宋体" w:hAnsi="宋体" w:eastAsia="宋体" w:cs="宋体"/>
          <w:b/>
          <w:bCs/>
          <w:color w:val="auto"/>
          <w:spacing w:val="9"/>
          <w:sz w:val="24"/>
          <w:szCs w:val="24"/>
          <w:highlight w:val="none"/>
        </w:rPr>
        <w:t>商的《中小企业声</w:t>
      </w:r>
      <w:r>
        <w:rPr>
          <w:rFonts w:ascii="宋体" w:hAnsi="宋体" w:eastAsia="宋体" w:cs="宋体"/>
          <w:color w:val="auto"/>
          <w:sz w:val="24"/>
          <w:szCs w:val="24"/>
          <w:highlight w:val="none"/>
        </w:rPr>
        <w:t xml:space="preserve">  </w:t>
      </w:r>
      <w:r>
        <w:rPr>
          <w:rFonts w:ascii="宋体" w:hAnsi="宋体" w:eastAsia="宋体" w:cs="宋体"/>
          <w:b/>
          <w:bCs/>
          <w:color w:val="auto"/>
          <w:spacing w:val="8"/>
          <w:sz w:val="24"/>
          <w:szCs w:val="24"/>
          <w:highlight w:val="none"/>
        </w:rPr>
        <w:t>明函》</w:t>
      </w:r>
      <w:r>
        <w:rPr>
          <w:rFonts w:ascii="宋体" w:hAnsi="宋体" w:eastAsia="宋体" w:cs="宋体"/>
          <w:color w:val="auto"/>
          <w:spacing w:val="-50"/>
          <w:sz w:val="24"/>
          <w:szCs w:val="24"/>
          <w:highlight w:val="none"/>
        </w:rPr>
        <w:t xml:space="preserve"> </w:t>
      </w:r>
      <w:r>
        <w:rPr>
          <w:rFonts w:ascii="宋体" w:hAnsi="宋体" w:eastAsia="宋体" w:cs="宋体"/>
          <w:b/>
          <w:bCs/>
          <w:color w:val="auto"/>
          <w:spacing w:val="8"/>
          <w:sz w:val="24"/>
          <w:szCs w:val="24"/>
          <w:highlight w:val="none"/>
        </w:rPr>
        <w:t>。从业人员、营业收入、资产总额填报上一年度数据，无上一年度数据的新成立</w:t>
      </w:r>
      <w:r>
        <w:rPr>
          <w:rFonts w:ascii="宋体" w:hAnsi="宋体" w:eastAsia="宋体" w:cs="宋体"/>
          <w:color w:val="auto"/>
          <w:sz w:val="24"/>
          <w:szCs w:val="24"/>
          <w:highlight w:val="none"/>
        </w:rPr>
        <w:t xml:space="preserve">  </w:t>
      </w:r>
      <w:r>
        <w:rPr>
          <w:rFonts w:ascii="宋体" w:hAnsi="宋体" w:eastAsia="宋体" w:cs="宋体"/>
          <w:b/>
          <w:bCs/>
          <w:color w:val="auto"/>
          <w:spacing w:val="5"/>
          <w:sz w:val="24"/>
          <w:szCs w:val="24"/>
          <w:highlight w:val="none"/>
        </w:rPr>
        <w:t>企业可不填报。</w:t>
      </w:r>
    </w:p>
    <w:p w14:paraId="32470DE6">
      <w:pPr>
        <w:spacing w:line="301" w:lineRule="auto"/>
        <w:rPr>
          <w:rFonts w:ascii="宋体" w:hAnsi="宋体" w:eastAsia="宋体" w:cs="宋体"/>
          <w:color w:val="auto"/>
          <w:sz w:val="24"/>
          <w:szCs w:val="24"/>
          <w:highlight w:val="none"/>
        </w:rPr>
        <w:sectPr>
          <w:footerReference r:id="rId32" w:type="default"/>
          <w:pgSz w:w="11906" w:h="16839"/>
          <w:pgMar w:top="1146" w:right="1146" w:bottom="1362" w:left="1141" w:header="0" w:footer="1200" w:gutter="0"/>
          <w:pgNumType w:fmt="decimal"/>
          <w:cols w:space="720" w:num="1"/>
        </w:sectPr>
      </w:pPr>
    </w:p>
    <w:p w14:paraId="5278443E">
      <w:pPr>
        <w:spacing w:before="48" w:line="219" w:lineRule="auto"/>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残疾人福利性单位声明函；</w:t>
      </w:r>
    </w:p>
    <w:p w14:paraId="27A98556">
      <w:pPr>
        <w:pStyle w:val="4"/>
        <w:spacing w:line="247" w:lineRule="auto"/>
        <w:rPr>
          <w:color w:val="auto"/>
          <w:highlight w:val="none"/>
        </w:rPr>
      </w:pPr>
    </w:p>
    <w:p w14:paraId="1B134F60">
      <w:pPr>
        <w:pStyle w:val="4"/>
        <w:spacing w:line="247" w:lineRule="auto"/>
        <w:rPr>
          <w:color w:val="auto"/>
          <w:highlight w:val="none"/>
        </w:rPr>
      </w:pPr>
    </w:p>
    <w:p w14:paraId="08475094">
      <w:pPr>
        <w:pStyle w:val="4"/>
        <w:spacing w:line="247" w:lineRule="auto"/>
        <w:rPr>
          <w:color w:val="auto"/>
          <w:highlight w:val="none"/>
        </w:rPr>
      </w:pPr>
    </w:p>
    <w:p w14:paraId="601D9B64">
      <w:pPr>
        <w:spacing w:before="100" w:line="225" w:lineRule="auto"/>
        <w:ind w:left="2324"/>
        <w:rPr>
          <w:rFonts w:ascii="宋体" w:hAnsi="宋体" w:eastAsia="宋体" w:cs="宋体"/>
          <w:color w:val="auto"/>
          <w:sz w:val="31"/>
          <w:szCs w:val="31"/>
          <w:highlight w:val="none"/>
        </w:rPr>
      </w:pPr>
      <w:r>
        <w:rPr>
          <w:rFonts w:ascii="宋体" w:hAnsi="宋体" w:eastAsia="宋体" w:cs="宋体"/>
          <w:b/>
          <w:bCs/>
          <w:color w:val="auto"/>
          <w:spacing w:val="16"/>
          <w:sz w:val="31"/>
          <w:szCs w:val="31"/>
          <w:highlight w:val="none"/>
        </w:rPr>
        <w:t>残疾人福利性单位声明函（格式）</w:t>
      </w:r>
    </w:p>
    <w:p w14:paraId="55F24FE4">
      <w:pPr>
        <w:pStyle w:val="4"/>
        <w:spacing w:line="407" w:lineRule="auto"/>
        <w:rPr>
          <w:color w:val="auto"/>
          <w:highlight w:val="none"/>
        </w:rPr>
      </w:pPr>
    </w:p>
    <w:p w14:paraId="5283A8EA">
      <w:pPr>
        <w:spacing w:before="78" w:line="304" w:lineRule="auto"/>
        <w:ind w:firstLine="504"/>
        <w:jc w:val="both"/>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本单位郑重声明，根据《三部门联合发布关于促进残疾人就业政府采购政策的通知》</w:t>
      </w:r>
      <w:r>
        <w:rPr>
          <w:rFonts w:ascii="宋体" w:hAnsi="宋体" w:eastAsia="宋体" w:cs="宋体"/>
          <w:color w:val="auto"/>
          <w:spacing w:val="10"/>
          <w:sz w:val="24"/>
          <w:szCs w:val="24"/>
          <w:highlight w:val="none"/>
        </w:rPr>
        <w:t xml:space="preserve"> （财库〔2017〕</w:t>
      </w:r>
      <w:r>
        <w:rPr>
          <w:rFonts w:ascii="宋体" w:hAnsi="宋体" w:eastAsia="宋体" w:cs="宋体"/>
          <w:color w:val="auto"/>
          <w:spacing w:val="-64"/>
          <w:sz w:val="24"/>
          <w:szCs w:val="24"/>
          <w:highlight w:val="none"/>
        </w:rPr>
        <w:t xml:space="preserve"> </w:t>
      </w:r>
      <w:r>
        <w:rPr>
          <w:rFonts w:ascii="宋体" w:hAnsi="宋体" w:eastAsia="宋体" w:cs="宋体"/>
          <w:color w:val="auto"/>
          <w:spacing w:val="10"/>
          <w:sz w:val="24"/>
          <w:szCs w:val="24"/>
          <w:highlight w:val="none"/>
        </w:rPr>
        <w:t>141</w:t>
      </w:r>
      <w:r>
        <w:rPr>
          <w:rFonts w:ascii="宋体" w:hAnsi="宋体" w:eastAsia="宋体" w:cs="宋体"/>
          <w:color w:val="auto"/>
          <w:spacing w:val="-28"/>
          <w:sz w:val="24"/>
          <w:szCs w:val="24"/>
          <w:highlight w:val="none"/>
        </w:rPr>
        <w:t xml:space="preserve"> </w:t>
      </w:r>
      <w:r>
        <w:rPr>
          <w:rFonts w:ascii="宋体" w:hAnsi="宋体" w:eastAsia="宋体" w:cs="宋体"/>
          <w:color w:val="auto"/>
          <w:spacing w:val="10"/>
          <w:sz w:val="24"/>
          <w:szCs w:val="24"/>
          <w:highlight w:val="none"/>
        </w:rPr>
        <w:t>号）</w:t>
      </w:r>
      <w:r>
        <w:rPr>
          <w:rFonts w:ascii="宋体" w:hAnsi="宋体" w:eastAsia="宋体" w:cs="宋体"/>
          <w:color w:val="auto"/>
          <w:spacing w:val="-60"/>
          <w:sz w:val="24"/>
          <w:szCs w:val="24"/>
          <w:highlight w:val="none"/>
        </w:rPr>
        <w:t xml:space="preserve"> </w:t>
      </w:r>
      <w:r>
        <w:rPr>
          <w:rFonts w:ascii="宋体" w:hAnsi="宋体" w:eastAsia="宋体" w:cs="宋体"/>
          <w:color w:val="auto"/>
          <w:spacing w:val="10"/>
          <w:sz w:val="24"/>
          <w:szCs w:val="24"/>
          <w:highlight w:val="none"/>
        </w:rPr>
        <w:t>的规定，本单位为符合条件的残疾人福利性单位，且本单位参</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加</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2"/>
          <w:sz w:val="24"/>
          <w:szCs w:val="24"/>
          <w:highlight w:val="none"/>
        </w:rPr>
        <w:t>单位的</w:t>
      </w:r>
      <w:r>
        <w:rPr>
          <w:rFonts w:ascii="宋体" w:hAnsi="宋体" w:eastAsia="宋体" w:cs="宋体"/>
          <w:color w:val="auto"/>
          <w:spacing w:val="2"/>
          <w:sz w:val="24"/>
          <w:szCs w:val="24"/>
          <w:highlight w:val="none"/>
          <w:u w:val="single" w:color="auto"/>
        </w:rPr>
        <w:t>（项目名称）</w:t>
      </w:r>
      <w:r>
        <w:rPr>
          <w:rFonts w:ascii="宋体" w:hAnsi="宋体" w:eastAsia="宋体" w:cs="宋体"/>
          <w:color w:val="auto"/>
          <w:spacing w:val="2"/>
          <w:sz w:val="24"/>
          <w:szCs w:val="24"/>
          <w:highlight w:val="none"/>
        </w:rPr>
        <w:t>项</w:t>
      </w:r>
      <w:r>
        <w:rPr>
          <w:rFonts w:ascii="宋体" w:hAnsi="宋体" w:eastAsia="宋体" w:cs="宋体"/>
          <w:color w:val="auto"/>
          <w:spacing w:val="-53"/>
          <w:sz w:val="24"/>
          <w:szCs w:val="24"/>
          <w:highlight w:val="none"/>
        </w:rPr>
        <w:t xml:space="preserve"> </w:t>
      </w:r>
      <w:r>
        <w:rPr>
          <w:rFonts w:ascii="宋体" w:hAnsi="宋体" w:eastAsia="宋体" w:cs="宋体"/>
          <w:color w:val="auto"/>
          <w:spacing w:val="2"/>
          <w:sz w:val="24"/>
          <w:szCs w:val="24"/>
          <w:highlight w:val="none"/>
        </w:rPr>
        <w:t>目（项目编号</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1"/>
          <w:sz w:val="24"/>
          <w:szCs w:val="24"/>
          <w:highlight w:val="none"/>
        </w:rPr>
        <w:t>）</w:t>
      </w:r>
      <w:r>
        <w:rPr>
          <w:rFonts w:ascii="宋体" w:hAnsi="宋体" w:eastAsia="宋体" w:cs="宋体"/>
          <w:color w:val="auto"/>
          <w:spacing w:val="2"/>
          <w:sz w:val="24"/>
          <w:szCs w:val="24"/>
          <w:highlight w:val="none"/>
        </w:rPr>
        <w:t>采购活</w:t>
      </w:r>
      <w:r>
        <w:rPr>
          <w:rFonts w:ascii="宋体" w:hAnsi="宋体" w:eastAsia="宋体" w:cs="宋体"/>
          <w:color w:val="auto"/>
          <w:spacing w:val="1"/>
          <w:sz w:val="24"/>
          <w:szCs w:val="24"/>
          <w:highlight w:val="none"/>
        </w:rPr>
        <w:t>动</w:t>
      </w:r>
      <w:r>
        <w:rPr>
          <w:rFonts w:ascii="宋体" w:hAnsi="宋体" w:eastAsia="宋体" w:cs="宋体"/>
          <w:color w:val="auto"/>
          <w:spacing w:val="1"/>
          <w:sz w:val="24"/>
          <w:szCs w:val="24"/>
          <w:highlight w:val="none"/>
          <w:u w:val="single" w:color="auto"/>
        </w:rPr>
        <w:t>（如有）</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分标提供本单位制造的货物（或由本单位承担工程或由本单位提供服务，可选）或者提</w:t>
      </w:r>
      <w:r>
        <w:rPr>
          <w:rFonts w:ascii="宋体" w:hAnsi="宋体" w:eastAsia="宋体" w:cs="宋体"/>
          <w:color w:val="auto"/>
          <w:sz w:val="24"/>
          <w:szCs w:val="24"/>
          <w:highlight w:val="none"/>
        </w:rPr>
        <w:t xml:space="preserve">  </w:t>
      </w:r>
      <w:r>
        <w:rPr>
          <w:rFonts w:ascii="宋体" w:hAnsi="宋体" w:eastAsia="宋体" w:cs="宋体"/>
          <w:color w:val="auto"/>
          <w:spacing w:val="20"/>
          <w:sz w:val="24"/>
          <w:szCs w:val="24"/>
          <w:highlight w:val="none"/>
        </w:rPr>
        <w:t>供其他残疾人福利性单位制造的货物（不包括使用非残疾人福利性单位注</w:t>
      </w:r>
      <w:r>
        <w:rPr>
          <w:rFonts w:ascii="宋体" w:hAnsi="宋体" w:eastAsia="宋体" w:cs="宋体"/>
          <w:color w:val="auto"/>
          <w:spacing w:val="19"/>
          <w:sz w:val="24"/>
          <w:szCs w:val="24"/>
          <w:highlight w:val="none"/>
        </w:rPr>
        <w:t>册商标的货</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物）。</w:t>
      </w:r>
    </w:p>
    <w:p w14:paraId="56EC8338">
      <w:pPr>
        <w:spacing w:before="30" w:line="219" w:lineRule="auto"/>
        <w:ind w:left="505"/>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本单位对上述声明的真实性负责。如有虚假，将依法承</w:t>
      </w:r>
      <w:r>
        <w:rPr>
          <w:rFonts w:ascii="宋体" w:hAnsi="宋体" w:eastAsia="宋体" w:cs="宋体"/>
          <w:color w:val="auto"/>
          <w:spacing w:val="10"/>
          <w:sz w:val="24"/>
          <w:szCs w:val="24"/>
          <w:highlight w:val="none"/>
        </w:rPr>
        <w:t>担相应责任。</w:t>
      </w:r>
    </w:p>
    <w:p w14:paraId="41DC99E7">
      <w:pPr>
        <w:pStyle w:val="4"/>
        <w:spacing w:line="277" w:lineRule="auto"/>
        <w:rPr>
          <w:color w:val="auto"/>
          <w:highlight w:val="none"/>
        </w:rPr>
      </w:pPr>
    </w:p>
    <w:p w14:paraId="33B9F83D">
      <w:pPr>
        <w:pStyle w:val="4"/>
        <w:spacing w:line="277" w:lineRule="auto"/>
        <w:rPr>
          <w:color w:val="auto"/>
          <w:highlight w:val="none"/>
        </w:rPr>
      </w:pPr>
    </w:p>
    <w:p w14:paraId="39632EF1">
      <w:pPr>
        <w:pStyle w:val="4"/>
        <w:spacing w:line="278" w:lineRule="auto"/>
        <w:rPr>
          <w:color w:val="auto"/>
          <w:highlight w:val="none"/>
        </w:rPr>
      </w:pPr>
    </w:p>
    <w:p w14:paraId="297390AA">
      <w:pPr>
        <w:spacing w:before="78" w:line="295" w:lineRule="auto"/>
        <w:ind w:left="5640" w:right="740" w:hanging="1560"/>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供应商公章：</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3"/>
          <w:sz w:val="24"/>
          <w:szCs w:val="24"/>
          <w:highlight w:val="none"/>
        </w:rPr>
        <w:t xml:space="preserve">    </w:t>
      </w:r>
      <w:r>
        <w:rPr>
          <w:rFonts w:ascii="宋体" w:hAnsi="宋体" w:eastAsia="宋体" w:cs="宋体"/>
          <w:color w:val="auto"/>
          <w:spacing w:val="-9"/>
          <w:sz w:val="24"/>
          <w:szCs w:val="24"/>
          <w:highlight w:val="none"/>
        </w:rPr>
        <w:t>日</w:t>
      </w:r>
    </w:p>
    <w:p w14:paraId="426438AF">
      <w:pPr>
        <w:pStyle w:val="4"/>
        <w:spacing w:line="352" w:lineRule="auto"/>
        <w:rPr>
          <w:color w:val="auto"/>
          <w:highlight w:val="none"/>
        </w:rPr>
      </w:pPr>
    </w:p>
    <w:p w14:paraId="275CC68B">
      <w:pPr>
        <w:spacing w:before="78" w:line="224" w:lineRule="auto"/>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注：</w:t>
      </w:r>
    </w:p>
    <w:p w14:paraId="556A9DBF">
      <w:pPr>
        <w:spacing w:before="112" w:line="298" w:lineRule="auto"/>
        <w:ind w:right="112" w:firstLine="52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1.符合条件的残疾人福利性单位在参加政府采购活动</w:t>
      </w:r>
      <w:r>
        <w:rPr>
          <w:rFonts w:ascii="宋体" w:hAnsi="宋体" w:eastAsia="宋体" w:cs="宋体"/>
          <w:color w:val="auto"/>
          <w:spacing w:val="5"/>
          <w:sz w:val="24"/>
          <w:szCs w:val="24"/>
          <w:highlight w:val="none"/>
        </w:rPr>
        <w:t>时，应当提供本通知规定的《残</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疾人福利性单位声明函》</w:t>
      </w:r>
      <w:r>
        <w:rPr>
          <w:rFonts w:ascii="宋体" w:hAnsi="宋体" w:eastAsia="宋体" w:cs="宋体"/>
          <w:color w:val="auto"/>
          <w:spacing w:val="-66"/>
          <w:sz w:val="24"/>
          <w:szCs w:val="24"/>
          <w:highlight w:val="none"/>
        </w:rPr>
        <w:t xml:space="preserve"> </w:t>
      </w:r>
      <w:r>
        <w:rPr>
          <w:rFonts w:ascii="宋体" w:hAnsi="宋体" w:eastAsia="宋体" w:cs="宋体"/>
          <w:color w:val="auto"/>
          <w:spacing w:val="10"/>
          <w:sz w:val="24"/>
          <w:szCs w:val="24"/>
          <w:highlight w:val="none"/>
        </w:rPr>
        <w:t>，并对声明的真实性负责。任何单位或者个人在政府采购活动</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中均不得要求残疾人福利性单位提供其他证明声明函内</w:t>
      </w:r>
      <w:r>
        <w:rPr>
          <w:rFonts w:ascii="宋体" w:hAnsi="宋体" w:eastAsia="宋体" w:cs="宋体"/>
          <w:color w:val="auto"/>
          <w:spacing w:val="10"/>
          <w:sz w:val="24"/>
          <w:szCs w:val="24"/>
          <w:highlight w:val="none"/>
        </w:rPr>
        <w:t>容的材料。</w:t>
      </w:r>
    </w:p>
    <w:p w14:paraId="1FF331F6">
      <w:pPr>
        <w:spacing w:before="37" w:line="294" w:lineRule="auto"/>
        <w:ind w:left="16" w:right="175" w:firstLine="491"/>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2.中标、成交供应商为残疾人福利性单位的，采购人或者其委托的采购代理机构应</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当随中标、成交结果同时公告其《残疾人福利性单位声明函》</w:t>
      </w:r>
      <w:r>
        <w:rPr>
          <w:rFonts w:ascii="宋体" w:hAnsi="宋体" w:eastAsia="宋体" w:cs="宋体"/>
          <w:color w:val="auto"/>
          <w:spacing w:val="-65"/>
          <w:sz w:val="24"/>
          <w:szCs w:val="24"/>
          <w:highlight w:val="none"/>
        </w:rPr>
        <w:t xml:space="preserve"> </w:t>
      </w:r>
      <w:r>
        <w:rPr>
          <w:rFonts w:ascii="宋体" w:hAnsi="宋体" w:eastAsia="宋体" w:cs="宋体"/>
          <w:color w:val="auto"/>
          <w:spacing w:val="9"/>
          <w:sz w:val="24"/>
          <w:szCs w:val="24"/>
          <w:highlight w:val="none"/>
        </w:rPr>
        <w:t>，接受社会监督。</w:t>
      </w:r>
    </w:p>
    <w:p w14:paraId="326D78E2">
      <w:pPr>
        <w:spacing w:before="33" w:line="295" w:lineRule="auto"/>
        <w:ind w:left="24" w:right="175" w:firstLine="485"/>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3.供应商提供的《残疾人福利性单位声明函》与事实不符的，依照《中华人</w:t>
      </w:r>
      <w:r>
        <w:rPr>
          <w:rFonts w:ascii="宋体" w:hAnsi="宋体" w:eastAsia="宋体" w:cs="宋体"/>
          <w:color w:val="auto"/>
          <w:spacing w:val="10"/>
          <w:sz w:val="24"/>
          <w:szCs w:val="24"/>
          <w:highlight w:val="none"/>
        </w:rPr>
        <w:t>民共和</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国政府采购法》第七十七条第一款的规定追究法律责任。</w:t>
      </w:r>
    </w:p>
    <w:p w14:paraId="398D3775">
      <w:pPr>
        <w:spacing w:line="295" w:lineRule="auto"/>
        <w:rPr>
          <w:rFonts w:ascii="宋体" w:hAnsi="宋体" w:eastAsia="宋体" w:cs="宋体"/>
          <w:color w:val="auto"/>
          <w:sz w:val="24"/>
          <w:szCs w:val="24"/>
          <w:highlight w:val="none"/>
        </w:rPr>
        <w:sectPr>
          <w:footerReference r:id="rId33" w:type="default"/>
          <w:pgSz w:w="11906" w:h="16839"/>
          <w:pgMar w:top="1227" w:right="1033" w:bottom="1362" w:left="1141" w:header="0" w:footer="1200" w:gutter="0"/>
          <w:pgNumType w:fmt="decimal"/>
          <w:cols w:space="720" w:num="1"/>
        </w:sectPr>
      </w:pPr>
    </w:p>
    <w:p w14:paraId="397B8791">
      <w:pPr>
        <w:spacing w:before="62" w:line="356" w:lineRule="auto"/>
        <w:ind w:firstLine="7"/>
        <w:outlineLvl w:val="2"/>
        <w:rPr>
          <w:rFonts w:ascii="宋体" w:hAnsi="宋体" w:eastAsia="宋体" w:cs="宋体"/>
          <w:color w:val="auto"/>
          <w:sz w:val="31"/>
          <w:szCs w:val="31"/>
          <w:highlight w:val="none"/>
        </w:rPr>
      </w:pPr>
      <w:r>
        <w:rPr>
          <w:rFonts w:hint="eastAsia" w:ascii="宋体" w:hAnsi="宋体" w:eastAsia="宋体" w:cs="宋体"/>
          <w:b/>
          <w:bCs/>
          <w:color w:val="auto"/>
          <w:spacing w:val="1"/>
          <w:sz w:val="31"/>
          <w:szCs w:val="31"/>
          <w:highlight w:val="none"/>
          <w:lang w:val="en-US" w:eastAsia="zh-CN"/>
        </w:rPr>
        <w:t>8</w:t>
      </w:r>
      <w:r>
        <w:rPr>
          <w:rFonts w:ascii="宋体" w:hAnsi="宋体" w:eastAsia="宋体" w:cs="宋体"/>
          <w:b/>
          <w:bCs/>
          <w:color w:val="auto"/>
          <w:spacing w:val="1"/>
          <w:sz w:val="31"/>
          <w:szCs w:val="31"/>
          <w:highlight w:val="none"/>
        </w:rPr>
        <w:t>.除磋商文件规定必须提供以外，供应商认为需要提供的其他证明</w:t>
      </w:r>
      <w:r>
        <w:rPr>
          <w:rFonts w:ascii="宋体" w:hAnsi="宋体" w:eastAsia="宋体" w:cs="宋体"/>
          <w:color w:val="auto"/>
          <w:spacing w:val="16"/>
          <w:sz w:val="31"/>
          <w:szCs w:val="31"/>
          <w:highlight w:val="none"/>
        </w:rPr>
        <w:t xml:space="preserve"> </w:t>
      </w:r>
      <w:r>
        <w:rPr>
          <w:rFonts w:ascii="宋体" w:hAnsi="宋体" w:eastAsia="宋体" w:cs="宋体"/>
          <w:b/>
          <w:bCs/>
          <w:color w:val="auto"/>
          <w:spacing w:val="-1"/>
          <w:sz w:val="31"/>
          <w:szCs w:val="31"/>
          <w:highlight w:val="none"/>
        </w:rPr>
        <w:t>材料。</w:t>
      </w:r>
    </w:p>
    <w:p w14:paraId="6D468A06">
      <w:pPr>
        <w:spacing w:line="356" w:lineRule="auto"/>
        <w:rPr>
          <w:rFonts w:ascii="宋体" w:hAnsi="宋体" w:eastAsia="宋体" w:cs="宋体"/>
          <w:color w:val="auto"/>
          <w:sz w:val="31"/>
          <w:szCs w:val="31"/>
          <w:highlight w:val="none"/>
        </w:rPr>
        <w:sectPr>
          <w:footerReference r:id="rId34" w:type="default"/>
          <w:pgSz w:w="11906" w:h="16839"/>
          <w:pgMar w:top="1146" w:right="1617" w:bottom="1362" w:left="1145" w:header="0" w:footer="1200" w:gutter="0"/>
          <w:pgNumType w:fmt="decimal"/>
          <w:cols w:space="720" w:num="1"/>
        </w:sectPr>
      </w:pPr>
    </w:p>
    <w:p w14:paraId="423B8C52">
      <w:pPr>
        <w:spacing w:before="64" w:line="223" w:lineRule="auto"/>
        <w:outlineLvl w:val="1"/>
        <w:rPr>
          <w:rFonts w:ascii="宋体" w:hAnsi="宋体" w:eastAsia="宋体" w:cs="宋体"/>
          <w:color w:val="auto"/>
          <w:sz w:val="31"/>
          <w:szCs w:val="31"/>
          <w:highlight w:val="none"/>
        </w:rPr>
      </w:pPr>
      <w:bookmarkStart w:id="57" w:name="_Toc28675"/>
      <w:bookmarkStart w:id="58" w:name="_Toc23355"/>
      <w:r>
        <w:rPr>
          <w:rFonts w:ascii="宋体" w:hAnsi="宋体" w:eastAsia="宋体" w:cs="宋体"/>
          <w:b/>
          <w:bCs/>
          <w:color w:val="auto"/>
          <w:spacing w:val="6"/>
          <w:sz w:val="31"/>
          <w:szCs w:val="31"/>
          <w:highlight w:val="none"/>
        </w:rPr>
        <w:t>二、报价文件格式</w:t>
      </w:r>
      <w:bookmarkEnd w:id="57"/>
      <w:bookmarkEnd w:id="58"/>
    </w:p>
    <w:p w14:paraId="35D0AAC9">
      <w:pPr>
        <w:pStyle w:val="4"/>
        <w:spacing w:line="300" w:lineRule="auto"/>
        <w:rPr>
          <w:color w:val="auto"/>
          <w:highlight w:val="none"/>
        </w:rPr>
      </w:pPr>
    </w:p>
    <w:p w14:paraId="2C8D4EDA">
      <w:pPr>
        <w:spacing w:before="101" w:line="223" w:lineRule="auto"/>
        <w:ind w:left="18"/>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1.报价文件封面格式</w:t>
      </w:r>
    </w:p>
    <w:p w14:paraId="064B11E2">
      <w:pPr>
        <w:pStyle w:val="4"/>
        <w:spacing w:line="248" w:lineRule="auto"/>
        <w:rPr>
          <w:color w:val="auto"/>
          <w:highlight w:val="none"/>
        </w:rPr>
      </w:pPr>
    </w:p>
    <w:p w14:paraId="4356AD40">
      <w:pPr>
        <w:pStyle w:val="4"/>
        <w:spacing w:line="248" w:lineRule="auto"/>
        <w:rPr>
          <w:color w:val="auto"/>
          <w:highlight w:val="none"/>
        </w:rPr>
      </w:pPr>
    </w:p>
    <w:p w14:paraId="06226665">
      <w:pPr>
        <w:pStyle w:val="4"/>
        <w:spacing w:line="248" w:lineRule="auto"/>
        <w:rPr>
          <w:color w:val="auto"/>
          <w:highlight w:val="none"/>
        </w:rPr>
      </w:pPr>
    </w:p>
    <w:p w14:paraId="4CCB4735">
      <w:pPr>
        <w:pStyle w:val="4"/>
        <w:spacing w:line="249" w:lineRule="auto"/>
        <w:rPr>
          <w:color w:val="auto"/>
          <w:highlight w:val="none"/>
        </w:rPr>
      </w:pPr>
    </w:p>
    <w:p w14:paraId="3A99FAA8">
      <w:pPr>
        <w:pStyle w:val="4"/>
        <w:spacing w:line="249" w:lineRule="auto"/>
        <w:rPr>
          <w:color w:val="auto"/>
          <w:highlight w:val="none"/>
        </w:rPr>
      </w:pPr>
    </w:p>
    <w:p w14:paraId="483D073C">
      <w:pPr>
        <w:pStyle w:val="4"/>
        <w:spacing w:line="249" w:lineRule="auto"/>
        <w:rPr>
          <w:color w:val="auto"/>
          <w:highlight w:val="none"/>
        </w:rPr>
      </w:pPr>
    </w:p>
    <w:p w14:paraId="5EC32D10">
      <w:pPr>
        <w:pStyle w:val="4"/>
        <w:spacing w:line="249" w:lineRule="auto"/>
        <w:rPr>
          <w:color w:val="auto"/>
          <w:highlight w:val="none"/>
        </w:rPr>
      </w:pPr>
    </w:p>
    <w:p w14:paraId="590BAE36">
      <w:pPr>
        <w:pStyle w:val="4"/>
        <w:spacing w:line="249" w:lineRule="auto"/>
        <w:rPr>
          <w:color w:val="auto"/>
          <w:highlight w:val="none"/>
        </w:rPr>
      </w:pPr>
    </w:p>
    <w:p w14:paraId="5D604EBE">
      <w:pPr>
        <w:pStyle w:val="4"/>
        <w:spacing w:line="249" w:lineRule="auto"/>
        <w:rPr>
          <w:color w:val="auto"/>
          <w:highlight w:val="none"/>
        </w:rPr>
      </w:pPr>
    </w:p>
    <w:p w14:paraId="15EAB4F4">
      <w:pPr>
        <w:spacing w:before="140" w:line="222" w:lineRule="auto"/>
        <w:ind w:left="0"/>
        <w:jc w:val="center"/>
        <w:rPr>
          <w:rFonts w:ascii="宋体" w:hAnsi="宋体" w:eastAsia="宋体" w:cs="宋体"/>
          <w:color w:val="auto"/>
          <w:sz w:val="43"/>
          <w:szCs w:val="43"/>
          <w:highlight w:val="none"/>
        </w:rPr>
      </w:pPr>
      <w:r>
        <w:rPr>
          <w:rFonts w:ascii="宋体" w:hAnsi="宋体" w:eastAsia="宋体" w:cs="宋体"/>
          <w:color w:val="auto"/>
          <w:spacing w:val="-10"/>
          <w:sz w:val="43"/>
          <w:szCs w:val="43"/>
          <w:highlight w:val="none"/>
        </w:rPr>
        <w:t>报</w:t>
      </w:r>
      <w:r>
        <w:rPr>
          <w:rFonts w:ascii="宋体" w:hAnsi="宋体" w:eastAsia="宋体" w:cs="宋体"/>
          <w:color w:val="auto"/>
          <w:spacing w:val="16"/>
          <w:sz w:val="43"/>
          <w:szCs w:val="43"/>
          <w:highlight w:val="none"/>
        </w:rPr>
        <w:t xml:space="preserve">  </w:t>
      </w:r>
      <w:r>
        <w:rPr>
          <w:rFonts w:ascii="宋体" w:hAnsi="宋体" w:eastAsia="宋体" w:cs="宋体"/>
          <w:color w:val="auto"/>
          <w:spacing w:val="-10"/>
          <w:sz w:val="43"/>
          <w:szCs w:val="43"/>
          <w:highlight w:val="none"/>
        </w:rPr>
        <w:t>价</w:t>
      </w:r>
      <w:r>
        <w:rPr>
          <w:rFonts w:ascii="宋体" w:hAnsi="宋体" w:eastAsia="宋体" w:cs="宋体"/>
          <w:color w:val="auto"/>
          <w:spacing w:val="15"/>
          <w:sz w:val="43"/>
          <w:szCs w:val="43"/>
          <w:highlight w:val="none"/>
        </w:rPr>
        <w:t xml:space="preserve">  </w:t>
      </w:r>
      <w:r>
        <w:rPr>
          <w:rFonts w:ascii="宋体" w:hAnsi="宋体" w:eastAsia="宋体" w:cs="宋体"/>
          <w:color w:val="auto"/>
          <w:spacing w:val="-10"/>
          <w:sz w:val="43"/>
          <w:szCs w:val="43"/>
          <w:highlight w:val="none"/>
        </w:rPr>
        <w:t>文</w:t>
      </w:r>
      <w:r>
        <w:rPr>
          <w:rFonts w:ascii="宋体" w:hAnsi="宋体" w:eastAsia="宋体" w:cs="宋体"/>
          <w:color w:val="auto"/>
          <w:spacing w:val="13"/>
          <w:sz w:val="43"/>
          <w:szCs w:val="43"/>
          <w:highlight w:val="none"/>
        </w:rPr>
        <w:t xml:space="preserve">  </w:t>
      </w:r>
      <w:r>
        <w:rPr>
          <w:rFonts w:ascii="宋体" w:hAnsi="宋体" w:eastAsia="宋体" w:cs="宋体"/>
          <w:color w:val="auto"/>
          <w:spacing w:val="-10"/>
          <w:sz w:val="43"/>
          <w:szCs w:val="43"/>
          <w:highlight w:val="none"/>
        </w:rPr>
        <w:t>件</w:t>
      </w:r>
    </w:p>
    <w:p w14:paraId="72AAC494">
      <w:pPr>
        <w:pStyle w:val="4"/>
        <w:spacing w:line="241" w:lineRule="auto"/>
        <w:rPr>
          <w:color w:val="auto"/>
          <w:highlight w:val="none"/>
        </w:rPr>
      </w:pPr>
    </w:p>
    <w:p w14:paraId="3650A245">
      <w:pPr>
        <w:pStyle w:val="4"/>
        <w:spacing w:line="241" w:lineRule="auto"/>
        <w:rPr>
          <w:color w:val="auto"/>
          <w:highlight w:val="none"/>
        </w:rPr>
      </w:pPr>
    </w:p>
    <w:p w14:paraId="3ACCC58B">
      <w:pPr>
        <w:pStyle w:val="4"/>
        <w:spacing w:line="241" w:lineRule="auto"/>
        <w:rPr>
          <w:color w:val="auto"/>
          <w:highlight w:val="none"/>
        </w:rPr>
      </w:pPr>
    </w:p>
    <w:p w14:paraId="5ABC94EA">
      <w:pPr>
        <w:pStyle w:val="4"/>
        <w:spacing w:line="241" w:lineRule="auto"/>
        <w:rPr>
          <w:color w:val="auto"/>
          <w:highlight w:val="none"/>
        </w:rPr>
      </w:pPr>
    </w:p>
    <w:p w14:paraId="16051EDC">
      <w:pPr>
        <w:pStyle w:val="4"/>
        <w:spacing w:line="242" w:lineRule="auto"/>
        <w:rPr>
          <w:color w:val="auto"/>
          <w:highlight w:val="none"/>
        </w:rPr>
      </w:pPr>
    </w:p>
    <w:p w14:paraId="54D3A8C0">
      <w:pPr>
        <w:pStyle w:val="4"/>
        <w:spacing w:line="242" w:lineRule="auto"/>
        <w:rPr>
          <w:color w:val="auto"/>
          <w:highlight w:val="none"/>
        </w:rPr>
      </w:pPr>
    </w:p>
    <w:p w14:paraId="50D3B64B">
      <w:pPr>
        <w:pStyle w:val="4"/>
        <w:spacing w:line="242" w:lineRule="auto"/>
        <w:rPr>
          <w:color w:val="auto"/>
          <w:highlight w:val="none"/>
        </w:rPr>
      </w:pPr>
    </w:p>
    <w:p w14:paraId="5E61F854">
      <w:pPr>
        <w:pStyle w:val="4"/>
        <w:spacing w:line="242" w:lineRule="auto"/>
        <w:rPr>
          <w:color w:val="auto"/>
          <w:highlight w:val="none"/>
        </w:rPr>
      </w:pPr>
    </w:p>
    <w:p w14:paraId="6E7A3F8D">
      <w:pPr>
        <w:pStyle w:val="4"/>
        <w:spacing w:line="242" w:lineRule="auto"/>
        <w:rPr>
          <w:color w:val="auto"/>
          <w:highlight w:val="none"/>
        </w:rPr>
      </w:pPr>
    </w:p>
    <w:p w14:paraId="41C5F5F5">
      <w:pPr>
        <w:pStyle w:val="4"/>
        <w:spacing w:line="242" w:lineRule="auto"/>
        <w:rPr>
          <w:color w:val="auto"/>
          <w:highlight w:val="none"/>
        </w:rPr>
      </w:pPr>
    </w:p>
    <w:p w14:paraId="137FB0F5">
      <w:pPr>
        <w:spacing w:before="101" w:line="225" w:lineRule="auto"/>
        <w:ind w:left="640"/>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项目名称：</w:t>
      </w:r>
    </w:p>
    <w:p w14:paraId="23ABAB0F">
      <w:pPr>
        <w:pStyle w:val="4"/>
        <w:spacing w:line="328" w:lineRule="auto"/>
        <w:rPr>
          <w:color w:val="auto"/>
          <w:highlight w:val="none"/>
        </w:rPr>
      </w:pPr>
    </w:p>
    <w:p w14:paraId="6E0894BF">
      <w:pPr>
        <w:pStyle w:val="4"/>
        <w:spacing w:line="328" w:lineRule="auto"/>
        <w:rPr>
          <w:color w:val="auto"/>
          <w:highlight w:val="none"/>
        </w:rPr>
      </w:pPr>
    </w:p>
    <w:p w14:paraId="269703A0">
      <w:pPr>
        <w:spacing w:before="100" w:line="225" w:lineRule="auto"/>
        <w:ind w:left="640"/>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项目编号：</w:t>
      </w:r>
    </w:p>
    <w:p w14:paraId="44E746DC">
      <w:pPr>
        <w:pStyle w:val="4"/>
        <w:spacing w:line="330" w:lineRule="auto"/>
        <w:rPr>
          <w:color w:val="auto"/>
          <w:highlight w:val="none"/>
        </w:rPr>
      </w:pPr>
    </w:p>
    <w:p w14:paraId="02F38E79">
      <w:pPr>
        <w:pStyle w:val="4"/>
        <w:spacing w:line="330" w:lineRule="auto"/>
        <w:rPr>
          <w:color w:val="auto"/>
          <w:highlight w:val="none"/>
        </w:rPr>
      </w:pPr>
    </w:p>
    <w:p w14:paraId="27568C0B">
      <w:pPr>
        <w:spacing w:before="101" w:line="225" w:lineRule="auto"/>
        <w:ind w:right="46"/>
        <w:jc w:val="right"/>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所竞分标（如有则填写，无分标时填写“无</w:t>
      </w:r>
      <w:r>
        <w:rPr>
          <w:rFonts w:ascii="宋体" w:hAnsi="宋体" w:eastAsia="宋体" w:cs="宋体"/>
          <w:color w:val="auto"/>
          <w:spacing w:val="-111"/>
          <w:sz w:val="31"/>
          <w:szCs w:val="31"/>
          <w:highlight w:val="none"/>
        </w:rPr>
        <w:t xml:space="preserve"> </w:t>
      </w:r>
      <w:r>
        <w:rPr>
          <w:rFonts w:ascii="宋体" w:hAnsi="宋体" w:eastAsia="宋体" w:cs="宋体"/>
          <w:color w:val="auto"/>
          <w:spacing w:val="7"/>
          <w:sz w:val="31"/>
          <w:szCs w:val="31"/>
          <w:highlight w:val="none"/>
        </w:rPr>
        <w:t>”或者留空）：</w:t>
      </w:r>
    </w:p>
    <w:p w14:paraId="150F5647">
      <w:pPr>
        <w:pStyle w:val="4"/>
        <w:spacing w:line="277" w:lineRule="auto"/>
        <w:rPr>
          <w:color w:val="auto"/>
          <w:highlight w:val="none"/>
        </w:rPr>
      </w:pPr>
    </w:p>
    <w:p w14:paraId="52049B33">
      <w:pPr>
        <w:pStyle w:val="4"/>
        <w:spacing w:line="277" w:lineRule="auto"/>
        <w:rPr>
          <w:color w:val="auto"/>
          <w:highlight w:val="none"/>
        </w:rPr>
      </w:pPr>
    </w:p>
    <w:p w14:paraId="156E9B6A">
      <w:pPr>
        <w:spacing w:before="101" w:line="224" w:lineRule="auto"/>
        <w:ind w:left="635"/>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供应商名称：</w:t>
      </w:r>
    </w:p>
    <w:p w14:paraId="70791F0F">
      <w:pPr>
        <w:pStyle w:val="4"/>
        <w:spacing w:line="246" w:lineRule="auto"/>
        <w:rPr>
          <w:color w:val="auto"/>
          <w:highlight w:val="none"/>
        </w:rPr>
      </w:pPr>
    </w:p>
    <w:p w14:paraId="2F6B6366">
      <w:pPr>
        <w:pStyle w:val="4"/>
        <w:spacing w:line="246" w:lineRule="auto"/>
        <w:rPr>
          <w:color w:val="auto"/>
          <w:highlight w:val="none"/>
        </w:rPr>
      </w:pPr>
    </w:p>
    <w:p w14:paraId="5BE734B3">
      <w:pPr>
        <w:pStyle w:val="4"/>
        <w:spacing w:line="246" w:lineRule="auto"/>
        <w:rPr>
          <w:color w:val="auto"/>
          <w:highlight w:val="none"/>
        </w:rPr>
      </w:pPr>
    </w:p>
    <w:p w14:paraId="0A4725B5">
      <w:pPr>
        <w:pStyle w:val="4"/>
        <w:spacing w:line="247" w:lineRule="auto"/>
        <w:rPr>
          <w:color w:val="auto"/>
          <w:highlight w:val="none"/>
        </w:rPr>
      </w:pPr>
    </w:p>
    <w:p w14:paraId="77C886BC">
      <w:pPr>
        <w:pStyle w:val="4"/>
        <w:spacing w:line="247" w:lineRule="auto"/>
        <w:rPr>
          <w:color w:val="auto"/>
          <w:highlight w:val="none"/>
        </w:rPr>
      </w:pPr>
    </w:p>
    <w:p w14:paraId="56FE9F5F">
      <w:pPr>
        <w:pStyle w:val="4"/>
        <w:spacing w:line="247" w:lineRule="auto"/>
        <w:rPr>
          <w:color w:val="auto"/>
          <w:highlight w:val="none"/>
        </w:rPr>
      </w:pPr>
    </w:p>
    <w:p w14:paraId="7AAC0ACD">
      <w:pPr>
        <w:spacing w:before="101" w:line="225" w:lineRule="auto"/>
        <w:ind w:left="3696"/>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年</w:t>
      </w:r>
      <w:r>
        <w:rPr>
          <w:rFonts w:ascii="宋体" w:hAnsi="宋体" w:eastAsia="宋体" w:cs="宋体"/>
          <w:color w:val="auto"/>
          <w:spacing w:val="10"/>
          <w:sz w:val="31"/>
          <w:szCs w:val="31"/>
          <w:highlight w:val="none"/>
        </w:rPr>
        <w:t xml:space="preserve">    </w:t>
      </w:r>
      <w:r>
        <w:rPr>
          <w:rFonts w:ascii="宋体" w:hAnsi="宋体" w:eastAsia="宋体" w:cs="宋体"/>
          <w:color w:val="auto"/>
          <w:spacing w:val="-6"/>
          <w:sz w:val="31"/>
          <w:szCs w:val="31"/>
          <w:highlight w:val="none"/>
        </w:rPr>
        <w:t>月</w:t>
      </w:r>
      <w:r>
        <w:rPr>
          <w:rFonts w:ascii="宋体" w:hAnsi="宋体" w:eastAsia="宋体" w:cs="宋体"/>
          <w:color w:val="auto"/>
          <w:spacing w:val="22"/>
          <w:sz w:val="31"/>
          <w:szCs w:val="31"/>
          <w:highlight w:val="none"/>
        </w:rPr>
        <w:t xml:space="preserve">    </w:t>
      </w:r>
      <w:r>
        <w:rPr>
          <w:rFonts w:ascii="宋体" w:hAnsi="宋体" w:eastAsia="宋体" w:cs="宋体"/>
          <w:color w:val="auto"/>
          <w:spacing w:val="-6"/>
          <w:sz w:val="31"/>
          <w:szCs w:val="31"/>
          <w:highlight w:val="none"/>
        </w:rPr>
        <w:t>日</w:t>
      </w:r>
    </w:p>
    <w:p w14:paraId="24133B30">
      <w:pPr>
        <w:spacing w:line="225" w:lineRule="auto"/>
        <w:rPr>
          <w:rFonts w:ascii="宋体" w:hAnsi="宋体" w:eastAsia="宋体" w:cs="宋体"/>
          <w:color w:val="auto"/>
          <w:sz w:val="31"/>
          <w:szCs w:val="31"/>
          <w:highlight w:val="none"/>
        </w:rPr>
        <w:sectPr>
          <w:footerReference r:id="rId35" w:type="default"/>
          <w:pgSz w:w="11906" w:h="16839"/>
          <w:pgMar w:top="1146" w:right="1785" w:bottom="1362" w:left="1150" w:header="0" w:footer="1200" w:gutter="0"/>
          <w:pgNumType w:fmt="decimal"/>
          <w:cols w:space="720" w:num="1"/>
        </w:sectPr>
      </w:pPr>
    </w:p>
    <w:p w14:paraId="35553300">
      <w:pPr>
        <w:spacing w:before="64" w:line="223" w:lineRule="auto"/>
        <w:ind w:left="145"/>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2.报价文件目录</w:t>
      </w:r>
    </w:p>
    <w:p w14:paraId="1CEF1729">
      <w:pPr>
        <w:pStyle w:val="4"/>
        <w:spacing w:line="300" w:lineRule="auto"/>
        <w:rPr>
          <w:color w:val="auto"/>
          <w:highlight w:val="none"/>
        </w:rPr>
      </w:pPr>
    </w:p>
    <w:p w14:paraId="6B6E506C">
      <w:pPr>
        <w:spacing w:before="101" w:line="357" w:lineRule="auto"/>
        <w:ind w:firstLine="638"/>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rPr>
        <w:t>根据磋商文件规定及供应商提供的材料自行编写目录</w:t>
      </w:r>
      <w:r>
        <w:rPr>
          <w:rFonts w:ascii="宋体" w:hAnsi="宋体" w:eastAsia="宋体" w:cs="宋体"/>
          <w:color w:val="auto"/>
          <w:spacing w:val="10"/>
          <w:sz w:val="31"/>
          <w:szCs w:val="31"/>
          <w:highlight w:val="none"/>
        </w:rPr>
        <w:t>（部分格式</w:t>
      </w:r>
      <w:r>
        <w:rPr>
          <w:rFonts w:ascii="宋体" w:hAnsi="宋体" w:eastAsia="宋体" w:cs="宋体"/>
          <w:color w:val="auto"/>
          <w:sz w:val="31"/>
          <w:szCs w:val="31"/>
          <w:highlight w:val="none"/>
        </w:rPr>
        <w:t xml:space="preserve"> 后附）。</w:t>
      </w:r>
    </w:p>
    <w:p w14:paraId="0F1A20AE">
      <w:pPr>
        <w:spacing w:line="357" w:lineRule="auto"/>
        <w:rPr>
          <w:rFonts w:ascii="宋体" w:hAnsi="宋体" w:eastAsia="宋体" w:cs="宋体"/>
          <w:color w:val="auto"/>
          <w:sz w:val="31"/>
          <w:szCs w:val="31"/>
          <w:highlight w:val="none"/>
        </w:rPr>
        <w:sectPr>
          <w:footerReference r:id="rId36" w:type="default"/>
          <w:pgSz w:w="11906" w:h="16839"/>
          <w:pgMar w:top="1252" w:right="1135" w:bottom="1362" w:left="1147" w:header="0" w:footer="1200" w:gutter="0"/>
          <w:pgNumType w:fmt="decimal"/>
          <w:cols w:space="720" w:num="1"/>
        </w:sectPr>
      </w:pPr>
    </w:p>
    <w:p w14:paraId="6FAA198D">
      <w:pPr>
        <w:spacing w:before="64" w:line="223" w:lineRule="auto"/>
        <w:ind w:left="3971"/>
        <w:outlineLvl w:val="2"/>
        <w:rPr>
          <w:rFonts w:ascii="宋体" w:hAnsi="宋体" w:eastAsia="宋体" w:cs="宋体"/>
          <w:color w:val="auto"/>
          <w:sz w:val="31"/>
          <w:szCs w:val="31"/>
          <w:highlight w:val="none"/>
        </w:rPr>
      </w:pPr>
      <w:r>
        <w:rPr>
          <w:rFonts w:hint="eastAsia" w:ascii="宋体" w:hAnsi="宋体" w:eastAsia="宋体" w:cs="宋体"/>
          <w:b/>
          <w:bCs/>
          <w:color w:val="auto"/>
          <w:spacing w:val="3"/>
          <w:sz w:val="31"/>
          <w:szCs w:val="31"/>
          <w:highlight w:val="none"/>
          <w:lang w:val="en-US" w:eastAsia="zh-CN"/>
        </w:rPr>
        <w:t>1</w:t>
      </w:r>
      <w:r>
        <w:rPr>
          <w:rFonts w:ascii="宋体" w:hAnsi="宋体" w:eastAsia="宋体" w:cs="宋体"/>
          <w:b/>
          <w:bCs/>
          <w:color w:val="auto"/>
          <w:spacing w:val="3"/>
          <w:sz w:val="31"/>
          <w:szCs w:val="31"/>
          <w:highlight w:val="none"/>
        </w:rPr>
        <w:t>.磋商报价表</w:t>
      </w:r>
    </w:p>
    <w:p w14:paraId="69E5969E">
      <w:pPr>
        <w:pStyle w:val="4"/>
        <w:spacing w:line="447" w:lineRule="auto"/>
        <w:rPr>
          <w:color w:val="auto"/>
          <w:highlight w:val="none"/>
        </w:rPr>
      </w:pPr>
    </w:p>
    <w:p w14:paraId="2F2824DD">
      <w:pPr>
        <w:spacing w:before="78" w:line="220" w:lineRule="auto"/>
        <w:ind w:left="11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项目名称：</w:t>
      </w:r>
      <w:r>
        <w:rPr>
          <w:rFonts w:ascii="宋体" w:hAnsi="宋体" w:eastAsia="宋体" w:cs="宋体"/>
          <w:color w:val="auto"/>
          <w:sz w:val="24"/>
          <w:szCs w:val="24"/>
          <w:highlight w:val="none"/>
          <w:u w:val="single" w:color="auto"/>
        </w:rPr>
        <w:t xml:space="preserve">                 </w:t>
      </w:r>
    </w:p>
    <w:p w14:paraId="3BDC5E5B">
      <w:pPr>
        <w:spacing w:before="230" w:line="219" w:lineRule="auto"/>
        <w:ind w:left="11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项目编号：</w:t>
      </w:r>
      <w:r>
        <w:rPr>
          <w:rFonts w:ascii="宋体" w:hAnsi="宋体" w:eastAsia="宋体" w:cs="宋体"/>
          <w:color w:val="auto"/>
          <w:sz w:val="24"/>
          <w:szCs w:val="24"/>
          <w:highlight w:val="none"/>
          <w:u w:val="single" w:color="auto"/>
        </w:rPr>
        <w:t xml:space="preserve">                    </w:t>
      </w:r>
    </w:p>
    <w:p w14:paraId="0649A6B4">
      <w:pPr>
        <w:spacing w:before="230" w:line="220" w:lineRule="auto"/>
        <w:ind w:left="7791"/>
        <w:rPr>
          <w:rFonts w:ascii="宋体" w:hAnsi="宋体" w:eastAsia="宋体" w:cs="宋体"/>
          <w:color w:val="auto"/>
          <w:sz w:val="24"/>
          <w:szCs w:val="24"/>
          <w:highlight w:val="none"/>
        </w:rPr>
      </w:pPr>
      <w:r>
        <w:rPr>
          <w:rFonts w:ascii="宋体" w:hAnsi="宋体" w:eastAsia="宋体" w:cs="宋体"/>
          <w:color w:val="auto"/>
          <w:sz w:val="24"/>
          <w:szCs w:val="24"/>
          <w:highlight w:val="none"/>
        </w:rPr>
        <w:t>单位：元</w:t>
      </w:r>
    </w:p>
    <w:p w14:paraId="16BE12A0">
      <w:pPr>
        <w:spacing w:line="197" w:lineRule="exact"/>
        <w:rPr>
          <w:color w:val="auto"/>
          <w:highlight w:val="none"/>
        </w:rPr>
      </w:pPr>
    </w:p>
    <w:tbl>
      <w:tblPr>
        <w:tblStyle w:val="18"/>
        <w:tblW w:w="98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1452"/>
        <w:gridCol w:w="2202"/>
        <w:gridCol w:w="2066"/>
        <w:gridCol w:w="2044"/>
        <w:gridCol w:w="1315"/>
      </w:tblGrid>
      <w:tr w14:paraId="42190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57" w:type="dxa"/>
            <w:vAlign w:val="top"/>
          </w:tcPr>
          <w:p w14:paraId="7845C521">
            <w:pPr>
              <w:pStyle w:val="19"/>
              <w:spacing w:before="167" w:line="220" w:lineRule="auto"/>
              <w:ind w:left="147"/>
              <w:rPr>
                <w:color w:val="auto"/>
                <w:sz w:val="24"/>
                <w:szCs w:val="24"/>
                <w:highlight w:val="none"/>
              </w:rPr>
            </w:pPr>
            <w:r>
              <w:rPr>
                <w:b/>
                <w:bCs/>
                <w:color w:val="auto"/>
                <w:spacing w:val="-10"/>
                <w:sz w:val="24"/>
                <w:szCs w:val="24"/>
                <w:highlight w:val="none"/>
              </w:rPr>
              <w:t>项号</w:t>
            </w:r>
          </w:p>
        </w:tc>
        <w:tc>
          <w:tcPr>
            <w:tcW w:w="1452" w:type="dxa"/>
            <w:vAlign w:val="top"/>
          </w:tcPr>
          <w:p w14:paraId="639CB976">
            <w:pPr>
              <w:pStyle w:val="19"/>
              <w:spacing w:before="167" w:line="219" w:lineRule="auto"/>
              <w:ind w:left="247"/>
              <w:rPr>
                <w:color w:val="auto"/>
                <w:sz w:val="24"/>
                <w:szCs w:val="24"/>
                <w:highlight w:val="none"/>
              </w:rPr>
            </w:pPr>
            <w:r>
              <w:rPr>
                <w:b/>
                <w:bCs/>
                <w:color w:val="auto"/>
                <w:spacing w:val="-5"/>
                <w:sz w:val="24"/>
                <w:szCs w:val="24"/>
                <w:highlight w:val="none"/>
              </w:rPr>
              <w:t>服务名称</w:t>
            </w:r>
          </w:p>
        </w:tc>
        <w:tc>
          <w:tcPr>
            <w:tcW w:w="2202" w:type="dxa"/>
            <w:vAlign w:val="top"/>
          </w:tcPr>
          <w:p w14:paraId="7BABD8F7">
            <w:pPr>
              <w:pStyle w:val="19"/>
              <w:spacing w:before="167" w:line="219" w:lineRule="auto"/>
              <w:ind w:left="506"/>
              <w:rPr>
                <w:color w:val="auto"/>
                <w:sz w:val="24"/>
                <w:szCs w:val="24"/>
                <w:highlight w:val="none"/>
              </w:rPr>
            </w:pPr>
            <w:r>
              <w:rPr>
                <w:b/>
                <w:bCs/>
                <w:color w:val="auto"/>
                <w:spacing w:val="-4"/>
                <w:sz w:val="24"/>
                <w:szCs w:val="24"/>
                <w:highlight w:val="none"/>
              </w:rPr>
              <w:t>数量及单位</w:t>
            </w:r>
          </w:p>
        </w:tc>
        <w:tc>
          <w:tcPr>
            <w:tcW w:w="2066" w:type="dxa"/>
            <w:vAlign w:val="top"/>
          </w:tcPr>
          <w:p w14:paraId="56E38CD0">
            <w:pPr>
              <w:pStyle w:val="19"/>
              <w:spacing w:before="166" w:line="218" w:lineRule="auto"/>
              <w:ind w:left="800"/>
              <w:rPr>
                <w:color w:val="auto"/>
                <w:sz w:val="24"/>
                <w:szCs w:val="24"/>
                <w:highlight w:val="none"/>
              </w:rPr>
            </w:pPr>
            <w:r>
              <w:rPr>
                <w:b/>
                <w:bCs/>
                <w:color w:val="auto"/>
                <w:spacing w:val="-9"/>
                <w:sz w:val="24"/>
                <w:szCs w:val="24"/>
                <w:highlight w:val="none"/>
              </w:rPr>
              <w:t>单价</w:t>
            </w:r>
          </w:p>
        </w:tc>
        <w:tc>
          <w:tcPr>
            <w:tcW w:w="2044" w:type="dxa"/>
            <w:vAlign w:val="top"/>
          </w:tcPr>
          <w:p w14:paraId="5BFA36B0">
            <w:pPr>
              <w:pStyle w:val="19"/>
              <w:spacing w:before="166" w:line="221" w:lineRule="auto"/>
              <w:ind w:left="790"/>
              <w:rPr>
                <w:color w:val="auto"/>
                <w:sz w:val="24"/>
                <w:szCs w:val="24"/>
                <w:highlight w:val="none"/>
              </w:rPr>
            </w:pPr>
            <w:r>
              <w:rPr>
                <w:b/>
                <w:bCs/>
                <w:color w:val="auto"/>
                <w:spacing w:val="-8"/>
                <w:sz w:val="24"/>
                <w:szCs w:val="24"/>
                <w:highlight w:val="none"/>
              </w:rPr>
              <w:t>合计</w:t>
            </w:r>
          </w:p>
        </w:tc>
        <w:tc>
          <w:tcPr>
            <w:tcW w:w="1315" w:type="dxa"/>
            <w:vAlign w:val="top"/>
          </w:tcPr>
          <w:p w14:paraId="1F44D14A">
            <w:pPr>
              <w:pStyle w:val="19"/>
              <w:spacing w:before="166" w:line="221" w:lineRule="auto"/>
              <w:ind w:left="426"/>
              <w:rPr>
                <w:color w:val="auto"/>
                <w:sz w:val="24"/>
                <w:szCs w:val="24"/>
                <w:highlight w:val="none"/>
              </w:rPr>
            </w:pPr>
            <w:r>
              <w:rPr>
                <w:b/>
                <w:bCs/>
                <w:color w:val="auto"/>
                <w:spacing w:val="-9"/>
                <w:sz w:val="24"/>
                <w:szCs w:val="24"/>
                <w:highlight w:val="none"/>
              </w:rPr>
              <w:t>备注</w:t>
            </w:r>
          </w:p>
        </w:tc>
      </w:tr>
      <w:tr w14:paraId="11245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757" w:type="dxa"/>
            <w:vAlign w:val="top"/>
          </w:tcPr>
          <w:p w14:paraId="4406F03C">
            <w:pPr>
              <w:spacing w:line="306" w:lineRule="auto"/>
              <w:rPr>
                <w:rFonts w:ascii="Arial"/>
                <w:color w:val="auto"/>
                <w:sz w:val="21"/>
                <w:highlight w:val="none"/>
              </w:rPr>
            </w:pPr>
          </w:p>
          <w:p w14:paraId="60D11F3F">
            <w:pPr>
              <w:pStyle w:val="19"/>
              <w:spacing w:before="78" w:line="184" w:lineRule="auto"/>
              <w:ind w:left="343"/>
              <w:rPr>
                <w:color w:val="auto"/>
                <w:sz w:val="24"/>
                <w:szCs w:val="24"/>
                <w:highlight w:val="none"/>
              </w:rPr>
            </w:pPr>
            <w:r>
              <w:rPr>
                <w:color w:val="auto"/>
                <w:sz w:val="24"/>
                <w:szCs w:val="24"/>
                <w:highlight w:val="none"/>
              </w:rPr>
              <w:t>1</w:t>
            </w:r>
          </w:p>
        </w:tc>
        <w:tc>
          <w:tcPr>
            <w:tcW w:w="1452" w:type="dxa"/>
            <w:vAlign w:val="top"/>
          </w:tcPr>
          <w:p w14:paraId="17A9ED01">
            <w:pPr>
              <w:rPr>
                <w:rFonts w:ascii="Arial"/>
                <w:color w:val="auto"/>
                <w:sz w:val="21"/>
                <w:highlight w:val="none"/>
              </w:rPr>
            </w:pPr>
          </w:p>
        </w:tc>
        <w:tc>
          <w:tcPr>
            <w:tcW w:w="2202" w:type="dxa"/>
            <w:vAlign w:val="top"/>
          </w:tcPr>
          <w:p w14:paraId="57658767">
            <w:pPr>
              <w:rPr>
                <w:rFonts w:ascii="Arial"/>
                <w:color w:val="auto"/>
                <w:sz w:val="21"/>
                <w:highlight w:val="none"/>
              </w:rPr>
            </w:pPr>
          </w:p>
        </w:tc>
        <w:tc>
          <w:tcPr>
            <w:tcW w:w="2066" w:type="dxa"/>
            <w:vAlign w:val="top"/>
          </w:tcPr>
          <w:p w14:paraId="18A2E047">
            <w:pPr>
              <w:rPr>
                <w:rFonts w:ascii="Arial"/>
                <w:color w:val="auto"/>
                <w:sz w:val="21"/>
                <w:highlight w:val="none"/>
              </w:rPr>
            </w:pPr>
          </w:p>
        </w:tc>
        <w:tc>
          <w:tcPr>
            <w:tcW w:w="2044" w:type="dxa"/>
            <w:vAlign w:val="top"/>
          </w:tcPr>
          <w:p w14:paraId="36E04B1A">
            <w:pPr>
              <w:rPr>
                <w:rFonts w:ascii="Arial"/>
                <w:color w:val="auto"/>
                <w:sz w:val="21"/>
                <w:highlight w:val="none"/>
              </w:rPr>
            </w:pPr>
          </w:p>
        </w:tc>
        <w:tc>
          <w:tcPr>
            <w:tcW w:w="1315" w:type="dxa"/>
            <w:vAlign w:val="top"/>
          </w:tcPr>
          <w:p w14:paraId="37B3D2B9">
            <w:pPr>
              <w:rPr>
                <w:rFonts w:ascii="Arial"/>
                <w:color w:val="auto"/>
                <w:sz w:val="21"/>
                <w:highlight w:val="none"/>
              </w:rPr>
            </w:pPr>
          </w:p>
        </w:tc>
      </w:tr>
      <w:tr w14:paraId="4A47A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57" w:type="dxa"/>
            <w:vAlign w:val="top"/>
          </w:tcPr>
          <w:p w14:paraId="3BE953B5">
            <w:pPr>
              <w:spacing w:line="387" w:lineRule="auto"/>
              <w:rPr>
                <w:rFonts w:ascii="Arial"/>
                <w:color w:val="auto"/>
                <w:sz w:val="21"/>
                <w:highlight w:val="none"/>
              </w:rPr>
            </w:pPr>
          </w:p>
          <w:p w14:paraId="3C5BF726">
            <w:pPr>
              <w:pStyle w:val="19"/>
              <w:spacing w:before="78" w:line="183" w:lineRule="auto"/>
              <w:ind w:left="328"/>
              <w:rPr>
                <w:color w:val="auto"/>
                <w:sz w:val="24"/>
                <w:szCs w:val="24"/>
                <w:highlight w:val="none"/>
              </w:rPr>
            </w:pPr>
            <w:r>
              <w:rPr>
                <w:color w:val="auto"/>
                <w:sz w:val="24"/>
                <w:szCs w:val="24"/>
                <w:highlight w:val="none"/>
              </w:rPr>
              <w:t>2</w:t>
            </w:r>
          </w:p>
        </w:tc>
        <w:tc>
          <w:tcPr>
            <w:tcW w:w="1452" w:type="dxa"/>
            <w:vAlign w:val="top"/>
          </w:tcPr>
          <w:p w14:paraId="187C3284">
            <w:pPr>
              <w:rPr>
                <w:rFonts w:ascii="Arial"/>
                <w:color w:val="auto"/>
                <w:sz w:val="21"/>
                <w:highlight w:val="none"/>
              </w:rPr>
            </w:pPr>
          </w:p>
        </w:tc>
        <w:tc>
          <w:tcPr>
            <w:tcW w:w="2202" w:type="dxa"/>
            <w:vAlign w:val="top"/>
          </w:tcPr>
          <w:p w14:paraId="3DBCC893">
            <w:pPr>
              <w:rPr>
                <w:rFonts w:ascii="Arial"/>
                <w:color w:val="auto"/>
                <w:sz w:val="21"/>
                <w:highlight w:val="none"/>
              </w:rPr>
            </w:pPr>
          </w:p>
        </w:tc>
        <w:tc>
          <w:tcPr>
            <w:tcW w:w="2066" w:type="dxa"/>
            <w:vAlign w:val="top"/>
          </w:tcPr>
          <w:p w14:paraId="79B49F09">
            <w:pPr>
              <w:rPr>
                <w:rFonts w:ascii="Arial"/>
                <w:color w:val="auto"/>
                <w:sz w:val="21"/>
                <w:highlight w:val="none"/>
              </w:rPr>
            </w:pPr>
          </w:p>
        </w:tc>
        <w:tc>
          <w:tcPr>
            <w:tcW w:w="2044" w:type="dxa"/>
            <w:vAlign w:val="top"/>
          </w:tcPr>
          <w:p w14:paraId="4AF34962">
            <w:pPr>
              <w:rPr>
                <w:rFonts w:ascii="Arial"/>
                <w:color w:val="auto"/>
                <w:sz w:val="21"/>
                <w:highlight w:val="none"/>
              </w:rPr>
            </w:pPr>
          </w:p>
        </w:tc>
        <w:tc>
          <w:tcPr>
            <w:tcW w:w="1315" w:type="dxa"/>
            <w:vAlign w:val="top"/>
          </w:tcPr>
          <w:p w14:paraId="6B063C73">
            <w:pPr>
              <w:rPr>
                <w:rFonts w:ascii="Arial"/>
                <w:color w:val="auto"/>
                <w:sz w:val="21"/>
                <w:highlight w:val="none"/>
              </w:rPr>
            </w:pPr>
          </w:p>
        </w:tc>
      </w:tr>
      <w:tr w14:paraId="4E51C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57" w:type="dxa"/>
            <w:vAlign w:val="top"/>
          </w:tcPr>
          <w:p w14:paraId="0C1C30E0">
            <w:pPr>
              <w:pStyle w:val="19"/>
              <w:spacing w:before="153" w:line="378" w:lineRule="exact"/>
              <w:ind w:left="280"/>
              <w:rPr>
                <w:color w:val="auto"/>
                <w:sz w:val="24"/>
                <w:szCs w:val="24"/>
                <w:highlight w:val="none"/>
              </w:rPr>
            </w:pPr>
            <w:r>
              <w:rPr>
                <w:color w:val="auto"/>
                <w:position w:val="3"/>
                <w:sz w:val="24"/>
                <w:szCs w:val="24"/>
                <w:highlight w:val="none"/>
              </w:rPr>
              <w:t>…</w:t>
            </w:r>
          </w:p>
        </w:tc>
        <w:tc>
          <w:tcPr>
            <w:tcW w:w="1452" w:type="dxa"/>
            <w:vAlign w:val="top"/>
          </w:tcPr>
          <w:p w14:paraId="785EF46F">
            <w:pPr>
              <w:pStyle w:val="19"/>
              <w:spacing w:before="153" w:line="378" w:lineRule="exact"/>
              <w:ind w:left="505"/>
              <w:rPr>
                <w:color w:val="auto"/>
                <w:sz w:val="24"/>
                <w:szCs w:val="24"/>
                <w:highlight w:val="none"/>
              </w:rPr>
            </w:pPr>
            <w:r>
              <w:rPr>
                <w:color w:val="auto"/>
                <w:spacing w:val="-13"/>
                <w:position w:val="3"/>
                <w:sz w:val="24"/>
                <w:szCs w:val="24"/>
                <w:highlight w:val="none"/>
              </w:rPr>
              <w:t>……</w:t>
            </w:r>
          </w:p>
        </w:tc>
        <w:tc>
          <w:tcPr>
            <w:tcW w:w="2202" w:type="dxa"/>
            <w:vAlign w:val="top"/>
          </w:tcPr>
          <w:p w14:paraId="3FD74686">
            <w:pPr>
              <w:rPr>
                <w:rFonts w:ascii="Arial"/>
                <w:color w:val="auto"/>
                <w:sz w:val="21"/>
                <w:highlight w:val="none"/>
              </w:rPr>
            </w:pPr>
          </w:p>
        </w:tc>
        <w:tc>
          <w:tcPr>
            <w:tcW w:w="2066" w:type="dxa"/>
            <w:vAlign w:val="top"/>
          </w:tcPr>
          <w:p w14:paraId="79B710B1">
            <w:pPr>
              <w:rPr>
                <w:rFonts w:ascii="Arial"/>
                <w:color w:val="auto"/>
                <w:sz w:val="21"/>
                <w:highlight w:val="none"/>
              </w:rPr>
            </w:pPr>
          </w:p>
        </w:tc>
        <w:tc>
          <w:tcPr>
            <w:tcW w:w="2044" w:type="dxa"/>
            <w:vAlign w:val="top"/>
          </w:tcPr>
          <w:p w14:paraId="77339937">
            <w:pPr>
              <w:rPr>
                <w:rFonts w:ascii="Arial"/>
                <w:color w:val="auto"/>
                <w:sz w:val="21"/>
                <w:highlight w:val="none"/>
              </w:rPr>
            </w:pPr>
          </w:p>
        </w:tc>
        <w:tc>
          <w:tcPr>
            <w:tcW w:w="1315" w:type="dxa"/>
            <w:vAlign w:val="top"/>
          </w:tcPr>
          <w:p w14:paraId="24A247AF">
            <w:pPr>
              <w:rPr>
                <w:rFonts w:ascii="Arial"/>
                <w:color w:val="auto"/>
                <w:sz w:val="21"/>
                <w:highlight w:val="none"/>
              </w:rPr>
            </w:pPr>
          </w:p>
        </w:tc>
      </w:tr>
      <w:tr w14:paraId="30795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1" w:type="dxa"/>
            <w:gridSpan w:val="5"/>
            <w:vAlign w:val="top"/>
          </w:tcPr>
          <w:p w14:paraId="42A53161">
            <w:pPr>
              <w:pStyle w:val="19"/>
              <w:spacing w:before="89" w:line="219" w:lineRule="auto"/>
              <w:ind w:left="117"/>
              <w:rPr>
                <w:color w:val="auto"/>
                <w:sz w:val="24"/>
                <w:szCs w:val="24"/>
                <w:highlight w:val="none"/>
              </w:rPr>
            </w:pPr>
            <w:r>
              <w:rPr>
                <w:color w:val="auto"/>
                <w:spacing w:val="-2"/>
                <w:sz w:val="24"/>
                <w:szCs w:val="24"/>
                <w:highlight w:val="none"/>
              </w:rPr>
              <w:t>合计金额大写：人民币</w:t>
            </w:r>
            <w:r>
              <w:rPr>
                <w:color w:val="auto"/>
                <w:spacing w:val="-2"/>
                <w:sz w:val="24"/>
                <w:szCs w:val="24"/>
                <w:highlight w:val="none"/>
                <w:u w:val="single" w:color="auto"/>
              </w:rPr>
              <w:t xml:space="preserve">           </w:t>
            </w:r>
            <w:r>
              <w:rPr>
                <w:color w:val="auto"/>
                <w:spacing w:val="-2"/>
                <w:sz w:val="24"/>
                <w:szCs w:val="24"/>
                <w:highlight w:val="none"/>
              </w:rPr>
              <w:t xml:space="preserve"> (￥</w:t>
            </w:r>
            <w:r>
              <w:rPr>
                <w:color w:val="auto"/>
                <w:spacing w:val="-94"/>
                <w:sz w:val="24"/>
                <w:szCs w:val="24"/>
                <w:highlight w:val="none"/>
              </w:rPr>
              <w:t xml:space="preserve"> </w:t>
            </w:r>
            <w:r>
              <w:rPr>
                <w:color w:val="auto"/>
                <w:spacing w:val="3"/>
                <w:sz w:val="24"/>
                <w:szCs w:val="24"/>
                <w:highlight w:val="none"/>
                <w:u w:val="single" w:color="auto"/>
              </w:rPr>
              <w:t xml:space="preserve">     </w:t>
            </w:r>
            <w:r>
              <w:rPr>
                <w:color w:val="auto"/>
                <w:spacing w:val="-2"/>
                <w:sz w:val="24"/>
                <w:szCs w:val="24"/>
                <w:highlight w:val="none"/>
                <w:u w:val="single" w:color="auto"/>
              </w:rPr>
              <w:t>小写</w:t>
            </w:r>
            <w:r>
              <w:rPr>
                <w:color w:val="auto"/>
                <w:spacing w:val="24"/>
                <w:sz w:val="24"/>
                <w:szCs w:val="24"/>
                <w:highlight w:val="none"/>
                <w:u w:val="single" w:color="auto"/>
              </w:rPr>
              <w:t xml:space="preserve">     </w:t>
            </w:r>
            <w:r>
              <w:rPr>
                <w:color w:val="auto"/>
                <w:spacing w:val="-2"/>
                <w:sz w:val="24"/>
                <w:szCs w:val="24"/>
                <w:highlight w:val="none"/>
              </w:rPr>
              <w:t>）</w:t>
            </w:r>
          </w:p>
        </w:tc>
        <w:tc>
          <w:tcPr>
            <w:tcW w:w="1315" w:type="dxa"/>
            <w:vAlign w:val="top"/>
          </w:tcPr>
          <w:p w14:paraId="7917A202">
            <w:pPr>
              <w:rPr>
                <w:rFonts w:ascii="Arial"/>
                <w:color w:val="auto"/>
                <w:sz w:val="21"/>
                <w:highlight w:val="none"/>
              </w:rPr>
            </w:pPr>
          </w:p>
        </w:tc>
      </w:tr>
    </w:tbl>
    <w:p w14:paraId="548E8D84">
      <w:pPr>
        <w:spacing w:before="84" w:line="224" w:lineRule="auto"/>
        <w:ind w:left="109"/>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注:</w:t>
      </w:r>
    </w:p>
    <w:p w14:paraId="0E5F0B53">
      <w:pPr>
        <w:spacing w:before="227" w:line="345" w:lineRule="auto"/>
        <w:ind w:left="117" w:right="79" w:firstLine="49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1.供应商的报价表必须加盖供应商公章并由法定代表人/法定代表或者委</w:t>
      </w:r>
      <w:r>
        <w:rPr>
          <w:rFonts w:ascii="宋体" w:hAnsi="宋体" w:eastAsia="宋体" w:cs="宋体"/>
          <w:color w:val="auto"/>
          <w:spacing w:val="-3"/>
          <w:sz w:val="24"/>
          <w:szCs w:val="24"/>
          <w:highlight w:val="none"/>
        </w:rPr>
        <w:t>托代理人签字，</w:t>
      </w:r>
      <w:r>
        <w:rPr>
          <w:rFonts w:ascii="宋体" w:hAnsi="宋体" w:eastAsia="宋体" w:cs="宋体"/>
          <w:color w:val="auto"/>
          <w:sz w:val="24"/>
          <w:szCs w:val="24"/>
          <w:highlight w:val="none"/>
        </w:rPr>
        <w:t xml:space="preserve"> </w:t>
      </w:r>
      <w:r>
        <w:rPr>
          <w:rFonts w:ascii="宋体" w:hAnsi="宋体" w:eastAsia="宋体" w:cs="宋体"/>
          <w:b/>
          <w:bCs/>
          <w:color w:val="auto"/>
          <w:spacing w:val="-3"/>
          <w:sz w:val="24"/>
          <w:szCs w:val="24"/>
          <w:highlight w:val="none"/>
        </w:rPr>
        <w:t>否则其响应文件按无效响应处理</w:t>
      </w:r>
      <w:r>
        <w:rPr>
          <w:rFonts w:ascii="宋体" w:hAnsi="宋体" w:eastAsia="宋体" w:cs="宋体"/>
          <w:color w:val="auto"/>
          <w:spacing w:val="-3"/>
          <w:sz w:val="24"/>
          <w:szCs w:val="24"/>
          <w:highlight w:val="none"/>
        </w:rPr>
        <w:t>。</w:t>
      </w:r>
    </w:p>
    <w:p w14:paraId="6A9A3802">
      <w:pPr>
        <w:spacing w:before="89" w:line="344" w:lineRule="auto"/>
        <w:ind w:left="111" w:right="140"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2.报价一经涂改，应在涂改处加盖供应商公章或者由法</w:t>
      </w:r>
      <w:r>
        <w:rPr>
          <w:rFonts w:ascii="宋体" w:hAnsi="宋体" w:eastAsia="宋体" w:cs="宋体"/>
          <w:color w:val="auto"/>
          <w:spacing w:val="-1"/>
          <w:sz w:val="24"/>
          <w:szCs w:val="24"/>
          <w:highlight w:val="none"/>
        </w:rPr>
        <w:t>定代表人或者委托代理人签字或</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者盖章</w:t>
      </w:r>
      <w:r>
        <w:rPr>
          <w:rFonts w:ascii="宋体" w:hAnsi="宋体" w:eastAsia="宋体" w:cs="宋体"/>
          <w:b/>
          <w:bCs/>
          <w:color w:val="auto"/>
          <w:spacing w:val="-3"/>
          <w:sz w:val="24"/>
          <w:szCs w:val="24"/>
          <w:highlight w:val="none"/>
        </w:rPr>
        <w:t>，否则其响应文件按无效响应处理。</w:t>
      </w:r>
    </w:p>
    <w:p w14:paraId="3A776677">
      <w:pPr>
        <w:spacing w:before="85" w:line="347" w:lineRule="auto"/>
        <w:ind w:left="109" w:right="140"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3.如为联合体竞标，“供应商名称</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”处必须列明联合体各方名称，</w:t>
      </w:r>
      <w:r>
        <w:rPr>
          <w:rFonts w:ascii="宋体" w:hAnsi="宋体" w:eastAsia="宋体" w:cs="宋体"/>
          <w:color w:val="auto"/>
          <w:spacing w:val="-2"/>
          <w:sz w:val="24"/>
          <w:szCs w:val="24"/>
          <w:highlight w:val="none"/>
        </w:rPr>
        <w:t>标注联合体牵头人名</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称，</w:t>
      </w:r>
      <w:r>
        <w:rPr>
          <w:rFonts w:ascii="宋体" w:hAnsi="宋体" w:eastAsia="宋体" w:cs="宋体"/>
          <w:b/>
          <w:bCs/>
          <w:color w:val="auto"/>
          <w:spacing w:val="-3"/>
          <w:sz w:val="24"/>
          <w:szCs w:val="24"/>
          <w:highlight w:val="none"/>
        </w:rPr>
        <w:t>否则其响应文件按无效响应处理。</w:t>
      </w:r>
    </w:p>
    <w:p w14:paraId="0EDE55FD">
      <w:pPr>
        <w:spacing w:before="82" w:line="385" w:lineRule="auto"/>
        <w:ind w:left="594" w:right="168" w:hanging="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4.如为联合体竞标，盖章处须加盖联合体各方公章，</w:t>
      </w:r>
      <w:r>
        <w:rPr>
          <w:rFonts w:ascii="宋体" w:hAnsi="宋体" w:eastAsia="宋体" w:cs="宋体"/>
          <w:b/>
          <w:bCs/>
          <w:color w:val="auto"/>
          <w:spacing w:val="-2"/>
          <w:sz w:val="24"/>
          <w:szCs w:val="24"/>
          <w:highlight w:val="none"/>
        </w:rPr>
        <w:t>否则其响应文件按无效响应处理。</w:t>
      </w:r>
      <w:r>
        <w:rPr>
          <w:rFonts w:ascii="宋体" w:hAnsi="宋体" w:eastAsia="宋体" w:cs="宋体"/>
          <w:color w:val="auto"/>
          <w:spacing w:val="2"/>
          <w:sz w:val="24"/>
          <w:szCs w:val="24"/>
          <w:highlight w:val="none"/>
        </w:rPr>
        <w:t xml:space="preserve"> </w:t>
      </w:r>
      <w:r>
        <w:rPr>
          <w:rFonts w:ascii="宋体" w:hAnsi="宋体" w:eastAsia="宋体" w:cs="宋体"/>
          <w:color w:val="auto"/>
          <w:spacing w:val="-12"/>
          <w:sz w:val="24"/>
          <w:szCs w:val="24"/>
          <w:highlight w:val="none"/>
        </w:rPr>
        <w:t>5.如有多分标，分别列明各分标的报价表，</w:t>
      </w:r>
      <w:r>
        <w:rPr>
          <w:rFonts w:ascii="宋体" w:hAnsi="宋体" w:eastAsia="宋体" w:cs="宋体"/>
          <w:b/>
          <w:bCs/>
          <w:color w:val="auto"/>
          <w:spacing w:val="-12"/>
          <w:sz w:val="24"/>
          <w:szCs w:val="24"/>
          <w:highlight w:val="none"/>
        </w:rPr>
        <w:t>否则其响应文件按无效响应处理。</w:t>
      </w:r>
    </w:p>
    <w:p w14:paraId="1CBD32D1">
      <w:pPr>
        <w:pStyle w:val="4"/>
        <w:spacing w:line="288" w:lineRule="auto"/>
        <w:rPr>
          <w:color w:val="auto"/>
          <w:highlight w:val="none"/>
        </w:rPr>
      </w:pPr>
    </w:p>
    <w:p w14:paraId="2CA51E5D">
      <w:pPr>
        <w:pStyle w:val="4"/>
        <w:spacing w:line="288" w:lineRule="auto"/>
        <w:rPr>
          <w:color w:val="auto"/>
          <w:highlight w:val="none"/>
        </w:rPr>
      </w:pPr>
    </w:p>
    <w:p w14:paraId="2A727F39">
      <w:pPr>
        <w:spacing w:before="79" w:line="219" w:lineRule="auto"/>
        <w:ind w:left="1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法定代表人/法定代表或者委托代理人（签字</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u w:val="single" w:color="auto"/>
        </w:rPr>
        <w:t xml:space="preserve">                </w:t>
      </w:r>
    </w:p>
    <w:p w14:paraId="1C9D177C">
      <w:pPr>
        <w:pStyle w:val="4"/>
        <w:spacing w:line="256" w:lineRule="auto"/>
        <w:rPr>
          <w:color w:val="auto"/>
          <w:highlight w:val="none"/>
        </w:rPr>
      </w:pPr>
    </w:p>
    <w:p w14:paraId="7DA16635">
      <w:pPr>
        <w:pStyle w:val="4"/>
        <w:spacing w:line="257" w:lineRule="auto"/>
        <w:rPr>
          <w:color w:val="auto"/>
          <w:highlight w:val="none"/>
        </w:rPr>
      </w:pPr>
    </w:p>
    <w:p w14:paraId="3468D19D">
      <w:pPr>
        <w:pStyle w:val="4"/>
        <w:spacing w:line="257" w:lineRule="auto"/>
        <w:rPr>
          <w:color w:val="auto"/>
          <w:highlight w:val="none"/>
        </w:rPr>
      </w:pPr>
    </w:p>
    <w:p w14:paraId="0D0B00B6">
      <w:pPr>
        <w:pStyle w:val="4"/>
        <w:spacing w:line="257" w:lineRule="auto"/>
        <w:rPr>
          <w:color w:val="auto"/>
          <w:highlight w:val="none"/>
        </w:rPr>
      </w:pPr>
    </w:p>
    <w:p w14:paraId="4212F70C">
      <w:pPr>
        <w:pStyle w:val="4"/>
        <w:spacing w:line="257" w:lineRule="auto"/>
        <w:rPr>
          <w:color w:val="auto"/>
          <w:highlight w:val="none"/>
        </w:rPr>
      </w:pPr>
    </w:p>
    <w:p w14:paraId="56EC25A8">
      <w:pPr>
        <w:spacing w:before="78" w:line="219" w:lineRule="auto"/>
        <w:ind w:left="10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供应商（盖公章</w:t>
      </w:r>
      <w:r>
        <w:rPr>
          <w:rFonts w:ascii="宋体" w:hAnsi="宋体" w:eastAsia="宋体" w:cs="宋体"/>
          <w:color w:val="auto"/>
          <w:spacing w:val="4"/>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2"/>
          <w:sz w:val="24"/>
          <w:szCs w:val="24"/>
          <w:highlight w:val="none"/>
        </w:rPr>
        <w:t xml:space="preserve">    </w:t>
      </w:r>
      <w:r>
        <w:rPr>
          <w:rFonts w:ascii="宋体" w:hAnsi="宋体" w:eastAsia="宋体" w:cs="宋体"/>
          <w:color w:val="auto"/>
          <w:spacing w:val="-5"/>
          <w:sz w:val="24"/>
          <w:szCs w:val="24"/>
          <w:highlight w:val="none"/>
        </w:rPr>
        <w:t>日期：    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5"/>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5"/>
          <w:sz w:val="24"/>
          <w:szCs w:val="24"/>
          <w:highlight w:val="none"/>
        </w:rPr>
        <w:t>日</w:t>
      </w:r>
    </w:p>
    <w:p w14:paraId="10F7B49E">
      <w:pPr>
        <w:spacing w:line="219" w:lineRule="auto"/>
        <w:rPr>
          <w:rFonts w:ascii="宋体" w:hAnsi="宋体" w:eastAsia="宋体" w:cs="宋体"/>
          <w:color w:val="auto"/>
          <w:sz w:val="24"/>
          <w:szCs w:val="24"/>
          <w:highlight w:val="none"/>
        </w:rPr>
      </w:pPr>
    </w:p>
    <w:p w14:paraId="21A83544">
      <w:pPr>
        <w:spacing w:line="219" w:lineRule="auto"/>
        <w:rPr>
          <w:rFonts w:ascii="宋体" w:hAnsi="宋体" w:eastAsia="宋体" w:cs="宋体"/>
          <w:color w:val="auto"/>
          <w:sz w:val="24"/>
          <w:szCs w:val="24"/>
          <w:highlight w:val="none"/>
        </w:rPr>
      </w:pPr>
    </w:p>
    <w:p w14:paraId="155C2099">
      <w:pPr>
        <w:spacing w:line="219" w:lineRule="auto"/>
        <w:rPr>
          <w:rFonts w:ascii="宋体" w:hAnsi="宋体" w:eastAsia="宋体" w:cs="宋体"/>
          <w:color w:val="auto"/>
          <w:sz w:val="24"/>
          <w:szCs w:val="24"/>
          <w:highlight w:val="none"/>
        </w:rPr>
      </w:pPr>
    </w:p>
    <w:p w14:paraId="1FC4B428">
      <w:pPr>
        <w:spacing w:line="219" w:lineRule="auto"/>
        <w:rPr>
          <w:rFonts w:ascii="宋体" w:hAnsi="宋体" w:eastAsia="宋体" w:cs="宋体"/>
          <w:color w:val="auto"/>
          <w:sz w:val="24"/>
          <w:szCs w:val="24"/>
          <w:highlight w:val="none"/>
        </w:rPr>
      </w:pPr>
    </w:p>
    <w:p w14:paraId="315FD562">
      <w:pPr>
        <w:spacing w:line="219" w:lineRule="auto"/>
        <w:rPr>
          <w:rFonts w:ascii="宋体" w:hAnsi="宋体" w:eastAsia="宋体" w:cs="宋体"/>
          <w:color w:val="auto"/>
          <w:sz w:val="24"/>
          <w:szCs w:val="24"/>
          <w:highlight w:val="none"/>
        </w:rPr>
      </w:pPr>
    </w:p>
    <w:p w14:paraId="28E084D7">
      <w:pPr>
        <w:spacing w:line="219" w:lineRule="auto"/>
        <w:rPr>
          <w:rFonts w:ascii="宋体" w:hAnsi="宋体" w:eastAsia="宋体" w:cs="宋体"/>
          <w:color w:val="auto"/>
          <w:sz w:val="24"/>
          <w:szCs w:val="24"/>
          <w:highlight w:val="none"/>
        </w:rPr>
      </w:pPr>
    </w:p>
    <w:p w14:paraId="4ADADAF4">
      <w:pPr>
        <w:spacing w:before="64" w:line="223" w:lineRule="auto"/>
        <w:ind w:left="0"/>
        <w:jc w:val="center"/>
        <w:outlineLvl w:val="2"/>
        <w:rPr>
          <w:rFonts w:ascii="宋体" w:hAnsi="宋体" w:eastAsia="宋体" w:cs="宋体"/>
          <w:color w:val="auto"/>
          <w:sz w:val="31"/>
          <w:szCs w:val="31"/>
          <w:highlight w:val="none"/>
        </w:rPr>
      </w:pPr>
      <w:r>
        <w:rPr>
          <w:rFonts w:hint="eastAsia" w:ascii="宋体" w:hAnsi="宋体" w:eastAsia="宋体" w:cs="宋体"/>
          <w:b/>
          <w:bCs/>
          <w:color w:val="auto"/>
          <w:spacing w:val="3"/>
          <w:sz w:val="31"/>
          <w:szCs w:val="31"/>
          <w:highlight w:val="none"/>
          <w:lang w:val="en-US" w:eastAsia="zh-CN"/>
        </w:rPr>
        <w:t>2</w:t>
      </w:r>
      <w:r>
        <w:rPr>
          <w:rFonts w:ascii="宋体" w:hAnsi="宋体" w:eastAsia="宋体" w:cs="宋体"/>
          <w:b/>
          <w:bCs/>
          <w:color w:val="auto"/>
          <w:spacing w:val="3"/>
          <w:sz w:val="31"/>
          <w:szCs w:val="31"/>
          <w:highlight w:val="none"/>
        </w:rPr>
        <w:t>.</w:t>
      </w:r>
      <w:r>
        <w:rPr>
          <w:rFonts w:hint="eastAsia" w:ascii="宋体" w:hAnsi="宋体" w:eastAsia="宋体" w:cs="宋体"/>
          <w:b/>
          <w:bCs/>
          <w:color w:val="auto"/>
          <w:spacing w:val="3"/>
          <w:sz w:val="31"/>
          <w:szCs w:val="31"/>
          <w:highlight w:val="none"/>
        </w:rPr>
        <w:t>对应</w:t>
      </w:r>
      <w:r>
        <w:rPr>
          <w:rFonts w:hint="eastAsia" w:ascii="宋体" w:hAnsi="宋体" w:eastAsia="宋体" w:cs="宋体"/>
          <w:b/>
          <w:bCs/>
          <w:color w:val="auto"/>
          <w:spacing w:val="3"/>
          <w:sz w:val="31"/>
          <w:szCs w:val="31"/>
          <w:highlight w:val="none"/>
          <w:lang w:val="en-US" w:eastAsia="zh-CN"/>
        </w:rPr>
        <w:t>报价</w:t>
      </w:r>
      <w:r>
        <w:rPr>
          <w:rFonts w:hint="eastAsia" w:ascii="宋体" w:hAnsi="宋体" w:eastAsia="宋体" w:cs="宋体"/>
          <w:b/>
          <w:bCs/>
          <w:color w:val="auto"/>
          <w:spacing w:val="3"/>
          <w:sz w:val="31"/>
          <w:szCs w:val="31"/>
          <w:highlight w:val="none"/>
        </w:rPr>
        <w:t>供应商认为需要提供的其他有关资料。</w:t>
      </w:r>
    </w:p>
    <w:p w14:paraId="1A017E61">
      <w:pPr>
        <w:spacing w:line="219" w:lineRule="auto"/>
        <w:rPr>
          <w:rFonts w:ascii="宋体" w:hAnsi="宋体" w:eastAsia="宋体" w:cs="宋体"/>
          <w:color w:val="auto"/>
          <w:sz w:val="24"/>
          <w:szCs w:val="24"/>
          <w:highlight w:val="none"/>
        </w:rPr>
        <w:sectPr>
          <w:footerReference r:id="rId37" w:type="default"/>
          <w:pgSz w:w="11906" w:h="16839"/>
          <w:pgMar w:top="1240" w:right="1032" w:bottom="1362" w:left="1032" w:header="0" w:footer="1200" w:gutter="0"/>
          <w:pgNumType w:fmt="decimal"/>
          <w:cols w:space="720" w:num="1"/>
        </w:sectPr>
      </w:pPr>
    </w:p>
    <w:p w14:paraId="4359E974">
      <w:pPr>
        <w:spacing w:before="64" w:line="223" w:lineRule="auto"/>
        <w:outlineLvl w:val="1"/>
        <w:rPr>
          <w:rFonts w:ascii="宋体" w:hAnsi="宋体" w:eastAsia="宋体" w:cs="宋体"/>
          <w:color w:val="auto"/>
          <w:sz w:val="31"/>
          <w:szCs w:val="31"/>
          <w:highlight w:val="none"/>
        </w:rPr>
      </w:pPr>
      <w:bookmarkStart w:id="59" w:name="_Toc28720"/>
      <w:r>
        <w:rPr>
          <w:rFonts w:hint="eastAsia" w:ascii="宋体" w:hAnsi="宋体" w:eastAsia="宋体" w:cs="宋体"/>
          <w:b/>
          <w:bCs/>
          <w:color w:val="auto"/>
          <w:spacing w:val="6"/>
          <w:sz w:val="31"/>
          <w:szCs w:val="31"/>
          <w:highlight w:val="none"/>
          <w:lang w:val="en-US" w:eastAsia="zh-CN"/>
        </w:rPr>
        <w:t>三</w:t>
      </w:r>
      <w:r>
        <w:rPr>
          <w:rFonts w:ascii="宋体" w:hAnsi="宋体" w:eastAsia="宋体" w:cs="宋体"/>
          <w:b/>
          <w:bCs/>
          <w:color w:val="auto"/>
          <w:spacing w:val="6"/>
          <w:sz w:val="31"/>
          <w:szCs w:val="31"/>
          <w:highlight w:val="none"/>
        </w:rPr>
        <w:t>、</w:t>
      </w:r>
      <w:r>
        <w:rPr>
          <w:rFonts w:hint="eastAsia" w:ascii="宋体" w:hAnsi="宋体" w:eastAsia="宋体" w:cs="宋体"/>
          <w:b/>
          <w:bCs/>
          <w:color w:val="auto"/>
          <w:spacing w:val="6"/>
          <w:sz w:val="31"/>
          <w:szCs w:val="31"/>
          <w:highlight w:val="none"/>
        </w:rPr>
        <w:t>商务</w:t>
      </w:r>
      <w:r>
        <w:rPr>
          <w:rFonts w:ascii="宋体" w:hAnsi="宋体" w:eastAsia="宋体" w:cs="宋体"/>
          <w:b/>
          <w:bCs/>
          <w:color w:val="auto"/>
          <w:spacing w:val="6"/>
          <w:sz w:val="31"/>
          <w:szCs w:val="31"/>
          <w:highlight w:val="none"/>
        </w:rPr>
        <w:t>文件格式</w:t>
      </w:r>
      <w:bookmarkEnd w:id="59"/>
    </w:p>
    <w:p w14:paraId="5847A1D4">
      <w:pPr>
        <w:pStyle w:val="4"/>
        <w:spacing w:line="300" w:lineRule="auto"/>
        <w:rPr>
          <w:color w:val="auto"/>
          <w:highlight w:val="none"/>
        </w:rPr>
      </w:pPr>
    </w:p>
    <w:p w14:paraId="5932FEB2">
      <w:pPr>
        <w:spacing w:before="101" w:line="223" w:lineRule="auto"/>
        <w:ind w:left="18"/>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1.商务文件封面格式</w:t>
      </w:r>
    </w:p>
    <w:p w14:paraId="135C7C90">
      <w:pPr>
        <w:pStyle w:val="4"/>
        <w:spacing w:line="248" w:lineRule="auto"/>
        <w:rPr>
          <w:color w:val="auto"/>
          <w:highlight w:val="none"/>
        </w:rPr>
      </w:pPr>
    </w:p>
    <w:p w14:paraId="48B55336">
      <w:pPr>
        <w:pStyle w:val="4"/>
        <w:spacing w:line="248" w:lineRule="auto"/>
        <w:rPr>
          <w:color w:val="auto"/>
          <w:highlight w:val="none"/>
        </w:rPr>
      </w:pPr>
    </w:p>
    <w:p w14:paraId="47C1E230">
      <w:pPr>
        <w:pStyle w:val="4"/>
        <w:spacing w:line="248" w:lineRule="auto"/>
        <w:rPr>
          <w:color w:val="auto"/>
          <w:highlight w:val="none"/>
        </w:rPr>
      </w:pPr>
    </w:p>
    <w:p w14:paraId="04A36577">
      <w:pPr>
        <w:pStyle w:val="4"/>
        <w:spacing w:line="249" w:lineRule="auto"/>
        <w:rPr>
          <w:color w:val="auto"/>
          <w:highlight w:val="none"/>
        </w:rPr>
      </w:pPr>
    </w:p>
    <w:p w14:paraId="5D0E25E0">
      <w:pPr>
        <w:pStyle w:val="4"/>
        <w:spacing w:line="249" w:lineRule="auto"/>
        <w:rPr>
          <w:color w:val="auto"/>
          <w:highlight w:val="none"/>
        </w:rPr>
      </w:pPr>
    </w:p>
    <w:p w14:paraId="7FCC4E25">
      <w:pPr>
        <w:pStyle w:val="4"/>
        <w:spacing w:line="249" w:lineRule="auto"/>
        <w:rPr>
          <w:color w:val="auto"/>
          <w:highlight w:val="none"/>
        </w:rPr>
      </w:pPr>
    </w:p>
    <w:p w14:paraId="5F8E028B">
      <w:pPr>
        <w:pStyle w:val="4"/>
        <w:spacing w:line="249" w:lineRule="auto"/>
        <w:rPr>
          <w:color w:val="auto"/>
          <w:highlight w:val="none"/>
        </w:rPr>
      </w:pPr>
    </w:p>
    <w:p w14:paraId="3340C153">
      <w:pPr>
        <w:pStyle w:val="4"/>
        <w:spacing w:line="249" w:lineRule="auto"/>
        <w:rPr>
          <w:color w:val="auto"/>
          <w:highlight w:val="none"/>
        </w:rPr>
      </w:pPr>
    </w:p>
    <w:p w14:paraId="2B101FB7">
      <w:pPr>
        <w:pStyle w:val="4"/>
        <w:spacing w:line="249" w:lineRule="auto"/>
        <w:rPr>
          <w:color w:val="auto"/>
          <w:highlight w:val="none"/>
        </w:rPr>
      </w:pPr>
    </w:p>
    <w:p w14:paraId="5FAD6CDA">
      <w:pPr>
        <w:spacing w:before="140" w:line="222" w:lineRule="auto"/>
        <w:ind w:left="0"/>
        <w:jc w:val="center"/>
        <w:rPr>
          <w:rFonts w:ascii="宋体" w:hAnsi="宋体" w:eastAsia="宋体" w:cs="宋体"/>
          <w:color w:val="auto"/>
          <w:sz w:val="43"/>
          <w:szCs w:val="43"/>
          <w:highlight w:val="none"/>
        </w:rPr>
      </w:pPr>
      <w:r>
        <w:rPr>
          <w:rFonts w:ascii="宋体" w:hAnsi="宋体" w:eastAsia="宋体" w:cs="宋体"/>
          <w:color w:val="auto"/>
          <w:spacing w:val="-10"/>
          <w:sz w:val="43"/>
          <w:szCs w:val="43"/>
          <w:highlight w:val="none"/>
        </w:rPr>
        <w:t>商</w:t>
      </w:r>
      <w:r>
        <w:rPr>
          <w:rFonts w:ascii="宋体" w:hAnsi="宋体" w:eastAsia="宋体" w:cs="宋体"/>
          <w:color w:val="auto"/>
          <w:spacing w:val="15"/>
          <w:sz w:val="43"/>
          <w:szCs w:val="43"/>
          <w:highlight w:val="none"/>
        </w:rPr>
        <w:t xml:space="preserve">  </w:t>
      </w:r>
      <w:r>
        <w:rPr>
          <w:rFonts w:ascii="宋体" w:hAnsi="宋体" w:eastAsia="宋体" w:cs="宋体"/>
          <w:color w:val="auto"/>
          <w:spacing w:val="-10"/>
          <w:sz w:val="43"/>
          <w:szCs w:val="43"/>
          <w:highlight w:val="none"/>
        </w:rPr>
        <w:t>务</w:t>
      </w:r>
      <w:r>
        <w:rPr>
          <w:rFonts w:ascii="宋体" w:hAnsi="宋体" w:eastAsia="宋体" w:cs="宋体"/>
          <w:color w:val="auto"/>
          <w:spacing w:val="15"/>
          <w:sz w:val="43"/>
          <w:szCs w:val="43"/>
          <w:highlight w:val="none"/>
        </w:rPr>
        <w:t xml:space="preserve">  </w:t>
      </w:r>
      <w:r>
        <w:rPr>
          <w:rFonts w:ascii="宋体" w:hAnsi="宋体" w:eastAsia="宋体" w:cs="宋体"/>
          <w:color w:val="auto"/>
          <w:spacing w:val="-10"/>
          <w:sz w:val="43"/>
          <w:szCs w:val="43"/>
          <w:highlight w:val="none"/>
        </w:rPr>
        <w:t>文</w:t>
      </w:r>
      <w:r>
        <w:rPr>
          <w:rFonts w:ascii="宋体" w:hAnsi="宋体" w:eastAsia="宋体" w:cs="宋体"/>
          <w:color w:val="auto"/>
          <w:spacing w:val="13"/>
          <w:sz w:val="43"/>
          <w:szCs w:val="43"/>
          <w:highlight w:val="none"/>
        </w:rPr>
        <w:t xml:space="preserve">  </w:t>
      </w:r>
      <w:r>
        <w:rPr>
          <w:rFonts w:ascii="宋体" w:hAnsi="宋体" w:eastAsia="宋体" w:cs="宋体"/>
          <w:color w:val="auto"/>
          <w:spacing w:val="-10"/>
          <w:sz w:val="43"/>
          <w:szCs w:val="43"/>
          <w:highlight w:val="none"/>
        </w:rPr>
        <w:t>件</w:t>
      </w:r>
    </w:p>
    <w:p w14:paraId="537C40C3">
      <w:pPr>
        <w:pStyle w:val="4"/>
        <w:spacing w:line="241" w:lineRule="auto"/>
        <w:rPr>
          <w:color w:val="auto"/>
          <w:highlight w:val="none"/>
        </w:rPr>
      </w:pPr>
    </w:p>
    <w:p w14:paraId="404F54FE">
      <w:pPr>
        <w:pStyle w:val="4"/>
        <w:spacing w:line="241" w:lineRule="auto"/>
        <w:rPr>
          <w:color w:val="auto"/>
          <w:highlight w:val="none"/>
        </w:rPr>
      </w:pPr>
    </w:p>
    <w:p w14:paraId="64256800">
      <w:pPr>
        <w:pStyle w:val="4"/>
        <w:spacing w:line="241" w:lineRule="auto"/>
        <w:rPr>
          <w:color w:val="auto"/>
          <w:highlight w:val="none"/>
        </w:rPr>
      </w:pPr>
    </w:p>
    <w:p w14:paraId="592B8A12">
      <w:pPr>
        <w:pStyle w:val="4"/>
        <w:spacing w:line="241" w:lineRule="auto"/>
        <w:rPr>
          <w:color w:val="auto"/>
          <w:highlight w:val="none"/>
        </w:rPr>
      </w:pPr>
    </w:p>
    <w:p w14:paraId="244F8186">
      <w:pPr>
        <w:pStyle w:val="4"/>
        <w:spacing w:line="242" w:lineRule="auto"/>
        <w:rPr>
          <w:color w:val="auto"/>
          <w:highlight w:val="none"/>
        </w:rPr>
      </w:pPr>
    </w:p>
    <w:p w14:paraId="3E724D5F">
      <w:pPr>
        <w:pStyle w:val="4"/>
        <w:spacing w:line="242" w:lineRule="auto"/>
        <w:rPr>
          <w:color w:val="auto"/>
          <w:highlight w:val="none"/>
        </w:rPr>
      </w:pPr>
    </w:p>
    <w:p w14:paraId="5F26A31F">
      <w:pPr>
        <w:pStyle w:val="4"/>
        <w:spacing w:line="242" w:lineRule="auto"/>
        <w:rPr>
          <w:color w:val="auto"/>
          <w:highlight w:val="none"/>
        </w:rPr>
      </w:pPr>
    </w:p>
    <w:p w14:paraId="4EC46143">
      <w:pPr>
        <w:pStyle w:val="4"/>
        <w:spacing w:line="242" w:lineRule="auto"/>
        <w:rPr>
          <w:color w:val="auto"/>
          <w:highlight w:val="none"/>
        </w:rPr>
      </w:pPr>
    </w:p>
    <w:p w14:paraId="4ABB87C7">
      <w:pPr>
        <w:pStyle w:val="4"/>
        <w:spacing w:line="242" w:lineRule="auto"/>
        <w:rPr>
          <w:color w:val="auto"/>
          <w:highlight w:val="none"/>
        </w:rPr>
      </w:pPr>
    </w:p>
    <w:p w14:paraId="4C7EBB0C">
      <w:pPr>
        <w:pStyle w:val="4"/>
        <w:spacing w:line="242" w:lineRule="auto"/>
        <w:rPr>
          <w:color w:val="auto"/>
          <w:highlight w:val="none"/>
        </w:rPr>
      </w:pPr>
    </w:p>
    <w:p w14:paraId="13672BA6">
      <w:pPr>
        <w:spacing w:before="101" w:line="225" w:lineRule="auto"/>
        <w:ind w:left="640"/>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项目名称：</w:t>
      </w:r>
    </w:p>
    <w:p w14:paraId="103C9F14">
      <w:pPr>
        <w:pStyle w:val="4"/>
        <w:spacing w:line="328" w:lineRule="auto"/>
        <w:rPr>
          <w:color w:val="auto"/>
          <w:highlight w:val="none"/>
        </w:rPr>
      </w:pPr>
    </w:p>
    <w:p w14:paraId="42C8C672">
      <w:pPr>
        <w:pStyle w:val="4"/>
        <w:spacing w:line="328" w:lineRule="auto"/>
        <w:rPr>
          <w:color w:val="auto"/>
          <w:highlight w:val="none"/>
        </w:rPr>
      </w:pPr>
    </w:p>
    <w:p w14:paraId="54A08DDD">
      <w:pPr>
        <w:spacing w:before="100" w:line="225" w:lineRule="auto"/>
        <w:ind w:left="640"/>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项目编号：</w:t>
      </w:r>
    </w:p>
    <w:p w14:paraId="3F96162F">
      <w:pPr>
        <w:pStyle w:val="4"/>
        <w:spacing w:line="330" w:lineRule="auto"/>
        <w:rPr>
          <w:color w:val="auto"/>
          <w:highlight w:val="none"/>
        </w:rPr>
      </w:pPr>
    </w:p>
    <w:p w14:paraId="414FFD12">
      <w:pPr>
        <w:pStyle w:val="4"/>
        <w:spacing w:line="330" w:lineRule="auto"/>
        <w:rPr>
          <w:color w:val="auto"/>
          <w:highlight w:val="none"/>
        </w:rPr>
      </w:pPr>
    </w:p>
    <w:p w14:paraId="697819BD">
      <w:pPr>
        <w:spacing w:before="101" w:line="225" w:lineRule="auto"/>
        <w:ind w:right="46"/>
        <w:jc w:val="right"/>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所竞分标（如有则填写，无分标时填写“无</w:t>
      </w:r>
      <w:r>
        <w:rPr>
          <w:rFonts w:ascii="宋体" w:hAnsi="宋体" w:eastAsia="宋体" w:cs="宋体"/>
          <w:color w:val="auto"/>
          <w:spacing w:val="-111"/>
          <w:sz w:val="31"/>
          <w:szCs w:val="31"/>
          <w:highlight w:val="none"/>
        </w:rPr>
        <w:t xml:space="preserve"> </w:t>
      </w:r>
      <w:r>
        <w:rPr>
          <w:rFonts w:ascii="宋体" w:hAnsi="宋体" w:eastAsia="宋体" w:cs="宋体"/>
          <w:color w:val="auto"/>
          <w:spacing w:val="7"/>
          <w:sz w:val="31"/>
          <w:szCs w:val="31"/>
          <w:highlight w:val="none"/>
        </w:rPr>
        <w:t>”或者留空）：</w:t>
      </w:r>
    </w:p>
    <w:p w14:paraId="38506EC2">
      <w:pPr>
        <w:pStyle w:val="4"/>
        <w:spacing w:line="277" w:lineRule="auto"/>
        <w:rPr>
          <w:color w:val="auto"/>
          <w:highlight w:val="none"/>
        </w:rPr>
      </w:pPr>
    </w:p>
    <w:p w14:paraId="47E64D8B">
      <w:pPr>
        <w:pStyle w:val="4"/>
        <w:spacing w:line="277" w:lineRule="auto"/>
        <w:rPr>
          <w:color w:val="auto"/>
          <w:highlight w:val="none"/>
        </w:rPr>
      </w:pPr>
    </w:p>
    <w:p w14:paraId="7FFF0135">
      <w:pPr>
        <w:spacing w:before="101" w:line="224" w:lineRule="auto"/>
        <w:ind w:left="635"/>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供应商名称：</w:t>
      </w:r>
    </w:p>
    <w:p w14:paraId="068724C5">
      <w:pPr>
        <w:pStyle w:val="4"/>
        <w:spacing w:line="246" w:lineRule="auto"/>
        <w:rPr>
          <w:color w:val="auto"/>
          <w:highlight w:val="none"/>
        </w:rPr>
      </w:pPr>
    </w:p>
    <w:p w14:paraId="0F11FBEA">
      <w:pPr>
        <w:pStyle w:val="4"/>
        <w:spacing w:line="246" w:lineRule="auto"/>
        <w:rPr>
          <w:color w:val="auto"/>
          <w:highlight w:val="none"/>
        </w:rPr>
      </w:pPr>
    </w:p>
    <w:p w14:paraId="3E91E823">
      <w:pPr>
        <w:pStyle w:val="4"/>
        <w:spacing w:line="246" w:lineRule="auto"/>
        <w:rPr>
          <w:color w:val="auto"/>
          <w:highlight w:val="none"/>
        </w:rPr>
      </w:pPr>
    </w:p>
    <w:p w14:paraId="6B40CD85">
      <w:pPr>
        <w:pStyle w:val="4"/>
        <w:spacing w:line="247" w:lineRule="auto"/>
        <w:rPr>
          <w:color w:val="auto"/>
          <w:highlight w:val="none"/>
        </w:rPr>
      </w:pPr>
    </w:p>
    <w:p w14:paraId="5CAE4466">
      <w:pPr>
        <w:pStyle w:val="4"/>
        <w:spacing w:line="247" w:lineRule="auto"/>
        <w:rPr>
          <w:color w:val="auto"/>
          <w:highlight w:val="none"/>
        </w:rPr>
      </w:pPr>
    </w:p>
    <w:p w14:paraId="7425B025">
      <w:pPr>
        <w:pStyle w:val="4"/>
        <w:spacing w:line="247" w:lineRule="auto"/>
        <w:rPr>
          <w:color w:val="auto"/>
          <w:highlight w:val="none"/>
        </w:rPr>
      </w:pPr>
    </w:p>
    <w:p w14:paraId="75220EEA">
      <w:pPr>
        <w:spacing w:before="101" w:line="225" w:lineRule="auto"/>
        <w:ind w:left="3696"/>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年</w:t>
      </w:r>
      <w:r>
        <w:rPr>
          <w:rFonts w:ascii="宋体" w:hAnsi="宋体" w:eastAsia="宋体" w:cs="宋体"/>
          <w:color w:val="auto"/>
          <w:spacing w:val="10"/>
          <w:sz w:val="31"/>
          <w:szCs w:val="31"/>
          <w:highlight w:val="none"/>
        </w:rPr>
        <w:t xml:space="preserve">    </w:t>
      </w:r>
      <w:r>
        <w:rPr>
          <w:rFonts w:ascii="宋体" w:hAnsi="宋体" w:eastAsia="宋体" w:cs="宋体"/>
          <w:color w:val="auto"/>
          <w:spacing w:val="-6"/>
          <w:sz w:val="31"/>
          <w:szCs w:val="31"/>
          <w:highlight w:val="none"/>
        </w:rPr>
        <w:t>月</w:t>
      </w:r>
      <w:r>
        <w:rPr>
          <w:rFonts w:ascii="宋体" w:hAnsi="宋体" w:eastAsia="宋体" w:cs="宋体"/>
          <w:color w:val="auto"/>
          <w:spacing w:val="22"/>
          <w:sz w:val="31"/>
          <w:szCs w:val="31"/>
          <w:highlight w:val="none"/>
        </w:rPr>
        <w:t xml:space="preserve">    </w:t>
      </w:r>
      <w:r>
        <w:rPr>
          <w:rFonts w:ascii="宋体" w:hAnsi="宋体" w:eastAsia="宋体" w:cs="宋体"/>
          <w:color w:val="auto"/>
          <w:spacing w:val="-6"/>
          <w:sz w:val="31"/>
          <w:szCs w:val="31"/>
          <w:highlight w:val="none"/>
        </w:rPr>
        <w:t>日</w:t>
      </w:r>
    </w:p>
    <w:p w14:paraId="57140AEA">
      <w:pPr>
        <w:spacing w:line="225" w:lineRule="auto"/>
        <w:rPr>
          <w:rFonts w:ascii="宋体" w:hAnsi="宋体" w:eastAsia="宋体" w:cs="宋体"/>
          <w:color w:val="auto"/>
          <w:sz w:val="31"/>
          <w:szCs w:val="31"/>
          <w:highlight w:val="none"/>
        </w:rPr>
        <w:sectPr>
          <w:footerReference r:id="rId38" w:type="default"/>
          <w:pgSz w:w="11906" w:h="16839"/>
          <w:pgMar w:top="1146" w:right="1785" w:bottom="1362" w:left="1150" w:header="0" w:footer="1200" w:gutter="0"/>
          <w:pgNumType w:fmt="decimal"/>
          <w:cols w:space="720" w:num="1"/>
        </w:sectPr>
      </w:pPr>
    </w:p>
    <w:p w14:paraId="0B213D80">
      <w:pPr>
        <w:spacing w:before="64" w:line="223" w:lineRule="auto"/>
        <w:ind w:left="145"/>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2.</w:t>
      </w:r>
      <w:r>
        <w:rPr>
          <w:rFonts w:hint="eastAsia" w:ascii="宋体" w:hAnsi="宋体" w:eastAsia="宋体" w:cs="宋体"/>
          <w:b/>
          <w:bCs/>
          <w:color w:val="auto"/>
          <w:spacing w:val="5"/>
          <w:sz w:val="31"/>
          <w:szCs w:val="31"/>
          <w:highlight w:val="none"/>
          <w:lang w:val="en-US" w:eastAsia="zh-CN"/>
        </w:rPr>
        <w:t>商务</w:t>
      </w:r>
      <w:r>
        <w:rPr>
          <w:rFonts w:ascii="宋体" w:hAnsi="宋体" w:eastAsia="宋体" w:cs="宋体"/>
          <w:b/>
          <w:bCs/>
          <w:color w:val="auto"/>
          <w:spacing w:val="5"/>
          <w:sz w:val="31"/>
          <w:szCs w:val="31"/>
          <w:highlight w:val="none"/>
        </w:rPr>
        <w:t>文件目录</w:t>
      </w:r>
    </w:p>
    <w:p w14:paraId="0D3DA020">
      <w:pPr>
        <w:pStyle w:val="4"/>
        <w:spacing w:line="300" w:lineRule="auto"/>
        <w:rPr>
          <w:color w:val="auto"/>
          <w:highlight w:val="none"/>
        </w:rPr>
      </w:pPr>
    </w:p>
    <w:p w14:paraId="08860CEE">
      <w:pPr>
        <w:spacing w:before="101" w:line="357" w:lineRule="auto"/>
        <w:ind w:firstLine="638"/>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rPr>
        <w:t>根据磋商文件规定及供应商提供的材料自行编写目录</w:t>
      </w:r>
      <w:r>
        <w:rPr>
          <w:rFonts w:ascii="宋体" w:hAnsi="宋体" w:eastAsia="宋体" w:cs="宋体"/>
          <w:color w:val="auto"/>
          <w:spacing w:val="10"/>
          <w:sz w:val="31"/>
          <w:szCs w:val="31"/>
          <w:highlight w:val="none"/>
        </w:rPr>
        <w:t>（部分格式</w:t>
      </w:r>
      <w:r>
        <w:rPr>
          <w:rFonts w:ascii="宋体" w:hAnsi="宋体" w:eastAsia="宋体" w:cs="宋体"/>
          <w:color w:val="auto"/>
          <w:sz w:val="31"/>
          <w:szCs w:val="31"/>
          <w:highlight w:val="none"/>
        </w:rPr>
        <w:t xml:space="preserve"> 后附）。</w:t>
      </w:r>
    </w:p>
    <w:p w14:paraId="430596AF">
      <w:pPr>
        <w:spacing w:line="357" w:lineRule="auto"/>
        <w:rPr>
          <w:rFonts w:ascii="宋体" w:hAnsi="宋体" w:eastAsia="宋体" w:cs="宋体"/>
          <w:color w:val="auto"/>
          <w:sz w:val="31"/>
          <w:szCs w:val="31"/>
          <w:highlight w:val="none"/>
        </w:rPr>
        <w:sectPr>
          <w:footerReference r:id="rId39" w:type="default"/>
          <w:pgSz w:w="11906" w:h="16839"/>
          <w:pgMar w:top="1252" w:right="1135" w:bottom="1362" w:left="1147" w:header="0" w:footer="1200" w:gutter="0"/>
          <w:pgNumType w:fmt="decimal"/>
          <w:cols w:space="720" w:num="1"/>
        </w:sectPr>
      </w:pPr>
    </w:p>
    <w:p w14:paraId="30C43482">
      <w:pPr>
        <w:spacing w:before="63" w:line="225" w:lineRule="auto"/>
        <w:ind w:left="2918"/>
        <w:outlineLvl w:val="2"/>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1.无串通竞标行为的承诺函</w:t>
      </w:r>
    </w:p>
    <w:p w14:paraId="1D2B8DC3">
      <w:pPr>
        <w:pStyle w:val="4"/>
        <w:spacing w:line="433" w:lineRule="auto"/>
        <w:rPr>
          <w:color w:val="auto"/>
          <w:highlight w:val="none"/>
        </w:rPr>
      </w:pPr>
    </w:p>
    <w:p w14:paraId="0F3A3EF2">
      <w:pPr>
        <w:spacing w:before="78" w:line="219" w:lineRule="auto"/>
        <w:ind w:left="483"/>
        <w:outlineLvl w:val="9"/>
        <w:rPr>
          <w:rFonts w:ascii="宋体" w:hAnsi="宋体" w:eastAsia="宋体" w:cs="宋体"/>
          <w:color w:val="auto"/>
          <w:sz w:val="24"/>
          <w:szCs w:val="24"/>
          <w:highlight w:val="none"/>
        </w:rPr>
      </w:pPr>
      <w:bookmarkStart w:id="60" w:name="_Toc27806"/>
      <w:r>
        <w:rPr>
          <w:rFonts w:ascii="宋体" w:hAnsi="宋体" w:eastAsia="宋体" w:cs="宋体"/>
          <w:b/>
          <w:bCs/>
          <w:color w:val="auto"/>
          <w:spacing w:val="-3"/>
          <w:sz w:val="24"/>
          <w:szCs w:val="24"/>
          <w:highlight w:val="none"/>
        </w:rPr>
        <w:t>一、我方承诺无下列相互串通竞标的情形：</w:t>
      </w:r>
      <w:bookmarkEnd w:id="60"/>
    </w:p>
    <w:p w14:paraId="57EDD302">
      <w:pPr>
        <w:spacing w:before="182" w:line="348" w:lineRule="auto"/>
        <w:ind w:left="19" w:right="12" w:firstLine="47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1.不同供应商的响应文件由同一单位或者个人编制；或者不同供应商报</w:t>
      </w:r>
      <w:bookmarkStart w:id="75" w:name="_GoBack"/>
      <w:bookmarkEnd w:id="75"/>
      <w:r>
        <w:rPr>
          <w:rFonts w:ascii="宋体" w:hAnsi="宋体" w:eastAsia="宋体" w:cs="宋体"/>
          <w:color w:val="auto"/>
          <w:spacing w:val="-4"/>
          <w:sz w:val="24"/>
          <w:szCs w:val="24"/>
          <w:highlight w:val="none"/>
        </w:rPr>
        <w:t>名的</w:t>
      </w:r>
      <w:r>
        <w:rPr>
          <w:rFonts w:ascii="宋体" w:hAnsi="宋体" w:eastAsia="宋体" w:cs="宋体"/>
          <w:color w:val="auto"/>
          <w:spacing w:val="-20"/>
          <w:sz w:val="24"/>
          <w:szCs w:val="24"/>
          <w:highlight w:val="none"/>
        </w:rPr>
        <w:t xml:space="preserve"> </w:t>
      </w:r>
      <w:r>
        <w:rPr>
          <w:rFonts w:ascii="宋体" w:hAnsi="宋体" w:eastAsia="宋体" w:cs="宋体"/>
          <w:color w:val="auto"/>
          <w:spacing w:val="-4"/>
          <w:sz w:val="24"/>
          <w:szCs w:val="24"/>
          <w:highlight w:val="none"/>
        </w:rPr>
        <w:t>IP</w:t>
      </w:r>
      <w:r>
        <w:rPr>
          <w:rFonts w:ascii="宋体" w:hAnsi="宋体" w:eastAsia="宋体" w:cs="宋体"/>
          <w:color w:val="auto"/>
          <w:spacing w:val="-50"/>
          <w:sz w:val="24"/>
          <w:szCs w:val="24"/>
          <w:highlight w:val="none"/>
        </w:rPr>
        <w:t xml:space="preserve"> </w:t>
      </w:r>
      <w:r>
        <w:rPr>
          <w:rFonts w:ascii="宋体" w:hAnsi="宋体" w:eastAsia="宋体" w:cs="宋体"/>
          <w:color w:val="auto"/>
          <w:spacing w:val="-4"/>
          <w:sz w:val="24"/>
          <w:szCs w:val="24"/>
          <w:highlight w:val="none"/>
        </w:rPr>
        <w:t>地址一致</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的；</w:t>
      </w:r>
    </w:p>
    <w:p w14:paraId="197B2268">
      <w:pPr>
        <w:spacing w:before="31" w:line="219"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2.不同供应商委托同一单位或者个人办理竞标事宜；</w:t>
      </w:r>
    </w:p>
    <w:p w14:paraId="620C45E1">
      <w:pPr>
        <w:spacing w:before="183" w:line="219"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3.不同供应商的响应文件载明的项目管理员为同一个人；</w:t>
      </w:r>
    </w:p>
    <w:p w14:paraId="7393BF32">
      <w:pPr>
        <w:spacing w:before="184" w:line="346" w:lineRule="auto"/>
        <w:ind w:left="484" w:right="2811" w:hanging="5"/>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4.不同供应商的响应文件异常一致或者竞标报价呈规律性差异；</w:t>
      </w:r>
      <w:r>
        <w:rPr>
          <w:rFonts w:ascii="宋体" w:hAnsi="宋体" w:eastAsia="宋体" w:cs="宋体"/>
          <w:color w:val="auto"/>
          <w:spacing w:val="6"/>
          <w:sz w:val="24"/>
          <w:szCs w:val="24"/>
          <w:highlight w:val="none"/>
        </w:rPr>
        <w:t xml:space="preserve"> </w:t>
      </w:r>
      <w:r>
        <w:rPr>
          <w:rFonts w:ascii="宋体" w:hAnsi="宋体" w:eastAsia="宋体" w:cs="宋体"/>
          <w:color w:val="auto"/>
          <w:spacing w:val="-1"/>
          <w:sz w:val="24"/>
          <w:szCs w:val="24"/>
          <w:highlight w:val="none"/>
        </w:rPr>
        <w:t>5.不同供应商的响应文件相互混装；</w:t>
      </w:r>
    </w:p>
    <w:p w14:paraId="68CB4BC7">
      <w:pPr>
        <w:spacing w:before="35" w:line="219"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6.不同供应商的磋商保证金从同一单位或者个人账户转出。</w:t>
      </w:r>
    </w:p>
    <w:p w14:paraId="4A4B6D28">
      <w:pPr>
        <w:spacing w:before="184" w:line="219" w:lineRule="auto"/>
        <w:ind w:left="483"/>
        <w:outlineLvl w:val="9"/>
        <w:rPr>
          <w:rFonts w:ascii="宋体" w:hAnsi="宋体" w:eastAsia="宋体" w:cs="宋体"/>
          <w:color w:val="auto"/>
          <w:sz w:val="24"/>
          <w:szCs w:val="24"/>
          <w:highlight w:val="none"/>
        </w:rPr>
      </w:pPr>
      <w:bookmarkStart w:id="61" w:name="_Toc19005"/>
      <w:r>
        <w:rPr>
          <w:rFonts w:ascii="宋体" w:hAnsi="宋体" w:eastAsia="宋体" w:cs="宋体"/>
          <w:b/>
          <w:bCs/>
          <w:color w:val="auto"/>
          <w:spacing w:val="-3"/>
          <w:sz w:val="24"/>
          <w:szCs w:val="24"/>
          <w:highlight w:val="none"/>
        </w:rPr>
        <w:t>二、我方承诺无下列恶意串通的情形：</w:t>
      </w:r>
      <w:bookmarkEnd w:id="61"/>
    </w:p>
    <w:p w14:paraId="2D998392">
      <w:pPr>
        <w:spacing w:before="182" w:line="347" w:lineRule="auto"/>
        <w:ind w:right="12" w:firstLine="496"/>
        <w:rPr>
          <w:rFonts w:ascii="宋体" w:hAnsi="宋体" w:eastAsia="宋体" w:cs="宋体"/>
          <w:color w:val="auto"/>
          <w:sz w:val="24"/>
          <w:szCs w:val="24"/>
          <w:highlight w:val="none"/>
        </w:rPr>
      </w:pPr>
      <w:r>
        <w:rPr>
          <w:rFonts w:ascii="宋体" w:hAnsi="宋体" w:eastAsia="宋体" w:cs="宋体"/>
          <w:color w:val="auto"/>
          <w:sz w:val="24"/>
          <w:szCs w:val="24"/>
          <w:highlight w:val="none"/>
        </w:rPr>
        <w:t>1.供应商直接或者间接从采购人或者采购代理机构处获得其他供应商的相关信息并修改</w:t>
      </w:r>
      <w:r>
        <w:rPr>
          <w:rFonts w:ascii="宋体" w:hAnsi="宋体" w:eastAsia="宋体" w:cs="宋体"/>
          <w:color w:val="auto"/>
          <w:spacing w:val="10"/>
          <w:sz w:val="24"/>
          <w:szCs w:val="24"/>
          <w:highlight w:val="none"/>
        </w:rPr>
        <w:t xml:space="preserve"> </w:t>
      </w:r>
      <w:r>
        <w:rPr>
          <w:rFonts w:ascii="宋体" w:hAnsi="宋体" w:eastAsia="宋体" w:cs="宋体"/>
          <w:color w:val="auto"/>
          <w:spacing w:val="-2"/>
          <w:sz w:val="24"/>
          <w:szCs w:val="24"/>
          <w:highlight w:val="none"/>
        </w:rPr>
        <w:t>其响应文件；</w:t>
      </w:r>
    </w:p>
    <w:p w14:paraId="2CD1C544">
      <w:pPr>
        <w:spacing w:before="35" w:line="346" w:lineRule="auto"/>
        <w:ind w:left="483" w:right="2031" w:hanging="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2.供应商按照采购人或者采购代理机构的授意撤换、修改响应文件；</w:t>
      </w:r>
      <w:r>
        <w:rPr>
          <w:rFonts w:ascii="宋体" w:hAnsi="宋体" w:eastAsia="宋体" w:cs="宋体"/>
          <w:color w:val="auto"/>
          <w:spacing w:val="18"/>
          <w:sz w:val="24"/>
          <w:szCs w:val="24"/>
          <w:highlight w:val="none"/>
        </w:rPr>
        <w:t xml:space="preserve"> </w:t>
      </w:r>
      <w:r>
        <w:rPr>
          <w:rFonts w:ascii="宋体" w:hAnsi="宋体" w:eastAsia="宋体" w:cs="宋体"/>
          <w:color w:val="auto"/>
          <w:spacing w:val="-11"/>
          <w:sz w:val="24"/>
          <w:szCs w:val="24"/>
          <w:highlight w:val="none"/>
        </w:rPr>
        <w:t>3.供应商之间协商报价、技术方案等响应文件的实质性内容；</w:t>
      </w:r>
    </w:p>
    <w:p w14:paraId="39E4B618">
      <w:pPr>
        <w:spacing w:before="36" w:line="347" w:lineRule="auto"/>
        <w:ind w:right="12"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4.属于同一集团、协会、商会等组织成员的供应商按照该组织</w:t>
      </w:r>
      <w:r>
        <w:rPr>
          <w:rFonts w:ascii="宋体" w:hAnsi="宋体" w:eastAsia="宋体" w:cs="宋体"/>
          <w:color w:val="auto"/>
          <w:sz w:val="24"/>
          <w:szCs w:val="24"/>
          <w:highlight w:val="none"/>
        </w:rPr>
        <w:t xml:space="preserve">要求协同参加政府采购活 </w:t>
      </w:r>
      <w:r>
        <w:rPr>
          <w:rFonts w:ascii="宋体" w:hAnsi="宋体" w:eastAsia="宋体" w:cs="宋体"/>
          <w:color w:val="auto"/>
          <w:spacing w:val="-6"/>
          <w:sz w:val="24"/>
          <w:szCs w:val="24"/>
          <w:highlight w:val="none"/>
        </w:rPr>
        <w:t>动；</w:t>
      </w:r>
    </w:p>
    <w:p w14:paraId="0AE89282">
      <w:pPr>
        <w:spacing w:before="34" w:line="346" w:lineRule="auto"/>
        <w:ind w:right="12"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5.供应商之间事先约定一致抬高或者压低竞标报价</w:t>
      </w:r>
      <w:r>
        <w:rPr>
          <w:rFonts w:ascii="宋体" w:hAnsi="宋体" w:eastAsia="宋体" w:cs="宋体"/>
          <w:color w:val="auto"/>
          <w:sz w:val="24"/>
          <w:szCs w:val="24"/>
          <w:highlight w:val="none"/>
        </w:rPr>
        <w:t>，或者在竞争性磋商项目中事先约定 轮流以高价位或者低价位成交，或者事先约定由某一特定供应商</w:t>
      </w:r>
      <w:r>
        <w:rPr>
          <w:rFonts w:ascii="宋体" w:hAnsi="宋体" w:eastAsia="宋体" w:cs="宋体"/>
          <w:color w:val="auto"/>
          <w:spacing w:val="-1"/>
          <w:sz w:val="24"/>
          <w:szCs w:val="24"/>
          <w:highlight w:val="none"/>
        </w:rPr>
        <w:t>成交，然后再参加竞标；</w:t>
      </w:r>
    </w:p>
    <w:p w14:paraId="50180192">
      <w:pPr>
        <w:spacing w:before="36" w:line="219"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6.供应商之间商定部分供应商放弃参加政府采购活动或者放弃成交；</w:t>
      </w:r>
    </w:p>
    <w:p w14:paraId="054CE635">
      <w:pPr>
        <w:spacing w:before="185" w:line="346" w:lineRule="auto"/>
        <w:ind w:firstLine="48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7.供应商与采购人或者采购代理机构之间、供应商相互之间，为谋求特定供</w:t>
      </w:r>
      <w:r>
        <w:rPr>
          <w:rFonts w:ascii="宋体" w:hAnsi="宋体" w:eastAsia="宋体" w:cs="宋体"/>
          <w:color w:val="auto"/>
          <w:spacing w:val="-6"/>
          <w:sz w:val="24"/>
          <w:szCs w:val="24"/>
          <w:highlight w:val="none"/>
        </w:rPr>
        <w:t>应商成交或者</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排斥其他供应商的其他串通行为。</w:t>
      </w:r>
    </w:p>
    <w:p w14:paraId="754F3653">
      <w:pPr>
        <w:pStyle w:val="4"/>
        <w:spacing w:line="422" w:lineRule="auto"/>
        <w:rPr>
          <w:color w:val="auto"/>
          <w:highlight w:val="none"/>
        </w:rPr>
      </w:pPr>
    </w:p>
    <w:p w14:paraId="7AD26752">
      <w:pPr>
        <w:spacing w:before="78" w:line="347" w:lineRule="auto"/>
        <w:ind w:right="14" w:firstLine="507"/>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以上情形一经核查属实，我方愿意承担一切后果，并不再寻求任何旨在减轻或者免除法</w:t>
      </w:r>
      <w:r>
        <w:rPr>
          <w:rFonts w:ascii="宋体" w:hAnsi="宋体" w:eastAsia="宋体" w:cs="宋体"/>
          <w:color w:val="auto"/>
          <w:spacing w:val="16"/>
          <w:sz w:val="24"/>
          <w:szCs w:val="24"/>
          <w:highlight w:val="none"/>
        </w:rPr>
        <w:t xml:space="preserve"> </w:t>
      </w:r>
      <w:r>
        <w:rPr>
          <w:rFonts w:ascii="宋体" w:hAnsi="宋体" w:eastAsia="宋体" w:cs="宋体"/>
          <w:b/>
          <w:bCs/>
          <w:color w:val="auto"/>
          <w:spacing w:val="-4"/>
          <w:sz w:val="24"/>
          <w:szCs w:val="24"/>
          <w:highlight w:val="none"/>
        </w:rPr>
        <w:t>律责任的辩解。</w:t>
      </w:r>
    </w:p>
    <w:p w14:paraId="1ED8F63C">
      <w:pPr>
        <w:pStyle w:val="4"/>
        <w:spacing w:line="248" w:lineRule="auto"/>
        <w:rPr>
          <w:color w:val="auto"/>
          <w:highlight w:val="none"/>
        </w:rPr>
      </w:pPr>
    </w:p>
    <w:p w14:paraId="425D853F">
      <w:pPr>
        <w:pStyle w:val="4"/>
        <w:spacing w:line="249" w:lineRule="auto"/>
        <w:rPr>
          <w:color w:val="auto"/>
          <w:highlight w:val="none"/>
        </w:rPr>
      </w:pPr>
    </w:p>
    <w:p w14:paraId="3C4A08B1">
      <w:pPr>
        <w:spacing w:before="78" w:line="219" w:lineRule="auto"/>
        <w:ind w:left="336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供应商（盖公章</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u w:val="single" w:color="auto"/>
        </w:rPr>
        <w:t xml:space="preserve">                </w:t>
      </w:r>
    </w:p>
    <w:p w14:paraId="42EB8DBA">
      <w:pPr>
        <w:pStyle w:val="4"/>
        <w:spacing w:line="348" w:lineRule="auto"/>
        <w:rPr>
          <w:color w:val="auto"/>
          <w:highlight w:val="none"/>
        </w:rPr>
      </w:pPr>
    </w:p>
    <w:p w14:paraId="19423565">
      <w:pPr>
        <w:pStyle w:val="4"/>
        <w:spacing w:line="349" w:lineRule="auto"/>
        <w:rPr>
          <w:color w:val="auto"/>
          <w:highlight w:val="none"/>
        </w:rPr>
      </w:pPr>
    </w:p>
    <w:p w14:paraId="11D44386">
      <w:pPr>
        <w:spacing w:before="79" w:line="219" w:lineRule="auto"/>
        <w:ind w:left="6200"/>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9"/>
          <w:sz w:val="24"/>
          <w:szCs w:val="24"/>
          <w:highlight w:val="none"/>
        </w:rPr>
        <w:t>日</w:t>
      </w:r>
    </w:p>
    <w:p w14:paraId="1F4E5B80">
      <w:pPr>
        <w:spacing w:line="219" w:lineRule="auto"/>
        <w:rPr>
          <w:rFonts w:ascii="宋体" w:hAnsi="宋体" w:eastAsia="宋体" w:cs="宋体"/>
          <w:color w:val="auto"/>
          <w:sz w:val="24"/>
          <w:szCs w:val="24"/>
          <w:highlight w:val="none"/>
        </w:rPr>
        <w:sectPr>
          <w:footerReference r:id="rId40" w:type="default"/>
          <w:pgSz w:w="11906" w:h="16839"/>
          <w:pgMar w:top="1240" w:right="1122" w:bottom="1362" w:left="1142" w:header="0" w:footer="1200" w:gutter="0"/>
          <w:pgNumType w:fmt="decimal"/>
          <w:cols w:space="720" w:num="1"/>
        </w:sectPr>
      </w:pPr>
    </w:p>
    <w:p w14:paraId="28DA7F38">
      <w:pPr>
        <w:spacing w:before="134" w:line="224" w:lineRule="auto"/>
        <w:ind w:left="3653"/>
        <w:outlineLvl w:val="2"/>
        <w:rPr>
          <w:rFonts w:ascii="宋体" w:hAnsi="宋体" w:eastAsia="宋体" w:cs="宋体"/>
          <w:color w:val="auto"/>
          <w:sz w:val="31"/>
          <w:szCs w:val="31"/>
          <w:highlight w:val="none"/>
        </w:rPr>
      </w:pPr>
      <w:r>
        <w:rPr>
          <w:rFonts w:hint="eastAsia" w:ascii="宋体" w:hAnsi="宋体" w:eastAsia="宋体" w:cs="宋体"/>
          <w:b/>
          <w:bCs/>
          <w:color w:val="auto"/>
          <w:spacing w:val="4"/>
          <w:sz w:val="31"/>
          <w:szCs w:val="31"/>
          <w:highlight w:val="none"/>
          <w:lang w:val="en-US" w:eastAsia="zh-CN"/>
        </w:rPr>
        <w:t>2</w:t>
      </w:r>
      <w:r>
        <w:rPr>
          <w:rFonts w:ascii="宋体" w:hAnsi="宋体" w:eastAsia="宋体" w:cs="宋体"/>
          <w:b/>
          <w:bCs/>
          <w:color w:val="auto"/>
          <w:spacing w:val="4"/>
          <w:sz w:val="31"/>
          <w:szCs w:val="31"/>
          <w:highlight w:val="none"/>
        </w:rPr>
        <w:t>.法定代表人证明书</w:t>
      </w:r>
    </w:p>
    <w:p w14:paraId="6F26E764">
      <w:pPr>
        <w:pStyle w:val="4"/>
        <w:spacing w:line="356" w:lineRule="auto"/>
        <w:rPr>
          <w:color w:val="auto"/>
          <w:highlight w:val="none"/>
        </w:rPr>
      </w:pPr>
    </w:p>
    <w:p w14:paraId="5A6A9397">
      <w:pPr>
        <w:pStyle w:val="4"/>
        <w:spacing w:line="356" w:lineRule="auto"/>
        <w:rPr>
          <w:color w:val="auto"/>
          <w:highlight w:val="none"/>
        </w:rPr>
      </w:pPr>
    </w:p>
    <w:p w14:paraId="11BACF4C">
      <w:pPr>
        <w:spacing w:before="78" w:line="351" w:lineRule="auto"/>
        <w:ind w:left="540" w:right="900"/>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供应商名称：</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17"/>
          <w:sz w:val="24"/>
          <w:szCs w:val="24"/>
          <w:highlight w:val="none"/>
        </w:rPr>
        <w:t>地</w:t>
      </w:r>
      <w:r>
        <w:rPr>
          <w:rFonts w:ascii="宋体" w:hAnsi="宋体" w:eastAsia="宋体" w:cs="宋体"/>
          <w:color w:val="auto"/>
          <w:spacing w:val="2"/>
          <w:sz w:val="24"/>
          <w:szCs w:val="24"/>
          <w:highlight w:val="none"/>
        </w:rPr>
        <w:t xml:space="preserve">    </w:t>
      </w:r>
      <w:r>
        <w:rPr>
          <w:rFonts w:ascii="宋体" w:hAnsi="宋体" w:eastAsia="宋体" w:cs="宋体"/>
          <w:color w:val="auto"/>
          <w:spacing w:val="-17"/>
          <w:sz w:val="24"/>
          <w:szCs w:val="24"/>
          <w:highlight w:val="none"/>
        </w:rPr>
        <w:t>址</w:t>
      </w:r>
      <w:r>
        <w:rPr>
          <w:rFonts w:ascii="宋体" w:hAnsi="宋体" w:eastAsia="宋体" w:cs="宋体"/>
          <w:color w:val="auto"/>
          <w:spacing w:val="-89"/>
          <w:sz w:val="24"/>
          <w:szCs w:val="24"/>
          <w:highlight w:val="none"/>
        </w:rPr>
        <w:t xml:space="preserve"> </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u w:val="single" w:color="auto"/>
        </w:rPr>
        <w:t xml:space="preserve">                                                        </w:t>
      </w:r>
    </w:p>
    <w:p w14:paraId="31EE2B80">
      <w:pPr>
        <w:spacing w:before="22" w:line="219" w:lineRule="auto"/>
        <w:ind w:left="540"/>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姓</w:t>
      </w:r>
      <w:r>
        <w:rPr>
          <w:rFonts w:ascii="宋体" w:hAnsi="宋体" w:eastAsia="宋体" w:cs="宋体"/>
          <w:color w:val="auto"/>
          <w:spacing w:val="3"/>
          <w:sz w:val="24"/>
          <w:szCs w:val="24"/>
          <w:highlight w:val="none"/>
        </w:rPr>
        <w:t xml:space="preserve">    </w:t>
      </w:r>
      <w:r>
        <w:rPr>
          <w:rFonts w:ascii="宋体" w:hAnsi="宋体" w:eastAsia="宋体" w:cs="宋体"/>
          <w:color w:val="auto"/>
          <w:spacing w:val="-18"/>
          <w:sz w:val="24"/>
          <w:szCs w:val="24"/>
          <w:highlight w:val="none"/>
        </w:rPr>
        <w:t>名</w:t>
      </w:r>
      <w:r>
        <w:rPr>
          <w:rFonts w:ascii="宋体" w:hAnsi="宋体" w:eastAsia="宋体" w:cs="宋体"/>
          <w:color w:val="auto"/>
          <w:spacing w:val="-90"/>
          <w:sz w:val="24"/>
          <w:szCs w:val="24"/>
          <w:highlight w:val="none"/>
        </w:rPr>
        <w:t xml:space="preserve"> </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8"/>
          <w:sz w:val="24"/>
          <w:szCs w:val="24"/>
          <w:highlight w:val="none"/>
        </w:rPr>
        <w:t>性</w:t>
      </w:r>
      <w:r>
        <w:rPr>
          <w:rFonts w:ascii="宋体" w:hAnsi="宋体" w:eastAsia="宋体" w:cs="宋体"/>
          <w:color w:val="auto"/>
          <w:spacing w:val="2"/>
          <w:sz w:val="24"/>
          <w:szCs w:val="24"/>
          <w:highlight w:val="none"/>
        </w:rPr>
        <w:t xml:space="preserve">     </w:t>
      </w:r>
      <w:r>
        <w:rPr>
          <w:rFonts w:ascii="宋体" w:hAnsi="宋体" w:eastAsia="宋体" w:cs="宋体"/>
          <w:color w:val="auto"/>
          <w:spacing w:val="-18"/>
          <w:sz w:val="24"/>
          <w:szCs w:val="24"/>
          <w:highlight w:val="none"/>
        </w:rPr>
        <w:t>别</w:t>
      </w:r>
      <w:r>
        <w:rPr>
          <w:rFonts w:ascii="宋体" w:hAnsi="宋体" w:eastAsia="宋体" w:cs="宋体"/>
          <w:color w:val="auto"/>
          <w:spacing w:val="-89"/>
          <w:sz w:val="24"/>
          <w:szCs w:val="24"/>
          <w:highlight w:val="none"/>
        </w:rPr>
        <w:t xml:space="preserve"> </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u w:val="single" w:color="auto"/>
        </w:rPr>
        <w:t xml:space="preserve">                </w:t>
      </w:r>
    </w:p>
    <w:p w14:paraId="1E2AB8F0">
      <w:pPr>
        <w:spacing w:before="183" w:line="219" w:lineRule="auto"/>
        <w:ind w:left="541"/>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10"/>
          <w:sz w:val="24"/>
          <w:szCs w:val="24"/>
          <w:highlight w:val="none"/>
        </w:rPr>
        <w:t>龄</w:t>
      </w:r>
      <w:r>
        <w:rPr>
          <w:rFonts w:ascii="宋体" w:hAnsi="宋体" w:eastAsia="宋体" w:cs="宋体"/>
          <w:color w:val="auto"/>
          <w:spacing w:val="-87"/>
          <w:sz w:val="24"/>
          <w:szCs w:val="24"/>
          <w:highlight w:val="none"/>
        </w:rPr>
        <w:t xml:space="preserve"> </w:t>
      </w:r>
      <w:r>
        <w:rPr>
          <w:rFonts w:ascii="宋体" w:hAnsi="宋体" w:eastAsia="宋体" w:cs="宋体"/>
          <w:color w:val="auto"/>
          <w:spacing w:val="-10"/>
          <w:sz w:val="24"/>
          <w:szCs w:val="24"/>
          <w:highlight w:val="none"/>
        </w:rPr>
        <w:t>：</w:t>
      </w:r>
      <w:r>
        <w:rPr>
          <w:rFonts w:ascii="宋体" w:hAnsi="宋体" w:eastAsia="宋体" w:cs="宋体"/>
          <w:color w:val="auto"/>
          <w:spacing w:val="-10"/>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0"/>
          <w:sz w:val="24"/>
          <w:szCs w:val="24"/>
          <w:highlight w:val="none"/>
        </w:rPr>
        <w:t>职</w:t>
      </w:r>
      <w:r>
        <w:rPr>
          <w:rFonts w:ascii="宋体" w:hAnsi="宋体" w:eastAsia="宋体" w:cs="宋体"/>
          <w:color w:val="auto"/>
          <w:spacing w:val="2"/>
          <w:sz w:val="24"/>
          <w:szCs w:val="24"/>
          <w:highlight w:val="none"/>
        </w:rPr>
        <w:t xml:space="preserve">     </w:t>
      </w:r>
      <w:r>
        <w:rPr>
          <w:rFonts w:ascii="宋体" w:hAnsi="宋体" w:eastAsia="宋体" w:cs="宋体"/>
          <w:color w:val="auto"/>
          <w:spacing w:val="-10"/>
          <w:sz w:val="24"/>
          <w:szCs w:val="24"/>
          <w:highlight w:val="none"/>
        </w:rPr>
        <w:t>务</w:t>
      </w:r>
      <w:r>
        <w:rPr>
          <w:rFonts w:ascii="宋体" w:hAnsi="宋体" w:eastAsia="宋体" w:cs="宋体"/>
          <w:color w:val="auto"/>
          <w:spacing w:val="-89"/>
          <w:sz w:val="24"/>
          <w:szCs w:val="24"/>
          <w:highlight w:val="none"/>
        </w:rPr>
        <w:t xml:space="preserve"> </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u w:val="single" w:color="auto"/>
        </w:rPr>
        <w:t xml:space="preserve">                </w:t>
      </w:r>
    </w:p>
    <w:p w14:paraId="258D24B4">
      <w:pPr>
        <w:spacing w:before="183" w:line="346" w:lineRule="auto"/>
        <w:ind w:left="485" w:right="2820" w:firstLine="61"/>
        <w:rPr>
          <w:rFonts w:ascii="宋体" w:hAnsi="宋体" w:eastAsia="宋体" w:cs="宋体"/>
          <w:color w:val="auto"/>
          <w:sz w:val="24"/>
          <w:szCs w:val="24"/>
          <w:highlight w:val="none"/>
        </w:rPr>
      </w:pPr>
      <w:r>
        <w:rPr>
          <w:rFonts w:ascii="宋体" w:hAnsi="宋体" w:eastAsia="宋体" w:cs="宋体"/>
          <w:color w:val="auto"/>
          <w:sz w:val="24"/>
          <w:szCs w:val="24"/>
          <w:highlight w:val="none"/>
        </w:rPr>
        <w:t>身份证号码：</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系</w:t>
      </w:r>
      <w:r>
        <w:rPr>
          <w:rFonts w:ascii="宋体" w:hAnsi="宋体" w:eastAsia="宋体" w:cs="宋体"/>
          <w:color w:val="auto"/>
          <w:spacing w:val="-1"/>
          <w:sz w:val="24"/>
          <w:szCs w:val="24"/>
          <w:highlight w:val="none"/>
          <w:u w:val="single" w:color="auto"/>
        </w:rPr>
        <w:t>（供应商名称）</w:t>
      </w:r>
      <w:r>
        <w:rPr>
          <w:rFonts w:ascii="宋体" w:hAnsi="宋体" w:eastAsia="宋体" w:cs="宋体"/>
          <w:color w:val="auto"/>
          <w:spacing w:val="-1"/>
          <w:sz w:val="24"/>
          <w:szCs w:val="24"/>
          <w:highlight w:val="none"/>
        </w:rPr>
        <w:t>的法定代表人。</w:t>
      </w:r>
    </w:p>
    <w:p w14:paraId="0ACB0645">
      <w:pPr>
        <w:spacing w:before="35" w:line="219" w:lineRule="auto"/>
        <w:ind w:left="54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特此证明。</w:t>
      </w:r>
    </w:p>
    <w:p w14:paraId="245F3B33">
      <w:pPr>
        <w:pStyle w:val="4"/>
        <w:spacing w:line="249" w:lineRule="auto"/>
        <w:rPr>
          <w:color w:val="auto"/>
          <w:highlight w:val="none"/>
        </w:rPr>
      </w:pPr>
    </w:p>
    <w:p w14:paraId="13931DEB">
      <w:pPr>
        <w:pStyle w:val="4"/>
        <w:spacing w:line="250" w:lineRule="auto"/>
        <w:rPr>
          <w:color w:val="auto"/>
          <w:highlight w:val="none"/>
        </w:rPr>
      </w:pPr>
    </w:p>
    <w:p w14:paraId="632BCFFE">
      <w:pPr>
        <w:pStyle w:val="4"/>
        <w:spacing w:line="250" w:lineRule="auto"/>
        <w:rPr>
          <w:color w:val="auto"/>
          <w:highlight w:val="none"/>
        </w:rPr>
      </w:pPr>
    </w:p>
    <w:p w14:paraId="7D50CE0D">
      <w:pPr>
        <w:pStyle w:val="4"/>
        <w:spacing w:line="250" w:lineRule="auto"/>
        <w:rPr>
          <w:color w:val="auto"/>
          <w:highlight w:val="none"/>
        </w:rPr>
      </w:pPr>
    </w:p>
    <w:p w14:paraId="1ED16367">
      <w:pPr>
        <w:pStyle w:val="4"/>
        <w:spacing w:line="250" w:lineRule="auto"/>
        <w:rPr>
          <w:color w:val="auto"/>
          <w:highlight w:val="none"/>
        </w:rPr>
      </w:pPr>
    </w:p>
    <w:p w14:paraId="676C5573">
      <w:pPr>
        <w:pStyle w:val="4"/>
        <w:spacing w:line="250" w:lineRule="auto"/>
        <w:rPr>
          <w:color w:val="auto"/>
          <w:highlight w:val="none"/>
        </w:rPr>
      </w:pPr>
    </w:p>
    <w:p w14:paraId="4E758C70">
      <w:pPr>
        <w:spacing w:before="79" w:line="219" w:lineRule="auto"/>
        <w:ind w:left="559"/>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附件：法定代表人有效身份证正反面复印件</w:t>
      </w:r>
    </w:p>
    <w:p w14:paraId="0EC0C8AB">
      <w:pPr>
        <w:pStyle w:val="4"/>
        <w:spacing w:line="284" w:lineRule="auto"/>
        <w:rPr>
          <w:color w:val="auto"/>
          <w:highlight w:val="none"/>
        </w:rPr>
      </w:pPr>
    </w:p>
    <w:p w14:paraId="0A0C72AF">
      <w:pPr>
        <w:pStyle w:val="4"/>
        <w:spacing w:line="285" w:lineRule="auto"/>
        <w:rPr>
          <w:color w:val="auto"/>
          <w:highlight w:val="none"/>
        </w:rPr>
      </w:pPr>
    </w:p>
    <w:p w14:paraId="01662EFF">
      <w:pPr>
        <w:spacing w:before="78" w:line="406" w:lineRule="auto"/>
        <w:ind w:left="5281" w:right="1629" w:hanging="127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供应商（盖公章</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rPr>
        <w:t xml:space="preserve"> </w:t>
      </w:r>
      <w:r>
        <w:rPr>
          <w:rFonts w:ascii="宋体" w:hAnsi="宋体" w:eastAsia="宋体" w:cs="宋体"/>
          <w:color w:val="auto"/>
          <w:spacing w:val="-9"/>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3"/>
          <w:sz w:val="24"/>
          <w:szCs w:val="24"/>
          <w:highlight w:val="none"/>
        </w:rPr>
        <w:t xml:space="preserve">    </w:t>
      </w:r>
      <w:r>
        <w:rPr>
          <w:rFonts w:ascii="宋体" w:hAnsi="宋体" w:eastAsia="宋体" w:cs="宋体"/>
          <w:color w:val="auto"/>
          <w:spacing w:val="-9"/>
          <w:sz w:val="24"/>
          <w:szCs w:val="24"/>
          <w:highlight w:val="none"/>
        </w:rPr>
        <w:t>日</w:t>
      </w:r>
    </w:p>
    <w:p w14:paraId="624105AE">
      <w:pPr>
        <w:pStyle w:val="4"/>
        <w:spacing w:line="251" w:lineRule="auto"/>
        <w:rPr>
          <w:color w:val="auto"/>
          <w:highlight w:val="none"/>
        </w:rPr>
      </w:pPr>
    </w:p>
    <w:p w14:paraId="0C84EF36">
      <w:pPr>
        <w:pStyle w:val="4"/>
        <w:spacing w:line="251" w:lineRule="auto"/>
        <w:rPr>
          <w:color w:val="auto"/>
          <w:highlight w:val="none"/>
        </w:rPr>
      </w:pPr>
    </w:p>
    <w:p w14:paraId="4A4DBDE1">
      <w:pPr>
        <w:pStyle w:val="4"/>
        <w:spacing w:line="252" w:lineRule="auto"/>
        <w:rPr>
          <w:color w:val="auto"/>
          <w:highlight w:val="none"/>
        </w:rPr>
      </w:pPr>
    </w:p>
    <w:p w14:paraId="2DF4CB1E">
      <w:pPr>
        <w:pStyle w:val="4"/>
        <w:spacing w:line="252" w:lineRule="auto"/>
        <w:rPr>
          <w:color w:val="auto"/>
          <w:highlight w:val="none"/>
        </w:rPr>
      </w:pPr>
    </w:p>
    <w:p w14:paraId="6B950A9B">
      <w:pPr>
        <w:pStyle w:val="4"/>
        <w:spacing w:line="252" w:lineRule="auto"/>
        <w:rPr>
          <w:color w:val="auto"/>
          <w:highlight w:val="none"/>
        </w:rPr>
      </w:pPr>
    </w:p>
    <w:p w14:paraId="3405987B">
      <w:pPr>
        <w:spacing w:before="79"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注：1.自然人竞标的无需提供，联合体竞标的只需牵头人出</w:t>
      </w:r>
      <w:r>
        <w:rPr>
          <w:rFonts w:ascii="宋体" w:hAnsi="宋体" w:eastAsia="宋体" w:cs="宋体"/>
          <w:color w:val="auto"/>
          <w:spacing w:val="-3"/>
          <w:sz w:val="24"/>
          <w:szCs w:val="24"/>
          <w:highlight w:val="none"/>
        </w:rPr>
        <w:t>具。</w:t>
      </w:r>
    </w:p>
    <w:p w14:paraId="30B3CA01">
      <w:pPr>
        <w:spacing w:before="136" w:line="314" w:lineRule="auto"/>
        <w:ind w:firstLine="3"/>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2.供应商为其他组织或者自然人时，本磋商文件规定的法定</w:t>
      </w:r>
      <w:r>
        <w:rPr>
          <w:rFonts w:ascii="宋体" w:hAnsi="宋体" w:eastAsia="宋体" w:cs="宋体"/>
          <w:color w:val="auto"/>
          <w:spacing w:val="-1"/>
          <w:sz w:val="24"/>
          <w:szCs w:val="24"/>
          <w:highlight w:val="none"/>
        </w:rPr>
        <w:t>代表人指负责人或者自然人。本</w:t>
      </w:r>
      <w:r>
        <w:rPr>
          <w:rFonts w:ascii="宋体" w:hAnsi="宋体" w:eastAsia="宋体" w:cs="宋体"/>
          <w:color w:val="auto"/>
          <w:sz w:val="24"/>
          <w:szCs w:val="24"/>
          <w:highlight w:val="none"/>
        </w:rPr>
        <w:t xml:space="preserve"> 磋商文件所称负责人是指参加竞标的其他组织营业执照上的负责人，</w:t>
      </w:r>
      <w:r>
        <w:rPr>
          <w:rFonts w:ascii="宋体" w:hAnsi="宋体" w:eastAsia="宋体" w:cs="宋体"/>
          <w:color w:val="auto"/>
          <w:spacing w:val="-1"/>
          <w:sz w:val="24"/>
          <w:szCs w:val="24"/>
          <w:highlight w:val="none"/>
        </w:rPr>
        <w:t>本磋商文件所称自然人</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指参与竞标的自然人本人。</w:t>
      </w:r>
    </w:p>
    <w:p w14:paraId="6FAB24E9">
      <w:pPr>
        <w:spacing w:line="314" w:lineRule="auto"/>
        <w:rPr>
          <w:rFonts w:ascii="宋体" w:hAnsi="宋体" w:eastAsia="宋体" w:cs="宋体"/>
          <w:color w:val="auto"/>
          <w:sz w:val="24"/>
          <w:szCs w:val="24"/>
          <w:highlight w:val="none"/>
        </w:rPr>
        <w:sectPr>
          <w:footerReference r:id="rId41" w:type="default"/>
          <w:pgSz w:w="11906" w:h="16839"/>
          <w:pgMar w:top="1431" w:right="1173" w:bottom="1362" w:left="1141" w:header="0" w:footer="1200" w:gutter="0"/>
          <w:pgNumType w:fmt="decimal"/>
          <w:cols w:space="720" w:num="1"/>
        </w:sectPr>
      </w:pPr>
    </w:p>
    <w:p w14:paraId="2A939069">
      <w:pPr>
        <w:spacing w:before="63" w:line="224" w:lineRule="auto"/>
        <w:ind w:left="1449"/>
        <w:outlineLvl w:val="2"/>
        <w:rPr>
          <w:rFonts w:ascii="宋体" w:hAnsi="宋体" w:eastAsia="宋体" w:cs="宋体"/>
          <w:color w:val="auto"/>
          <w:sz w:val="31"/>
          <w:szCs w:val="31"/>
          <w:highlight w:val="none"/>
        </w:rPr>
      </w:pPr>
      <w:r>
        <w:rPr>
          <w:rFonts w:hint="eastAsia" w:ascii="宋体" w:hAnsi="宋体" w:eastAsia="宋体" w:cs="宋体"/>
          <w:b/>
          <w:bCs/>
          <w:color w:val="auto"/>
          <w:spacing w:val="6"/>
          <w:sz w:val="31"/>
          <w:szCs w:val="31"/>
          <w:highlight w:val="none"/>
          <w:lang w:val="en-US" w:eastAsia="zh-CN"/>
        </w:rPr>
        <w:t>3</w:t>
      </w:r>
      <w:r>
        <w:rPr>
          <w:rFonts w:ascii="宋体" w:hAnsi="宋体" w:eastAsia="宋体" w:cs="宋体"/>
          <w:b/>
          <w:bCs/>
          <w:color w:val="auto"/>
          <w:spacing w:val="6"/>
          <w:sz w:val="31"/>
          <w:szCs w:val="31"/>
          <w:highlight w:val="none"/>
        </w:rPr>
        <w:t>.法定代表人授权委托书（非联合体竞标格式）</w:t>
      </w:r>
    </w:p>
    <w:p w14:paraId="721FA9C4">
      <w:pPr>
        <w:pStyle w:val="4"/>
        <w:spacing w:line="349" w:lineRule="auto"/>
        <w:rPr>
          <w:color w:val="auto"/>
          <w:highlight w:val="none"/>
        </w:rPr>
      </w:pPr>
    </w:p>
    <w:p w14:paraId="782F02D3">
      <w:pPr>
        <w:spacing w:before="101" w:line="225" w:lineRule="auto"/>
        <w:ind w:left="3981"/>
        <w:rPr>
          <w:rFonts w:ascii="宋体" w:hAnsi="宋体" w:eastAsia="宋体" w:cs="宋体"/>
          <w:color w:val="auto"/>
          <w:sz w:val="31"/>
          <w:szCs w:val="31"/>
          <w:highlight w:val="none"/>
        </w:rPr>
      </w:pPr>
      <w:r>
        <w:rPr>
          <w:rFonts w:ascii="宋体" w:hAnsi="宋体" w:eastAsia="宋体" w:cs="宋体"/>
          <w:b/>
          <w:bCs/>
          <w:color w:val="auto"/>
          <w:spacing w:val="2"/>
          <w:sz w:val="31"/>
          <w:szCs w:val="31"/>
          <w:highlight w:val="none"/>
        </w:rPr>
        <w:t>（如有委托时）</w:t>
      </w:r>
    </w:p>
    <w:p w14:paraId="63886CB9">
      <w:pPr>
        <w:pStyle w:val="4"/>
        <w:spacing w:line="354" w:lineRule="auto"/>
        <w:rPr>
          <w:color w:val="auto"/>
          <w:highlight w:val="none"/>
        </w:rPr>
      </w:pPr>
    </w:p>
    <w:p w14:paraId="15BFFA7E">
      <w:pPr>
        <w:pStyle w:val="4"/>
        <w:spacing w:line="354" w:lineRule="auto"/>
        <w:rPr>
          <w:color w:val="auto"/>
          <w:highlight w:val="none"/>
        </w:rPr>
      </w:pPr>
    </w:p>
    <w:p w14:paraId="1C02F052">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致</w:t>
      </w:r>
      <w:r>
        <w:rPr>
          <w:rFonts w:ascii="宋体" w:hAnsi="宋体" w:eastAsia="宋体" w:cs="宋体"/>
          <w:color w:val="auto"/>
          <w:spacing w:val="-17"/>
          <w:sz w:val="24"/>
          <w:szCs w:val="24"/>
          <w:highlight w:val="none"/>
        </w:rPr>
        <w:t>：</w:t>
      </w:r>
      <w:r>
        <w:rPr>
          <w:rFonts w:ascii="宋体" w:hAnsi="宋体" w:eastAsia="宋体" w:cs="宋体"/>
          <w:color w:val="auto"/>
          <w:spacing w:val="-17"/>
          <w:sz w:val="24"/>
          <w:szCs w:val="24"/>
          <w:highlight w:val="none"/>
          <w:u w:val="single" w:color="auto"/>
        </w:rPr>
        <w:t>（</w:t>
      </w:r>
      <w:r>
        <w:rPr>
          <w:rFonts w:ascii="宋体" w:hAnsi="宋体" w:eastAsia="宋体" w:cs="宋体"/>
          <w:color w:val="auto"/>
          <w:spacing w:val="9"/>
          <w:sz w:val="24"/>
          <w:szCs w:val="24"/>
          <w:highlight w:val="none"/>
          <w:u w:val="single" w:color="auto"/>
        </w:rPr>
        <w:t>采购人名称</w:t>
      </w:r>
      <w:r>
        <w:rPr>
          <w:rFonts w:ascii="宋体" w:hAnsi="宋体" w:eastAsia="宋体" w:cs="宋体"/>
          <w:color w:val="auto"/>
          <w:spacing w:val="-17"/>
          <w:sz w:val="24"/>
          <w:szCs w:val="24"/>
          <w:highlight w:val="none"/>
          <w:u w:val="single" w:color="auto"/>
        </w:rPr>
        <w:t>）</w:t>
      </w:r>
      <w:r>
        <w:rPr>
          <w:rFonts w:ascii="宋体" w:hAnsi="宋体" w:eastAsia="宋体" w:cs="宋体"/>
          <w:color w:val="auto"/>
          <w:spacing w:val="-17"/>
          <w:sz w:val="24"/>
          <w:szCs w:val="24"/>
          <w:highlight w:val="none"/>
        </w:rPr>
        <w:t>：</w:t>
      </w:r>
    </w:p>
    <w:p w14:paraId="5E6570D6">
      <w:pPr>
        <w:spacing w:before="183" w:line="351" w:lineRule="auto"/>
        <w:ind w:firstLine="48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我</w:t>
      </w:r>
      <w:r>
        <w:rPr>
          <w:rFonts w:ascii="宋体" w:hAnsi="宋体" w:eastAsia="宋体" w:cs="宋体"/>
          <w:color w:val="auto"/>
          <w:spacing w:val="-3"/>
          <w:sz w:val="24"/>
          <w:szCs w:val="24"/>
          <w:highlight w:val="none"/>
          <w:u w:val="single" w:color="auto"/>
        </w:rPr>
        <w:t xml:space="preserve">  （姓名）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3"/>
          <w:sz w:val="24"/>
          <w:szCs w:val="24"/>
          <w:highlight w:val="none"/>
        </w:rPr>
        <w:t>系</w:t>
      </w:r>
      <w:r>
        <w:rPr>
          <w:rFonts w:ascii="宋体" w:hAnsi="宋体" w:eastAsia="宋体" w:cs="宋体"/>
          <w:color w:val="auto"/>
          <w:spacing w:val="-3"/>
          <w:sz w:val="24"/>
          <w:szCs w:val="24"/>
          <w:highlight w:val="none"/>
          <w:u w:val="single" w:color="auto"/>
        </w:rPr>
        <w:t xml:space="preserve">  （供应商名称）  </w:t>
      </w:r>
      <w:r>
        <w:rPr>
          <w:rFonts w:ascii="宋体" w:hAnsi="宋体" w:eastAsia="宋体" w:cs="宋体"/>
          <w:color w:val="auto"/>
          <w:spacing w:val="-90"/>
          <w:sz w:val="24"/>
          <w:szCs w:val="24"/>
          <w:highlight w:val="none"/>
        </w:rPr>
        <w:t xml:space="preserve"> </w:t>
      </w:r>
      <w:r>
        <w:rPr>
          <w:rFonts w:ascii="宋体" w:hAnsi="宋体" w:eastAsia="宋体" w:cs="宋体"/>
          <w:color w:val="auto"/>
          <w:spacing w:val="-3"/>
          <w:sz w:val="24"/>
          <w:szCs w:val="24"/>
          <w:highlight w:val="none"/>
        </w:rPr>
        <w:t>的 (</w:t>
      </w:r>
      <w:r>
        <w:rPr>
          <w:rFonts w:ascii="宋体" w:hAnsi="宋体" w:eastAsia="宋体" w:cs="宋体"/>
          <w:color w:val="auto"/>
          <w:spacing w:val="-86"/>
          <w:sz w:val="24"/>
          <w:szCs w:val="24"/>
          <w:highlight w:val="none"/>
        </w:rPr>
        <w:t xml:space="preserve"> </w:t>
      </w:r>
      <w:r>
        <w:rPr>
          <w:rFonts w:ascii="宋体" w:hAnsi="宋体" w:eastAsia="宋体" w:cs="宋体"/>
          <w:color w:val="auto"/>
          <w:spacing w:val="-86"/>
          <w:sz w:val="24"/>
          <w:szCs w:val="24"/>
          <w:highlight w:val="none"/>
          <w:u w:val="single" w:color="auto"/>
        </w:rPr>
        <w:t xml:space="preserve"> </w:t>
      </w:r>
      <w:r>
        <w:rPr>
          <w:rFonts w:ascii="宋体" w:hAnsi="宋体" w:eastAsia="宋体" w:cs="宋体"/>
          <w:b/>
          <w:bCs/>
          <w:color w:val="auto"/>
          <w:spacing w:val="-3"/>
          <w:sz w:val="24"/>
          <w:szCs w:val="24"/>
          <w:highlight w:val="none"/>
          <w:u w:val="single" w:color="auto"/>
        </w:rPr>
        <w:t>□法定代表人/□负</w:t>
      </w:r>
      <w:r>
        <w:rPr>
          <w:rFonts w:ascii="宋体" w:hAnsi="宋体" w:eastAsia="宋体" w:cs="宋体"/>
          <w:b/>
          <w:bCs/>
          <w:color w:val="auto"/>
          <w:spacing w:val="-4"/>
          <w:sz w:val="24"/>
          <w:szCs w:val="24"/>
          <w:highlight w:val="none"/>
          <w:u w:val="single" w:color="auto"/>
        </w:rPr>
        <w:t>责人/□自然人本人</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现授权</w:t>
      </w:r>
      <w:r>
        <w:rPr>
          <w:rFonts w:ascii="宋体" w:hAnsi="宋体" w:eastAsia="宋体" w:cs="宋体"/>
          <w:color w:val="auto"/>
          <w:spacing w:val="-1"/>
          <w:sz w:val="24"/>
          <w:szCs w:val="24"/>
          <w:highlight w:val="none"/>
          <w:u w:val="single" w:color="auto"/>
        </w:rPr>
        <w:t xml:space="preserve"> （姓名） </w:t>
      </w:r>
      <w:r>
        <w:rPr>
          <w:rFonts w:ascii="宋体" w:hAnsi="宋体" w:eastAsia="宋体" w:cs="宋体"/>
          <w:color w:val="auto"/>
          <w:spacing w:val="-83"/>
          <w:sz w:val="24"/>
          <w:szCs w:val="24"/>
          <w:highlight w:val="none"/>
        </w:rPr>
        <w:t xml:space="preserve"> </w:t>
      </w:r>
      <w:r>
        <w:rPr>
          <w:rFonts w:ascii="宋体" w:hAnsi="宋体" w:eastAsia="宋体" w:cs="宋体"/>
          <w:color w:val="auto"/>
          <w:spacing w:val="-1"/>
          <w:sz w:val="24"/>
          <w:szCs w:val="24"/>
          <w:highlight w:val="none"/>
        </w:rPr>
        <w:t>以我方的名义参加</w:t>
      </w:r>
      <w:r>
        <w:rPr>
          <w:rFonts w:ascii="宋体" w:hAnsi="宋体" w:eastAsia="宋体" w:cs="宋体"/>
          <w:color w:val="auto"/>
          <w:spacing w:val="-118"/>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95"/>
          <w:sz w:val="24"/>
          <w:szCs w:val="24"/>
          <w:highlight w:val="none"/>
        </w:rPr>
        <w:t xml:space="preserve"> </w:t>
      </w:r>
      <w:r>
        <w:rPr>
          <w:rFonts w:ascii="宋体" w:hAnsi="宋体" w:eastAsia="宋体" w:cs="宋体"/>
          <w:color w:val="auto"/>
          <w:spacing w:val="-1"/>
          <w:sz w:val="24"/>
          <w:szCs w:val="24"/>
          <w:highlight w:val="none"/>
        </w:rPr>
        <w:t>项目的竞标活动，并代表我方全</w:t>
      </w:r>
      <w:r>
        <w:rPr>
          <w:rFonts w:ascii="宋体" w:hAnsi="宋体" w:eastAsia="宋体" w:cs="宋体"/>
          <w:color w:val="auto"/>
          <w:spacing w:val="-2"/>
          <w:sz w:val="24"/>
          <w:szCs w:val="24"/>
          <w:highlight w:val="none"/>
        </w:rPr>
        <w:t>权办理</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针对上述项目的所有采购程序和环节的具体事务和签署相关文件。</w:t>
      </w:r>
    </w:p>
    <w:p w14:paraId="03E3F4EF">
      <w:pPr>
        <w:spacing w:before="35" w:line="219"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我方对委托代理人的签字事项负全部责任。</w:t>
      </w:r>
    </w:p>
    <w:p w14:paraId="2290D6C7">
      <w:pPr>
        <w:spacing w:before="184" w:line="346" w:lineRule="auto"/>
        <w:ind w:left="3"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本授权书自签署之日起生效，在撤销授权的书面通知以前，</w:t>
      </w:r>
      <w:r>
        <w:rPr>
          <w:rFonts w:ascii="宋体" w:hAnsi="宋体" w:eastAsia="宋体" w:cs="宋体"/>
          <w:color w:val="auto"/>
          <w:sz w:val="24"/>
          <w:szCs w:val="24"/>
          <w:highlight w:val="none"/>
        </w:rPr>
        <w:t xml:space="preserve">本授权书一直有效。委托代 </w:t>
      </w:r>
      <w:r>
        <w:rPr>
          <w:rFonts w:ascii="宋体" w:hAnsi="宋体" w:eastAsia="宋体" w:cs="宋体"/>
          <w:color w:val="auto"/>
          <w:spacing w:val="-1"/>
          <w:sz w:val="24"/>
          <w:szCs w:val="24"/>
          <w:highlight w:val="none"/>
        </w:rPr>
        <w:t>理人在授权书有效期内签署的所有文件不因授权的撤销而失效。</w:t>
      </w:r>
    </w:p>
    <w:p w14:paraId="78E34215">
      <w:pPr>
        <w:spacing w:before="36"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委托代理人无转委托权，特此委托。</w:t>
      </w:r>
    </w:p>
    <w:p w14:paraId="64E92B8B">
      <w:pPr>
        <w:spacing w:before="182" w:line="219" w:lineRule="auto"/>
        <w:ind w:left="499"/>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附：委托代理人有效身份证正反面复印件</w:t>
      </w:r>
    </w:p>
    <w:p w14:paraId="606E4CA9">
      <w:pPr>
        <w:pStyle w:val="4"/>
        <w:spacing w:line="323" w:lineRule="auto"/>
        <w:rPr>
          <w:color w:val="auto"/>
          <w:highlight w:val="none"/>
        </w:rPr>
      </w:pPr>
    </w:p>
    <w:p w14:paraId="5F9DFF75">
      <w:pPr>
        <w:pStyle w:val="4"/>
        <w:spacing w:line="323" w:lineRule="auto"/>
        <w:rPr>
          <w:color w:val="auto"/>
          <w:highlight w:val="none"/>
        </w:rPr>
      </w:pPr>
    </w:p>
    <w:p w14:paraId="52CA7447">
      <w:pPr>
        <w:spacing w:before="78" w:line="465" w:lineRule="auto"/>
        <w:ind w:righ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委托代理人（签字）：</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1"/>
          <w:sz w:val="24"/>
          <w:szCs w:val="24"/>
          <w:highlight w:val="none"/>
        </w:rPr>
        <w:t>法定代表人/法定代表（签字）：</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6"/>
          <w:sz w:val="24"/>
          <w:szCs w:val="24"/>
          <w:highlight w:val="none"/>
        </w:rPr>
        <w:t xml:space="preserve"> </w:t>
      </w:r>
      <w:r>
        <w:rPr>
          <w:rFonts w:ascii="宋体" w:hAnsi="宋体" w:eastAsia="宋体" w:cs="宋体"/>
          <w:color w:val="auto"/>
          <w:spacing w:val="-1"/>
          <w:sz w:val="24"/>
          <w:szCs w:val="24"/>
          <w:highlight w:val="none"/>
        </w:rPr>
        <w:t>委托代理人身份证号码：</w:t>
      </w:r>
      <w:r>
        <w:rPr>
          <w:rFonts w:ascii="宋体" w:hAnsi="宋体" w:eastAsia="宋体" w:cs="宋体"/>
          <w:color w:val="auto"/>
          <w:sz w:val="24"/>
          <w:szCs w:val="24"/>
          <w:highlight w:val="none"/>
          <w:u w:val="single" w:color="auto"/>
        </w:rPr>
        <w:t xml:space="preserve">                </w:t>
      </w:r>
    </w:p>
    <w:p w14:paraId="48099462">
      <w:pPr>
        <w:pStyle w:val="4"/>
        <w:spacing w:line="312" w:lineRule="auto"/>
        <w:rPr>
          <w:color w:val="auto"/>
          <w:highlight w:val="none"/>
        </w:rPr>
      </w:pPr>
    </w:p>
    <w:p w14:paraId="764F4CAB">
      <w:pPr>
        <w:pStyle w:val="4"/>
        <w:spacing w:line="312" w:lineRule="auto"/>
        <w:rPr>
          <w:color w:val="auto"/>
          <w:highlight w:val="none"/>
        </w:rPr>
      </w:pPr>
    </w:p>
    <w:p w14:paraId="4C0BA1A0">
      <w:pPr>
        <w:pStyle w:val="4"/>
        <w:spacing w:line="312" w:lineRule="auto"/>
        <w:rPr>
          <w:color w:val="auto"/>
          <w:highlight w:val="none"/>
        </w:rPr>
      </w:pPr>
    </w:p>
    <w:p w14:paraId="67D1E6AB">
      <w:pPr>
        <w:spacing w:before="79" w:line="219" w:lineRule="auto"/>
        <w:ind w:left="36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供应商（盖公章</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u w:val="single" w:color="auto"/>
        </w:rPr>
        <w:t xml:space="preserve">                </w:t>
      </w:r>
    </w:p>
    <w:p w14:paraId="3647B65A">
      <w:pPr>
        <w:pStyle w:val="4"/>
        <w:spacing w:line="349" w:lineRule="auto"/>
        <w:rPr>
          <w:color w:val="auto"/>
          <w:highlight w:val="none"/>
        </w:rPr>
      </w:pPr>
    </w:p>
    <w:p w14:paraId="1ADBD283">
      <w:pPr>
        <w:pStyle w:val="4"/>
        <w:spacing w:line="350" w:lineRule="auto"/>
        <w:rPr>
          <w:color w:val="auto"/>
          <w:highlight w:val="none"/>
        </w:rPr>
      </w:pPr>
    </w:p>
    <w:p w14:paraId="39CAA218">
      <w:pPr>
        <w:spacing w:before="79" w:line="219" w:lineRule="auto"/>
        <w:ind w:left="4921"/>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3"/>
          <w:sz w:val="24"/>
          <w:szCs w:val="24"/>
          <w:highlight w:val="none"/>
        </w:rPr>
        <w:t xml:space="preserve">    </w:t>
      </w:r>
      <w:r>
        <w:rPr>
          <w:rFonts w:ascii="宋体" w:hAnsi="宋体" w:eastAsia="宋体" w:cs="宋体"/>
          <w:color w:val="auto"/>
          <w:spacing w:val="-9"/>
          <w:sz w:val="24"/>
          <w:szCs w:val="24"/>
          <w:highlight w:val="none"/>
        </w:rPr>
        <w:t>日</w:t>
      </w:r>
    </w:p>
    <w:p w14:paraId="7C0F4D59">
      <w:pPr>
        <w:pStyle w:val="4"/>
        <w:spacing w:line="284" w:lineRule="auto"/>
        <w:rPr>
          <w:color w:val="auto"/>
          <w:highlight w:val="none"/>
        </w:rPr>
      </w:pPr>
    </w:p>
    <w:p w14:paraId="4B15A54D">
      <w:pPr>
        <w:pStyle w:val="4"/>
        <w:spacing w:line="284" w:lineRule="auto"/>
        <w:rPr>
          <w:color w:val="auto"/>
          <w:highlight w:val="none"/>
        </w:rPr>
      </w:pPr>
    </w:p>
    <w:p w14:paraId="651FD6B1">
      <w:pPr>
        <w:spacing w:before="79" w:line="351"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注：供应商为其他组织或者自然人时，本磋商文件规定的法定</w:t>
      </w:r>
      <w:r>
        <w:rPr>
          <w:rFonts w:ascii="宋体" w:hAnsi="宋体" w:eastAsia="宋体" w:cs="宋体"/>
          <w:color w:val="auto"/>
          <w:sz w:val="24"/>
          <w:szCs w:val="24"/>
          <w:highlight w:val="none"/>
        </w:rPr>
        <w:t xml:space="preserve">代表人指负责人或者自然人。 </w:t>
      </w:r>
      <w:r>
        <w:rPr>
          <w:rFonts w:ascii="宋体" w:hAnsi="宋体" w:eastAsia="宋体" w:cs="宋体"/>
          <w:color w:val="auto"/>
          <w:spacing w:val="1"/>
          <w:sz w:val="24"/>
          <w:szCs w:val="24"/>
          <w:highlight w:val="none"/>
        </w:rPr>
        <w:t>本磋商文件所称负责人是指参加竞标的其他组织营业执照上</w:t>
      </w:r>
      <w:r>
        <w:rPr>
          <w:rFonts w:ascii="宋体" w:hAnsi="宋体" w:eastAsia="宋体" w:cs="宋体"/>
          <w:color w:val="auto"/>
          <w:sz w:val="24"/>
          <w:szCs w:val="24"/>
          <w:highlight w:val="none"/>
        </w:rPr>
        <w:t xml:space="preserve">的负责人，本磋商文件所称自然 </w:t>
      </w:r>
      <w:r>
        <w:rPr>
          <w:rFonts w:ascii="宋体" w:hAnsi="宋体" w:eastAsia="宋体" w:cs="宋体"/>
          <w:color w:val="auto"/>
          <w:spacing w:val="-1"/>
          <w:sz w:val="24"/>
          <w:szCs w:val="24"/>
          <w:highlight w:val="none"/>
        </w:rPr>
        <w:t>人指参与竞标的自然人本人。</w:t>
      </w:r>
    </w:p>
    <w:p w14:paraId="12D4D903">
      <w:pPr>
        <w:spacing w:line="351" w:lineRule="auto"/>
        <w:rPr>
          <w:rFonts w:ascii="宋体" w:hAnsi="宋体" w:eastAsia="宋体" w:cs="宋体"/>
          <w:color w:val="auto"/>
          <w:sz w:val="24"/>
          <w:szCs w:val="24"/>
          <w:highlight w:val="none"/>
        </w:rPr>
        <w:sectPr>
          <w:footerReference r:id="rId42" w:type="default"/>
          <w:pgSz w:w="11906" w:h="16839"/>
          <w:pgMar w:top="1223" w:right="1134" w:bottom="1362" w:left="1141" w:header="0" w:footer="1200" w:gutter="0"/>
          <w:pgNumType w:fmt="decimal"/>
          <w:cols w:space="720" w:num="1"/>
        </w:sectPr>
      </w:pPr>
    </w:p>
    <w:p w14:paraId="139E98D7">
      <w:pPr>
        <w:spacing w:before="101" w:line="225" w:lineRule="auto"/>
        <w:ind w:left="3344"/>
        <w:outlineLvl w:val="2"/>
        <w:rPr>
          <w:rFonts w:hint="default" w:ascii="宋体" w:hAnsi="宋体" w:eastAsia="宋体" w:cs="宋体"/>
          <w:b/>
          <w:bCs/>
          <w:color w:val="auto"/>
          <w:spacing w:val="5"/>
          <w:sz w:val="31"/>
          <w:szCs w:val="31"/>
          <w:highlight w:val="none"/>
          <w:lang w:val="en-US" w:eastAsia="zh-CN"/>
        </w:rPr>
      </w:pPr>
      <w:r>
        <w:rPr>
          <w:rFonts w:hint="default" w:ascii="宋体" w:hAnsi="宋体" w:eastAsia="宋体" w:cs="宋体"/>
          <w:b/>
          <w:bCs/>
          <w:color w:val="auto"/>
          <w:spacing w:val="5"/>
          <w:sz w:val="31"/>
          <w:szCs w:val="31"/>
          <w:highlight w:val="none"/>
          <w:lang w:val="en-US" w:eastAsia="zh-CN"/>
        </w:rPr>
        <w:t>4.磋商保证金提交凭证</w:t>
      </w:r>
    </w:p>
    <w:p w14:paraId="36FAF77D">
      <w:pPr>
        <w:pStyle w:val="4"/>
        <w:spacing w:line="254" w:lineRule="auto"/>
        <w:rPr>
          <w:color w:val="auto"/>
          <w:highlight w:val="none"/>
        </w:rPr>
      </w:pPr>
    </w:p>
    <w:p w14:paraId="090D066D">
      <w:pPr>
        <w:spacing w:before="101" w:line="225" w:lineRule="auto"/>
        <w:ind w:left="3344"/>
        <w:outlineLvl w:val="9"/>
        <w:rPr>
          <w:rFonts w:hint="eastAsia" w:ascii="宋体" w:hAnsi="宋体" w:eastAsia="宋体" w:cs="宋体"/>
          <w:b/>
          <w:bCs/>
          <w:color w:val="auto"/>
          <w:spacing w:val="5"/>
          <w:sz w:val="31"/>
          <w:szCs w:val="31"/>
          <w:highlight w:val="none"/>
          <w:lang w:val="en-US" w:eastAsia="zh-CN"/>
        </w:rPr>
      </w:pPr>
    </w:p>
    <w:p w14:paraId="10FDA441">
      <w:pPr>
        <w:spacing w:before="101" w:line="225" w:lineRule="auto"/>
        <w:ind w:left="3344"/>
        <w:outlineLvl w:val="2"/>
        <w:rPr>
          <w:rFonts w:ascii="宋体" w:hAnsi="宋体" w:eastAsia="宋体" w:cs="宋体"/>
          <w:color w:val="auto"/>
          <w:sz w:val="31"/>
          <w:szCs w:val="31"/>
          <w:highlight w:val="none"/>
        </w:rPr>
      </w:pPr>
      <w:r>
        <w:rPr>
          <w:rFonts w:hint="eastAsia" w:ascii="宋体" w:hAnsi="宋体" w:eastAsia="宋体" w:cs="宋体"/>
          <w:b/>
          <w:bCs/>
          <w:color w:val="auto"/>
          <w:spacing w:val="5"/>
          <w:sz w:val="31"/>
          <w:szCs w:val="31"/>
          <w:highlight w:val="none"/>
          <w:lang w:val="en-US" w:eastAsia="zh-CN"/>
        </w:rPr>
        <w:t>5</w:t>
      </w:r>
      <w:r>
        <w:rPr>
          <w:rFonts w:ascii="宋体" w:hAnsi="宋体" w:eastAsia="宋体" w:cs="宋体"/>
          <w:b/>
          <w:bCs/>
          <w:color w:val="auto"/>
          <w:spacing w:val="5"/>
          <w:sz w:val="31"/>
          <w:szCs w:val="31"/>
          <w:highlight w:val="none"/>
        </w:rPr>
        <w:t>.商务条款偏离表格式</w:t>
      </w:r>
    </w:p>
    <w:p w14:paraId="1C7AC9E1">
      <w:pPr>
        <w:pStyle w:val="4"/>
        <w:spacing w:line="389" w:lineRule="auto"/>
        <w:rPr>
          <w:color w:val="auto"/>
          <w:highlight w:val="none"/>
        </w:rPr>
      </w:pPr>
    </w:p>
    <w:p w14:paraId="6EF13451">
      <w:pPr>
        <w:spacing w:before="78" w:line="406" w:lineRule="auto"/>
        <w:ind w:left="124" w:right="615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项目名称：</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
          <w:sz w:val="24"/>
          <w:szCs w:val="24"/>
          <w:highlight w:val="none"/>
        </w:rPr>
        <w:t xml:space="preserve"> </w:t>
      </w:r>
      <w:r>
        <w:rPr>
          <w:rFonts w:ascii="宋体" w:hAnsi="宋体" w:eastAsia="宋体" w:cs="宋体"/>
          <w:color w:val="auto"/>
          <w:spacing w:val="-3"/>
          <w:sz w:val="24"/>
          <w:szCs w:val="24"/>
          <w:highlight w:val="none"/>
        </w:rPr>
        <w:t>项目编号：</w:t>
      </w:r>
      <w:r>
        <w:rPr>
          <w:rFonts w:ascii="宋体" w:hAnsi="宋体" w:eastAsia="宋体" w:cs="宋体"/>
          <w:color w:val="auto"/>
          <w:sz w:val="24"/>
          <w:szCs w:val="24"/>
          <w:highlight w:val="none"/>
          <w:u w:val="single" w:color="auto"/>
        </w:rPr>
        <w:t xml:space="preserve">                    </w:t>
      </w:r>
    </w:p>
    <w:p w14:paraId="57D712E2">
      <w:pPr>
        <w:spacing w:before="188"/>
        <w:rPr>
          <w:color w:val="auto"/>
          <w:highlight w:val="none"/>
        </w:rPr>
      </w:pPr>
    </w:p>
    <w:tbl>
      <w:tblPr>
        <w:tblStyle w:val="18"/>
        <w:tblW w:w="989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4"/>
        <w:gridCol w:w="2343"/>
        <w:gridCol w:w="2735"/>
        <w:gridCol w:w="2388"/>
        <w:gridCol w:w="1456"/>
      </w:tblGrid>
      <w:tr w14:paraId="1D54B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974" w:type="dxa"/>
            <w:vAlign w:val="top"/>
          </w:tcPr>
          <w:p w14:paraId="1F500382">
            <w:pPr>
              <w:pStyle w:val="19"/>
              <w:spacing w:before="204" w:line="220" w:lineRule="auto"/>
              <w:ind w:left="0"/>
              <w:jc w:val="center"/>
              <w:rPr>
                <w:rFonts w:hint="eastAsia" w:eastAsia="宋体"/>
                <w:color w:val="auto"/>
                <w:spacing w:val="-7"/>
                <w:sz w:val="24"/>
                <w:szCs w:val="24"/>
                <w:highlight w:val="none"/>
                <w:lang w:val="en-US" w:eastAsia="zh-CN"/>
              </w:rPr>
            </w:pPr>
            <w:r>
              <w:rPr>
                <w:rFonts w:hint="eastAsia"/>
                <w:color w:val="auto"/>
                <w:spacing w:val="-7"/>
                <w:sz w:val="24"/>
                <w:szCs w:val="24"/>
                <w:highlight w:val="none"/>
                <w:lang w:val="en-US" w:eastAsia="zh-CN"/>
              </w:rPr>
              <w:t>序号</w:t>
            </w:r>
          </w:p>
        </w:tc>
        <w:tc>
          <w:tcPr>
            <w:tcW w:w="2343" w:type="dxa"/>
            <w:vAlign w:val="top"/>
          </w:tcPr>
          <w:p w14:paraId="314C49ED">
            <w:pPr>
              <w:pStyle w:val="19"/>
              <w:spacing w:before="204" w:line="220" w:lineRule="auto"/>
              <w:ind w:left="0"/>
              <w:jc w:val="center"/>
              <w:rPr>
                <w:color w:val="auto"/>
                <w:sz w:val="24"/>
                <w:szCs w:val="24"/>
                <w:highlight w:val="none"/>
              </w:rPr>
            </w:pPr>
            <w:r>
              <w:rPr>
                <w:color w:val="auto"/>
                <w:spacing w:val="-7"/>
                <w:sz w:val="24"/>
                <w:szCs w:val="24"/>
                <w:highlight w:val="none"/>
              </w:rPr>
              <w:t>项目</w:t>
            </w:r>
          </w:p>
        </w:tc>
        <w:tc>
          <w:tcPr>
            <w:tcW w:w="2735" w:type="dxa"/>
            <w:vAlign w:val="top"/>
          </w:tcPr>
          <w:p w14:paraId="5DF4006F">
            <w:pPr>
              <w:pStyle w:val="19"/>
              <w:spacing w:before="205" w:line="219" w:lineRule="auto"/>
              <w:ind w:left="138"/>
              <w:rPr>
                <w:color w:val="auto"/>
                <w:sz w:val="24"/>
                <w:szCs w:val="24"/>
                <w:highlight w:val="none"/>
              </w:rPr>
            </w:pPr>
            <w:r>
              <w:rPr>
                <w:color w:val="auto"/>
                <w:spacing w:val="-1"/>
                <w:sz w:val="24"/>
                <w:szCs w:val="24"/>
                <w:highlight w:val="none"/>
              </w:rPr>
              <w:t>磋商文件商务条款要求</w:t>
            </w:r>
          </w:p>
        </w:tc>
        <w:tc>
          <w:tcPr>
            <w:tcW w:w="2388" w:type="dxa"/>
            <w:vAlign w:val="top"/>
          </w:tcPr>
          <w:p w14:paraId="501AE393">
            <w:pPr>
              <w:pStyle w:val="19"/>
              <w:spacing w:before="204" w:line="219" w:lineRule="auto"/>
              <w:ind w:left="0"/>
              <w:jc w:val="center"/>
              <w:rPr>
                <w:color w:val="auto"/>
                <w:sz w:val="24"/>
                <w:szCs w:val="24"/>
                <w:highlight w:val="none"/>
              </w:rPr>
            </w:pPr>
            <w:r>
              <w:rPr>
                <w:color w:val="auto"/>
                <w:spacing w:val="-2"/>
                <w:sz w:val="24"/>
                <w:szCs w:val="24"/>
                <w:highlight w:val="none"/>
              </w:rPr>
              <w:t>供应商的承诺</w:t>
            </w:r>
          </w:p>
        </w:tc>
        <w:tc>
          <w:tcPr>
            <w:tcW w:w="1456" w:type="dxa"/>
            <w:vAlign w:val="top"/>
          </w:tcPr>
          <w:p w14:paraId="099F970A">
            <w:pPr>
              <w:pStyle w:val="19"/>
              <w:spacing w:before="205" w:line="219" w:lineRule="auto"/>
              <w:ind w:left="0"/>
              <w:jc w:val="center"/>
              <w:rPr>
                <w:color w:val="auto"/>
                <w:sz w:val="24"/>
                <w:szCs w:val="24"/>
                <w:highlight w:val="none"/>
              </w:rPr>
            </w:pPr>
            <w:r>
              <w:rPr>
                <w:color w:val="auto"/>
                <w:spacing w:val="-3"/>
                <w:sz w:val="24"/>
                <w:szCs w:val="24"/>
                <w:highlight w:val="none"/>
              </w:rPr>
              <w:t>偏离说明</w:t>
            </w:r>
          </w:p>
        </w:tc>
      </w:tr>
      <w:tr w14:paraId="5D30E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74" w:type="dxa"/>
            <w:vAlign w:val="top"/>
          </w:tcPr>
          <w:p w14:paraId="71F543BF">
            <w:pPr>
              <w:pStyle w:val="19"/>
              <w:spacing w:before="191" w:line="218" w:lineRule="auto"/>
              <w:ind w:left="376"/>
              <w:rPr>
                <w:rFonts w:hint="eastAsia" w:eastAsia="宋体"/>
                <w:color w:val="auto"/>
                <w:spacing w:val="-2"/>
                <w:sz w:val="24"/>
                <w:szCs w:val="24"/>
                <w:highlight w:val="none"/>
                <w:lang w:val="en-US" w:eastAsia="zh-CN"/>
              </w:rPr>
            </w:pPr>
            <w:r>
              <w:rPr>
                <w:rFonts w:hint="eastAsia"/>
                <w:color w:val="auto"/>
                <w:spacing w:val="-2"/>
                <w:sz w:val="24"/>
                <w:szCs w:val="24"/>
                <w:highlight w:val="none"/>
                <w:lang w:val="en-US" w:eastAsia="zh-CN"/>
              </w:rPr>
              <w:t>1</w:t>
            </w:r>
          </w:p>
        </w:tc>
        <w:tc>
          <w:tcPr>
            <w:tcW w:w="2343" w:type="dxa"/>
            <w:vAlign w:val="top"/>
          </w:tcPr>
          <w:p w14:paraId="74D646EB">
            <w:pPr>
              <w:pStyle w:val="19"/>
              <w:spacing w:before="191" w:line="218" w:lineRule="auto"/>
              <w:ind w:left="0"/>
              <w:jc w:val="center"/>
              <w:rPr>
                <w:color w:val="auto"/>
                <w:sz w:val="24"/>
                <w:szCs w:val="24"/>
                <w:highlight w:val="none"/>
              </w:rPr>
            </w:pPr>
            <w:r>
              <w:rPr>
                <w:color w:val="auto"/>
                <w:spacing w:val="-2"/>
                <w:sz w:val="24"/>
                <w:szCs w:val="24"/>
                <w:highlight w:val="none"/>
              </w:rPr>
              <w:t>磋商报价要求</w:t>
            </w:r>
          </w:p>
        </w:tc>
        <w:tc>
          <w:tcPr>
            <w:tcW w:w="2735" w:type="dxa"/>
            <w:vAlign w:val="top"/>
          </w:tcPr>
          <w:p w14:paraId="08EDC62F">
            <w:pPr>
              <w:rPr>
                <w:rFonts w:ascii="Arial"/>
                <w:color w:val="auto"/>
                <w:sz w:val="21"/>
                <w:highlight w:val="none"/>
              </w:rPr>
            </w:pPr>
          </w:p>
        </w:tc>
        <w:tc>
          <w:tcPr>
            <w:tcW w:w="2388" w:type="dxa"/>
            <w:vAlign w:val="top"/>
          </w:tcPr>
          <w:p w14:paraId="638D47B7">
            <w:pPr>
              <w:rPr>
                <w:rFonts w:ascii="Arial"/>
                <w:color w:val="auto"/>
                <w:sz w:val="21"/>
                <w:highlight w:val="none"/>
              </w:rPr>
            </w:pPr>
          </w:p>
        </w:tc>
        <w:tc>
          <w:tcPr>
            <w:tcW w:w="1456" w:type="dxa"/>
            <w:vAlign w:val="top"/>
          </w:tcPr>
          <w:p w14:paraId="4FB07527">
            <w:pPr>
              <w:rPr>
                <w:rFonts w:ascii="Arial"/>
                <w:color w:val="auto"/>
                <w:sz w:val="21"/>
                <w:highlight w:val="none"/>
              </w:rPr>
            </w:pPr>
          </w:p>
        </w:tc>
      </w:tr>
      <w:tr w14:paraId="32D11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74" w:type="dxa"/>
            <w:vAlign w:val="top"/>
          </w:tcPr>
          <w:p w14:paraId="584CED06">
            <w:pPr>
              <w:rPr>
                <w:rFonts w:ascii="Arial"/>
                <w:color w:val="auto"/>
                <w:sz w:val="21"/>
                <w:highlight w:val="none"/>
              </w:rPr>
            </w:pPr>
          </w:p>
        </w:tc>
        <w:tc>
          <w:tcPr>
            <w:tcW w:w="2343" w:type="dxa"/>
            <w:vAlign w:val="top"/>
          </w:tcPr>
          <w:p w14:paraId="64D8F63D">
            <w:pPr>
              <w:rPr>
                <w:rFonts w:ascii="Arial"/>
                <w:color w:val="auto"/>
                <w:sz w:val="21"/>
                <w:highlight w:val="none"/>
              </w:rPr>
            </w:pPr>
          </w:p>
        </w:tc>
        <w:tc>
          <w:tcPr>
            <w:tcW w:w="2735" w:type="dxa"/>
            <w:vAlign w:val="top"/>
          </w:tcPr>
          <w:p w14:paraId="560697DE">
            <w:pPr>
              <w:rPr>
                <w:rFonts w:ascii="Arial"/>
                <w:color w:val="auto"/>
                <w:sz w:val="21"/>
                <w:highlight w:val="none"/>
              </w:rPr>
            </w:pPr>
          </w:p>
        </w:tc>
        <w:tc>
          <w:tcPr>
            <w:tcW w:w="2388" w:type="dxa"/>
            <w:vAlign w:val="top"/>
          </w:tcPr>
          <w:p w14:paraId="5CD1A063">
            <w:pPr>
              <w:rPr>
                <w:rFonts w:ascii="Arial"/>
                <w:color w:val="auto"/>
                <w:sz w:val="21"/>
                <w:highlight w:val="none"/>
              </w:rPr>
            </w:pPr>
          </w:p>
        </w:tc>
        <w:tc>
          <w:tcPr>
            <w:tcW w:w="1456" w:type="dxa"/>
            <w:vAlign w:val="top"/>
          </w:tcPr>
          <w:p w14:paraId="222C9CF0">
            <w:pPr>
              <w:rPr>
                <w:rFonts w:ascii="Arial"/>
                <w:color w:val="auto"/>
                <w:sz w:val="21"/>
                <w:highlight w:val="none"/>
              </w:rPr>
            </w:pPr>
          </w:p>
        </w:tc>
      </w:tr>
      <w:tr w14:paraId="1B38F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974" w:type="dxa"/>
            <w:vAlign w:val="top"/>
          </w:tcPr>
          <w:p w14:paraId="2163D71F">
            <w:pPr>
              <w:rPr>
                <w:rFonts w:ascii="Arial"/>
                <w:color w:val="auto"/>
                <w:sz w:val="21"/>
                <w:highlight w:val="none"/>
              </w:rPr>
            </w:pPr>
          </w:p>
        </w:tc>
        <w:tc>
          <w:tcPr>
            <w:tcW w:w="2343" w:type="dxa"/>
            <w:vAlign w:val="top"/>
          </w:tcPr>
          <w:p w14:paraId="53D30FA8">
            <w:pPr>
              <w:rPr>
                <w:rFonts w:ascii="Arial"/>
                <w:color w:val="auto"/>
                <w:sz w:val="21"/>
                <w:highlight w:val="none"/>
              </w:rPr>
            </w:pPr>
          </w:p>
        </w:tc>
        <w:tc>
          <w:tcPr>
            <w:tcW w:w="2735" w:type="dxa"/>
            <w:vAlign w:val="top"/>
          </w:tcPr>
          <w:p w14:paraId="12748803">
            <w:pPr>
              <w:rPr>
                <w:rFonts w:ascii="Arial"/>
                <w:color w:val="auto"/>
                <w:sz w:val="21"/>
                <w:highlight w:val="none"/>
              </w:rPr>
            </w:pPr>
          </w:p>
        </w:tc>
        <w:tc>
          <w:tcPr>
            <w:tcW w:w="2388" w:type="dxa"/>
            <w:vAlign w:val="top"/>
          </w:tcPr>
          <w:p w14:paraId="76655E96">
            <w:pPr>
              <w:rPr>
                <w:rFonts w:ascii="Arial"/>
                <w:color w:val="auto"/>
                <w:sz w:val="21"/>
                <w:highlight w:val="none"/>
              </w:rPr>
            </w:pPr>
          </w:p>
        </w:tc>
        <w:tc>
          <w:tcPr>
            <w:tcW w:w="1456" w:type="dxa"/>
            <w:vAlign w:val="top"/>
          </w:tcPr>
          <w:p w14:paraId="6B17B7ED">
            <w:pPr>
              <w:rPr>
                <w:rFonts w:ascii="Arial"/>
                <w:color w:val="auto"/>
                <w:sz w:val="21"/>
                <w:highlight w:val="none"/>
              </w:rPr>
            </w:pPr>
          </w:p>
        </w:tc>
      </w:tr>
      <w:tr w14:paraId="0E440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74" w:type="dxa"/>
            <w:vAlign w:val="top"/>
          </w:tcPr>
          <w:p w14:paraId="6DC23012">
            <w:pPr>
              <w:pStyle w:val="19"/>
              <w:spacing w:before="78" w:line="99" w:lineRule="exact"/>
              <w:ind w:left="804"/>
              <w:rPr>
                <w:color w:val="auto"/>
                <w:position w:val="1"/>
                <w:sz w:val="24"/>
                <w:szCs w:val="24"/>
                <w:highlight w:val="none"/>
              </w:rPr>
            </w:pPr>
          </w:p>
        </w:tc>
        <w:tc>
          <w:tcPr>
            <w:tcW w:w="2343" w:type="dxa"/>
            <w:vAlign w:val="top"/>
          </w:tcPr>
          <w:p w14:paraId="48DF889A">
            <w:pPr>
              <w:spacing w:line="391" w:lineRule="auto"/>
              <w:rPr>
                <w:rFonts w:ascii="Arial"/>
                <w:color w:val="auto"/>
                <w:sz w:val="21"/>
                <w:highlight w:val="none"/>
              </w:rPr>
            </w:pPr>
          </w:p>
          <w:p w14:paraId="1F1D876B">
            <w:pPr>
              <w:pStyle w:val="19"/>
              <w:spacing w:before="78" w:line="99" w:lineRule="exact"/>
              <w:ind w:left="804"/>
              <w:rPr>
                <w:color w:val="auto"/>
                <w:sz w:val="24"/>
                <w:szCs w:val="24"/>
                <w:highlight w:val="none"/>
              </w:rPr>
            </w:pPr>
            <w:r>
              <w:rPr>
                <w:color w:val="auto"/>
                <w:position w:val="1"/>
                <w:sz w:val="24"/>
                <w:szCs w:val="24"/>
                <w:highlight w:val="none"/>
              </w:rPr>
              <w:t>.....</w:t>
            </w:r>
          </w:p>
        </w:tc>
        <w:tc>
          <w:tcPr>
            <w:tcW w:w="2735" w:type="dxa"/>
            <w:vAlign w:val="top"/>
          </w:tcPr>
          <w:p w14:paraId="486D6836">
            <w:pPr>
              <w:rPr>
                <w:rFonts w:ascii="Arial"/>
                <w:color w:val="auto"/>
                <w:sz w:val="21"/>
                <w:highlight w:val="none"/>
              </w:rPr>
            </w:pPr>
          </w:p>
        </w:tc>
        <w:tc>
          <w:tcPr>
            <w:tcW w:w="2388" w:type="dxa"/>
            <w:vAlign w:val="top"/>
          </w:tcPr>
          <w:p w14:paraId="5B193253">
            <w:pPr>
              <w:rPr>
                <w:rFonts w:ascii="Arial"/>
                <w:color w:val="auto"/>
                <w:sz w:val="21"/>
                <w:highlight w:val="none"/>
              </w:rPr>
            </w:pPr>
          </w:p>
        </w:tc>
        <w:tc>
          <w:tcPr>
            <w:tcW w:w="1456" w:type="dxa"/>
            <w:vAlign w:val="top"/>
          </w:tcPr>
          <w:p w14:paraId="4CC31DE6">
            <w:pPr>
              <w:rPr>
                <w:rFonts w:ascii="Arial"/>
                <w:color w:val="auto"/>
                <w:sz w:val="21"/>
                <w:highlight w:val="none"/>
              </w:rPr>
            </w:pPr>
          </w:p>
        </w:tc>
      </w:tr>
    </w:tbl>
    <w:p w14:paraId="7F1A2F03">
      <w:pPr>
        <w:pStyle w:val="4"/>
        <w:spacing w:line="289" w:lineRule="auto"/>
        <w:rPr>
          <w:color w:val="auto"/>
          <w:highlight w:val="none"/>
        </w:rPr>
      </w:pPr>
    </w:p>
    <w:p w14:paraId="638B37D4">
      <w:pPr>
        <w:pStyle w:val="4"/>
        <w:spacing w:line="290" w:lineRule="auto"/>
        <w:rPr>
          <w:color w:val="auto"/>
          <w:highlight w:val="none"/>
        </w:rPr>
      </w:pPr>
    </w:p>
    <w:p w14:paraId="1B61BC2B">
      <w:pPr>
        <w:spacing w:before="78" w:line="224" w:lineRule="auto"/>
        <w:ind w:left="120"/>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注：</w:t>
      </w:r>
    </w:p>
    <w:p w14:paraId="4F0C7174">
      <w:pPr>
        <w:spacing w:before="128" w:line="347" w:lineRule="auto"/>
        <w:ind w:left="123" w:firstLine="14"/>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1.</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说明：应对照磋商文件“第三章</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采购需求</w:t>
      </w:r>
      <w:r>
        <w:rPr>
          <w:rFonts w:ascii="宋体" w:hAnsi="宋体" w:eastAsia="宋体" w:cs="宋体"/>
          <w:color w:val="auto"/>
          <w:spacing w:val="-85"/>
          <w:sz w:val="24"/>
          <w:szCs w:val="24"/>
          <w:highlight w:val="none"/>
        </w:rPr>
        <w:t xml:space="preserve"> </w:t>
      </w:r>
      <w:r>
        <w:rPr>
          <w:rFonts w:ascii="宋体" w:hAnsi="宋体" w:eastAsia="宋体" w:cs="宋体"/>
          <w:b/>
          <w:bCs/>
          <w:color w:val="auto"/>
          <w:spacing w:val="-3"/>
          <w:sz w:val="24"/>
          <w:szCs w:val="24"/>
          <w:highlight w:val="none"/>
        </w:rPr>
        <w:t>”中的商务条款逐条实质性响应，并作出偏离</w:t>
      </w:r>
      <w:r>
        <w:rPr>
          <w:rFonts w:ascii="宋体" w:hAnsi="宋体" w:eastAsia="宋体" w:cs="宋体"/>
          <w:color w:val="auto"/>
          <w:sz w:val="24"/>
          <w:szCs w:val="24"/>
          <w:highlight w:val="none"/>
        </w:rPr>
        <w:t xml:space="preserve"> </w:t>
      </w:r>
      <w:r>
        <w:rPr>
          <w:rFonts w:ascii="宋体" w:hAnsi="宋体" w:eastAsia="宋体" w:cs="宋体"/>
          <w:b/>
          <w:bCs/>
          <w:color w:val="auto"/>
          <w:spacing w:val="-7"/>
          <w:sz w:val="24"/>
          <w:szCs w:val="24"/>
          <w:highlight w:val="none"/>
        </w:rPr>
        <w:t>说明。</w:t>
      </w:r>
    </w:p>
    <w:p w14:paraId="7AC3A9E3">
      <w:pPr>
        <w:spacing w:before="5" w:line="219" w:lineRule="auto"/>
        <w:ind w:left="12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2.供应商应根据自身的承诺，对照磋商文件要求在“偏离说明</w:t>
      </w:r>
      <w:r>
        <w:rPr>
          <w:rFonts w:ascii="宋体" w:hAnsi="宋体" w:eastAsia="宋体" w:cs="宋体"/>
          <w:color w:val="auto"/>
          <w:spacing w:val="-84"/>
          <w:sz w:val="24"/>
          <w:szCs w:val="24"/>
          <w:highlight w:val="none"/>
        </w:rPr>
        <w:t xml:space="preserve"> </w:t>
      </w:r>
      <w:r>
        <w:rPr>
          <w:rFonts w:ascii="宋体" w:hAnsi="宋体" w:eastAsia="宋体" w:cs="宋体"/>
          <w:color w:val="auto"/>
          <w:spacing w:val="-2"/>
          <w:sz w:val="24"/>
          <w:szCs w:val="24"/>
          <w:highlight w:val="none"/>
        </w:rPr>
        <w:t>”中注明“正偏离</w:t>
      </w:r>
      <w:r>
        <w:rPr>
          <w:rFonts w:ascii="宋体" w:hAnsi="宋体" w:eastAsia="宋体" w:cs="宋体"/>
          <w:color w:val="auto"/>
          <w:spacing w:val="-88"/>
          <w:sz w:val="24"/>
          <w:szCs w:val="24"/>
          <w:highlight w:val="none"/>
        </w:rPr>
        <w:t xml:space="preserve"> </w:t>
      </w:r>
      <w:r>
        <w:rPr>
          <w:rFonts w:ascii="宋体" w:hAnsi="宋体" w:eastAsia="宋体" w:cs="宋体"/>
          <w:color w:val="auto"/>
          <w:spacing w:val="-2"/>
          <w:sz w:val="24"/>
          <w:szCs w:val="24"/>
          <w:highlight w:val="none"/>
        </w:rPr>
        <w:t>”、“负偏</w:t>
      </w:r>
    </w:p>
    <w:p w14:paraId="6EEF8EFB">
      <w:pPr>
        <w:spacing w:before="184" w:line="219" w:lineRule="auto"/>
        <w:ind w:left="12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离</w:t>
      </w:r>
      <w:r>
        <w:rPr>
          <w:rFonts w:ascii="宋体" w:hAnsi="宋体" w:eastAsia="宋体" w:cs="宋体"/>
          <w:color w:val="auto"/>
          <w:spacing w:val="-85"/>
          <w:sz w:val="24"/>
          <w:szCs w:val="24"/>
          <w:highlight w:val="none"/>
        </w:rPr>
        <w:t xml:space="preserve"> </w:t>
      </w:r>
      <w:r>
        <w:rPr>
          <w:rFonts w:ascii="宋体" w:hAnsi="宋体" w:eastAsia="宋体" w:cs="宋体"/>
          <w:color w:val="auto"/>
          <w:spacing w:val="-4"/>
          <w:sz w:val="24"/>
          <w:szCs w:val="24"/>
          <w:highlight w:val="none"/>
        </w:rPr>
        <w:t>”或者“无偏离</w:t>
      </w:r>
      <w:r>
        <w:rPr>
          <w:rFonts w:ascii="宋体" w:hAnsi="宋体" w:eastAsia="宋体" w:cs="宋体"/>
          <w:color w:val="auto"/>
          <w:spacing w:val="-89"/>
          <w:sz w:val="24"/>
          <w:szCs w:val="24"/>
          <w:highlight w:val="none"/>
        </w:rPr>
        <w:t xml:space="preserve"> </w:t>
      </w:r>
      <w:r>
        <w:rPr>
          <w:rFonts w:ascii="宋体" w:hAnsi="宋体" w:eastAsia="宋体" w:cs="宋体"/>
          <w:color w:val="auto"/>
          <w:spacing w:val="-4"/>
          <w:sz w:val="24"/>
          <w:szCs w:val="24"/>
          <w:highlight w:val="none"/>
        </w:rPr>
        <w:t>”。既不属于“正偏离</w:t>
      </w:r>
      <w:r>
        <w:rPr>
          <w:rFonts w:ascii="宋体" w:hAnsi="宋体" w:eastAsia="宋体" w:cs="宋体"/>
          <w:color w:val="auto"/>
          <w:spacing w:val="-88"/>
          <w:sz w:val="24"/>
          <w:szCs w:val="24"/>
          <w:highlight w:val="none"/>
        </w:rPr>
        <w:t xml:space="preserve"> </w:t>
      </w:r>
      <w:r>
        <w:rPr>
          <w:rFonts w:ascii="宋体" w:hAnsi="宋体" w:eastAsia="宋体" w:cs="宋体"/>
          <w:color w:val="auto"/>
          <w:spacing w:val="-4"/>
          <w:sz w:val="24"/>
          <w:szCs w:val="24"/>
          <w:highlight w:val="none"/>
        </w:rPr>
        <w:t>”也不属于“负偏离</w:t>
      </w:r>
      <w:r>
        <w:rPr>
          <w:rFonts w:ascii="宋体" w:hAnsi="宋体" w:eastAsia="宋体" w:cs="宋体"/>
          <w:color w:val="auto"/>
          <w:spacing w:val="-88"/>
          <w:sz w:val="24"/>
          <w:szCs w:val="24"/>
          <w:highlight w:val="none"/>
        </w:rPr>
        <w:t xml:space="preserve"> </w:t>
      </w:r>
      <w:r>
        <w:rPr>
          <w:rFonts w:ascii="宋体" w:hAnsi="宋体" w:eastAsia="宋体" w:cs="宋体"/>
          <w:color w:val="auto"/>
          <w:spacing w:val="-4"/>
          <w:sz w:val="24"/>
          <w:szCs w:val="24"/>
          <w:highlight w:val="none"/>
        </w:rPr>
        <w:t>”即为“无偏离</w:t>
      </w:r>
      <w:r>
        <w:rPr>
          <w:rFonts w:ascii="宋体" w:hAnsi="宋体" w:eastAsia="宋体" w:cs="宋体"/>
          <w:color w:val="auto"/>
          <w:spacing w:val="-88"/>
          <w:sz w:val="24"/>
          <w:szCs w:val="24"/>
          <w:highlight w:val="none"/>
        </w:rPr>
        <w:t xml:space="preserve"> </w:t>
      </w:r>
      <w:r>
        <w:rPr>
          <w:rFonts w:ascii="宋体" w:hAnsi="宋体" w:eastAsia="宋体" w:cs="宋体"/>
          <w:color w:val="auto"/>
          <w:spacing w:val="-4"/>
          <w:sz w:val="24"/>
          <w:szCs w:val="24"/>
          <w:highlight w:val="none"/>
        </w:rPr>
        <w:t>”。</w:t>
      </w:r>
    </w:p>
    <w:p w14:paraId="7E1001D4">
      <w:pPr>
        <w:pStyle w:val="4"/>
        <w:spacing w:line="257" w:lineRule="auto"/>
        <w:rPr>
          <w:color w:val="auto"/>
          <w:highlight w:val="none"/>
        </w:rPr>
      </w:pPr>
    </w:p>
    <w:p w14:paraId="5B9D01BE">
      <w:pPr>
        <w:pStyle w:val="4"/>
        <w:spacing w:line="257" w:lineRule="auto"/>
        <w:rPr>
          <w:color w:val="auto"/>
          <w:highlight w:val="none"/>
        </w:rPr>
      </w:pPr>
    </w:p>
    <w:p w14:paraId="1595C628">
      <w:pPr>
        <w:pStyle w:val="4"/>
        <w:spacing w:line="258" w:lineRule="auto"/>
        <w:rPr>
          <w:color w:val="auto"/>
          <w:highlight w:val="none"/>
        </w:rPr>
      </w:pPr>
    </w:p>
    <w:p w14:paraId="170E6E46">
      <w:pPr>
        <w:spacing w:before="78" w:line="219" w:lineRule="auto"/>
        <w:ind w:left="25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法定代表人/法定代表或者委托代理人（签字</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u w:val="single" w:color="auto"/>
        </w:rPr>
        <w:t xml:space="preserve">              </w:t>
      </w:r>
    </w:p>
    <w:p w14:paraId="0FBA4FA1">
      <w:pPr>
        <w:pStyle w:val="4"/>
        <w:spacing w:line="258" w:lineRule="auto"/>
        <w:rPr>
          <w:color w:val="auto"/>
          <w:highlight w:val="none"/>
        </w:rPr>
      </w:pPr>
    </w:p>
    <w:p w14:paraId="11402067">
      <w:pPr>
        <w:spacing w:before="78" w:line="384" w:lineRule="auto"/>
        <w:ind w:left="4241" w:right="2199" w:hanging="761"/>
        <w:rPr>
          <w:rFonts w:ascii="宋体" w:hAnsi="宋体" w:eastAsia="宋体" w:cs="宋体"/>
          <w:color w:val="auto"/>
          <w:spacing w:val="-13"/>
          <w:sz w:val="24"/>
          <w:szCs w:val="24"/>
          <w:highlight w:val="none"/>
        </w:rPr>
      </w:pPr>
      <w:r>
        <w:rPr>
          <w:rFonts w:ascii="宋体" w:hAnsi="宋体" w:eastAsia="宋体" w:cs="宋体"/>
          <w:color w:val="auto"/>
          <w:spacing w:val="-2"/>
          <w:sz w:val="24"/>
          <w:szCs w:val="24"/>
          <w:highlight w:val="none"/>
        </w:rPr>
        <w:t>供应商（盖公章</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日期：</w:t>
      </w:r>
      <w:r>
        <w:rPr>
          <w:rFonts w:ascii="宋体" w:hAnsi="宋体" w:eastAsia="宋体" w:cs="宋体"/>
          <w:color w:val="auto"/>
          <w:spacing w:val="3"/>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3"/>
          <w:sz w:val="24"/>
          <w:szCs w:val="24"/>
          <w:highlight w:val="none"/>
        </w:rPr>
        <w:t>日</w:t>
      </w:r>
    </w:p>
    <w:p w14:paraId="58F28F12">
      <w:pPr>
        <w:spacing w:before="101" w:line="357" w:lineRule="auto"/>
        <w:ind w:left="147" w:right="1157" w:hanging="22"/>
        <w:rPr>
          <w:rFonts w:ascii="宋体" w:hAnsi="宋体" w:eastAsia="宋体" w:cs="宋体"/>
          <w:b/>
          <w:bCs/>
          <w:color w:val="auto"/>
          <w:spacing w:val="4"/>
          <w:sz w:val="31"/>
          <w:szCs w:val="31"/>
          <w:highlight w:val="none"/>
        </w:rPr>
      </w:pPr>
    </w:p>
    <w:p w14:paraId="5D629455">
      <w:pPr>
        <w:spacing w:before="101" w:line="357" w:lineRule="auto"/>
        <w:ind w:left="147" w:right="1157" w:hanging="22"/>
        <w:rPr>
          <w:rFonts w:ascii="宋体" w:hAnsi="宋体" w:eastAsia="宋体" w:cs="宋体"/>
          <w:b/>
          <w:bCs/>
          <w:color w:val="auto"/>
          <w:spacing w:val="4"/>
          <w:sz w:val="31"/>
          <w:szCs w:val="31"/>
          <w:highlight w:val="none"/>
        </w:rPr>
      </w:pPr>
    </w:p>
    <w:p w14:paraId="25CAA336">
      <w:pPr>
        <w:spacing w:before="101" w:line="357" w:lineRule="auto"/>
        <w:ind w:left="147" w:right="1157" w:hanging="22"/>
        <w:rPr>
          <w:rFonts w:ascii="宋体" w:hAnsi="宋体" w:eastAsia="宋体" w:cs="宋体"/>
          <w:b/>
          <w:bCs/>
          <w:color w:val="auto"/>
          <w:spacing w:val="4"/>
          <w:sz w:val="31"/>
          <w:szCs w:val="31"/>
          <w:highlight w:val="none"/>
        </w:rPr>
      </w:pPr>
    </w:p>
    <w:p w14:paraId="208FDEF8">
      <w:pPr>
        <w:spacing w:before="101" w:line="357" w:lineRule="auto"/>
        <w:ind w:left="147" w:right="1157" w:hanging="22"/>
        <w:jc w:val="center"/>
        <w:outlineLvl w:val="2"/>
        <w:rPr>
          <w:rFonts w:ascii="宋体" w:hAnsi="宋体" w:eastAsia="宋体" w:cs="宋体"/>
          <w:color w:val="auto"/>
          <w:spacing w:val="6"/>
          <w:sz w:val="31"/>
          <w:szCs w:val="31"/>
          <w:highlight w:val="none"/>
        </w:rPr>
      </w:pPr>
      <w:r>
        <w:rPr>
          <w:rFonts w:hint="eastAsia" w:ascii="宋体" w:hAnsi="宋体" w:eastAsia="宋体" w:cs="宋体"/>
          <w:b/>
          <w:bCs/>
          <w:color w:val="auto"/>
          <w:spacing w:val="4"/>
          <w:sz w:val="31"/>
          <w:szCs w:val="31"/>
          <w:highlight w:val="none"/>
          <w:lang w:val="en-US" w:eastAsia="zh-CN"/>
        </w:rPr>
        <w:t>6</w:t>
      </w:r>
      <w:r>
        <w:rPr>
          <w:rFonts w:ascii="宋体" w:hAnsi="宋体" w:eastAsia="宋体" w:cs="宋体"/>
          <w:b/>
          <w:bCs/>
          <w:color w:val="auto"/>
          <w:spacing w:val="4"/>
          <w:sz w:val="31"/>
          <w:szCs w:val="31"/>
          <w:highlight w:val="none"/>
        </w:rPr>
        <w:t>.对应采购需求的商务条款</w:t>
      </w:r>
      <w:r>
        <w:rPr>
          <w:rFonts w:hint="eastAsia" w:ascii="宋体" w:hAnsi="宋体" w:eastAsia="宋体" w:cs="宋体"/>
          <w:b/>
          <w:bCs/>
          <w:color w:val="auto"/>
          <w:spacing w:val="4"/>
          <w:sz w:val="31"/>
          <w:szCs w:val="31"/>
          <w:highlight w:val="none"/>
          <w:lang w:val="en-US" w:eastAsia="zh-CN"/>
        </w:rPr>
        <w:t>及评审标准</w:t>
      </w:r>
      <w:r>
        <w:rPr>
          <w:rFonts w:ascii="宋体" w:hAnsi="宋体" w:eastAsia="宋体" w:cs="宋体"/>
          <w:b/>
          <w:bCs/>
          <w:color w:val="auto"/>
          <w:spacing w:val="4"/>
          <w:sz w:val="31"/>
          <w:szCs w:val="31"/>
          <w:highlight w:val="none"/>
        </w:rPr>
        <w:t>提供的其他文件资料；</w:t>
      </w:r>
    </w:p>
    <w:p w14:paraId="5F803C30">
      <w:pPr>
        <w:spacing w:before="101" w:line="357" w:lineRule="auto"/>
        <w:ind w:left="147" w:right="1157" w:hanging="22"/>
        <w:rPr>
          <w:rFonts w:ascii="宋体" w:hAnsi="宋体" w:eastAsia="宋体" w:cs="宋体"/>
          <w:b/>
          <w:bCs/>
          <w:color w:val="auto"/>
          <w:spacing w:val="4"/>
          <w:sz w:val="31"/>
          <w:szCs w:val="31"/>
          <w:highlight w:val="none"/>
        </w:rPr>
      </w:pPr>
    </w:p>
    <w:p w14:paraId="1228F24F">
      <w:pPr>
        <w:spacing w:line="357" w:lineRule="auto"/>
        <w:rPr>
          <w:rFonts w:ascii="宋体" w:hAnsi="宋体" w:eastAsia="宋体" w:cs="宋体"/>
          <w:color w:val="auto"/>
          <w:sz w:val="31"/>
          <w:szCs w:val="31"/>
          <w:highlight w:val="none"/>
        </w:rPr>
        <w:sectPr>
          <w:footerReference r:id="rId43" w:type="default"/>
          <w:pgSz w:w="11906" w:h="16839"/>
          <w:pgMar w:top="1146" w:right="1021" w:bottom="1362" w:left="1021" w:header="0" w:footer="1200" w:gutter="0"/>
          <w:pgNumType w:fmt="decimal"/>
          <w:cols w:space="720" w:num="1"/>
        </w:sectPr>
      </w:pPr>
    </w:p>
    <w:p w14:paraId="62217E02">
      <w:pPr>
        <w:pStyle w:val="4"/>
        <w:spacing w:line="300" w:lineRule="auto"/>
        <w:outlineLvl w:val="1"/>
        <w:rPr>
          <w:color w:val="auto"/>
          <w:highlight w:val="none"/>
        </w:rPr>
      </w:pPr>
      <w:bookmarkStart w:id="62" w:name="_Toc1303"/>
      <w:r>
        <w:rPr>
          <w:rFonts w:hint="eastAsia" w:ascii="宋体" w:hAnsi="宋体" w:eastAsia="宋体" w:cs="宋体"/>
          <w:b/>
          <w:bCs/>
          <w:color w:val="auto"/>
          <w:spacing w:val="6"/>
          <w:sz w:val="31"/>
          <w:szCs w:val="31"/>
          <w:highlight w:val="none"/>
          <w:lang w:val="en-US" w:eastAsia="zh-CN"/>
        </w:rPr>
        <w:t>四</w:t>
      </w:r>
      <w:r>
        <w:rPr>
          <w:rFonts w:ascii="宋体" w:hAnsi="宋体" w:eastAsia="宋体" w:cs="宋体"/>
          <w:b/>
          <w:bCs/>
          <w:color w:val="auto"/>
          <w:spacing w:val="6"/>
          <w:sz w:val="31"/>
          <w:szCs w:val="31"/>
          <w:highlight w:val="none"/>
        </w:rPr>
        <w:t>、</w:t>
      </w:r>
      <w:r>
        <w:rPr>
          <w:rFonts w:ascii="宋体" w:hAnsi="宋体" w:eastAsia="宋体" w:cs="宋体"/>
          <w:b/>
          <w:bCs/>
          <w:color w:val="auto"/>
          <w:spacing w:val="4"/>
          <w:sz w:val="31"/>
          <w:szCs w:val="31"/>
          <w:highlight w:val="none"/>
        </w:rPr>
        <w:t>技术</w:t>
      </w:r>
      <w:r>
        <w:rPr>
          <w:rFonts w:ascii="宋体" w:hAnsi="宋体" w:eastAsia="宋体" w:cs="宋体"/>
          <w:b/>
          <w:bCs/>
          <w:color w:val="auto"/>
          <w:spacing w:val="6"/>
          <w:sz w:val="31"/>
          <w:szCs w:val="31"/>
          <w:highlight w:val="none"/>
        </w:rPr>
        <w:t>文件格式</w:t>
      </w:r>
      <w:bookmarkEnd w:id="62"/>
    </w:p>
    <w:p w14:paraId="539B25FA">
      <w:pPr>
        <w:spacing w:before="101" w:line="223" w:lineRule="auto"/>
        <w:ind w:left="18"/>
        <w:rPr>
          <w:rFonts w:ascii="宋体" w:hAnsi="宋体" w:eastAsia="宋体" w:cs="宋体"/>
          <w:b/>
          <w:bCs/>
          <w:color w:val="auto"/>
          <w:spacing w:val="4"/>
          <w:sz w:val="31"/>
          <w:szCs w:val="31"/>
          <w:highlight w:val="none"/>
        </w:rPr>
      </w:pPr>
    </w:p>
    <w:p w14:paraId="599FD74A">
      <w:pPr>
        <w:spacing w:before="101" w:line="223" w:lineRule="auto"/>
        <w:ind w:left="18"/>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1.技术文件封面格式</w:t>
      </w:r>
    </w:p>
    <w:p w14:paraId="5443CDAC">
      <w:pPr>
        <w:pStyle w:val="4"/>
        <w:spacing w:line="248" w:lineRule="auto"/>
        <w:rPr>
          <w:color w:val="auto"/>
          <w:highlight w:val="none"/>
        </w:rPr>
      </w:pPr>
    </w:p>
    <w:p w14:paraId="11DFDD45">
      <w:pPr>
        <w:pStyle w:val="4"/>
        <w:spacing w:line="248" w:lineRule="auto"/>
        <w:rPr>
          <w:color w:val="auto"/>
          <w:highlight w:val="none"/>
        </w:rPr>
      </w:pPr>
    </w:p>
    <w:p w14:paraId="721A7676">
      <w:pPr>
        <w:pStyle w:val="4"/>
        <w:spacing w:line="248" w:lineRule="auto"/>
        <w:rPr>
          <w:color w:val="auto"/>
          <w:highlight w:val="none"/>
        </w:rPr>
      </w:pPr>
    </w:p>
    <w:p w14:paraId="2C56E8DB">
      <w:pPr>
        <w:pStyle w:val="4"/>
        <w:spacing w:line="249" w:lineRule="auto"/>
        <w:rPr>
          <w:color w:val="auto"/>
          <w:highlight w:val="none"/>
        </w:rPr>
      </w:pPr>
    </w:p>
    <w:p w14:paraId="3F6315A4">
      <w:pPr>
        <w:pStyle w:val="4"/>
        <w:spacing w:line="249" w:lineRule="auto"/>
        <w:rPr>
          <w:color w:val="auto"/>
          <w:highlight w:val="none"/>
        </w:rPr>
      </w:pPr>
    </w:p>
    <w:p w14:paraId="7216F4F2">
      <w:pPr>
        <w:pStyle w:val="4"/>
        <w:spacing w:line="249" w:lineRule="auto"/>
        <w:rPr>
          <w:color w:val="auto"/>
          <w:highlight w:val="none"/>
        </w:rPr>
      </w:pPr>
    </w:p>
    <w:p w14:paraId="52D88B7D">
      <w:pPr>
        <w:pStyle w:val="4"/>
        <w:spacing w:line="249" w:lineRule="auto"/>
        <w:rPr>
          <w:color w:val="auto"/>
          <w:highlight w:val="none"/>
        </w:rPr>
      </w:pPr>
    </w:p>
    <w:p w14:paraId="5F48F3B3">
      <w:pPr>
        <w:pStyle w:val="4"/>
        <w:spacing w:line="249" w:lineRule="auto"/>
        <w:rPr>
          <w:color w:val="auto"/>
          <w:highlight w:val="none"/>
        </w:rPr>
      </w:pPr>
    </w:p>
    <w:p w14:paraId="52FFBAB4">
      <w:pPr>
        <w:pStyle w:val="4"/>
        <w:spacing w:line="249" w:lineRule="auto"/>
        <w:rPr>
          <w:color w:val="auto"/>
          <w:highlight w:val="none"/>
        </w:rPr>
      </w:pPr>
    </w:p>
    <w:p w14:paraId="10ED0451">
      <w:pPr>
        <w:spacing w:before="140" w:line="222" w:lineRule="auto"/>
        <w:ind w:left="0"/>
        <w:jc w:val="center"/>
        <w:rPr>
          <w:rFonts w:ascii="宋体" w:hAnsi="宋体" w:eastAsia="宋体" w:cs="宋体"/>
          <w:color w:val="auto"/>
          <w:sz w:val="43"/>
          <w:szCs w:val="43"/>
          <w:highlight w:val="none"/>
        </w:rPr>
      </w:pPr>
      <w:r>
        <w:rPr>
          <w:rFonts w:ascii="宋体" w:hAnsi="宋体" w:eastAsia="宋体" w:cs="宋体"/>
          <w:color w:val="auto"/>
          <w:spacing w:val="-10"/>
          <w:sz w:val="43"/>
          <w:szCs w:val="43"/>
          <w:highlight w:val="none"/>
        </w:rPr>
        <w:t>技</w:t>
      </w:r>
      <w:r>
        <w:rPr>
          <w:rFonts w:ascii="宋体" w:hAnsi="宋体" w:eastAsia="宋体" w:cs="宋体"/>
          <w:color w:val="auto"/>
          <w:spacing w:val="17"/>
          <w:sz w:val="43"/>
          <w:szCs w:val="43"/>
          <w:highlight w:val="none"/>
        </w:rPr>
        <w:t xml:space="preserve">  </w:t>
      </w:r>
      <w:r>
        <w:rPr>
          <w:rFonts w:ascii="宋体" w:hAnsi="宋体" w:eastAsia="宋体" w:cs="宋体"/>
          <w:color w:val="auto"/>
          <w:spacing w:val="-10"/>
          <w:sz w:val="43"/>
          <w:szCs w:val="43"/>
          <w:highlight w:val="none"/>
        </w:rPr>
        <w:t>术</w:t>
      </w:r>
      <w:r>
        <w:rPr>
          <w:rFonts w:ascii="宋体" w:hAnsi="宋体" w:eastAsia="宋体" w:cs="宋体"/>
          <w:color w:val="auto"/>
          <w:spacing w:val="15"/>
          <w:sz w:val="43"/>
          <w:szCs w:val="43"/>
          <w:highlight w:val="none"/>
        </w:rPr>
        <w:t xml:space="preserve">  </w:t>
      </w:r>
      <w:r>
        <w:rPr>
          <w:rFonts w:ascii="宋体" w:hAnsi="宋体" w:eastAsia="宋体" w:cs="宋体"/>
          <w:color w:val="auto"/>
          <w:spacing w:val="-10"/>
          <w:sz w:val="43"/>
          <w:szCs w:val="43"/>
          <w:highlight w:val="none"/>
        </w:rPr>
        <w:t>文</w:t>
      </w:r>
      <w:r>
        <w:rPr>
          <w:rFonts w:ascii="宋体" w:hAnsi="宋体" w:eastAsia="宋体" w:cs="宋体"/>
          <w:color w:val="auto"/>
          <w:spacing w:val="13"/>
          <w:sz w:val="43"/>
          <w:szCs w:val="43"/>
          <w:highlight w:val="none"/>
        </w:rPr>
        <w:t xml:space="preserve">  </w:t>
      </w:r>
      <w:r>
        <w:rPr>
          <w:rFonts w:ascii="宋体" w:hAnsi="宋体" w:eastAsia="宋体" w:cs="宋体"/>
          <w:color w:val="auto"/>
          <w:spacing w:val="-10"/>
          <w:sz w:val="43"/>
          <w:szCs w:val="43"/>
          <w:highlight w:val="none"/>
        </w:rPr>
        <w:t>件</w:t>
      </w:r>
    </w:p>
    <w:p w14:paraId="148DF725">
      <w:pPr>
        <w:pStyle w:val="4"/>
        <w:spacing w:line="241" w:lineRule="auto"/>
        <w:rPr>
          <w:color w:val="auto"/>
          <w:highlight w:val="none"/>
        </w:rPr>
      </w:pPr>
    </w:p>
    <w:p w14:paraId="6910EA4C">
      <w:pPr>
        <w:pStyle w:val="4"/>
        <w:spacing w:line="241" w:lineRule="auto"/>
        <w:rPr>
          <w:color w:val="auto"/>
          <w:highlight w:val="none"/>
        </w:rPr>
      </w:pPr>
    </w:p>
    <w:p w14:paraId="7EA45826">
      <w:pPr>
        <w:pStyle w:val="4"/>
        <w:spacing w:line="241" w:lineRule="auto"/>
        <w:rPr>
          <w:color w:val="auto"/>
          <w:highlight w:val="none"/>
        </w:rPr>
      </w:pPr>
    </w:p>
    <w:p w14:paraId="2486B9F4">
      <w:pPr>
        <w:pStyle w:val="4"/>
        <w:spacing w:line="241" w:lineRule="auto"/>
        <w:rPr>
          <w:color w:val="auto"/>
          <w:highlight w:val="none"/>
        </w:rPr>
      </w:pPr>
    </w:p>
    <w:p w14:paraId="0A361D13">
      <w:pPr>
        <w:pStyle w:val="4"/>
        <w:spacing w:line="242" w:lineRule="auto"/>
        <w:rPr>
          <w:color w:val="auto"/>
          <w:highlight w:val="none"/>
        </w:rPr>
      </w:pPr>
    </w:p>
    <w:p w14:paraId="507F802F">
      <w:pPr>
        <w:pStyle w:val="4"/>
        <w:spacing w:line="242" w:lineRule="auto"/>
        <w:rPr>
          <w:color w:val="auto"/>
          <w:highlight w:val="none"/>
        </w:rPr>
      </w:pPr>
    </w:p>
    <w:p w14:paraId="2BAA90CA">
      <w:pPr>
        <w:pStyle w:val="4"/>
        <w:spacing w:line="242" w:lineRule="auto"/>
        <w:rPr>
          <w:color w:val="auto"/>
          <w:highlight w:val="none"/>
        </w:rPr>
      </w:pPr>
    </w:p>
    <w:p w14:paraId="4C273A89">
      <w:pPr>
        <w:pStyle w:val="4"/>
        <w:spacing w:line="242" w:lineRule="auto"/>
        <w:rPr>
          <w:color w:val="auto"/>
          <w:highlight w:val="none"/>
        </w:rPr>
      </w:pPr>
    </w:p>
    <w:p w14:paraId="36A2EF93">
      <w:pPr>
        <w:pStyle w:val="4"/>
        <w:spacing w:line="242" w:lineRule="auto"/>
        <w:rPr>
          <w:color w:val="auto"/>
          <w:highlight w:val="none"/>
        </w:rPr>
      </w:pPr>
    </w:p>
    <w:p w14:paraId="262CC36F">
      <w:pPr>
        <w:pStyle w:val="4"/>
        <w:spacing w:line="242" w:lineRule="auto"/>
        <w:rPr>
          <w:color w:val="auto"/>
          <w:highlight w:val="none"/>
        </w:rPr>
      </w:pPr>
    </w:p>
    <w:p w14:paraId="4234711D">
      <w:pPr>
        <w:spacing w:before="101" w:line="225" w:lineRule="auto"/>
        <w:ind w:left="640"/>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项目名称：</w:t>
      </w:r>
    </w:p>
    <w:p w14:paraId="4105EF1B">
      <w:pPr>
        <w:pStyle w:val="4"/>
        <w:spacing w:line="328" w:lineRule="auto"/>
        <w:rPr>
          <w:color w:val="auto"/>
          <w:highlight w:val="none"/>
        </w:rPr>
      </w:pPr>
    </w:p>
    <w:p w14:paraId="4CCF294D">
      <w:pPr>
        <w:pStyle w:val="4"/>
        <w:spacing w:line="328" w:lineRule="auto"/>
        <w:rPr>
          <w:color w:val="auto"/>
          <w:highlight w:val="none"/>
        </w:rPr>
      </w:pPr>
    </w:p>
    <w:p w14:paraId="5D3EB882">
      <w:pPr>
        <w:spacing w:before="100" w:line="225" w:lineRule="auto"/>
        <w:ind w:left="640"/>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项目编号：</w:t>
      </w:r>
    </w:p>
    <w:p w14:paraId="6A476349">
      <w:pPr>
        <w:pStyle w:val="4"/>
        <w:spacing w:line="330" w:lineRule="auto"/>
        <w:rPr>
          <w:color w:val="auto"/>
          <w:highlight w:val="none"/>
        </w:rPr>
      </w:pPr>
    </w:p>
    <w:p w14:paraId="019CBF13">
      <w:pPr>
        <w:pStyle w:val="4"/>
        <w:spacing w:line="330" w:lineRule="auto"/>
        <w:rPr>
          <w:color w:val="auto"/>
          <w:highlight w:val="none"/>
        </w:rPr>
      </w:pPr>
    </w:p>
    <w:p w14:paraId="6B0EBDCD">
      <w:pPr>
        <w:spacing w:before="101" w:line="225" w:lineRule="auto"/>
        <w:ind w:right="46"/>
        <w:jc w:val="right"/>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所竞分标（如有则填写，无分标时填写“无</w:t>
      </w:r>
      <w:r>
        <w:rPr>
          <w:rFonts w:ascii="宋体" w:hAnsi="宋体" w:eastAsia="宋体" w:cs="宋体"/>
          <w:color w:val="auto"/>
          <w:spacing w:val="-111"/>
          <w:sz w:val="31"/>
          <w:szCs w:val="31"/>
          <w:highlight w:val="none"/>
        </w:rPr>
        <w:t xml:space="preserve"> </w:t>
      </w:r>
      <w:r>
        <w:rPr>
          <w:rFonts w:ascii="宋体" w:hAnsi="宋体" w:eastAsia="宋体" w:cs="宋体"/>
          <w:color w:val="auto"/>
          <w:spacing w:val="7"/>
          <w:sz w:val="31"/>
          <w:szCs w:val="31"/>
          <w:highlight w:val="none"/>
        </w:rPr>
        <w:t>”或者留空）：</w:t>
      </w:r>
    </w:p>
    <w:p w14:paraId="737C4D81">
      <w:pPr>
        <w:pStyle w:val="4"/>
        <w:spacing w:line="277" w:lineRule="auto"/>
        <w:rPr>
          <w:color w:val="auto"/>
          <w:highlight w:val="none"/>
        </w:rPr>
      </w:pPr>
    </w:p>
    <w:p w14:paraId="0C270F0B">
      <w:pPr>
        <w:pStyle w:val="4"/>
        <w:spacing w:line="277" w:lineRule="auto"/>
        <w:rPr>
          <w:color w:val="auto"/>
          <w:highlight w:val="none"/>
        </w:rPr>
      </w:pPr>
    </w:p>
    <w:p w14:paraId="150C3662">
      <w:pPr>
        <w:spacing w:before="101" w:line="224" w:lineRule="auto"/>
        <w:ind w:left="635"/>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供应商名称：</w:t>
      </w:r>
    </w:p>
    <w:p w14:paraId="30845819">
      <w:pPr>
        <w:pStyle w:val="4"/>
        <w:spacing w:line="246" w:lineRule="auto"/>
        <w:rPr>
          <w:color w:val="auto"/>
          <w:highlight w:val="none"/>
        </w:rPr>
      </w:pPr>
    </w:p>
    <w:p w14:paraId="78CD7CE4">
      <w:pPr>
        <w:pStyle w:val="4"/>
        <w:spacing w:line="246" w:lineRule="auto"/>
        <w:rPr>
          <w:color w:val="auto"/>
          <w:highlight w:val="none"/>
        </w:rPr>
      </w:pPr>
    </w:p>
    <w:p w14:paraId="17FF7A18">
      <w:pPr>
        <w:pStyle w:val="4"/>
        <w:spacing w:line="246" w:lineRule="auto"/>
        <w:rPr>
          <w:color w:val="auto"/>
          <w:highlight w:val="none"/>
        </w:rPr>
      </w:pPr>
    </w:p>
    <w:p w14:paraId="042F2419">
      <w:pPr>
        <w:pStyle w:val="4"/>
        <w:spacing w:line="247" w:lineRule="auto"/>
        <w:rPr>
          <w:color w:val="auto"/>
          <w:highlight w:val="none"/>
        </w:rPr>
      </w:pPr>
    </w:p>
    <w:p w14:paraId="6B3B7832">
      <w:pPr>
        <w:pStyle w:val="4"/>
        <w:spacing w:line="247" w:lineRule="auto"/>
        <w:rPr>
          <w:color w:val="auto"/>
          <w:highlight w:val="none"/>
        </w:rPr>
      </w:pPr>
    </w:p>
    <w:p w14:paraId="51B0AB23">
      <w:pPr>
        <w:pStyle w:val="4"/>
        <w:spacing w:line="247" w:lineRule="auto"/>
        <w:rPr>
          <w:color w:val="auto"/>
          <w:highlight w:val="none"/>
        </w:rPr>
      </w:pPr>
    </w:p>
    <w:p w14:paraId="4D6D0162">
      <w:pPr>
        <w:spacing w:before="101" w:line="225" w:lineRule="auto"/>
        <w:ind w:left="3696"/>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年</w:t>
      </w:r>
      <w:r>
        <w:rPr>
          <w:rFonts w:ascii="宋体" w:hAnsi="宋体" w:eastAsia="宋体" w:cs="宋体"/>
          <w:color w:val="auto"/>
          <w:spacing w:val="10"/>
          <w:sz w:val="31"/>
          <w:szCs w:val="31"/>
          <w:highlight w:val="none"/>
        </w:rPr>
        <w:t xml:space="preserve">    </w:t>
      </w:r>
      <w:r>
        <w:rPr>
          <w:rFonts w:ascii="宋体" w:hAnsi="宋体" w:eastAsia="宋体" w:cs="宋体"/>
          <w:color w:val="auto"/>
          <w:spacing w:val="-6"/>
          <w:sz w:val="31"/>
          <w:szCs w:val="31"/>
          <w:highlight w:val="none"/>
        </w:rPr>
        <w:t>月</w:t>
      </w:r>
      <w:r>
        <w:rPr>
          <w:rFonts w:ascii="宋体" w:hAnsi="宋体" w:eastAsia="宋体" w:cs="宋体"/>
          <w:color w:val="auto"/>
          <w:spacing w:val="22"/>
          <w:sz w:val="31"/>
          <w:szCs w:val="31"/>
          <w:highlight w:val="none"/>
        </w:rPr>
        <w:t xml:space="preserve">    </w:t>
      </w:r>
      <w:r>
        <w:rPr>
          <w:rFonts w:ascii="宋体" w:hAnsi="宋体" w:eastAsia="宋体" w:cs="宋体"/>
          <w:color w:val="auto"/>
          <w:spacing w:val="-6"/>
          <w:sz w:val="31"/>
          <w:szCs w:val="31"/>
          <w:highlight w:val="none"/>
        </w:rPr>
        <w:t>日</w:t>
      </w:r>
    </w:p>
    <w:p w14:paraId="5DDDDE68">
      <w:pPr>
        <w:spacing w:line="225" w:lineRule="auto"/>
        <w:rPr>
          <w:rFonts w:ascii="宋体" w:hAnsi="宋体" w:eastAsia="宋体" w:cs="宋体"/>
          <w:color w:val="auto"/>
          <w:sz w:val="31"/>
          <w:szCs w:val="31"/>
          <w:highlight w:val="none"/>
        </w:rPr>
        <w:sectPr>
          <w:footerReference r:id="rId44" w:type="default"/>
          <w:pgSz w:w="11906" w:h="16839"/>
          <w:pgMar w:top="1146" w:right="1785" w:bottom="1362" w:left="1150" w:header="0" w:footer="1200" w:gutter="0"/>
          <w:pgNumType w:fmt="decimal"/>
          <w:cols w:space="720" w:num="1"/>
        </w:sectPr>
      </w:pPr>
    </w:p>
    <w:p w14:paraId="4E3553DA">
      <w:pPr>
        <w:spacing w:before="64" w:line="223" w:lineRule="auto"/>
        <w:ind w:left="145"/>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2.技术文件目录</w:t>
      </w:r>
    </w:p>
    <w:p w14:paraId="23B4B5AC">
      <w:pPr>
        <w:pStyle w:val="4"/>
        <w:spacing w:line="300" w:lineRule="auto"/>
        <w:rPr>
          <w:color w:val="auto"/>
          <w:highlight w:val="none"/>
        </w:rPr>
      </w:pPr>
    </w:p>
    <w:p w14:paraId="57EDC534">
      <w:pPr>
        <w:spacing w:before="101" w:line="357" w:lineRule="auto"/>
        <w:ind w:firstLine="638"/>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rPr>
        <w:t>根据磋商文件规定及供应商提供的材料自行编写目录</w:t>
      </w:r>
      <w:r>
        <w:rPr>
          <w:rFonts w:ascii="宋体" w:hAnsi="宋体" w:eastAsia="宋体" w:cs="宋体"/>
          <w:color w:val="auto"/>
          <w:spacing w:val="10"/>
          <w:sz w:val="31"/>
          <w:szCs w:val="31"/>
          <w:highlight w:val="none"/>
        </w:rPr>
        <w:t>（部分格式</w:t>
      </w:r>
      <w:r>
        <w:rPr>
          <w:rFonts w:ascii="宋体" w:hAnsi="宋体" w:eastAsia="宋体" w:cs="宋体"/>
          <w:color w:val="auto"/>
          <w:sz w:val="31"/>
          <w:szCs w:val="31"/>
          <w:highlight w:val="none"/>
        </w:rPr>
        <w:t xml:space="preserve"> 后附）。</w:t>
      </w:r>
    </w:p>
    <w:p w14:paraId="3666BCB6">
      <w:pPr>
        <w:spacing w:line="357" w:lineRule="auto"/>
        <w:rPr>
          <w:rFonts w:ascii="宋体" w:hAnsi="宋体" w:eastAsia="宋体" w:cs="宋体"/>
          <w:color w:val="auto"/>
          <w:sz w:val="31"/>
          <w:szCs w:val="31"/>
          <w:highlight w:val="none"/>
        </w:rPr>
        <w:sectPr>
          <w:footerReference r:id="rId45" w:type="default"/>
          <w:pgSz w:w="11906" w:h="16839"/>
          <w:pgMar w:top="1252" w:right="1135" w:bottom="1362" w:left="1147" w:header="0" w:footer="1200" w:gutter="0"/>
          <w:pgNumType w:fmt="decimal"/>
          <w:cols w:space="720" w:num="1"/>
        </w:sectPr>
      </w:pPr>
    </w:p>
    <w:p w14:paraId="6BFDE06C">
      <w:pPr>
        <w:spacing w:before="63" w:line="225" w:lineRule="auto"/>
        <w:ind w:left="3661"/>
        <w:outlineLvl w:val="2"/>
        <w:rPr>
          <w:rFonts w:ascii="宋体" w:hAnsi="宋体" w:eastAsia="宋体" w:cs="宋体"/>
          <w:color w:val="auto"/>
          <w:sz w:val="31"/>
          <w:szCs w:val="31"/>
          <w:highlight w:val="none"/>
        </w:rPr>
      </w:pPr>
      <w:r>
        <w:rPr>
          <w:rFonts w:hint="eastAsia" w:ascii="宋体" w:hAnsi="宋体" w:eastAsia="宋体" w:cs="宋体"/>
          <w:b/>
          <w:bCs/>
          <w:color w:val="auto"/>
          <w:spacing w:val="4"/>
          <w:sz w:val="31"/>
          <w:szCs w:val="31"/>
          <w:highlight w:val="none"/>
          <w:lang w:val="en-US" w:eastAsia="zh-CN"/>
        </w:rPr>
        <w:t>1</w:t>
      </w:r>
      <w:r>
        <w:rPr>
          <w:rFonts w:ascii="宋体" w:hAnsi="宋体" w:eastAsia="宋体" w:cs="宋体"/>
          <w:b/>
          <w:bCs/>
          <w:color w:val="auto"/>
          <w:spacing w:val="4"/>
          <w:sz w:val="31"/>
          <w:szCs w:val="31"/>
          <w:highlight w:val="none"/>
        </w:rPr>
        <w:t>.技术需求偏离表</w:t>
      </w:r>
    </w:p>
    <w:p w14:paraId="77EB9CE9">
      <w:pPr>
        <w:spacing w:before="207" w:line="346" w:lineRule="auto"/>
        <w:ind w:left="120" w:right="603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采购项目编号：</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3"/>
          <w:sz w:val="24"/>
          <w:szCs w:val="24"/>
          <w:highlight w:val="none"/>
        </w:rPr>
        <w:t xml:space="preserve"> </w:t>
      </w:r>
      <w:r>
        <w:rPr>
          <w:rFonts w:ascii="宋体" w:hAnsi="宋体" w:eastAsia="宋体" w:cs="宋体"/>
          <w:color w:val="auto"/>
          <w:spacing w:val="-2"/>
          <w:sz w:val="24"/>
          <w:szCs w:val="24"/>
          <w:highlight w:val="none"/>
        </w:rPr>
        <w:t>采购项目名称：</w:t>
      </w:r>
      <w:r>
        <w:rPr>
          <w:rFonts w:ascii="宋体" w:hAnsi="宋体" w:eastAsia="宋体" w:cs="宋体"/>
          <w:color w:val="auto"/>
          <w:sz w:val="24"/>
          <w:szCs w:val="24"/>
          <w:highlight w:val="none"/>
          <w:u w:val="single" w:color="auto"/>
        </w:rPr>
        <w:t xml:space="preserve">                 </w:t>
      </w:r>
    </w:p>
    <w:p w14:paraId="4C69B81C">
      <w:pPr>
        <w:spacing w:before="147"/>
        <w:rPr>
          <w:color w:val="auto"/>
          <w:highlight w:val="none"/>
        </w:rPr>
      </w:pPr>
    </w:p>
    <w:tbl>
      <w:tblPr>
        <w:tblStyle w:val="18"/>
        <w:tblW w:w="985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990"/>
        <w:gridCol w:w="3289"/>
        <w:gridCol w:w="2961"/>
        <w:gridCol w:w="1621"/>
      </w:tblGrid>
      <w:tr w14:paraId="3F91F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97" w:type="dxa"/>
            <w:tcBorders>
              <w:top w:val="single" w:color="000000" w:sz="2" w:space="0"/>
              <w:left w:val="single" w:color="000000" w:sz="2" w:space="0"/>
            </w:tcBorders>
            <w:vAlign w:val="top"/>
          </w:tcPr>
          <w:p w14:paraId="09710BFA">
            <w:pPr>
              <w:pStyle w:val="19"/>
              <w:spacing w:before="118" w:line="221" w:lineRule="auto"/>
              <w:ind w:left="263"/>
              <w:rPr>
                <w:color w:val="auto"/>
                <w:sz w:val="24"/>
                <w:szCs w:val="24"/>
                <w:highlight w:val="none"/>
              </w:rPr>
            </w:pPr>
            <w:r>
              <w:rPr>
                <w:color w:val="auto"/>
                <w:spacing w:val="-5"/>
                <w:sz w:val="24"/>
                <w:szCs w:val="24"/>
                <w:highlight w:val="none"/>
              </w:rPr>
              <w:t>序号</w:t>
            </w:r>
          </w:p>
        </w:tc>
        <w:tc>
          <w:tcPr>
            <w:tcW w:w="990" w:type="dxa"/>
            <w:tcBorders>
              <w:top w:val="single" w:color="000000" w:sz="2" w:space="0"/>
              <w:right w:val="single" w:color="000000" w:sz="2" w:space="0"/>
            </w:tcBorders>
            <w:vAlign w:val="top"/>
          </w:tcPr>
          <w:p w14:paraId="50D92697">
            <w:pPr>
              <w:pStyle w:val="19"/>
              <w:spacing w:before="119" w:line="221" w:lineRule="auto"/>
              <w:ind w:left="259"/>
              <w:rPr>
                <w:color w:val="auto"/>
                <w:sz w:val="24"/>
                <w:szCs w:val="24"/>
                <w:highlight w:val="none"/>
              </w:rPr>
            </w:pPr>
            <w:r>
              <w:rPr>
                <w:color w:val="auto"/>
                <w:spacing w:val="-7"/>
                <w:sz w:val="24"/>
                <w:szCs w:val="24"/>
                <w:highlight w:val="none"/>
              </w:rPr>
              <w:t>名称</w:t>
            </w:r>
          </w:p>
        </w:tc>
        <w:tc>
          <w:tcPr>
            <w:tcW w:w="3289" w:type="dxa"/>
            <w:tcBorders>
              <w:top w:val="single" w:color="000000" w:sz="2" w:space="0"/>
              <w:left w:val="single" w:color="000000" w:sz="2" w:space="0"/>
            </w:tcBorders>
            <w:vAlign w:val="top"/>
          </w:tcPr>
          <w:p w14:paraId="0651F44F">
            <w:pPr>
              <w:pStyle w:val="19"/>
              <w:spacing w:before="119" w:line="219" w:lineRule="auto"/>
              <w:ind w:left="691"/>
              <w:rPr>
                <w:color w:val="auto"/>
                <w:sz w:val="24"/>
                <w:szCs w:val="24"/>
                <w:highlight w:val="none"/>
              </w:rPr>
            </w:pPr>
            <w:r>
              <w:rPr>
                <w:color w:val="auto"/>
                <w:spacing w:val="-2"/>
                <w:sz w:val="24"/>
                <w:szCs w:val="24"/>
                <w:highlight w:val="none"/>
              </w:rPr>
              <w:t>磋商文件技术需求</w:t>
            </w:r>
          </w:p>
        </w:tc>
        <w:tc>
          <w:tcPr>
            <w:tcW w:w="2961" w:type="dxa"/>
            <w:tcBorders>
              <w:top w:val="single" w:color="000000" w:sz="2" w:space="0"/>
            </w:tcBorders>
            <w:vAlign w:val="top"/>
          </w:tcPr>
          <w:p w14:paraId="31B80EF0">
            <w:pPr>
              <w:pStyle w:val="19"/>
              <w:spacing w:before="118" w:line="220" w:lineRule="auto"/>
              <w:ind w:left="1008"/>
              <w:rPr>
                <w:color w:val="auto"/>
                <w:sz w:val="24"/>
                <w:szCs w:val="24"/>
                <w:highlight w:val="none"/>
              </w:rPr>
            </w:pPr>
            <w:r>
              <w:rPr>
                <w:color w:val="auto"/>
                <w:spacing w:val="-4"/>
                <w:sz w:val="24"/>
                <w:szCs w:val="24"/>
                <w:highlight w:val="none"/>
              </w:rPr>
              <w:t>竞标响应</w:t>
            </w:r>
          </w:p>
        </w:tc>
        <w:tc>
          <w:tcPr>
            <w:tcW w:w="1621" w:type="dxa"/>
            <w:tcBorders>
              <w:top w:val="single" w:color="000000" w:sz="2" w:space="0"/>
              <w:right w:val="single" w:color="000000" w:sz="2" w:space="0"/>
            </w:tcBorders>
            <w:vAlign w:val="top"/>
          </w:tcPr>
          <w:p w14:paraId="57C6415A">
            <w:pPr>
              <w:pStyle w:val="19"/>
              <w:spacing w:before="119" w:line="219" w:lineRule="auto"/>
              <w:ind w:left="334"/>
              <w:rPr>
                <w:color w:val="auto"/>
                <w:sz w:val="24"/>
                <w:szCs w:val="24"/>
                <w:highlight w:val="none"/>
              </w:rPr>
            </w:pPr>
            <w:r>
              <w:rPr>
                <w:color w:val="auto"/>
                <w:spacing w:val="-3"/>
                <w:sz w:val="24"/>
                <w:szCs w:val="24"/>
                <w:highlight w:val="none"/>
              </w:rPr>
              <w:t>偏离说明</w:t>
            </w:r>
          </w:p>
        </w:tc>
      </w:tr>
      <w:tr w14:paraId="69CC9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97" w:type="dxa"/>
            <w:tcBorders>
              <w:left w:val="single" w:color="000000" w:sz="2" w:space="0"/>
            </w:tcBorders>
            <w:vAlign w:val="top"/>
          </w:tcPr>
          <w:p w14:paraId="5FDA25B0">
            <w:pPr>
              <w:pStyle w:val="19"/>
              <w:spacing w:before="147" w:line="184" w:lineRule="auto"/>
              <w:ind w:left="462"/>
              <w:rPr>
                <w:color w:val="auto"/>
                <w:sz w:val="24"/>
                <w:szCs w:val="24"/>
                <w:highlight w:val="none"/>
              </w:rPr>
            </w:pPr>
            <w:r>
              <w:rPr>
                <w:color w:val="auto"/>
                <w:sz w:val="24"/>
                <w:szCs w:val="24"/>
                <w:highlight w:val="none"/>
              </w:rPr>
              <w:t>1</w:t>
            </w:r>
          </w:p>
        </w:tc>
        <w:tc>
          <w:tcPr>
            <w:tcW w:w="990" w:type="dxa"/>
            <w:tcBorders>
              <w:right w:val="single" w:color="000000" w:sz="2" w:space="0"/>
            </w:tcBorders>
            <w:vAlign w:val="top"/>
          </w:tcPr>
          <w:p w14:paraId="7BB44213">
            <w:pPr>
              <w:rPr>
                <w:rFonts w:ascii="Arial"/>
                <w:color w:val="auto"/>
                <w:sz w:val="21"/>
                <w:highlight w:val="none"/>
              </w:rPr>
            </w:pPr>
          </w:p>
        </w:tc>
        <w:tc>
          <w:tcPr>
            <w:tcW w:w="3289" w:type="dxa"/>
            <w:tcBorders>
              <w:left w:val="single" w:color="000000" w:sz="2" w:space="0"/>
            </w:tcBorders>
            <w:vAlign w:val="top"/>
          </w:tcPr>
          <w:p w14:paraId="1DC5DEEC">
            <w:pPr>
              <w:rPr>
                <w:rFonts w:ascii="Arial"/>
                <w:color w:val="auto"/>
                <w:sz w:val="21"/>
                <w:highlight w:val="none"/>
              </w:rPr>
            </w:pPr>
          </w:p>
        </w:tc>
        <w:tc>
          <w:tcPr>
            <w:tcW w:w="2961" w:type="dxa"/>
            <w:vAlign w:val="top"/>
          </w:tcPr>
          <w:p w14:paraId="61291E4B">
            <w:pPr>
              <w:rPr>
                <w:rFonts w:ascii="Arial"/>
                <w:color w:val="auto"/>
                <w:sz w:val="21"/>
                <w:highlight w:val="none"/>
              </w:rPr>
            </w:pPr>
          </w:p>
        </w:tc>
        <w:tc>
          <w:tcPr>
            <w:tcW w:w="1621" w:type="dxa"/>
            <w:tcBorders>
              <w:right w:val="single" w:color="000000" w:sz="2" w:space="0"/>
            </w:tcBorders>
            <w:vAlign w:val="top"/>
          </w:tcPr>
          <w:p w14:paraId="1945E1BF">
            <w:pPr>
              <w:rPr>
                <w:rFonts w:ascii="Arial"/>
                <w:color w:val="auto"/>
                <w:sz w:val="21"/>
                <w:highlight w:val="none"/>
              </w:rPr>
            </w:pPr>
          </w:p>
        </w:tc>
      </w:tr>
      <w:tr w14:paraId="3ABD9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97" w:type="dxa"/>
            <w:tcBorders>
              <w:left w:val="single" w:color="000000" w:sz="2" w:space="0"/>
            </w:tcBorders>
            <w:vAlign w:val="top"/>
          </w:tcPr>
          <w:p w14:paraId="0565917E">
            <w:pPr>
              <w:rPr>
                <w:rFonts w:ascii="Arial"/>
                <w:color w:val="auto"/>
                <w:sz w:val="21"/>
                <w:highlight w:val="none"/>
              </w:rPr>
            </w:pPr>
          </w:p>
        </w:tc>
        <w:tc>
          <w:tcPr>
            <w:tcW w:w="990" w:type="dxa"/>
            <w:tcBorders>
              <w:right w:val="single" w:color="000000" w:sz="2" w:space="0"/>
            </w:tcBorders>
            <w:vAlign w:val="top"/>
          </w:tcPr>
          <w:p w14:paraId="1630BAEE">
            <w:pPr>
              <w:rPr>
                <w:rFonts w:ascii="Arial"/>
                <w:color w:val="auto"/>
                <w:sz w:val="21"/>
                <w:highlight w:val="none"/>
              </w:rPr>
            </w:pPr>
          </w:p>
        </w:tc>
        <w:tc>
          <w:tcPr>
            <w:tcW w:w="3289" w:type="dxa"/>
            <w:tcBorders>
              <w:left w:val="single" w:color="000000" w:sz="2" w:space="0"/>
            </w:tcBorders>
            <w:vAlign w:val="top"/>
          </w:tcPr>
          <w:p w14:paraId="1693D6E6">
            <w:pPr>
              <w:rPr>
                <w:rFonts w:ascii="Arial"/>
                <w:color w:val="auto"/>
                <w:sz w:val="21"/>
                <w:highlight w:val="none"/>
              </w:rPr>
            </w:pPr>
          </w:p>
        </w:tc>
        <w:tc>
          <w:tcPr>
            <w:tcW w:w="2961" w:type="dxa"/>
            <w:vAlign w:val="top"/>
          </w:tcPr>
          <w:p w14:paraId="365FC2A8">
            <w:pPr>
              <w:rPr>
                <w:rFonts w:ascii="Arial"/>
                <w:color w:val="auto"/>
                <w:sz w:val="21"/>
                <w:highlight w:val="none"/>
              </w:rPr>
            </w:pPr>
          </w:p>
        </w:tc>
        <w:tc>
          <w:tcPr>
            <w:tcW w:w="1621" w:type="dxa"/>
            <w:tcBorders>
              <w:right w:val="single" w:color="000000" w:sz="2" w:space="0"/>
            </w:tcBorders>
            <w:vAlign w:val="top"/>
          </w:tcPr>
          <w:p w14:paraId="776043E5">
            <w:pPr>
              <w:rPr>
                <w:rFonts w:ascii="Arial"/>
                <w:color w:val="auto"/>
                <w:sz w:val="21"/>
                <w:highlight w:val="none"/>
              </w:rPr>
            </w:pPr>
          </w:p>
        </w:tc>
      </w:tr>
      <w:tr w14:paraId="6E97E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97" w:type="dxa"/>
            <w:tcBorders>
              <w:left w:val="single" w:color="000000" w:sz="2" w:space="0"/>
            </w:tcBorders>
            <w:vAlign w:val="top"/>
          </w:tcPr>
          <w:p w14:paraId="41203ACA">
            <w:pPr>
              <w:rPr>
                <w:rFonts w:ascii="Arial"/>
                <w:color w:val="auto"/>
                <w:sz w:val="21"/>
                <w:highlight w:val="none"/>
              </w:rPr>
            </w:pPr>
          </w:p>
        </w:tc>
        <w:tc>
          <w:tcPr>
            <w:tcW w:w="990" w:type="dxa"/>
            <w:tcBorders>
              <w:right w:val="single" w:color="000000" w:sz="2" w:space="0"/>
            </w:tcBorders>
            <w:vAlign w:val="top"/>
          </w:tcPr>
          <w:p w14:paraId="59AF3F14">
            <w:pPr>
              <w:rPr>
                <w:rFonts w:ascii="Arial"/>
                <w:color w:val="auto"/>
                <w:sz w:val="21"/>
                <w:highlight w:val="none"/>
              </w:rPr>
            </w:pPr>
          </w:p>
        </w:tc>
        <w:tc>
          <w:tcPr>
            <w:tcW w:w="3289" w:type="dxa"/>
            <w:tcBorders>
              <w:left w:val="single" w:color="000000" w:sz="2" w:space="0"/>
            </w:tcBorders>
            <w:vAlign w:val="top"/>
          </w:tcPr>
          <w:p w14:paraId="14D64DED">
            <w:pPr>
              <w:rPr>
                <w:rFonts w:ascii="Arial"/>
                <w:color w:val="auto"/>
                <w:sz w:val="21"/>
                <w:highlight w:val="none"/>
              </w:rPr>
            </w:pPr>
          </w:p>
        </w:tc>
        <w:tc>
          <w:tcPr>
            <w:tcW w:w="2961" w:type="dxa"/>
            <w:vAlign w:val="top"/>
          </w:tcPr>
          <w:p w14:paraId="2A737031">
            <w:pPr>
              <w:rPr>
                <w:rFonts w:ascii="Arial"/>
                <w:color w:val="auto"/>
                <w:sz w:val="21"/>
                <w:highlight w:val="none"/>
              </w:rPr>
            </w:pPr>
          </w:p>
        </w:tc>
        <w:tc>
          <w:tcPr>
            <w:tcW w:w="1621" w:type="dxa"/>
            <w:tcBorders>
              <w:right w:val="single" w:color="000000" w:sz="2" w:space="0"/>
            </w:tcBorders>
            <w:vAlign w:val="top"/>
          </w:tcPr>
          <w:p w14:paraId="49645593">
            <w:pPr>
              <w:rPr>
                <w:rFonts w:ascii="Arial"/>
                <w:color w:val="auto"/>
                <w:sz w:val="21"/>
                <w:highlight w:val="none"/>
              </w:rPr>
            </w:pPr>
          </w:p>
        </w:tc>
      </w:tr>
      <w:tr w14:paraId="64710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97" w:type="dxa"/>
            <w:tcBorders>
              <w:left w:val="single" w:color="000000" w:sz="2" w:space="0"/>
            </w:tcBorders>
            <w:vAlign w:val="top"/>
          </w:tcPr>
          <w:p w14:paraId="36A820F1">
            <w:pPr>
              <w:rPr>
                <w:rFonts w:ascii="Arial"/>
                <w:color w:val="auto"/>
                <w:sz w:val="21"/>
                <w:highlight w:val="none"/>
              </w:rPr>
            </w:pPr>
          </w:p>
        </w:tc>
        <w:tc>
          <w:tcPr>
            <w:tcW w:w="990" w:type="dxa"/>
            <w:tcBorders>
              <w:right w:val="single" w:color="000000" w:sz="2" w:space="0"/>
            </w:tcBorders>
            <w:vAlign w:val="top"/>
          </w:tcPr>
          <w:p w14:paraId="5AA66795">
            <w:pPr>
              <w:rPr>
                <w:rFonts w:ascii="Arial"/>
                <w:color w:val="auto"/>
                <w:sz w:val="21"/>
                <w:highlight w:val="none"/>
              </w:rPr>
            </w:pPr>
          </w:p>
        </w:tc>
        <w:tc>
          <w:tcPr>
            <w:tcW w:w="3289" w:type="dxa"/>
            <w:tcBorders>
              <w:left w:val="single" w:color="000000" w:sz="2" w:space="0"/>
            </w:tcBorders>
            <w:vAlign w:val="top"/>
          </w:tcPr>
          <w:p w14:paraId="413F9579">
            <w:pPr>
              <w:rPr>
                <w:rFonts w:ascii="Arial"/>
                <w:color w:val="auto"/>
                <w:sz w:val="21"/>
                <w:highlight w:val="none"/>
              </w:rPr>
            </w:pPr>
          </w:p>
        </w:tc>
        <w:tc>
          <w:tcPr>
            <w:tcW w:w="2961" w:type="dxa"/>
            <w:vAlign w:val="top"/>
          </w:tcPr>
          <w:p w14:paraId="31B2A92A">
            <w:pPr>
              <w:rPr>
                <w:rFonts w:ascii="Arial"/>
                <w:color w:val="auto"/>
                <w:sz w:val="21"/>
                <w:highlight w:val="none"/>
              </w:rPr>
            </w:pPr>
          </w:p>
        </w:tc>
        <w:tc>
          <w:tcPr>
            <w:tcW w:w="1621" w:type="dxa"/>
            <w:tcBorders>
              <w:right w:val="single" w:color="000000" w:sz="2" w:space="0"/>
            </w:tcBorders>
            <w:vAlign w:val="top"/>
          </w:tcPr>
          <w:p w14:paraId="58BCA32B">
            <w:pPr>
              <w:rPr>
                <w:rFonts w:ascii="Arial"/>
                <w:color w:val="auto"/>
                <w:sz w:val="21"/>
                <w:highlight w:val="none"/>
              </w:rPr>
            </w:pPr>
          </w:p>
        </w:tc>
      </w:tr>
      <w:tr w14:paraId="0C59E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97" w:type="dxa"/>
            <w:tcBorders>
              <w:left w:val="single" w:color="000000" w:sz="2" w:space="0"/>
            </w:tcBorders>
            <w:vAlign w:val="top"/>
          </w:tcPr>
          <w:p w14:paraId="4D96245E">
            <w:pPr>
              <w:rPr>
                <w:rFonts w:ascii="Arial"/>
                <w:color w:val="auto"/>
                <w:sz w:val="21"/>
                <w:highlight w:val="none"/>
              </w:rPr>
            </w:pPr>
          </w:p>
        </w:tc>
        <w:tc>
          <w:tcPr>
            <w:tcW w:w="990" w:type="dxa"/>
            <w:tcBorders>
              <w:right w:val="single" w:color="000000" w:sz="2" w:space="0"/>
            </w:tcBorders>
            <w:vAlign w:val="top"/>
          </w:tcPr>
          <w:p w14:paraId="536470F6">
            <w:pPr>
              <w:rPr>
                <w:rFonts w:ascii="Arial"/>
                <w:color w:val="auto"/>
                <w:sz w:val="21"/>
                <w:highlight w:val="none"/>
              </w:rPr>
            </w:pPr>
          </w:p>
        </w:tc>
        <w:tc>
          <w:tcPr>
            <w:tcW w:w="3289" w:type="dxa"/>
            <w:tcBorders>
              <w:left w:val="single" w:color="000000" w:sz="2" w:space="0"/>
            </w:tcBorders>
            <w:vAlign w:val="top"/>
          </w:tcPr>
          <w:p w14:paraId="01D5FD9F">
            <w:pPr>
              <w:rPr>
                <w:rFonts w:ascii="Arial"/>
                <w:color w:val="auto"/>
                <w:sz w:val="21"/>
                <w:highlight w:val="none"/>
              </w:rPr>
            </w:pPr>
          </w:p>
        </w:tc>
        <w:tc>
          <w:tcPr>
            <w:tcW w:w="2961" w:type="dxa"/>
            <w:vAlign w:val="top"/>
          </w:tcPr>
          <w:p w14:paraId="203F1988">
            <w:pPr>
              <w:rPr>
                <w:rFonts w:ascii="Arial"/>
                <w:color w:val="auto"/>
                <w:sz w:val="21"/>
                <w:highlight w:val="none"/>
              </w:rPr>
            </w:pPr>
          </w:p>
        </w:tc>
        <w:tc>
          <w:tcPr>
            <w:tcW w:w="1621" w:type="dxa"/>
            <w:tcBorders>
              <w:right w:val="single" w:color="000000" w:sz="2" w:space="0"/>
            </w:tcBorders>
            <w:vAlign w:val="top"/>
          </w:tcPr>
          <w:p w14:paraId="798456F8">
            <w:pPr>
              <w:rPr>
                <w:rFonts w:ascii="Arial"/>
                <w:color w:val="auto"/>
                <w:sz w:val="21"/>
                <w:highlight w:val="none"/>
              </w:rPr>
            </w:pPr>
          </w:p>
        </w:tc>
      </w:tr>
      <w:tr w14:paraId="2E36E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997" w:type="dxa"/>
            <w:tcBorders>
              <w:left w:val="single" w:color="000000" w:sz="2" w:space="0"/>
              <w:bottom w:val="single" w:color="000000" w:sz="2" w:space="0"/>
            </w:tcBorders>
            <w:vAlign w:val="top"/>
          </w:tcPr>
          <w:p w14:paraId="57D67635">
            <w:pPr>
              <w:pStyle w:val="19"/>
              <w:spacing w:before="117" w:line="347" w:lineRule="exact"/>
              <w:ind w:left="399"/>
              <w:rPr>
                <w:color w:val="auto"/>
                <w:sz w:val="24"/>
                <w:szCs w:val="24"/>
                <w:highlight w:val="none"/>
              </w:rPr>
            </w:pPr>
            <w:r>
              <w:rPr>
                <w:color w:val="auto"/>
                <w:position w:val="2"/>
                <w:sz w:val="24"/>
                <w:szCs w:val="24"/>
                <w:highlight w:val="none"/>
              </w:rPr>
              <w:t>…</w:t>
            </w:r>
          </w:p>
        </w:tc>
        <w:tc>
          <w:tcPr>
            <w:tcW w:w="990" w:type="dxa"/>
            <w:tcBorders>
              <w:bottom w:val="single" w:color="000000" w:sz="2" w:space="0"/>
              <w:right w:val="single" w:color="000000" w:sz="2" w:space="0"/>
            </w:tcBorders>
            <w:vAlign w:val="top"/>
          </w:tcPr>
          <w:p w14:paraId="37F6D7E8">
            <w:pPr>
              <w:rPr>
                <w:rFonts w:ascii="Arial"/>
                <w:color w:val="auto"/>
                <w:sz w:val="21"/>
                <w:highlight w:val="none"/>
              </w:rPr>
            </w:pPr>
          </w:p>
        </w:tc>
        <w:tc>
          <w:tcPr>
            <w:tcW w:w="3289" w:type="dxa"/>
            <w:tcBorders>
              <w:left w:val="single" w:color="000000" w:sz="2" w:space="0"/>
              <w:bottom w:val="single" w:color="000000" w:sz="2" w:space="0"/>
            </w:tcBorders>
            <w:vAlign w:val="top"/>
          </w:tcPr>
          <w:p w14:paraId="2A306A84">
            <w:pPr>
              <w:rPr>
                <w:rFonts w:ascii="Arial"/>
                <w:color w:val="auto"/>
                <w:sz w:val="21"/>
                <w:highlight w:val="none"/>
              </w:rPr>
            </w:pPr>
          </w:p>
        </w:tc>
        <w:tc>
          <w:tcPr>
            <w:tcW w:w="2961" w:type="dxa"/>
            <w:tcBorders>
              <w:bottom w:val="single" w:color="000000" w:sz="2" w:space="0"/>
            </w:tcBorders>
            <w:vAlign w:val="top"/>
          </w:tcPr>
          <w:p w14:paraId="3B2CD575">
            <w:pPr>
              <w:rPr>
                <w:rFonts w:ascii="Arial"/>
                <w:color w:val="auto"/>
                <w:sz w:val="21"/>
                <w:highlight w:val="none"/>
              </w:rPr>
            </w:pPr>
          </w:p>
        </w:tc>
        <w:tc>
          <w:tcPr>
            <w:tcW w:w="1621" w:type="dxa"/>
            <w:tcBorders>
              <w:bottom w:val="single" w:color="000000" w:sz="2" w:space="0"/>
              <w:right w:val="single" w:color="000000" w:sz="2" w:space="0"/>
            </w:tcBorders>
            <w:vAlign w:val="top"/>
          </w:tcPr>
          <w:p w14:paraId="05EEB191">
            <w:pPr>
              <w:rPr>
                <w:rFonts w:ascii="Arial"/>
                <w:color w:val="auto"/>
                <w:sz w:val="21"/>
                <w:highlight w:val="none"/>
              </w:rPr>
            </w:pPr>
          </w:p>
        </w:tc>
      </w:tr>
    </w:tbl>
    <w:p w14:paraId="63F29592">
      <w:pPr>
        <w:spacing w:before="114" w:line="224" w:lineRule="auto"/>
        <w:ind w:left="1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注：</w:t>
      </w:r>
    </w:p>
    <w:p w14:paraId="195DA413">
      <w:pPr>
        <w:spacing w:before="176" w:line="347" w:lineRule="auto"/>
        <w:ind w:left="123" w:right="113" w:firstLine="14"/>
        <w:rPr>
          <w:rFonts w:ascii="宋体" w:hAnsi="宋体" w:eastAsia="宋体" w:cs="宋体"/>
          <w:color w:val="auto"/>
          <w:sz w:val="24"/>
          <w:szCs w:val="24"/>
          <w:highlight w:val="none"/>
        </w:rPr>
      </w:pPr>
      <w:r>
        <w:rPr>
          <w:rFonts w:ascii="宋体" w:hAnsi="宋体" w:eastAsia="宋体" w:cs="宋体"/>
          <w:color w:val="auto"/>
          <w:sz w:val="24"/>
          <w:szCs w:val="24"/>
          <w:highlight w:val="none"/>
        </w:rPr>
        <w:t>1. 说明：应对照磋商文件“第三章 采购</w:t>
      </w:r>
      <w:r>
        <w:rPr>
          <w:rFonts w:ascii="宋体" w:hAnsi="宋体" w:eastAsia="宋体" w:cs="宋体"/>
          <w:color w:val="auto"/>
          <w:spacing w:val="-1"/>
          <w:sz w:val="24"/>
          <w:szCs w:val="24"/>
          <w:highlight w:val="none"/>
        </w:rPr>
        <w:t>需求</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”中的技术需求逐条实质性响应，并作出偏离</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说明。</w:t>
      </w:r>
    </w:p>
    <w:p w14:paraId="4D026A57">
      <w:pPr>
        <w:spacing w:before="34" w:line="347" w:lineRule="auto"/>
        <w:ind w:left="109" w:right="33" w:firstLine="1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2.供应商应根据竞标设备的性能指标，对照磋商文件要求，在“偏离说明</w:t>
      </w:r>
      <w:r>
        <w:rPr>
          <w:rFonts w:ascii="宋体" w:hAnsi="宋体" w:eastAsia="宋体" w:cs="宋体"/>
          <w:color w:val="auto"/>
          <w:spacing w:val="-88"/>
          <w:sz w:val="24"/>
          <w:szCs w:val="24"/>
          <w:highlight w:val="none"/>
        </w:rPr>
        <w:t xml:space="preserve"> </w:t>
      </w:r>
      <w:r>
        <w:rPr>
          <w:rFonts w:ascii="宋体" w:hAnsi="宋体" w:eastAsia="宋体" w:cs="宋体"/>
          <w:color w:val="auto"/>
          <w:spacing w:val="-10"/>
          <w:sz w:val="24"/>
          <w:szCs w:val="24"/>
          <w:highlight w:val="none"/>
        </w:rPr>
        <w:t>”</w:t>
      </w:r>
      <w:r>
        <w:rPr>
          <w:rFonts w:ascii="宋体" w:hAnsi="宋体" w:eastAsia="宋体" w:cs="宋体"/>
          <w:color w:val="auto"/>
          <w:spacing w:val="-11"/>
          <w:sz w:val="24"/>
          <w:szCs w:val="24"/>
          <w:highlight w:val="none"/>
        </w:rPr>
        <w:t>中注明“正偏离</w:t>
      </w:r>
      <w:r>
        <w:rPr>
          <w:rFonts w:ascii="宋体" w:hAnsi="宋体" w:eastAsia="宋体" w:cs="宋体"/>
          <w:color w:val="auto"/>
          <w:spacing w:val="-88"/>
          <w:sz w:val="24"/>
          <w:szCs w:val="24"/>
          <w:highlight w:val="none"/>
        </w:rPr>
        <w:t xml:space="preserve"> </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“负偏离</w:t>
      </w:r>
      <w:r>
        <w:rPr>
          <w:rFonts w:ascii="宋体" w:hAnsi="宋体" w:eastAsia="宋体" w:cs="宋体"/>
          <w:color w:val="auto"/>
          <w:spacing w:val="-88"/>
          <w:sz w:val="24"/>
          <w:szCs w:val="24"/>
          <w:highlight w:val="none"/>
        </w:rPr>
        <w:t xml:space="preserve"> </w:t>
      </w:r>
      <w:r>
        <w:rPr>
          <w:rFonts w:ascii="宋体" w:hAnsi="宋体" w:eastAsia="宋体" w:cs="宋体"/>
          <w:color w:val="auto"/>
          <w:spacing w:val="-3"/>
          <w:sz w:val="24"/>
          <w:szCs w:val="24"/>
          <w:highlight w:val="none"/>
        </w:rPr>
        <w:t>”或者“无偏离</w:t>
      </w:r>
      <w:r>
        <w:rPr>
          <w:rFonts w:ascii="宋体" w:hAnsi="宋体" w:eastAsia="宋体" w:cs="宋体"/>
          <w:color w:val="auto"/>
          <w:spacing w:val="-88"/>
          <w:sz w:val="24"/>
          <w:szCs w:val="24"/>
          <w:highlight w:val="none"/>
        </w:rPr>
        <w:t xml:space="preserve"> </w:t>
      </w:r>
      <w:r>
        <w:rPr>
          <w:rFonts w:ascii="宋体" w:hAnsi="宋体" w:eastAsia="宋体" w:cs="宋体"/>
          <w:color w:val="auto"/>
          <w:spacing w:val="-3"/>
          <w:sz w:val="24"/>
          <w:szCs w:val="24"/>
          <w:highlight w:val="none"/>
        </w:rPr>
        <w:t>”。既不属于“正偏离</w:t>
      </w:r>
      <w:r>
        <w:rPr>
          <w:rFonts w:ascii="宋体" w:hAnsi="宋体" w:eastAsia="宋体" w:cs="宋体"/>
          <w:color w:val="auto"/>
          <w:spacing w:val="-88"/>
          <w:sz w:val="24"/>
          <w:szCs w:val="24"/>
          <w:highlight w:val="none"/>
        </w:rPr>
        <w:t xml:space="preserve"> </w:t>
      </w:r>
      <w:r>
        <w:rPr>
          <w:rFonts w:ascii="宋体" w:hAnsi="宋体" w:eastAsia="宋体" w:cs="宋体"/>
          <w:color w:val="auto"/>
          <w:spacing w:val="-3"/>
          <w:sz w:val="24"/>
          <w:szCs w:val="24"/>
          <w:highlight w:val="none"/>
        </w:rPr>
        <w:t>”也不属于“负偏离</w:t>
      </w:r>
      <w:r>
        <w:rPr>
          <w:rFonts w:ascii="宋体" w:hAnsi="宋体" w:eastAsia="宋体" w:cs="宋体"/>
          <w:color w:val="auto"/>
          <w:spacing w:val="-88"/>
          <w:sz w:val="24"/>
          <w:szCs w:val="24"/>
          <w:highlight w:val="none"/>
        </w:rPr>
        <w:t xml:space="preserve"> </w:t>
      </w:r>
      <w:r>
        <w:rPr>
          <w:rFonts w:ascii="宋体" w:hAnsi="宋体" w:eastAsia="宋体" w:cs="宋体"/>
          <w:color w:val="auto"/>
          <w:spacing w:val="-4"/>
          <w:sz w:val="24"/>
          <w:szCs w:val="24"/>
          <w:highlight w:val="none"/>
        </w:rPr>
        <w:t>”即为“无偏离</w:t>
      </w:r>
      <w:r>
        <w:rPr>
          <w:rFonts w:ascii="宋体" w:hAnsi="宋体" w:eastAsia="宋体" w:cs="宋体"/>
          <w:color w:val="auto"/>
          <w:spacing w:val="-88"/>
          <w:sz w:val="24"/>
          <w:szCs w:val="24"/>
          <w:highlight w:val="none"/>
        </w:rPr>
        <w:t xml:space="preserve"> </w:t>
      </w:r>
      <w:r>
        <w:rPr>
          <w:rFonts w:ascii="宋体" w:hAnsi="宋体" w:eastAsia="宋体" w:cs="宋体"/>
          <w:color w:val="auto"/>
          <w:spacing w:val="-4"/>
          <w:sz w:val="24"/>
          <w:szCs w:val="24"/>
          <w:highlight w:val="none"/>
        </w:rPr>
        <w:t>”。</w:t>
      </w:r>
    </w:p>
    <w:p w14:paraId="724CE313">
      <w:pPr>
        <w:pStyle w:val="4"/>
        <w:spacing w:line="246" w:lineRule="auto"/>
        <w:rPr>
          <w:color w:val="auto"/>
          <w:highlight w:val="none"/>
        </w:rPr>
      </w:pPr>
    </w:p>
    <w:p w14:paraId="6084DD86">
      <w:pPr>
        <w:pStyle w:val="4"/>
        <w:spacing w:line="246" w:lineRule="auto"/>
        <w:rPr>
          <w:color w:val="auto"/>
          <w:highlight w:val="none"/>
        </w:rPr>
      </w:pPr>
    </w:p>
    <w:p w14:paraId="42207C06">
      <w:pPr>
        <w:pStyle w:val="4"/>
        <w:spacing w:line="246" w:lineRule="auto"/>
        <w:rPr>
          <w:color w:val="auto"/>
          <w:highlight w:val="none"/>
        </w:rPr>
      </w:pPr>
    </w:p>
    <w:p w14:paraId="2AF7FF5C">
      <w:pPr>
        <w:pStyle w:val="4"/>
        <w:spacing w:line="246" w:lineRule="auto"/>
        <w:rPr>
          <w:color w:val="auto"/>
          <w:highlight w:val="none"/>
        </w:rPr>
      </w:pPr>
    </w:p>
    <w:p w14:paraId="292A693B">
      <w:pPr>
        <w:pStyle w:val="4"/>
        <w:spacing w:line="246" w:lineRule="auto"/>
        <w:rPr>
          <w:color w:val="auto"/>
          <w:highlight w:val="none"/>
        </w:rPr>
      </w:pPr>
    </w:p>
    <w:p w14:paraId="0661556B">
      <w:pPr>
        <w:pStyle w:val="4"/>
        <w:spacing w:line="246" w:lineRule="auto"/>
        <w:rPr>
          <w:color w:val="auto"/>
          <w:highlight w:val="none"/>
        </w:rPr>
      </w:pPr>
    </w:p>
    <w:p w14:paraId="5EE41F8C">
      <w:pPr>
        <w:spacing w:before="79" w:line="219" w:lineRule="auto"/>
        <w:ind w:left="204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法定代表人/法定代表或者委托代理人（签字</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u w:val="single" w:color="auto"/>
        </w:rPr>
        <w:t xml:space="preserve">                </w:t>
      </w:r>
    </w:p>
    <w:p w14:paraId="318E105F">
      <w:pPr>
        <w:pStyle w:val="4"/>
        <w:spacing w:line="258" w:lineRule="auto"/>
        <w:rPr>
          <w:color w:val="auto"/>
          <w:highlight w:val="none"/>
        </w:rPr>
      </w:pPr>
    </w:p>
    <w:p w14:paraId="55333838">
      <w:pPr>
        <w:spacing w:before="78" w:line="384" w:lineRule="auto"/>
        <w:ind w:left="4241" w:right="2312" w:hanging="76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供应商（盖公章</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日期：</w:t>
      </w:r>
      <w:r>
        <w:rPr>
          <w:rFonts w:ascii="宋体" w:hAnsi="宋体" w:eastAsia="宋体" w:cs="宋体"/>
          <w:color w:val="auto"/>
          <w:spacing w:val="3"/>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3"/>
          <w:sz w:val="24"/>
          <w:szCs w:val="24"/>
          <w:highlight w:val="none"/>
        </w:rPr>
        <w:t>日</w:t>
      </w:r>
    </w:p>
    <w:p w14:paraId="2132835E">
      <w:pPr>
        <w:pStyle w:val="4"/>
        <w:spacing w:line="465" w:lineRule="auto"/>
        <w:rPr>
          <w:color w:val="auto"/>
          <w:highlight w:val="none"/>
        </w:rPr>
      </w:pPr>
    </w:p>
    <w:p w14:paraId="2473F02B">
      <w:pPr>
        <w:spacing w:before="101" w:line="224" w:lineRule="auto"/>
        <w:ind w:left="131"/>
        <w:outlineLvl w:val="2"/>
        <w:rPr>
          <w:rFonts w:ascii="宋体" w:hAnsi="宋体" w:eastAsia="宋体" w:cs="宋体"/>
          <w:color w:val="auto"/>
          <w:sz w:val="31"/>
          <w:szCs w:val="31"/>
          <w:highlight w:val="none"/>
        </w:rPr>
      </w:pPr>
      <w:r>
        <w:rPr>
          <w:rFonts w:hint="eastAsia" w:ascii="宋体" w:hAnsi="宋体" w:eastAsia="宋体" w:cs="宋体"/>
          <w:b/>
          <w:bCs/>
          <w:color w:val="auto"/>
          <w:spacing w:val="4"/>
          <w:sz w:val="31"/>
          <w:szCs w:val="31"/>
          <w:highlight w:val="none"/>
          <w:lang w:val="en-US" w:eastAsia="zh-CN"/>
        </w:rPr>
        <w:t>2</w:t>
      </w:r>
      <w:r>
        <w:rPr>
          <w:rFonts w:ascii="宋体" w:hAnsi="宋体" w:eastAsia="宋体" w:cs="宋体"/>
          <w:b/>
          <w:bCs/>
          <w:color w:val="auto"/>
          <w:spacing w:val="4"/>
          <w:sz w:val="31"/>
          <w:szCs w:val="31"/>
          <w:highlight w:val="none"/>
        </w:rPr>
        <w:t>.</w:t>
      </w:r>
      <w:r>
        <w:rPr>
          <w:rFonts w:ascii="宋体" w:hAnsi="宋体" w:eastAsia="宋体" w:cs="宋体"/>
          <w:color w:val="auto"/>
          <w:spacing w:val="-39"/>
          <w:sz w:val="31"/>
          <w:szCs w:val="31"/>
          <w:highlight w:val="none"/>
        </w:rPr>
        <w:t xml:space="preserve"> </w:t>
      </w:r>
      <w:r>
        <w:rPr>
          <w:rFonts w:ascii="宋体" w:hAnsi="宋体" w:eastAsia="宋体" w:cs="宋体"/>
          <w:b/>
          <w:bCs/>
          <w:color w:val="auto"/>
          <w:spacing w:val="4"/>
          <w:sz w:val="31"/>
          <w:szCs w:val="31"/>
          <w:highlight w:val="none"/>
        </w:rPr>
        <w:t>项目实施方案（格式自拟</w:t>
      </w:r>
      <w:r>
        <w:rPr>
          <w:rFonts w:ascii="宋体" w:hAnsi="宋体" w:eastAsia="宋体" w:cs="宋体"/>
          <w:b/>
          <w:bCs/>
          <w:color w:val="auto"/>
          <w:spacing w:val="-3"/>
          <w:sz w:val="31"/>
          <w:szCs w:val="31"/>
          <w:highlight w:val="none"/>
        </w:rPr>
        <w:t>）；</w:t>
      </w:r>
    </w:p>
    <w:p w14:paraId="7B97A3B8">
      <w:pPr>
        <w:spacing w:line="224" w:lineRule="auto"/>
        <w:rPr>
          <w:rFonts w:ascii="宋体" w:hAnsi="宋体" w:eastAsia="宋体" w:cs="宋体"/>
          <w:color w:val="auto"/>
          <w:sz w:val="31"/>
          <w:szCs w:val="31"/>
          <w:highlight w:val="none"/>
        </w:rPr>
        <w:sectPr>
          <w:footerReference r:id="rId46" w:type="default"/>
          <w:pgSz w:w="11906" w:h="16839"/>
          <w:pgMar w:top="1146" w:right="1021" w:bottom="1362" w:left="1021" w:header="0" w:footer="1200" w:gutter="0"/>
          <w:pgNumType w:fmt="decimal"/>
          <w:cols w:space="720" w:num="1"/>
        </w:sectPr>
      </w:pPr>
    </w:p>
    <w:p w14:paraId="53372FBF">
      <w:pPr>
        <w:spacing w:before="63" w:line="224" w:lineRule="auto"/>
        <w:ind w:left="125"/>
        <w:outlineLvl w:val="2"/>
        <w:rPr>
          <w:rFonts w:ascii="宋体" w:hAnsi="宋体" w:eastAsia="宋体" w:cs="宋体"/>
          <w:color w:val="auto"/>
          <w:sz w:val="31"/>
          <w:szCs w:val="31"/>
          <w:highlight w:val="none"/>
        </w:rPr>
      </w:pPr>
      <w:r>
        <w:rPr>
          <w:rFonts w:hint="eastAsia" w:ascii="宋体" w:hAnsi="宋体" w:eastAsia="宋体" w:cs="宋体"/>
          <w:b/>
          <w:bCs/>
          <w:color w:val="auto"/>
          <w:spacing w:val="5"/>
          <w:sz w:val="31"/>
          <w:szCs w:val="31"/>
          <w:highlight w:val="none"/>
          <w:lang w:val="en-US" w:eastAsia="zh-CN"/>
        </w:rPr>
        <w:t>3</w:t>
      </w:r>
      <w:r>
        <w:rPr>
          <w:rFonts w:ascii="宋体" w:hAnsi="宋体" w:eastAsia="宋体" w:cs="宋体"/>
          <w:b/>
          <w:bCs/>
          <w:color w:val="auto"/>
          <w:spacing w:val="5"/>
          <w:sz w:val="31"/>
          <w:szCs w:val="31"/>
          <w:highlight w:val="none"/>
        </w:rPr>
        <w:t>.</w:t>
      </w:r>
      <w:r>
        <w:rPr>
          <w:rFonts w:ascii="宋体" w:hAnsi="宋体" w:eastAsia="宋体" w:cs="宋体"/>
          <w:color w:val="auto"/>
          <w:spacing w:val="-41"/>
          <w:sz w:val="31"/>
          <w:szCs w:val="31"/>
          <w:highlight w:val="none"/>
        </w:rPr>
        <w:t xml:space="preserve"> </w:t>
      </w:r>
      <w:r>
        <w:rPr>
          <w:rFonts w:ascii="宋体" w:hAnsi="宋体" w:eastAsia="宋体" w:cs="宋体"/>
          <w:b/>
          <w:bCs/>
          <w:color w:val="auto"/>
          <w:spacing w:val="5"/>
          <w:sz w:val="31"/>
          <w:szCs w:val="31"/>
          <w:highlight w:val="none"/>
        </w:rPr>
        <w:t>项目实施人员一览表（格式可自拟</w:t>
      </w:r>
      <w:r>
        <w:rPr>
          <w:rFonts w:ascii="宋体" w:hAnsi="宋体" w:eastAsia="宋体" w:cs="宋体"/>
          <w:b/>
          <w:bCs/>
          <w:color w:val="auto"/>
          <w:sz w:val="31"/>
          <w:szCs w:val="31"/>
          <w:highlight w:val="none"/>
        </w:rPr>
        <w:t>）；</w:t>
      </w:r>
    </w:p>
    <w:p w14:paraId="7F50C26F">
      <w:pPr>
        <w:spacing w:before="246" w:line="225" w:lineRule="auto"/>
        <w:ind w:left="3573"/>
        <w:outlineLvl w:val="9"/>
        <w:rPr>
          <w:rFonts w:ascii="宋体" w:hAnsi="宋体" w:eastAsia="宋体" w:cs="宋体"/>
          <w:color w:val="auto"/>
          <w:sz w:val="31"/>
          <w:szCs w:val="31"/>
          <w:highlight w:val="none"/>
        </w:rPr>
      </w:pPr>
      <w:bookmarkStart w:id="63" w:name="_Toc13879"/>
      <w:r>
        <w:rPr>
          <w:rFonts w:ascii="宋体" w:hAnsi="宋体" w:eastAsia="宋体" w:cs="宋体"/>
          <w:b/>
          <w:bCs/>
          <w:color w:val="auto"/>
          <w:spacing w:val="5"/>
          <w:sz w:val="31"/>
          <w:szCs w:val="31"/>
          <w:highlight w:val="none"/>
        </w:rPr>
        <w:t>项目实施人员一览表</w:t>
      </w:r>
      <w:bookmarkEnd w:id="63"/>
    </w:p>
    <w:p w14:paraId="7B7A7CE1">
      <w:pPr>
        <w:spacing w:before="27"/>
        <w:rPr>
          <w:color w:val="auto"/>
          <w:highlight w:val="none"/>
        </w:rPr>
      </w:pPr>
    </w:p>
    <w:p w14:paraId="753B1FB1">
      <w:pPr>
        <w:spacing w:before="27"/>
        <w:rPr>
          <w:color w:val="auto"/>
          <w:highlight w:val="none"/>
        </w:rPr>
      </w:pPr>
    </w:p>
    <w:p w14:paraId="4F048A59">
      <w:pPr>
        <w:spacing w:before="27"/>
        <w:rPr>
          <w:color w:val="auto"/>
          <w:highlight w:val="none"/>
        </w:rPr>
      </w:pPr>
    </w:p>
    <w:p w14:paraId="5C72CE0F">
      <w:pPr>
        <w:spacing w:before="27"/>
        <w:rPr>
          <w:color w:val="auto"/>
          <w:highlight w:val="none"/>
        </w:rPr>
      </w:pPr>
    </w:p>
    <w:p w14:paraId="23A6F2DB">
      <w:pPr>
        <w:spacing w:before="26"/>
        <w:rPr>
          <w:color w:val="auto"/>
          <w:highlight w:val="none"/>
        </w:rPr>
      </w:pPr>
    </w:p>
    <w:tbl>
      <w:tblPr>
        <w:tblStyle w:val="1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7"/>
        <w:gridCol w:w="852"/>
        <w:gridCol w:w="1704"/>
        <w:gridCol w:w="2051"/>
        <w:gridCol w:w="2043"/>
        <w:gridCol w:w="2221"/>
      </w:tblGrid>
      <w:tr w14:paraId="5DE24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8" w:hRule="atLeast"/>
        </w:trPr>
        <w:tc>
          <w:tcPr>
            <w:tcW w:w="987" w:type="dxa"/>
            <w:vAlign w:val="top"/>
          </w:tcPr>
          <w:p w14:paraId="2A2167EE">
            <w:pPr>
              <w:spacing w:line="474" w:lineRule="auto"/>
              <w:rPr>
                <w:rFonts w:ascii="Arial"/>
                <w:color w:val="auto"/>
                <w:sz w:val="21"/>
                <w:highlight w:val="none"/>
              </w:rPr>
            </w:pPr>
          </w:p>
          <w:p w14:paraId="1CEB8520">
            <w:pPr>
              <w:pStyle w:val="19"/>
              <w:spacing w:before="78" w:line="219" w:lineRule="auto"/>
              <w:ind w:left="259"/>
              <w:rPr>
                <w:color w:val="auto"/>
                <w:sz w:val="24"/>
                <w:szCs w:val="24"/>
                <w:highlight w:val="none"/>
              </w:rPr>
            </w:pPr>
            <w:r>
              <w:rPr>
                <w:color w:val="auto"/>
                <w:spacing w:val="-5"/>
                <w:sz w:val="24"/>
                <w:szCs w:val="24"/>
                <w:highlight w:val="none"/>
              </w:rPr>
              <w:t>姓名</w:t>
            </w:r>
          </w:p>
        </w:tc>
        <w:tc>
          <w:tcPr>
            <w:tcW w:w="852" w:type="dxa"/>
            <w:vAlign w:val="top"/>
          </w:tcPr>
          <w:p w14:paraId="6FD6E6DC">
            <w:pPr>
              <w:spacing w:line="474" w:lineRule="auto"/>
              <w:rPr>
                <w:rFonts w:ascii="Arial"/>
                <w:color w:val="auto"/>
                <w:sz w:val="21"/>
                <w:highlight w:val="none"/>
              </w:rPr>
            </w:pPr>
          </w:p>
          <w:p w14:paraId="5E0EEA78">
            <w:pPr>
              <w:pStyle w:val="19"/>
              <w:spacing w:before="78" w:line="219" w:lineRule="auto"/>
              <w:ind w:left="193"/>
              <w:rPr>
                <w:color w:val="auto"/>
                <w:sz w:val="24"/>
                <w:szCs w:val="24"/>
                <w:highlight w:val="none"/>
              </w:rPr>
            </w:pPr>
            <w:r>
              <w:rPr>
                <w:color w:val="auto"/>
                <w:spacing w:val="-6"/>
                <w:sz w:val="24"/>
                <w:szCs w:val="24"/>
                <w:highlight w:val="none"/>
              </w:rPr>
              <w:t>职务</w:t>
            </w:r>
          </w:p>
        </w:tc>
        <w:tc>
          <w:tcPr>
            <w:tcW w:w="1704" w:type="dxa"/>
            <w:vAlign w:val="top"/>
          </w:tcPr>
          <w:p w14:paraId="77599DDB">
            <w:pPr>
              <w:spacing w:line="474" w:lineRule="auto"/>
              <w:rPr>
                <w:rFonts w:ascii="Arial"/>
                <w:color w:val="auto"/>
                <w:sz w:val="21"/>
                <w:highlight w:val="none"/>
              </w:rPr>
            </w:pPr>
          </w:p>
          <w:p w14:paraId="0FC452D7">
            <w:pPr>
              <w:pStyle w:val="19"/>
              <w:spacing w:before="78" w:line="220" w:lineRule="auto"/>
              <w:ind w:left="617"/>
              <w:rPr>
                <w:color w:val="auto"/>
                <w:sz w:val="24"/>
                <w:szCs w:val="24"/>
                <w:highlight w:val="none"/>
              </w:rPr>
            </w:pPr>
            <w:r>
              <w:rPr>
                <w:color w:val="auto"/>
                <w:spacing w:val="-6"/>
                <w:sz w:val="24"/>
                <w:szCs w:val="24"/>
                <w:highlight w:val="none"/>
              </w:rPr>
              <w:t>专业</w:t>
            </w:r>
          </w:p>
        </w:tc>
        <w:tc>
          <w:tcPr>
            <w:tcW w:w="2051" w:type="dxa"/>
            <w:vAlign w:val="top"/>
          </w:tcPr>
          <w:p w14:paraId="02C246F7">
            <w:pPr>
              <w:pStyle w:val="19"/>
              <w:spacing w:before="90" w:line="219" w:lineRule="auto"/>
              <w:ind w:left="116"/>
              <w:rPr>
                <w:color w:val="auto"/>
                <w:sz w:val="24"/>
                <w:szCs w:val="24"/>
                <w:highlight w:val="none"/>
              </w:rPr>
            </w:pPr>
            <w:r>
              <w:rPr>
                <w:color w:val="auto"/>
                <w:spacing w:val="-12"/>
                <w:sz w:val="24"/>
                <w:szCs w:val="24"/>
                <w:highlight w:val="none"/>
              </w:rPr>
              <w:t>专业技术资格（职</w:t>
            </w:r>
          </w:p>
          <w:p w14:paraId="56CF22DE">
            <w:pPr>
              <w:pStyle w:val="19"/>
              <w:spacing w:before="27" w:line="219" w:lineRule="auto"/>
              <w:ind w:left="114"/>
              <w:rPr>
                <w:color w:val="auto"/>
                <w:sz w:val="24"/>
                <w:szCs w:val="24"/>
                <w:highlight w:val="none"/>
              </w:rPr>
            </w:pPr>
            <w:r>
              <w:rPr>
                <w:color w:val="auto"/>
                <w:spacing w:val="-12"/>
                <w:sz w:val="24"/>
                <w:szCs w:val="24"/>
                <w:highlight w:val="none"/>
              </w:rPr>
              <w:t>称）或者职业资格</w:t>
            </w:r>
          </w:p>
          <w:p w14:paraId="7D9F9D81">
            <w:pPr>
              <w:pStyle w:val="19"/>
              <w:spacing w:before="24" w:line="219" w:lineRule="auto"/>
              <w:ind w:left="195"/>
              <w:rPr>
                <w:color w:val="auto"/>
                <w:sz w:val="24"/>
                <w:szCs w:val="24"/>
                <w:highlight w:val="none"/>
              </w:rPr>
            </w:pPr>
            <w:r>
              <w:rPr>
                <w:color w:val="auto"/>
                <w:spacing w:val="-2"/>
                <w:sz w:val="24"/>
                <w:szCs w:val="24"/>
                <w:highlight w:val="none"/>
              </w:rPr>
              <w:t>或者执业资格证</w:t>
            </w:r>
          </w:p>
          <w:p w14:paraId="0EABE4FB">
            <w:pPr>
              <w:pStyle w:val="19"/>
              <w:spacing w:before="26" w:line="219" w:lineRule="auto"/>
              <w:ind w:left="315"/>
              <w:rPr>
                <w:color w:val="auto"/>
                <w:sz w:val="24"/>
                <w:szCs w:val="24"/>
                <w:highlight w:val="none"/>
              </w:rPr>
            </w:pPr>
            <w:r>
              <w:rPr>
                <w:color w:val="auto"/>
                <w:spacing w:val="-3"/>
                <w:sz w:val="24"/>
                <w:szCs w:val="24"/>
                <w:highlight w:val="none"/>
              </w:rPr>
              <w:t>或者其他证书</w:t>
            </w:r>
          </w:p>
        </w:tc>
        <w:tc>
          <w:tcPr>
            <w:tcW w:w="2043" w:type="dxa"/>
            <w:vAlign w:val="top"/>
          </w:tcPr>
          <w:p w14:paraId="2C696D11">
            <w:pPr>
              <w:spacing w:line="474" w:lineRule="auto"/>
              <w:rPr>
                <w:rFonts w:ascii="Arial"/>
                <w:color w:val="auto"/>
                <w:sz w:val="21"/>
                <w:highlight w:val="none"/>
              </w:rPr>
            </w:pPr>
          </w:p>
          <w:p w14:paraId="7D150E03">
            <w:pPr>
              <w:pStyle w:val="19"/>
              <w:spacing w:before="78" w:line="219" w:lineRule="auto"/>
              <w:ind w:left="550"/>
              <w:rPr>
                <w:color w:val="auto"/>
                <w:sz w:val="24"/>
                <w:szCs w:val="24"/>
                <w:highlight w:val="none"/>
              </w:rPr>
            </w:pPr>
            <w:r>
              <w:rPr>
                <w:color w:val="auto"/>
                <w:spacing w:val="-3"/>
                <w:sz w:val="24"/>
                <w:szCs w:val="24"/>
                <w:highlight w:val="none"/>
              </w:rPr>
              <w:t>证书编号</w:t>
            </w:r>
          </w:p>
        </w:tc>
        <w:tc>
          <w:tcPr>
            <w:tcW w:w="2221" w:type="dxa"/>
            <w:vAlign w:val="top"/>
          </w:tcPr>
          <w:p w14:paraId="1F4E19D0">
            <w:pPr>
              <w:spacing w:line="321" w:lineRule="auto"/>
              <w:rPr>
                <w:rFonts w:ascii="Arial"/>
                <w:color w:val="auto"/>
                <w:sz w:val="21"/>
                <w:highlight w:val="none"/>
              </w:rPr>
            </w:pPr>
          </w:p>
          <w:p w14:paraId="7F7BC7B3">
            <w:pPr>
              <w:pStyle w:val="19"/>
              <w:spacing w:before="78" w:line="229" w:lineRule="auto"/>
              <w:ind w:left="637" w:right="148" w:hanging="482"/>
              <w:rPr>
                <w:color w:val="auto"/>
                <w:sz w:val="24"/>
                <w:szCs w:val="24"/>
                <w:highlight w:val="none"/>
              </w:rPr>
            </w:pPr>
            <w:r>
              <w:rPr>
                <w:color w:val="auto"/>
                <w:spacing w:val="-2"/>
                <w:sz w:val="24"/>
                <w:szCs w:val="24"/>
                <w:highlight w:val="none"/>
              </w:rPr>
              <w:t>在本项目中拟任职</w:t>
            </w:r>
            <w:r>
              <w:rPr>
                <w:color w:val="auto"/>
                <w:spacing w:val="6"/>
                <w:sz w:val="24"/>
                <w:szCs w:val="24"/>
                <w:highlight w:val="none"/>
              </w:rPr>
              <w:t xml:space="preserve"> </w:t>
            </w:r>
            <w:r>
              <w:rPr>
                <w:color w:val="auto"/>
                <w:spacing w:val="-3"/>
                <w:sz w:val="24"/>
                <w:szCs w:val="24"/>
                <w:highlight w:val="none"/>
              </w:rPr>
              <w:t>务或岗位</w:t>
            </w:r>
          </w:p>
        </w:tc>
      </w:tr>
      <w:tr w14:paraId="15E9E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987" w:type="dxa"/>
            <w:vAlign w:val="top"/>
          </w:tcPr>
          <w:p w14:paraId="036831A6">
            <w:pPr>
              <w:rPr>
                <w:rFonts w:ascii="Arial"/>
                <w:color w:val="auto"/>
                <w:sz w:val="21"/>
                <w:highlight w:val="none"/>
              </w:rPr>
            </w:pPr>
          </w:p>
        </w:tc>
        <w:tc>
          <w:tcPr>
            <w:tcW w:w="852" w:type="dxa"/>
            <w:vAlign w:val="top"/>
          </w:tcPr>
          <w:p w14:paraId="5DE58F91">
            <w:pPr>
              <w:rPr>
                <w:rFonts w:ascii="Arial"/>
                <w:color w:val="auto"/>
                <w:sz w:val="21"/>
                <w:highlight w:val="none"/>
              </w:rPr>
            </w:pPr>
          </w:p>
        </w:tc>
        <w:tc>
          <w:tcPr>
            <w:tcW w:w="1704" w:type="dxa"/>
            <w:vAlign w:val="top"/>
          </w:tcPr>
          <w:p w14:paraId="60CE07DA">
            <w:pPr>
              <w:rPr>
                <w:rFonts w:ascii="Arial"/>
                <w:color w:val="auto"/>
                <w:sz w:val="21"/>
                <w:highlight w:val="none"/>
              </w:rPr>
            </w:pPr>
          </w:p>
        </w:tc>
        <w:tc>
          <w:tcPr>
            <w:tcW w:w="2051" w:type="dxa"/>
            <w:vAlign w:val="top"/>
          </w:tcPr>
          <w:p w14:paraId="7C33D942">
            <w:pPr>
              <w:rPr>
                <w:rFonts w:ascii="Arial"/>
                <w:color w:val="auto"/>
                <w:sz w:val="21"/>
                <w:highlight w:val="none"/>
              </w:rPr>
            </w:pPr>
          </w:p>
        </w:tc>
        <w:tc>
          <w:tcPr>
            <w:tcW w:w="2043" w:type="dxa"/>
            <w:vAlign w:val="top"/>
          </w:tcPr>
          <w:p w14:paraId="33B17ACE">
            <w:pPr>
              <w:rPr>
                <w:rFonts w:ascii="Arial"/>
                <w:color w:val="auto"/>
                <w:sz w:val="21"/>
                <w:highlight w:val="none"/>
              </w:rPr>
            </w:pPr>
          </w:p>
        </w:tc>
        <w:tc>
          <w:tcPr>
            <w:tcW w:w="2221" w:type="dxa"/>
            <w:vAlign w:val="top"/>
          </w:tcPr>
          <w:p w14:paraId="36A661F6">
            <w:pPr>
              <w:rPr>
                <w:rFonts w:ascii="Arial"/>
                <w:color w:val="auto"/>
                <w:sz w:val="21"/>
                <w:highlight w:val="none"/>
              </w:rPr>
            </w:pPr>
          </w:p>
        </w:tc>
      </w:tr>
      <w:tr w14:paraId="4E692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987" w:type="dxa"/>
            <w:vAlign w:val="top"/>
          </w:tcPr>
          <w:p w14:paraId="48E3109D">
            <w:pPr>
              <w:rPr>
                <w:rFonts w:ascii="Arial"/>
                <w:color w:val="auto"/>
                <w:sz w:val="21"/>
                <w:highlight w:val="none"/>
              </w:rPr>
            </w:pPr>
          </w:p>
        </w:tc>
        <w:tc>
          <w:tcPr>
            <w:tcW w:w="852" w:type="dxa"/>
            <w:vAlign w:val="top"/>
          </w:tcPr>
          <w:p w14:paraId="191533D5">
            <w:pPr>
              <w:rPr>
                <w:rFonts w:ascii="Arial"/>
                <w:color w:val="auto"/>
                <w:sz w:val="21"/>
                <w:highlight w:val="none"/>
              </w:rPr>
            </w:pPr>
          </w:p>
        </w:tc>
        <w:tc>
          <w:tcPr>
            <w:tcW w:w="1704" w:type="dxa"/>
            <w:vAlign w:val="top"/>
          </w:tcPr>
          <w:p w14:paraId="0B682721">
            <w:pPr>
              <w:rPr>
                <w:rFonts w:ascii="Arial"/>
                <w:color w:val="auto"/>
                <w:sz w:val="21"/>
                <w:highlight w:val="none"/>
              </w:rPr>
            </w:pPr>
          </w:p>
        </w:tc>
        <w:tc>
          <w:tcPr>
            <w:tcW w:w="2051" w:type="dxa"/>
            <w:vAlign w:val="top"/>
          </w:tcPr>
          <w:p w14:paraId="490E26D6">
            <w:pPr>
              <w:rPr>
                <w:rFonts w:ascii="Arial"/>
                <w:color w:val="auto"/>
                <w:sz w:val="21"/>
                <w:highlight w:val="none"/>
              </w:rPr>
            </w:pPr>
          </w:p>
        </w:tc>
        <w:tc>
          <w:tcPr>
            <w:tcW w:w="2043" w:type="dxa"/>
            <w:vAlign w:val="top"/>
          </w:tcPr>
          <w:p w14:paraId="7E0CD62A">
            <w:pPr>
              <w:rPr>
                <w:rFonts w:ascii="Arial"/>
                <w:color w:val="auto"/>
                <w:sz w:val="21"/>
                <w:highlight w:val="none"/>
              </w:rPr>
            </w:pPr>
          </w:p>
        </w:tc>
        <w:tc>
          <w:tcPr>
            <w:tcW w:w="2221" w:type="dxa"/>
            <w:vAlign w:val="top"/>
          </w:tcPr>
          <w:p w14:paraId="020295D5">
            <w:pPr>
              <w:rPr>
                <w:rFonts w:ascii="Arial"/>
                <w:color w:val="auto"/>
                <w:sz w:val="21"/>
                <w:highlight w:val="none"/>
              </w:rPr>
            </w:pPr>
          </w:p>
        </w:tc>
      </w:tr>
      <w:tr w14:paraId="3D263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87" w:type="dxa"/>
            <w:vAlign w:val="top"/>
          </w:tcPr>
          <w:p w14:paraId="401FCF5A">
            <w:pPr>
              <w:rPr>
                <w:rFonts w:ascii="Arial"/>
                <w:color w:val="auto"/>
                <w:sz w:val="21"/>
                <w:highlight w:val="none"/>
              </w:rPr>
            </w:pPr>
          </w:p>
        </w:tc>
        <w:tc>
          <w:tcPr>
            <w:tcW w:w="852" w:type="dxa"/>
            <w:vAlign w:val="top"/>
          </w:tcPr>
          <w:p w14:paraId="253A1F6A">
            <w:pPr>
              <w:rPr>
                <w:rFonts w:ascii="Arial"/>
                <w:color w:val="auto"/>
                <w:sz w:val="21"/>
                <w:highlight w:val="none"/>
              </w:rPr>
            </w:pPr>
          </w:p>
        </w:tc>
        <w:tc>
          <w:tcPr>
            <w:tcW w:w="1704" w:type="dxa"/>
            <w:vAlign w:val="top"/>
          </w:tcPr>
          <w:p w14:paraId="53204713">
            <w:pPr>
              <w:rPr>
                <w:rFonts w:ascii="Arial"/>
                <w:color w:val="auto"/>
                <w:sz w:val="21"/>
                <w:highlight w:val="none"/>
              </w:rPr>
            </w:pPr>
          </w:p>
        </w:tc>
        <w:tc>
          <w:tcPr>
            <w:tcW w:w="2051" w:type="dxa"/>
            <w:vAlign w:val="top"/>
          </w:tcPr>
          <w:p w14:paraId="132707A3">
            <w:pPr>
              <w:rPr>
                <w:rFonts w:ascii="Arial"/>
                <w:color w:val="auto"/>
                <w:sz w:val="21"/>
                <w:highlight w:val="none"/>
              </w:rPr>
            </w:pPr>
          </w:p>
        </w:tc>
        <w:tc>
          <w:tcPr>
            <w:tcW w:w="2043" w:type="dxa"/>
            <w:vAlign w:val="top"/>
          </w:tcPr>
          <w:p w14:paraId="10D60F5E">
            <w:pPr>
              <w:rPr>
                <w:rFonts w:ascii="Arial"/>
                <w:color w:val="auto"/>
                <w:sz w:val="21"/>
                <w:highlight w:val="none"/>
              </w:rPr>
            </w:pPr>
          </w:p>
        </w:tc>
        <w:tc>
          <w:tcPr>
            <w:tcW w:w="2221" w:type="dxa"/>
            <w:vAlign w:val="top"/>
          </w:tcPr>
          <w:p w14:paraId="6CD5C9BC">
            <w:pPr>
              <w:rPr>
                <w:rFonts w:ascii="Arial"/>
                <w:color w:val="auto"/>
                <w:sz w:val="21"/>
                <w:highlight w:val="none"/>
              </w:rPr>
            </w:pPr>
          </w:p>
        </w:tc>
      </w:tr>
    </w:tbl>
    <w:p w14:paraId="23FE55F0">
      <w:pPr>
        <w:pStyle w:val="4"/>
        <w:spacing w:line="327" w:lineRule="auto"/>
        <w:rPr>
          <w:color w:val="auto"/>
          <w:highlight w:val="none"/>
        </w:rPr>
      </w:pPr>
    </w:p>
    <w:p w14:paraId="7DD2B9EE">
      <w:pPr>
        <w:pStyle w:val="4"/>
        <w:spacing w:line="328" w:lineRule="auto"/>
        <w:rPr>
          <w:color w:val="auto"/>
          <w:highlight w:val="none"/>
        </w:rPr>
      </w:pPr>
    </w:p>
    <w:p w14:paraId="3D82F3E7">
      <w:pPr>
        <w:spacing w:before="78" w:line="224" w:lineRule="auto"/>
        <w:ind w:left="1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注：</w:t>
      </w:r>
    </w:p>
    <w:p w14:paraId="2ED6C5CF">
      <w:pPr>
        <w:spacing w:before="176" w:line="219" w:lineRule="auto"/>
        <w:ind w:left="138"/>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1.在填写时，如本表格不适合供应商的实际情况，</w:t>
      </w:r>
      <w:r>
        <w:rPr>
          <w:rFonts w:ascii="宋体" w:hAnsi="宋体" w:eastAsia="宋体" w:cs="宋体"/>
          <w:b/>
          <w:bCs/>
          <w:color w:val="auto"/>
          <w:spacing w:val="-3"/>
          <w:sz w:val="24"/>
          <w:szCs w:val="24"/>
          <w:highlight w:val="none"/>
        </w:rPr>
        <w:t>可根据本表格式自行制表填写。</w:t>
      </w:r>
    </w:p>
    <w:p w14:paraId="57780D85">
      <w:pPr>
        <w:spacing w:before="183" w:line="330" w:lineRule="auto"/>
        <w:ind w:left="121" w:right="3071"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2.供应商应当附本表所列证书的复印件并加盖供应商电子签章。</w:t>
      </w:r>
      <w:r>
        <w:rPr>
          <w:rFonts w:ascii="宋体" w:hAnsi="宋体" w:eastAsia="宋体" w:cs="宋体"/>
          <w:color w:val="auto"/>
          <w:spacing w:val="4"/>
          <w:sz w:val="24"/>
          <w:szCs w:val="24"/>
          <w:highlight w:val="none"/>
        </w:rPr>
        <w:t xml:space="preserve"> </w:t>
      </w:r>
      <w:r>
        <w:rPr>
          <w:rFonts w:ascii="宋体" w:hAnsi="宋体" w:eastAsia="宋体" w:cs="宋体"/>
          <w:color w:val="auto"/>
          <w:spacing w:val="-2"/>
          <w:sz w:val="24"/>
          <w:szCs w:val="24"/>
          <w:highlight w:val="none"/>
        </w:rPr>
        <w:t>法定代表人/法定代表或者委托代理人签</w:t>
      </w:r>
      <w:r>
        <w:rPr>
          <w:rFonts w:ascii="宋体" w:hAnsi="宋体" w:eastAsia="宋体" w:cs="宋体"/>
          <w:color w:val="auto"/>
          <w:spacing w:val="-51"/>
          <w:sz w:val="24"/>
          <w:szCs w:val="24"/>
          <w:highlight w:val="none"/>
        </w:rPr>
        <w:t xml:space="preserve"> </w:t>
      </w:r>
      <w:r>
        <w:rPr>
          <w:rFonts w:ascii="宋体" w:hAnsi="宋体" w:eastAsia="宋体" w:cs="宋体"/>
          <w:color w:val="auto"/>
          <w:spacing w:val="-2"/>
          <w:sz w:val="24"/>
          <w:szCs w:val="24"/>
          <w:highlight w:val="none"/>
        </w:rPr>
        <w:t>字：</w:t>
      </w:r>
      <w:r>
        <w:rPr>
          <w:rFonts w:ascii="宋体" w:hAnsi="宋体" w:eastAsia="宋体" w:cs="宋体"/>
          <w:color w:val="auto"/>
          <w:spacing w:val="-42"/>
          <w:sz w:val="24"/>
          <w:szCs w:val="24"/>
          <w:highlight w:val="none"/>
        </w:rPr>
        <w:t xml:space="preserve"> </w:t>
      </w:r>
      <w:r>
        <w:rPr>
          <w:rFonts w:ascii="宋体" w:hAnsi="宋体" w:eastAsia="宋体" w:cs="宋体"/>
          <w:color w:val="auto"/>
          <w:sz w:val="24"/>
          <w:szCs w:val="24"/>
          <w:highlight w:val="none"/>
          <w:u w:val="single" w:color="auto"/>
        </w:rPr>
        <w:t xml:space="preserve">           </w:t>
      </w:r>
    </w:p>
    <w:p w14:paraId="4BF1D6DF">
      <w:pPr>
        <w:spacing w:before="1" w:line="218" w:lineRule="auto"/>
        <w:ind w:left="120"/>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供</w:t>
      </w:r>
      <w:r>
        <w:rPr>
          <w:rFonts w:ascii="宋体" w:hAnsi="宋体" w:eastAsia="宋体" w:cs="宋体"/>
          <w:color w:val="auto"/>
          <w:spacing w:val="-69"/>
          <w:sz w:val="24"/>
          <w:szCs w:val="24"/>
          <w:highlight w:val="none"/>
        </w:rPr>
        <w:t xml:space="preserve"> </w:t>
      </w:r>
      <w:r>
        <w:rPr>
          <w:rFonts w:ascii="宋体" w:hAnsi="宋体" w:eastAsia="宋体" w:cs="宋体"/>
          <w:color w:val="auto"/>
          <w:spacing w:val="-17"/>
          <w:sz w:val="24"/>
          <w:szCs w:val="24"/>
          <w:highlight w:val="none"/>
        </w:rPr>
        <w:t>应</w:t>
      </w:r>
      <w:r>
        <w:rPr>
          <w:rFonts w:ascii="宋体" w:hAnsi="宋体" w:eastAsia="宋体" w:cs="宋体"/>
          <w:color w:val="auto"/>
          <w:spacing w:val="-68"/>
          <w:sz w:val="24"/>
          <w:szCs w:val="24"/>
          <w:highlight w:val="none"/>
        </w:rPr>
        <w:t xml:space="preserve"> </w:t>
      </w:r>
      <w:r>
        <w:rPr>
          <w:rFonts w:ascii="宋体" w:hAnsi="宋体" w:eastAsia="宋体" w:cs="宋体"/>
          <w:color w:val="auto"/>
          <w:spacing w:val="-17"/>
          <w:sz w:val="24"/>
          <w:szCs w:val="24"/>
          <w:highlight w:val="none"/>
        </w:rPr>
        <w:t>商（ 电</w:t>
      </w:r>
      <w:r>
        <w:rPr>
          <w:rFonts w:ascii="宋体" w:hAnsi="宋体" w:eastAsia="宋体" w:cs="宋体"/>
          <w:color w:val="auto"/>
          <w:spacing w:val="-71"/>
          <w:sz w:val="24"/>
          <w:szCs w:val="24"/>
          <w:highlight w:val="none"/>
        </w:rPr>
        <w:t xml:space="preserve"> </w:t>
      </w:r>
      <w:r>
        <w:rPr>
          <w:rFonts w:ascii="宋体" w:hAnsi="宋体" w:eastAsia="宋体" w:cs="宋体"/>
          <w:color w:val="auto"/>
          <w:spacing w:val="-17"/>
          <w:sz w:val="24"/>
          <w:szCs w:val="24"/>
          <w:highlight w:val="none"/>
        </w:rPr>
        <w:t>子</w:t>
      </w:r>
      <w:r>
        <w:rPr>
          <w:rFonts w:ascii="宋体" w:hAnsi="宋体" w:eastAsia="宋体" w:cs="宋体"/>
          <w:color w:val="auto"/>
          <w:spacing w:val="-70"/>
          <w:sz w:val="24"/>
          <w:szCs w:val="24"/>
          <w:highlight w:val="none"/>
        </w:rPr>
        <w:t xml:space="preserve"> </w:t>
      </w:r>
      <w:r>
        <w:rPr>
          <w:rFonts w:ascii="宋体" w:hAnsi="宋体" w:eastAsia="宋体" w:cs="宋体"/>
          <w:color w:val="auto"/>
          <w:spacing w:val="-17"/>
          <w:sz w:val="24"/>
          <w:szCs w:val="24"/>
          <w:highlight w:val="none"/>
        </w:rPr>
        <w:t>签</w:t>
      </w:r>
      <w:r>
        <w:rPr>
          <w:rFonts w:ascii="宋体" w:hAnsi="宋体" w:eastAsia="宋体" w:cs="宋体"/>
          <w:color w:val="auto"/>
          <w:spacing w:val="-61"/>
          <w:sz w:val="24"/>
          <w:szCs w:val="24"/>
          <w:highlight w:val="none"/>
        </w:rPr>
        <w:t xml:space="preserve"> </w:t>
      </w:r>
      <w:r>
        <w:rPr>
          <w:rFonts w:ascii="宋体" w:hAnsi="宋体" w:eastAsia="宋体" w:cs="宋体"/>
          <w:color w:val="auto"/>
          <w:spacing w:val="-17"/>
          <w:sz w:val="24"/>
          <w:szCs w:val="24"/>
          <w:highlight w:val="none"/>
        </w:rPr>
        <w:t>章</w:t>
      </w:r>
      <w:r>
        <w:rPr>
          <w:rFonts w:ascii="宋体" w:hAnsi="宋体" w:eastAsia="宋体" w:cs="宋体"/>
          <w:color w:val="auto"/>
          <w:spacing w:val="-47"/>
          <w:sz w:val="24"/>
          <w:szCs w:val="24"/>
          <w:highlight w:val="none"/>
        </w:rPr>
        <w:t xml:space="preserve"> </w:t>
      </w:r>
      <w:r>
        <w:rPr>
          <w:rFonts w:ascii="宋体" w:hAnsi="宋体" w:eastAsia="宋体" w:cs="宋体"/>
          <w:color w:val="auto"/>
          <w:spacing w:val="-32"/>
          <w:sz w:val="24"/>
          <w:szCs w:val="24"/>
          <w:highlight w:val="none"/>
        </w:rPr>
        <w:t>）</w:t>
      </w:r>
      <w:r>
        <w:rPr>
          <w:rFonts w:ascii="宋体" w:hAnsi="宋体" w:eastAsia="宋体" w:cs="宋体"/>
          <w:color w:val="auto"/>
          <w:spacing w:val="-50"/>
          <w:sz w:val="24"/>
          <w:szCs w:val="24"/>
          <w:highlight w:val="none"/>
        </w:rPr>
        <w:t xml:space="preserve"> </w:t>
      </w:r>
      <w:r>
        <w:rPr>
          <w:rFonts w:ascii="宋体" w:hAnsi="宋体" w:eastAsia="宋体" w:cs="宋体"/>
          <w:color w:val="auto"/>
          <w:spacing w:val="-32"/>
          <w:sz w:val="24"/>
          <w:szCs w:val="24"/>
          <w:highlight w:val="none"/>
        </w:rPr>
        <w:t>：</w:t>
      </w:r>
      <w:r>
        <w:rPr>
          <w:rFonts w:ascii="宋体" w:hAnsi="宋体" w:eastAsia="宋体" w:cs="宋体"/>
          <w:color w:val="auto"/>
          <w:spacing w:val="-79"/>
          <w:sz w:val="24"/>
          <w:szCs w:val="24"/>
          <w:highlight w:val="none"/>
        </w:rPr>
        <w:t xml:space="preserve"> </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17"/>
          <w:sz w:val="24"/>
          <w:szCs w:val="24"/>
          <w:highlight w:val="none"/>
        </w:rPr>
        <w:t>日</w:t>
      </w:r>
      <w:r>
        <w:rPr>
          <w:rFonts w:ascii="宋体" w:hAnsi="宋体" w:eastAsia="宋体" w:cs="宋体"/>
          <w:color w:val="auto"/>
          <w:spacing w:val="104"/>
          <w:sz w:val="24"/>
          <w:szCs w:val="24"/>
          <w:highlight w:val="none"/>
        </w:rPr>
        <w:t xml:space="preserve"> </w:t>
      </w:r>
      <w:r>
        <w:rPr>
          <w:rFonts w:ascii="宋体" w:hAnsi="宋体" w:eastAsia="宋体" w:cs="宋体"/>
          <w:color w:val="auto"/>
          <w:spacing w:val="-17"/>
          <w:sz w:val="24"/>
          <w:szCs w:val="24"/>
          <w:highlight w:val="none"/>
        </w:rPr>
        <w:t>期</w:t>
      </w:r>
      <w:r>
        <w:rPr>
          <w:rFonts w:ascii="宋体" w:hAnsi="宋体" w:eastAsia="宋体" w:cs="宋体"/>
          <w:color w:val="auto"/>
          <w:spacing w:val="-49"/>
          <w:sz w:val="24"/>
          <w:szCs w:val="24"/>
          <w:highlight w:val="none"/>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83"/>
          <w:sz w:val="24"/>
          <w:szCs w:val="24"/>
          <w:highlight w:val="none"/>
        </w:rPr>
        <w:t xml:space="preserve"> </w:t>
      </w:r>
      <w:r>
        <w:rPr>
          <w:rFonts w:ascii="宋体" w:hAnsi="宋体" w:eastAsia="宋体" w:cs="宋体"/>
          <w:color w:val="auto"/>
          <w:sz w:val="24"/>
          <w:szCs w:val="24"/>
          <w:highlight w:val="none"/>
          <w:u w:val="single" w:color="auto"/>
        </w:rPr>
        <w:t xml:space="preserve">           </w:t>
      </w:r>
    </w:p>
    <w:p w14:paraId="7B34CF3B">
      <w:pPr>
        <w:pStyle w:val="4"/>
        <w:spacing w:line="340" w:lineRule="auto"/>
        <w:rPr>
          <w:color w:val="auto"/>
          <w:highlight w:val="none"/>
        </w:rPr>
      </w:pPr>
    </w:p>
    <w:p w14:paraId="3DC41894">
      <w:pPr>
        <w:pStyle w:val="4"/>
        <w:spacing w:line="340" w:lineRule="auto"/>
        <w:rPr>
          <w:color w:val="auto"/>
          <w:highlight w:val="none"/>
        </w:rPr>
      </w:pPr>
    </w:p>
    <w:p w14:paraId="72128C6F">
      <w:pPr>
        <w:spacing w:before="101" w:line="357" w:lineRule="auto"/>
        <w:ind w:left="147" w:right="1157" w:hanging="22"/>
        <w:outlineLvl w:val="2"/>
        <w:rPr>
          <w:rFonts w:ascii="宋体" w:hAnsi="宋体" w:eastAsia="宋体" w:cs="宋体"/>
          <w:color w:val="auto"/>
          <w:spacing w:val="6"/>
          <w:sz w:val="31"/>
          <w:szCs w:val="31"/>
          <w:highlight w:val="none"/>
        </w:rPr>
      </w:pPr>
      <w:r>
        <w:rPr>
          <w:rFonts w:hint="eastAsia" w:ascii="宋体" w:hAnsi="宋体" w:eastAsia="宋体" w:cs="宋体"/>
          <w:b/>
          <w:bCs/>
          <w:color w:val="auto"/>
          <w:spacing w:val="4"/>
          <w:sz w:val="31"/>
          <w:szCs w:val="31"/>
          <w:highlight w:val="none"/>
          <w:lang w:val="en-US" w:eastAsia="zh-CN"/>
        </w:rPr>
        <w:t>4</w:t>
      </w:r>
      <w:r>
        <w:rPr>
          <w:rFonts w:ascii="宋体" w:hAnsi="宋体" w:eastAsia="宋体" w:cs="宋体"/>
          <w:b/>
          <w:bCs/>
          <w:color w:val="auto"/>
          <w:spacing w:val="4"/>
          <w:sz w:val="31"/>
          <w:szCs w:val="31"/>
          <w:highlight w:val="none"/>
        </w:rPr>
        <w:t>.对应采购需求的技术需求</w:t>
      </w:r>
      <w:r>
        <w:rPr>
          <w:rFonts w:hint="eastAsia" w:ascii="宋体" w:hAnsi="宋体" w:eastAsia="宋体" w:cs="宋体"/>
          <w:b/>
          <w:bCs/>
          <w:color w:val="auto"/>
          <w:spacing w:val="4"/>
          <w:sz w:val="31"/>
          <w:szCs w:val="31"/>
          <w:highlight w:val="none"/>
          <w:lang w:val="en-US" w:eastAsia="zh-CN"/>
        </w:rPr>
        <w:t>及</w:t>
      </w:r>
      <w:r>
        <w:rPr>
          <w:rFonts w:hint="eastAsia" w:ascii="宋体" w:hAnsi="宋体" w:eastAsia="宋体" w:cs="宋体"/>
          <w:b/>
          <w:bCs/>
          <w:color w:val="auto"/>
          <w:spacing w:val="4"/>
          <w:sz w:val="31"/>
          <w:szCs w:val="31"/>
          <w:highlight w:val="none"/>
        </w:rPr>
        <w:t>评审标准</w:t>
      </w:r>
      <w:r>
        <w:rPr>
          <w:rFonts w:ascii="宋体" w:hAnsi="宋体" w:eastAsia="宋体" w:cs="宋体"/>
          <w:b/>
          <w:bCs/>
          <w:color w:val="auto"/>
          <w:spacing w:val="4"/>
          <w:sz w:val="31"/>
          <w:szCs w:val="31"/>
          <w:highlight w:val="none"/>
        </w:rPr>
        <w:t>提供的其他文件资料；</w:t>
      </w:r>
    </w:p>
    <w:p w14:paraId="763B98E9">
      <w:pPr>
        <w:spacing w:before="101" w:line="357" w:lineRule="auto"/>
        <w:ind w:left="147" w:right="1157" w:hanging="22"/>
        <w:rPr>
          <w:rFonts w:ascii="宋体" w:hAnsi="宋体" w:eastAsia="宋体" w:cs="宋体"/>
          <w:color w:val="auto"/>
          <w:sz w:val="31"/>
          <w:szCs w:val="31"/>
          <w:highlight w:val="none"/>
        </w:rPr>
      </w:pPr>
    </w:p>
    <w:p w14:paraId="54F0799E">
      <w:pPr>
        <w:spacing w:line="357" w:lineRule="auto"/>
        <w:rPr>
          <w:rFonts w:ascii="宋体" w:hAnsi="宋体" w:eastAsia="宋体" w:cs="宋体"/>
          <w:color w:val="auto"/>
          <w:sz w:val="31"/>
          <w:szCs w:val="31"/>
          <w:highlight w:val="none"/>
        </w:rPr>
        <w:sectPr>
          <w:footerReference r:id="rId47" w:type="default"/>
          <w:pgSz w:w="11906" w:h="16839"/>
          <w:pgMar w:top="1146" w:right="1021" w:bottom="1362" w:left="1021" w:header="0" w:footer="1200" w:gutter="0"/>
          <w:pgNumType w:fmt="decimal"/>
          <w:cols w:space="720" w:num="1"/>
        </w:sectPr>
      </w:pPr>
    </w:p>
    <w:p w14:paraId="1BB1EB86">
      <w:pPr>
        <w:spacing w:before="63" w:line="224" w:lineRule="auto"/>
        <w:ind w:left="3618"/>
        <w:outlineLvl w:val="0"/>
        <w:rPr>
          <w:rFonts w:ascii="宋体" w:hAnsi="宋体" w:eastAsia="宋体" w:cs="宋体"/>
          <w:color w:val="auto"/>
          <w:sz w:val="31"/>
          <w:szCs w:val="31"/>
          <w:highlight w:val="none"/>
        </w:rPr>
      </w:pPr>
      <w:bookmarkStart w:id="64" w:name="bookmark12"/>
      <w:bookmarkEnd w:id="64"/>
      <w:bookmarkStart w:id="65" w:name="bookmark11"/>
      <w:bookmarkEnd w:id="65"/>
      <w:bookmarkStart w:id="66" w:name="_Toc21255"/>
      <w:bookmarkStart w:id="67" w:name="_Toc30009"/>
      <w:r>
        <w:rPr>
          <w:rFonts w:ascii="宋体" w:hAnsi="宋体" w:eastAsia="宋体" w:cs="宋体"/>
          <w:b/>
          <w:bCs/>
          <w:color w:val="auto"/>
          <w:spacing w:val="6"/>
          <w:sz w:val="31"/>
          <w:szCs w:val="31"/>
          <w:highlight w:val="none"/>
        </w:rPr>
        <w:t>第六章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合同文本</w:t>
      </w:r>
      <w:bookmarkEnd w:id="66"/>
      <w:bookmarkEnd w:id="67"/>
    </w:p>
    <w:p w14:paraId="46D6DA4F">
      <w:pPr>
        <w:pStyle w:val="4"/>
        <w:spacing w:line="302" w:lineRule="auto"/>
        <w:rPr>
          <w:color w:val="auto"/>
          <w:highlight w:val="none"/>
        </w:rPr>
      </w:pPr>
    </w:p>
    <w:p w14:paraId="09DF48C6">
      <w:pPr>
        <w:pStyle w:val="4"/>
        <w:spacing w:line="302" w:lineRule="auto"/>
        <w:rPr>
          <w:color w:val="auto"/>
          <w:highlight w:val="none"/>
        </w:rPr>
      </w:pPr>
    </w:p>
    <w:p w14:paraId="451A83FA">
      <w:pPr>
        <w:pStyle w:val="4"/>
        <w:spacing w:line="302" w:lineRule="auto"/>
        <w:rPr>
          <w:color w:val="auto"/>
          <w:highlight w:val="none"/>
        </w:rPr>
      </w:pPr>
    </w:p>
    <w:p w14:paraId="3B6D5A55">
      <w:pPr>
        <w:spacing w:line="360" w:lineRule="auto"/>
        <w:jc w:val="center"/>
        <w:rPr>
          <w:rFonts w:ascii="宋体" w:hAnsi="宋体" w:cs="Courier New"/>
          <w:b/>
          <w:color w:val="auto"/>
          <w:sz w:val="32"/>
          <w:szCs w:val="32"/>
          <w:highlight w:val="none"/>
        </w:rPr>
      </w:pPr>
      <w:bookmarkStart w:id="68" w:name="OLE_LINK24"/>
      <w:r>
        <w:rPr>
          <w:rFonts w:hint="eastAsia" w:ascii="宋体" w:hAnsi="宋体" w:cs="宋体"/>
          <w:b/>
          <w:bCs/>
          <w:color w:val="auto"/>
          <w:sz w:val="44"/>
          <w:szCs w:val="44"/>
          <w:highlight w:val="none"/>
        </w:rPr>
        <w:t>政 府 采 购 合 同</w:t>
      </w:r>
    </w:p>
    <w:bookmarkEnd w:id="68"/>
    <w:p w14:paraId="21E63FE3">
      <w:pPr>
        <w:spacing w:line="520" w:lineRule="exact"/>
        <w:rPr>
          <w:rFonts w:ascii="宋体" w:hAnsi="宋体" w:cs="Courier New"/>
          <w:b/>
          <w:color w:val="auto"/>
          <w:sz w:val="32"/>
          <w:szCs w:val="32"/>
          <w:highlight w:val="none"/>
        </w:rPr>
      </w:pPr>
    </w:p>
    <w:p w14:paraId="53BD09DE">
      <w:pPr>
        <w:pStyle w:val="4"/>
        <w:rPr>
          <w:color w:val="auto"/>
          <w:highlight w:val="none"/>
        </w:rPr>
      </w:pPr>
    </w:p>
    <w:p w14:paraId="69D4D062">
      <w:pPr>
        <w:pStyle w:val="4"/>
        <w:rPr>
          <w:color w:val="auto"/>
          <w:highlight w:val="none"/>
        </w:rPr>
      </w:pPr>
    </w:p>
    <w:p w14:paraId="5864DB48">
      <w:pPr>
        <w:tabs>
          <w:tab w:val="left" w:pos="0"/>
          <w:tab w:val="left" w:pos="7920"/>
        </w:tabs>
        <w:spacing w:line="360" w:lineRule="auto"/>
        <w:ind w:firstLine="1041" w:firstLineChars="400"/>
        <w:rPr>
          <w:rFonts w:ascii="Arial" w:hAnsi="Arial" w:cs="Arial"/>
          <w:b/>
          <w:color w:val="auto"/>
          <w:kern w:val="1"/>
          <w:sz w:val="30"/>
          <w:szCs w:val="30"/>
          <w:highlight w:val="none"/>
        </w:rPr>
      </w:pPr>
      <w:r>
        <w:rPr>
          <w:rFonts w:hint="eastAsia" w:ascii="Arial" w:hAnsi="Arial" w:cs="Arial"/>
          <w:b/>
          <w:color w:val="auto"/>
          <w:spacing w:val="-20"/>
          <w:kern w:val="1"/>
          <w:sz w:val="30"/>
          <w:szCs w:val="30"/>
          <w:highlight w:val="none"/>
        </w:rPr>
        <w:t>合</w:t>
      </w:r>
      <w:r>
        <w:rPr>
          <w:rFonts w:ascii="Arial" w:hAnsi="Arial" w:cs="Arial"/>
          <w:b/>
          <w:color w:val="auto"/>
          <w:spacing w:val="-20"/>
          <w:kern w:val="1"/>
          <w:sz w:val="30"/>
          <w:szCs w:val="30"/>
          <w:highlight w:val="none"/>
        </w:rPr>
        <w:t xml:space="preserve"> 同 名 称：</w:t>
      </w:r>
      <w:r>
        <w:rPr>
          <w:rFonts w:hint="eastAsia" w:ascii="Arial" w:hAnsi="Arial" w:cs="Arial"/>
          <w:b/>
          <w:color w:val="auto"/>
          <w:spacing w:val="-20"/>
          <w:kern w:val="1"/>
          <w:sz w:val="30"/>
          <w:szCs w:val="30"/>
          <w:highlight w:val="none"/>
          <w:u w:val="single"/>
          <w:lang w:val="en-US" w:eastAsia="zh-CN"/>
        </w:rPr>
        <w:t xml:space="preserve">         </w:t>
      </w:r>
      <w:r>
        <w:rPr>
          <w:rFonts w:hint="eastAsia"/>
          <w:b/>
          <w:color w:val="auto"/>
          <w:kern w:val="1"/>
          <w:sz w:val="30"/>
          <w:szCs w:val="30"/>
          <w:highlight w:val="none"/>
          <w:u w:val="single"/>
        </w:rPr>
        <w:t xml:space="preserve">项目 </w:t>
      </w:r>
    </w:p>
    <w:p w14:paraId="01B0EAB5">
      <w:pPr>
        <w:tabs>
          <w:tab w:val="left" w:pos="721"/>
        </w:tabs>
        <w:spacing w:line="360" w:lineRule="auto"/>
        <w:ind w:firstLine="1041" w:firstLineChars="400"/>
        <w:rPr>
          <w:rFonts w:ascii="Arial" w:hAnsi="Arial" w:cs="Arial"/>
          <w:b/>
          <w:color w:val="auto"/>
          <w:spacing w:val="-20"/>
          <w:kern w:val="1"/>
          <w:sz w:val="30"/>
          <w:szCs w:val="30"/>
          <w:highlight w:val="none"/>
        </w:rPr>
      </w:pPr>
    </w:p>
    <w:p w14:paraId="039FB822">
      <w:pPr>
        <w:tabs>
          <w:tab w:val="left" w:pos="721"/>
        </w:tabs>
        <w:spacing w:line="360" w:lineRule="auto"/>
        <w:ind w:firstLine="1041" w:firstLineChars="400"/>
        <w:rPr>
          <w:rFonts w:hint="default" w:ascii="Arial" w:hAnsi="Arial" w:eastAsia="宋体" w:cs="Arial"/>
          <w:b/>
          <w:color w:val="auto"/>
          <w:kern w:val="1"/>
          <w:sz w:val="30"/>
          <w:szCs w:val="30"/>
          <w:highlight w:val="none"/>
          <w:u w:val="single"/>
          <w:lang w:val="en-US" w:eastAsia="zh-CN"/>
        </w:rPr>
      </w:pPr>
      <w:r>
        <w:rPr>
          <w:rFonts w:ascii="Arial" w:hAnsi="Arial" w:cs="Arial"/>
          <w:b/>
          <w:color w:val="auto"/>
          <w:spacing w:val="-20"/>
          <w:kern w:val="1"/>
          <w:sz w:val="30"/>
          <w:szCs w:val="30"/>
          <w:highlight w:val="none"/>
        </w:rPr>
        <w:t>合 同 编 号：</w:t>
      </w:r>
      <w:r>
        <w:rPr>
          <w:rFonts w:hint="eastAsia"/>
          <w:b/>
          <w:color w:val="auto"/>
          <w:kern w:val="1"/>
          <w:sz w:val="30"/>
          <w:szCs w:val="30"/>
          <w:highlight w:val="none"/>
          <w:u w:val="single"/>
          <w:lang w:val="en-US" w:eastAsia="zh-CN"/>
        </w:rPr>
        <w:t xml:space="preserve">XX                </w:t>
      </w:r>
    </w:p>
    <w:p w14:paraId="6443B787">
      <w:pPr>
        <w:tabs>
          <w:tab w:val="left" w:pos="0"/>
          <w:tab w:val="left" w:pos="7920"/>
        </w:tabs>
        <w:spacing w:line="360" w:lineRule="auto"/>
        <w:ind w:firstLine="1041" w:firstLineChars="400"/>
        <w:rPr>
          <w:rFonts w:hint="eastAsia" w:ascii="Arial" w:hAnsi="Arial" w:cs="Arial"/>
          <w:b/>
          <w:color w:val="auto"/>
          <w:spacing w:val="-20"/>
          <w:kern w:val="1"/>
          <w:sz w:val="30"/>
          <w:szCs w:val="30"/>
          <w:highlight w:val="none"/>
        </w:rPr>
      </w:pPr>
    </w:p>
    <w:p w14:paraId="3078BB60">
      <w:pPr>
        <w:tabs>
          <w:tab w:val="left" w:pos="0"/>
          <w:tab w:val="left" w:pos="7920"/>
        </w:tabs>
        <w:spacing w:line="360" w:lineRule="auto"/>
        <w:ind w:firstLine="1041" w:firstLineChars="400"/>
        <w:rPr>
          <w:rFonts w:ascii="Arial" w:hAnsi="Arial" w:cs="Arial"/>
          <w:b/>
          <w:color w:val="auto"/>
          <w:spacing w:val="-20"/>
          <w:kern w:val="1"/>
          <w:sz w:val="30"/>
          <w:szCs w:val="30"/>
          <w:highlight w:val="none"/>
        </w:rPr>
      </w:pPr>
      <w:r>
        <w:rPr>
          <w:rFonts w:hint="eastAsia" w:ascii="Arial" w:hAnsi="Arial" w:cs="Arial"/>
          <w:b/>
          <w:color w:val="auto"/>
          <w:spacing w:val="-20"/>
          <w:kern w:val="1"/>
          <w:sz w:val="30"/>
          <w:szCs w:val="30"/>
          <w:highlight w:val="none"/>
        </w:rPr>
        <w:t>采购单位（甲方）：</w:t>
      </w:r>
      <w:r>
        <w:rPr>
          <w:rFonts w:hint="eastAsia" w:eastAsia="宋体" w:cs="Arial"/>
          <w:b/>
          <w:color w:val="auto"/>
          <w:spacing w:val="-20"/>
          <w:kern w:val="1"/>
          <w:sz w:val="30"/>
          <w:szCs w:val="30"/>
          <w:highlight w:val="none"/>
          <w:u w:val="single"/>
          <w:lang w:val="en-US" w:eastAsia="zh-CN"/>
        </w:rPr>
        <w:t xml:space="preserve">                                            </w:t>
      </w:r>
      <w:r>
        <w:rPr>
          <w:rFonts w:hint="eastAsia"/>
          <w:b/>
          <w:color w:val="auto"/>
          <w:kern w:val="1"/>
          <w:sz w:val="30"/>
          <w:szCs w:val="30"/>
          <w:highlight w:val="none"/>
          <w:u w:val="single"/>
        </w:rPr>
        <w:t xml:space="preserve"> </w:t>
      </w:r>
    </w:p>
    <w:p w14:paraId="4B22817A">
      <w:pPr>
        <w:tabs>
          <w:tab w:val="left" w:pos="0"/>
          <w:tab w:val="left" w:pos="7920"/>
        </w:tabs>
        <w:spacing w:line="360" w:lineRule="auto"/>
        <w:ind w:firstLine="1041" w:firstLineChars="400"/>
        <w:rPr>
          <w:rFonts w:ascii="Arial" w:hAnsi="Arial" w:cs="Arial"/>
          <w:b/>
          <w:color w:val="auto"/>
          <w:spacing w:val="-20"/>
          <w:kern w:val="1"/>
          <w:sz w:val="30"/>
          <w:szCs w:val="30"/>
          <w:highlight w:val="none"/>
        </w:rPr>
      </w:pPr>
      <w:r>
        <w:rPr>
          <w:rFonts w:hint="eastAsia" w:ascii="Arial" w:hAnsi="Arial" w:cs="Arial"/>
          <w:b/>
          <w:color w:val="auto"/>
          <w:spacing w:val="-20"/>
          <w:kern w:val="1"/>
          <w:sz w:val="30"/>
          <w:szCs w:val="30"/>
          <w:highlight w:val="none"/>
        </w:rPr>
        <w:t>地  址：</w:t>
      </w:r>
      <w:r>
        <w:rPr>
          <w:rFonts w:hint="eastAsia" w:eastAsia="宋体" w:cs="Arial"/>
          <w:b/>
          <w:color w:val="auto"/>
          <w:spacing w:val="-20"/>
          <w:kern w:val="1"/>
          <w:sz w:val="30"/>
          <w:szCs w:val="30"/>
          <w:highlight w:val="none"/>
          <w:u w:val="single"/>
          <w:lang w:val="en-US" w:eastAsia="zh-CN"/>
        </w:rPr>
        <w:t xml:space="preserve">                                                                         </w:t>
      </w:r>
      <w:r>
        <w:rPr>
          <w:rFonts w:hint="eastAsia"/>
          <w:b/>
          <w:color w:val="auto"/>
          <w:kern w:val="1"/>
          <w:sz w:val="30"/>
          <w:szCs w:val="30"/>
          <w:highlight w:val="none"/>
          <w:u w:val="single"/>
        </w:rPr>
        <w:t xml:space="preserve"> </w:t>
      </w:r>
    </w:p>
    <w:p w14:paraId="5A575A24">
      <w:pPr>
        <w:tabs>
          <w:tab w:val="left" w:pos="0"/>
          <w:tab w:val="left" w:pos="7920"/>
        </w:tabs>
        <w:spacing w:line="360" w:lineRule="auto"/>
        <w:ind w:firstLine="1041" w:firstLineChars="400"/>
        <w:rPr>
          <w:rFonts w:hint="eastAsia" w:ascii="Arial" w:hAnsi="Arial" w:cs="Arial"/>
          <w:b/>
          <w:color w:val="auto"/>
          <w:spacing w:val="-20"/>
          <w:kern w:val="1"/>
          <w:sz w:val="30"/>
          <w:szCs w:val="30"/>
          <w:highlight w:val="none"/>
        </w:rPr>
      </w:pPr>
    </w:p>
    <w:p w14:paraId="4859BF67">
      <w:pPr>
        <w:tabs>
          <w:tab w:val="left" w:pos="0"/>
          <w:tab w:val="left" w:pos="902"/>
        </w:tabs>
        <w:spacing w:line="360" w:lineRule="auto"/>
        <w:ind w:firstLine="1041" w:firstLineChars="400"/>
        <w:rPr>
          <w:rFonts w:ascii="Arial" w:hAnsi="Arial" w:cs="Arial"/>
          <w:b/>
          <w:color w:val="auto"/>
          <w:spacing w:val="-20"/>
          <w:kern w:val="1"/>
          <w:sz w:val="30"/>
          <w:szCs w:val="30"/>
          <w:highlight w:val="none"/>
        </w:rPr>
      </w:pPr>
      <w:r>
        <w:rPr>
          <w:rFonts w:hint="eastAsia" w:ascii="Arial" w:hAnsi="Arial" w:cs="Arial"/>
          <w:b/>
          <w:color w:val="auto"/>
          <w:spacing w:val="-20"/>
          <w:kern w:val="1"/>
          <w:sz w:val="30"/>
          <w:szCs w:val="30"/>
          <w:highlight w:val="none"/>
        </w:rPr>
        <w:t>供 应 商（乙方）：</w:t>
      </w:r>
      <w:r>
        <w:rPr>
          <w:rFonts w:hint="eastAsia"/>
          <w:b/>
          <w:color w:val="auto"/>
          <w:kern w:val="1"/>
          <w:sz w:val="30"/>
          <w:szCs w:val="30"/>
          <w:highlight w:val="none"/>
          <w:u w:val="single"/>
          <w:lang w:val="en-US" w:eastAsia="zh-CN"/>
        </w:rPr>
        <w:t xml:space="preserve">XX                </w:t>
      </w:r>
    </w:p>
    <w:p w14:paraId="57CE2A61">
      <w:pPr>
        <w:tabs>
          <w:tab w:val="left" w:pos="0"/>
          <w:tab w:val="left" w:pos="902"/>
        </w:tabs>
        <w:spacing w:line="360" w:lineRule="auto"/>
        <w:ind w:firstLine="1041" w:firstLineChars="400"/>
        <w:rPr>
          <w:rFonts w:hint="default" w:ascii="Arial" w:hAnsi="Arial" w:eastAsia="宋体" w:cs="Arial"/>
          <w:b/>
          <w:color w:val="auto"/>
          <w:spacing w:val="-20"/>
          <w:kern w:val="1"/>
          <w:sz w:val="30"/>
          <w:szCs w:val="30"/>
          <w:highlight w:val="none"/>
          <w:lang w:val="en-US" w:eastAsia="zh-CN"/>
        </w:rPr>
      </w:pPr>
      <w:r>
        <w:rPr>
          <w:rFonts w:hint="eastAsia" w:ascii="Arial" w:hAnsi="Arial" w:cs="Arial"/>
          <w:b/>
          <w:color w:val="auto"/>
          <w:spacing w:val="-20"/>
          <w:kern w:val="1"/>
          <w:sz w:val="30"/>
          <w:szCs w:val="30"/>
          <w:highlight w:val="none"/>
        </w:rPr>
        <w:t>地  址：</w:t>
      </w:r>
      <w:r>
        <w:rPr>
          <w:rFonts w:hint="eastAsia"/>
          <w:b/>
          <w:color w:val="auto"/>
          <w:kern w:val="1"/>
          <w:sz w:val="30"/>
          <w:szCs w:val="30"/>
          <w:highlight w:val="none"/>
          <w:u w:val="single"/>
          <w:lang w:val="en-US" w:eastAsia="zh-CN"/>
        </w:rPr>
        <w:t xml:space="preserve">XX                </w:t>
      </w:r>
    </w:p>
    <w:p w14:paraId="4C8DEC7C">
      <w:pPr>
        <w:tabs>
          <w:tab w:val="left" w:pos="0"/>
          <w:tab w:val="left" w:pos="7920"/>
        </w:tabs>
        <w:spacing w:line="360" w:lineRule="auto"/>
        <w:ind w:firstLine="1041" w:firstLineChars="400"/>
        <w:rPr>
          <w:rFonts w:hint="eastAsia" w:ascii="Arial" w:hAnsi="Arial" w:cs="Arial"/>
          <w:b/>
          <w:color w:val="auto"/>
          <w:spacing w:val="-20"/>
          <w:kern w:val="1"/>
          <w:sz w:val="30"/>
          <w:szCs w:val="30"/>
          <w:highlight w:val="none"/>
        </w:rPr>
      </w:pPr>
    </w:p>
    <w:p w14:paraId="17F8AAB2">
      <w:pPr>
        <w:tabs>
          <w:tab w:val="left" w:pos="0"/>
          <w:tab w:val="left" w:pos="7920"/>
        </w:tabs>
        <w:spacing w:line="360" w:lineRule="auto"/>
        <w:ind w:firstLine="1041" w:firstLineChars="400"/>
        <w:rPr>
          <w:rFonts w:ascii="Arial" w:hAnsi="Arial" w:cs="Arial"/>
          <w:b/>
          <w:color w:val="auto"/>
          <w:spacing w:val="-20"/>
          <w:kern w:val="1"/>
          <w:sz w:val="30"/>
          <w:szCs w:val="30"/>
          <w:highlight w:val="none"/>
        </w:rPr>
      </w:pPr>
      <w:r>
        <w:rPr>
          <w:rFonts w:hint="eastAsia" w:ascii="Arial" w:hAnsi="Arial" w:cs="Arial"/>
          <w:b/>
          <w:color w:val="auto"/>
          <w:spacing w:val="-20"/>
          <w:kern w:val="1"/>
          <w:sz w:val="30"/>
          <w:szCs w:val="30"/>
          <w:highlight w:val="none"/>
        </w:rPr>
        <w:t>签订合同地点：</w:t>
      </w:r>
      <w:r>
        <w:rPr>
          <w:rFonts w:hint="eastAsia"/>
          <w:b/>
          <w:color w:val="auto"/>
          <w:kern w:val="1"/>
          <w:sz w:val="30"/>
          <w:szCs w:val="30"/>
          <w:highlight w:val="none"/>
          <w:u w:val="single"/>
        </w:rPr>
        <w:t xml:space="preserve"> </w:t>
      </w:r>
      <w:r>
        <w:rPr>
          <w:rFonts w:hint="eastAsia"/>
          <w:b/>
          <w:color w:val="auto"/>
          <w:kern w:val="1"/>
          <w:sz w:val="30"/>
          <w:szCs w:val="30"/>
          <w:highlight w:val="none"/>
          <w:u w:val="single"/>
          <w:lang w:eastAsia="zh-CN"/>
        </w:rPr>
        <w:t>广西南宁</w:t>
      </w:r>
      <w:r>
        <w:rPr>
          <w:rFonts w:hint="eastAsia"/>
          <w:b/>
          <w:color w:val="auto"/>
          <w:kern w:val="1"/>
          <w:sz w:val="30"/>
          <w:szCs w:val="30"/>
          <w:highlight w:val="none"/>
          <w:u w:val="single"/>
        </w:rPr>
        <w:t xml:space="preserve"> </w:t>
      </w:r>
    </w:p>
    <w:p w14:paraId="46BF927D">
      <w:pPr>
        <w:tabs>
          <w:tab w:val="left" w:pos="0"/>
          <w:tab w:val="left" w:pos="7920"/>
        </w:tabs>
        <w:spacing w:line="360" w:lineRule="auto"/>
        <w:ind w:firstLine="1041" w:firstLineChars="400"/>
        <w:rPr>
          <w:rFonts w:hint="eastAsia" w:ascii="Arial" w:hAnsi="Arial" w:cs="Arial"/>
          <w:b/>
          <w:color w:val="auto"/>
          <w:spacing w:val="-20"/>
          <w:kern w:val="1"/>
          <w:sz w:val="30"/>
          <w:szCs w:val="30"/>
          <w:highlight w:val="none"/>
        </w:rPr>
      </w:pPr>
    </w:p>
    <w:p w14:paraId="6EB4E6B5">
      <w:pPr>
        <w:tabs>
          <w:tab w:val="left" w:pos="0"/>
          <w:tab w:val="left" w:pos="7920"/>
        </w:tabs>
        <w:spacing w:line="360" w:lineRule="auto"/>
        <w:ind w:firstLine="1041" w:firstLineChars="400"/>
        <w:rPr>
          <w:rFonts w:hint="default" w:ascii="Arial" w:hAnsi="Arial" w:cs="Arial"/>
          <w:b/>
          <w:color w:val="auto"/>
          <w:spacing w:val="-20"/>
          <w:kern w:val="1"/>
          <w:sz w:val="30"/>
          <w:szCs w:val="30"/>
          <w:highlight w:val="none"/>
          <w:lang w:val="en-US"/>
        </w:rPr>
      </w:pPr>
      <w:r>
        <w:rPr>
          <w:rFonts w:hint="eastAsia" w:ascii="Arial" w:hAnsi="Arial" w:cs="Arial"/>
          <w:b/>
          <w:color w:val="auto"/>
          <w:spacing w:val="-20"/>
          <w:kern w:val="1"/>
          <w:sz w:val="30"/>
          <w:szCs w:val="30"/>
          <w:highlight w:val="none"/>
        </w:rPr>
        <w:t>签订合同时间：</w:t>
      </w:r>
      <w:r>
        <w:rPr>
          <w:rFonts w:hint="eastAsia"/>
          <w:b/>
          <w:color w:val="auto"/>
          <w:kern w:val="1"/>
          <w:sz w:val="30"/>
          <w:szCs w:val="30"/>
          <w:highlight w:val="none"/>
          <w:u w:val="single"/>
          <w:lang w:val="en-US" w:eastAsia="zh-CN"/>
        </w:rPr>
        <w:t>2025年  月   日</w:t>
      </w:r>
    </w:p>
    <w:p w14:paraId="3F37E701">
      <w:pPr>
        <w:pStyle w:val="7"/>
        <w:spacing w:line="360" w:lineRule="auto"/>
        <w:jc w:val="center"/>
        <w:rPr>
          <w:rFonts w:ascii="Arial" w:hAnsi="Arial" w:cs="Arial"/>
          <w:color w:val="auto"/>
          <w:highlight w:val="none"/>
        </w:rPr>
      </w:pPr>
    </w:p>
    <w:p w14:paraId="354774BF">
      <w:pPr>
        <w:pStyle w:val="4"/>
        <w:spacing w:line="360" w:lineRule="auto"/>
        <w:rPr>
          <w:rFonts w:ascii="Arial" w:hAnsi="Arial" w:cs="Arial"/>
          <w:color w:val="auto"/>
          <w:highlight w:val="none"/>
        </w:rPr>
      </w:pPr>
    </w:p>
    <w:p w14:paraId="16700261">
      <w:pPr>
        <w:pStyle w:val="4"/>
        <w:rPr>
          <w:rFonts w:ascii="Arial" w:hAnsi="Arial" w:cs="Arial"/>
          <w:color w:val="auto"/>
          <w:highlight w:val="none"/>
        </w:rPr>
      </w:pPr>
    </w:p>
    <w:p w14:paraId="3AA6E59C">
      <w:pPr>
        <w:pStyle w:val="4"/>
        <w:rPr>
          <w:rFonts w:ascii="Arial" w:hAnsi="Arial" w:cs="Arial"/>
          <w:color w:val="auto"/>
          <w:highlight w:val="none"/>
        </w:rPr>
      </w:pPr>
    </w:p>
    <w:p w14:paraId="3B939021">
      <w:pPr>
        <w:rPr>
          <w:rFonts w:ascii="Arial" w:hAnsi="Arial" w:cs="Arial"/>
          <w:color w:val="auto"/>
          <w:highlight w:val="none"/>
        </w:rPr>
      </w:pPr>
    </w:p>
    <w:p w14:paraId="0C5609CC">
      <w:pPr>
        <w:rPr>
          <w:rFonts w:ascii="Arial" w:hAnsi="Arial" w:cs="Arial"/>
          <w:color w:val="auto"/>
          <w:highlight w:val="none"/>
        </w:rPr>
      </w:pPr>
    </w:p>
    <w:p w14:paraId="47F09AEF">
      <w:pPr>
        <w:rPr>
          <w:rFonts w:ascii="Arial" w:hAnsi="Arial" w:cs="Arial"/>
          <w:color w:val="auto"/>
          <w:highlight w:val="none"/>
        </w:rPr>
      </w:pPr>
    </w:p>
    <w:p w14:paraId="2D1BFB2F">
      <w:pPr>
        <w:rPr>
          <w:rFonts w:ascii="Arial" w:hAnsi="Arial" w:cs="Arial"/>
          <w:color w:val="auto"/>
          <w:highlight w:val="none"/>
        </w:rPr>
      </w:pPr>
    </w:p>
    <w:p w14:paraId="398B8E3D">
      <w:pPr>
        <w:rPr>
          <w:rFonts w:ascii="Arial" w:hAnsi="Arial" w:cs="Arial"/>
          <w:color w:val="auto"/>
          <w:highlight w:val="none"/>
        </w:rPr>
      </w:pPr>
    </w:p>
    <w:p w14:paraId="61707DB4">
      <w:pPr>
        <w:rPr>
          <w:rFonts w:ascii="Arial" w:hAnsi="Arial" w:cs="Arial"/>
          <w:color w:val="auto"/>
          <w:highlight w:val="none"/>
        </w:rPr>
      </w:pPr>
    </w:p>
    <w:p w14:paraId="0C21F8E6">
      <w:pPr>
        <w:rPr>
          <w:rFonts w:ascii="Arial" w:hAnsi="Arial" w:cs="Arial"/>
          <w:color w:val="auto"/>
          <w:highlight w:val="none"/>
        </w:rPr>
      </w:pPr>
    </w:p>
    <w:p w14:paraId="3227A29D">
      <w:pPr>
        <w:rPr>
          <w:rFonts w:ascii="Arial" w:hAnsi="Arial" w:cs="Arial"/>
          <w:color w:val="auto"/>
          <w:highlight w:val="none"/>
        </w:rPr>
      </w:pPr>
      <w:r>
        <w:rPr>
          <w:rFonts w:ascii="Arial" w:hAnsi="Arial" w:cs="Arial"/>
          <w:color w:val="auto"/>
          <w:highlight w:val="none"/>
        </w:rPr>
        <w:br w:type="page"/>
      </w:r>
    </w:p>
    <w:p w14:paraId="43A81B9F">
      <w:pPr>
        <w:rPr>
          <w:rFonts w:ascii="Arial" w:hAnsi="Arial" w:cs="Arial"/>
          <w:color w:val="auto"/>
          <w:highlight w:val="none"/>
        </w:rPr>
      </w:pPr>
      <w:r>
        <w:rPr>
          <w:rFonts w:ascii="Arial" w:hAnsi="Arial" w:cs="Arial"/>
          <w:color w:val="auto"/>
          <w:highlight w:val="none"/>
        </w:rPr>
        <w:t>合同使用说明：根据《中华人民共和国政府采购法</w:t>
      </w:r>
      <w:r>
        <w:rPr>
          <w:rFonts w:hint="eastAsia" w:ascii="Arial" w:hAnsi="Arial" w:cs="Arial"/>
          <w:color w:val="auto"/>
          <w:highlight w:val="none"/>
          <w:lang w:eastAsia="zh-CN"/>
        </w:rPr>
        <w:t>》《</w:t>
      </w:r>
      <w:r>
        <w:rPr>
          <w:rFonts w:ascii="Arial" w:hAnsi="Arial" w:cs="Arial"/>
          <w:color w:val="auto"/>
          <w:highlight w:val="none"/>
        </w:rPr>
        <w:t>中华人民共和国民法典》等</w:t>
      </w:r>
      <w:r>
        <w:rPr>
          <w:rFonts w:hint="eastAsia" w:ascii="Arial" w:hAnsi="Arial" w:cs="Arial"/>
          <w:color w:val="auto"/>
          <w:highlight w:val="none"/>
          <w:lang w:eastAsia="zh-CN"/>
        </w:rPr>
        <w:t>法律法规</w:t>
      </w:r>
      <w:r>
        <w:rPr>
          <w:rFonts w:ascii="Arial" w:hAnsi="Arial" w:cs="Arial"/>
          <w:color w:val="auto"/>
          <w:highlight w:val="none"/>
        </w:rPr>
        <w:t>规定，按照竞争性磋商文件规定条款和成交供应商竞争性磋商响应文件及其承诺，甲乙双方签订本合同。</w:t>
      </w:r>
    </w:p>
    <w:p w14:paraId="20E86D4A">
      <w:pPr>
        <w:rPr>
          <w:rFonts w:hint="eastAsia" w:ascii="宋体" w:hAnsi="宋体"/>
          <w:b/>
          <w:color w:val="auto"/>
          <w:szCs w:val="21"/>
          <w:highlight w:val="none"/>
        </w:rPr>
      </w:pPr>
      <w:r>
        <w:rPr>
          <w:rFonts w:hint="eastAsia" w:ascii="宋体" w:hAnsi="宋体"/>
          <w:b/>
          <w:color w:val="auto"/>
          <w:szCs w:val="21"/>
          <w:highlight w:val="none"/>
        </w:rPr>
        <w:t>第一条　合同标的</w:t>
      </w:r>
    </w:p>
    <w:p w14:paraId="7B065CD4">
      <w:pPr>
        <w:spacing w:line="360" w:lineRule="exact"/>
        <w:ind w:firstLine="420" w:firstLineChars="200"/>
        <w:rPr>
          <w:rFonts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项目一览表</w:t>
      </w:r>
    </w:p>
    <w:tbl>
      <w:tblPr>
        <w:tblStyle w:val="13"/>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804"/>
        <w:gridCol w:w="2367"/>
        <w:gridCol w:w="1184"/>
        <w:gridCol w:w="922"/>
        <w:gridCol w:w="2067"/>
      </w:tblGrid>
      <w:tr w14:paraId="4831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51" w:type="dxa"/>
            <w:tcBorders>
              <w:top w:val="single" w:color="auto" w:sz="4" w:space="0"/>
              <w:left w:val="single" w:color="auto" w:sz="4" w:space="0"/>
              <w:bottom w:val="single" w:color="auto" w:sz="4" w:space="0"/>
              <w:right w:val="single" w:color="auto" w:sz="4" w:space="0"/>
            </w:tcBorders>
            <w:vAlign w:val="center"/>
          </w:tcPr>
          <w:p w14:paraId="2D4E883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804" w:type="dxa"/>
            <w:tcBorders>
              <w:top w:val="single" w:color="auto" w:sz="4" w:space="0"/>
              <w:left w:val="single" w:color="auto" w:sz="4" w:space="0"/>
              <w:bottom w:val="single" w:color="auto" w:sz="4" w:space="0"/>
              <w:right w:val="single" w:color="auto" w:sz="4" w:space="0"/>
            </w:tcBorders>
            <w:vAlign w:val="center"/>
          </w:tcPr>
          <w:p w14:paraId="5D7BDD5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367" w:type="dxa"/>
            <w:tcBorders>
              <w:top w:val="single" w:color="auto" w:sz="4" w:space="0"/>
              <w:left w:val="single" w:color="auto" w:sz="4" w:space="0"/>
              <w:bottom w:val="single" w:color="auto" w:sz="4" w:space="0"/>
              <w:right w:val="single" w:color="auto" w:sz="4" w:space="0"/>
            </w:tcBorders>
            <w:vAlign w:val="center"/>
          </w:tcPr>
          <w:p w14:paraId="544CD9E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184" w:type="dxa"/>
            <w:tcBorders>
              <w:top w:val="single" w:color="auto" w:sz="4" w:space="0"/>
              <w:left w:val="single" w:color="auto" w:sz="4" w:space="0"/>
              <w:bottom w:val="single" w:color="auto" w:sz="4" w:space="0"/>
              <w:right w:val="single" w:color="auto" w:sz="4" w:space="0"/>
            </w:tcBorders>
            <w:vAlign w:val="center"/>
          </w:tcPr>
          <w:p w14:paraId="6C0EC28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922" w:type="dxa"/>
            <w:tcBorders>
              <w:top w:val="single" w:color="auto" w:sz="4" w:space="0"/>
              <w:left w:val="single" w:color="auto" w:sz="4" w:space="0"/>
              <w:bottom w:val="single" w:color="auto" w:sz="4" w:space="0"/>
              <w:right w:val="single" w:color="auto" w:sz="4" w:space="0"/>
            </w:tcBorders>
            <w:vAlign w:val="center"/>
          </w:tcPr>
          <w:p w14:paraId="1CA421F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067" w:type="dxa"/>
            <w:tcBorders>
              <w:top w:val="single" w:color="auto" w:sz="4" w:space="0"/>
              <w:left w:val="single" w:color="auto" w:sz="4" w:space="0"/>
              <w:bottom w:val="single" w:color="auto" w:sz="4" w:space="0"/>
              <w:right w:val="single" w:color="auto" w:sz="4" w:space="0"/>
            </w:tcBorders>
            <w:vAlign w:val="center"/>
          </w:tcPr>
          <w:p w14:paraId="28B3EF4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合同总价（元）</w:t>
            </w:r>
          </w:p>
        </w:tc>
      </w:tr>
      <w:tr w14:paraId="6E10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51" w:type="dxa"/>
            <w:tcBorders>
              <w:top w:val="single" w:color="auto" w:sz="4" w:space="0"/>
              <w:left w:val="single" w:color="auto" w:sz="4" w:space="0"/>
              <w:bottom w:val="single" w:color="auto" w:sz="4" w:space="0"/>
              <w:right w:val="single" w:color="auto" w:sz="4" w:space="0"/>
            </w:tcBorders>
            <w:vAlign w:val="center"/>
          </w:tcPr>
          <w:p w14:paraId="50235D5D">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804" w:type="dxa"/>
            <w:tcBorders>
              <w:top w:val="single" w:color="auto" w:sz="4" w:space="0"/>
              <w:left w:val="single" w:color="auto" w:sz="4" w:space="0"/>
              <w:bottom w:val="single" w:color="auto" w:sz="4" w:space="0"/>
              <w:right w:val="single" w:color="auto" w:sz="4" w:space="0"/>
            </w:tcBorders>
            <w:vAlign w:val="center"/>
          </w:tcPr>
          <w:p w14:paraId="04A7213E">
            <w:pPr>
              <w:spacing w:line="360" w:lineRule="exact"/>
              <w:jc w:val="center"/>
              <w:rPr>
                <w:rFonts w:ascii="宋体" w:hAnsi="宋体" w:cs="宋体"/>
                <w:color w:val="auto"/>
                <w:szCs w:val="21"/>
                <w:highlight w:val="none"/>
              </w:rPr>
            </w:pPr>
          </w:p>
        </w:tc>
        <w:tc>
          <w:tcPr>
            <w:tcW w:w="2367" w:type="dxa"/>
            <w:tcBorders>
              <w:top w:val="single" w:color="auto" w:sz="4" w:space="0"/>
              <w:left w:val="single" w:color="auto" w:sz="4" w:space="0"/>
              <w:bottom w:val="single" w:color="auto" w:sz="4" w:space="0"/>
              <w:right w:val="single" w:color="auto" w:sz="4" w:space="0"/>
            </w:tcBorders>
            <w:vAlign w:val="center"/>
          </w:tcPr>
          <w:p w14:paraId="7E615DF2">
            <w:pPr>
              <w:spacing w:line="360" w:lineRule="exact"/>
              <w:jc w:val="center"/>
              <w:rPr>
                <w:rFonts w:hint="eastAsia" w:ascii="宋体" w:hAnsi="宋体" w:eastAsia="宋体" w:cs="宋体"/>
                <w:color w:val="auto"/>
                <w:szCs w:val="21"/>
                <w:highlight w:val="none"/>
                <w:lang w:eastAsia="zh-CN"/>
              </w:rPr>
            </w:pPr>
          </w:p>
        </w:tc>
        <w:tc>
          <w:tcPr>
            <w:tcW w:w="1184" w:type="dxa"/>
            <w:tcBorders>
              <w:top w:val="single" w:color="auto" w:sz="4" w:space="0"/>
              <w:left w:val="single" w:color="auto" w:sz="4" w:space="0"/>
              <w:bottom w:val="single" w:color="auto" w:sz="4" w:space="0"/>
              <w:right w:val="single" w:color="auto" w:sz="4" w:space="0"/>
            </w:tcBorders>
            <w:vAlign w:val="center"/>
          </w:tcPr>
          <w:p w14:paraId="391683D5">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22" w:type="dxa"/>
            <w:tcBorders>
              <w:top w:val="single" w:color="auto" w:sz="4" w:space="0"/>
              <w:left w:val="single" w:color="auto" w:sz="4" w:space="0"/>
              <w:bottom w:val="single" w:color="auto" w:sz="4" w:space="0"/>
              <w:right w:val="single" w:color="auto" w:sz="4" w:space="0"/>
            </w:tcBorders>
            <w:vAlign w:val="center"/>
          </w:tcPr>
          <w:p w14:paraId="0405C99C">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2067" w:type="dxa"/>
            <w:tcBorders>
              <w:top w:val="single" w:color="auto" w:sz="4" w:space="0"/>
              <w:left w:val="single" w:color="auto" w:sz="4" w:space="0"/>
              <w:bottom w:val="single" w:color="auto" w:sz="4" w:space="0"/>
              <w:right w:val="single" w:color="auto" w:sz="4" w:space="0"/>
            </w:tcBorders>
            <w:vAlign w:val="center"/>
          </w:tcPr>
          <w:p w14:paraId="187B3470">
            <w:pPr>
              <w:spacing w:line="360" w:lineRule="exact"/>
              <w:jc w:val="center"/>
              <w:rPr>
                <w:rFonts w:ascii="宋体" w:hAnsi="宋体" w:cs="宋体"/>
                <w:color w:val="auto"/>
                <w:szCs w:val="21"/>
                <w:highlight w:val="none"/>
              </w:rPr>
            </w:pPr>
          </w:p>
        </w:tc>
      </w:tr>
      <w:tr w14:paraId="4313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9095" w:type="dxa"/>
            <w:gridSpan w:val="6"/>
            <w:tcBorders>
              <w:top w:val="single" w:color="auto" w:sz="4" w:space="0"/>
              <w:left w:val="single" w:color="auto" w:sz="4" w:space="0"/>
              <w:bottom w:val="single" w:color="auto" w:sz="4" w:space="0"/>
              <w:right w:val="single" w:color="auto" w:sz="4" w:space="0"/>
            </w:tcBorders>
            <w:vAlign w:val="center"/>
          </w:tcPr>
          <w:p w14:paraId="7C4CC3F1">
            <w:pPr>
              <w:spacing w:line="360" w:lineRule="exact"/>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hint="eastAsia" w:ascii="宋体" w:hAnsi="宋体" w:cs="宋体"/>
                <w:b/>
                <w:bCs/>
                <w:color w:val="auto"/>
                <w:szCs w:val="21"/>
                <w:highlight w:val="none"/>
                <w:u w:val="single"/>
                <w:lang w:val="en-US" w:eastAsia="zh-CN"/>
              </w:rPr>
              <w:t>XX</w:t>
            </w:r>
            <w:r>
              <w:rPr>
                <w:rFonts w:hint="eastAsia" w:ascii="宋体" w:hAnsi="宋体" w:cs="宋体"/>
                <w:b/>
                <w:bCs/>
                <w:color w:val="auto"/>
                <w:szCs w:val="21"/>
                <w:highlight w:val="none"/>
                <w:u w:val="single"/>
              </w:rPr>
              <w:t xml:space="preserve">元整（¥.00） </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 xml:space="preserve">      </w:t>
            </w:r>
          </w:p>
        </w:tc>
      </w:tr>
    </w:tbl>
    <w:p w14:paraId="6C96C929">
      <w:pPr>
        <w:tabs>
          <w:tab w:val="left" w:pos="8280"/>
        </w:tabs>
        <w:snapToGrid w:val="0"/>
        <w:spacing w:line="360" w:lineRule="exact"/>
        <w:ind w:right="26"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本项目为整体服务总价包干项目，为人民币含税价，包含但不限于异地调查与调研、差旅费、报告编制费、信息发布、项目所需投入的人员、办公设备、会议、印刷、项目评审、采购代理服务、验收、后续服务支持、税费等费用。甲方不再支付任何合同金额以外的费用。</w:t>
      </w:r>
    </w:p>
    <w:p w14:paraId="3022CE65">
      <w:pPr>
        <w:spacing w:line="36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5AD090F2">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w:t>
      </w:r>
      <w:r>
        <w:rPr>
          <w:rFonts w:hint="eastAsia" w:ascii="宋体" w:hAnsi="宋体" w:cs="宋体"/>
          <w:color w:val="auto"/>
          <w:szCs w:val="21"/>
          <w:highlight w:val="none"/>
          <w:lang w:eastAsia="zh-CN"/>
        </w:rPr>
        <w:t>，具</w:t>
      </w:r>
      <w:r>
        <w:rPr>
          <w:rFonts w:hint="eastAsia" w:ascii="宋体" w:hAnsi="宋体" w:cs="宋体"/>
          <w:color w:val="auto"/>
          <w:szCs w:val="21"/>
          <w:highlight w:val="none"/>
        </w:rPr>
        <w:t>有国家强制性标准的，还必须符合国家强制性标准的规定，没有国家强制性标准但有其他强制性标准的，必须符合其他强制性标准的规定。</w:t>
      </w:r>
    </w:p>
    <w:p w14:paraId="77B6A546">
      <w:pPr>
        <w:spacing w:line="360" w:lineRule="exact"/>
        <w:ind w:firstLine="420"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75F1111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31417C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w:t>
      </w:r>
      <w:r>
        <w:rPr>
          <w:rFonts w:hint="eastAsia" w:ascii="宋体" w:hAnsi="宋体" w:cs="宋体"/>
          <w:color w:val="auto"/>
          <w:szCs w:val="21"/>
          <w:highlight w:val="none"/>
          <w:lang w:eastAsia="zh-CN"/>
        </w:rPr>
        <w:t>给予</w:t>
      </w:r>
      <w:r>
        <w:rPr>
          <w:rFonts w:hint="eastAsia" w:ascii="宋体" w:hAnsi="宋体" w:cs="宋体"/>
          <w:color w:val="auto"/>
          <w:szCs w:val="21"/>
          <w:highlight w:val="none"/>
        </w:rPr>
        <w:t>履行本合同无关的任何其他人，也不得用于履行本合同之外的其他目的。即使向履行本合同有关的人员提供，也应注意保密并限于履行合同的必需范围。乙方的保密义务持续有效，不因为本合同履行终止、解除或者无效而解除。</w:t>
      </w:r>
    </w:p>
    <w:p w14:paraId="50EA5480">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3.因履行本合同所产生的成果及与此相关的知识产权及其完整所有权、使用权及转让权均归甲方所有。未经甲方授权，乙方不得使用或者将本合同成果披露，如有违反，乙方承担全部责任。</w:t>
      </w:r>
    </w:p>
    <w:p w14:paraId="596F24E2">
      <w:pPr>
        <w:spacing w:line="360" w:lineRule="exact"/>
        <w:ind w:firstLine="420" w:firstLineChars="200"/>
        <w:rPr>
          <w:rFonts w:ascii="宋体" w:hAnsi="宋体" w:cs="宋体"/>
          <w:color w:val="auto"/>
          <w:szCs w:val="21"/>
          <w:highlight w:val="none"/>
        </w:rPr>
      </w:pPr>
      <w:r>
        <w:rPr>
          <w:rFonts w:hint="eastAsia" w:ascii="宋体" w:hAnsi="宋体" w:cs="宋体"/>
          <w:b/>
          <w:color w:val="auto"/>
          <w:szCs w:val="21"/>
          <w:highlight w:val="none"/>
        </w:rPr>
        <w:t>第四条  项目交付期限和验收</w:t>
      </w:r>
    </w:p>
    <w:p w14:paraId="60BD13DC">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1.提交服务成果时间：</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交付地点：</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0E4A73B0">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2.后续服务要求：服务成果后的1年内，处理问题响应时间：接到采购人处理问题通知后24小时内到达采购人指定现场，并在8小时内处理好常规性问题。如遇特殊情况下，与甲方进一步协商。</w:t>
      </w:r>
    </w:p>
    <w:p w14:paraId="2DEB799D">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项目验收方式：乙方提供验收成果材料给甲方，甲方邀请专家进行评审，经评审专家三分之二以上通过的视为合格，否则为不合格。验收不合格的，乙方应在收到甲方关于不合格的通知后30日内书面提请甲方再次验收。再次验收不合格的，视为乙方不能提交工作成果。</w:t>
      </w:r>
    </w:p>
    <w:p w14:paraId="74065F1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4.验收成果内容：</w:t>
      </w:r>
      <w:r>
        <w:rPr>
          <w:rFonts w:hint="eastAsia" w:ascii="宋体" w:hAnsi="宋体" w:cs="宋体"/>
          <w:color w:val="auto"/>
          <w:szCs w:val="21"/>
          <w:highlight w:val="none"/>
          <w:u w:val="single"/>
          <w:lang w:val="en-US" w:eastAsia="zh-CN"/>
        </w:rPr>
        <w:t>XX</w:t>
      </w:r>
      <w:r>
        <w:rPr>
          <w:rFonts w:hint="eastAsia" w:ascii="宋体" w:hAnsi="宋体" w:cs="宋体"/>
          <w:color w:val="auto"/>
          <w:szCs w:val="21"/>
          <w:highlight w:val="none"/>
          <w:u w:val="single"/>
        </w:rPr>
        <w:t>1项</w:t>
      </w:r>
      <w:r>
        <w:rPr>
          <w:rFonts w:hint="eastAsia" w:ascii="宋体" w:hAnsi="宋体" w:cs="宋体"/>
          <w:color w:val="auto"/>
          <w:szCs w:val="21"/>
          <w:highlight w:val="none"/>
        </w:rPr>
        <w:t>。</w:t>
      </w:r>
    </w:p>
    <w:p w14:paraId="5AAFAE7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5.乙方应按响应文件的承诺向甲方提供相应的服务，并提供所服务内容的相关技术资料。</w:t>
      </w:r>
    </w:p>
    <w:p w14:paraId="5B6567B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6.乙方提供不符合采购文件、响应文件和本合同规定的服务成果，甲方有权拒绝接受。</w:t>
      </w:r>
    </w:p>
    <w:p w14:paraId="7F04F29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7.乙方完成服务后应及时书面通知甲方进行验收。验收合格后由甲乙双方签署验收单并加盖甲方公章，甲乙双方各执一份。</w:t>
      </w:r>
    </w:p>
    <w:p w14:paraId="56A44C1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8.甲方在最终评审过程中如发现乙方提供的服务成果不满足响应文件及本合同规定的，可暂缓向乙方付款，直到乙方及时完善并提交相应的服务成果且经甲方验收合格后，方可办理付款。</w:t>
      </w:r>
    </w:p>
    <w:p w14:paraId="6A806B2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9.甲方验收时以书面形式提出异议的，乙方应自收到甲方书面异议后五个工作日内及时予以解决，否则甲方有权不出具服务验收合格单。乙方逾期解决的，按照逾期交付承担违约责任。</w:t>
      </w:r>
    </w:p>
    <w:p w14:paraId="6385067A">
      <w:pPr>
        <w:spacing w:line="360" w:lineRule="exact"/>
        <w:ind w:firstLine="420" w:firstLineChars="200"/>
        <w:rPr>
          <w:rFonts w:ascii="宋体" w:hAnsi="宋体" w:cs="宋体"/>
          <w:color w:val="auto"/>
          <w:szCs w:val="21"/>
          <w:highlight w:val="none"/>
        </w:rPr>
      </w:pPr>
      <w:bookmarkStart w:id="69" w:name="_Toc24260"/>
      <w:bookmarkStart w:id="70" w:name="_Toc12741"/>
      <w:bookmarkStart w:id="71" w:name="_Toc24339"/>
      <w:r>
        <w:rPr>
          <w:rFonts w:hint="eastAsia" w:ascii="宋体" w:hAnsi="宋体"/>
          <w:b/>
          <w:color w:val="auto"/>
          <w:kern w:val="0"/>
          <w:szCs w:val="21"/>
          <w:highlight w:val="none"/>
        </w:rPr>
        <w:t>备注：本项目如果因政策或其他原因，由一个项目变更为按两个或两个以上的项目分别实施，使得对应的专项咨询服务也需要按多个项目单独编制报批的，上述约定时间自行转为一期交付批复成果文件时间，其它期交付批复成果文件时间以甲方书面通知或签订补充协议约定为准。</w:t>
      </w:r>
      <w:bookmarkEnd w:id="69"/>
      <w:bookmarkEnd w:id="70"/>
      <w:bookmarkEnd w:id="71"/>
    </w:p>
    <w:p w14:paraId="7FCBE3B7">
      <w:pPr>
        <w:snapToGrid w:val="0"/>
        <w:spacing w:line="360" w:lineRule="exact"/>
        <w:ind w:firstLine="420" w:firstLineChars="200"/>
        <w:rPr>
          <w:rFonts w:ascii="宋体" w:hAnsi="宋体" w:cs="宋体"/>
          <w:color w:val="auto"/>
          <w:szCs w:val="21"/>
          <w:highlight w:val="none"/>
          <w:u w:val="single"/>
        </w:rPr>
      </w:pPr>
      <w:r>
        <w:rPr>
          <w:rFonts w:hint="eastAsia" w:ascii="宋体" w:hAnsi="宋体" w:cs="宋体"/>
          <w:b/>
          <w:color w:val="auto"/>
          <w:szCs w:val="21"/>
          <w:highlight w:val="none"/>
        </w:rPr>
        <w:t>第五条  付款方式</w:t>
      </w:r>
    </w:p>
    <w:p w14:paraId="6F1C0D89">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甲乙双方同意本合同金额的支付按以下第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项约定执行：</w:t>
      </w:r>
    </w:p>
    <w:p w14:paraId="6934382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1.一次性支付；</w:t>
      </w:r>
    </w:p>
    <w:p w14:paraId="7EAFD06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2.分期支付</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自合同签订之日起十个工作日内由</w:t>
      </w:r>
      <w:r>
        <w:rPr>
          <w:rFonts w:hint="eastAsia" w:ascii="宋体" w:hAnsi="宋体" w:eastAsia="宋体" w:cs="宋体"/>
          <w:color w:val="auto"/>
          <w:szCs w:val="21"/>
          <w:highlight w:val="none"/>
          <w:lang w:eastAsia="zh-CN"/>
        </w:rPr>
        <w:t>甲方</w:t>
      </w:r>
      <w:r>
        <w:rPr>
          <w:rFonts w:hint="eastAsia" w:ascii="宋体" w:hAnsi="宋体" w:cs="宋体"/>
          <w:color w:val="auto"/>
          <w:szCs w:val="21"/>
          <w:highlight w:val="none"/>
        </w:rPr>
        <w:t>支付给</w:t>
      </w:r>
      <w:r>
        <w:rPr>
          <w:rFonts w:hint="eastAsia" w:ascii="宋体" w:hAnsi="宋体" w:eastAsia="宋体" w:cs="宋体"/>
          <w:color w:val="auto"/>
          <w:szCs w:val="21"/>
          <w:highlight w:val="none"/>
          <w:lang w:eastAsia="zh-CN"/>
        </w:rPr>
        <w:t>乙方</w:t>
      </w:r>
      <w:r>
        <w:rPr>
          <w:rFonts w:hint="eastAsia" w:ascii="宋体" w:hAnsi="宋体" w:cs="宋体"/>
          <w:color w:val="auto"/>
          <w:szCs w:val="21"/>
          <w:highlight w:val="none"/>
        </w:rPr>
        <w:t>合同总额的50%，项目经验收通过后十个工作日内支付合同总额的50%。</w:t>
      </w:r>
      <w:r>
        <w:rPr>
          <w:rFonts w:hint="eastAsia" w:ascii="宋体" w:hAnsi="宋体" w:eastAsia="宋体" w:cs="宋体"/>
          <w:color w:val="auto"/>
          <w:szCs w:val="21"/>
          <w:highlight w:val="none"/>
          <w:lang w:eastAsia="zh-CN"/>
        </w:rPr>
        <w:t>乙方</w:t>
      </w:r>
      <w:r>
        <w:rPr>
          <w:rFonts w:hint="eastAsia" w:ascii="宋体" w:hAnsi="宋体" w:cs="宋体"/>
          <w:color w:val="auto"/>
          <w:szCs w:val="21"/>
          <w:highlight w:val="none"/>
        </w:rPr>
        <w:t>在</w:t>
      </w:r>
      <w:r>
        <w:rPr>
          <w:rFonts w:hint="eastAsia" w:ascii="宋体" w:hAnsi="宋体" w:eastAsia="宋体" w:cs="宋体"/>
          <w:color w:val="auto"/>
          <w:szCs w:val="21"/>
          <w:highlight w:val="none"/>
          <w:lang w:eastAsia="zh-CN"/>
        </w:rPr>
        <w:t>甲方</w:t>
      </w:r>
      <w:r>
        <w:rPr>
          <w:rFonts w:hint="eastAsia" w:ascii="宋体" w:hAnsi="宋体" w:cs="宋体"/>
          <w:color w:val="auto"/>
          <w:szCs w:val="21"/>
          <w:highlight w:val="none"/>
        </w:rPr>
        <w:t>支付每笔款项前五个工作日内开具足额发票给</w:t>
      </w:r>
      <w:r>
        <w:rPr>
          <w:rFonts w:hint="eastAsia" w:ascii="宋体" w:hAnsi="宋体" w:eastAsia="宋体" w:cs="宋体"/>
          <w:color w:val="auto"/>
          <w:szCs w:val="21"/>
          <w:highlight w:val="none"/>
          <w:lang w:eastAsia="zh-CN"/>
        </w:rPr>
        <w:t>甲方</w:t>
      </w:r>
      <w:r>
        <w:rPr>
          <w:rFonts w:hint="eastAsia" w:ascii="宋体" w:hAnsi="宋体" w:cs="宋体"/>
          <w:color w:val="auto"/>
          <w:szCs w:val="21"/>
          <w:highlight w:val="none"/>
        </w:rPr>
        <w:t>。</w:t>
      </w:r>
    </w:p>
    <w:p w14:paraId="65357A94">
      <w:pPr>
        <w:spacing w:line="360" w:lineRule="exact"/>
        <w:ind w:firstLine="424" w:firstLineChars="202"/>
        <w:rPr>
          <w:rFonts w:ascii="宋体" w:hAnsi="宋体"/>
          <w:b/>
          <w:color w:val="auto"/>
          <w:kern w:val="0"/>
          <w:szCs w:val="21"/>
          <w:highlight w:val="none"/>
        </w:rPr>
      </w:pPr>
      <w:r>
        <w:rPr>
          <w:rFonts w:hint="eastAsia" w:ascii="宋体" w:hAnsi="宋体" w:cs="宋体"/>
          <w:b/>
          <w:color w:val="auto"/>
          <w:szCs w:val="21"/>
          <w:highlight w:val="none"/>
        </w:rPr>
        <w:t>第六条  合同变更及定价原则</w:t>
      </w:r>
    </w:p>
    <w:p w14:paraId="38CF6752">
      <w:pPr>
        <w:spacing w:line="360" w:lineRule="exact"/>
        <w:ind w:firstLine="424" w:firstLineChars="202"/>
        <w:jc w:val="left"/>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hint="eastAsia" w:ascii="宋体" w:hAnsi="宋体"/>
          <w:color w:val="auto"/>
          <w:szCs w:val="21"/>
          <w:highlight w:val="none"/>
        </w:rPr>
        <w:t>本项目如果因政策或其他原因，由一个项目变更为按两个或两个以上的项目分别实施，使得对应的专项咨询服务也需要按多个项目单独研究的，导致乙方工作量及成本增加的，由甲乙双方协商确定后签订补充协议，进行工作量及费用的变更。</w:t>
      </w:r>
    </w:p>
    <w:p w14:paraId="03C4AE59">
      <w:pPr>
        <w:spacing w:line="360" w:lineRule="exact"/>
        <w:ind w:firstLine="424" w:firstLineChars="202"/>
        <w:jc w:val="left"/>
        <w:rPr>
          <w:rFonts w:ascii="宋体" w:hAnsi="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因甲方为了优化研究方案或其他需要，本合同已包含的相关咨询服务，需要乙方增加研究工作内容或研究次数（处数），导致乙方工作量及成本增加的，由甲乙双方协商确定后签订补充协议，进行工作量及费用的变更。</w:t>
      </w:r>
    </w:p>
    <w:p w14:paraId="50329DBD">
      <w:pPr>
        <w:spacing w:line="360" w:lineRule="exact"/>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3.</w:t>
      </w:r>
      <w:r>
        <w:rPr>
          <w:rFonts w:hint="eastAsia" w:ascii="宋体" w:hAnsi="宋体"/>
          <w:color w:val="auto"/>
          <w:kern w:val="0"/>
          <w:szCs w:val="21"/>
          <w:highlight w:val="none"/>
        </w:rPr>
        <w:t>变更的定价原则：有政府指导价的执行政府指导价，无政府指导价的，由甲乙双方协商解决。</w:t>
      </w:r>
    </w:p>
    <w:p w14:paraId="5AB8A303">
      <w:pPr>
        <w:spacing w:line="36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rPr>
        <w:t>第七条  税费</w:t>
      </w:r>
    </w:p>
    <w:p w14:paraId="0691B8A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1003A05F">
      <w:pPr>
        <w:spacing w:line="360" w:lineRule="exact"/>
        <w:ind w:firstLine="420" w:firstLineChars="200"/>
        <w:rPr>
          <w:rFonts w:ascii="宋体" w:hAnsi="宋体" w:cs="宋体"/>
          <w:b/>
          <w:color w:val="auto"/>
          <w:szCs w:val="21"/>
          <w:highlight w:val="none"/>
        </w:rPr>
      </w:pPr>
      <w:bookmarkStart w:id="72" w:name="_Toc8785"/>
      <w:bookmarkStart w:id="73" w:name="_Toc20100"/>
      <w:bookmarkStart w:id="74" w:name="_Toc3607"/>
      <w:r>
        <w:rPr>
          <w:rFonts w:hint="eastAsia" w:ascii="宋体" w:hAnsi="宋体" w:cs="宋体"/>
          <w:b/>
          <w:color w:val="auto"/>
          <w:szCs w:val="21"/>
          <w:highlight w:val="none"/>
        </w:rPr>
        <w:t>第八条  双方责任</w:t>
      </w:r>
      <w:bookmarkEnd w:id="72"/>
      <w:bookmarkEnd w:id="73"/>
      <w:bookmarkEnd w:id="74"/>
    </w:p>
    <w:p w14:paraId="456A8092">
      <w:pPr>
        <w:spacing w:line="360" w:lineRule="exact"/>
        <w:ind w:firstLine="424" w:firstLineChars="202"/>
        <w:rPr>
          <w:rFonts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.甲方责任：</w:t>
      </w:r>
    </w:p>
    <w:p w14:paraId="139F1E23">
      <w:pPr>
        <w:spacing w:line="360" w:lineRule="exact"/>
        <w:ind w:firstLine="424" w:firstLineChars="202"/>
        <w:rPr>
          <w:rFonts w:ascii="宋体" w:hAnsi="宋体"/>
          <w:color w:val="auto"/>
          <w:szCs w:val="21"/>
          <w:highlight w:val="none"/>
        </w:rPr>
      </w:pPr>
      <w:r>
        <w:rPr>
          <w:rFonts w:hint="eastAsia" w:ascii="宋体" w:hAnsi="宋体"/>
          <w:color w:val="auto"/>
          <w:szCs w:val="21"/>
          <w:highlight w:val="none"/>
        </w:rPr>
        <w:t>（1）甲方按本合同第三条规定的内容，在规定的时间内向乙方提交基础资料及文件，并对其完整性、正确性、及时性负责。</w:t>
      </w:r>
    </w:p>
    <w:p w14:paraId="5A193D1A">
      <w:pPr>
        <w:spacing w:line="360" w:lineRule="exact"/>
        <w:ind w:firstLine="424" w:firstLineChars="202"/>
        <w:rPr>
          <w:rFonts w:ascii="宋体" w:hAnsi="宋体"/>
          <w:color w:val="auto"/>
          <w:szCs w:val="21"/>
          <w:highlight w:val="none"/>
        </w:rPr>
      </w:pPr>
      <w:r>
        <w:rPr>
          <w:rFonts w:hint="eastAsia" w:ascii="宋体" w:hAnsi="宋体"/>
          <w:color w:val="auto"/>
          <w:szCs w:val="21"/>
          <w:highlight w:val="none"/>
        </w:rPr>
        <w:t>（2）按本合同有关规定及时支付乙方的费用。</w:t>
      </w:r>
    </w:p>
    <w:p w14:paraId="5995E662">
      <w:pPr>
        <w:spacing w:line="360" w:lineRule="exact"/>
        <w:ind w:firstLine="424" w:firstLineChars="202"/>
        <w:rPr>
          <w:rFonts w:ascii="宋体" w:hAnsi="宋体"/>
          <w:color w:val="auto"/>
          <w:szCs w:val="21"/>
          <w:highlight w:val="none"/>
        </w:rPr>
      </w:pPr>
      <w:r>
        <w:rPr>
          <w:rFonts w:hint="eastAsia" w:ascii="宋体" w:hAnsi="宋体"/>
          <w:color w:val="auto"/>
          <w:szCs w:val="21"/>
          <w:highlight w:val="none"/>
        </w:rPr>
        <w:t>（3）甲方应保护乙方的响应文件、资料图纸、数据。</w:t>
      </w:r>
    </w:p>
    <w:p w14:paraId="04836F4D">
      <w:pPr>
        <w:spacing w:line="360" w:lineRule="exact"/>
        <w:ind w:firstLine="424" w:firstLineChars="202"/>
        <w:rPr>
          <w:rFonts w:ascii="宋体" w:hAnsi="宋体"/>
          <w:b/>
          <w:color w:val="auto"/>
          <w:szCs w:val="21"/>
          <w:highlight w:val="none"/>
        </w:rPr>
      </w:pPr>
      <w:r>
        <w:rPr>
          <w:rFonts w:hint="eastAsia" w:ascii="宋体" w:hAnsi="宋体"/>
          <w:b/>
          <w:color w:val="auto"/>
          <w:szCs w:val="21"/>
          <w:highlight w:val="none"/>
        </w:rPr>
        <w:t>2.乙方责任：</w:t>
      </w:r>
    </w:p>
    <w:p w14:paraId="33CFAFFA">
      <w:pPr>
        <w:spacing w:line="360" w:lineRule="exact"/>
        <w:ind w:firstLine="424" w:firstLineChars="202"/>
        <w:rPr>
          <w:rFonts w:ascii="宋体" w:hAnsi="宋体"/>
          <w:color w:val="auto"/>
          <w:szCs w:val="21"/>
          <w:highlight w:val="none"/>
        </w:rPr>
      </w:pPr>
      <w:r>
        <w:rPr>
          <w:rFonts w:hint="eastAsia" w:ascii="宋体" w:hAnsi="宋体"/>
          <w:color w:val="auto"/>
          <w:szCs w:val="21"/>
          <w:highlight w:val="none"/>
        </w:rPr>
        <w:t>（1）按国家规定技术规范、标准、规程及甲方提出的要求组织开展各项</w:t>
      </w:r>
      <w:r>
        <w:rPr>
          <w:rFonts w:hint="eastAsia" w:ascii="宋体" w:hAnsi="宋体" w:cs="宋体"/>
          <w:color w:val="auto"/>
          <w:kern w:val="0"/>
          <w:szCs w:val="21"/>
          <w:highlight w:val="none"/>
        </w:rPr>
        <w:t>专项咨询服务</w:t>
      </w:r>
      <w:r>
        <w:rPr>
          <w:rFonts w:hint="eastAsia" w:ascii="宋体" w:hAnsi="宋体"/>
          <w:color w:val="auto"/>
          <w:szCs w:val="21"/>
          <w:highlight w:val="none"/>
        </w:rPr>
        <w:t>研究活动，及时处理各研究工作遇到的各类技术、协调问题，并对其研究进度和质量负责，确保各项研究成果能及时满足后续工作要求。</w:t>
      </w:r>
    </w:p>
    <w:p w14:paraId="1835ACA2">
      <w:pPr>
        <w:spacing w:line="360" w:lineRule="exact"/>
        <w:ind w:firstLine="424" w:firstLineChars="202"/>
        <w:rPr>
          <w:rFonts w:ascii="宋体" w:hAnsi="宋体"/>
          <w:color w:val="auto"/>
          <w:szCs w:val="21"/>
          <w:highlight w:val="none"/>
        </w:rPr>
      </w:pPr>
      <w:r>
        <w:rPr>
          <w:rFonts w:hint="eastAsia" w:ascii="宋体" w:hAnsi="宋体"/>
          <w:color w:val="auto"/>
          <w:szCs w:val="21"/>
          <w:highlight w:val="none"/>
        </w:rPr>
        <w:t>（2）积极参与、跟踪各项审查活动，及时按照上级主管部门对研究成果的审查意见进行完善修改，修改时间计入乙方工作时间。</w:t>
      </w:r>
    </w:p>
    <w:p w14:paraId="4C265A2C">
      <w:pPr>
        <w:spacing w:line="360" w:lineRule="exact"/>
        <w:ind w:firstLine="424" w:firstLineChars="202"/>
        <w:rPr>
          <w:rFonts w:ascii="宋体" w:hAnsi="宋体"/>
          <w:color w:val="auto"/>
          <w:szCs w:val="21"/>
          <w:highlight w:val="none"/>
        </w:rPr>
      </w:pPr>
      <w:r>
        <w:rPr>
          <w:rFonts w:hint="eastAsia" w:ascii="宋体" w:hAnsi="宋体"/>
          <w:color w:val="auto"/>
          <w:szCs w:val="21"/>
          <w:highlight w:val="none"/>
        </w:rPr>
        <w:t>（3）按合同规定的时限及份数，向甲方提交质量合格的研究成果（包含电子版）。</w:t>
      </w:r>
    </w:p>
    <w:p w14:paraId="52358732">
      <w:pPr>
        <w:spacing w:line="360" w:lineRule="exact"/>
        <w:ind w:firstLine="424" w:firstLineChars="202"/>
        <w:rPr>
          <w:rFonts w:ascii="宋体" w:hAnsi="宋体"/>
          <w:color w:val="auto"/>
          <w:szCs w:val="21"/>
          <w:highlight w:val="none"/>
        </w:rPr>
      </w:pPr>
      <w:r>
        <w:rPr>
          <w:rFonts w:hint="eastAsia" w:ascii="宋体" w:hAnsi="宋体"/>
          <w:color w:val="auto"/>
          <w:szCs w:val="21"/>
          <w:highlight w:val="none"/>
        </w:rPr>
        <w:t>（4）保护甲方的知识产权，不得向第三人泄露、转让甲方提交的产品图纸等技术经济资料及因履行本合同而形成的成果文件。</w:t>
      </w:r>
    </w:p>
    <w:p w14:paraId="4AD0E438">
      <w:pPr>
        <w:spacing w:line="36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0AAACF3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不可抗力原因外，乙方没有按照合同规定期限提供服务的，甲方可要求乙方支付违约金。每推迟一天按合同金额的万分之三支付违约金。逾期超过10日，甲方有权解除合同，乙方还应赔偿甲方所受损失。甲方解除合同后，乙方应在合同解除后三个工作日内退还甲方已支付的款项，逾期则每日按应退还金额的万分之三支付资金占用费。如果乙方违约还导致甲方产生其他损失的，乙方应予以赔偿。</w:t>
      </w:r>
    </w:p>
    <w:p w14:paraId="0BA02D0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如因此造成甲方不能对服务成果进行正常使用或者遭受其他障碍、索赔情形的，因此导致甲方的经济损失均由乙方承担。</w:t>
      </w:r>
    </w:p>
    <w:p w14:paraId="4D05472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3.乙方提交的成果未通过甲方验收的，应及时整改，整改产生的费用由乙方承担，乙方拒绝整改或整改不及时造成逾期提交成果的按逾期处理。</w:t>
      </w:r>
    </w:p>
    <w:p w14:paraId="7923804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4.甲方延期付款的，每天向乙方偿付延期款额万分之一滞纳金，但滞纳金累计不得超过延期款额5%。</w:t>
      </w:r>
    </w:p>
    <w:p w14:paraId="0EDAA90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5.乙方未按本合同约定和采购文件规定、响应文件中规定的服务承诺提供服务</w:t>
      </w:r>
      <w:r>
        <w:rPr>
          <w:rFonts w:hint="eastAsia" w:ascii="宋体" w:hAnsi="宋体" w:cs="宋体"/>
          <w:color w:val="auto"/>
          <w:szCs w:val="21"/>
          <w:highlight w:val="none"/>
          <w:lang w:eastAsia="zh-CN"/>
        </w:rPr>
        <w:t>的其他</w:t>
      </w:r>
      <w:r>
        <w:rPr>
          <w:rFonts w:hint="eastAsia" w:ascii="宋体" w:hAnsi="宋体" w:cs="宋体"/>
          <w:color w:val="auto"/>
          <w:szCs w:val="21"/>
          <w:highlight w:val="none"/>
        </w:rPr>
        <w:t>违约行为，乙方还应赔偿甲方所受的损失。</w:t>
      </w:r>
    </w:p>
    <w:p w14:paraId="385B8920">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6.因乙方违约，导致甲方为维护自己的合法权益所产生的一切费用（包括但不限于律师费、诉讼费、调查费、公证费、鉴定费、保全费、诉讼财产保全责任保险费等费用）均由乙方承担。</w:t>
      </w:r>
    </w:p>
    <w:p w14:paraId="1154D584">
      <w:pPr>
        <w:spacing w:line="36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rPr>
        <w:t>第十条  不可抗力事件处理</w:t>
      </w:r>
    </w:p>
    <w:p w14:paraId="0534D4C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1B64A71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声称受到不可抗力影响的一方应在任何时候采取合理的行动，以避免或尽量减少不可抗力事件对本合同履约及双方利益的影响。因主观原因延误，未及时采取必要措施而导致损失扩大的，不能免除责任。</w:t>
      </w:r>
    </w:p>
    <w:p w14:paraId="6A7632B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013D9533">
      <w:pPr>
        <w:spacing w:line="360" w:lineRule="exact"/>
        <w:ind w:firstLine="420" w:firstLineChars="200"/>
        <w:rPr>
          <w:rFonts w:ascii="宋体" w:hAnsi="宋体" w:cs="宋体"/>
          <w:color w:val="auto"/>
          <w:szCs w:val="21"/>
          <w:highlight w:val="none"/>
        </w:rPr>
      </w:pPr>
      <w:r>
        <w:rPr>
          <w:rFonts w:hint="eastAsia" w:ascii="宋体" w:hAnsi="宋体" w:cs="宋体"/>
          <w:b/>
          <w:color w:val="auto"/>
          <w:szCs w:val="21"/>
          <w:highlight w:val="none"/>
        </w:rPr>
        <w:t>第十一条  合同争议解决</w:t>
      </w:r>
    </w:p>
    <w:p w14:paraId="53845C6F">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4345146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w:t>
      </w:r>
      <w:r>
        <w:rPr>
          <w:rFonts w:hint="eastAsia" w:ascii="宋体" w:hAnsi="宋体" w:cs="宋体"/>
          <w:color w:val="auto"/>
          <w:szCs w:val="21"/>
          <w:highlight w:val="none"/>
          <w:lang w:eastAsia="zh-CN"/>
        </w:rPr>
        <w:t>权的</w:t>
      </w:r>
      <w:r>
        <w:rPr>
          <w:rFonts w:hint="eastAsia" w:ascii="宋体" w:hAnsi="宋体" w:cs="宋体"/>
          <w:color w:val="auto"/>
          <w:szCs w:val="21"/>
          <w:highlight w:val="none"/>
        </w:rPr>
        <w:t>人民法院提起诉讼。</w:t>
      </w:r>
    </w:p>
    <w:p w14:paraId="2E0CF23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257BFB83">
      <w:pPr>
        <w:spacing w:line="36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合同生效及其他</w:t>
      </w:r>
    </w:p>
    <w:p w14:paraId="305FC14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w:t>
      </w:r>
      <w:r>
        <w:rPr>
          <w:rFonts w:hint="eastAsia" w:ascii="宋体" w:hAnsi="宋体" w:cs="宋体"/>
          <w:color w:val="auto"/>
          <w:szCs w:val="21"/>
          <w:highlight w:val="none"/>
          <w:lang w:eastAsia="zh-CN"/>
        </w:rPr>
        <w:t>表人</w:t>
      </w:r>
      <w:r>
        <w:rPr>
          <w:rFonts w:hint="eastAsia" w:ascii="宋体" w:hAnsi="宋体" w:cs="宋体"/>
          <w:color w:val="auto"/>
          <w:szCs w:val="21"/>
          <w:highlight w:val="none"/>
        </w:rPr>
        <w:t>签字并加盖单位公章后生效（委托代理人签字</w:t>
      </w:r>
      <w:r>
        <w:rPr>
          <w:rFonts w:hint="eastAsia" w:ascii="宋体" w:hAnsi="宋体" w:cs="宋体"/>
          <w:color w:val="auto"/>
          <w:szCs w:val="21"/>
          <w:highlight w:val="none"/>
          <w:lang w:eastAsia="zh-CN"/>
        </w:rPr>
        <w:t>的需求后</w:t>
      </w:r>
      <w:r>
        <w:rPr>
          <w:rFonts w:hint="eastAsia" w:ascii="宋体" w:hAnsi="宋体" w:cs="宋体"/>
          <w:color w:val="auto"/>
          <w:szCs w:val="21"/>
          <w:highlight w:val="none"/>
        </w:rPr>
        <w:t>附法定代表人授权委托书，格式自拟）。</w:t>
      </w:r>
    </w:p>
    <w:p w14:paraId="04348F3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2.合同执行中涉及采购资金和采购内容修改或者补充的，并签订书面补充协议报财政部门备案，方可作为主合同不可分割的一部分。</w:t>
      </w:r>
    </w:p>
    <w:p w14:paraId="014D4EF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04A4929A">
      <w:pPr>
        <w:spacing w:line="36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683B9AD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1.除参照《中华人民共和国政府采购法》第五十条规定或者合同约定的情形外，本合同一经签订，甲乙双方不得擅自变更、中止或者终止。</w:t>
      </w:r>
    </w:p>
    <w:p w14:paraId="79C4CB8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3E8C839D">
      <w:pPr>
        <w:spacing w:line="36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6890035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1.成交通知书；</w:t>
      </w:r>
    </w:p>
    <w:p w14:paraId="7AEBA8C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2.竞标报价表（含最终报价）；</w:t>
      </w:r>
    </w:p>
    <w:p w14:paraId="08B56F7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3.商务要求偏离表和技术服务要求偏离表；</w:t>
      </w:r>
    </w:p>
    <w:p w14:paraId="06E5A0A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4.服务方案；</w:t>
      </w:r>
    </w:p>
    <w:p w14:paraId="4F7618E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14:paraId="33E7DCB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6.上述合同文件互相补充和解释。如果合同文件之间存在矛盾或者不一致之处，以上述文件的排列顺序在先者为准。</w:t>
      </w:r>
    </w:p>
    <w:p w14:paraId="1863B4EB">
      <w:pPr>
        <w:snapToGrid w:val="0"/>
        <w:spacing w:line="36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rPr>
        <w:t>第十五条  通知与送达</w:t>
      </w:r>
    </w:p>
    <w:p w14:paraId="353641E5">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为更好</w:t>
      </w:r>
      <w:r>
        <w:rPr>
          <w:rFonts w:hint="eastAsia" w:ascii="宋体" w:hAnsi="宋体" w:cs="宋体"/>
          <w:color w:val="auto"/>
          <w:szCs w:val="21"/>
          <w:highlight w:val="none"/>
          <w:lang w:eastAsia="zh-CN"/>
        </w:rPr>
        <w:t>地</w:t>
      </w:r>
      <w:r>
        <w:rPr>
          <w:rFonts w:hint="eastAsia" w:ascii="宋体" w:hAnsi="宋体" w:cs="宋体"/>
          <w:color w:val="auto"/>
          <w:szCs w:val="21"/>
          <w:highlight w:val="none"/>
        </w:rPr>
        <w:t>履行本合同，双方提供如下联系方式：</w:t>
      </w:r>
    </w:p>
    <w:p w14:paraId="7DC45D90">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eastAsia="zh-CN"/>
        </w:rPr>
        <w:t>甲</w:t>
      </w:r>
      <w:r>
        <w:rPr>
          <w:rFonts w:hint="eastAsia" w:ascii="宋体" w:hAnsi="宋体" w:cs="宋体"/>
          <w:color w:val="auto"/>
          <w:szCs w:val="21"/>
          <w:highlight w:val="none"/>
        </w:rPr>
        <w:t>方联系方式</w:t>
      </w:r>
    </w:p>
    <w:p w14:paraId="2E48ECF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邮寄地址：</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3C6F40F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54A5346A">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5D80800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eastAsia="zh-CN"/>
        </w:rPr>
        <w:t>乙</w:t>
      </w:r>
      <w:r>
        <w:rPr>
          <w:rFonts w:hint="eastAsia" w:ascii="宋体" w:hAnsi="宋体" w:cs="宋体"/>
          <w:color w:val="auto"/>
          <w:szCs w:val="21"/>
          <w:highlight w:val="none"/>
        </w:rPr>
        <w:t>方联系方式</w:t>
      </w:r>
    </w:p>
    <w:p w14:paraId="12072F7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邮寄地址：</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14:paraId="65822188">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14:paraId="39A2E2D2">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11B70B2B">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3.通过电子邮箱及其他电子方式送达时，发出之日即视为有效送达。通过快递等方式送达时</w:t>
      </w:r>
      <w:r>
        <w:rPr>
          <w:rFonts w:hint="eastAsia" w:ascii="宋体" w:hAnsi="宋体" w:cs="宋体"/>
          <w:color w:val="auto"/>
          <w:szCs w:val="21"/>
          <w:highlight w:val="none"/>
          <w:lang w:eastAsia="zh-CN"/>
        </w:rPr>
        <w:t>，在</w:t>
      </w:r>
      <w:r>
        <w:rPr>
          <w:rFonts w:hint="eastAsia" w:ascii="宋体" w:hAnsi="宋体" w:cs="宋体"/>
          <w:color w:val="auto"/>
          <w:szCs w:val="21"/>
          <w:highlight w:val="none"/>
        </w:rPr>
        <w:t>对方签收之日或发出后第三日视为有效送达（以两者较早一个日期为准）；如由于受送达方的原因不能送达或受送达方拒绝签收的，送达方可采用挂号信或者邮政特快专递邮寄送达，邮件寄至本协议记载之地址时，即视为送达。</w:t>
      </w:r>
    </w:p>
    <w:p w14:paraId="00B13DD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4.上述联系方式同时作为有效司法送达地址。</w:t>
      </w:r>
    </w:p>
    <w:p w14:paraId="584BB12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5.一方变更联系方式，应自变更之日起三日内，以书面形式通知对方；否则，该联系方式仍视为有效，由未通知方承担由此而引起的相关责任。</w:t>
      </w:r>
    </w:p>
    <w:p w14:paraId="2F23068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6.本联系方式条款为独立条款，不受合同整体或其他条款的效力影响，始终有效。</w:t>
      </w:r>
    </w:p>
    <w:p w14:paraId="277B3798">
      <w:pPr>
        <w:snapToGrid w:val="0"/>
        <w:spacing w:line="360" w:lineRule="exact"/>
        <w:ind w:firstLine="412" w:firstLineChars="196"/>
        <w:rPr>
          <w:rFonts w:hint="eastAsia" w:ascii="宋体" w:hAnsi="宋体" w:cs="宋体"/>
          <w:color w:val="auto"/>
          <w:szCs w:val="21"/>
          <w:highlight w:val="none"/>
        </w:rPr>
      </w:pPr>
      <w:r>
        <w:rPr>
          <w:rFonts w:hint="eastAsia" w:ascii="宋体" w:hAnsi="宋体" w:cs="宋体"/>
          <w:b/>
          <w:color w:val="auto"/>
          <w:szCs w:val="21"/>
          <w:highlight w:val="none"/>
        </w:rPr>
        <w:t xml:space="preserve">第十六条 </w:t>
      </w:r>
      <w:r>
        <w:rPr>
          <w:rFonts w:hint="eastAsia" w:ascii="宋体" w:hAnsi="宋体" w:cs="宋体"/>
          <w:color w:val="auto"/>
          <w:szCs w:val="21"/>
          <w:highlight w:val="none"/>
        </w:rPr>
        <w:t>本合同一式七份，具有同等法律效力，甲乙双方各三份，采购代理机构各一份。</w:t>
      </w:r>
    </w:p>
    <w:p w14:paraId="17D4A12F">
      <w:pPr>
        <w:snapToGrid w:val="0"/>
        <w:spacing w:line="360" w:lineRule="exact"/>
        <w:ind w:firstLine="411" w:firstLineChars="196"/>
        <w:rPr>
          <w:rFonts w:hint="eastAsia" w:ascii="宋体" w:hAnsi="宋体" w:cs="宋体"/>
          <w:color w:val="auto"/>
          <w:szCs w:val="21"/>
          <w:highlight w:val="none"/>
        </w:rPr>
      </w:pPr>
    </w:p>
    <w:p w14:paraId="15B418CE">
      <w:pPr>
        <w:snapToGrid w:val="0"/>
        <w:spacing w:line="360" w:lineRule="exact"/>
        <w:ind w:firstLine="411" w:firstLineChars="196"/>
        <w:rPr>
          <w:rFonts w:hint="eastAsia" w:ascii="宋体" w:hAnsi="宋体" w:cs="宋体"/>
          <w:color w:val="auto"/>
          <w:szCs w:val="21"/>
          <w:highlight w:val="none"/>
        </w:rPr>
      </w:pPr>
    </w:p>
    <w:tbl>
      <w:tblPr>
        <w:tblStyle w:val="13"/>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7"/>
        <w:gridCol w:w="4548"/>
      </w:tblGrid>
      <w:tr w14:paraId="3E1B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6" w:hRule="atLeast"/>
          <w:jc w:val="center"/>
        </w:trPr>
        <w:tc>
          <w:tcPr>
            <w:tcW w:w="4547" w:type="dxa"/>
            <w:vAlign w:val="center"/>
          </w:tcPr>
          <w:p w14:paraId="016F1F27">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甲方（章）广西壮族自治区林业局           </w:t>
            </w:r>
          </w:p>
          <w:p w14:paraId="6C7C8BD7">
            <w:pPr>
              <w:snapToGrid w:val="0"/>
              <w:spacing w:line="400" w:lineRule="exact"/>
              <w:rPr>
                <w:rFonts w:hint="eastAsia" w:ascii="宋体" w:hAnsi="宋体"/>
                <w:color w:val="auto"/>
                <w:szCs w:val="21"/>
                <w:highlight w:val="none"/>
              </w:rPr>
            </w:pPr>
          </w:p>
          <w:p w14:paraId="100E927A">
            <w:pPr>
              <w:snapToGrid w:val="0"/>
              <w:spacing w:line="400" w:lineRule="exact"/>
              <w:rPr>
                <w:rFonts w:hint="eastAsia" w:ascii="宋体" w:hAnsi="宋体"/>
                <w:color w:val="auto"/>
                <w:szCs w:val="21"/>
                <w:highlight w:val="none"/>
              </w:rPr>
            </w:pPr>
          </w:p>
          <w:p w14:paraId="50D1D500">
            <w:pPr>
              <w:snapToGrid w:val="0"/>
              <w:spacing w:line="400" w:lineRule="exact"/>
              <w:rPr>
                <w:rFonts w:hint="eastAsia" w:ascii="宋体" w:hAnsi="宋体"/>
                <w:color w:val="auto"/>
                <w:szCs w:val="21"/>
                <w:highlight w:val="none"/>
              </w:rPr>
            </w:pPr>
          </w:p>
          <w:p w14:paraId="2EA0B112">
            <w:pPr>
              <w:snapToGrid w:val="0"/>
              <w:spacing w:line="400" w:lineRule="exact"/>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4548" w:type="dxa"/>
            <w:vAlign w:val="center"/>
          </w:tcPr>
          <w:p w14:paraId="79BA6021">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乙方（章）               </w:t>
            </w:r>
          </w:p>
          <w:p w14:paraId="610355FB">
            <w:pPr>
              <w:snapToGrid w:val="0"/>
              <w:spacing w:line="400" w:lineRule="exact"/>
              <w:rPr>
                <w:rFonts w:hint="eastAsia" w:ascii="宋体" w:hAnsi="宋体"/>
                <w:color w:val="auto"/>
                <w:szCs w:val="21"/>
                <w:highlight w:val="none"/>
              </w:rPr>
            </w:pPr>
          </w:p>
          <w:p w14:paraId="1CEC1739">
            <w:pPr>
              <w:snapToGrid w:val="0"/>
              <w:spacing w:line="400" w:lineRule="exact"/>
              <w:rPr>
                <w:rFonts w:hint="eastAsia" w:ascii="宋体" w:hAnsi="宋体"/>
                <w:color w:val="auto"/>
                <w:szCs w:val="21"/>
                <w:highlight w:val="none"/>
              </w:rPr>
            </w:pPr>
          </w:p>
          <w:p w14:paraId="2FA6F637">
            <w:pPr>
              <w:snapToGrid w:val="0"/>
              <w:spacing w:line="400" w:lineRule="exact"/>
              <w:rPr>
                <w:rFonts w:hint="eastAsia" w:ascii="宋体" w:hAnsi="宋体"/>
                <w:color w:val="auto"/>
                <w:szCs w:val="21"/>
                <w:highlight w:val="none"/>
              </w:rPr>
            </w:pPr>
          </w:p>
          <w:p w14:paraId="4F0A4B2E">
            <w:pPr>
              <w:snapToGrid w:val="0"/>
              <w:spacing w:line="400" w:lineRule="exact"/>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14:paraId="674D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47" w:type="dxa"/>
            <w:vAlign w:val="center"/>
          </w:tcPr>
          <w:p w14:paraId="1D63D537">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单位地址：</w:t>
            </w:r>
          </w:p>
        </w:tc>
        <w:tc>
          <w:tcPr>
            <w:tcW w:w="4548" w:type="dxa"/>
            <w:vAlign w:val="center"/>
          </w:tcPr>
          <w:p w14:paraId="3D2986EE">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单位地址：</w:t>
            </w:r>
          </w:p>
        </w:tc>
      </w:tr>
      <w:tr w14:paraId="5C60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4547" w:type="dxa"/>
            <w:vAlign w:val="center"/>
          </w:tcPr>
          <w:p w14:paraId="0AE097FB">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法定代表人</w:t>
            </w:r>
            <w:r>
              <w:rPr>
                <w:rFonts w:ascii="宋体" w:hAnsi="宋体" w:cs="宋体"/>
                <w:color w:val="auto"/>
                <w:szCs w:val="21"/>
                <w:highlight w:val="none"/>
              </w:rPr>
              <w:t>或委托代理人</w:t>
            </w:r>
            <w:r>
              <w:rPr>
                <w:rFonts w:hint="eastAsia" w:ascii="宋体" w:hAnsi="宋体"/>
                <w:color w:val="auto"/>
                <w:szCs w:val="21"/>
                <w:highlight w:val="none"/>
              </w:rPr>
              <w:t>（签字或盖章）：</w:t>
            </w:r>
          </w:p>
          <w:p w14:paraId="3D6D526C">
            <w:pPr>
              <w:snapToGrid w:val="0"/>
              <w:spacing w:line="400" w:lineRule="exact"/>
              <w:jc w:val="left"/>
              <w:rPr>
                <w:rFonts w:hint="eastAsia" w:ascii="宋体" w:hAnsi="宋体"/>
                <w:color w:val="auto"/>
                <w:szCs w:val="21"/>
                <w:highlight w:val="none"/>
              </w:rPr>
            </w:pPr>
          </w:p>
          <w:p w14:paraId="3FD3B54B">
            <w:pPr>
              <w:snapToGrid w:val="0"/>
              <w:spacing w:line="400" w:lineRule="exact"/>
              <w:jc w:val="left"/>
              <w:rPr>
                <w:rFonts w:hint="eastAsia" w:ascii="宋体" w:hAnsi="宋体"/>
                <w:color w:val="auto"/>
                <w:szCs w:val="21"/>
                <w:highlight w:val="none"/>
              </w:rPr>
            </w:pPr>
          </w:p>
          <w:p w14:paraId="5592AE5A">
            <w:pPr>
              <w:snapToGrid w:val="0"/>
              <w:spacing w:line="400" w:lineRule="exact"/>
              <w:jc w:val="left"/>
              <w:rPr>
                <w:rFonts w:hint="eastAsia" w:ascii="宋体" w:hAnsi="宋体"/>
                <w:color w:val="auto"/>
                <w:szCs w:val="21"/>
                <w:highlight w:val="none"/>
              </w:rPr>
            </w:pPr>
          </w:p>
          <w:p w14:paraId="0FD11FBA">
            <w:pPr>
              <w:snapToGrid w:val="0"/>
              <w:spacing w:line="400" w:lineRule="exact"/>
              <w:jc w:val="left"/>
              <w:rPr>
                <w:rFonts w:hint="eastAsia" w:ascii="宋体" w:hAnsi="宋体"/>
                <w:color w:val="auto"/>
                <w:szCs w:val="21"/>
                <w:highlight w:val="none"/>
              </w:rPr>
            </w:pPr>
          </w:p>
        </w:tc>
        <w:tc>
          <w:tcPr>
            <w:tcW w:w="4548" w:type="dxa"/>
            <w:vAlign w:val="center"/>
          </w:tcPr>
          <w:p w14:paraId="61D044D4">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法定代表人</w:t>
            </w:r>
            <w:r>
              <w:rPr>
                <w:rFonts w:ascii="宋体" w:hAnsi="宋体" w:cs="宋体"/>
                <w:color w:val="auto"/>
                <w:szCs w:val="21"/>
                <w:highlight w:val="none"/>
              </w:rPr>
              <w:t>或委托代理人</w:t>
            </w:r>
            <w:r>
              <w:rPr>
                <w:rFonts w:hint="eastAsia" w:ascii="宋体" w:hAnsi="宋体"/>
                <w:color w:val="auto"/>
                <w:szCs w:val="21"/>
                <w:highlight w:val="none"/>
              </w:rPr>
              <w:t>（签字或盖章）：</w:t>
            </w:r>
          </w:p>
          <w:p w14:paraId="60933E6F">
            <w:pPr>
              <w:snapToGrid w:val="0"/>
              <w:spacing w:line="400" w:lineRule="exact"/>
              <w:jc w:val="left"/>
              <w:rPr>
                <w:rFonts w:hint="eastAsia" w:ascii="宋体" w:hAnsi="宋体"/>
                <w:color w:val="auto"/>
                <w:szCs w:val="21"/>
                <w:highlight w:val="none"/>
              </w:rPr>
            </w:pPr>
          </w:p>
          <w:p w14:paraId="544796D8">
            <w:pPr>
              <w:snapToGrid w:val="0"/>
              <w:spacing w:line="400" w:lineRule="exact"/>
              <w:jc w:val="left"/>
              <w:rPr>
                <w:rFonts w:hint="eastAsia" w:ascii="宋体" w:hAnsi="宋体"/>
                <w:color w:val="auto"/>
                <w:szCs w:val="21"/>
                <w:highlight w:val="none"/>
              </w:rPr>
            </w:pPr>
          </w:p>
          <w:p w14:paraId="14132F93">
            <w:pPr>
              <w:snapToGrid w:val="0"/>
              <w:spacing w:line="400" w:lineRule="exact"/>
              <w:jc w:val="left"/>
              <w:rPr>
                <w:rFonts w:hint="eastAsia" w:ascii="宋体" w:hAnsi="宋体"/>
                <w:color w:val="auto"/>
                <w:szCs w:val="21"/>
                <w:highlight w:val="none"/>
              </w:rPr>
            </w:pPr>
          </w:p>
          <w:p w14:paraId="00D58463">
            <w:pPr>
              <w:snapToGrid w:val="0"/>
              <w:spacing w:line="400" w:lineRule="exact"/>
              <w:jc w:val="left"/>
              <w:rPr>
                <w:rFonts w:hint="eastAsia" w:ascii="宋体" w:hAnsi="宋体"/>
                <w:color w:val="auto"/>
                <w:szCs w:val="21"/>
                <w:highlight w:val="none"/>
              </w:rPr>
            </w:pPr>
          </w:p>
        </w:tc>
      </w:tr>
      <w:tr w14:paraId="3DC4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547" w:type="dxa"/>
            <w:vAlign w:val="center"/>
          </w:tcPr>
          <w:p w14:paraId="049434D7">
            <w:pPr>
              <w:snapToGrid w:val="0"/>
              <w:spacing w:line="400" w:lineRule="exact"/>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 xml:space="preserve"> </w:t>
            </w:r>
          </w:p>
        </w:tc>
        <w:tc>
          <w:tcPr>
            <w:tcW w:w="4548" w:type="dxa"/>
            <w:vAlign w:val="center"/>
          </w:tcPr>
          <w:p w14:paraId="693C500E">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联系人：</w:t>
            </w:r>
          </w:p>
        </w:tc>
      </w:tr>
      <w:tr w14:paraId="7D9D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47" w:type="dxa"/>
            <w:vAlign w:val="center"/>
          </w:tcPr>
          <w:p w14:paraId="711442EF">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电话：</w:t>
            </w:r>
          </w:p>
        </w:tc>
        <w:tc>
          <w:tcPr>
            <w:tcW w:w="4548" w:type="dxa"/>
            <w:vAlign w:val="center"/>
          </w:tcPr>
          <w:p w14:paraId="60611331">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电话：</w:t>
            </w:r>
          </w:p>
        </w:tc>
      </w:tr>
      <w:tr w14:paraId="1F3E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47" w:type="dxa"/>
            <w:vAlign w:val="center"/>
          </w:tcPr>
          <w:p w14:paraId="49DB133D">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开户银行：</w:t>
            </w:r>
          </w:p>
        </w:tc>
        <w:tc>
          <w:tcPr>
            <w:tcW w:w="4548" w:type="dxa"/>
            <w:vAlign w:val="center"/>
          </w:tcPr>
          <w:p w14:paraId="200D52D7">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开户银行：</w:t>
            </w:r>
          </w:p>
        </w:tc>
      </w:tr>
      <w:tr w14:paraId="0A65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47" w:type="dxa"/>
            <w:vAlign w:val="center"/>
          </w:tcPr>
          <w:p w14:paraId="516DE8EB">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账号：</w:t>
            </w:r>
          </w:p>
        </w:tc>
        <w:tc>
          <w:tcPr>
            <w:tcW w:w="4548" w:type="dxa"/>
            <w:vAlign w:val="center"/>
          </w:tcPr>
          <w:p w14:paraId="39C47349">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账号：</w:t>
            </w:r>
          </w:p>
        </w:tc>
      </w:tr>
      <w:tr w14:paraId="591C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47" w:type="dxa"/>
            <w:vAlign w:val="center"/>
          </w:tcPr>
          <w:p w14:paraId="3185126F">
            <w:pPr>
              <w:snapToGrid w:val="0"/>
              <w:spacing w:line="400" w:lineRule="exact"/>
              <w:rPr>
                <w:rFonts w:ascii="宋体" w:hAnsi="宋体"/>
                <w:color w:val="auto"/>
                <w:szCs w:val="21"/>
                <w:highlight w:val="none"/>
              </w:rPr>
            </w:pPr>
            <w:r>
              <w:rPr>
                <w:rFonts w:hint="eastAsia" w:ascii="宋体" w:hAnsi="宋体"/>
                <w:color w:val="auto"/>
                <w:szCs w:val="21"/>
                <w:highlight w:val="none"/>
              </w:rPr>
              <w:t>纳税人识别号或统一社会信用代码：</w:t>
            </w:r>
          </w:p>
        </w:tc>
        <w:tc>
          <w:tcPr>
            <w:tcW w:w="4548" w:type="dxa"/>
            <w:vAlign w:val="center"/>
          </w:tcPr>
          <w:p w14:paraId="0A5BBA98">
            <w:pPr>
              <w:snapToGrid w:val="0"/>
              <w:spacing w:line="400" w:lineRule="exact"/>
              <w:rPr>
                <w:rFonts w:ascii="宋体" w:hAnsi="宋体"/>
                <w:color w:val="auto"/>
                <w:szCs w:val="21"/>
                <w:highlight w:val="none"/>
              </w:rPr>
            </w:pPr>
            <w:r>
              <w:rPr>
                <w:rFonts w:hint="eastAsia" w:ascii="宋体" w:hAnsi="宋体"/>
                <w:color w:val="auto"/>
                <w:szCs w:val="21"/>
                <w:highlight w:val="none"/>
              </w:rPr>
              <w:t>纳税人识别号或统一社会信用代码：</w:t>
            </w:r>
          </w:p>
        </w:tc>
      </w:tr>
      <w:tr w14:paraId="04F0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47" w:type="dxa"/>
            <w:vAlign w:val="center"/>
          </w:tcPr>
          <w:p w14:paraId="0CA7AFA0">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邮政编码：</w:t>
            </w:r>
          </w:p>
        </w:tc>
        <w:tc>
          <w:tcPr>
            <w:tcW w:w="4548" w:type="dxa"/>
            <w:vAlign w:val="center"/>
          </w:tcPr>
          <w:p w14:paraId="298FA7B8">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邮政编码：</w:t>
            </w:r>
          </w:p>
        </w:tc>
      </w:tr>
    </w:tbl>
    <w:p w14:paraId="178BACE8">
      <w:pPr>
        <w:snapToGrid w:val="0"/>
        <w:spacing w:line="360" w:lineRule="auto"/>
        <w:ind w:firstLine="5040" w:firstLineChars="2400"/>
        <w:jc w:val="left"/>
        <w:rPr>
          <w:rFonts w:hint="eastAsia" w:ascii="宋体" w:hAnsi="宋体" w:cs="宋体"/>
          <w:color w:val="auto"/>
          <w:szCs w:val="21"/>
          <w:highlight w:val="none"/>
        </w:rPr>
      </w:pPr>
    </w:p>
    <w:p w14:paraId="3E42EF24">
      <w:pPr>
        <w:snapToGrid w:val="0"/>
        <w:spacing w:line="360" w:lineRule="auto"/>
        <w:ind w:firstLine="5040" w:firstLineChars="2400"/>
        <w:jc w:val="left"/>
        <w:rPr>
          <w:rFonts w:hint="eastAsia" w:ascii="宋体" w:hAnsi="宋体" w:cs="宋体"/>
          <w:color w:val="auto"/>
          <w:szCs w:val="21"/>
          <w:highlight w:val="none"/>
          <w:lang w:eastAsia="zh-CN"/>
        </w:rPr>
      </w:pPr>
    </w:p>
    <w:p w14:paraId="2FE5FCD2">
      <w:pPr>
        <w:snapToGrid w:val="0"/>
        <w:spacing w:line="360" w:lineRule="auto"/>
        <w:ind w:firstLine="5040" w:firstLineChars="2400"/>
        <w:jc w:val="left"/>
        <w:rPr>
          <w:rFonts w:hint="eastAsia" w:ascii="宋体" w:hAnsi="宋体" w:cs="宋体"/>
          <w:color w:val="auto"/>
          <w:szCs w:val="21"/>
          <w:highlight w:val="none"/>
          <w:lang w:eastAsia="zh-CN"/>
        </w:rPr>
      </w:pPr>
    </w:p>
    <w:p w14:paraId="0D6BC39C">
      <w:pPr>
        <w:snapToGrid w:val="0"/>
        <w:spacing w:line="360" w:lineRule="auto"/>
        <w:ind w:firstLine="5040" w:firstLineChars="2400"/>
        <w:jc w:val="left"/>
        <w:rPr>
          <w:rFonts w:hint="eastAsia" w:ascii="宋体" w:hAnsi="宋体" w:cs="宋体"/>
          <w:color w:val="auto"/>
          <w:szCs w:val="21"/>
          <w:highlight w:val="none"/>
          <w:lang w:eastAsia="zh-CN"/>
        </w:rPr>
      </w:pPr>
    </w:p>
    <w:p w14:paraId="6BD9EB62">
      <w:pPr>
        <w:snapToGrid w:val="0"/>
        <w:spacing w:line="360" w:lineRule="auto"/>
        <w:ind w:firstLine="5040" w:firstLineChars="2400"/>
        <w:jc w:val="left"/>
        <w:rPr>
          <w:rFonts w:hint="eastAsia" w:ascii="宋体" w:hAnsi="宋体" w:cs="宋体"/>
          <w:color w:val="auto"/>
          <w:szCs w:val="21"/>
          <w:highlight w:val="none"/>
          <w:lang w:eastAsia="zh-CN"/>
        </w:rPr>
      </w:pPr>
    </w:p>
    <w:p w14:paraId="3763BFA8">
      <w:pPr>
        <w:snapToGrid w:val="0"/>
        <w:spacing w:line="360" w:lineRule="auto"/>
        <w:ind w:firstLine="5040" w:firstLineChars="2400"/>
        <w:jc w:val="left"/>
        <w:rPr>
          <w:rFonts w:hint="eastAsia" w:ascii="宋体" w:hAnsi="宋体" w:cs="宋体"/>
          <w:color w:val="auto"/>
          <w:szCs w:val="21"/>
          <w:highlight w:val="none"/>
          <w:lang w:eastAsia="zh-CN"/>
        </w:rPr>
      </w:pPr>
    </w:p>
    <w:p w14:paraId="11BB8FEE">
      <w:pPr>
        <w:snapToGrid w:val="0"/>
        <w:spacing w:line="360" w:lineRule="auto"/>
        <w:ind w:firstLine="5040" w:firstLineChars="2400"/>
        <w:jc w:val="left"/>
        <w:rPr>
          <w:rFonts w:hint="eastAsia" w:ascii="宋体" w:hAnsi="宋体" w:cs="宋体"/>
          <w:color w:val="auto"/>
          <w:szCs w:val="21"/>
          <w:highlight w:val="none"/>
          <w:lang w:eastAsia="zh-CN"/>
        </w:rPr>
      </w:pPr>
    </w:p>
    <w:p w14:paraId="542B2E77">
      <w:pPr>
        <w:snapToGrid w:val="0"/>
        <w:spacing w:line="360" w:lineRule="auto"/>
        <w:ind w:firstLine="5040" w:firstLineChars="2400"/>
        <w:jc w:val="left"/>
        <w:rPr>
          <w:rFonts w:hint="eastAsia" w:ascii="宋体" w:hAnsi="宋体" w:cs="宋体"/>
          <w:color w:val="auto"/>
          <w:szCs w:val="21"/>
          <w:highlight w:val="none"/>
          <w:lang w:eastAsia="zh-CN"/>
        </w:rPr>
      </w:pPr>
    </w:p>
    <w:p w14:paraId="629A7B99">
      <w:pPr>
        <w:snapToGrid w:val="0"/>
        <w:spacing w:line="360" w:lineRule="auto"/>
        <w:ind w:firstLine="5040" w:firstLineChars="2400"/>
        <w:jc w:val="left"/>
        <w:rPr>
          <w:rFonts w:hint="eastAsia" w:ascii="宋体" w:hAnsi="宋体" w:cs="宋体"/>
          <w:color w:val="auto"/>
          <w:szCs w:val="21"/>
          <w:highlight w:val="none"/>
          <w:lang w:eastAsia="zh-CN"/>
        </w:rPr>
      </w:pPr>
    </w:p>
    <w:p w14:paraId="1E232E49">
      <w:pPr>
        <w:snapToGrid w:val="0"/>
        <w:spacing w:line="360" w:lineRule="auto"/>
        <w:ind w:firstLine="5040" w:firstLineChars="2400"/>
        <w:jc w:val="left"/>
        <w:rPr>
          <w:rFonts w:hint="eastAsia" w:ascii="宋体" w:hAnsi="宋体" w:cs="宋体"/>
          <w:color w:val="auto"/>
          <w:szCs w:val="21"/>
          <w:highlight w:val="none"/>
          <w:lang w:eastAsia="zh-CN"/>
        </w:rPr>
      </w:pPr>
    </w:p>
    <w:p w14:paraId="3E171678">
      <w:pPr>
        <w:snapToGrid w:val="0"/>
        <w:spacing w:line="360" w:lineRule="auto"/>
        <w:ind w:firstLine="5040" w:firstLineChars="2400"/>
        <w:jc w:val="left"/>
        <w:rPr>
          <w:rFonts w:hint="eastAsia" w:ascii="宋体" w:hAnsi="宋体" w:cs="宋体"/>
          <w:color w:val="auto"/>
          <w:szCs w:val="21"/>
          <w:highlight w:val="none"/>
          <w:lang w:eastAsia="zh-CN"/>
        </w:rPr>
      </w:pPr>
    </w:p>
    <w:p w14:paraId="639DDC6A">
      <w:pPr>
        <w:pStyle w:val="4"/>
        <w:rPr>
          <w:color w:val="auto"/>
          <w:highlight w:val="none"/>
        </w:rPr>
      </w:pPr>
    </w:p>
    <w:sectPr>
      <w:footerReference r:id="rId48" w:type="default"/>
      <w:pgSz w:w="11906" w:h="16839"/>
      <w:pgMar w:top="1244" w:right="1132" w:bottom="1362" w:left="1144" w:header="0"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FE3EC">
    <w:pPr>
      <w:pStyle w:val="8"/>
      <w:tabs>
        <w:tab w:val="clear" w:pos="4153"/>
      </w:tabs>
      <w:jc w:val="cente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7661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0637661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6E052">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3CCBF">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E93CCBF">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18108">
    <w:pPr>
      <w:spacing w:line="176" w:lineRule="auto"/>
      <w:ind w:left="47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E4C16">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B2E4C16">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C93A">
    <w:pPr>
      <w:spacing w:line="176" w:lineRule="auto"/>
      <w:ind w:left="47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B26D4">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5AB26D4">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273BD">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3D179">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F53D179">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42A3E">
    <w:pPr>
      <w:spacing w:line="176" w:lineRule="auto"/>
      <w:ind w:left="49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4472E">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6F4472E">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5AF31">
    <w:pPr>
      <w:spacing w:line="176" w:lineRule="auto"/>
      <w:ind w:left="45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64B7E">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CC64B7E">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418C7">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5AE07">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CA5AE07">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6670B">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0F0F2">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6D0F0F2">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EA884">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B7224">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E7B7224">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EAC3B">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3EB13">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FC3EB13">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02CBC">
    <w:pPr>
      <w:spacing w:line="176" w:lineRule="auto"/>
      <w:ind w:left="47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C44A7">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2DC44A7">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000A4">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6F96C">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F56F96C">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520E4">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D131E">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87D131E">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9AA47">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F38C2">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20F38C2">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37AD8">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970E7">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32970E7">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7AF4B">
    <w:pPr>
      <w:spacing w:line="176" w:lineRule="auto"/>
      <w:ind w:left="49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9AC8A">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4C9AC8A">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3F652">
    <w:pPr>
      <w:spacing w:line="176" w:lineRule="auto"/>
      <w:ind w:left="47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85123">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3585123">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904CC">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5AA1F">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135AA1F">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C65DC">
    <w:pPr>
      <w:spacing w:line="176" w:lineRule="auto"/>
      <w:ind w:left="47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BA858">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2DBA858">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76EFA">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12E81">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BD12E81">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971FF">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76B85">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8676B85">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526A4">
    <w:pPr>
      <w:spacing w:line="176" w:lineRule="auto"/>
      <w:ind w:left="47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C9F89">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85C9F89">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A088A">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FEA88">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3DFEA88">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425EB">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4E7E8">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4B4E7E8">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77292">
    <w:pPr>
      <w:spacing w:line="176" w:lineRule="auto"/>
      <w:ind w:left="47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22BC8">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C522BC8">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0E0CD">
    <w:pPr>
      <w:spacing w:line="176" w:lineRule="auto"/>
      <w:ind w:left="48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C14BA">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90C14BA">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05AB9">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19748">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DB19748">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FD06">
    <w:pPr>
      <w:spacing w:line="176" w:lineRule="auto"/>
      <w:ind w:left="47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FEABE">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65FEABE">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AF46A">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66687">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8566687">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7A292">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42DC3">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8142DC3">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79321">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184E8">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1F184E8">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C13B8">
    <w:pPr>
      <w:spacing w:line="176" w:lineRule="auto"/>
      <w:ind w:left="48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95BF7">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F095BF7">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C5E2B">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CA868">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0ACA868">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C9D87">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FABD9">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09FABD9">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46AB9">
    <w:pPr>
      <w:spacing w:line="176" w:lineRule="auto"/>
      <w:ind w:left="47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C88CF">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53C88CF">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24196">
    <w:pPr>
      <w:spacing w:line="176" w:lineRule="auto"/>
      <w:ind w:left="48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E78E8">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0AE78E8">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86063">
    <w:pPr>
      <w:spacing w:line="176" w:lineRule="auto"/>
      <w:ind w:left="48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7B16A">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807B16A">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D806D">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4CEB0">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DB4CEB0">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2FE62">
    <w:pPr>
      <w:spacing w:line="173" w:lineRule="auto"/>
      <w:ind w:left="47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5301D">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F5301D">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6D54">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88956">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7E88956">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31E8E">
    <w:pPr>
      <w:spacing w:line="176" w:lineRule="auto"/>
      <w:ind w:left="47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9D27D">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29D27D">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F2C19">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E7A5B">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3E7A5B">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E8DDE">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E1BC5">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1DE1BC5">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1760F"/>
    <w:rsid w:val="00247343"/>
    <w:rsid w:val="00506461"/>
    <w:rsid w:val="00D074CA"/>
    <w:rsid w:val="00E0770D"/>
    <w:rsid w:val="010019A2"/>
    <w:rsid w:val="01017684"/>
    <w:rsid w:val="015C2B0C"/>
    <w:rsid w:val="016E2F6B"/>
    <w:rsid w:val="017C45D8"/>
    <w:rsid w:val="01AA1AC9"/>
    <w:rsid w:val="02570BF3"/>
    <w:rsid w:val="02684FE7"/>
    <w:rsid w:val="02AE55E9"/>
    <w:rsid w:val="02EB05EB"/>
    <w:rsid w:val="030A0A72"/>
    <w:rsid w:val="0310013E"/>
    <w:rsid w:val="031E276F"/>
    <w:rsid w:val="03457CFC"/>
    <w:rsid w:val="03906A9D"/>
    <w:rsid w:val="03A026BA"/>
    <w:rsid w:val="03AA4003"/>
    <w:rsid w:val="03F020F2"/>
    <w:rsid w:val="03FF4A17"/>
    <w:rsid w:val="045663F6"/>
    <w:rsid w:val="04657F2A"/>
    <w:rsid w:val="046B19E4"/>
    <w:rsid w:val="047B14FB"/>
    <w:rsid w:val="04815783"/>
    <w:rsid w:val="04BC08B4"/>
    <w:rsid w:val="05002D34"/>
    <w:rsid w:val="053578FC"/>
    <w:rsid w:val="05364417"/>
    <w:rsid w:val="053B7608"/>
    <w:rsid w:val="057E2197"/>
    <w:rsid w:val="05886E41"/>
    <w:rsid w:val="05AA6E38"/>
    <w:rsid w:val="06426774"/>
    <w:rsid w:val="064A73D7"/>
    <w:rsid w:val="06533545"/>
    <w:rsid w:val="0661309E"/>
    <w:rsid w:val="066E7569"/>
    <w:rsid w:val="067F52D3"/>
    <w:rsid w:val="06B96EBE"/>
    <w:rsid w:val="06C278B5"/>
    <w:rsid w:val="07061550"/>
    <w:rsid w:val="072440CC"/>
    <w:rsid w:val="073A38EF"/>
    <w:rsid w:val="073C033A"/>
    <w:rsid w:val="074D53D1"/>
    <w:rsid w:val="07AA2823"/>
    <w:rsid w:val="085071D1"/>
    <w:rsid w:val="08723BC6"/>
    <w:rsid w:val="089117DB"/>
    <w:rsid w:val="08AF16AB"/>
    <w:rsid w:val="097924AD"/>
    <w:rsid w:val="09970950"/>
    <w:rsid w:val="09BA2AC6"/>
    <w:rsid w:val="09F064E7"/>
    <w:rsid w:val="0A0F2E11"/>
    <w:rsid w:val="0A2B0DEC"/>
    <w:rsid w:val="0A303589"/>
    <w:rsid w:val="0A313795"/>
    <w:rsid w:val="0A370A52"/>
    <w:rsid w:val="0A5D3B7D"/>
    <w:rsid w:val="0AA1025C"/>
    <w:rsid w:val="0AA2614B"/>
    <w:rsid w:val="0AB453E0"/>
    <w:rsid w:val="0ADF4592"/>
    <w:rsid w:val="0B100BEF"/>
    <w:rsid w:val="0B27418B"/>
    <w:rsid w:val="0B3A3EBE"/>
    <w:rsid w:val="0B5D7BAD"/>
    <w:rsid w:val="0BD55995"/>
    <w:rsid w:val="0BF57DE5"/>
    <w:rsid w:val="0C0A4095"/>
    <w:rsid w:val="0C4F3999"/>
    <w:rsid w:val="0C5A2708"/>
    <w:rsid w:val="0C5B40EC"/>
    <w:rsid w:val="0C7D0506"/>
    <w:rsid w:val="0C9413AC"/>
    <w:rsid w:val="0CEE6D0E"/>
    <w:rsid w:val="0CF06F2A"/>
    <w:rsid w:val="0D0C3638"/>
    <w:rsid w:val="0D0E46BE"/>
    <w:rsid w:val="0D4D674F"/>
    <w:rsid w:val="0D523741"/>
    <w:rsid w:val="0D8D031E"/>
    <w:rsid w:val="0D9773A6"/>
    <w:rsid w:val="0D9779C9"/>
    <w:rsid w:val="0D9D24E2"/>
    <w:rsid w:val="0D9F625A"/>
    <w:rsid w:val="0DC363ED"/>
    <w:rsid w:val="0DDA7292"/>
    <w:rsid w:val="0DED6FC6"/>
    <w:rsid w:val="0E0B7D94"/>
    <w:rsid w:val="0E7B6CC7"/>
    <w:rsid w:val="0E86030D"/>
    <w:rsid w:val="0E9E4764"/>
    <w:rsid w:val="0ED939EE"/>
    <w:rsid w:val="0F0D5446"/>
    <w:rsid w:val="0F890F70"/>
    <w:rsid w:val="0FD61CDB"/>
    <w:rsid w:val="0FF7237E"/>
    <w:rsid w:val="10042CED"/>
    <w:rsid w:val="100D394F"/>
    <w:rsid w:val="101E5B5C"/>
    <w:rsid w:val="105E41AB"/>
    <w:rsid w:val="10BE10ED"/>
    <w:rsid w:val="10C85AC8"/>
    <w:rsid w:val="10F1501F"/>
    <w:rsid w:val="111B209C"/>
    <w:rsid w:val="116F4196"/>
    <w:rsid w:val="11B21219"/>
    <w:rsid w:val="11B61DC5"/>
    <w:rsid w:val="11C92A69"/>
    <w:rsid w:val="123331B3"/>
    <w:rsid w:val="124D44D7"/>
    <w:rsid w:val="1257552B"/>
    <w:rsid w:val="125E4936"/>
    <w:rsid w:val="12647A72"/>
    <w:rsid w:val="126675C2"/>
    <w:rsid w:val="12950962"/>
    <w:rsid w:val="12A961B8"/>
    <w:rsid w:val="12B46CAA"/>
    <w:rsid w:val="132F62D2"/>
    <w:rsid w:val="135945F0"/>
    <w:rsid w:val="13912AE9"/>
    <w:rsid w:val="13983E78"/>
    <w:rsid w:val="140E7C96"/>
    <w:rsid w:val="146E6986"/>
    <w:rsid w:val="14BC1DE8"/>
    <w:rsid w:val="14D4516D"/>
    <w:rsid w:val="14E32ED1"/>
    <w:rsid w:val="14F96B98"/>
    <w:rsid w:val="150115A9"/>
    <w:rsid w:val="15080B89"/>
    <w:rsid w:val="15082937"/>
    <w:rsid w:val="152359C3"/>
    <w:rsid w:val="154A11A2"/>
    <w:rsid w:val="15545B7C"/>
    <w:rsid w:val="159D310D"/>
    <w:rsid w:val="15C26F8A"/>
    <w:rsid w:val="15FF1F8C"/>
    <w:rsid w:val="161F2008"/>
    <w:rsid w:val="16471C1C"/>
    <w:rsid w:val="167F131F"/>
    <w:rsid w:val="168D3A3C"/>
    <w:rsid w:val="16A62408"/>
    <w:rsid w:val="170A6E3A"/>
    <w:rsid w:val="179621DD"/>
    <w:rsid w:val="17F35B20"/>
    <w:rsid w:val="180E4708"/>
    <w:rsid w:val="185365BF"/>
    <w:rsid w:val="18860743"/>
    <w:rsid w:val="190A1374"/>
    <w:rsid w:val="19213D00"/>
    <w:rsid w:val="192468A5"/>
    <w:rsid w:val="19267830"/>
    <w:rsid w:val="19662322"/>
    <w:rsid w:val="19690607"/>
    <w:rsid w:val="198A7DBF"/>
    <w:rsid w:val="19AC242B"/>
    <w:rsid w:val="1A4E5451"/>
    <w:rsid w:val="1A501008"/>
    <w:rsid w:val="1A736AA5"/>
    <w:rsid w:val="1ABC48F0"/>
    <w:rsid w:val="1B127DC2"/>
    <w:rsid w:val="1B18764C"/>
    <w:rsid w:val="1B216501"/>
    <w:rsid w:val="1B43291B"/>
    <w:rsid w:val="1B682381"/>
    <w:rsid w:val="1BF664F6"/>
    <w:rsid w:val="1C0320AA"/>
    <w:rsid w:val="1C3310EC"/>
    <w:rsid w:val="1C4A7CD9"/>
    <w:rsid w:val="1C760ACE"/>
    <w:rsid w:val="1C8C20A0"/>
    <w:rsid w:val="1CD56BC6"/>
    <w:rsid w:val="1D13456F"/>
    <w:rsid w:val="1D196228"/>
    <w:rsid w:val="1D230C56"/>
    <w:rsid w:val="1D306ECF"/>
    <w:rsid w:val="1D3C1D18"/>
    <w:rsid w:val="1D84721B"/>
    <w:rsid w:val="1D9456B0"/>
    <w:rsid w:val="1DA12152"/>
    <w:rsid w:val="1DA5166B"/>
    <w:rsid w:val="1E0F2F88"/>
    <w:rsid w:val="1E544E3F"/>
    <w:rsid w:val="1E7D4396"/>
    <w:rsid w:val="1F69532E"/>
    <w:rsid w:val="1F6F0182"/>
    <w:rsid w:val="1F75506D"/>
    <w:rsid w:val="1FC57DA2"/>
    <w:rsid w:val="1FEA0867"/>
    <w:rsid w:val="20145AF4"/>
    <w:rsid w:val="2020147D"/>
    <w:rsid w:val="206D3F96"/>
    <w:rsid w:val="20783E13"/>
    <w:rsid w:val="20915264"/>
    <w:rsid w:val="20C91B14"/>
    <w:rsid w:val="20CE0ED9"/>
    <w:rsid w:val="20EB1A8B"/>
    <w:rsid w:val="211D2ED8"/>
    <w:rsid w:val="21780E44"/>
    <w:rsid w:val="219A0DBB"/>
    <w:rsid w:val="21A32365"/>
    <w:rsid w:val="21B701C6"/>
    <w:rsid w:val="21CD1190"/>
    <w:rsid w:val="21D25949"/>
    <w:rsid w:val="21EE11B9"/>
    <w:rsid w:val="22162B37"/>
    <w:rsid w:val="224A05B8"/>
    <w:rsid w:val="226513C9"/>
    <w:rsid w:val="22813574"/>
    <w:rsid w:val="22F264C0"/>
    <w:rsid w:val="230D2322"/>
    <w:rsid w:val="233139A1"/>
    <w:rsid w:val="23333275"/>
    <w:rsid w:val="23623B5A"/>
    <w:rsid w:val="23834AD2"/>
    <w:rsid w:val="23843AD1"/>
    <w:rsid w:val="23B72344"/>
    <w:rsid w:val="23BF71FF"/>
    <w:rsid w:val="240A17C0"/>
    <w:rsid w:val="242543FB"/>
    <w:rsid w:val="24305A06"/>
    <w:rsid w:val="243F3E9B"/>
    <w:rsid w:val="244B6A99"/>
    <w:rsid w:val="249266C1"/>
    <w:rsid w:val="249B25F8"/>
    <w:rsid w:val="24D33316"/>
    <w:rsid w:val="24D80578"/>
    <w:rsid w:val="24E011DB"/>
    <w:rsid w:val="24FD7FDE"/>
    <w:rsid w:val="250A6257"/>
    <w:rsid w:val="251946ED"/>
    <w:rsid w:val="255D282B"/>
    <w:rsid w:val="255F0B60"/>
    <w:rsid w:val="256242E5"/>
    <w:rsid w:val="25B14925"/>
    <w:rsid w:val="26655E3B"/>
    <w:rsid w:val="26A76454"/>
    <w:rsid w:val="270311B0"/>
    <w:rsid w:val="275D2FB6"/>
    <w:rsid w:val="276B56D3"/>
    <w:rsid w:val="27B16E5E"/>
    <w:rsid w:val="27B506FD"/>
    <w:rsid w:val="28261BFA"/>
    <w:rsid w:val="283755B5"/>
    <w:rsid w:val="285223EF"/>
    <w:rsid w:val="28616AD6"/>
    <w:rsid w:val="28814A83"/>
    <w:rsid w:val="289A5B44"/>
    <w:rsid w:val="290A3B15"/>
    <w:rsid w:val="29342EE2"/>
    <w:rsid w:val="29437F8A"/>
    <w:rsid w:val="29D71FB3"/>
    <w:rsid w:val="29E67293"/>
    <w:rsid w:val="2A225DF1"/>
    <w:rsid w:val="2A6603D4"/>
    <w:rsid w:val="2A693A20"/>
    <w:rsid w:val="2A7228D5"/>
    <w:rsid w:val="2A750617"/>
    <w:rsid w:val="2A9C34E8"/>
    <w:rsid w:val="2AB27175"/>
    <w:rsid w:val="2B02634F"/>
    <w:rsid w:val="2B05199B"/>
    <w:rsid w:val="2B193698"/>
    <w:rsid w:val="2B255B99"/>
    <w:rsid w:val="2B41674B"/>
    <w:rsid w:val="2B536756"/>
    <w:rsid w:val="2B844FB6"/>
    <w:rsid w:val="2BA07916"/>
    <w:rsid w:val="2BA31E79"/>
    <w:rsid w:val="2BAB53B1"/>
    <w:rsid w:val="2C1F083A"/>
    <w:rsid w:val="2C2916B9"/>
    <w:rsid w:val="2C4402A1"/>
    <w:rsid w:val="2CBF3DCB"/>
    <w:rsid w:val="2D12214D"/>
    <w:rsid w:val="2D306A77"/>
    <w:rsid w:val="2D7F401A"/>
    <w:rsid w:val="2DC4288F"/>
    <w:rsid w:val="2DE95FDA"/>
    <w:rsid w:val="2E15574D"/>
    <w:rsid w:val="2E1C087B"/>
    <w:rsid w:val="2E3F51C4"/>
    <w:rsid w:val="2E4D0CE2"/>
    <w:rsid w:val="2EE854F4"/>
    <w:rsid w:val="2F0B779C"/>
    <w:rsid w:val="2F213C44"/>
    <w:rsid w:val="2F4D56BE"/>
    <w:rsid w:val="2F57046A"/>
    <w:rsid w:val="2F976E5C"/>
    <w:rsid w:val="2FB026FE"/>
    <w:rsid w:val="2FEF2C1A"/>
    <w:rsid w:val="30006BD5"/>
    <w:rsid w:val="302F3BBA"/>
    <w:rsid w:val="30420F9B"/>
    <w:rsid w:val="305F7D9F"/>
    <w:rsid w:val="309D2676"/>
    <w:rsid w:val="30B73737"/>
    <w:rsid w:val="30C05CFD"/>
    <w:rsid w:val="30CD6015"/>
    <w:rsid w:val="30ED53AB"/>
    <w:rsid w:val="30EF792C"/>
    <w:rsid w:val="31184B1D"/>
    <w:rsid w:val="31A6555A"/>
    <w:rsid w:val="31C43B1F"/>
    <w:rsid w:val="31DD45A7"/>
    <w:rsid w:val="31F6203D"/>
    <w:rsid w:val="321B7CF6"/>
    <w:rsid w:val="324059AE"/>
    <w:rsid w:val="32601BAD"/>
    <w:rsid w:val="32713DBA"/>
    <w:rsid w:val="32AF7147"/>
    <w:rsid w:val="32BA12BD"/>
    <w:rsid w:val="32CE2FBA"/>
    <w:rsid w:val="32EE1ABC"/>
    <w:rsid w:val="33010C9A"/>
    <w:rsid w:val="33260700"/>
    <w:rsid w:val="3355548A"/>
    <w:rsid w:val="338B4A07"/>
    <w:rsid w:val="33F94067"/>
    <w:rsid w:val="34210CBB"/>
    <w:rsid w:val="344D6161"/>
    <w:rsid w:val="346040E6"/>
    <w:rsid w:val="34BD5094"/>
    <w:rsid w:val="34D67F04"/>
    <w:rsid w:val="34EB1C02"/>
    <w:rsid w:val="35401DE5"/>
    <w:rsid w:val="35521C81"/>
    <w:rsid w:val="357B688B"/>
    <w:rsid w:val="35A818A1"/>
    <w:rsid w:val="360020CE"/>
    <w:rsid w:val="36240D72"/>
    <w:rsid w:val="364315C9"/>
    <w:rsid w:val="364A6DFC"/>
    <w:rsid w:val="36525B41"/>
    <w:rsid w:val="37397F6D"/>
    <w:rsid w:val="377834F5"/>
    <w:rsid w:val="38211DDE"/>
    <w:rsid w:val="383733B0"/>
    <w:rsid w:val="384653A1"/>
    <w:rsid w:val="384F4255"/>
    <w:rsid w:val="391976DF"/>
    <w:rsid w:val="39522F81"/>
    <w:rsid w:val="395A7356"/>
    <w:rsid w:val="39673821"/>
    <w:rsid w:val="39F552D0"/>
    <w:rsid w:val="3A217E73"/>
    <w:rsid w:val="3A3B1E8D"/>
    <w:rsid w:val="3A566593"/>
    <w:rsid w:val="3AC16F61"/>
    <w:rsid w:val="3B0B7552"/>
    <w:rsid w:val="3B201AA4"/>
    <w:rsid w:val="3B365BA1"/>
    <w:rsid w:val="3B854432"/>
    <w:rsid w:val="3BE178BA"/>
    <w:rsid w:val="3C20321B"/>
    <w:rsid w:val="3C4B11D8"/>
    <w:rsid w:val="3C526729"/>
    <w:rsid w:val="3CBE5E4E"/>
    <w:rsid w:val="3CF63839"/>
    <w:rsid w:val="3D491BBB"/>
    <w:rsid w:val="3D510A70"/>
    <w:rsid w:val="3D65276D"/>
    <w:rsid w:val="3DB03A43"/>
    <w:rsid w:val="3E3B04C6"/>
    <w:rsid w:val="3EE46AE1"/>
    <w:rsid w:val="3EE80F60"/>
    <w:rsid w:val="3F0A537A"/>
    <w:rsid w:val="3F9B4224"/>
    <w:rsid w:val="3F9F2EEF"/>
    <w:rsid w:val="3FA86034"/>
    <w:rsid w:val="3FC9132A"/>
    <w:rsid w:val="3FCE296C"/>
    <w:rsid w:val="3FDD6EA2"/>
    <w:rsid w:val="401A339B"/>
    <w:rsid w:val="401D732F"/>
    <w:rsid w:val="40381A73"/>
    <w:rsid w:val="40774C91"/>
    <w:rsid w:val="40B7508E"/>
    <w:rsid w:val="40B91FB0"/>
    <w:rsid w:val="40B95727"/>
    <w:rsid w:val="40BE466E"/>
    <w:rsid w:val="415428DD"/>
    <w:rsid w:val="41596145"/>
    <w:rsid w:val="41764F49"/>
    <w:rsid w:val="417B1B65"/>
    <w:rsid w:val="4191768D"/>
    <w:rsid w:val="41BB0BAE"/>
    <w:rsid w:val="41CA2B9F"/>
    <w:rsid w:val="41DC4FE2"/>
    <w:rsid w:val="41EA1493"/>
    <w:rsid w:val="42562684"/>
    <w:rsid w:val="42C43A92"/>
    <w:rsid w:val="42DF6B1E"/>
    <w:rsid w:val="42FE6FA4"/>
    <w:rsid w:val="431A6E23"/>
    <w:rsid w:val="432C3992"/>
    <w:rsid w:val="43486471"/>
    <w:rsid w:val="43790D20"/>
    <w:rsid w:val="43A85B37"/>
    <w:rsid w:val="43CC0E50"/>
    <w:rsid w:val="43D45F57"/>
    <w:rsid w:val="445F7F16"/>
    <w:rsid w:val="44660164"/>
    <w:rsid w:val="44957494"/>
    <w:rsid w:val="44A122DD"/>
    <w:rsid w:val="44B50DCE"/>
    <w:rsid w:val="44CD3E71"/>
    <w:rsid w:val="452840C0"/>
    <w:rsid w:val="462211FB"/>
    <w:rsid w:val="462907DC"/>
    <w:rsid w:val="466E4440"/>
    <w:rsid w:val="46D257FF"/>
    <w:rsid w:val="474271A0"/>
    <w:rsid w:val="475616E0"/>
    <w:rsid w:val="477517FF"/>
    <w:rsid w:val="47C84024"/>
    <w:rsid w:val="47EA3F9B"/>
    <w:rsid w:val="48EE1869"/>
    <w:rsid w:val="4901159C"/>
    <w:rsid w:val="49261002"/>
    <w:rsid w:val="492C413F"/>
    <w:rsid w:val="494E2350"/>
    <w:rsid w:val="49522ABB"/>
    <w:rsid w:val="49E62540"/>
    <w:rsid w:val="49EC224C"/>
    <w:rsid w:val="4A0330F2"/>
    <w:rsid w:val="4A4554B8"/>
    <w:rsid w:val="4A5653DB"/>
    <w:rsid w:val="4A5B1180"/>
    <w:rsid w:val="4A82495E"/>
    <w:rsid w:val="4B137364"/>
    <w:rsid w:val="4B157580"/>
    <w:rsid w:val="4B38501D"/>
    <w:rsid w:val="4B85213F"/>
    <w:rsid w:val="4B8E2E8F"/>
    <w:rsid w:val="4BA83F51"/>
    <w:rsid w:val="4BB83B29"/>
    <w:rsid w:val="4BFA0524"/>
    <w:rsid w:val="4BFC604B"/>
    <w:rsid w:val="4C237FED"/>
    <w:rsid w:val="4D2512AF"/>
    <w:rsid w:val="4D6D36A4"/>
    <w:rsid w:val="4D9A3D6D"/>
    <w:rsid w:val="4DE65204"/>
    <w:rsid w:val="4DF23BA9"/>
    <w:rsid w:val="4E4168DE"/>
    <w:rsid w:val="4E451F2B"/>
    <w:rsid w:val="4E5B79A0"/>
    <w:rsid w:val="4EB26E94"/>
    <w:rsid w:val="4F0E67C1"/>
    <w:rsid w:val="4F6C798B"/>
    <w:rsid w:val="4F7F321A"/>
    <w:rsid w:val="4F9262E3"/>
    <w:rsid w:val="4FB21777"/>
    <w:rsid w:val="4FB235F0"/>
    <w:rsid w:val="4FB55C2F"/>
    <w:rsid w:val="4FD41305"/>
    <w:rsid w:val="4FDF63AF"/>
    <w:rsid w:val="500732F6"/>
    <w:rsid w:val="50354221"/>
    <w:rsid w:val="50373AF5"/>
    <w:rsid w:val="503A5393"/>
    <w:rsid w:val="503E4E84"/>
    <w:rsid w:val="50546455"/>
    <w:rsid w:val="506A211C"/>
    <w:rsid w:val="5074339D"/>
    <w:rsid w:val="51204589"/>
    <w:rsid w:val="51212CE1"/>
    <w:rsid w:val="51455E3B"/>
    <w:rsid w:val="51874608"/>
    <w:rsid w:val="51A73F45"/>
    <w:rsid w:val="51B01DB1"/>
    <w:rsid w:val="51C07B1A"/>
    <w:rsid w:val="51EA05C5"/>
    <w:rsid w:val="51F83758"/>
    <w:rsid w:val="52410C5B"/>
    <w:rsid w:val="525F5585"/>
    <w:rsid w:val="5264613C"/>
    <w:rsid w:val="5272350A"/>
    <w:rsid w:val="528B0128"/>
    <w:rsid w:val="52D7511B"/>
    <w:rsid w:val="532C36B9"/>
    <w:rsid w:val="536A7743"/>
    <w:rsid w:val="53A616BE"/>
    <w:rsid w:val="53C27B7A"/>
    <w:rsid w:val="53C75190"/>
    <w:rsid w:val="53D14261"/>
    <w:rsid w:val="53DA1367"/>
    <w:rsid w:val="53F87A3F"/>
    <w:rsid w:val="53FE5EDD"/>
    <w:rsid w:val="545D2145"/>
    <w:rsid w:val="54684BC5"/>
    <w:rsid w:val="54E65AEA"/>
    <w:rsid w:val="54EA7388"/>
    <w:rsid w:val="555E38D2"/>
    <w:rsid w:val="55684751"/>
    <w:rsid w:val="55D470E4"/>
    <w:rsid w:val="55F935FB"/>
    <w:rsid w:val="5627027A"/>
    <w:rsid w:val="56405002"/>
    <w:rsid w:val="5643749A"/>
    <w:rsid w:val="565D3B8A"/>
    <w:rsid w:val="567C4958"/>
    <w:rsid w:val="56BA0BF3"/>
    <w:rsid w:val="56EA18C1"/>
    <w:rsid w:val="572249E7"/>
    <w:rsid w:val="57607F35"/>
    <w:rsid w:val="576D604E"/>
    <w:rsid w:val="57A97BBB"/>
    <w:rsid w:val="57FF139C"/>
    <w:rsid w:val="57FF53A4"/>
    <w:rsid w:val="580B5073"/>
    <w:rsid w:val="585A4825"/>
    <w:rsid w:val="58C3162E"/>
    <w:rsid w:val="58FE1CE4"/>
    <w:rsid w:val="590D7AE9"/>
    <w:rsid w:val="59170968"/>
    <w:rsid w:val="591A2165"/>
    <w:rsid w:val="594D4389"/>
    <w:rsid w:val="598A113A"/>
    <w:rsid w:val="59AD307A"/>
    <w:rsid w:val="59CE3F26"/>
    <w:rsid w:val="59CE54CA"/>
    <w:rsid w:val="59E7658C"/>
    <w:rsid w:val="59E90967"/>
    <w:rsid w:val="59EE791A"/>
    <w:rsid w:val="5A0E58C7"/>
    <w:rsid w:val="5A7A2F5C"/>
    <w:rsid w:val="5A7F0572"/>
    <w:rsid w:val="5ABB5323"/>
    <w:rsid w:val="5B2F20A8"/>
    <w:rsid w:val="5B500161"/>
    <w:rsid w:val="5B6A7475"/>
    <w:rsid w:val="5B7E2935"/>
    <w:rsid w:val="5B9718EC"/>
    <w:rsid w:val="5BB22BCA"/>
    <w:rsid w:val="5BEF797A"/>
    <w:rsid w:val="5C003935"/>
    <w:rsid w:val="5CB07109"/>
    <w:rsid w:val="5CCC3817"/>
    <w:rsid w:val="5CE5313C"/>
    <w:rsid w:val="5CFF3BED"/>
    <w:rsid w:val="5D131446"/>
    <w:rsid w:val="5D2418A5"/>
    <w:rsid w:val="5D2D075A"/>
    <w:rsid w:val="5D4031D9"/>
    <w:rsid w:val="5D610403"/>
    <w:rsid w:val="5DC015CE"/>
    <w:rsid w:val="5DCF7A63"/>
    <w:rsid w:val="5E2733FB"/>
    <w:rsid w:val="5E467ADF"/>
    <w:rsid w:val="5E9465B6"/>
    <w:rsid w:val="5E9B7945"/>
    <w:rsid w:val="5EC549C2"/>
    <w:rsid w:val="5EDA561C"/>
    <w:rsid w:val="5EE85FC0"/>
    <w:rsid w:val="5EF332DD"/>
    <w:rsid w:val="5FD2383A"/>
    <w:rsid w:val="602816AC"/>
    <w:rsid w:val="60824919"/>
    <w:rsid w:val="608E63AD"/>
    <w:rsid w:val="60AE7E03"/>
    <w:rsid w:val="60D3786A"/>
    <w:rsid w:val="611C4C10"/>
    <w:rsid w:val="61386654"/>
    <w:rsid w:val="61646714"/>
    <w:rsid w:val="6175447D"/>
    <w:rsid w:val="62314848"/>
    <w:rsid w:val="62606EDB"/>
    <w:rsid w:val="62810985"/>
    <w:rsid w:val="62944DD7"/>
    <w:rsid w:val="63273E9D"/>
    <w:rsid w:val="63316ACA"/>
    <w:rsid w:val="63957059"/>
    <w:rsid w:val="639D7CBB"/>
    <w:rsid w:val="63B90378"/>
    <w:rsid w:val="6429154F"/>
    <w:rsid w:val="64395C36"/>
    <w:rsid w:val="643B6113"/>
    <w:rsid w:val="645667E8"/>
    <w:rsid w:val="646C19F5"/>
    <w:rsid w:val="6472739A"/>
    <w:rsid w:val="64B11C70"/>
    <w:rsid w:val="64BC5151"/>
    <w:rsid w:val="651E4E2C"/>
    <w:rsid w:val="65214E66"/>
    <w:rsid w:val="65515201"/>
    <w:rsid w:val="65532D27"/>
    <w:rsid w:val="655B398A"/>
    <w:rsid w:val="658A426F"/>
    <w:rsid w:val="65C23A09"/>
    <w:rsid w:val="65FA31A3"/>
    <w:rsid w:val="66000CA8"/>
    <w:rsid w:val="66083B12"/>
    <w:rsid w:val="660B715E"/>
    <w:rsid w:val="6616777D"/>
    <w:rsid w:val="663E0BF4"/>
    <w:rsid w:val="666920D7"/>
    <w:rsid w:val="66706D6F"/>
    <w:rsid w:val="66C0263F"/>
    <w:rsid w:val="66D341DC"/>
    <w:rsid w:val="66F95B50"/>
    <w:rsid w:val="67242BCD"/>
    <w:rsid w:val="674C5C80"/>
    <w:rsid w:val="676C1E7F"/>
    <w:rsid w:val="677C577A"/>
    <w:rsid w:val="67803B7C"/>
    <w:rsid w:val="67A94E81"/>
    <w:rsid w:val="683706DE"/>
    <w:rsid w:val="687E455F"/>
    <w:rsid w:val="68924E04"/>
    <w:rsid w:val="689A2A1B"/>
    <w:rsid w:val="689F6284"/>
    <w:rsid w:val="68AB2E7A"/>
    <w:rsid w:val="69143CB1"/>
    <w:rsid w:val="69466716"/>
    <w:rsid w:val="698B7FC2"/>
    <w:rsid w:val="69E55F18"/>
    <w:rsid w:val="6A16241A"/>
    <w:rsid w:val="6A317F78"/>
    <w:rsid w:val="6A9B2F97"/>
    <w:rsid w:val="6A9F6B82"/>
    <w:rsid w:val="6AB334F2"/>
    <w:rsid w:val="6AC240E7"/>
    <w:rsid w:val="6B1747F7"/>
    <w:rsid w:val="6B1B6095"/>
    <w:rsid w:val="6B2A62D8"/>
    <w:rsid w:val="6BAB7934"/>
    <w:rsid w:val="6C2471CC"/>
    <w:rsid w:val="6C45444E"/>
    <w:rsid w:val="6C4C04D0"/>
    <w:rsid w:val="6CC31A3E"/>
    <w:rsid w:val="6CFD43FD"/>
    <w:rsid w:val="6D170ADE"/>
    <w:rsid w:val="6D350F65"/>
    <w:rsid w:val="6D967C55"/>
    <w:rsid w:val="6DDD7232"/>
    <w:rsid w:val="6E22773B"/>
    <w:rsid w:val="6E2E7FD1"/>
    <w:rsid w:val="6F3E67F6"/>
    <w:rsid w:val="6F412535"/>
    <w:rsid w:val="6F4436E1"/>
    <w:rsid w:val="6F5E0C47"/>
    <w:rsid w:val="6F824E90"/>
    <w:rsid w:val="6FDB5DF3"/>
    <w:rsid w:val="6FFD045F"/>
    <w:rsid w:val="70251764"/>
    <w:rsid w:val="704D0532"/>
    <w:rsid w:val="705176E8"/>
    <w:rsid w:val="715B2BC9"/>
    <w:rsid w:val="716845D3"/>
    <w:rsid w:val="716D6F1F"/>
    <w:rsid w:val="71727CEA"/>
    <w:rsid w:val="71BC7EA6"/>
    <w:rsid w:val="71D62D16"/>
    <w:rsid w:val="71FD402E"/>
    <w:rsid w:val="72402885"/>
    <w:rsid w:val="726522EC"/>
    <w:rsid w:val="726C030D"/>
    <w:rsid w:val="7270316B"/>
    <w:rsid w:val="72B648F6"/>
    <w:rsid w:val="72E805E0"/>
    <w:rsid w:val="73E45068"/>
    <w:rsid w:val="740372BA"/>
    <w:rsid w:val="74373814"/>
    <w:rsid w:val="74681C20"/>
    <w:rsid w:val="748922C2"/>
    <w:rsid w:val="74E41BEE"/>
    <w:rsid w:val="75104791"/>
    <w:rsid w:val="75114BE9"/>
    <w:rsid w:val="75157FF9"/>
    <w:rsid w:val="751D6EAE"/>
    <w:rsid w:val="75271ADB"/>
    <w:rsid w:val="75461F61"/>
    <w:rsid w:val="755C3532"/>
    <w:rsid w:val="75F25735"/>
    <w:rsid w:val="760D6F22"/>
    <w:rsid w:val="76E45ED5"/>
    <w:rsid w:val="76F8372F"/>
    <w:rsid w:val="7706409E"/>
    <w:rsid w:val="774041AC"/>
    <w:rsid w:val="77420E4E"/>
    <w:rsid w:val="77EB64AC"/>
    <w:rsid w:val="77FB1255"/>
    <w:rsid w:val="783F0EE9"/>
    <w:rsid w:val="78C7160B"/>
    <w:rsid w:val="78E0447A"/>
    <w:rsid w:val="78F46178"/>
    <w:rsid w:val="79200D1B"/>
    <w:rsid w:val="7931117A"/>
    <w:rsid w:val="794529F6"/>
    <w:rsid w:val="798219D5"/>
    <w:rsid w:val="79B97637"/>
    <w:rsid w:val="79DA536E"/>
    <w:rsid w:val="7A1563A6"/>
    <w:rsid w:val="7A2B5BC9"/>
    <w:rsid w:val="7A301431"/>
    <w:rsid w:val="7A885EDF"/>
    <w:rsid w:val="7A8F43AA"/>
    <w:rsid w:val="7B4909FD"/>
    <w:rsid w:val="7B607AF4"/>
    <w:rsid w:val="7B767318"/>
    <w:rsid w:val="7BA07EF1"/>
    <w:rsid w:val="7BB21B01"/>
    <w:rsid w:val="7BDF0A19"/>
    <w:rsid w:val="7BF32349"/>
    <w:rsid w:val="7BF65046"/>
    <w:rsid w:val="7C350F81"/>
    <w:rsid w:val="7C4A4A2C"/>
    <w:rsid w:val="7C541407"/>
    <w:rsid w:val="7C7C2016"/>
    <w:rsid w:val="7C9E5DDB"/>
    <w:rsid w:val="7CC04CEF"/>
    <w:rsid w:val="7CE64029"/>
    <w:rsid w:val="7CF77FE5"/>
    <w:rsid w:val="7D012C11"/>
    <w:rsid w:val="7D5C0753"/>
    <w:rsid w:val="7D7B29C4"/>
    <w:rsid w:val="7D8844F2"/>
    <w:rsid w:val="7DAA4564"/>
    <w:rsid w:val="7DC3774D"/>
    <w:rsid w:val="7E257D31"/>
    <w:rsid w:val="7E290672"/>
    <w:rsid w:val="7E5020A2"/>
    <w:rsid w:val="7E5C27F5"/>
    <w:rsid w:val="7E7062A0"/>
    <w:rsid w:val="7E734A1A"/>
    <w:rsid w:val="7E865AC4"/>
    <w:rsid w:val="7EAF501B"/>
    <w:rsid w:val="7F094B29"/>
    <w:rsid w:val="7FB83A5B"/>
    <w:rsid w:val="7FE231CE"/>
    <w:rsid w:val="7FF627D5"/>
    <w:rsid w:val="7FFD59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4"/>
    <w:basedOn w:val="1"/>
    <w:next w:val="1"/>
    <w:qFormat/>
    <w:uiPriority w:val="9"/>
    <w:pPr>
      <w:spacing w:before="100" w:beforeAutospacing="1" w:after="100" w:afterAutospacing="1"/>
      <w:jc w:val="left"/>
      <w:outlineLvl w:val="3"/>
    </w:pPr>
    <w:rPr>
      <w:rFonts w:ascii="宋体" w:hAnsi="宋体"/>
      <w:b/>
      <w:kern w:val="0"/>
      <w:sz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next w:val="6"/>
    <w:qFormat/>
    <w:uiPriority w:val="0"/>
    <w:pPr>
      <w:ind w:firstLine="830" w:firstLineChars="352"/>
    </w:pPr>
    <w:rPr>
      <w:rFonts w:ascii="仿宋_GB2312" w:eastAsia="仿宋_GB2312"/>
      <w:kern w:val="0"/>
      <w:sz w:val="32"/>
      <w:szCs w:val="20"/>
    </w:rPr>
  </w:style>
  <w:style w:type="paragraph" w:styleId="6">
    <w:name w:val="envelope return"/>
    <w:basedOn w:val="1"/>
    <w:qFormat/>
    <w:uiPriority w:val="0"/>
    <w:pPr>
      <w:snapToGrid w:val="0"/>
    </w:pPr>
    <w:rPr>
      <w:rFonts w:ascii="Arial" w:hAnsi="Arial"/>
    </w:rPr>
  </w:style>
  <w:style w:type="paragraph" w:styleId="7">
    <w:name w:val="Plain Text"/>
    <w:basedOn w:val="1"/>
    <w:next w:val="3"/>
    <w:qFormat/>
    <w:uiPriority w:val="0"/>
    <w:rPr>
      <w:rFonts w:ascii="宋体" w:hAnsi="Courier New"/>
      <w:kern w:val="0"/>
      <w:sz w:val="20"/>
      <w:szCs w:val="21"/>
    </w:rPr>
  </w:style>
  <w:style w:type="paragraph" w:styleId="8">
    <w:name w:val="footer"/>
    <w:basedOn w:val="1"/>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1"/>
    <w:next w:val="1"/>
    <w:unhideWhenUsed/>
    <w:qFormat/>
    <w:uiPriority w:val="39"/>
  </w:style>
  <w:style w:type="paragraph" w:styleId="11">
    <w:name w:val="index 1"/>
    <w:basedOn w:val="1"/>
    <w:next w:val="1"/>
    <w:qFormat/>
    <w:uiPriority w:val="0"/>
    <w:pPr>
      <w:spacing w:line="240" w:lineRule="exact"/>
      <w:ind w:firstLine="420" w:firstLineChars="200"/>
    </w:pPr>
    <w:rPr>
      <w:rFonts w:ascii="宋体" w:hAnsi="宋体"/>
      <w:bCs/>
    </w:rPr>
  </w:style>
  <w:style w:type="paragraph" w:styleId="12">
    <w:name w:val="Body Text First Indent 2"/>
    <w:basedOn w:val="5"/>
    <w:next w:val="1"/>
    <w:qFormat/>
    <w:uiPriority w:val="0"/>
    <w:pPr>
      <w:ind w:firstLine="420" w:firstLineChars="200"/>
    </w:pPr>
    <w:rPr>
      <w:szCs w:val="24"/>
    </w:rPr>
  </w:style>
  <w:style w:type="character" w:styleId="15">
    <w:name w:val="HTML Sample"/>
    <w:basedOn w:val="14"/>
    <w:qFormat/>
    <w:uiPriority w:val="0"/>
    <w:rPr>
      <w:rFonts w:ascii="Courier New" w:hAnsi="Courier New"/>
    </w:rPr>
  </w:style>
  <w:style w:type="paragraph" w:customStyle="1" w:styleId="16">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17">
    <w:name w:val="表格文字"/>
    <w:basedOn w:val="1"/>
    <w:qFormat/>
    <w:uiPriority w:val="0"/>
    <w:pPr>
      <w:spacing w:before="25" w:after="25"/>
      <w:jc w:val="left"/>
    </w:pPr>
    <w:rPr>
      <w:bCs/>
      <w:spacing w:val="10"/>
      <w:kern w:val="0"/>
      <w:sz w:val="24"/>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0"/>
      <w:szCs w:val="20"/>
      <w:lang w:val="en-US" w:eastAsia="en-US" w:bidi="ar-SA"/>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BodyText1I2"/>
    <w:basedOn w:val="1"/>
    <w:qFormat/>
    <w:uiPriority w:val="0"/>
    <w:pPr>
      <w:spacing w:after="120"/>
      <w:ind w:left="420" w:leftChars="200" w:firstLine="420" w:firstLineChars="200"/>
      <w:jc w:val="left"/>
      <w:textAlignment w:val="baseline"/>
    </w:pPr>
    <w:rPr>
      <w:rFonts w:hAnsi="宋体" w:eastAsia="仿宋_GB2312"/>
      <w:b/>
      <w:spacing w:val="4"/>
      <w:kern w:val="0"/>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image" Target="media/image1.jpeg"/><Relationship Id="rId5" Type="http://schemas.openxmlformats.org/officeDocument/2006/relationships/footer" Target="footer1.xml"/><Relationship Id="rId49" Type="http://schemas.openxmlformats.org/officeDocument/2006/relationships/theme" Target="theme/theme1.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38291</Words>
  <Characters>40532</Characters>
  <TotalTime>6</TotalTime>
  <ScaleCrop>false</ScaleCrop>
  <LinksUpToDate>false</LinksUpToDate>
  <CharactersWithSpaces>42842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2024-09-19T08:52:00Z</dcterms:created>
  <dc:creator>唐冰</dc:creator>
  <cp:lastModifiedBy>Liang</cp:lastModifiedBy>
  <dcterms:modified xsi:type="dcterms:W3CDTF">2025-05-30T08:01:01Z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2025-03-17T19:16:33Z</vt:filetime>
  </property>
  <property fmtid="{D5CDD505-2E9C-101B-9397-08002B2CF9AE}" pid="4" name="KSOTemplateDocerSaveRecord">
    <vt:lpwstr>eyJoZGlkIjoiMzA3MGYyMmRhY2U3YWQ3ZTU1MTJkYWJlNWNkZDJmYTQiLCJ1c2VySWQiOiI4NDE0MDQxMTQifQ==</vt:lpwstr>
  </property>
  <property fmtid="{D5CDD505-2E9C-101B-9397-08002B2CF9AE}" pid="5" name="KSOProductBuildVer">
    <vt:lpwstr>2052-12.1.0.21171</vt:lpwstr>
  </property>
  <property fmtid="{D5CDD505-2E9C-101B-9397-08002B2CF9AE}" pid="6" name="ICV">
    <vt:lpwstr>47B12091C21847AAA8B05F637393958C_13</vt:lpwstr>
  </property>
</Properties>
</file>