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F3083D">
      <w:pPr>
        <w:pStyle w:val="27"/>
        <w:rPr>
          <w:rFonts w:hint="eastAsia"/>
          <w:color w:val="auto"/>
          <w:highlight w:val="none"/>
        </w:rPr>
      </w:pPr>
    </w:p>
    <w:p w14:paraId="215F83A1">
      <w:pPr>
        <w:jc w:val="center"/>
        <w:rPr>
          <w:rFonts w:hint="eastAsia" w:ascii="宋体" w:hAnsi="宋体"/>
          <w:b/>
          <w:bCs/>
          <w:color w:val="auto"/>
          <w:sz w:val="48"/>
          <w:szCs w:val="48"/>
          <w:highlight w:val="none"/>
        </w:rPr>
      </w:pPr>
      <w:bookmarkStart w:id="0" w:name="_Toc5243"/>
      <w:r>
        <w:rPr>
          <w:rFonts w:hint="eastAsia" w:ascii="宋体" w:hAnsi="宋体"/>
          <w:b/>
          <w:bCs/>
          <w:color w:val="auto"/>
          <w:sz w:val="48"/>
          <w:szCs w:val="48"/>
          <w:highlight w:val="none"/>
        </w:rPr>
        <w:t>广西国栋招标有限公司</w:t>
      </w:r>
      <w:bookmarkEnd w:id="0"/>
    </w:p>
    <w:p w14:paraId="37CEC26F">
      <w:pPr>
        <w:pStyle w:val="17"/>
        <w:rPr>
          <w:color w:val="auto"/>
          <w:highlight w:val="none"/>
        </w:rPr>
      </w:pPr>
    </w:p>
    <w:p w14:paraId="64F8C6C2">
      <w:pPr>
        <w:pStyle w:val="17"/>
        <w:rPr>
          <w:color w:val="auto"/>
          <w:szCs w:val="21"/>
          <w:highlight w:val="none"/>
        </w:rPr>
      </w:pPr>
      <w:r>
        <w:rPr>
          <w:color w:val="auto"/>
          <w:highlight w:val="none"/>
          <w:u w:val="single"/>
        </w:rPr>
        <mc:AlternateContent>
          <mc:Choice Requires="wps">
            <w:drawing>
              <wp:anchor distT="0" distB="0" distL="114300" distR="114300" simplePos="0" relativeHeight="251663360" behindDoc="0" locked="0" layoutInCell="1" allowOverlap="1">
                <wp:simplePos x="0" y="0"/>
                <wp:positionH relativeFrom="column">
                  <wp:posOffset>-109220</wp:posOffset>
                </wp:positionH>
                <wp:positionV relativeFrom="paragraph">
                  <wp:posOffset>93980</wp:posOffset>
                </wp:positionV>
                <wp:extent cx="5944235" cy="8255"/>
                <wp:effectExtent l="0" t="0" r="0" b="0"/>
                <wp:wrapNone/>
                <wp:docPr id="8" name="直接连接符 8"/>
                <wp:cNvGraphicFramePr/>
                <a:graphic xmlns:a="http://schemas.openxmlformats.org/drawingml/2006/main">
                  <a:graphicData uri="http://schemas.microsoft.com/office/word/2010/wordprocessingShape">
                    <wps:wsp>
                      <wps:cNvCnPr/>
                      <wps:spPr>
                        <a:xfrm flipV="1">
                          <a:off x="0" y="0"/>
                          <a:ext cx="5944235" cy="8255"/>
                        </a:xfrm>
                        <a:prstGeom prst="line">
                          <a:avLst/>
                        </a:prstGeom>
                        <a:ln w="285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8.6pt;margin-top:7.4pt;height:0.65pt;width:468.05pt;z-index:251663360;mso-width-relative:page;mso-height-relative:page;" filled="f" stroked="t" coordsize="21600,21600" o:gfxdata="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T5rzZ1wAAAAkBAAAPAAAAAAAAAAEAIAAAACIAAABkcnMvZG93bnJldi54&#10;bWxQSwECFAAUAAAACACHTuJA0NwK5PsBAAD0AwAADgAAAAAAAAABACAAAAAmAQAAZHJzL2Uyb0Rv&#10;Yy54bWxQSwUGAAAAAAYABgBZAQAAkwUAAAAA&#10;">
                <v:fill on="f" focussize="0,0"/>
                <v:stroke weight="2.25pt" color="#000000" joinstyle="round"/>
                <v:imagedata o:title=""/>
                <o:lock v:ext="edit" aspectratio="f"/>
              </v:line>
            </w:pict>
          </mc:Fallback>
        </mc:AlternateContent>
      </w:r>
    </w:p>
    <w:p w14:paraId="3D5A03BD">
      <w:pPr>
        <w:jc w:val="center"/>
        <w:rPr>
          <w:rFonts w:hint="eastAsia" w:ascii="宋体" w:hAnsi="宋体"/>
          <w:b/>
          <w:color w:val="auto"/>
          <w:sz w:val="48"/>
          <w:szCs w:val="48"/>
          <w:highlight w:val="none"/>
        </w:rPr>
      </w:pPr>
    </w:p>
    <w:p w14:paraId="5832F092">
      <w:pPr>
        <w:pStyle w:val="27"/>
        <w:ind w:firstLine="0" w:firstLineChars="0"/>
        <w:rPr>
          <w:rFonts w:hint="eastAsia"/>
          <w:b/>
          <w:color w:val="auto"/>
          <w:sz w:val="48"/>
          <w:szCs w:val="48"/>
          <w:highlight w:val="none"/>
        </w:rPr>
      </w:pPr>
    </w:p>
    <w:p w14:paraId="0B2252B4">
      <w:pPr>
        <w:jc w:val="center"/>
        <w:rPr>
          <w:rFonts w:hint="eastAsia" w:ascii="宋体" w:hAnsi="宋体"/>
          <w:b/>
          <w:color w:val="auto"/>
          <w:sz w:val="56"/>
          <w:szCs w:val="56"/>
          <w:highlight w:val="none"/>
        </w:rPr>
      </w:pPr>
      <w:r>
        <w:rPr>
          <w:rFonts w:hint="eastAsia" w:ascii="宋体" w:hAnsi="宋体"/>
          <w:b/>
          <w:color w:val="auto"/>
          <w:sz w:val="52"/>
          <w:szCs w:val="52"/>
          <w:highlight w:val="none"/>
        </w:rPr>
        <w:t>政府采购</w:t>
      </w:r>
    </w:p>
    <w:p w14:paraId="291262EE">
      <w:pPr>
        <w:rPr>
          <w:color w:val="auto"/>
          <w:highlight w:val="none"/>
        </w:rPr>
      </w:pPr>
    </w:p>
    <w:p w14:paraId="438AA734">
      <w:pPr>
        <w:rPr>
          <w:color w:val="auto"/>
          <w:highlight w:val="none"/>
        </w:rPr>
      </w:pPr>
    </w:p>
    <w:p w14:paraId="6BD34A94">
      <w:pPr>
        <w:jc w:val="center"/>
        <w:rPr>
          <w:rFonts w:hint="eastAsia" w:ascii="宋体" w:hAnsi="宋体" w:cs="方正小标宋简体"/>
          <w:b/>
          <w:color w:val="auto"/>
          <w:sz w:val="40"/>
          <w:szCs w:val="40"/>
          <w:highlight w:val="none"/>
        </w:rPr>
      </w:pPr>
      <w:bookmarkStart w:id="1" w:name="_Toc12082"/>
      <w:r>
        <w:rPr>
          <w:rFonts w:hint="eastAsia" w:ascii="宋体" w:hAnsi="宋体"/>
          <w:b/>
          <w:color w:val="auto"/>
          <w:sz w:val="56"/>
          <w:szCs w:val="56"/>
          <w:highlight w:val="none"/>
        </w:rPr>
        <w:t>竞争性磋商文件（服务类）</w:t>
      </w:r>
      <w:bookmarkEnd w:id="1"/>
    </w:p>
    <w:p w14:paraId="375EA4EA">
      <w:pPr>
        <w:jc w:val="center"/>
        <w:rPr>
          <w:rFonts w:hint="eastAsia" w:ascii="宋体" w:hAnsi="宋体"/>
          <w:b/>
          <w:color w:val="auto"/>
          <w:sz w:val="32"/>
          <w:szCs w:val="32"/>
          <w:highlight w:val="none"/>
        </w:rPr>
      </w:pPr>
      <w:bookmarkStart w:id="2" w:name="_Toc21964"/>
      <w:r>
        <w:rPr>
          <w:rFonts w:hint="eastAsia" w:ascii="宋体" w:hAnsi="宋体"/>
          <w:b/>
          <w:color w:val="auto"/>
          <w:sz w:val="32"/>
          <w:szCs w:val="32"/>
          <w:highlight w:val="none"/>
        </w:rPr>
        <w:t>（全流程电子化评标）</w:t>
      </w:r>
      <w:bookmarkEnd w:id="2"/>
    </w:p>
    <w:p w14:paraId="086E27F4">
      <w:pPr>
        <w:jc w:val="center"/>
        <w:rPr>
          <w:rFonts w:hint="eastAsia" w:ascii="宋体" w:hAnsi="宋体"/>
          <w:b/>
          <w:color w:val="auto"/>
          <w:sz w:val="32"/>
          <w:szCs w:val="32"/>
          <w:highlight w:val="none"/>
        </w:rPr>
      </w:pPr>
    </w:p>
    <w:p w14:paraId="27D4FC91">
      <w:pPr>
        <w:pStyle w:val="27"/>
        <w:ind w:firstLine="643"/>
        <w:rPr>
          <w:rFonts w:hint="eastAsia"/>
          <w:b/>
          <w:color w:val="auto"/>
          <w:sz w:val="32"/>
          <w:szCs w:val="32"/>
          <w:highlight w:val="none"/>
        </w:rPr>
      </w:pPr>
    </w:p>
    <w:p w14:paraId="137177B8">
      <w:pPr>
        <w:rPr>
          <w:color w:val="auto"/>
          <w:highlight w:val="none"/>
        </w:rPr>
      </w:pPr>
    </w:p>
    <w:p w14:paraId="6B7D42E2">
      <w:pPr>
        <w:rPr>
          <w:color w:val="auto"/>
          <w:highlight w:val="none"/>
        </w:rPr>
      </w:pPr>
    </w:p>
    <w:p w14:paraId="1E48FF74">
      <w:pPr>
        <w:spacing w:line="360" w:lineRule="auto"/>
        <w:ind w:firstLine="964" w:firstLineChars="300"/>
        <w:rPr>
          <w:rFonts w:hint="eastAsia" w:ascii="宋体" w:hAnsi="宋体" w:eastAsia="宋体"/>
          <w:b/>
          <w:color w:val="auto"/>
          <w:sz w:val="32"/>
          <w:szCs w:val="32"/>
          <w:highlight w:val="none"/>
          <w:lang w:eastAsia="zh-CN"/>
        </w:rPr>
      </w:pPr>
      <w:bookmarkStart w:id="3" w:name="_Toc16113"/>
      <w:r>
        <w:rPr>
          <w:rFonts w:hint="eastAsia" w:ascii="宋体" w:hAnsi="宋体"/>
          <w:b/>
          <w:color w:val="auto"/>
          <w:sz w:val="32"/>
          <w:szCs w:val="32"/>
          <w:highlight w:val="none"/>
        </w:rPr>
        <w:t>项目名称：</w:t>
      </w:r>
      <w:bookmarkEnd w:id="3"/>
      <w:r>
        <w:rPr>
          <w:rFonts w:hint="eastAsia" w:ascii="宋体" w:hAnsi="宋体"/>
          <w:b/>
          <w:color w:val="auto"/>
          <w:sz w:val="32"/>
          <w:szCs w:val="32"/>
          <w:highlight w:val="none"/>
          <w:lang w:eastAsia="zh-CN"/>
        </w:rPr>
        <w:t>服务重点群体就业系列招聘活动项目</w:t>
      </w:r>
    </w:p>
    <w:p w14:paraId="1A5F723B">
      <w:pPr>
        <w:spacing w:line="360" w:lineRule="auto"/>
        <w:ind w:firstLine="993" w:firstLineChars="309"/>
        <w:rPr>
          <w:rFonts w:hint="eastAsia" w:ascii="宋体" w:hAnsi="宋体" w:eastAsia="宋体"/>
          <w:b/>
          <w:color w:val="auto"/>
          <w:sz w:val="32"/>
          <w:szCs w:val="32"/>
          <w:highlight w:val="none"/>
          <w:lang w:eastAsia="zh-CN"/>
        </w:rPr>
      </w:pPr>
      <w:bookmarkStart w:id="4" w:name="_Toc26902"/>
      <w:r>
        <w:rPr>
          <w:rFonts w:hint="eastAsia" w:ascii="宋体" w:hAnsi="宋体"/>
          <w:b/>
          <w:color w:val="auto"/>
          <w:sz w:val="32"/>
          <w:szCs w:val="32"/>
          <w:highlight w:val="none"/>
        </w:rPr>
        <w:t>项目编号：</w:t>
      </w:r>
      <w:bookmarkEnd w:id="4"/>
      <w:r>
        <w:rPr>
          <w:rFonts w:hint="eastAsia" w:ascii="宋体" w:hAnsi="宋体"/>
          <w:b/>
          <w:color w:val="auto"/>
          <w:sz w:val="32"/>
          <w:szCs w:val="32"/>
          <w:highlight w:val="none"/>
          <w:lang w:eastAsia="zh-CN"/>
        </w:rPr>
        <w:t>GXZC2025-C3-003248-GDZB</w:t>
      </w:r>
    </w:p>
    <w:p w14:paraId="40C071DB">
      <w:pPr>
        <w:pStyle w:val="27"/>
        <w:rPr>
          <w:rFonts w:hint="eastAsia"/>
          <w:color w:val="auto"/>
          <w:highlight w:val="none"/>
        </w:rPr>
      </w:pPr>
    </w:p>
    <w:p w14:paraId="3A32A564">
      <w:pPr>
        <w:rPr>
          <w:color w:val="auto"/>
          <w:highlight w:val="none"/>
        </w:rPr>
      </w:pPr>
    </w:p>
    <w:p w14:paraId="47815E4D">
      <w:pPr>
        <w:pStyle w:val="27"/>
        <w:rPr>
          <w:rFonts w:hint="eastAsia"/>
          <w:color w:val="auto"/>
          <w:highlight w:val="none"/>
        </w:rPr>
      </w:pPr>
    </w:p>
    <w:p w14:paraId="2BC0CE47">
      <w:pPr>
        <w:rPr>
          <w:color w:val="auto"/>
          <w:highlight w:val="none"/>
        </w:rPr>
      </w:pPr>
    </w:p>
    <w:p w14:paraId="7CDD6859">
      <w:pPr>
        <w:pStyle w:val="27"/>
        <w:rPr>
          <w:rFonts w:hint="eastAsia"/>
          <w:color w:val="auto"/>
          <w:highlight w:val="none"/>
        </w:rPr>
      </w:pPr>
    </w:p>
    <w:p w14:paraId="2984AB7F">
      <w:pPr>
        <w:rPr>
          <w:color w:val="auto"/>
          <w:highlight w:val="none"/>
        </w:rPr>
      </w:pPr>
    </w:p>
    <w:p w14:paraId="35ED9683">
      <w:pPr>
        <w:pStyle w:val="27"/>
        <w:rPr>
          <w:rFonts w:hint="eastAsia"/>
          <w:color w:val="auto"/>
          <w:highlight w:val="none"/>
        </w:rPr>
      </w:pPr>
    </w:p>
    <w:p w14:paraId="620B58B8">
      <w:pPr>
        <w:spacing w:line="360" w:lineRule="auto"/>
        <w:ind w:firstLine="993" w:firstLineChars="309"/>
        <w:rPr>
          <w:rFonts w:hint="eastAsia" w:ascii="宋体" w:hAnsi="宋体" w:eastAsia="宋体"/>
          <w:b/>
          <w:color w:val="auto"/>
          <w:sz w:val="32"/>
          <w:szCs w:val="32"/>
          <w:highlight w:val="none"/>
          <w:lang w:eastAsia="zh-CN"/>
        </w:rPr>
      </w:pPr>
      <w:bookmarkStart w:id="5" w:name="_Toc1181"/>
      <w:r>
        <w:rPr>
          <w:rFonts w:hint="eastAsia" w:ascii="宋体" w:hAnsi="宋体"/>
          <w:b/>
          <w:color w:val="auto"/>
          <w:sz w:val="32"/>
          <w:szCs w:val="32"/>
          <w:highlight w:val="none"/>
        </w:rPr>
        <w:t>采 购 人：</w:t>
      </w:r>
      <w:bookmarkEnd w:id="5"/>
      <w:r>
        <w:rPr>
          <w:rFonts w:hint="eastAsia" w:ascii="宋体" w:hAnsi="宋体"/>
          <w:b/>
          <w:color w:val="auto"/>
          <w:sz w:val="32"/>
          <w:szCs w:val="32"/>
          <w:highlight w:val="none"/>
          <w:lang w:eastAsia="zh-CN"/>
        </w:rPr>
        <w:t>广西壮族自治区就业服务中心</w:t>
      </w:r>
    </w:p>
    <w:p w14:paraId="5E12984D">
      <w:pPr>
        <w:spacing w:line="360" w:lineRule="auto"/>
        <w:ind w:firstLine="993" w:firstLineChars="309"/>
        <w:rPr>
          <w:rFonts w:hint="eastAsia" w:ascii="宋体" w:hAnsi="宋体"/>
          <w:b/>
          <w:color w:val="auto"/>
          <w:sz w:val="32"/>
          <w:szCs w:val="32"/>
          <w:highlight w:val="none"/>
        </w:rPr>
      </w:pPr>
    </w:p>
    <w:p w14:paraId="442476A3">
      <w:pPr>
        <w:spacing w:line="360" w:lineRule="auto"/>
        <w:ind w:firstLine="993" w:firstLineChars="309"/>
        <w:rPr>
          <w:rFonts w:hint="eastAsia" w:ascii="宋体" w:hAnsi="宋体"/>
          <w:b/>
          <w:color w:val="auto"/>
          <w:sz w:val="32"/>
          <w:szCs w:val="32"/>
          <w:highlight w:val="none"/>
        </w:rPr>
      </w:pPr>
      <w:bookmarkStart w:id="6" w:name="_Toc17425"/>
      <w:r>
        <w:rPr>
          <w:rFonts w:hint="eastAsia" w:ascii="宋体" w:hAnsi="宋体"/>
          <w:b/>
          <w:color w:val="auto"/>
          <w:sz w:val="32"/>
          <w:szCs w:val="32"/>
          <w:highlight w:val="none"/>
        </w:rPr>
        <w:t>采购代理机构：广西国栋招标有限公司</w:t>
      </w:r>
      <w:bookmarkEnd w:id="6"/>
    </w:p>
    <w:p w14:paraId="7E6B4401">
      <w:pPr>
        <w:spacing w:line="360" w:lineRule="auto"/>
        <w:jc w:val="center"/>
        <w:rPr>
          <w:rFonts w:hint="eastAsia" w:ascii="宋体" w:hAnsi="宋体"/>
          <w:b/>
          <w:color w:val="auto"/>
          <w:sz w:val="32"/>
          <w:szCs w:val="32"/>
          <w:highlight w:val="none"/>
        </w:rPr>
      </w:pPr>
    </w:p>
    <w:p w14:paraId="14ABD09C">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2025年</w:t>
      </w:r>
      <w:r>
        <w:rPr>
          <w:rFonts w:hint="eastAsia" w:ascii="宋体" w:hAnsi="宋体"/>
          <w:b/>
          <w:color w:val="auto"/>
          <w:sz w:val="32"/>
          <w:szCs w:val="32"/>
          <w:highlight w:val="none"/>
          <w:lang w:val="en-US" w:eastAsia="zh-CN"/>
        </w:rPr>
        <w:t>11</w:t>
      </w:r>
      <w:r>
        <w:rPr>
          <w:rFonts w:hint="eastAsia" w:ascii="宋体" w:hAnsi="宋体"/>
          <w:b/>
          <w:color w:val="auto"/>
          <w:sz w:val="32"/>
          <w:szCs w:val="32"/>
          <w:highlight w:val="none"/>
        </w:rPr>
        <w:t>月</w:t>
      </w:r>
    </w:p>
    <w:p w14:paraId="4B64C0EA">
      <w:pPr>
        <w:spacing w:line="360" w:lineRule="auto"/>
        <w:jc w:val="center"/>
        <w:rPr>
          <w:rFonts w:hint="eastAsia" w:ascii="宋体" w:hAnsi="宋体" w:cs="宋体"/>
          <w:b/>
          <w:bCs/>
          <w:color w:val="auto"/>
          <w:sz w:val="32"/>
          <w:szCs w:val="32"/>
          <w:highlight w:val="none"/>
        </w:rPr>
      </w:pPr>
    </w:p>
    <w:p w14:paraId="5FA6EE9A">
      <w:pPr>
        <w:spacing w:line="12667" w:lineRule="exact"/>
        <w:rPr>
          <w:color w:val="auto"/>
          <w:highlight w:val="none"/>
        </w:rPr>
        <w:sectPr>
          <w:pgSz w:w="11906" w:h="16839"/>
          <w:pgMar w:top="1431" w:right="1441" w:bottom="0" w:left="1588" w:header="0" w:footer="0" w:gutter="0"/>
          <w:cols w:space="720" w:num="1"/>
        </w:sectPr>
      </w:pPr>
      <w:r>
        <w:rPr>
          <w:rFonts w:ascii="宋体" w:hAnsi="宋体"/>
          <w:b/>
          <w:color w:val="auto"/>
          <w:sz w:val="44"/>
          <w:szCs w:val="44"/>
          <w:highlight w:val="none"/>
        </w:rPr>
        <w:br w:type="page"/>
      </w:r>
    </w:p>
    <w:p w14:paraId="19F23D63">
      <w:pPr>
        <w:spacing w:line="360" w:lineRule="auto"/>
        <w:jc w:val="center"/>
        <w:rPr>
          <w:rFonts w:hint="eastAsia" w:ascii="宋体" w:hAnsi="宋体"/>
          <w:b/>
          <w:color w:val="auto"/>
          <w:sz w:val="44"/>
          <w:szCs w:val="44"/>
          <w:highlight w:val="none"/>
        </w:rPr>
      </w:pPr>
    </w:p>
    <w:p w14:paraId="4319F21D">
      <w:pPr>
        <w:spacing w:line="360" w:lineRule="auto"/>
        <w:jc w:val="center"/>
        <w:rPr>
          <w:rFonts w:hint="eastAsia" w:ascii="宋体" w:hAnsi="宋体"/>
          <w:b/>
          <w:color w:val="auto"/>
          <w:sz w:val="44"/>
          <w:szCs w:val="44"/>
          <w:highlight w:val="none"/>
        </w:rPr>
      </w:pPr>
      <w:r>
        <w:rPr>
          <w:rFonts w:hint="eastAsia" w:ascii="宋体" w:hAnsi="宋体"/>
          <w:b/>
          <w:color w:val="auto"/>
          <w:sz w:val="44"/>
          <w:szCs w:val="44"/>
          <w:highlight w:val="none"/>
        </w:rPr>
        <w:t>目  录</w:t>
      </w:r>
    </w:p>
    <w:p w14:paraId="47855C84">
      <w:pPr>
        <w:spacing w:line="400" w:lineRule="exact"/>
        <w:jc w:val="center"/>
        <w:rPr>
          <w:rFonts w:hint="eastAsia" w:ascii="宋体" w:hAnsi="宋体"/>
          <w:b/>
          <w:color w:val="auto"/>
          <w:sz w:val="44"/>
          <w:szCs w:val="44"/>
          <w:highlight w:val="none"/>
        </w:rPr>
      </w:pPr>
    </w:p>
    <w:p w14:paraId="5D06F72E">
      <w:pPr>
        <w:pStyle w:val="27"/>
        <w:tabs>
          <w:tab w:val="right" w:leader="dot" w:pos="8869"/>
        </w:tabs>
        <w:snapToGrid w:val="0"/>
        <w:spacing w:line="500" w:lineRule="atLeast"/>
        <w:ind w:firstLine="482"/>
        <w:rPr>
          <w:rFonts w:hint="eastAsia"/>
          <w:b/>
          <w:color w:val="auto"/>
          <w:sz w:val="24"/>
          <w:highlight w:val="none"/>
        </w:rPr>
      </w:pPr>
      <w:r>
        <w:rPr>
          <w:b/>
          <w:color w:val="auto"/>
          <w:sz w:val="24"/>
          <w:highlight w:val="none"/>
        </w:rPr>
        <w:fldChar w:fldCharType="begin"/>
      </w:r>
      <w:r>
        <w:rPr>
          <w:rFonts w:hint="eastAsia"/>
          <w:b/>
          <w:color w:val="auto"/>
          <w:sz w:val="24"/>
          <w:highlight w:val="none"/>
        </w:rPr>
        <w:instrText xml:space="preserve">TOC \o "1-3" \h \z \u</w:instrText>
      </w:r>
      <w:r>
        <w:rPr>
          <w:b/>
          <w:color w:val="auto"/>
          <w:sz w:val="24"/>
          <w:highlight w:val="none"/>
        </w:rPr>
        <w:fldChar w:fldCharType="separate"/>
      </w:r>
      <w:r>
        <w:rPr>
          <w:color w:val="auto"/>
          <w:highlight w:val="none"/>
        </w:rPr>
        <w:fldChar w:fldCharType="begin"/>
      </w:r>
      <w:r>
        <w:rPr>
          <w:color w:val="auto"/>
          <w:highlight w:val="none"/>
        </w:rPr>
        <w:instrText xml:space="preserve"> HYPERLINK \l "_Toc74323456" </w:instrText>
      </w:r>
      <w:r>
        <w:rPr>
          <w:color w:val="auto"/>
          <w:highlight w:val="none"/>
        </w:rPr>
        <w:fldChar w:fldCharType="separate"/>
      </w:r>
      <w:r>
        <w:rPr>
          <w:rStyle w:val="43"/>
          <w:rFonts w:hint="eastAsia"/>
          <w:b/>
          <w:color w:val="auto"/>
          <w:sz w:val="24"/>
          <w:highlight w:val="none"/>
        </w:rPr>
        <w:t>第一章竞争性磋商公告</w:t>
      </w:r>
      <w:r>
        <w:rPr>
          <w:b/>
          <w:color w:val="auto"/>
          <w:sz w:val="24"/>
          <w:highlight w:val="none"/>
        </w:rPr>
        <w:tab/>
      </w:r>
      <w:r>
        <w:rPr>
          <w:b/>
          <w:color w:val="auto"/>
          <w:sz w:val="24"/>
          <w:highlight w:val="none"/>
        </w:rPr>
        <w:fldChar w:fldCharType="begin"/>
      </w:r>
      <w:r>
        <w:rPr>
          <w:b/>
          <w:color w:val="auto"/>
          <w:sz w:val="24"/>
          <w:highlight w:val="none"/>
        </w:rPr>
        <w:instrText xml:space="preserve"> PAGEREF _Toc74323456 \h </w:instrText>
      </w:r>
      <w:r>
        <w:rPr>
          <w:b/>
          <w:color w:val="auto"/>
          <w:sz w:val="24"/>
          <w:highlight w:val="none"/>
        </w:rPr>
        <w:fldChar w:fldCharType="separate"/>
      </w:r>
      <w:r>
        <w:rPr>
          <w:b/>
          <w:color w:val="auto"/>
          <w:sz w:val="24"/>
          <w:highlight w:val="none"/>
        </w:rPr>
        <w:t>1</w:t>
      </w:r>
      <w:r>
        <w:rPr>
          <w:b/>
          <w:color w:val="auto"/>
          <w:sz w:val="24"/>
          <w:highlight w:val="none"/>
        </w:rPr>
        <w:fldChar w:fldCharType="end"/>
      </w:r>
      <w:r>
        <w:rPr>
          <w:b/>
          <w:color w:val="auto"/>
          <w:sz w:val="24"/>
          <w:highlight w:val="none"/>
        </w:rPr>
        <w:fldChar w:fldCharType="end"/>
      </w:r>
    </w:p>
    <w:p w14:paraId="6610B4D1">
      <w:pPr>
        <w:pStyle w:val="27"/>
        <w:tabs>
          <w:tab w:val="right" w:leader="dot" w:pos="8869"/>
        </w:tabs>
        <w:snapToGrid w:val="0"/>
        <w:spacing w:line="500" w:lineRule="atLeast"/>
        <w:rPr>
          <w:rFonts w:hint="eastAsia"/>
          <w:b/>
          <w:color w:val="auto"/>
          <w:sz w:val="24"/>
          <w:highlight w:val="none"/>
        </w:rPr>
      </w:pPr>
      <w:r>
        <w:rPr>
          <w:color w:val="auto"/>
          <w:highlight w:val="none"/>
        </w:rPr>
        <w:fldChar w:fldCharType="begin"/>
      </w:r>
      <w:r>
        <w:rPr>
          <w:color w:val="auto"/>
          <w:highlight w:val="none"/>
        </w:rPr>
        <w:instrText xml:space="preserve"> HYPERLINK \l "_Toc74323457" </w:instrText>
      </w:r>
      <w:r>
        <w:rPr>
          <w:color w:val="auto"/>
          <w:highlight w:val="none"/>
        </w:rPr>
        <w:fldChar w:fldCharType="separate"/>
      </w:r>
      <w:r>
        <w:rPr>
          <w:rStyle w:val="43"/>
          <w:rFonts w:hint="eastAsia"/>
          <w:b/>
          <w:color w:val="auto"/>
          <w:sz w:val="24"/>
          <w:highlight w:val="none"/>
        </w:rPr>
        <w:t>第二章供应</w:t>
      </w:r>
      <w:bookmarkStart w:id="7" w:name="_Hlt82161237"/>
      <w:r>
        <w:rPr>
          <w:rStyle w:val="43"/>
          <w:rFonts w:hint="eastAsia"/>
          <w:b/>
          <w:color w:val="auto"/>
          <w:sz w:val="24"/>
          <w:highlight w:val="none"/>
        </w:rPr>
        <w:t>商</w:t>
      </w:r>
      <w:bookmarkEnd w:id="7"/>
      <w:r>
        <w:rPr>
          <w:rStyle w:val="43"/>
          <w:rFonts w:hint="eastAsia"/>
          <w:b/>
          <w:color w:val="auto"/>
          <w:sz w:val="24"/>
          <w:highlight w:val="none"/>
        </w:rPr>
        <w:t>须知</w:t>
      </w:r>
      <w:r>
        <w:rPr>
          <w:b/>
          <w:color w:val="auto"/>
          <w:sz w:val="24"/>
          <w:highlight w:val="none"/>
        </w:rPr>
        <w:tab/>
      </w:r>
      <w:r>
        <w:rPr>
          <w:b/>
          <w:color w:val="auto"/>
          <w:sz w:val="24"/>
          <w:highlight w:val="none"/>
        </w:rPr>
        <w:fldChar w:fldCharType="begin"/>
      </w:r>
      <w:r>
        <w:rPr>
          <w:b/>
          <w:color w:val="auto"/>
          <w:sz w:val="24"/>
          <w:highlight w:val="none"/>
        </w:rPr>
        <w:instrText xml:space="preserve"> PAGEREF _Toc74323457 \h </w:instrText>
      </w:r>
      <w:r>
        <w:rPr>
          <w:b/>
          <w:color w:val="auto"/>
          <w:sz w:val="24"/>
          <w:highlight w:val="none"/>
        </w:rPr>
        <w:fldChar w:fldCharType="separate"/>
      </w:r>
      <w:r>
        <w:rPr>
          <w:b/>
          <w:color w:val="auto"/>
          <w:sz w:val="24"/>
          <w:highlight w:val="none"/>
        </w:rPr>
        <w:t>4</w:t>
      </w:r>
      <w:r>
        <w:rPr>
          <w:b/>
          <w:color w:val="auto"/>
          <w:sz w:val="24"/>
          <w:highlight w:val="none"/>
        </w:rPr>
        <w:fldChar w:fldCharType="end"/>
      </w:r>
      <w:r>
        <w:rPr>
          <w:b/>
          <w:color w:val="auto"/>
          <w:sz w:val="24"/>
          <w:highlight w:val="none"/>
        </w:rPr>
        <w:fldChar w:fldCharType="end"/>
      </w:r>
    </w:p>
    <w:p w14:paraId="51C9C22F">
      <w:pPr>
        <w:pStyle w:val="27"/>
        <w:tabs>
          <w:tab w:val="right" w:leader="dot" w:pos="8869"/>
        </w:tabs>
        <w:snapToGrid w:val="0"/>
        <w:spacing w:line="500" w:lineRule="atLeast"/>
        <w:rPr>
          <w:rFonts w:hint="eastAsia"/>
          <w:b/>
          <w:color w:val="auto"/>
          <w:sz w:val="24"/>
          <w:highlight w:val="none"/>
        </w:rPr>
      </w:pPr>
      <w:r>
        <w:rPr>
          <w:color w:val="auto"/>
          <w:highlight w:val="none"/>
        </w:rPr>
        <w:fldChar w:fldCharType="begin"/>
      </w:r>
      <w:r>
        <w:rPr>
          <w:color w:val="auto"/>
          <w:highlight w:val="none"/>
        </w:rPr>
        <w:instrText xml:space="preserve"> HYPERLINK \l "_Toc74323458" </w:instrText>
      </w:r>
      <w:r>
        <w:rPr>
          <w:color w:val="auto"/>
          <w:highlight w:val="none"/>
        </w:rPr>
        <w:fldChar w:fldCharType="separate"/>
      </w:r>
      <w:r>
        <w:rPr>
          <w:rStyle w:val="43"/>
          <w:rFonts w:hint="eastAsia"/>
          <w:b/>
          <w:color w:val="auto"/>
          <w:sz w:val="24"/>
          <w:highlight w:val="none"/>
        </w:rPr>
        <w:t>第三章采购需</w:t>
      </w:r>
      <w:bookmarkStart w:id="8" w:name="_Hlt82166940"/>
      <w:r>
        <w:rPr>
          <w:rStyle w:val="43"/>
          <w:rFonts w:hint="eastAsia"/>
          <w:b/>
          <w:color w:val="auto"/>
          <w:sz w:val="24"/>
          <w:highlight w:val="none"/>
        </w:rPr>
        <w:t>求</w:t>
      </w:r>
      <w:bookmarkEnd w:id="8"/>
      <w:r>
        <w:rPr>
          <w:b/>
          <w:color w:val="auto"/>
          <w:sz w:val="24"/>
          <w:highlight w:val="none"/>
        </w:rPr>
        <w:tab/>
      </w:r>
      <w:r>
        <w:rPr>
          <w:b/>
          <w:color w:val="auto"/>
          <w:sz w:val="24"/>
          <w:highlight w:val="none"/>
        </w:rPr>
        <w:fldChar w:fldCharType="begin"/>
      </w:r>
      <w:r>
        <w:rPr>
          <w:b/>
          <w:color w:val="auto"/>
          <w:sz w:val="24"/>
          <w:highlight w:val="none"/>
        </w:rPr>
        <w:instrText xml:space="preserve"> PAGEREF _Toc74323458 \h </w:instrText>
      </w:r>
      <w:r>
        <w:rPr>
          <w:b/>
          <w:color w:val="auto"/>
          <w:sz w:val="24"/>
          <w:highlight w:val="none"/>
        </w:rPr>
        <w:fldChar w:fldCharType="separate"/>
      </w:r>
      <w:r>
        <w:rPr>
          <w:b/>
          <w:color w:val="auto"/>
          <w:sz w:val="24"/>
          <w:highlight w:val="none"/>
        </w:rPr>
        <w:t>25</w:t>
      </w:r>
      <w:r>
        <w:rPr>
          <w:b/>
          <w:color w:val="auto"/>
          <w:sz w:val="24"/>
          <w:highlight w:val="none"/>
        </w:rPr>
        <w:fldChar w:fldCharType="end"/>
      </w:r>
      <w:r>
        <w:rPr>
          <w:b/>
          <w:color w:val="auto"/>
          <w:sz w:val="24"/>
          <w:highlight w:val="none"/>
        </w:rPr>
        <w:fldChar w:fldCharType="end"/>
      </w:r>
    </w:p>
    <w:p w14:paraId="2592111F">
      <w:pPr>
        <w:pStyle w:val="27"/>
        <w:tabs>
          <w:tab w:val="right" w:leader="dot" w:pos="8869"/>
        </w:tabs>
        <w:snapToGrid w:val="0"/>
        <w:spacing w:line="500" w:lineRule="atLeast"/>
        <w:rPr>
          <w:rFonts w:hint="eastAsia"/>
          <w:b/>
          <w:color w:val="auto"/>
          <w:sz w:val="24"/>
          <w:highlight w:val="none"/>
        </w:rPr>
      </w:pPr>
      <w:r>
        <w:rPr>
          <w:color w:val="auto"/>
          <w:highlight w:val="none"/>
        </w:rPr>
        <w:fldChar w:fldCharType="begin"/>
      </w:r>
      <w:r>
        <w:rPr>
          <w:color w:val="auto"/>
          <w:highlight w:val="none"/>
        </w:rPr>
        <w:instrText xml:space="preserve"> HYPERLINK \l "_Toc74323459" </w:instrText>
      </w:r>
      <w:r>
        <w:rPr>
          <w:color w:val="auto"/>
          <w:highlight w:val="none"/>
        </w:rPr>
        <w:fldChar w:fldCharType="separate"/>
      </w:r>
      <w:r>
        <w:rPr>
          <w:rStyle w:val="43"/>
          <w:rFonts w:hint="eastAsia"/>
          <w:b/>
          <w:color w:val="auto"/>
          <w:sz w:val="24"/>
          <w:highlight w:val="none"/>
        </w:rPr>
        <w:t>第四章评审程序、</w:t>
      </w:r>
      <w:bookmarkStart w:id="9" w:name="_Hlt82166000"/>
      <w:r>
        <w:rPr>
          <w:rStyle w:val="43"/>
          <w:rFonts w:hint="eastAsia"/>
          <w:b/>
          <w:color w:val="auto"/>
          <w:sz w:val="24"/>
          <w:highlight w:val="none"/>
        </w:rPr>
        <w:t>评</w:t>
      </w:r>
      <w:bookmarkEnd w:id="9"/>
      <w:r>
        <w:rPr>
          <w:rStyle w:val="43"/>
          <w:rFonts w:hint="eastAsia"/>
          <w:b/>
          <w:color w:val="auto"/>
          <w:sz w:val="24"/>
          <w:highlight w:val="none"/>
        </w:rPr>
        <w:t>审方法和评审标准</w:t>
      </w:r>
      <w:r>
        <w:rPr>
          <w:b/>
          <w:color w:val="auto"/>
          <w:sz w:val="24"/>
          <w:highlight w:val="none"/>
        </w:rPr>
        <w:tab/>
      </w:r>
      <w:r>
        <w:rPr>
          <w:b/>
          <w:color w:val="auto"/>
          <w:sz w:val="24"/>
          <w:highlight w:val="none"/>
        </w:rPr>
        <w:fldChar w:fldCharType="begin"/>
      </w:r>
      <w:r>
        <w:rPr>
          <w:b/>
          <w:color w:val="auto"/>
          <w:sz w:val="24"/>
          <w:highlight w:val="none"/>
        </w:rPr>
        <w:instrText xml:space="preserve"> PAGEREF _Toc74323459 \h </w:instrText>
      </w:r>
      <w:r>
        <w:rPr>
          <w:b/>
          <w:color w:val="auto"/>
          <w:sz w:val="24"/>
          <w:highlight w:val="none"/>
        </w:rPr>
        <w:fldChar w:fldCharType="separate"/>
      </w:r>
      <w:r>
        <w:rPr>
          <w:b/>
          <w:color w:val="auto"/>
          <w:sz w:val="24"/>
          <w:highlight w:val="none"/>
        </w:rPr>
        <w:t>31</w:t>
      </w:r>
      <w:r>
        <w:rPr>
          <w:b/>
          <w:color w:val="auto"/>
          <w:sz w:val="24"/>
          <w:highlight w:val="none"/>
        </w:rPr>
        <w:fldChar w:fldCharType="end"/>
      </w:r>
      <w:r>
        <w:rPr>
          <w:b/>
          <w:color w:val="auto"/>
          <w:sz w:val="24"/>
          <w:highlight w:val="none"/>
        </w:rPr>
        <w:fldChar w:fldCharType="end"/>
      </w:r>
    </w:p>
    <w:p w14:paraId="7D4B0A16">
      <w:pPr>
        <w:pStyle w:val="27"/>
        <w:tabs>
          <w:tab w:val="right" w:leader="dot" w:pos="8869"/>
        </w:tabs>
        <w:snapToGrid w:val="0"/>
        <w:spacing w:line="500" w:lineRule="atLeast"/>
        <w:rPr>
          <w:rFonts w:hint="eastAsia"/>
          <w:b/>
          <w:color w:val="auto"/>
          <w:sz w:val="24"/>
          <w:highlight w:val="none"/>
        </w:rPr>
      </w:pPr>
      <w:r>
        <w:rPr>
          <w:color w:val="auto"/>
          <w:highlight w:val="none"/>
        </w:rPr>
        <w:fldChar w:fldCharType="begin"/>
      </w:r>
      <w:r>
        <w:rPr>
          <w:color w:val="auto"/>
          <w:highlight w:val="none"/>
        </w:rPr>
        <w:instrText xml:space="preserve"> HYPERLINK \l "_Toc74323460" </w:instrText>
      </w:r>
      <w:r>
        <w:rPr>
          <w:color w:val="auto"/>
          <w:highlight w:val="none"/>
        </w:rPr>
        <w:fldChar w:fldCharType="separate"/>
      </w:r>
      <w:r>
        <w:rPr>
          <w:rStyle w:val="43"/>
          <w:rFonts w:hint="eastAsia"/>
          <w:b/>
          <w:color w:val="auto"/>
          <w:sz w:val="24"/>
          <w:highlight w:val="none"/>
        </w:rPr>
        <w:t>第五章响应文件格式</w:t>
      </w:r>
      <w:r>
        <w:rPr>
          <w:b/>
          <w:color w:val="auto"/>
          <w:sz w:val="24"/>
          <w:highlight w:val="none"/>
        </w:rPr>
        <w:tab/>
      </w:r>
      <w:r>
        <w:rPr>
          <w:b/>
          <w:color w:val="auto"/>
          <w:sz w:val="24"/>
          <w:highlight w:val="none"/>
        </w:rPr>
        <w:fldChar w:fldCharType="begin"/>
      </w:r>
      <w:r>
        <w:rPr>
          <w:b/>
          <w:color w:val="auto"/>
          <w:sz w:val="24"/>
          <w:highlight w:val="none"/>
        </w:rPr>
        <w:instrText xml:space="preserve"> PAGEREF _Toc74323460 \h </w:instrText>
      </w:r>
      <w:r>
        <w:rPr>
          <w:b/>
          <w:color w:val="auto"/>
          <w:sz w:val="24"/>
          <w:highlight w:val="none"/>
        </w:rPr>
        <w:fldChar w:fldCharType="separate"/>
      </w:r>
      <w:r>
        <w:rPr>
          <w:b/>
          <w:color w:val="auto"/>
          <w:sz w:val="24"/>
          <w:highlight w:val="none"/>
        </w:rPr>
        <w:t>42</w:t>
      </w:r>
      <w:r>
        <w:rPr>
          <w:b/>
          <w:color w:val="auto"/>
          <w:sz w:val="24"/>
          <w:highlight w:val="none"/>
        </w:rPr>
        <w:fldChar w:fldCharType="end"/>
      </w:r>
      <w:r>
        <w:rPr>
          <w:b/>
          <w:color w:val="auto"/>
          <w:sz w:val="24"/>
          <w:highlight w:val="none"/>
        </w:rPr>
        <w:fldChar w:fldCharType="end"/>
      </w:r>
    </w:p>
    <w:p w14:paraId="4006FB5F">
      <w:pPr>
        <w:pStyle w:val="27"/>
        <w:tabs>
          <w:tab w:val="right" w:leader="dot" w:pos="8869"/>
        </w:tabs>
        <w:snapToGrid w:val="0"/>
        <w:spacing w:line="500" w:lineRule="atLeast"/>
        <w:rPr>
          <w:rFonts w:hint="eastAsia"/>
          <w:color w:val="auto"/>
          <w:sz w:val="24"/>
          <w:highlight w:val="none"/>
        </w:rPr>
      </w:pPr>
      <w:r>
        <w:rPr>
          <w:color w:val="auto"/>
          <w:highlight w:val="none"/>
        </w:rPr>
        <w:fldChar w:fldCharType="begin"/>
      </w:r>
      <w:r>
        <w:rPr>
          <w:color w:val="auto"/>
          <w:highlight w:val="none"/>
        </w:rPr>
        <w:instrText xml:space="preserve"> HYPERLINK \l "_Toc74323461" </w:instrText>
      </w:r>
      <w:r>
        <w:rPr>
          <w:color w:val="auto"/>
          <w:highlight w:val="none"/>
        </w:rPr>
        <w:fldChar w:fldCharType="separate"/>
      </w:r>
      <w:r>
        <w:rPr>
          <w:rStyle w:val="43"/>
          <w:rFonts w:hint="eastAsia"/>
          <w:b/>
          <w:color w:val="auto"/>
          <w:sz w:val="24"/>
          <w:highlight w:val="none"/>
        </w:rPr>
        <w:t>第六章合同文本</w:t>
      </w:r>
      <w:r>
        <w:rPr>
          <w:b/>
          <w:color w:val="auto"/>
          <w:sz w:val="24"/>
          <w:highlight w:val="none"/>
        </w:rPr>
        <w:tab/>
      </w:r>
      <w:r>
        <w:rPr>
          <w:b/>
          <w:color w:val="auto"/>
          <w:sz w:val="24"/>
          <w:highlight w:val="none"/>
        </w:rPr>
        <w:fldChar w:fldCharType="begin"/>
      </w:r>
      <w:r>
        <w:rPr>
          <w:b/>
          <w:color w:val="auto"/>
          <w:sz w:val="24"/>
          <w:highlight w:val="none"/>
        </w:rPr>
        <w:instrText xml:space="preserve"> PAGEREF _Toc74323461 \h </w:instrText>
      </w:r>
      <w:r>
        <w:rPr>
          <w:b/>
          <w:color w:val="auto"/>
          <w:sz w:val="24"/>
          <w:highlight w:val="none"/>
        </w:rPr>
        <w:fldChar w:fldCharType="separate"/>
      </w:r>
      <w:r>
        <w:rPr>
          <w:b/>
          <w:color w:val="auto"/>
          <w:sz w:val="24"/>
          <w:highlight w:val="none"/>
        </w:rPr>
        <w:t>69</w:t>
      </w:r>
      <w:r>
        <w:rPr>
          <w:b/>
          <w:color w:val="auto"/>
          <w:sz w:val="24"/>
          <w:highlight w:val="none"/>
        </w:rPr>
        <w:fldChar w:fldCharType="end"/>
      </w:r>
      <w:r>
        <w:rPr>
          <w:b/>
          <w:color w:val="auto"/>
          <w:sz w:val="24"/>
          <w:highlight w:val="none"/>
        </w:rPr>
        <w:fldChar w:fldCharType="end"/>
      </w:r>
    </w:p>
    <w:p w14:paraId="17BB6746">
      <w:pPr>
        <w:pStyle w:val="30"/>
        <w:tabs>
          <w:tab w:val="right" w:leader="dot" w:pos="8931"/>
          <w:tab w:val="clear" w:pos="8296"/>
        </w:tabs>
        <w:snapToGrid w:val="0"/>
        <w:spacing w:line="500" w:lineRule="atLeast"/>
        <w:ind w:left="0" w:leftChars="0"/>
        <w:rPr>
          <w:rFonts w:hint="eastAsia" w:ascii="宋体" w:hAnsi="宋体"/>
          <w:b/>
          <w:color w:val="auto"/>
          <w:sz w:val="24"/>
          <w:highlight w:val="none"/>
        </w:rPr>
      </w:pPr>
      <w:r>
        <w:rPr>
          <w:rFonts w:ascii="宋体" w:hAnsi="宋体"/>
          <w:b/>
          <w:color w:val="auto"/>
          <w:sz w:val="24"/>
          <w:highlight w:val="none"/>
        </w:rPr>
        <w:fldChar w:fldCharType="end"/>
      </w:r>
    </w:p>
    <w:p w14:paraId="5BC341A4">
      <w:pPr>
        <w:spacing w:line="400" w:lineRule="exact"/>
        <w:jc w:val="left"/>
        <w:rPr>
          <w:rFonts w:hint="eastAsia" w:ascii="宋体" w:hAnsi="宋体"/>
          <w:b/>
          <w:color w:val="auto"/>
          <w:sz w:val="32"/>
          <w:szCs w:val="32"/>
          <w:highlight w:val="none"/>
        </w:rPr>
      </w:pPr>
    </w:p>
    <w:p w14:paraId="12DC516B">
      <w:pPr>
        <w:spacing w:line="400" w:lineRule="exact"/>
        <w:jc w:val="center"/>
        <w:rPr>
          <w:rFonts w:hint="eastAsia" w:ascii="宋体" w:hAnsi="宋体"/>
          <w:b/>
          <w:color w:val="auto"/>
          <w:sz w:val="32"/>
          <w:szCs w:val="32"/>
          <w:highlight w:val="none"/>
        </w:rPr>
      </w:pPr>
    </w:p>
    <w:p w14:paraId="6E29543D">
      <w:pPr>
        <w:spacing w:line="400" w:lineRule="exact"/>
        <w:jc w:val="center"/>
        <w:rPr>
          <w:rFonts w:hint="eastAsia" w:ascii="宋体" w:hAnsi="宋体"/>
          <w:b/>
          <w:color w:val="auto"/>
          <w:sz w:val="32"/>
          <w:szCs w:val="32"/>
          <w:highlight w:val="none"/>
        </w:rPr>
      </w:pPr>
    </w:p>
    <w:p w14:paraId="44DC62F6">
      <w:pPr>
        <w:spacing w:line="400" w:lineRule="exact"/>
        <w:jc w:val="center"/>
        <w:rPr>
          <w:rFonts w:hint="eastAsia" w:ascii="宋体" w:hAnsi="宋体"/>
          <w:b/>
          <w:color w:val="auto"/>
          <w:sz w:val="32"/>
          <w:szCs w:val="32"/>
          <w:highlight w:val="none"/>
        </w:rPr>
      </w:pPr>
    </w:p>
    <w:p w14:paraId="56FEE00F">
      <w:pPr>
        <w:spacing w:line="400" w:lineRule="exact"/>
        <w:jc w:val="center"/>
        <w:rPr>
          <w:rFonts w:hint="eastAsia" w:ascii="宋体" w:hAnsi="宋体"/>
          <w:b/>
          <w:color w:val="auto"/>
          <w:sz w:val="32"/>
          <w:szCs w:val="32"/>
          <w:highlight w:val="none"/>
        </w:rPr>
      </w:pPr>
    </w:p>
    <w:p w14:paraId="1B61D855">
      <w:pPr>
        <w:spacing w:line="400" w:lineRule="exact"/>
        <w:rPr>
          <w:rFonts w:hint="eastAsia" w:ascii="宋体" w:hAnsi="宋体"/>
          <w:b/>
          <w:color w:val="auto"/>
          <w:sz w:val="32"/>
          <w:szCs w:val="32"/>
          <w:highlight w:val="none"/>
        </w:rPr>
        <w:sectPr>
          <w:headerReference r:id="rId4" w:type="first"/>
          <w:footerReference r:id="rId6" w:type="first"/>
          <w:headerReference r:id="rId3" w:type="default"/>
          <w:footerReference r:id="rId5" w:type="default"/>
          <w:pgSz w:w="11906" w:h="16838"/>
          <w:pgMar w:top="1440" w:right="1440" w:bottom="1440" w:left="1587" w:header="851" w:footer="992" w:gutter="0"/>
          <w:pgNumType w:start="0"/>
          <w:cols w:space="720" w:num="1"/>
          <w:titlePg/>
          <w:docGrid w:type="lines" w:linePitch="312" w:charSpace="0"/>
        </w:sectPr>
      </w:pPr>
    </w:p>
    <w:p w14:paraId="293ED672">
      <w:pPr>
        <w:pStyle w:val="2"/>
        <w:jc w:val="center"/>
        <w:rPr>
          <w:color w:val="auto"/>
          <w:highlight w:val="none"/>
        </w:rPr>
      </w:pPr>
      <w:bookmarkStart w:id="10" w:name="_Toc74323456"/>
      <w:r>
        <w:rPr>
          <w:rFonts w:hint="eastAsia"/>
          <w:color w:val="auto"/>
          <w:highlight w:val="none"/>
        </w:rPr>
        <w:t>第一章竞争性磋商公告</w:t>
      </w:r>
      <w:bookmarkEnd w:id="10"/>
    </w:p>
    <w:p w14:paraId="5C6C69BF">
      <w:pPr>
        <w:spacing w:line="400" w:lineRule="exact"/>
        <w:jc w:val="center"/>
        <w:rPr>
          <w:rFonts w:hint="eastAsia" w:ascii="宋体" w:hAnsi="宋体"/>
          <w:color w:val="auto"/>
          <w:szCs w:val="21"/>
          <w:highlight w:val="none"/>
        </w:rPr>
      </w:pPr>
      <w:r>
        <w:rPr>
          <w:rFonts w:hint="eastAsia" w:ascii="宋体" w:hAnsi="宋体"/>
          <w:b/>
          <w:bCs/>
          <w:color w:val="auto"/>
          <w:sz w:val="32"/>
          <w:szCs w:val="32"/>
          <w:highlight w:val="none"/>
        </w:rPr>
        <w:t>竞争性磋商公告</w:t>
      </w:r>
    </w:p>
    <w:p w14:paraId="36C8A64E">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olor w:val="auto"/>
          <w:szCs w:val="21"/>
          <w:highlight w:val="none"/>
        </w:rPr>
      </w:pPr>
      <w:bookmarkStart w:id="11" w:name="_Hlk37430271"/>
      <w:r>
        <w:rPr>
          <w:rFonts w:hint="eastAsia" w:ascii="宋体" w:hAnsi="宋体"/>
          <w:color w:val="auto"/>
          <w:szCs w:val="21"/>
          <w:highlight w:val="none"/>
        </w:rPr>
        <w:t>项目概况</w:t>
      </w:r>
    </w:p>
    <w:p w14:paraId="44888822">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服务重点群体就业系列招聘活动项目</w:t>
      </w:r>
      <w:r>
        <w:rPr>
          <w:rFonts w:hint="eastAsia" w:ascii="宋体" w:hAnsi="宋体"/>
          <w:color w:val="auto"/>
          <w:szCs w:val="21"/>
          <w:highlight w:val="none"/>
        </w:rPr>
        <w:t xml:space="preserve"> 采购项目的潜在供应商应在广西政府采购云平台（https://www.gcy.zfcg.gxzf.gov.cn/）获取（下载）竞争性磋商文件，并于</w:t>
      </w:r>
      <w:r>
        <w:rPr>
          <w:rFonts w:hint="eastAsia" w:ascii="宋体" w:hAnsi="宋体"/>
          <w:color w:val="auto"/>
          <w:szCs w:val="21"/>
          <w:highlight w:val="none"/>
          <w:u w:val="single"/>
        </w:rPr>
        <w:t>2</w:t>
      </w:r>
      <w:r>
        <w:rPr>
          <w:rFonts w:ascii="宋体" w:hAnsi="宋体"/>
          <w:color w:val="auto"/>
          <w:szCs w:val="21"/>
          <w:highlight w:val="none"/>
          <w:u w:val="single"/>
        </w:rPr>
        <w:t>02</w:t>
      </w:r>
      <w:r>
        <w:rPr>
          <w:rFonts w:hint="eastAsia" w:ascii="宋体" w:hAnsi="宋体"/>
          <w:color w:val="auto"/>
          <w:szCs w:val="21"/>
          <w:highlight w:val="none"/>
          <w:u w:val="single"/>
        </w:rPr>
        <w:t>5</w:t>
      </w:r>
      <w:r>
        <w:rPr>
          <w:rFonts w:hint="eastAsia" w:ascii="宋体" w:hAnsi="宋体"/>
          <w:bCs/>
          <w:color w:val="auto"/>
          <w:szCs w:val="21"/>
          <w:highlight w:val="none"/>
          <w:u w:val="single"/>
        </w:rPr>
        <w:t>年</w:t>
      </w:r>
      <w:r>
        <w:rPr>
          <w:rFonts w:hint="eastAsia" w:ascii="宋体" w:hAnsi="宋体"/>
          <w:bCs/>
          <w:color w:val="auto"/>
          <w:szCs w:val="21"/>
          <w:highlight w:val="none"/>
          <w:u w:val="single"/>
          <w:lang w:val="en-US" w:eastAsia="zh-CN"/>
        </w:rPr>
        <w:t>11</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17</w:t>
      </w:r>
      <w:r>
        <w:rPr>
          <w:rFonts w:hint="eastAsia" w:ascii="宋体" w:hAnsi="宋体"/>
          <w:bCs/>
          <w:color w:val="auto"/>
          <w:szCs w:val="21"/>
          <w:highlight w:val="none"/>
          <w:u w:val="single"/>
        </w:rPr>
        <w:t>日</w:t>
      </w:r>
      <w:r>
        <w:rPr>
          <w:rFonts w:hint="eastAsia" w:ascii="宋体" w:hAnsi="宋体"/>
          <w:bCs/>
          <w:color w:val="auto"/>
          <w:szCs w:val="21"/>
          <w:highlight w:val="none"/>
          <w:u w:val="single"/>
          <w:lang w:val="en-US" w:eastAsia="zh-CN"/>
        </w:rPr>
        <w:t>9</w:t>
      </w:r>
      <w:r>
        <w:rPr>
          <w:rFonts w:hint="eastAsia" w:ascii="宋体" w:hAnsi="宋体"/>
          <w:bCs/>
          <w:color w:val="auto"/>
          <w:szCs w:val="21"/>
          <w:highlight w:val="none"/>
          <w:u w:val="single"/>
        </w:rPr>
        <w:t>时</w:t>
      </w:r>
      <w:r>
        <w:rPr>
          <w:rFonts w:hint="eastAsia" w:ascii="宋体" w:hAnsi="宋体"/>
          <w:bCs/>
          <w:color w:val="auto"/>
          <w:szCs w:val="21"/>
          <w:highlight w:val="none"/>
          <w:u w:val="single"/>
          <w:lang w:val="en-US" w:eastAsia="zh-CN"/>
        </w:rPr>
        <w:t>3</w:t>
      </w:r>
      <w:r>
        <w:rPr>
          <w:rFonts w:hint="eastAsia" w:ascii="宋体" w:hAnsi="宋体"/>
          <w:bCs/>
          <w:color w:val="auto"/>
          <w:szCs w:val="21"/>
          <w:highlight w:val="none"/>
          <w:u w:val="single"/>
        </w:rPr>
        <w:t>0分（</w:t>
      </w:r>
      <w:r>
        <w:rPr>
          <w:rFonts w:hint="eastAsia" w:ascii="宋体" w:hAnsi="宋体"/>
          <w:bCs/>
          <w:color w:val="auto"/>
          <w:szCs w:val="21"/>
          <w:highlight w:val="none"/>
        </w:rPr>
        <w:t>北京时间）前提交（上传）</w:t>
      </w:r>
      <w:r>
        <w:rPr>
          <w:rFonts w:hint="eastAsia" w:ascii="宋体" w:hAnsi="宋体"/>
          <w:color w:val="auto"/>
          <w:szCs w:val="21"/>
          <w:highlight w:val="none"/>
        </w:rPr>
        <w:t>响应</w:t>
      </w:r>
      <w:r>
        <w:rPr>
          <w:rFonts w:hint="eastAsia" w:ascii="宋体" w:hAnsi="宋体"/>
          <w:bCs/>
          <w:color w:val="auto"/>
          <w:szCs w:val="21"/>
          <w:highlight w:val="none"/>
        </w:rPr>
        <w:t>文件</w:t>
      </w:r>
      <w:r>
        <w:rPr>
          <w:rFonts w:hint="eastAsia" w:ascii="宋体" w:hAnsi="宋体"/>
          <w:color w:val="auto"/>
          <w:szCs w:val="21"/>
          <w:highlight w:val="none"/>
        </w:rPr>
        <w:t>。</w:t>
      </w:r>
    </w:p>
    <w:p w14:paraId="36F4B58A">
      <w:pPr>
        <w:ind w:firstLine="354" w:firstLineChars="147"/>
        <w:rPr>
          <w:rFonts w:hint="eastAsia" w:ascii="黑体" w:hAnsi="黑体" w:eastAsia="黑体"/>
          <w:b/>
          <w:color w:val="auto"/>
          <w:sz w:val="24"/>
          <w:highlight w:val="none"/>
        </w:rPr>
      </w:pPr>
      <w:bookmarkStart w:id="12" w:name="_Toc28359012"/>
      <w:bookmarkStart w:id="13" w:name="_Toc44229878"/>
      <w:bookmarkStart w:id="14" w:name="_Toc28359089"/>
      <w:bookmarkStart w:id="15" w:name="_Toc71365905"/>
      <w:bookmarkStart w:id="16" w:name="_Toc35393798"/>
      <w:bookmarkStart w:id="17" w:name="_Toc35393629"/>
      <w:r>
        <w:rPr>
          <w:rFonts w:hint="eastAsia" w:ascii="黑体" w:hAnsi="黑体" w:eastAsia="黑体"/>
          <w:b/>
          <w:color w:val="auto"/>
          <w:sz w:val="24"/>
          <w:highlight w:val="none"/>
        </w:rPr>
        <w:t>一、项目基本情况</w:t>
      </w:r>
      <w:bookmarkEnd w:id="12"/>
      <w:bookmarkEnd w:id="13"/>
      <w:bookmarkEnd w:id="14"/>
      <w:bookmarkEnd w:id="15"/>
      <w:bookmarkEnd w:id="16"/>
      <w:bookmarkEnd w:id="17"/>
    </w:p>
    <w:p w14:paraId="7E97262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项目编号：</w:t>
      </w:r>
      <w:r>
        <w:rPr>
          <w:rFonts w:hint="eastAsia" w:ascii="宋体" w:hAnsi="宋体"/>
          <w:color w:val="auto"/>
          <w:szCs w:val="21"/>
          <w:highlight w:val="none"/>
          <w:lang w:eastAsia="zh-CN"/>
        </w:rPr>
        <w:t>GXZC2025-C3-003248-GDZB</w:t>
      </w:r>
    </w:p>
    <w:p w14:paraId="127E977E">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项目名称：</w:t>
      </w:r>
      <w:r>
        <w:rPr>
          <w:rFonts w:hint="eastAsia" w:ascii="宋体" w:hAnsi="宋体"/>
          <w:color w:val="auto"/>
          <w:szCs w:val="21"/>
          <w:highlight w:val="none"/>
          <w:lang w:eastAsia="zh-CN"/>
        </w:rPr>
        <w:t>服务重点群体就业系列招聘活动项目</w:t>
      </w:r>
    </w:p>
    <w:p w14:paraId="6B8B8DA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采购方式：竞争性磋商</w:t>
      </w:r>
    </w:p>
    <w:p w14:paraId="3F5BAB7E">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预算金额：人民币</w:t>
      </w:r>
      <w:r>
        <w:rPr>
          <w:rFonts w:hint="eastAsia" w:ascii="宋体" w:hAnsi="宋体"/>
          <w:color w:val="auto"/>
          <w:szCs w:val="21"/>
          <w:highlight w:val="none"/>
          <w:lang w:eastAsia="zh-CN"/>
        </w:rPr>
        <w:t>贰佰玖拾万元整（￥2900000.00）</w:t>
      </w:r>
    </w:p>
    <w:p w14:paraId="31C924D5">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最高限价：人民币</w:t>
      </w:r>
      <w:r>
        <w:rPr>
          <w:rFonts w:hint="eastAsia" w:ascii="宋体" w:hAnsi="宋体"/>
          <w:color w:val="auto"/>
          <w:szCs w:val="21"/>
          <w:highlight w:val="none"/>
          <w:lang w:eastAsia="zh-CN"/>
        </w:rPr>
        <w:t>贰佰玖拾万元整（￥2900000.00）</w:t>
      </w:r>
    </w:p>
    <w:p w14:paraId="77DDC7A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采购需求：</w:t>
      </w:r>
      <w:r>
        <w:rPr>
          <w:rFonts w:hint="eastAsia" w:ascii="宋体" w:hAnsi="宋体"/>
          <w:color w:val="auto"/>
          <w:szCs w:val="21"/>
          <w:highlight w:val="none"/>
          <w:lang w:eastAsia="zh-CN"/>
        </w:rPr>
        <w:t>服务重点群体就业系列招聘活动项目</w:t>
      </w:r>
      <w:r>
        <w:rPr>
          <w:rFonts w:hint="eastAsia"/>
          <w:color w:val="auto"/>
          <w:szCs w:val="21"/>
          <w:highlight w:val="none"/>
        </w:rPr>
        <w:t>1项</w:t>
      </w:r>
      <w:r>
        <w:rPr>
          <w:rFonts w:hint="eastAsia"/>
          <w:color w:val="auto"/>
          <w:szCs w:val="21"/>
          <w:highlight w:val="none"/>
          <w:lang w:eastAsia="zh-CN"/>
        </w:rPr>
        <w:t>，</w:t>
      </w:r>
      <w:r>
        <w:rPr>
          <w:rFonts w:hint="eastAsia"/>
          <w:color w:val="auto"/>
          <w:szCs w:val="21"/>
          <w:highlight w:val="none"/>
        </w:rPr>
        <w:t>具体内容详见竞争性磋商文件。</w:t>
      </w:r>
    </w:p>
    <w:p w14:paraId="7747BF0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合同履行期限：</w:t>
      </w:r>
      <w:r>
        <w:rPr>
          <w:rFonts w:hint="eastAsia" w:ascii="宋体" w:hAnsi="宋体"/>
          <w:color w:val="auto"/>
          <w:szCs w:val="21"/>
          <w:highlight w:val="none"/>
          <w:lang w:val="en-US" w:eastAsia="zh-CN"/>
        </w:rPr>
        <w:t>至12月中旬</w:t>
      </w:r>
      <w:r>
        <w:rPr>
          <w:rFonts w:hint="eastAsia"/>
          <w:bCs/>
          <w:color w:val="auto"/>
          <w:kern w:val="0"/>
          <w:highlight w:val="none"/>
        </w:rPr>
        <w:t>。</w:t>
      </w:r>
    </w:p>
    <w:p w14:paraId="0FC6FD4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本项目（是</w:t>
      </w:r>
      <w:r>
        <w:rPr>
          <w:rFonts w:ascii="宋体" w:hAnsi="宋体"/>
          <w:color w:val="auto"/>
          <w:szCs w:val="21"/>
          <w:highlight w:val="none"/>
        </w:rPr>
        <w:t>/</w:t>
      </w:r>
      <w:r>
        <w:rPr>
          <w:rFonts w:hint="eastAsia" w:ascii="宋体" w:hAnsi="宋体"/>
          <w:color w:val="auto"/>
          <w:szCs w:val="21"/>
          <w:highlight w:val="none"/>
        </w:rPr>
        <w:t>√</w:t>
      </w:r>
      <w:r>
        <w:rPr>
          <w:rFonts w:ascii="宋体" w:hAnsi="宋体"/>
          <w:color w:val="auto"/>
          <w:szCs w:val="21"/>
          <w:highlight w:val="none"/>
        </w:rPr>
        <w:t>否</w:t>
      </w:r>
      <w:r>
        <w:rPr>
          <w:rFonts w:hint="eastAsia" w:ascii="宋体" w:hAnsi="宋体"/>
          <w:color w:val="auto"/>
          <w:szCs w:val="21"/>
          <w:highlight w:val="none"/>
        </w:rPr>
        <w:t>）接受联合体</w:t>
      </w:r>
    </w:p>
    <w:p w14:paraId="6EE3C230">
      <w:pPr>
        <w:ind w:firstLine="354" w:firstLineChars="147"/>
        <w:rPr>
          <w:rFonts w:hint="eastAsia" w:ascii="黑体" w:hAnsi="黑体" w:eastAsia="黑体"/>
          <w:b/>
          <w:color w:val="auto"/>
          <w:sz w:val="24"/>
          <w:highlight w:val="none"/>
        </w:rPr>
      </w:pPr>
      <w:bookmarkStart w:id="18" w:name="_Toc28359013"/>
      <w:bookmarkStart w:id="19" w:name="_Toc35393630"/>
      <w:bookmarkStart w:id="20" w:name="_Toc44229879"/>
      <w:bookmarkStart w:id="21" w:name="_Toc71365906"/>
      <w:bookmarkStart w:id="22" w:name="_Toc28359090"/>
      <w:bookmarkStart w:id="23" w:name="_Toc35393799"/>
      <w:r>
        <w:rPr>
          <w:rFonts w:hint="eastAsia" w:ascii="黑体" w:hAnsi="黑体" w:eastAsia="黑体"/>
          <w:b/>
          <w:color w:val="auto"/>
          <w:sz w:val="24"/>
          <w:highlight w:val="none"/>
        </w:rPr>
        <w:t>二、申请人的资格条件：</w:t>
      </w:r>
      <w:bookmarkEnd w:id="18"/>
      <w:bookmarkEnd w:id="19"/>
      <w:bookmarkEnd w:id="20"/>
      <w:bookmarkEnd w:id="21"/>
      <w:bookmarkEnd w:id="22"/>
      <w:bookmarkEnd w:id="23"/>
    </w:p>
    <w:p w14:paraId="0921273A">
      <w:pPr>
        <w:spacing w:line="360" w:lineRule="auto"/>
        <w:ind w:firstLine="420" w:firstLineChars="200"/>
        <w:rPr>
          <w:rFonts w:hint="eastAsia" w:ascii="宋体" w:hAnsi="宋体"/>
          <w:color w:val="auto"/>
          <w:szCs w:val="21"/>
          <w:highlight w:val="none"/>
        </w:rPr>
      </w:pPr>
      <w:bookmarkStart w:id="24" w:name="_Toc35393631"/>
      <w:bookmarkStart w:id="25" w:name="_Toc28359091"/>
      <w:bookmarkStart w:id="26" w:name="_Toc28359014"/>
      <w:bookmarkStart w:id="27" w:name="_Toc35393800"/>
      <w:bookmarkStart w:id="28" w:name="_Toc44229880"/>
      <w:r>
        <w:rPr>
          <w:rFonts w:hint="eastAsia" w:ascii="宋体" w:hAnsi="宋体"/>
          <w:color w:val="auto"/>
          <w:szCs w:val="21"/>
          <w:highlight w:val="none"/>
        </w:rPr>
        <w:t>1.满足《中华人民共和国政府采购法》第二十二条规定；</w:t>
      </w:r>
    </w:p>
    <w:p w14:paraId="10EC6C73">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.落实政府采购政策需满足的资格要求：</w:t>
      </w:r>
    </w:p>
    <w:p w14:paraId="3B17A10C">
      <w:pPr>
        <w:spacing w:line="360" w:lineRule="auto"/>
        <w:ind w:firstLine="420" w:firstLineChars="200"/>
        <w:rPr>
          <w:rFonts w:hint="eastAsia" w:ascii="宋体" w:hAnsi="宋体"/>
          <w:color w:val="auto"/>
          <w:szCs w:val="21"/>
          <w:highlight w:val="none"/>
        </w:rPr>
      </w:pPr>
      <w:r>
        <w:rPr>
          <w:rFonts w:ascii="Segoe UI Symbol" w:hAnsi="Segoe UI Symbol" w:cs="Segoe UI Symbol"/>
          <w:color w:val="auto"/>
          <w:szCs w:val="21"/>
          <w:highlight w:val="none"/>
        </w:rPr>
        <w:t>☑</w:t>
      </w:r>
      <w:r>
        <w:rPr>
          <w:rFonts w:hint="eastAsia" w:ascii="宋体" w:hAnsi="宋体"/>
          <w:color w:val="auto"/>
          <w:szCs w:val="21"/>
          <w:highlight w:val="none"/>
        </w:rPr>
        <w:t>专门面向中小企业采购的项目（供应商应为中小微企业、监狱企业、残疾人福利性单位)</w:t>
      </w:r>
    </w:p>
    <w:p w14:paraId="21E6DDF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□非专门面向中小企业采购的项目</w:t>
      </w:r>
    </w:p>
    <w:p w14:paraId="0EAD1D3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3.本项目的特定资格要求：</w:t>
      </w:r>
      <w:bookmarkStart w:id="29" w:name="_Toc71365907"/>
      <w:r>
        <w:rPr>
          <w:rFonts w:hint="eastAsia" w:ascii="宋体" w:hAnsi="宋体"/>
          <w:color w:val="auto"/>
          <w:szCs w:val="21"/>
          <w:highlight w:val="none"/>
        </w:rPr>
        <w:t>无；</w:t>
      </w:r>
    </w:p>
    <w:p w14:paraId="486D3AF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030098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57982751">
      <w:pPr>
        <w:spacing w:line="360" w:lineRule="auto"/>
        <w:ind w:firstLine="482" w:firstLineChars="200"/>
        <w:rPr>
          <w:rFonts w:hint="eastAsia" w:ascii="黑体" w:hAnsi="黑体" w:eastAsia="黑体"/>
          <w:b/>
          <w:color w:val="auto"/>
          <w:sz w:val="24"/>
          <w:highlight w:val="none"/>
        </w:rPr>
      </w:pPr>
      <w:r>
        <w:rPr>
          <w:rFonts w:hint="eastAsia" w:ascii="黑体" w:hAnsi="黑体" w:eastAsia="黑体"/>
          <w:b/>
          <w:color w:val="auto"/>
          <w:sz w:val="24"/>
          <w:highlight w:val="none"/>
        </w:rPr>
        <w:t>三、获取竞争性磋商文件</w:t>
      </w:r>
      <w:bookmarkEnd w:id="24"/>
      <w:bookmarkEnd w:id="25"/>
      <w:bookmarkEnd w:id="26"/>
      <w:bookmarkEnd w:id="27"/>
      <w:bookmarkEnd w:id="28"/>
      <w:bookmarkEnd w:id="29"/>
    </w:p>
    <w:p w14:paraId="4E9D51CE">
      <w:pPr>
        <w:spacing w:line="360" w:lineRule="auto"/>
        <w:ind w:firstLine="420" w:firstLineChars="200"/>
        <w:rPr>
          <w:rFonts w:hint="eastAsia" w:ascii="宋体" w:hAnsi="宋体" w:cs="宋体"/>
          <w:bCs/>
          <w:color w:val="auto"/>
          <w:kern w:val="0"/>
          <w:szCs w:val="21"/>
          <w:highlight w:val="none"/>
        </w:rPr>
      </w:pPr>
      <w:bookmarkStart w:id="30" w:name="_Toc28359092"/>
      <w:bookmarkStart w:id="31" w:name="_Toc44229881"/>
      <w:bookmarkStart w:id="32" w:name="_Toc35393801"/>
      <w:bookmarkStart w:id="33" w:name="_Toc35393632"/>
      <w:bookmarkStart w:id="34" w:name="_Toc28359015"/>
      <w:r>
        <w:rPr>
          <w:rFonts w:hint="eastAsia" w:ascii="宋体" w:hAnsi="宋体" w:cs="宋体"/>
          <w:bCs/>
          <w:color w:val="auto"/>
          <w:kern w:val="0"/>
          <w:szCs w:val="21"/>
          <w:highlight w:val="none"/>
        </w:rPr>
        <w:t>时间：</w:t>
      </w:r>
      <w:r>
        <w:rPr>
          <w:rFonts w:ascii="宋体" w:hAnsi="宋体"/>
          <w:bCs/>
          <w:color w:val="auto"/>
          <w:szCs w:val="21"/>
          <w:highlight w:val="none"/>
          <w:u w:val="single"/>
        </w:rPr>
        <w:t>202</w:t>
      </w:r>
      <w:r>
        <w:rPr>
          <w:rFonts w:hint="eastAsia" w:ascii="宋体" w:hAnsi="宋体"/>
          <w:bCs/>
          <w:color w:val="auto"/>
          <w:szCs w:val="21"/>
          <w:highlight w:val="none"/>
          <w:u w:val="single"/>
        </w:rPr>
        <w:t>5年</w:t>
      </w:r>
      <w:r>
        <w:rPr>
          <w:rFonts w:hint="eastAsia" w:ascii="宋体" w:hAnsi="宋体"/>
          <w:bCs/>
          <w:color w:val="auto"/>
          <w:szCs w:val="21"/>
          <w:highlight w:val="none"/>
          <w:u w:val="single"/>
          <w:lang w:val="en-US" w:eastAsia="zh-CN"/>
        </w:rPr>
        <w:t>11</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5</w:t>
      </w:r>
      <w:r>
        <w:rPr>
          <w:rFonts w:hint="eastAsia" w:ascii="宋体" w:hAnsi="宋体"/>
          <w:bCs/>
          <w:color w:val="auto"/>
          <w:szCs w:val="21"/>
          <w:highlight w:val="none"/>
          <w:u w:val="single"/>
        </w:rPr>
        <w:t>日</w:t>
      </w:r>
      <w:r>
        <w:rPr>
          <w:rFonts w:hint="eastAsia" w:ascii="宋体" w:hAnsi="宋体" w:cs="宋体"/>
          <w:bCs/>
          <w:color w:val="auto"/>
          <w:kern w:val="0"/>
          <w:szCs w:val="21"/>
          <w:highlight w:val="none"/>
        </w:rPr>
        <w:t>至</w:t>
      </w:r>
      <w:r>
        <w:rPr>
          <w:rFonts w:ascii="宋体" w:hAnsi="宋体"/>
          <w:bCs/>
          <w:color w:val="auto"/>
          <w:szCs w:val="21"/>
          <w:highlight w:val="none"/>
          <w:u w:val="single"/>
        </w:rPr>
        <w:t>202</w:t>
      </w:r>
      <w:r>
        <w:rPr>
          <w:rFonts w:hint="eastAsia" w:ascii="宋体" w:hAnsi="宋体"/>
          <w:bCs/>
          <w:color w:val="auto"/>
          <w:szCs w:val="21"/>
          <w:highlight w:val="none"/>
          <w:u w:val="single"/>
        </w:rPr>
        <w:t>5年</w:t>
      </w:r>
      <w:r>
        <w:rPr>
          <w:rFonts w:hint="eastAsia" w:ascii="宋体" w:hAnsi="宋体"/>
          <w:bCs/>
          <w:color w:val="auto"/>
          <w:szCs w:val="21"/>
          <w:highlight w:val="none"/>
          <w:u w:val="single"/>
          <w:lang w:val="en-US" w:eastAsia="zh-CN"/>
        </w:rPr>
        <w:t>11</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12</w:t>
      </w:r>
      <w:r>
        <w:rPr>
          <w:rFonts w:hint="eastAsia" w:ascii="宋体" w:hAnsi="宋体"/>
          <w:bCs/>
          <w:color w:val="auto"/>
          <w:szCs w:val="21"/>
          <w:highlight w:val="none"/>
          <w:u w:val="single"/>
        </w:rPr>
        <w:t>日</w:t>
      </w:r>
      <w:r>
        <w:rPr>
          <w:rFonts w:hint="eastAsia" w:ascii="宋体" w:hAnsi="宋体" w:cs="宋体"/>
          <w:bCs/>
          <w:color w:val="auto"/>
          <w:kern w:val="0"/>
          <w:szCs w:val="21"/>
          <w:highlight w:val="none"/>
        </w:rPr>
        <w:t>，每天上午</w:t>
      </w:r>
      <w:r>
        <w:rPr>
          <w:rFonts w:ascii="宋体" w:hAnsi="宋体" w:cs="宋体"/>
          <w:bCs/>
          <w:color w:val="auto"/>
          <w:kern w:val="0"/>
          <w:szCs w:val="21"/>
          <w:highlight w:val="none"/>
          <w:u w:val="single"/>
        </w:rPr>
        <w:t>0</w:t>
      </w:r>
      <w:r>
        <w:rPr>
          <w:rFonts w:hint="eastAsia" w:ascii="宋体" w:hAnsi="宋体" w:cs="宋体"/>
          <w:bCs/>
          <w:color w:val="auto"/>
          <w:kern w:val="0"/>
          <w:szCs w:val="21"/>
          <w:highlight w:val="none"/>
          <w:u w:val="single"/>
        </w:rPr>
        <w:t>：</w:t>
      </w:r>
      <w:r>
        <w:rPr>
          <w:rFonts w:ascii="宋体" w:hAnsi="宋体" w:cs="宋体"/>
          <w:bCs/>
          <w:color w:val="auto"/>
          <w:kern w:val="0"/>
          <w:szCs w:val="21"/>
          <w:highlight w:val="none"/>
          <w:u w:val="single"/>
        </w:rPr>
        <w:t>00</w:t>
      </w:r>
      <w:r>
        <w:rPr>
          <w:rFonts w:hint="eastAsia" w:ascii="宋体" w:hAnsi="宋体" w:cs="宋体"/>
          <w:bCs/>
          <w:color w:val="auto"/>
          <w:kern w:val="0"/>
          <w:szCs w:val="21"/>
          <w:highlight w:val="none"/>
        </w:rPr>
        <w:t>至</w:t>
      </w:r>
      <w:r>
        <w:rPr>
          <w:rFonts w:hint="eastAsia" w:ascii="宋体" w:hAnsi="宋体" w:cs="宋体"/>
          <w:bCs/>
          <w:color w:val="auto"/>
          <w:kern w:val="0"/>
          <w:szCs w:val="21"/>
          <w:highlight w:val="none"/>
          <w:u w:val="single"/>
        </w:rPr>
        <w:t>1</w:t>
      </w:r>
      <w:r>
        <w:rPr>
          <w:rFonts w:ascii="宋体" w:hAnsi="宋体" w:cs="宋体"/>
          <w:bCs/>
          <w:color w:val="auto"/>
          <w:kern w:val="0"/>
          <w:szCs w:val="21"/>
          <w:highlight w:val="none"/>
          <w:u w:val="single"/>
        </w:rPr>
        <w:t>2</w:t>
      </w:r>
      <w:r>
        <w:rPr>
          <w:rFonts w:hint="eastAsia" w:ascii="宋体" w:hAnsi="宋体" w:cs="宋体"/>
          <w:bCs/>
          <w:color w:val="auto"/>
          <w:kern w:val="0"/>
          <w:szCs w:val="21"/>
          <w:highlight w:val="none"/>
          <w:u w:val="single"/>
        </w:rPr>
        <w:t>:0</w:t>
      </w:r>
      <w:r>
        <w:rPr>
          <w:rFonts w:ascii="宋体" w:hAnsi="宋体" w:cs="宋体"/>
          <w:bCs/>
          <w:color w:val="auto"/>
          <w:kern w:val="0"/>
          <w:szCs w:val="21"/>
          <w:highlight w:val="none"/>
          <w:u w:val="single"/>
        </w:rPr>
        <w:t>0</w:t>
      </w:r>
      <w:r>
        <w:rPr>
          <w:rFonts w:hint="eastAsia" w:ascii="宋体" w:hAnsi="宋体" w:cs="宋体"/>
          <w:bCs/>
          <w:color w:val="auto"/>
          <w:kern w:val="0"/>
          <w:szCs w:val="21"/>
          <w:highlight w:val="none"/>
          <w:u w:val="single"/>
        </w:rPr>
        <w:t>　</w:t>
      </w:r>
      <w:r>
        <w:rPr>
          <w:rFonts w:hint="eastAsia" w:ascii="宋体" w:hAnsi="宋体" w:cs="宋体"/>
          <w:bCs/>
          <w:color w:val="auto"/>
          <w:kern w:val="0"/>
          <w:szCs w:val="21"/>
          <w:highlight w:val="none"/>
        </w:rPr>
        <w:t>，下午</w:t>
      </w:r>
      <w:r>
        <w:rPr>
          <w:rFonts w:ascii="宋体" w:hAnsi="宋体" w:cs="宋体"/>
          <w:bCs/>
          <w:color w:val="auto"/>
          <w:kern w:val="0"/>
          <w:szCs w:val="21"/>
          <w:highlight w:val="none"/>
          <w:u w:val="single"/>
        </w:rPr>
        <w:t>12</w:t>
      </w:r>
      <w:r>
        <w:rPr>
          <w:rFonts w:hint="eastAsia" w:ascii="宋体" w:hAnsi="宋体" w:cs="宋体"/>
          <w:bCs/>
          <w:color w:val="auto"/>
          <w:kern w:val="0"/>
          <w:szCs w:val="21"/>
          <w:highlight w:val="none"/>
          <w:u w:val="single"/>
        </w:rPr>
        <w:t>:0</w:t>
      </w:r>
      <w:r>
        <w:rPr>
          <w:rFonts w:ascii="宋体" w:hAnsi="宋体" w:cs="宋体"/>
          <w:bCs/>
          <w:color w:val="auto"/>
          <w:kern w:val="0"/>
          <w:szCs w:val="21"/>
          <w:highlight w:val="none"/>
          <w:u w:val="single"/>
        </w:rPr>
        <w:t>0</w:t>
      </w:r>
      <w:r>
        <w:rPr>
          <w:rFonts w:hint="eastAsia" w:ascii="宋体" w:hAnsi="宋体" w:cs="宋体"/>
          <w:bCs/>
          <w:color w:val="auto"/>
          <w:kern w:val="0"/>
          <w:szCs w:val="21"/>
          <w:highlight w:val="none"/>
          <w:u w:val="single"/>
        </w:rPr>
        <w:t>　</w:t>
      </w:r>
      <w:r>
        <w:rPr>
          <w:rFonts w:hint="eastAsia" w:ascii="宋体" w:hAnsi="宋体" w:cs="宋体"/>
          <w:bCs/>
          <w:color w:val="auto"/>
          <w:kern w:val="0"/>
          <w:szCs w:val="21"/>
          <w:highlight w:val="none"/>
        </w:rPr>
        <w:t>至</w:t>
      </w:r>
      <w:r>
        <w:rPr>
          <w:rFonts w:ascii="宋体" w:hAnsi="宋体" w:cs="宋体"/>
          <w:bCs/>
          <w:color w:val="auto"/>
          <w:kern w:val="0"/>
          <w:szCs w:val="21"/>
          <w:highlight w:val="none"/>
          <w:u w:val="single"/>
        </w:rPr>
        <w:t>23</w:t>
      </w:r>
      <w:r>
        <w:rPr>
          <w:rFonts w:hint="eastAsia" w:ascii="宋体" w:hAnsi="宋体" w:cs="宋体"/>
          <w:bCs/>
          <w:color w:val="auto"/>
          <w:kern w:val="0"/>
          <w:szCs w:val="21"/>
          <w:highlight w:val="none"/>
          <w:u w:val="single"/>
        </w:rPr>
        <w:t>:</w:t>
      </w:r>
      <w:r>
        <w:rPr>
          <w:rFonts w:ascii="宋体" w:hAnsi="宋体" w:cs="宋体"/>
          <w:bCs/>
          <w:color w:val="auto"/>
          <w:kern w:val="0"/>
          <w:szCs w:val="21"/>
          <w:highlight w:val="none"/>
          <w:u w:val="single"/>
        </w:rPr>
        <w:t>59</w:t>
      </w:r>
      <w:r>
        <w:rPr>
          <w:rFonts w:hint="eastAsia" w:ascii="宋体" w:hAnsi="宋体" w:cs="宋体"/>
          <w:bCs/>
          <w:color w:val="auto"/>
          <w:kern w:val="0"/>
          <w:szCs w:val="21"/>
          <w:highlight w:val="none"/>
          <w:u w:val="single"/>
        </w:rPr>
        <w:t>　</w:t>
      </w:r>
      <w:r>
        <w:rPr>
          <w:rFonts w:hint="eastAsia" w:ascii="宋体" w:hAnsi="宋体" w:cs="宋体"/>
          <w:bCs/>
          <w:color w:val="auto"/>
          <w:kern w:val="0"/>
          <w:szCs w:val="21"/>
          <w:highlight w:val="none"/>
        </w:rPr>
        <w:t>（北京时间）</w:t>
      </w:r>
    </w:p>
    <w:p w14:paraId="04CE6CAF">
      <w:pPr>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地点：广西政府采购云平台（https://www.gcy.zfcg.gxzf.gov.cn/）</w:t>
      </w:r>
    </w:p>
    <w:p w14:paraId="3D536FEC">
      <w:pPr>
        <w:spacing w:line="360" w:lineRule="exact"/>
        <w:ind w:firstLine="420" w:firstLineChars="200"/>
        <w:rPr>
          <w:rFonts w:ascii="Arial" w:hAnsi="Arial" w:cs="Arial"/>
          <w:color w:val="auto"/>
          <w:kern w:val="0"/>
          <w:szCs w:val="21"/>
          <w:highlight w:val="none"/>
        </w:rPr>
      </w:pPr>
      <w:bookmarkStart w:id="35" w:name="_Toc71365908"/>
      <w:r>
        <w:rPr>
          <w:rFonts w:hint="eastAsia" w:ascii="宋体" w:hAnsi="宋体"/>
          <w:color w:val="auto"/>
          <w:szCs w:val="21"/>
          <w:highlight w:val="none"/>
        </w:rPr>
        <w:t>获取方式:网上下载。本项目不发放纸质采购文件，</w:t>
      </w:r>
      <w:r>
        <w:rPr>
          <w:rFonts w:hint="eastAsia" w:ascii="宋体" w:hAnsi="宋体" w:cs="宋体"/>
          <w:bCs/>
          <w:color w:val="auto"/>
          <w:kern w:val="0"/>
          <w:szCs w:val="21"/>
          <w:highlight w:val="none"/>
        </w:rPr>
        <w:t>潜在</w:t>
      </w:r>
      <w:r>
        <w:rPr>
          <w:rFonts w:hint="eastAsia" w:ascii="宋体" w:hAnsi="宋体"/>
          <w:color w:val="auto"/>
          <w:szCs w:val="21"/>
          <w:highlight w:val="none"/>
        </w:rPr>
        <w:t>供应商可自行在</w:t>
      </w:r>
      <w:r>
        <w:rPr>
          <w:color w:val="auto"/>
          <w:highlight w:val="none"/>
        </w:rPr>
        <w:fldChar w:fldCharType="begin"/>
      </w:r>
      <w:r>
        <w:rPr>
          <w:color w:val="auto"/>
          <w:highlight w:val="none"/>
        </w:rPr>
        <w:instrText xml:space="preserve"> HYPERLINK </w:instrText>
      </w:r>
      <w:r>
        <w:rPr>
          <w:color w:val="auto"/>
          <w:highlight w:val="none"/>
        </w:rPr>
        <w:fldChar w:fldCharType="separate"/>
      </w:r>
      <w:r>
        <w:rPr>
          <w:color w:val="auto"/>
          <w:highlight w:val="none"/>
        </w:rPr>
        <w:fldChar w:fldCharType="end"/>
      </w:r>
      <w:r>
        <w:rPr>
          <w:rFonts w:hint="eastAsia" w:ascii="宋体" w:hAnsi="宋体"/>
          <w:color w:val="auto"/>
          <w:szCs w:val="21"/>
          <w:highlight w:val="none"/>
        </w:rPr>
        <w:t>广西政府采购云平台（https://www.gcy.zfcg.gxzf.gov.cn/）下载采购文件（操作路径：登录广西政府采购云平台-项目采购-获取采购文件-找到本项目-点击“申请获取采购文件”，</w:t>
      </w:r>
      <w:r>
        <w:rPr>
          <w:rFonts w:hint="eastAsia" w:ascii="Arial" w:hAnsi="Arial" w:cs="Arial"/>
          <w:color w:val="auto"/>
          <w:kern w:val="0"/>
          <w:szCs w:val="21"/>
          <w:highlight w:val="none"/>
        </w:rPr>
        <w:t>并按系统操作获取磋商文件（或在“广西政府采购云平台电子投标客户端</w:t>
      </w:r>
      <w:r>
        <w:rPr>
          <w:rFonts w:ascii="Arial" w:hAnsi="Arial" w:cs="Arial"/>
          <w:color w:val="auto"/>
          <w:kern w:val="0"/>
          <w:szCs w:val="21"/>
          <w:highlight w:val="none"/>
        </w:rPr>
        <w:t>-</w:t>
      </w:r>
      <w:r>
        <w:rPr>
          <w:rFonts w:hint="eastAsia" w:ascii="Arial" w:hAnsi="Arial" w:cs="Arial"/>
          <w:color w:val="auto"/>
          <w:kern w:val="0"/>
          <w:szCs w:val="21"/>
          <w:highlight w:val="none"/>
        </w:rPr>
        <w:t>获取采购文件”跳转到广西政府采购云平台系统获取）。</w:t>
      </w:r>
      <w:r>
        <w:rPr>
          <w:rFonts w:hint="eastAsia"/>
          <w:color w:val="auto"/>
          <w:spacing w:val="13"/>
          <w:highlight w:val="none"/>
        </w:rPr>
        <w:t>未注册的供应商可在广西政府采购云平台完成注册后再行报名。如在操作过程中遇到问题或需技术支持，请致广西政府采购云平台客服热线：95763。提示：磋商公告附件内的磋商采购文件（如有）仅供阅览使用；供应商只有在“广西政府采购云平台”完成获取采购磋商文件申请并下载了采购磋商文件后才视作依法获取采购磋商文件（法律法规所指的供应商获取采购磋商文件时间以供应商完成获取采购磋商文件申请后下载采购磋商文件的时间为准）。</w:t>
      </w:r>
      <w:r>
        <w:rPr>
          <w:rFonts w:hint="eastAsia" w:ascii="Arial" w:hAnsi="Arial" w:cs="Arial"/>
          <w:color w:val="auto"/>
          <w:kern w:val="0"/>
          <w:szCs w:val="21"/>
          <w:highlight w:val="none"/>
        </w:rPr>
        <w:t>电子响应文件制作需要基于广西政府采购云平台获取的采购文件编制，通过其他方式获取采购文件的，将有可能导致供应商无法在广西政府采购云平台平台编制及上传响应文件。</w:t>
      </w:r>
    </w:p>
    <w:p w14:paraId="1E19FBFE">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采购文件售价：</w:t>
      </w:r>
      <w:r>
        <w:rPr>
          <w:rFonts w:ascii="宋体" w:hAnsi="宋体"/>
          <w:color w:val="auto"/>
          <w:szCs w:val="21"/>
          <w:highlight w:val="none"/>
        </w:rPr>
        <w:t>0</w:t>
      </w:r>
      <w:r>
        <w:rPr>
          <w:rFonts w:hint="eastAsia" w:ascii="宋体" w:hAnsi="宋体"/>
          <w:color w:val="auto"/>
          <w:szCs w:val="21"/>
          <w:highlight w:val="none"/>
        </w:rPr>
        <w:t>元。</w:t>
      </w:r>
    </w:p>
    <w:p w14:paraId="4910F255">
      <w:pPr>
        <w:ind w:firstLine="354" w:firstLineChars="147"/>
        <w:rPr>
          <w:rFonts w:hint="eastAsia" w:ascii="黑体" w:hAnsi="黑体" w:eastAsia="黑体"/>
          <w:b/>
          <w:color w:val="auto"/>
          <w:sz w:val="24"/>
          <w:highlight w:val="none"/>
        </w:rPr>
      </w:pPr>
      <w:r>
        <w:rPr>
          <w:rFonts w:hint="eastAsia" w:ascii="黑体" w:hAnsi="黑体" w:eastAsia="黑体"/>
          <w:b/>
          <w:color w:val="auto"/>
          <w:sz w:val="24"/>
          <w:highlight w:val="none"/>
        </w:rPr>
        <w:t>四、响应文件提交</w:t>
      </w:r>
      <w:bookmarkEnd w:id="30"/>
      <w:bookmarkEnd w:id="31"/>
      <w:bookmarkEnd w:id="32"/>
      <w:bookmarkEnd w:id="33"/>
      <w:bookmarkEnd w:id="34"/>
      <w:bookmarkEnd w:id="35"/>
    </w:p>
    <w:p w14:paraId="734E7923">
      <w:pPr>
        <w:spacing w:line="360" w:lineRule="auto"/>
        <w:ind w:firstLine="420" w:firstLineChars="200"/>
        <w:rPr>
          <w:rFonts w:hint="eastAsia" w:ascii="宋体" w:hAnsi="宋体"/>
          <w:bCs/>
          <w:color w:val="auto"/>
          <w:szCs w:val="21"/>
          <w:highlight w:val="none"/>
        </w:rPr>
      </w:pPr>
      <w:bookmarkStart w:id="36" w:name="_Toc28359016"/>
      <w:bookmarkStart w:id="37" w:name="_Toc35393633"/>
      <w:bookmarkStart w:id="38" w:name="_Toc44229882"/>
      <w:bookmarkStart w:id="39" w:name="_Toc28359093"/>
      <w:bookmarkStart w:id="40" w:name="_Toc35393802"/>
      <w:r>
        <w:rPr>
          <w:rFonts w:hint="eastAsia" w:ascii="宋体" w:hAnsi="宋体"/>
          <w:color w:val="auto"/>
          <w:szCs w:val="21"/>
          <w:highlight w:val="none"/>
        </w:rPr>
        <w:t>截止时间：</w:t>
      </w:r>
      <w:r>
        <w:rPr>
          <w:rFonts w:ascii="宋体" w:hAnsi="宋体"/>
          <w:bCs/>
          <w:color w:val="auto"/>
          <w:szCs w:val="21"/>
          <w:highlight w:val="none"/>
        </w:rPr>
        <w:t>202</w:t>
      </w:r>
      <w:r>
        <w:rPr>
          <w:rFonts w:hint="eastAsia" w:ascii="宋体" w:hAnsi="宋体"/>
          <w:bCs/>
          <w:color w:val="auto"/>
          <w:szCs w:val="21"/>
          <w:highlight w:val="none"/>
        </w:rPr>
        <w:t>5年</w:t>
      </w:r>
      <w:r>
        <w:rPr>
          <w:rFonts w:hint="eastAsia" w:ascii="宋体" w:hAnsi="宋体"/>
          <w:bCs/>
          <w:color w:val="auto"/>
          <w:szCs w:val="21"/>
          <w:highlight w:val="none"/>
          <w:lang w:val="en-US" w:eastAsia="zh-CN"/>
        </w:rPr>
        <w:t>11</w:t>
      </w:r>
      <w:r>
        <w:rPr>
          <w:rFonts w:hint="eastAsia" w:ascii="宋体" w:hAnsi="宋体"/>
          <w:bCs/>
          <w:color w:val="auto"/>
          <w:szCs w:val="21"/>
          <w:highlight w:val="none"/>
        </w:rPr>
        <w:t>月</w:t>
      </w:r>
      <w:r>
        <w:rPr>
          <w:rFonts w:hint="eastAsia" w:ascii="宋体" w:hAnsi="宋体"/>
          <w:bCs/>
          <w:color w:val="auto"/>
          <w:szCs w:val="21"/>
          <w:highlight w:val="none"/>
          <w:lang w:val="en-US" w:eastAsia="zh-CN"/>
        </w:rPr>
        <w:t>17</w:t>
      </w:r>
      <w:r>
        <w:rPr>
          <w:rFonts w:hint="eastAsia" w:ascii="宋体" w:hAnsi="宋体"/>
          <w:bCs/>
          <w:color w:val="auto"/>
          <w:szCs w:val="21"/>
          <w:highlight w:val="none"/>
        </w:rPr>
        <w:t>日</w:t>
      </w:r>
      <w:r>
        <w:rPr>
          <w:rFonts w:hint="eastAsia" w:ascii="宋体" w:hAnsi="宋体"/>
          <w:bCs/>
          <w:color w:val="auto"/>
          <w:szCs w:val="21"/>
          <w:highlight w:val="none"/>
          <w:lang w:val="en-US" w:eastAsia="zh-CN"/>
        </w:rPr>
        <w:t>9</w:t>
      </w:r>
      <w:r>
        <w:rPr>
          <w:rFonts w:hint="eastAsia" w:ascii="宋体" w:hAnsi="宋体"/>
          <w:bCs/>
          <w:color w:val="auto"/>
          <w:szCs w:val="21"/>
          <w:highlight w:val="none"/>
        </w:rPr>
        <w:t>时</w:t>
      </w:r>
      <w:r>
        <w:rPr>
          <w:rFonts w:hint="eastAsia" w:ascii="宋体" w:hAnsi="宋体"/>
          <w:bCs/>
          <w:color w:val="auto"/>
          <w:szCs w:val="21"/>
          <w:highlight w:val="none"/>
          <w:lang w:val="en-US" w:eastAsia="zh-CN"/>
        </w:rPr>
        <w:t>30</w:t>
      </w:r>
      <w:r>
        <w:rPr>
          <w:rFonts w:hint="eastAsia" w:ascii="宋体" w:hAnsi="宋体"/>
          <w:bCs/>
          <w:color w:val="auto"/>
          <w:szCs w:val="21"/>
          <w:highlight w:val="none"/>
        </w:rPr>
        <w:t>分（北京时间）</w:t>
      </w:r>
    </w:p>
    <w:p w14:paraId="262DB22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地点：广西政府采购云平台（https://www.gcy.zfcg.gxzf.gov.cn/）</w:t>
      </w:r>
    </w:p>
    <w:p w14:paraId="528A02A5">
      <w:pPr>
        <w:ind w:firstLine="354" w:firstLineChars="147"/>
        <w:rPr>
          <w:rFonts w:hint="eastAsia" w:ascii="黑体" w:hAnsi="黑体" w:eastAsia="黑体"/>
          <w:b/>
          <w:color w:val="auto"/>
          <w:sz w:val="24"/>
          <w:highlight w:val="none"/>
        </w:rPr>
      </w:pPr>
      <w:bookmarkStart w:id="41" w:name="_Toc71365909"/>
      <w:r>
        <w:rPr>
          <w:rFonts w:hint="eastAsia" w:ascii="黑体" w:hAnsi="黑体" w:eastAsia="黑体"/>
          <w:b/>
          <w:color w:val="auto"/>
          <w:sz w:val="24"/>
          <w:highlight w:val="none"/>
        </w:rPr>
        <w:t>五、开启</w:t>
      </w:r>
      <w:bookmarkEnd w:id="36"/>
      <w:bookmarkEnd w:id="37"/>
      <w:bookmarkEnd w:id="38"/>
      <w:bookmarkEnd w:id="39"/>
      <w:bookmarkEnd w:id="40"/>
      <w:bookmarkEnd w:id="41"/>
    </w:p>
    <w:p w14:paraId="532B8F0E">
      <w:pPr>
        <w:spacing w:line="360" w:lineRule="auto"/>
        <w:ind w:firstLine="420" w:firstLineChars="200"/>
        <w:rPr>
          <w:rFonts w:hint="eastAsia" w:ascii="宋体" w:hAnsi="宋体"/>
          <w:bCs/>
          <w:color w:val="auto"/>
          <w:szCs w:val="21"/>
          <w:highlight w:val="none"/>
          <w:u w:val="singl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时间：2</w:t>
      </w:r>
      <w:r>
        <w:rPr>
          <w:rFonts w:ascii="宋体" w:hAnsi="宋体"/>
          <w:color w:val="auto"/>
          <w:szCs w:val="21"/>
          <w:highlight w:val="none"/>
        </w:rPr>
        <w:t>02</w:t>
      </w:r>
      <w:r>
        <w:rPr>
          <w:rFonts w:hint="eastAsia" w:ascii="宋体" w:hAnsi="宋体"/>
          <w:color w:val="auto"/>
          <w:szCs w:val="21"/>
          <w:highlight w:val="none"/>
        </w:rPr>
        <w:t>5</w:t>
      </w:r>
      <w:r>
        <w:rPr>
          <w:rFonts w:hint="eastAsia" w:ascii="宋体" w:hAnsi="宋体"/>
          <w:bCs/>
          <w:color w:val="auto"/>
          <w:szCs w:val="21"/>
          <w:highlight w:val="none"/>
        </w:rPr>
        <w:t>年</w:t>
      </w:r>
      <w:r>
        <w:rPr>
          <w:rFonts w:hint="eastAsia" w:ascii="宋体" w:hAnsi="宋体"/>
          <w:bCs/>
          <w:color w:val="auto"/>
          <w:szCs w:val="21"/>
          <w:highlight w:val="none"/>
          <w:lang w:val="en-US" w:eastAsia="zh-CN"/>
        </w:rPr>
        <w:t>11</w:t>
      </w:r>
      <w:r>
        <w:rPr>
          <w:rFonts w:hint="eastAsia" w:ascii="宋体" w:hAnsi="宋体"/>
          <w:bCs/>
          <w:color w:val="auto"/>
          <w:szCs w:val="21"/>
          <w:highlight w:val="none"/>
        </w:rPr>
        <w:t>月</w:t>
      </w:r>
      <w:r>
        <w:rPr>
          <w:rFonts w:hint="eastAsia" w:ascii="宋体" w:hAnsi="宋体"/>
          <w:bCs/>
          <w:color w:val="auto"/>
          <w:szCs w:val="21"/>
          <w:highlight w:val="none"/>
          <w:lang w:val="en-US" w:eastAsia="zh-CN"/>
        </w:rPr>
        <w:t>17</w:t>
      </w:r>
      <w:r>
        <w:rPr>
          <w:rFonts w:hint="eastAsia" w:ascii="宋体" w:hAnsi="宋体"/>
          <w:bCs/>
          <w:color w:val="auto"/>
          <w:szCs w:val="21"/>
          <w:highlight w:val="none"/>
        </w:rPr>
        <w:t>日</w:t>
      </w:r>
      <w:r>
        <w:rPr>
          <w:rFonts w:hint="eastAsia" w:ascii="宋体" w:hAnsi="宋体"/>
          <w:bCs/>
          <w:color w:val="auto"/>
          <w:szCs w:val="21"/>
          <w:highlight w:val="none"/>
          <w:lang w:val="en-US" w:eastAsia="zh-CN"/>
        </w:rPr>
        <w:t>9</w:t>
      </w:r>
      <w:r>
        <w:rPr>
          <w:rFonts w:hint="eastAsia" w:ascii="宋体" w:hAnsi="宋体"/>
          <w:bCs/>
          <w:color w:val="auto"/>
          <w:szCs w:val="21"/>
          <w:highlight w:val="none"/>
        </w:rPr>
        <w:t>时</w:t>
      </w:r>
      <w:r>
        <w:rPr>
          <w:rFonts w:hint="eastAsia" w:ascii="宋体" w:hAnsi="宋体"/>
          <w:bCs/>
          <w:color w:val="auto"/>
          <w:szCs w:val="21"/>
          <w:highlight w:val="none"/>
          <w:lang w:val="en-US" w:eastAsia="zh-CN"/>
        </w:rPr>
        <w:t>30</w:t>
      </w:r>
      <w:r>
        <w:rPr>
          <w:rFonts w:hint="eastAsia" w:ascii="宋体" w:hAnsi="宋体"/>
          <w:bCs/>
          <w:color w:val="auto"/>
          <w:szCs w:val="21"/>
          <w:highlight w:val="none"/>
        </w:rPr>
        <w:t>分（北京时间）</w:t>
      </w:r>
    </w:p>
    <w:p w14:paraId="5163B59D">
      <w:pPr>
        <w:spacing w:line="360" w:lineRule="auto"/>
        <w:ind w:firstLine="420" w:firstLineChars="200"/>
        <w:rPr>
          <w:rFonts w:hint="eastAsia" w:ascii="宋体" w:hAnsi="宋体"/>
          <w:bCs/>
          <w:color w:val="auto"/>
          <w:szCs w:val="21"/>
          <w:highlight w:val="none"/>
          <w:u w:val="singl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地点：广西政府采购云平台（https://www.gcy.zfcg.gxzf.gov.cn/）</w:t>
      </w:r>
    </w:p>
    <w:p w14:paraId="17AEE414">
      <w:pPr>
        <w:ind w:firstLine="354" w:firstLineChars="147"/>
        <w:rPr>
          <w:rFonts w:hint="eastAsia" w:ascii="黑体" w:hAnsi="黑体" w:eastAsia="黑体"/>
          <w:b/>
          <w:color w:val="auto"/>
          <w:sz w:val="24"/>
          <w:highlight w:val="none"/>
        </w:rPr>
      </w:pPr>
      <w:bookmarkStart w:id="42" w:name="_Toc35393634"/>
      <w:bookmarkStart w:id="43" w:name="_Toc28359017"/>
      <w:bookmarkStart w:id="44" w:name="_Toc35393803"/>
      <w:bookmarkStart w:id="45" w:name="_Toc71365910"/>
      <w:bookmarkStart w:id="46" w:name="_Toc28359094"/>
      <w:bookmarkStart w:id="47" w:name="_Toc44229883"/>
      <w:r>
        <w:rPr>
          <w:rFonts w:hint="eastAsia" w:ascii="黑体" w:hAnsi="黑体" w:eastAsia="黑体"/>
          <w:b/>
          <w:color w:val="auto"/>
          <w:sz w:val="24"/>
          <w:highlight w:val="none"/>
        </w:rPr>
        <w:t>六、公告期限</w:t>
      </w:r>
      <w:bookmarkEnd w:id="42"/>
      <w:bookmarkEnd w:id="43"/>
      <w:bookmarkEnd w:id="44"/>
      <w:bookmarkEnd w:id="45"/>
      <w:bookmarkEnd w:id="46"/>
      <w:bookmarkEnd w:id="47"/>
    </w:p>
    <w:p w14:paraId="481BD3EB">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77213DBF">
      <w:pPr>
        <w:ind w:firstLine="354" w:firstLineChars="147"/>
        <w:rPr>
          <w:rFonts w:hint="eastAsia" w:ascii="黑体" w:hAnsi="黑体" w:eastAsia="黑体"/>
          <w:b/>
          <w:color w:val="auto"/>
          <w:sz w:val="24"/>
          <w:highlight w:val="none"/>
        </w:rPr>
      </w:pPr>
      <w:bookmarkStart w:id="48" w:name="_Toc35393635"/>
      <w:bookmarkStart w:id="49" w:name="_Toc35393804"/>
      <w:bookmarkStart w:id="50" w:name="_Toc44229884"/>
      <w:bookmarkStart w:id="51" w:name="_Toc71365911"/>
      <w:r>
        <w:rPr>
          <w:rFonts w:hint="eastAsia" w:ascii="黑体" w:hAnsi="黑体" w:eastAsia="黑体"/>
          <w:b/>
          <w:color w:val="auto"/>
          <w:sz w:val="24"/>
          <w:highlight w:val="none"/>
        </w:rPr>
        <w:t>七、其他补充事宜</w:t>
      </w:r>
      <w:bookmarkEnd w:id="48"/>
      <w:bookmarkEnd w:id="49"/>
      <w:bookmarkEnd w:id="50"/>
      <w:bookmarkEnd w:id="51"/>
    </w:p>
    <w:p w14:paraId="263FC747">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w:t>
      </w:r>
      <w:r>
        <w:rPr>
          <w:rFonts w:hint="eastAsia" w:ascii="宋体" w:hAnsi="宋体" w:cs="宋体"/>
          <w:color w:val="auto"/>
          <w:kern w:val="0"/>
          <w:szCs w:val="21"/>
          <w:highlight w:val="none"/>
        </w:rPr>
        <w:t>网上查询地址</w:t>
      </w:r>
    </w:p>
    <w:p w14:paraId="442C3A72">
      <w:pPr>
        <w:spacing w:line="360" w:lineRule="auto"/>
        <w:ind w:left="420" w:leftChars="200"/>
        <w:rPr>
          <w:color w:val="auto"/>
          <w:kern w:val="0"/>
          <w:highlight w:val="none"/>
        </w:rPr>
      </w:pPr>
      <w:r>
        <w:rPr>
          <w:rFonts w:hint="eastAsia"/>
          <w:color w:val="auto"/>
          <w:kern w:val="0"/>
          <w:highlight w:val="none"/>
        </w:rPr>
        <w:t>中国政府采购网(http://www.ccgp.gov.cn/)、广西政府采购网(http://zfcg.gxzf.gov.cn/)</w:t>
      </w:r>
      <w:r>
        <w:rPr>
          <w:color w:val="auto"/>
          <w:kern w:val="0"/>
          <w:highlight w:val="none"/>
        </w:rPr>
        <w:br w:type="textWrapping"/>
      </w:r>
      <w:bookmarkStart w:id="52" w:name="_Hlk37429674"/>
      <w:bookmarkStart w:id="53" w:name="_Toc35393636"/>
      <w:bookmarkStart w:id="54" w:name="_Toc28359095"/>
      <w:bookmarkStart w:id="55" w:name="_Toc44229885"/>
      <w:bookmarkStart w:id="56" w:name="_Toc35393805"/>
      <w:bookmarkStart w:id="57" w:name="_Toc28359018"/>
      <w:r>
        <w:rPr>
          <w:rFonts w:hint="eastAsia"/>
          <w:color w:val="auto"/>
          <w:kern w:val="0"/>
          <w:highlight w:val="none"/>
        </w:rPr>
        <w:t>2.采购意向公开链接：</w:t>
      </w:r>
    </w:p>
    <w:p w14:paraId="2E4D1943">
      <w:pPr>
        <w:spacing w:line="360" w:lineRule="auto"/>
        <w:ind w:left="420" w:leftChars="200"/>
        <w:rPr>
          <w:rFonts w:hint="eastAsia"/>
          <w:color w:val="auto"/>
          <w:kern w:val="0"/>
          <w:highlight w:val="none"/>
          <w:lang w:eastAsia="zh-CN"/>
        </w:rPr>
      </w:pPr>
      <w:r>
        <w:rPr>
          <w:rFonts w:hint="eastAsia"/>
          <w:color w:val="auto"/>
          <w:kern w:val="0"/>
          <w:highlight w:val="none"/>
          <w:lang w:eastAsia="zh-CN"/>
        </w:rPr>
        <w:fldChar w:fldCharType="begin"/>
      </w:r>
      <w:r>
        <w:rPr>
          <w:rFonts w:hint="eastAsia"/>
          <w:color w:val="auto"/>
          <w:kern w:val="0"/>
          <w:highlight w:val="none"/>
          <w:lang w:eastAsia="zh-CN"/>
        </w:rPr>
        <w:instrText xml:space="preserve"> HYPERLINK "http://www.ccgp-guangxi.gov.cn/site/detail?categoryCode=ZcyAnnouncement&amp;parentId=66485&amp;articleId=xg57sF4BE3vBN8Cyi2FXTg==" </w:instrText>
      </w:r>
      <w:r>
        <w:rPr>
          <w:rFonts w:hint="eastAsia"/>
          <w:color w:val="auto"/>
          <w:kern w:val="0"/>
          <w:highlight w:val="none"/>
          <w:lang w:eastAsia="zh-CN"/>
        </w:rPr>
        <w:fldChar w:fldCharType="separate"/>
      </w:r>
      <w:r>
        <w:rPr>
          <w:rStyle w:val="43"/>
          <w:rFonts w:hint="eastAsia"/>
          <w:color w:val="auto"/>
          <w:kern w:val="0"/>
          <w:highlight w:val="none"/>
          <w:lang w:eastAsia="zh-CN"/>
        </w:rPr>
        <w:t>http://www.ccgp-guangxi.gov.cn/site/detail?categoryCode=ZcyAnnouncement&amp;parentId=66485&amp;articleId=xg57sF4BE3vBN8Cyi2FXTg==</w:t>
      </w:r>
      <w:r>
        <w:rPr>
          <w:rFonts w:hint="eastAsia"/>
          <w:color w:val="auto"/>
          <w:kern w:val="0"/>
          <w:highlight w:val="none"/>
          <w:lang w:eastAsia="zh-CN"/>
        </w:rPr>
        <w:fldChar w:fldCharType="end"/>
      </w:r>
    </w:p>
    <w:p w14:paraId="3DC8278D">
      <w:pPr>
        <w:spacing w:line="360" w:lineRule="auto"/>
        <w:ind w:left="420" w:leftChars="200"/>
        <w:rPr>
          <w:rFonts w:hint="eastAsia" w:ascii="宋体" w:hAnsi="宋体" w:cs="宋体"/>
          <w:color w:val="auto"/>
          <w:kern w:val="0"/>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s="宋体"/>
          <w:color w:val="auto"/>
          <w:kern w:val="0"/>
          <w:szCs w:val="21"/>
          <w:highlight w:val="none"/>
        </w:rPr>
        <w:t>本项目需要落实的政府采购政策</w:t>
      </w:r>
    </w:p>
    <w:p w14:paraId="15EE2C4F">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170E94D4">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369C41B6">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（3）强制采购节能产品；优先采购节能产品、环境标志产品。</w:t>
      </w:r>
    </w:p>
    <w:p w14:paraId="31AA851B">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（4）政府采购促进残疾人就业政策。</w:t>
      </w:r>
    </w:p>
    <w:p w14:paraId="3C4A9D0A">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（5）政府采购支持监狱企业发展。</w:t>
      </w:r>
    </w:p>
    <w:bookmarkEnd w:id="52"/>
    <w:p w14:paraId="3BFAADC2">
      <w:pPr>
        <w:widowControl/>
        <w:spacing w:line="360" w:lineRule="auto"/>
        <w:ind w:firstLine="420" w:firstLineChars="200"/>
        <w:jc w:val="left"/>
        <w:rPr>
          <w:rFonts w:hint="eastAsia" w:ascii="宋体" w:hAnsi="宋体"/>
          <w:color w:val="auto"/>
          <w:szCs w:val="21"/>
          <w:highlight w:val="none"/>
        </w:rPr>
      </w:pPr>
      <w:r>
        <w:rPr>
          <w:rFonts w:hint="eastAsia" w:ascii="宋体" w:hAnsi="宋体" w:cs="宋体"/>
          <w:color w:val="auto"/>
          <w:kern w:val="0"/>
          <w:szCs w:val="21"/>
          <w:highlight w:val="none"/>
        </w:rPr>
        <w:t>4.供应商</w:t>
      </w:r>
      <w:r>
        <w:rPr>
          <w:rFonts w:hint="eastAsia" w:ascii="宋体" w:hAnsi="宋体"/>
          <w:color w:val="auto"/>
          <w:szCs w:val="21"/>
          <w:highlight w:val="none"/>
        </w:rPr>
        <w:t>竞标注意事项</w:t>
      </w:r>
    </w:p>
    <w:p w14:paraId="720430CA">
      <w:pPr>
        <w:widowControl/>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本项目为全流程电子化采购项目，通过广西政府采购云平台（https://www.gcy.zfcg.gxzf.gov.cn/）实行在线电子竞标，供应商应先安装“广西政府采购云平台电子交易客户端”（请自行前往广西政府采购云平台进行下载），并按照本项目竞争性磋商文件和广西政府采购云平台的要求编制、加密后在提交响应文件截止时间前通过网络上传至广西政府采购云平台（加密的电子响应文件是指</w:t>
      </w:r>
      <w:r>
        <w:rPr>
          <w:rFonts w:hint="eastAsia"/>
          <w:color w:val="auto"/>
          <w:highlight w:val="none"/>
        </w:rPr>
        <w:t>后缀名为“jm</w:t>
      </w:r>
      <w:r>
        <w:rPr>
          <w:color w:val="auto"/>
          <w:highlight w:val="none"/>
        </w:rPr>
        <w:t>bs</w:t>
      </w:r>
      <w:r>
        <w:rPr>
          <w:rFonts w:hint="eastAsia"/>
          <w:color w:val="auto"/>
          <w:highlight w:val="none"/>
        </w:rPr>
        <w:t>”的文件</w:t>
      </w:r>
      <w:r>
        <w:rPr>
          <w:rFonts w:hint="eastAsia" w:ascii="宋体" w:hAnsi="宋体"/>
          <w:color w:val="auto"/>
          <w:szCs w:val="21"/>
          <w:highlight w:val="none"/>
        </w:rPr>
        <w:t>），</w:t>
      </w:r>
      <w:r>
        <w:rPr>
          <w:rFonts w:hint="eastAsia" w:ascii="宋体" w:hAnsi="宋体"/>
          <w:b/>
          <w:color w:val="auto"/>
          <w:szCs w:val="21"/>
          <w:highlight w:val="none"/>
        </w:rPr>
        <w:t>供应商在广西政府采购云平台提交电子响应文件时，请填写参加远程采购活动经办人联系方式。</w:t>
      </w:r>
      <w:r>
        <w:rPr>
          <w:rFonts w:hint="eastAsia" w:ascii="宋体" w:hAnsi="宋体"/>
          <w:color w:val="auto"/>
          <w:szCs w:val="21"/>
          <w:highlight w:val="none"/>
        </w:rPr>
        <w:t>供应商登录广西政府采购云平台，依次进入“服务中心-项目采购-操作流程-电子招投标-</w:t>
      </w:r>
      <w:r>
        <w:rPr>
          <w:rFonts w:hint="eastAsia"/>
          <w:color w:val="auto"/>
          <w:highlight w:val="none"/>
        </w:rPr>
        <w:t>政府采购项目电子交易管理操作指南</w:t>
      </w:r>
      <w:r>
        <w:rPr>
          <w:color w:val="auto"/>
          <w:highlight w:val="none"/>
        </w:rPr>
        <w:t>-</w:t>
      </w:r>
      <w:r>
        <w:rPr>
          <w:rFonts w:hint="eastAsia"/>
          <w:color w:val="auto"/>
          <w:highlight w:val="none"/>
        </w:rPr>
        <w:t>供应商</w:t>
      </w:r>
      <w:r>
        <w:rPr>
          <w:rFonts w:hint="eastAsia" w:ascii="宋体" w:hAnsi="宋体"/>
          <w:color w:val="auto"/>
          <w:szCs w:val="21"/>
          <w:highlight w:val="none"/>
        </w:rPr>
        <w:t>”查看电子竞标具体操作流程。</w:t>
      </w:r>
    </w:p>
    <w:p w14:paraId="085181D3">
      <w:pPr>
        <w:widowControl/>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w:t>
      </w:r>
      <w:r>
        <w:rPr>
          <w:rFonts w:hint="eastAsia" w:ascii="宋体" w:hAnsi="宋体" w:cs="宋体"/>
          <w:color w:val="auto"/>
          <w:kern w:val="0"/>
          <w:szCs w:val="21"/>
          <w:highlight w:val="none"/>
        </w:rPr>
        <w:t>广西政府采购云平台，</w:t>
      </w:r>
      <w:r>
        <w:rPr>
          <w:rFonts w:hint="eastAsia" w:ascii="宋体" w:hAnsi="宋体"/>
          <w:color w:val="auto"/>
          <w:szCs w:val="21"/>
          <w:highlight w:val="none"/>
        </w:rPr>
        <w:t>依次进入“服务中心-入驻与配置”中查看CA数字证</w:t>
      </w:r>
      <w:bookmarkStart w:id="100" w:name="_GoBack"/>
      <w:bookmarkEnd w:id="100"/>
      <w:r>
        <w:rPr>
          <w:rFonts w:hint="eastAsia" w:ascii="宋体" w:hAnsi="宋体"/>
          <w:color w:val="auto"/>
          <w:szCs w:val="21"/>
          <w:highlight w:val="none"/>
        </w:rPr>
        <w:t>书办理操作流程。</w:t>
      </w:r>
      <w:r>
        <w:rPr>
          <w:rFonts w:hint="eastAsia" w:ascii="宋体" w:hAnsi="宋体" w:cs="宋体"/>
          <w:bCs/>
          <w:color w:val="auto"/>
          <w:kern w:val="0"/>
          <w:szCs w:val="21"/>
          <w:highlight w:val="none"/>
        </w:rPr>
        <w:t>如在操作过程中遇到问题或者需要技术支持，请致电广西政府采购云平台客服热线：</w:t>
      </w:r>
      <w:r>
        <w:rPr>
          <w:rFonts w:ascii="宋体" w:hAnsi="宋体" w:cs="宋体"/>
          <w:bCs/>
          <w:color w:val="auto"/>
          <w:kern w:val="0"/>
          <w:szCs w:val="21"/>
          <w:highlight w:val="none"/>
        </w:rPr>
        <w:t>95763</w:t>
      </w:r>
      <w:r>
        <w:rPr>
          <w:rFonts w:hint="eastAsia" w:ascii="宋体" w:hAnsi="宋体"/>
          <w:color w:val="auto"/>
          <w:szCs w:val="21"/>
          <w:highlight w:val="none"/>
        </w:rPr>
        <w:t>）。</w:t>
      </w:r>
    </w:p>
    <w:p w14:paraId="22A5ABD5">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（3）CA证书在线解密：首次响应文件开启时，需携带制作响应文件时用来加密的有效数字证书（CA认证）登录广西政府采购云平台电子开标大厅现场按规定时间对加密的响应文件进行解密，否则后果自负。</w:t>
      </w:r>
    </w:p>
    <w:p w14:paraId="523E76E2">
      <w:pPr>
        <w:widowControl/>
        <w:spacing w:line="360" w:lineRule="auto"/>
        <w:ind w:firstLine="420" w:firstLineChars="200"/>
        <w:jc w:val="left"/>
        <w:rPr>
          <w:rFonts w:hint="eastAsia" w:ascii="宋体" w:hAnsi="宋体"/>
          <w:bCs/>
          <w:color w:val="auto"/>
          <w:szCs w:val="21"/>
          <w:highlight w:val="none"/>
        </w:rPr>
      </w:pPr>
      <w:r>
        <w:rPr>
          <w:rFonts w:hint="eastAsia" w:ascii="宋体" w:hAnsi="宋体"/>
          <w:color w:val="auto"/>
          <w:szCs w:val="21"/>
          <w:highlight w:val="none"/>
        </w:rPr>
        <w:t>注：1）为确保网上操作合法、有效和安全，请供应商确保在电子竞标过程中能够对相关数据电文进行加密和使用电子签章，妥善保管CA数字证书并使用有效的CA数字证书参与整个采购活动。2）</w:t>
      </w:r>
      <w:r>
        <w:rPr>
          <w:rFonts w:hint="eastAsia" w:ascii="宋体" w:hAnsi="宋体"/>
          <w:bCs/>
          <w:color w:val="auto"/>
          <w:szCs w:val="21"/>
          <w:highlight w:val="none"/>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6FCBA83B">
      <w:pPr>
        <w:spacing w:line="360" w:lineRule="auto"/>
        <w:ind w:firstLine="420" w:firstLineChars="200"/>
        <w:rPr>
          <w:rFonts w:hint="eastAsia" w:ascii="宋体" w:hAnsi="宋体"/>
          <w:color w:val="auto"/>
          <w:szCs w:val="21"/>
          <w:highlight w:val="none"/>
          <w:u w:val="single"/>
        </w:rPr>
      </w:pPr>
      <w:r>
        <w:rPr>
          <w:rFonts w:hint="eastAsia" w:ascii="宋体" w:hAnsi="宋体" w:cs="宋体"/>
          <w:color w:val="auto"/>
          <w:kern w:val="0"/>
          <w:szCs w:val="21"/>
          <w:highlight w:val="none"/>
        </w:rPr>
        <w:t>（4）供应商需要在具备有摄像头及语音功能且互联网网络状况良好的电脑登录广西政府采购云平台远程开标大厅参与本次磋商，否则后果自负。</w:t>
      </w:r>
    </w:p>
    <w:p w14:paraId="76697159">
      <w:pPr>
        <w:ind w:firstLine="354" w:firstLineChars="147"/>
        <w:rPr>
          <w:rFonts w:hint="eastAsia" w:ascii="黑体" w:hAnsi="黑体" w:eastAsia="黑体"/>
          <w:b/>
          <w:color w:val="auto"/>
          <w:sz w:val="24"/>
          <w:highlight w:val="none"/>
        </w:rPr>
      </w:pPr>
      <w:r>
        <w:rPr>
          <w:rFonts w:hint="eastAsia" w:ascii="黑体" w:hAnsi="黑体" w:eastAsia="黑体"/>
          <w:b/>
          <w:color w:val="auto"/>
          <w:sz w:val="24"/>
          <w:highlight w:val="none"/>
        </w:rPr>
        <w:t>八、凡对本次采购提出询问，请按</w:t>
      </w:r>
      <w:r>
        <w:rPr>
          <w:rFonts w:ascii="黑体" w:hAnsi="黑体" w:eastAsia="黑体"/>
          <w:b/>
          <w:color w:val="auto"/>
          <w:sz w:val="24"/>
          <w:highlight w:val="none"/>
        </w:rPr>
        <w:t>以下方式</w:t>
      </w:r>
      <w:r>
        <w:rPr>
          <w:rFonts w:hint="eastAsia" w:ascii="黑体" w:hAnsi="黑体" w:eastAsia="黑体"/>
          <w:b/>
          <w:color w:val="auto"/>
          <w:sz w:val="24"/>
          <w:highlight w:val="none"/>
        </w:rPr>
        <w:t>联系。</w:t>
      </w:r>
      <w:bookmarkEnd w:id="53"/>
      <w:bookmarkEnd w:id="54"/>
      <w:bookmarkEnd w:id="55"/>
      <w:bookmarkEnd w:id="56"/>
      <w:bookmarkEnd w:id="57"/>
    </w:p>
    <w:p w14:paraId="3E6AF092">
      <w:pPr>
        <w:spacing w:line="360" w:lineRule="auto"/>
        <w:ind w:firstLine="420" w:firstLineChars="200"/>
        <w:rPr>
          <w:rFonts w:hint="eastAsia" w:ascii="宋体" w:hAnsi="宋体" w:cs="宋体"/>
          <w:color w:val="auto"/>
          <w:kern w:val="0"/>
          <w:szCs w:val="21"/>
          <w:highlight w:val="none"/>
        </w:rPr>
      </w:pPr>
      <w:bookmarkStart w:id="58" w:name="_Toc35393637"/>
      <w:bookmarkStart w:id="59" w:name="_Toc35393806"/>
      <w:bookmarkStart w:id="60" w:name="_Toc28359019"/>
      <w:bookmarkStart w:id="61" w:name="_Toc28359096"/>
      <w:r>
        <w:rPr>
          <w:rFonts w:hint="eastAsia" w:ascii="宋体" w:hAnsi="宋体" w:cs="宋体"/>
          <w:color w:val="auto"/>
          <w:kern w:val="0"/>
          <w:szCs w:val="21"/>
          <w:highlight w:val="none"/>
        </w:rPr>
        <w:t>1.采购人信息</w:t>
      </w:r>
      <w:bookmarkEnd w:id="58"/>
      <w:bookmarkEnd w:id="59"/>
      <w:bookmarkEnd w:id="60"/>
      <w:bookmarkEnd w:id="61"/>
    </w:p>
    <w:bookmarkEnd w:id="11"/>
    <w:p w14:paraId="040A3F6F">
      <w:pPr>
        <w:spacing w:line="40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名称：</w:t>
      </w:r>
      <w:r>
        <w:rPr>
          <w:rFonts w:hint="eastAsia" w:ascii="宋体" w:hAnsi="宋体"/>
          <w:color w:val="auto"/>
          <w:szCs w:val="21"/>
          <w:highlight w:val="none"/>
          <w:lang w:eastAsia="zh-CN"/>
        </w:rPr>
        <w:t>广西壮族自治区就业服务中心</w:t>
      </w:r>
    </w:p>
    <w:p w14:paraId="63F49AA1">
      <w:pPr>
        <w:spacing w:line="40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地址：</w:t>
      </w:r>
      <w:r>
        <w:rPr>
          <w:rFonts w:hint="eastAsia" w:ascii="宋体" w:hAnsi="宋体"/>
          <w:color w:val="auto"/>
          <w:szCs w:val="21"/>
          <w:highlight w:val="none"/>
          <w:lang w:eastAsia="zh-CN"/>
        </w:rPr>
        <w:t>南宁市桂春路9号</w:t>
      </w:r>
    </w:p>
    <w:p w14:paraId="2E112398">
      <w:pPr>
        <w:spacing w:line="400" w:lineRule="exact"/>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联系人：粟工</w:t>
      </w:r>
    </w:p>
    <w:p w14:paraId="198B5F60">
      <w:pPr>
        <w:spacing w:line="400" w:lineRule="exact"/>
        <w:ind w:firstLine="420" w:firstLineChars="200"/>
        <w:rPr>
          <w:rFonts w:hint="default" w:ascii="宋体" w:hAnsi="宋体" w:eastAsia="宋体" w:cs="仿宋"/>
          <w:color w:val="auto"/>
          <w:kern w:val="0"/>
          <w:szCs w:val="21"/>
          <w:highlight w:val="none"/>
          <w:lang w:val="en-US" w:eastAsia="zh-CN"/>
        </w:rPr>
      </w:pPr>
      <w:r>
        <w:rPr>
          <w:rFonts w:hint="eastAsia" w:ascii="宋体" w:hAnsi="宋体"/>
          <w:color w:val="auto"/>
          <w:szCs w:val="21"/>
          <w:highlight w:val="none"/>
        </w:rPr>
        <w:t>联系电话：</w:t>
      </w:r>
      <w:r>
        <w:rPr>
          <w:rFonts w:hint="eastAsia" w:ascii="宋体" w:hAnsi="宋体"/>
          <w:color w:val="auto"/>
          <w:szCs w:val="21"/>
          <w:highlight w:val="none"/>
          <w:lang w:val="en-US" w:eastAsia="zh-CN"/>
        </w:rPr>
        <w:t>0771-5516612</w:t>
      </w:r>
    </w:p>
    <w:p w14:paraId="7A94C0FC">
      <w:pPr>
        <w:spacing w:line="400" w:lineRule="exact"/>
        <w:ind w:firstLine="420" w:firstLineChars="200"/>
        <w:rPr>
          <w:rFonts w:hint="eastAsia" w:ascii="宋体" w:hAnsi="宋体" w:cs="仿宋"/>
          <w:color w:val="auto"/>
          <w:kern w:val="0"/>
          <w:szCs w:val="21"/>
          <w:highlight w:val="none"/>
        </w:rPr>
      </w:pPr>
      <w:r>
        <w:rPr>
          <w:rFonts w:hint="eastAsia" w:ascii="宋体" w:hAnsi="宋体" w:cs="仿宋"/>
          <w:color w:val="auto"/>
          <w:kern w:val="0"/>
          <w:szCs w:val="21"/>
          <w:highlight w:val="none"/>
        </w:rPr>
        <w:t>2.采购代理机构信息</w:t>
      </w:r>
    </w:p>
    <w:p w14:paraId="6F1DFEBF">
      <w:pPr>
        <w:spacing w:line="400" w:lineRule="exact"/>
        <w:ind w:firstLine="420" w:firstLineChars="200"/>
        <w:rPr>
          <w:rFonts w:hint="eastAsia" w:ascii="宋体" w:hAnsi="宋体" w:cs="仿宋"/>
          <w:color w:val="auto"/>
          <w:szCs w:val="21"/>
          <w:highlight w:val="none"/>
        </w:rPr>
      </w:pPr>
      <w:bookmarkStart w:id="62" w:name="_Toc28359021"/>
      <w:bookmarkStart w:id="63" w:name="_Toc35393808"/>
      <w:bookmarkStart w:id="64" w:name="_Toc35393639"/>
      <w:bookmarkStart w:id="65" w:name="_Toc28359098"/>
      <w:r>
        <w:rPr>
          <w:rFonts w:hint="eastAsia" w:ascii="宋体" w:hAnsi="宋体" w:cs="仿宋"/>
          <w:color w:val="auto"/>
          <w:szCs w:val="21"/>
          <w:highlight w:val="none"/>
        </w:rPr>
        <w:t>名称：广西国栋招标有限公司</w:t>
      </w:r>
    </w:p>
    <w:p w14:paraId="3A4E4A9A">
      <w:pPr>
        <w:spacing w:line="400" w:lineRule="exact"/>
        <w:ind w:firstLine="420" w:firstLineChars="200"/>
        <w:rPr>
          <w:rFonts w:hint="eastAsia" w:ascii="宋体" w:hAnsi="宋体" w:cs="仿宋"/>
          <w:color w:val="auto"/>
          <w:szCs w:val="21"/>
          <w:highlight w:val="none"/>
        </w:rPr>
      </w:pPr>
      <w:r>
        <w:rPr>
          <w:rFonts w:hint="eastAsia" w:ascii="宋体" w:hAnsi="宋体" w:cs="仿宋"/>
          <w:color w:val="auto"/>
          <w:szCs w:val="21"/>
          <w:highlight w:val="none"/>
        </w:rPr>
        <w:t>地址：南宁市青秀区双拥路40-1号东方明珠花园1栋1单元9层</w:t>
      </w:r>
    </w:p>
    <w:p w14:paraId="36557132">
      <w:pPr>
        <w:spacing w:line="400" w:lineRule="exact"/>
        <w:ind w:firstLine="420" w:firstLineChars="200"/>
        <w:rPr>
          <w:rFonts w:hint="eastAsia" w:ascii="宋体" w:hAnsi="宋体" w:cs="仿宋"/>
          <w:color w:val="auto"/>
          <w:szCs w:val="21"/>
          <w:highlight w:val="none"/>
        </w:rPr>
      </w:pPr>
      <w:r>
        <w:rPr>
          <w:rFonts w:hint="eastAsia" w:ascii="宋体" w:hAnsi="宋体" w:cs="仿宋"/>
          <w:color w:val="auto"/>
          <w:szCs w:val="21"/>
          <w:highlight w:val="none"/>
        </w:rPr>
        <w:t>联系人：陈工</w:t>
      </w:r>
    </w:p>
    <w:p w14:paraId="7DC42C9B">
      <w:pPr>
        <w:spacing w:line="400" w:lineRule="exact"/>
        <w:ind w:firstLine="420" w:firstLineChars="200"/>
        <w:rPr>
          <w:rFonts w:hint="eastAsia" w:ascii="宋体" w:hAnsi="宋体" w:cs="仿宋"/>
          <w:color w:val="auto"/>
          <w:szCs w:val="21"/>
          <w:highlight w:val="none"/>
        </w:rPr>
      </w:pPr>
      <w:r>
        <w:rPr>
          <w:rFonts w:hint="eastAsia" w:ascii="宋体" w:hAnsi="宋体" w:cs="仿宋"/>
          <w:color w:val="auto"/>
          <w:szCs w:val="21"/>
          <w:highlight w:val="none"/>
        </w:rPr>
        <w:t>联系电话：0771-5894688</w:t>
      </w:r>
    </w:p>
    <w:p w14:paraId="4B5922C8">
      <w:pPr>
        <w:spacing w:line="400" w:lineRule="exact"/>
        <w:ind w:firstLine="420" w:firstLineChars="200"/>
        <w:rPr>
          <w:rFonts w:hint="eastAsia" w:ascii="宋体" w:hAnsi="宋体" w:cs="仿宋"/>
          <w:color w:val="auto"/>
          <w:kern w:val="0"/>
          <w:szCs w:val="21"/>
          <w:highlight w:val="none"/>
        </w:rPr>
      </w:pPr>
      <w:r>
        <w:rPr>
          <w:rFonts w:hint="eastAsia" w:ascii="宋体" w:hAnsi="宋体" w:cs="仿宋"/>
          <w:color w:val="auto"/>
          <w:kern w:val="0"/>
          <w:szCs w:val="21"/>
          <w:highlight w:val="none"/>
        </w:rPr>
        <w:t>3.项目联系方式</w:t>
      </w:r>
      <w:bookmarkEnd w:id="62"/>
      <w:bookmarkEnd w:id="63"/>
      <w:bookmarkEnd w:id="64"/>
      <w:bookmarkEnd w:id="65"/>
    </w:p>
    <w:p w14:paraId="6272EBE8">
      <w:pPr>
        <w:spacing w:line="400" w:lineRule="exact"/>
        <w:ind w:firstLine="420" w:firstLineChars="200"/>
        <w:rPr>
          <w:rFonts w:hint="eastAsia" w:ascii="宋体" w:hAnsi="宋体" w:cs="仿宋"/>
          <w:color w:val="auto"/>
          <w:kern w:val="0"/>
          <w:szCs w:val="21"/>
          <w:highlight w:val="none"/>
        </w:rPr>
      </w:pPr>
      <w:r>
        <w:rPr>
          <w:rFonts w:hint="eastAsia" w:ascii="宋体" w:hAnsi="宋体" w:cs="仿宋"/>
          <w:color w:val="auto"/>
          <w:kern w:val="0"/>
          <w:szCs w:val="21"/>
          <w:highlight w:val="none"/>
        </w:rPr>
        <w:t>项目联系人：</w:t>
      </w:r>
      <w:r>
        <w:rPr>
          <w:rFonts w:hint="eastAsia" w:ascii="宋体" w:hAnsi="宋体" w:cs="宋体"/>
          <w:color w:val="auto"/>
          <w:kern w:val="0"/>
          <w:szCs w:val="21"/>
          <w:highlight w:val="none"/>
        </w:rPr>
        <w:t>陈工</w:t>
      </w:r>
    </w:p>
    <w:p w14:paraId="6B2B9575">
      <w:pPr>
        <w:spacing w:line="400" w:lineRule="exact"/>
        <w:ind w:firstLine="420" w:firstLineChars="200"/>
        <w:rPr>
          <w:rFonts w:hint="eastAsia" w:ascii="宋体" w:hAnsi="宋体" w:cs="仿宋"/>
          <w:color w:val="auto"/>
          <w:kern w:val="0"/>
          <w:szCs w:val="21"/>
          <w:highlight w:val="none"/>
        </w:rPr>
      </w:pPr>
      <w:r>
        <w:rPr>
          <w:rFonts w:hint="eastAsia" w:ascii="宋体" w:hAnsi="宋体" w:cs="仿宋"/>
          <w:color w:val="auto"/>
          <w:kern w:val="0"/>
          <w:szCs w:val="21"/>
          <w:highlight w:val="none"/>
        </w:rPr>
        <w:t>电话：0771-5894688</w:t>
      </w:r>
    </w:p>
    <w:p w14:paraId="5C419487">
      <w:pPr>
        <w:pStyle w:val="15"/>
        <w:spacing w:line="360" w:lineRule="auto"/>
        <w:rPr>
          <w:rFonts w:hint="eastAsia" w:ascii="宋体" w:hAnsi="宋体"/>
          <w:color w:val="auto"/>
          <w:szCs w:val="21"/>
          <w:highlight w:val="none"/>
          <w:u w:val="single"/>
        </w:rPr>
      </w:pPr>
      <w:bookmarkStart w:id="66" w:name="_Toc74323457"/>
    </w:p>
    <w:p w14:paraId="4A61397D">
      <w:pPr>
        <w:spacing w:line="360" w:lineRule="auto"/>
        <w:ind w:firstLine="5678" w:firstLineChars="2704"/>
        <w:jc w:val="right"/>
        <w:rPr>
          <w:rFonts w:hint="eastAsia" w:ascii="宋体" w:hAnsi="宋体"/>
          <w:color w:val="auto"/>
          <w:szCs w:val="21"/>
          <w:highlight w:val="none"/>
        </w:rPr>
      </w:pPr>
      <w:r>
        <w:rPr>
          <w:rFonts w:hint="eastAsia" w:ascii="宋体" w:hAnsi="宋体"/>
          <w:color w:val="auto"/>
          <w:szCs w:val="21"/>
          <w:highlight w:val="none"/>
        </w:rPr>
        <w:t>广西国栋招标有限公司</w:t>
      </w:r>
    </w:p>
    <w:p w14:paraId="40A28347">
      <w:pPr>
        <w:spacing w:line="360" w:lineRule="auto"/>
        <w:ind w:firstLine="5678" w:firstLineChars="2704"/>
        <w:jc w:val="right"/>
        <w:rPr>
          <w:rFonts w:hint="eastAsia" w:ascii="宋体" w:hAnsi="宋体"/>
          <w:color w:val="auto"/>
          <w:szCs w:val="21"/>
          <w:highlight w:val="none"/>
        </w:rPr>
      </w:pPr>
      <w:r>
        <w:rPr>
          <w:rFonts w:hint="eastAsia" w:ascii="宋体" w:hAnsi="宋体"/>
          <w:color w:val="auto"/>
          <w:szCs w:val="21"/>
          <w:highlight w:val="none"/>
        </w:rPr>
        <w:t>2025年</w:t>
      </w:r>
      <w:r>
        <w:rPr>
          <w:rFonts w:hint="eastAsia" w:ascii="宋体" w:hAnsi="宋体"/>
          <w:color w:val="auto"/>
          <w:szCs w:val="21"/>
          <w:highlight w:val="none"/>
          <w:lang w:val="en-US" w:eastAsia="zh-CN"/>
        </w:rPr>
        <w:t>11</w:t>
      </w:r>
      <w:r>
        <w:rPr>
          <w:rFonts w:hint="eastAsia" w:ascii="宋体" w:hAnsi="宋体"/>
          <w:color w:val="auto"/>
          <w:szCs w:val="21"/>
          <w:highlight w:val="none"/>
        </w:rPr>
        <w:t>月</w:t>
      </w:r>
      <w:r>
        <w:rPr>
          <w:rFonts w:hint="eastAsia" w:ascii="宋体" w:hAnsi="宋体"/>
          <w:color w:val="auto"/>
          <w:szCs w:val="21"/>
          <w:highlight w:val="none"/>
          <w:lang w:val="en-US" w:eastAsia="zh-CN"/>
        </w:rPr>
        <w:t>5</w:t>
      </w:r>
      <w:r>
        <w:rPr>
          <w:rFonts w:hint="eastAsia" w:ascii="宋体" w:hAnsi="宋体"/>
          <w:color w:val="auto"/>
          <w:szCs w:val="21"/>
          <w:highlight w:val="none"/>
        </w:rPr>
        <w:t>日</w:t>
      </w:r>
    </w:p>
    <w:p w14:paraId="6C004D6D">
      <w:pPr>
        <w:jc w:val="left"/>
        <w:rPr>
          <w:rFonts w:hint="eastAsia" w:ascii="宋体" w:hAnsi="宋体"/>
          <w:color w:val="auto"/>
          <w:szCs w:val="21"/>
          <w:highlight w:val="none"/>
        </w:rPr>
      </w:pPr>
      <w:r>
        <w:rPr>
          <w:rFonts w:hint="eastAsia" w:ascii="宋体" w:hAnsi="宋体"/>
          <w:color w:val="auto"/>
          <w:szCs w:val="21"/>
          <w:highlight w:val="none"/>
        </w:rPr>
        <w:br w:type="page"/>
      </w:r>
    </w:p>
    <w:p w14:paraId="077CDB31">
      <w:pPr>
        <w:spacing w:line="360" w:lineRule="auto"/>
        <w:ind w:firstLine="5678" w:firstLineChars="2704"/>
        <w:jc w:val="right"/>
        <w:rPr>
          <w:rFonts w:hint="eastAsia" w:ascii="宋体" w:hAnsi="宋体"/>
          <w:color w:val="auto"/>
          <w:szCs w:val="21"/>
          <w:highlight w:val="none"/>
        </w:rPr>
      </w:pPr>
    </w:p>
    <w:p w14:paraId="2DD6699C">
      <w:pPr>
        <w:pStyle w:val="2"/>
        <w:jc w:val="center"/>
        <w:rPr>
          <w:color w:val="auto"/>
          <w:highlight w:val="none"/>
        </w:rPr>
      </w:pPr>
      <w:r>
        <w:rPr>
          <w:rFonts w:hint="eastAsia"/>
          <w:color w:val="auto"/>
          <w:highlight w:val="none"/>
        </w:rPr>
        <w:t>第二章供应商须知</w:t>
      </w:r>
      <w:bookmarkEnd w:id="66"/>
    </w:p>
    <w:p w14:paraId="0D7A7604">
      <w:pPr>
        <w:pStyle w:val="3"/>
        <w:jc w:val="center"/>
        <w:rPr>
          <w:color w:val="auto"/>
          <w:highlight w:val="none"/>
        </w:rPr>
      </w:pPr>
      <w:r>
        <w:rPr>
          <w:rFonts w:hint="eastAsia"/>
          <w:color w:val="auto"/>
          <w:highlight w:val="none"/>
        </w:rPr>
        <w:t>供应商须知前附表</w:t>
      </w:r>
    </w:p>
    <w:p w14:paraId="31BFCAA6">
      <w:pPr>
        <w:spacing w:line="400" w:lineRule="exact"/>
        <w:jc w:val="center"/>
        <w:rPr>
          <w:rFonts w:hint="eastAsia" w:ascii="宋体" w:hAnsi="宋体"/>
          <w:b/>
          <w:color w:val="auto"/>
          <w:sz w:val="32"/>
          <w:szCs w:val="32"/>
          <w:highlight w:val="none"/>
        </w:rPr>
      </w:pPr>
    </w:p>
    <w:tbl>
      <w:tblPr>
        <w:tblStyle w:val="36"/>
        <w:tblW w:w="89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74B0D7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992" w:type="dxa"/>
          </w:tcPr>
          <w:p w14:paraId="0F761DE4">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7912" w:type="dxa"/>
          </w:tcPr>
          <w:p w14:paraId="728AB871">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内    容</w:t>
            </w:r>
          </w:p>
        </w:tc>
      </w:tr>
      <w:tr w14:paraId="43176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B226F5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7912" w:type="dxa"/>
            <w:vAlign w:val="center"/>
          </w:tcPr>
          <w:p w14:paraId="7DF66648">
            <w:pPr>
              <w:spacing w:line="360" w:lineRule="auto"/>
              <w:rPr>
                <w:rFonts w:hint="eastAsia" w:ascii="宋体" w:hAnsi="宋体"/>
                <w:color w:val="auto"/>
                <w:szCs w:val="21"/>
                <w:highlight w:val="none"/>
              </w:rPr>
            </w:pPr>
            <w:r>
              <w:rPr>
                <w:rFonts w:hint="eastAsia" w:ascii="宋体" w:hAnsi="宋体" w:cs="宋体"/>
                <w:bCs/>
                <w:color w:val="auto"/>
                <w:szCs w:val="21"/>
                <w:highlight w:val="none"/>
              </w:rPr>
              <w:t>1.供应商的资格条件</w:t>
            </w:r>
            <w:r>
              <w:rPr>
                <w:rFonts w:hint="eastAsia" w:ascii="宋体" w:hAnsi="宋体" w:cs="宋体"/>
                <w:color w:val="auto"/>
                <w:szCs w:val="21"/>
                <w:highlight w:val="none"/>
              </w:rPr>
              <w:t>：详见竞争性磋商公告</w:t>
            </w:r>
          </w:p>
          <w:p w14:paraId="2A5B7B7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Cs/>
                <w:color w:val="auto"/>
                <w:szCs w:val="21"/>
                <w:highlight w:val="none"/>
              </w:rPr>
              <w:t>供应商</w:t>
            </w:r>
            <w:r>
              <w:rPr>
                <w:rFonts w:hint="eastAsia" w:ascii="宋体" w:hAnsi="宋体" w:cs="宋体"/>
                <w:color w:val="auto"/>
                <w:szCs w:val="21"/>
                <w:highlight w:val="none"/>
              </w:rPr>
              <w:t>出现下列情形之一的，不得参加政府采购活动：</w:t>
            </w:r>
          </w:p>
          <w:p w14:paraId="38D1900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E1CD98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2.2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04AD52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677073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5.1</w:t>
            </w:r>
          </w:p>
        </w:tc>
        <w:tc>
          <w:tcPr>
            <w:tcW w:w="7912" w:type="dxa"/>
            <w:vAlign w:val="center"/>
          </w:tcPr>
          <w:p w14:paraId="45F35B8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是否接受联合体竞标:详见竞争性磋商公告。</w:t>
            </w:r>
          </w:p>
        </w:tc>
      </w:tr>
      <w:tr w14:paraId="072AB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276F4A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.2</w:t>
            </w:r>
          </w:p>
        </w:tc>
        <w:tc>
          <w:tcPr>
            <w:tcW w:w="7912" w:type="dxa"/>
            <w:vAlign w:val="center"/>
          </w:tcPr>
          <w:p w14:paraId="2F51DC68">
            <w:pPr>
              <w:spacing w:line="360" w:lineRule="auto"/>
              <w:rPr>
                <w:rFonts w:hint="eastAsia" w:ascii="宋体" w:hAnsi="宋体" w:cs="宋体"/>
                <w:color w:val="auto"/>
                <w:szCs w:val="21"/>
                <w:highlight w:val="none"/>
              </w:rPr>
            </w:pPr>
            <w:r>
              <w:rPr>
                <w:rFonts w:hint="eastAsia" w:ascii="宋体" w:hAnsi="宋体"/>
                <w:color w:val="auto"/>
                <w:szCs w:val="21"/>
                <w:highlight w:val="none"/>
              </w:rPr>
              <w:t>如接受联合体竞标，联合体竞标要求如下：</w:t>
            </w:r>
          </w:p>
          <w:p w14:paraId="686AEC3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w:t>
            </w:r>
            <w:r>
              <w:rPr>
                <w:rFonts w:hint="eastAsia" w:ascii="宋体" w:hAnsi="宋体" w:cs="宋体"/>
                <w:color w:val="auto"/>
                <w:szCs w:val="21"/>
                <w:highlight w:val="none"/>
              </w:rPr>
              <w:t>两个以上供应商可以组成一个竞标联合体，以一个供应商的身份共同参加竞标。联合体竞标的，须提供《联合体竞标协议书》（格式后附）。</w:t>
            </w:r>
          </w:p>
          <w:p w14:paraId="1F86360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以联合体形式参加竞标的，联合体各方均必须具备《中华人民共和国政府采购法》第二十二条第一款规定的基本条件（涉及行政许可范围的内容，联合体各方均应具备相应资质）。本项目有特殊要求规定供应商特定条件的，联合体各方中至少有一方必须符合磋商文件规定的特定条件。</w:t>
            </w:r>
          </w:p>
          <w:p w14:paraId="513DAD9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w:t>
            </w:r>
            <w:r>
              <w:rPr>
                <w:rFonts w:hint="eastAsia" w:ascii="宋体" w:hAnsi="宋体" w:cs="宋体"/>
                <w:color w:val="auto"/>
                <w:szCs w:val="21"/>
                <w:highlight w:val="none"/>
              </w:rPr>
              <w:t>联合体各方之间必须签订联合竞标协议，协议书必须明确主体方（或者牵头方）并明确约定联合体各方承担的工作和相应的责任（</w:t>
            </w:r>
            <w:r>
              <w:rPr>
                <w:rFonts w:hint="eastAsia" w:ascii="宋体" w:hAnsi="宋体" w:cs="宋体"/>
                <w:b/>
                <w:color w:val="auto"/>
                <w:szCs w:val="21"/>
                <w:highlight w:val="none"/>
              </w:rPr>
              <w:t>各方承担责任与义务的分工必须符合采购需求，否则，联合体竞标无效</w:t>
            </w:r>
            <w:r>
              <w:rPr>
                <w:rFonts w:hint="eastAsia" w:ascii="宋体" w:hAnsi="宋体" w:cs="宋体"/>
                <w:color w:val="auto"/>
                <w:szCs w:val="21"/>
                <w:highlight w:val="none"/>
              </w:rPr>
              <w:t>），并将联合竞标协议放入响应文件。联合体各方必须共同与采购人签订采购合同，就采购合同约定的事项对采购人承担连带责任。</w:t>
            </w:r>
          </w:p>
          <w:p w14:paraId="65D02A4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w:t>
            </w:r>
            <w:r>
              <w:rPr>
                <w:rFonts w:hint="eastAsia" w:ascii="宋体" w:hAnsi="宋体" w:cs="宋体"/>
                <w:color w:val="auto"/>
                <w:szCs w:val="21"/>
                <w:highlight w:val="none"/>
              </w:rPr>
              <w:t>以联合体形式参加政府采购活动的，联合体各方不得再单独参加或者与其他供应商另外组成联合体参加同一合同项下的政府采购活动。</w:t>
            </w:r>
          </w:p>
          <w:p w14:paraId="624779B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w:t>
            </w:r>
            <w:r>
              <w:rPr>
                <w:rFonts w:hint="eastAsia" w:ascii="宋体" w:hAnsi="宋体" w:cs="宋体"/>
                <w:color w:val="auto"/>
                <w:szCs w:val="21"/>
                <w:highlight w:val="none"/>
              </w:rPr>
              <w:t>联合体中有同类资质的供应商按照联合体分工承担相同工作的，应当按照资质等级较低的供应商确定资质等级。</w:t>
            </w:r>
          </w:p>
          <w:p w14:paraId="4AB04D1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w:t>
            </w:r>
            <w:r>
              <w:rPr>
                <w:rFonts w:hint="eastAsia" w:ascii="宋体" w:hAnsi="宋体" w:cs="宋体"/>
                <w:color w:val="auto"/>
                <w:szCs w:val="21"/>
                <w:highlight w:val="none"/>
              </w:rPr>
              <w:t>联合体竞标业绩、履约能力按照联合体各方中较高的一方认定并计算（磋商文件另有规定的除外）。</w:t>
            </w:r>
          </w:p>
          <w:p w14:paraId="56E7DEE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w:t>
            </w:r>
            <w:r>
              <w:rPr>
                <w:rFonts w:hint="eastAsia" w:ascii="宋体" w:hAnsi="宋体" w:cs="宋体"/>
                <w:color w:val="auto"/>
                <w:szCs w:val="21"/>
                <w:highlight w:val="none"/>
              </w:rPr>
              <w:t>供应商为联合体的，可以由联合体中的一方或者多方共同交纳磋商保证金，其交纳的保证金对联合体各方均具有约束力。</w:t>
            </w:r>
          </w:p>
          <w:p w14:paraId="3D28FE6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8</w:t>
            </w:r>
            <w:r>
              <w:rPr>
                <w:rFonts w:ascii="宋体" w:hAnsi="宋体" w:cs="宋体"/>
                <w:color w:val="auto"/>
                <w:szCs w:val="21"/>
                <w:highlight w:val="none"/>
              </w:rPr>
              <w:t>.</w:t>
            </w:r>
            <w:r>
              <w:rPr>
                <w:rFonts w:hint="eastAsia" w:ascii="宋体" w:hAnsi="宋体" w:cs="宋体"/>
                <w:color w:val="auto"/>
                <w:szCs w:val="21"/>
                <w:highlight w:val="none"/>
              </w:rPr>
              <w:t>联合体各方均应按照磋商文件的规定提交资格证明文件。</w:t>
            </w:r>
          </w:p>
        </w:tc>
      </w:tr>
      <w:tr w14:paraId="14CE4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6B06AE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6.2</w:t>
            </w:r>
          </w:p>
        </w:tc>
        <w:tc>
          <w:tcPr>
            <w:tcW w:w="7912" w:type="dxa"/>
            <w:vAlign w:val="center"/>
          </w:tcPr>
          <w:p w14:paraId="79CFBD93">
            <w:pPr>
              <w:pStyle w:val="15"/>
              <w:spacing w:line="360" w:lineRule="auto"/>
              <w:rPr>
                <w:rFonts w:hint="eastAsia" w:ascii="宋体" w:hAnsi="宋体"/>
                <w:color w:val="auto"/>
                <w:szCs w:val="21"/>
                <w:highlight w:val="none"/>
              </w:rPr>
            </w:pPr>
            <w:r>
              <w:rPr>
                <w:rFonts w:hint="eastAsia" w:ascii="宋体" w:hAnsi="宋体"/>
                <w:color w:val="auto"/>
                <w:szCs w:val="21"/>
                <w:highlight w:val="none"/>
              </w:rPr>
              <w:t>☑不允许分包</w:t>
            </w:r>
          </w:p>
          <w:p w14:paraId="1AE8A7A1">
            <w:pPr>
              <w:pStyle w:val="15"/>
              <w:spacing w:line="360" w:lineRule="auto"/>
              <w:rPr>
                <w:rFonts w:hint="eastAsia" w:ascii="宋体" w:hAnsi="宋体"/>
                <w:color w:val="auto"/>
                <w:szCs w:val="21"/>
                <w:highlight w:val="none"/>
              </w:rPr>
            </w:pPr>
            <w:r>
              <w:rPr>
                <w:rFonts w:hint="eastAsia" w:ascii="宋体" w:hAnsi="宋体"/>
                <w:color w:val="auto"/>
                <w:szCs w:val="21"/>
                <w:highlight w:val="none"/>
              </w:rPr>
              <w:t>□允许分包</w:t>
            </w:r>
          </w:p>
          <w:p w14:paraId="6394B745">
            <w:pPr>
              <w:pStyle w:val="15"/>
              <w:spacing w:line="360" w:lineRule="auto"/>
              <w:rPr>
                <w:rFonts w:hint="eastAsia" w:ascii="宋体" w:hAnsi="宋体"/>
                <w:color w:val="auto"/>
                <w:szCs w:val="21"/>
                <w:highlight w:val="none"/>
                <w:u w:val="single"/>
              </w:rPr>
            </w:pPr>
            <w:r>
              <w:rPr>
                <w:rFonts w:hint="eastAsia" w:ascii="宋体" w:hAnsi="宋体"/>
                <w:color w:val="auto"/>
                <w:szCs w:val="21"/>
                <w:highlight w:val="none"/>
              </w:rPr>
              <w:t>分包内容：</w:t>
            </w:r>
            <w:r>
              <w:rPr>
                <w:rFonts w:hint="eastAsia" w:ascii="宋体" w:hAnsi="宋体"/>
                <w:color w:val="auto"/>
                <w:szCs w:val="21"/>
                <w:highlight w:val="none"/>
                <w:u w:val="single"/>
              </w:rPr>
              <w:t xml:space="preserve">                                     。</w:t>
            </w:r>
          </w:p>
          <w:p w14:paraId="2576DE61">
            <w:pPr>
              <w:pStyle w:val="15"/>
              <w:spacing w:line="360" w:lineRule="auto"/>
              <w:rPr>
                <w:rFonts w:hint="eastAsia" w:ascii="宋体" w:hAnsi="宋体" w:cs="宋体"/>
                <w:color w:val="auto"/>
                <w:szCs w:val="21"/>
                <w:highlight w:val="none"/>
              </w:rPr>
            </w:pPr>
            <w:r>
              <w:rPr>
                <w:rFonts w:hint="eastAsia" w:ascii="宋体" w:hAnsi="宋体"/>
                <w:color w:val="auto"/>
                <w:szCs w:val="21"/>
                <w:highlight w:val="none"/>
              </w:rPr>
              <w:t>分包金额或者比例：</w:t>
            </w:r>
            <w:r>
              <w:rPr>
                <w:rFonts w:hint="eastAsia" w:ascii="宋体" w:hAnsi="宋体"/>
                <w:color w:val="auto"/>
                <w:szCs w:val="21"/>
                <w:highlight w:val="none"/>
                <w:u w:val="single"/>
              </w:rPr>
              <w:t xml:space="preserve">                                     。</w:t>
            </w:r>
          </w:p>
        </w:tc>
      </w:tr>
      <w:tr w14:paraId="1DAD2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5852BE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12.1.</w:t>
            </w:r>
            <w:r>
              <w:rPr>
                <w:rFonts w:ascii="宋体" w:hAnsi="宋体" w:cs="宋体"/>
                <w:color w:val="auto"/>
                <w:szCs w:val="21"/>
                <w:highlight w:val="none"/>
              </w:rPr>
              <w:t>1</w:t>
            </w:r>
          </w:p>
        </w:tc>
        <w:tc>
          <w:tcPr>
            <w:tcW w:w="7912" w:type="dxa"/>
            <w:vAlign w:val="center"/>
          </w:tcPr>
          <w:p w14:paraId="6CA645A6">
            <w:pPr>
              <w:snapToGrid w:val="0"/>
              <w:spacing w:line="360" w:lineRule="auto"/>
              <w:ind w:firstLine="413" w:firstLineChars="196"/>
              <w:jc w:val="left"/>
              <w:rPr>
                <w:rFonts w:hint="eastAsia" w:ascii="宋体" w:hAnsi="宋体" w:cs="宋体"/>
                <w:b/>
                <w:color w:val="auto"/>
                <w:szCs w:val="21"/>
                <w:highlight w:val="none"/>
              </w:rPr>
            </w:pPr>
            <w:r>
              <w:rPr>
                <w:rFonts w:hint="eastAsia" w:ascii="宋体" w:hAnsi="宋体" w:cs="宋体"/>
                <w:b/>
                <w:color w:val="auto"/>
                <w:szCs w:val="21"/>
                <w:highlight w:val="none"/>
              </w:rPr>
              <w:t>资格证明文件</w:t>
            </w:r>
          </w:p>
          <w:p w14:paraId="54063B88">
            <w:pPr>
              <w:snapToGrid w:val="0"/>
              <w:spacing w:line="360" w:lineRule="auto"/>
              <w:ind w:firstLine="411" w:firstLineChars="196"/>
              <w:rPr>
                <w:rFonts w:hint="eastAsia" w:ascii="宋体" w:hAnsi="宋体"/>
                <w:color w:val="auto"/>
                <w:szCs w:val="21"/>
                <w:highlight w:val="none"/>
              </w:rPr>
            </w:pPr>
            <w:r>
              <w:rPr>
                <w:rFonts w:hint="eastAsia" w:ascii="宋体" w:hAnsi="宋体" w:cs="宋体"/>
                <w:color w:val="auto"/>
                <w:szCs w:val="21"/>
                <w:highlight w:val="none"/>
              </w:rPr>
              <w:t>1.供应商为法人或者其他组织的提供其营业执照等证明文件（如营业执照或者事业单位法人证书或者执业许可证或者登记证书等），供应商为自然人的提供其身份证复印件；（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640106D">
            <w:pPr>
              <w:snapToGrid w:val="0"/>
              <w:spacing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bCs/>
                <w:color w:val="auto"/>
                <w:szCs w:val="21"/>
                <w:highlight w:val="none"/>
              </w:rPr>
              <w:t>供应商</w:t>
            </w:r>
            <w:r>
              <w:rPr>
                <w:rFonts w:hint="eastAsia" w:ascii="宋体" w:hAnsi="宋体" w:cs="宋体"/>
                <w:color w:val="auto"/>
                <w:szCs w:val="21"/>
                <w:highlight w:val="none"/>
              </w:rPr>
              <w:t>依法缴纳税收的相关材料（</w:t>
            </w:r>
            <w:r>
              <w:rPr>
                <w:rFonts w:ascii="宋体" w:hAnsi="宋体" w:cs="宋体"/>
                <w:color w:val="auto"/>
                <w:szCs w:val="21"/>
                <w:highlight w:val="none"/>
                <w:u w:val="single"/>
              </w:rPr>
              <w:t>202</w:t>
            </w:r>
            <w:r>
              <w:rPr>
                <w:rFonts w:hint="eastAsia" w:ascii="宋体" w:hAnsi="宋体" w:cs="宋体"/>
                <w:color w:val="auto"/>
                <w:szCs w:val="21"/>
                <w:highlight w:val="none"/>
                <w:u w:val="single"/>
              </w:rPr>
              <w:t>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月至</w:t>
            </w:r>
            <w:r>
              <w:rPr>
                <w:rFonts w:ascii="宋体" w:hAnsi="宋体" w:cs="宋体"/>
                <w:color w:val="auto"/>
                <w:szCs w:val="21"/>
                <w:highlight w:val="none"/>
                <w:u w:val="single"/>
              </w:rPr>
              <w:t>202</w:t>
            </w:r>
            <w:r>
              <w:rPr>
                <w:rFonts w:hint="eastAsia" w:ascii="宋体" w:hAnsi="宋体" w:cs="宋体"/>
                <w:color w:val="auto"/>
                <w:szCs w:val="21"/>
                <w:highlight w:val="none"/>
                <w:u w:val="single"/>
              </w:rPr>
              <w:t>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rPr>
              <w:t>月内任意连续</w:t>
            </w:r>
            <w:r>
              <w:rPr>
                <w:rFonts w:ascii="宋体" w:hAnsi="宋体" w:cs="宋体"/>
                <w:color w:val="auto"/>
                <w:szCs w:val="21"/>
                <w:highlight w:val="none"/>
                <w:u w:val="single"/>
              </w:rPr>
              <w:t>3</w:t>
            </w:r>
            <w:r>
              <w:rPr>
                <w:rFonts w:hint="eastAsia" w:ascii="宋体" w:hAnsi="宋体" w:cs="宋体"/>
                <w:color w:val="auto"/>
                <w:szCs w:val="21"/>
                <w:highlight w:val="none"/>
              </w:rPr>
              <w:t>个月的依法缴纳税收的凭据复印件；</w:t>
            </w:r>
            <w:r>
              <w:rPr>
                <w:rFonts w:hint="eastAsia"/>
                <w:color w:val="auto"/>
                <w:highlight w:val="none"/>
              </w:rPr>
              <w:t>依法免税的，必须提供相应文件证明其依法免税。</w:t>
            </w:r>
            <w:r>
              <w:rPr>
                <w:rFonts w:hint="eastAsia" w:ascii="宋体" w:hAnsi="宋体" w:cs="宋体"/>
                <w:color w:val="auto"/>
                <w:szCs w:val="21"/>
                <w:highlight w:val="none"/>
              </w:rPr>
              <w:t>从</w:t>
            </w:r>
            <w:r>
              <w:rPr>
                <w:color w:val="auto"/>
                <w:szCs w:val="21"/>
                <w:highlight w:val="none"/>
              </w:rPr>
              <w:t>成立</w:t>
            </w:r>
            <w:r>
              <w:rPr>
                <w:rFonts w:hint="eastAsia"/>
                <w:color w:val="auto"/>
                <w:szCs w:val="21"/>
                <w:highlight w:val="none"/>
              </w:rPr>
              <w:t>之日起</w:t>
            </w:r>
            <w:r>
              <w:rPr>
                <w:rFonts w:hint="eastAsia" w:ascii="宋体" w:hAnsi="宋体" w:cs="宋体"/>
                <w:color w:val="auto"/>
                <w:szCs w:val="21"/>
                <w:highlight w:val="none"/>
              </w:rPr>
              <w:t>到响应文件提交截止时间止不足要求月数的，只需提供从</w:t>
            </w:r>
            <w:r>
              <w:rPr>
                <w:color w:val="auto"/>
                <w:szCs w:val="21"/>
                <w:highlight w:val="none"/>
              </w:rPr>
              <w:t>成立</w:t>
            </w:r>
            <w:r>
              <w:rPr>
                <w:rFonts w:hint="eastAsia"/>
                <w:color w:val="auto"/>
                <w:szCs w:val="21"/>
                <w:highlight w:val="none"/>
              </w:rPr>
              <w:t>之日起</w:t>
            </w:r>
            <w:r>
              <w:rPr>
                <w:rFonts w:hint="eastAsia" w:ascii="宋体" w:hAnsi="宋体" w:cs="宋体"/>
                <w:color w:val="auto"/>
                <w:szCs w:val="21"/>
                <w:highlight w:val="none"/>
              </w:rPr>
              <w:t>的依法缴纳税收</w:t>
            </w:r>
            <w:r>
              <w:rPr>
                <w:rFonts w:hint="eastAsia"/>
                <w:color w:val="auto"/>
                <w:highlight w:val="none"/>
              </w:rPr>
              <w:t>相应证明文件</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42C668EB">
            <w:pPr>
              <w:snapToGrid w:val="0"/>
              <w:spacing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bCs/>
                <w:color w:val="auto"/>
                <w:szCs w:val="21"/>
                <w:highlight w:val="none"/>
              </w:rPr>
              <w:t>供应商</w:t>
            </w:r>
            <w:r>
              <w:rPr>
                <w:rFonts w:hint="eastAsia" w:ascii="宋体" w:hAnsi="宋体" w:cs="宋体"/>
                <w:color w:val="auto"/>
                <w:szCs w:val="21"/>
                <w:highlight w:val="none"/>
              </w:rPr>
              <w:t>依法缴纳社会保障资金的相关材料[</w:t>
            </w:r>
            <w:r>
              <w:rPr>
                <w:rFonts w:ascii="宋体" w:hAnsi="宋体" w:cs="宋体"/>
                <w:color w:val="auto"/>
                <w:szCs w:val="21"/>
                <w:highlight w:val="none"/>
                <w:u w:val="single"/>
              </w:rPr>
              <w:t>202</w:t>
            </w:r>
            <w:r>
              <w:rPr>
                <w:rFonts w:hint="eastAsia" w:ascii="宋体" w:hAnsi="宋体" w:cs="宋体"/>
                <w:color w:val="auto"/>
                <w:szCs w:val="21"/>
                <w:highlight w:val="none"/>
                <w:u w:val="single"/>
              </w:rPr>
              <w:t>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月至</w:t>
            </w:r>
            <w:r>
              <w:rPr>
                <w:rFonts w:ascii="宋体" w:hAnsi="宋体" w:cs="宋体"/>
                <w:color w:val="auto"/>
                <w:szCs w:val="21"/>
                <w:highlight w:val="none"/>
                <w:u w:val="single"/>
              </w:rPr>
              <w:t>202</w:t>
            </w:r>
            <w:r>
              <w:rPr>
                <w:rFonts w:hint="eastAsia" w:ascii="宋体" w:hAnsi="宋体" w:cs="宋体"/>
                <w:color w:val="auto"/>
                <w:szCs w:val="21"/>
                <w:highlight w:val="none"/>
                <w:u w:val="single"/>
              </w:rPr>
              <w:t>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rPr>
              <w:t>月任意连续</w:t>
            </w:r>
            <w:r>
              <w:rPr>
                <w:rFonts w:ascii="宋体" w:hAnsi="宋体" w:cs="宋体"/>
                <w:color w:val="auto"/>
                <w:szCs w:val="21"/>
                <w:highlight w:val="none"/>
                <w:u w:val="single"/>
              </w:rPr>
              <w:t>3</w:t>
            </w:r>
            <w:r>
              <w:rPr>
                <w:rFonts w:hint="eastAsia" w:ascii="宋体" w:hAnsi="宋体" w:cs="宋体"/>
                <w:color w:val="auto"/>
                <w:szCs w:val="21"/>
                <w:highlight w:val="none"/>
              </w:rPr>
              <w:t>个月的依法缴纳社会保障资金的缴费凭证（专用收据或者社会保险缴纳清单）复印件；</w:t>
            </w:r>
            <w:r>
              <w:rPr>
                <w:rFonts w:hint="eastAsia"/>
                <w:color w:val="auto"/>
                <w:highlight w:val="none"/>
              </w:rPr>
              <w:t>依法不需要缴纳社会保障资金的，必须提供相应文件证明不需要缴纳社会保障资金。</w:t>
            </w:r>
            <w:r>
              <w:rPr>
                <w:rFonts w:hint="eastAsia" w:ascii="宋体" w:hAnsi="宋体" w:cs="宋体"/>
                <w:color w:val="auto"/>
                <w:szCs w:val="21"/>
                <w:highlight w:val="none"/>
              </w:rPr>
              <w:t>从</w:t>
            </w:r>
            <w:r>
              <w:rPr>
                <w:color w:val="auto"/>
                <w:szCs w:val="21"/>
                <w:highlight w:val="none"/>
              </w:rPr>
              <w:t>成立</w:t>
            </w:r>
            <w:r>
              <w:rPr>
                <w:rFonts w:hint="eastAsia"/>
                <w:color w:val="auto"/>
                <w:szCs w:val="21"/>
                <w:highlight w:val="none"/>
              </w:rPr>
              <w:t>之日起</w:t>
            </w:r>
            <w:r>
              <w:rPr>
                <w:rFonts w:hint="eastAsia" w:ascii="宋体" w:hAnsi="宋体" w:cs="宋体"/>
                <w:color w:val="auto"/>
                <w:szCs w:val="21"/>
                <w:highlight w:val="none"/>
              </w:rPr>
              <w:t>到响应文件提交截止时间止不足要求月数的只需提供从</w:t>
            </w:r>
            <w:r>
              <w:rPr>
                <w:color w:val="auto"/>
                <w:szCs w:val="21"/>
                <w:highlight w:val="none"/>
              </w:rPr>
              <w:t>成立</w:t>
            </w:r>
            <w:r>
              <w:rPr>
                <w:rFonts w:hint="eastAsia"/>
                <w:color w:val="auto"/>
                <w:szCs w:val="21"/>
                <w:highlight w:val="none"/>
              </w:rPr>
              <w:t>之日起</w:t>
            </w:r>
            <w:r>
              <w:rPr>
                <w:rFonts w:hint="eastAsia" w:ascii="宋体" w:hAnsi="宋体" w:cs="宋体"/>
                <w:color w:val="auto"/>
                <w:szCs w:val="21"/>
                <w:highlight w:val="none"/>
              </w:rPr>
              <w:t>的依法缴纳社会保障资金的</w:t>
            </w:r>
            <w:r>
              <w:rPr>
                <w:rFonts w:hint="eastAsia"/>
                <w:color w:val="auto"/>
                <w:highlight w:val="none"/>
              </w:rPr>
              <w:t>相应证明文件</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5159C6BA">
            <w:pPr>
              <w:snapToGrid w:val="0"/>
              <w:spacing w:line="360" w:lineRule="auto"/>
              <w:ind w:firstLine="411" w:firstLineChars="196"/>
              <w:jc w:val="left"/>
              <w:rPr>
                <w:rFonts w:hint="eastAsia" w:ascii="宋体" w:hAnsi="宋体" w:cs="宋体"/>
                <w:b/>
                <w:color w:val="auto"/>
                <w:szCs w:val="21"/>
                <w:highlight w:val="none"/>
              </w:rPr>
            </w:pPr>
            <w:r>
              <w:rPr>
                <w:rFonts w:hint="eastAsia" w:ascii="宋体" w:hAnsi="宋体" w:cs="宋体"/>
                <w:color w:val="auto"/>
                <w:szCs w:val="21"/>
                <w:highlight w:val="none"/>
              </w:rPr>
              <w:t>4.</w:t>
            </w:r>
            <w:r>
              <w:rPr>
                <w:rFonts w:hint="eastAsia" w:ascii="宋体" w:hAnsi="宋体"/>
                <w:bCs/>
                <w:color w:val="auto"/>
                <w:szCs w:val="21"/>
                <w:highlight w:val="none"/>
              </w:rPr>
              <w:t>供应商或其总公司</w:t>
            </w:r>
            <w:r>
              <w:rPr>
                <w:rFonts w:hint="eastAsia"/>
                <w:color w:val="auto"/>
                <w:szCs w:val="21"/>
                <w:highlight w:val="none"/>
              </w:rPr>
              <w:t>财务状况报告（</w:t>
            </w:r>
            <w:r>
              <w:rPr>
                <w:rFonts w:hint="eastAsia" w:ascii="宋体" w:hAnsi="宋体" w:cs="宋体"/>
                <w:color w:val="auto"/>
                <w:szCs w:val="21"/>
                <w:highlight w:val="none"/>
                <w:u w:val="single"/>
              </w:rPr>
              <w:t>2024</w:t>
            </w:r>
            <w:r>
              <w:rPr>
                <w:rFonts w:hint="eastAsia"/>
                <w:color w:val="auto"/>
                <w:szCs w:val="21"/>
                <w:highlight w:val="none"/>
                <w:u w:val="single"/>
              </w:rPr>
              <w:t>年度</w:t>
            </w:r>
            <w:r>
              <w:rPr>
                <w:rFonts w:hint="eastAsia"/>
                <w:color w:val="auto"/>
                <w:szCs w:val="21"/>
                <w:highlight w:val="none"/>
              </w:rPr>
              <w:t>财务报表复印件，或者银行出具的资信证明，或者中国人民银行征信中心出具的信用报告（企业竞标的提供企业信用报告，自然人竞标的提供个人信用报告）；供应商属于</w:t>
            </w:r>
            <w:r>
              <w:rPr>
                <w:rFonts w:hint="eastAsia"/>
                <w:color w:val="auto"/>
                <w:highlight w:val="none"/>
              </w:rPr>
              <w:t>成立时间</w:t>
            </w:r>
            <w:r>
              <w:rPr>
                <w:rFonts w:hint="eastAsia"/>
                <w:color w:val="auto"/>
                <w:kern w:val="0"/>
                <w:highlight w:val="none"/>
              </w:rPr>
              <w:t>在规定年度之后</w:t>
            </w:r>
            <w:r>
              <w:rPr>
                <w:rFonts w:hint="eastAsia"/>
                <w:color w:val="auto"/>
                <w:highlight w:val="none"/>
              </w:rPr>
              <w:t>的</w:t>
            </w:r>
            <w:r>
              <w:rPr>
                <w:rFonts w:hint="eastAsia"/>
                <w:color w:val="auto"/>
                <w:szCs w:val="21"/>
                <w:highlight w:val="none"/>
              </w:rPr>
              <w:t>法人或其他组织</w:t>
            </w:r>
            <w:r>
              <w:rPr>
                <w:rFonts w:hint="eastAsia"/>
                <w:color w:val="auto"/>
                <w:highlight w:val="none"/>
              </w:rPr>
              <w:t>，需提供成立之日起至响应文件提交截止时间前的月报表</w:t>
            </w:r>
            <w:r>
              <w:rPr>
                <w:rFonts w:hint="eastAsia"/>
                <w:color w:val="auto"/>
                <w:szCs w:val="21"/>
                <w:highlight w:val="none"/>
              </w:rPr>
              <w:t>或银行出具的资信证明或者中国人民银行征信中心出具的企业信用报告；资信证明应在有效期内，未注明有效期的，银行出具时间至响应文件提交截止时间不超过一年）</w:t>
            </w:r>
            <w:r>
              <w:rPr>
                <w:rFonts w:hint="eastAsia" w:ascii="宋体" w:hAnsi="宋体" w:cs="宋体"/>
                <w:color w:val="auto"/>
                <w:szCs w:val="21"/>
                <w:highlight w:val="none"/>
              </w:rPr>
              <w:t>；</w:t>
            </w:r>
            <w:r>
              <w:rPr>
                <w:rFonts w:hint="eastAsia" w:ascii="宋体" w:hAnsi="宋体" w:cs="宋体"/>
                <w:bCs/>
                <w:color w:val="auto"/>
                <w:szCs w:val="21"/>
                <w:highlight w:val="none"/>
              </w:rPr>
              <w:t>（</w:t>
            </w:r>
            <w:r>
              <w:rPr>
                <w:rFonts w:hint="eastAsia" w:ascii="宋体" w:hAnsi="宋体"/>
                <w:b/>
                <w:color w:val="auto"/>
                <w:szCs w:val="21"/>
                <w:highlight w:val="none"/>
              </w:rPr>
              <w:t>必须提供</w:t>
            </w:r>
            <w:r>
              <w:rPr>
                <w:rFonts w:hint="eastAsia" w:ascii="宋体" w:hAnsi="宋体" w:cs="宋体"/>
                <w:b/>
                <w:color w:val="auto"/>
                <w:szCs w:val="21"/>
                <w:highlight w:val="none"/>
              </w:rPr>
              <w:t>，否则响应文件按无效响应处理</w:t>
            </w:r>
            <w:r>
              <w:rPr>
                <w:rFonts w:hint="eastAsia" w:ascii="宋体" w:hAnsi="宋体" w:cs="宋体"/>
                <w:bCs/>
                <w:color w:val="auto"/>
                <w:szCs w:val="21"/>
                <w:highlight w:val="none"/>
              </w:rPr>
              <w:t>）</w:t>
            </w:r>
          </w:p>
          <w:p w14:paraId="5B6F394E">
            <w:pPr>
              <w:snapToGrid w:val="0"/>
              <w:spacing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5.供应商直接控股、管理关系信息表（格式后附）；（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28653E7">
            <w:pPr>
              <w:snapToGrid w:val="0"/>
              <w:spacing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6.竞标声明（格式后附）；（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C2B676F">
            <w:pPr>
              <w:snapToGrid w:val="0"/>
              <w:spacing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7.中小型企业声明函或监狱企业证明文件或残疾人福利性单位声明函；（</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4E8EC459">
            <w:pPr>
              <w:snapToGrid w:val="0"/>
              <w:spacing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8.除磋商文件规定必须提供以外，供应商认为对应资格文件需要提供的其他证明材料；</w:t>
            </w:r>
          </w:p>
          <w:p w14:paraId="6749FBC7">
            <w:pPr>
              <w:snapToGrid w:val="0"/>
              <w:spacing w:line="360" w:lineRule="auto"/>
              <w:ind w:firstLine="413" w:firstLineChars="196"/>
              <w:jc w:val="left"/>
              <w:rPr>
                <w:rFonts w:hint="eastAsia" w:ascii="宋体" w:hAnsi="宋体" w:cs="宋体"/>
                <w:b/>
                <w:color w:val="auto"/>
                <w:szCs w:val="21"/>
                <w:highlight w:val="none"/>
              </w:rPr>
            </w:pPr>
            <w:r>
              <w:rPr>
                <w:rFonts w:hint="eastAsia" w:ascii="宋体" w:hAnsi="宋体" w:cs="宋体"/>
                <w:b/>
                <w:color w:val="auto"/>
                <w:szCs w:val="21"/>
                <w:highlight w:val="none"/>
              </w:rPr>
              <w:t>注：</w:t>
            </w:r>
          </w:p>
          <w:p w14:paraId="0911CCCE">
            <w:pPr>
              <w:snapToGrid w:val="0"/>
              <w:ind w:firstLine="413" w:firstLineChars="196"/>
              <w:rPr>
                <w:rFonts w:hint="eastAsia" w:ascii="宋体" w:hAnsi="宋体" w:cs="宋体"/>
                <w:b/>
                <w:color w:val="auto"/>
                <w:sz w:val="28"/>
                <w:szCs w:val="28"/>
                <w:highlight w:val="none"/>
                <w:u w:val="single"/>
              </w:rPr>
            </w:pPr>
            <w:r>
              <w:rPr>
                <w:rFonts w:hint="eastAsia" w:ascii="宋体" w:hAnsi="宋体" w:cs="宋体"/>
                <w:b/>
                <w:color w:val="auto"/>
                <w:szCs w:val="21"/>
                <w:highlight w:val="none"/>
              </w:rPr>
              <w:t>1.以上标明“必须提供”的材料属于复印件的，必须加盖供应商</w:t>
            </w:r>
            <w:r>
              <w:rPr>
                <w:rFonts w:hint="eastAsia"/>
                <w:b/>
                <w:color w:val="auto"/>
                <w:highlight w:val="none"/>
              </w:rPr>
              <w:t>电子签章</w:t>
            </w:r>
            <w:r>
              <w:rPr>
                <w:rFonts w:hint="eastAsia" w:ascii="宋体" w:hAnsi="宋体" w:cs="宋体"/>
                <w:b/>
                <w:color w:val="auto"/>
                <w:szCs w:val="21"/>
                <w:highlight w:val="none"/>
              </w:rPr>
              <w:t>，否则响应文件按无效处理。</w:t>
            </w:r>
          </w:p>
        </w:tc>
      </w:tr>
      <w:tr w14:paraId="2CDDC3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ADA375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12.1.2</w:t>
            </w:r>
          </w:p>
        </w:tc>
        <w:tc>
          <w:tcPr>
            <w:tcW w:w="7912" w:type="dxa"/>
            <w:vAlign w:val="center"/>
          </w:tcPr>
          <w:p w14:paraId="16E62461">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报价文件</w:t>
            </w:r>
          </w:p>
          <w:p w14:paraId="0005E9C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1.竞标报价表（格式后附）；（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51379F0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2.供应商认为对应报价文件需要提供的其他有关资料。</w:t>
            </w:r>
          </w:p>
          <w:p w14:paraId="406EE9D2">
            <w:pPr>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注：</w:t>
            </w:r>
          </w:p>
          <w:p w14:paraId="5AA6304D">
            <w:pPr>
              <w:snapToGrid w:val="0"/>
              <w:spacing w:line="360" w:lineRule="auto"/>
              <w:ind w:firstLine="413" w:firstLineChars="196"/>
              <w:jc w:val="left"/>
              <w:rPr>
                <w:color w:val="auto"/>
                <w:highlight w:val="none"/>
              </w:rPr>
            </w:pPr>
            <w:r>
              <w:rPr>
                <w:rFonts w:hint="eastAsia" w:ascii="宋体" w:hAnsi="宋体" w:cs="宋体"/>
                <w:b/>
                <w:color w:val="auto"/>
                <w:szCs w:val="21"/>
                <w:highlight w:val="none"/>
              </w:rPr>
              <w:t>1.以上标明“必须提供”的材料属于复印件的，必须加盖供应商</w:t>
            </w:r>
            <w:r>
              <w:rPr>
                <w:rFonts w:hint="eastAsia"/>
                <w:b/>
                <w:color w:val="auto"/>
                <w:highlight w:val="none"/>
              </w:rPr>
              <w:t>电子签章</w:t>
            </w:r>
            <w:r>
              <w:rPr>
                <w:rFonts w:hint="eastAsia" w:ascii="宋体" w:hAnsi="宋体" w:cs="宋体"/>
                <w:b/>
                <w:color w:val="auto"/>
                <w:szCs w:val="21"/>
                <w:highlight w:val="none"/>
              </w:rPr>
              <w:t>，否则响应文件按无效处理。</w:t>
            </w:r>
          </w:p>
        </w:tc>
      </w:tr>
      <w:tr w14:paraId="59FC53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D36571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1</w:t>
            </w:r>
            <w:r>
              <w:rPr>
                <w:rFonts w:hint="eastAsia" w:ascii="宋体" w:hAnsi="宋体" w:cs="宋体"/>
                <w:color w:val="auto"/>
                <w:szCs w:val="21"/>
                <w:highlight w:val="none"/>
              </w:rPr>
              <w:t>.3</w:t>
            </w:r>
          </w:p>
        </w:tc>
        <w:tc>
          <w:tcPr>
            <w:tcW w:w="7912" w:type="dxa"/>
            <w:vAlign w:val="center"/>
          </w:tcPr>
          <w:p w14:paraId="7FC8BE66">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商务文件</w:t>
            </w:r>
          </w:p>
          <w:p w14:paraId="55698E2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1.无串通竞标行为的承诺函（格式后附）；（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6C646E5">
            <w:pPr>
              <w:snapToGrid w:val="0"/>
              <w:spacing w:line="360" w:lineRule="auto"/>
              <w:jc w:val="left"/>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.法定代表人身份证明书及法定代表人有效身份证正反面复印件（格式后附）；（</w:t>
            </w:r>
            <w:r>
              <w:rPr>
                <w:rFonts w:hint="eastAsia" w:ascii="宋体" w:hAnsi="宋体" w:cs="宋体"/>
                <w:b/>
                <w:bCs/>
                <w:color w:val="auto"/>
                <w:szCs w:val="21"/>
                <w:highlight w:val="none"/>
              </w:rPr>
              <w:t>除自然人竞标外</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89DE10F">
            <w:pPr>
              <w:spacing w:line="360" w:lineRule="auto"/>
              <w:rPr>
                <w:rFonts w:hint="eastAsia" w:ascii="宋体" w:hAnsi="宋体" w:cs="宋体"/>
                <w:b/>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.授权委托书及委托代理人有效身份证正反面复印件（格式后附）；（</w:t>
            </w:r>
            <w:r>
              <w:rPr>
                <w:rFonts w:hint="eastAsia" w:ascii="宋体" w:hAnsi="宋体" w:cs="宋体"/>
                <w:b/>
                <w:color w:val="auto"/>
                <w:szCs w:val="21"/>
                <w:highlight w:val="none"/>
              </w:rPr>
              <w:t>委托时必须提供，否则响应文件按无效响应处理</w:t>
            </w:r>
            <w:r>
              <w:rPr>
                <w:rFonts w:hint="eastAsia" w:ascii="宋体" w:hAnsi="宋体" w:cs="宋体"/>
                <w:color w:val="auto"/>
                <w:szCs w:val="21"/>
                <w:highlight w:val="none"/>
              </w:rPr>
              <w:t>）</w:t>
            </w:r>
          </w:p>
          <w:p w14:paraId="75DA9143">
            <w:pPr>
              <w:spacing w:line="360" w:lineRule="auto"/>
              <w:rPr>
                <w:rFonts w:hint="eastAsia" w:ascii="宋体" w:hAns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.磋商保证金提交凭证；（</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FF31186">
            <w:pPr>
              <w:spacing w:line="360" w:lineRule="auto"/>
              <w:rPr>
                <w:rFonts w:hint="eastAsia" w:ascii="宋体" w:hAns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.商务要求偏离表（格式后附）；（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A9D0E3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6.供应商认为对应商务文件需要提供的其他有关资料。</w:t>
            </w:r>
          </w:p>
          <w:p w14:paraId="11D34B10">
            <w:pPr>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注：以上标明“必须提供”的材料属于复印件的，必须加盖供应商</w:t>
            </w:r>
            <w:r>
              <w:rPr>
                <w:rFonts w:hint="eastAsia" w:ascii="宋体" w:hAnsi="宋体"/>
                <w:b/>
                <w:bCs/>
                <w:color w:val="auto"/>
                <w:szCs w:val="21"/>
                <w:highlight w:val="none"/>
              </w:rPr>
              <w:t>电子签章</w:t>
            </w:r>
            <w:r>
              <w:rPr>
                <w:rFonts w:hint="eastAsia" w:ascii="宋体" w:hAnsi="宋体" w:cs="宋体"/>
                <w:b/>
                <w:color w:val="auto"/>
                <w:szCs w:val="21"/>
                <w:highlight w:val="none"/>
              </w:rPr>
              <w:t>，否则响应文件按无效响应处理。</w:t>
            </w:r>
          </w:p>
        </w:tc>
      </w:tr>
      <w:tr w14:paraId="415F2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F5CA32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1</w:t>
            </w:r>
            <w:r>
              <w:rPr>
                <w:rFonts w:hint="eastAsia" w:ascii="宋体" w:hAnsi="宋体" w:cs="宋体"/>
                <w:color w:val="auto"/>
                <w:szCs w:val="21"/>
                <w:highlight w:val="none"/>
              </w:rPr>
              <w:t>.4</w:t>
            </w:r>
          </w:p>
        </w:tc>
        <w:tc>
          <w:tcPr>
            <w:tcW w:w="7912" w:type="dxa"/>
            <w:vAlign w:val="center"/>
          </w:tcPr>
          <w:p w14:paraId="07D56E52">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技术文件</w:t>
            </w:r>
          </w:p>
          <w:p w14:paraId="2C4C8EF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1.项目实施方案（格式自拟）；（</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2CDE70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2.技术要求偏离表（格式后附）；（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3B3CE52">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.项目实施人员一览表（格式自拟）；（</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BC3A061">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.供应商认为对应技术需要提供的其他有关资料。</w:t>
            </w:r>
          </w:p>
          <w:p w14:paraId="49B51726">
            <w:pPr>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注：以上标明“必须提供”的材料属于复印件的，必须加盖供应商</w:t>
            </w:r>
            <w:r>
              <w:rPr>
                <w:rFonts w:hint="eastAsia" w:ascii="宋体" w:hAnsi="宋体"/>
                <w:b/>
                <w:bCs/>
                <w:color w:val="auto"/>
                <w:szCs w:val="21"/>
                <w:highlight w:val="none"/>
              </w:rPr>
              <w:t>电子签章</w:t>
            </w:r>
            <w:r>
              <w:rPr>
                <w:rFonts w:hint="eastAsia" w:ascii="宋体" w:hAnsi="宋体" w:cs="宋体"/>
                <w:b/>
                <w:color w:val="auto"/>
                <w:szCs w:val="21"/>
                <w:highlight w:val="none"/>
              </w:rPr>
              <w:t>，否则响应文件按无效响应处理。</w:t>
            </w:r>
          </w:p>
        </w:tc>
      </w:tr>
      <w:tr w14:paraId="1A02C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480B97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15.2</w:t>
            </w:r>
          </w:p>
        </w:tc>
        <w:tc>
          <w:tcPr>
            <w:tcW w:w="7912" w:type="dxa"/>
            <w:vAlign w:val="center"/>
          </w:tcPr>
          <w:p w14:paraId="16AB24B3">
            <w:pPr>
              <w:spacing w:line="360" w:lineRule="auto"/>
              <w:contextualSpacing/>
              <w:jc w:val="left"/>
              <w:rPr>
                <w:rFonts w:hint="eastAsia" w:ascii="宋体" w:hAnsi="宋体" w:cs="宋体"/>
                <w:color w:val="auto"/>
                <w:szCs w:val="21"/>
                <w:highlight w:val="none"/>
              </w:rPr>
            </w:pPr>
            <w:r>
              <w:rPr>
                <w:rFonts w:hint="eastAsia" w:ascii="宋体" w:hAnsi="宋体"/>
                <w:color w:val="auto"/>
                <w:szCs w:val="21"/>
                <w:highlight w:val="none"/>
              </w:rPr>
              <w:t>竞标报价是履行合同的最终价格，</w:t>
            </w:r>
            <w:r>
              <w:rPr>
                <w:rFonts w:hint="eastAsia" w:ascii="宋体" w:hAnsi="宋体" w:cs="宋体"/>
                <w:color w:val="auto"/>
                <w:szCs w:val="21"/>
                <w:highlight w:val="none"/>
              </w:rPr>
              <w:t>即满足全部采购需求所应提供的服务的价格</w:t>
            </w:r>
            <w:r>
              <w:rPr>
                <w:rFonts w:hint="eastAsia" w:ascii="宋体" w:hAnsi="宋体"/>
                <w:color w:val="auto"/>
                <w:szCs w:val="21"/>
                <w:highlight w:val="none"/>
              </w:rPr>
              <w:t>。</w:t>
            </w:r>
          </w:p>
        </w:tc>
      </w:tr>
      <w:tr w14:paraId="1FFE38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78FC6B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16.</w:t>
            </w:r>
            <w:r>
              <w:rPr>
                <w:rFonts w:ascii="宋体" w:hAnsi="宋体" w:cs="宋体"/>
                <w:color w:val="auto"/>
                <w:szCs w:val="21"/>
                <w:highlight w:val="none"/>
              </w:rPr>
              <w:t>2</w:t>
            </w:r>
          </w:p>
        </w:tc>
        <w:tc>
          <w:tcPr>
            <w:tcW w:w="7912" w:type="dxa"/>
            <w:vAlign w:val="center"/>
          </w:tcPr>
          <w:p w14:paraId="00658607">
            <w:pPr>
              <w:pStyle w:val="13"/>
              <w:widowControl w:val="0"/>
              <w:tabs>
                <w:tab w:val="clear" w:pos="454"/>
              </w:tabs>
              <w:snapToGrid w:val="0"/>
              <w:spacing w:afterLines="0" w:line="360" w:lineRule="auto"/>
              <w:ind w:left="283" w:hanging="283" w:hangingChars="135"/>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竞标有效期：自首次响应文件提交截止之日起</w:t>
            </w:r>
            <w:r>
              <w:rPr>
                <w:rFonts w:ascii="宋体" w:hAnsi="宋体" w:cs="宋体"/>
                <w:color w:val="auto"/>
                <w:kern w:val="2"/>
                <w:sz w:val="21"/>
                <w:szCs w:val="21"/>
                <w:highlight w:val="none"/>
                <w:u w:val="single"/>
              </w:rPr>
              <w:t>90</w:t>
            </w:r>
            <w:r>
              <w:rPr>
                <w:rFonts w:hint="eastAsia" w:ascii="宋体" w:hAnsi="宋体" w:cs="宋体"/>
                <w:color w:val="auto"/>
                <w:kern w:val="2"/>
                <w:sz w:val="21"/>
                <w:szCs w:val="21"/>
                <w:highlight w:val="none"/>
              </w:rPr>
              <w:t>日。</w:t>
            </w:r>
          </w:p>
        </w:tc>
      </w:tr>
      <w:tr w14:paraId="4F823B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706C77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17.1</w:t>
            </w:r>
          </w:p>
        </w:tc>
        <w:tc>
          <w:tcPr>
            <w:tcW w:w="7912" w:type="dxa"/>
            <w:vAlign w:val="center"/>
          </w:tcPr>
          <w:p w14:paraId="36F0FFD5">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□本项目不收取磋商保证金。</w:t>
            </w:r>
          </w:p>
          <w:p w14:paraId="681B8198">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√本项目收取磋商保证金，具体规定如下：</w:t>
            </w:r>
          </w:p>
          <w:p w14:paraId="0C893B40">
            <w:pPr>
              <w:spacing w:line="360" w:lineRule="auto"/>
              <w:rPr>
                <w:rFonts w:hint="eastAsia" w:ascii="宋体" w:hAnsi="宋体" w:cs="宋体"/>
                <w:color w:val="auto"/>
                <w:kern w:val="0"/>
                <w:szCs w:val="21"/>
                <w:highlight w:val="none"/>
              </w:rPr>
            </w:pPr>
            <w:r>
              <w:rPr>
                <w:rFonts w:ascii="宋体" w:hAnsi="宋体" w:cs="宋体"/>
                <w:color w:val="auto"/>
                <w:kern w:val="0"/>
                <w:szCs w:val="21"/>
                <w:highlight w:val="none"/>
                <w:u w:val="single"/>
              </w:rPr>
              <w:t>/</w:t>
            </w:r>
            <w:r>
              <w:rPr>
                <w:rFonts w:hint="eastAsia" w:ascii="宋体" w:hAnsi="宋体" w:cs="宋体"/>
                <w:color w:val="auto"/>
                <w:kern w:val="0"/>
                <w:szCs w:val="21"/>
                <w:highlight w:val="none"/>
              </w:rPr>
              <w:t>分标磋商保证金</w:t>
            </w:r>
            <w:r>
              <w:rPr>
                <w:rFonts w:hint="eastAsia" w:ascii="宋体" w:hAnsi="宋体" w:cs="宋体"/>
                <w:color w:val="auto"/>
                <w:kern w:val="0"/>
                <w:szCs w:val="21"/>
                <w:highlight w:val="none"/>
                <w:lang w:eastAsia="zh-CN"/>
              </w:rPr>
              <w:t>人民币贰万玖仟元整（￥29000.00）</w:t>
            </w:r>
            <w:r>
              <w:rPr>
                <w:rFonts w:hint="eastAsia" w:ascii="宋体" w:hAnsi="宋体" w:cs="宋体"/>
                <w:color w:val="auto"/>
                <w:kern w:val="0"/>
                <w:szCs w:val="21"/>
                <w:highlight w:val="none"/>
              </w:rPr>
              <w:t>。</w:t>
            </w:r>
          </w:p>
          <w:p w14:paraId="1D8F1BE5">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磋商保证金的交纳方式：银行转账、支票、汇票、本票或者银行、保险机构出具的保函，禁止采用现钞方式。采用银行转账方式的，在响应文件提交截止时间前交至指定账户并且到账</w:t>
            </w:r>
            <w:r>
              <w:rPr>
                <w:rFonts w:hint="eastAsia" w:ascii="宋体" w:hAnsi="宋体" w:cs="宋体"/>
                <w:b/>
                <w:color w:val="auto"/>
                <w:kern w:val="0"/>
                <w:szCs w:val="21"/>
                <w:highlight w:val="none"/>
              </w:rPr>
              <w:t>（办理磋商保证金手续时，请务必在银行进账单或电汇单的用途或空白栏上注明项目编号）</w:t>
            </w:r>
            <w:r>
              <w:rPr>
                <w:rFonts w:hint="eastAsia" w:ascii="宋体" w:hAnsi="宋体" w:cs="宋体"/>
                <w:color w:val="auto"/>
                <w:kern w:val="0"/>
                <w:szCs w:val="21"/>
                <w:highlight w:val="none"/>
              </w:rPr>
              <w:t>【开户名称：广西国栋招标有限公司，开户银行：平安银行南宁分行营业部，银行账号：15333566666608】；采用支票、汇票、本票或者保函等方式的，在响应文件提交截止时间前，供应商必须提交单独密封的支票、汇票、本票或者保函原件。否则视为无效磋商保证金。</w:t>
            </w:r>
          </w:p>
          <w:p w14:paraId="68B6DC86">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相关要求：</w:t>
            </w:r>
          </w:p>
          <w:p w14:paraId="299DED9F">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1.磋商保证金采用银行转账交纳方式的，在响应文件提交截止时间前交至指定账户并且到账，供应商应将银行转账底单的复印件作为磋商保证金提交凭证，放置于商务技术文件中，</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53630BEC">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2.磋商保证金采用支票、汇票、本票或者银行、保险机构出具的保函交纳方式的，供应商应将支票、汇票、本票或者银行、保险机构出具的保函的复印件作为磋商保证金提交凭证，放置于</w:t>
            </w:r>
            <w:r>
              <w:rPr>
                <w:rFonts w:hint="eastAsia" w:ascii="宋体" w:hAnsi="宋体" w:cs="宋体"/>
                <w:color w:val="auto"/>
                <w:szCs w:val="21"/>
                <w:highlight w:val="none"/>
              </w:rPr>
              <w:t>商务技术文件</w:t>
            </w:r>
            <w:r>
              <w:rPr>
                <w:rFonts w:hint="eastAsia" w:ascii="宋体" w:hAnsi="宋体"/>
                <w:color w:val="auto"/>
                <w:szCs w:val="21"/>
                <w:highlight w:val="none"/>
              </w:rPr>
              <w:t>中，</w:t>
            </w:r>
            <w:r>
              <w:rPr>
                <w:rFonts w:hint="eastAsia" w:ascii="宋体" w:hAnsi="宋体" w:cs="宋体"/>
                <w:b/>
                <w:color w:val="auto"/>
                <w:szCs w:val="21"/>
                <w:highlight w:val="none"/>
              </w:rPr>
              <w:t>否则响应文件按无效处理</w:t>
            </w:r>
            <w:r>
              <w:rPr>
                <w:rFonts w:hint="eastAsia" w:ascii="宋体" w:hAnsi="宋体"/>
                <w:color w:val="auto"/>
                <w:szCs w:val="21"/>
                <w:highlight w:val="none"/>
              </w:rPr>
              <w:t>。供应商必须</w:t>
            </w:r>
            <w:r>
              <w:rPr>
                <w:rFonts w:hint="eastAsia"/>
                <w:color w:val="auto"/>
                <w:highlight w:val="none"/>
              </w:rPr>
              <w:t>在响应文件提交截止时间前采用现场或邮寄方式（现场提交或邮寄地址：</w:t>
            </w:r>
            <w:r>
              <w:rPr>
                <w:rFonts w:hint="eastAsia" w:ascii="宋体" w:hAnsi="宋体" w:cs="仿宋"/>
                <w:color w:val="auto"/>
                <w:szCs w:val="21"/>
                <w:highlight w:val="none"/>
                <w:u w:val="single"/>
              </w:rPr>
              <w:t>广西南宁市青秀区双拥路40-1号东方明珠花园1栋1单元9层</w:t>
            </w:r>
            <w:r>
              <w:rPr>
                <w:rFonts w:hint="eastAsia"/>
                <w:color w:val="auto"/>
                <w:highlight w:val="none"/>
              </w:rPr>
              <w:t>，收件人：</w:t>
            </w:r>
            <w:r>
              <w:rPr>
                <w:rFonts w:hint="eastAsia" w:ascii="宋体" w:hAnsi="宋体" w:cs="仿宋"/>
                <w:color w:val="auto"/>
                <w:kern w:val="0"/>
                <w:szCs w:val="21"/>
                <w:highlight w:val="none"/>
                <w:u w:val="single"/>
              </w:rPr>
              <w:t>陈工</w:t>
            </w:r>
            <w:r>
              <w:rPr>
                <w:rFonts w:hint="eastAsia"/>
                <w:color w:val="auto"/>
                <w:highlight w:val="none"/>
              </w:rPr>
              <w:t>，联系方式：</w:t>
            </w:r>
            <w:r>
              <w:rPr>
                <w:rFonts w:hint="eastAsia" w:ascii="宋体" w:hAnsi="宋体" w:cs="仿宋"/>
                <w:color w:val="auto"/>
                <w:kern w:val="0"/>
                <w:szCs w:val="21"/>
                <w:highlight w:val="none"/>
                <w:u w:val="single"/>
              </w:rPr>
              <w:t>0771-5894688</w:t>
            </w:r>
            <w:r>
              <w:rPr>
                <w:rFonts w:hint="eastAsia"/>
                <w:color w:val="auto"/>
                <w:highlight w:val="none"/>
              </w:rPr>
              <w:t>）</w:t>
            </w:r>
            <w:r>
              <w:rPr>
                <w:rFonts w:hint="eastAsia" w:ascii="宋体" w:hAnsi="宋体"/>
                <w:color w:val="auto"/>
                <w:szCs w:val="21"/>
                <w:highlight w:val="none"/>
              </w:rPr>
              <w:t>将</w:t>
            </w:r>
            <w:r>
              <w:rPr>
                <w:rFonts w:hint="eastAsia" w:ascii="宋体" w:hAnsi="宋体" w:cs="宋体"/>
                <w:color w:val="auto"/>
                <w:kern w:val="0"/>
                <w:szCs w:val="21"/>
                <w:highlight w:val="none"/>
              </w:rPr>
              <w:t>单独密封的</w:t>
            </w:r>
            <w:r>
              <w:rPr>
                <w:rFonts w:hint="eastAsia" w:ascii="宋体" w:hAnsi="宋体"/>
                <w:color w:val="auto"/>
                <w:szCs w:val="21"/>
                <w:highlight w:val="none"/>
              </w:rPr>
              <w:t>支票、汇票、本票或者银行、保险机构出具的保函原件提交给采购人或者采购代理机构，由采购人或者采购代理机构向供应商出具回执（邮寄方式的除外），并妥善保管。</w:t>
            </w:r>
          </w:p>
          <w:p w14:paraId="2C613C8F">
            <w:pPr>
              <w:snapToGrid w:val="0"/>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3.供应商为联合体的，可以由联合体中的一方或者多方共同交纳磋商保证金，其交纳的保证金对联合体各方均具有约束力。</w:t>
            </w:r>
          </w:p>
          <w:p w14:paraId="4A2EBE26">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备注：</w:t>
            </w:r>
          </w:p>
          <w:p w14:paraId="1B654C44">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1.磋商保证金在响应文件提交截止时间后提交的，或者不按规定交纳方式交纳的，或者未足额交纳的（包含保函额度不足的），视为无效磋商保证金。</w:t>
            </w:r>
          </w:p>
          <w:p w14:paraId="69670B20">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2.供应商采用现钞方式或者从个人账户（自然人竞标除外）转出的磋商保证金，视为无效磋商保证金。</w:t>
            </w:r>
          </w:p>
          <w:p w14:paraId="15E96FE0">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3.支票、汇票或者本票出现无效或者背书情形的，视为无效磋商保证金。</w:t>
            </w:r>
          </w:p>
          <w:p w14:paraId="0DB901A2">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4.保函有效期低于竞标有效期的，视为无效磋商保证金。</w:t>
            </w:r>
          </w:p>
          <w:p w14:paraId="2F35F90D">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5.采用银行、保险机构出具保函的，必须为无条件保函，否则视为无效磋商保证金。</w:t>
            </w:r>
          </w:p>
          <w:p w14:paraId="32393AF9">
            <w:pPr>
              <w:snapToGrid w:val="0"/>
              <w:spacing w:line="360" w:lineRule="auto"/>
              <w:rPr>
                <w:rFonts w:hint="eastAsia" w:ascii="宋体" w:hAnsi="宋体" w:cs="宋体"/>
                <w:color w:val="auto"/>
                <w:szCs w:val="21"/>
                <w:highlight w:val="none"/>
              </w:rPr>
            </w:pPr>
            <w:r>
              <w:rPr>
                <w:rFonts w:hint="eastAsia" w:ascii="宋体" w:hAnsi="宋体"/>
                <w:b/>
                <w:color w:val="auto"/>
                <w:szCs w:val="21"/>
                <w:highlight w:val="none"/>
              </w:rPr>
              <w:t>6</w:t>
            </w:r>
            <w:r>
              <w:rPr>
                <w:rFonts w:ascii="宋体" w:hAnsi="宋体"/>
                <w:b/>
                <w:color w:val="auto"/>
                <w:szCs w:val="21"/>
                <w:highlight w:val="none"/>
              </w:rPr>
              <w:t>.</w:t>
            </w:r>
            <w:r>
              <w:rPr>
                <w:rFonts w:hint="eastAsia" w:ascii="宋体" w:hAnsi="宋体"/>
                <w:b/>
                <w:color w:val="auto"/>
                <w:szCs w:val="21"/>
                <w:highlight w:val="none"/>
              </w:rPr>
              <w:t>广西政府采购云平台暂未</w:t>
            </w:r>
            <w:r>
              <w:rPr>
                <w:rFonts w:ascii="宋体" w:hAnsi="宋体"/>
                <w:b/>
                <w:color w:val="auto"/>
                <w:szCs w:val="21"/>
                <w:highlight w:val="none"/>
              </w:rPr>
              <w:t>支持电子保函功能</w:t>
            </w:r>
            <w:r>
              <w:rPr>
                <w:rFonts w:hint="eastAsia" w:ascii="宋体" w:hAnsi="宋体"/>
                <w:b/>
                <w:color w:val="auto"/>
                <w:szCs w:val="21"/>
                <w:highlight w:val="none"/>
              </w:rPr>
              <w:t>，</w:t>
            </w:r>
            <w:r>
              <w:rPr>
                <w:rFonts w:ascii="宋体" w:hAnsi="宋体"/>
                <w:b/>
                <w:color w:val="auto"/>
                <w:szCs w:val="21"/>
                <w:highlight w:val="none"/>
              </w:rPr>
              <w:t>故本项目暂不接受电子保函形式的保证金</w:t>
            </w:r>
            <w:r>
              <w:rPr>
                <w:rFonts w:hint="eastAsia" w:ascii="宋体" w:hAnsi="宋体"/>
                <w:b/>
                <w:color w:val="auto"/>
                <w:szCs w:val="21"/>
                <w:highlight w:val="none"/>
              </w:rPr>
              <w:t>。</w:t>
            </w:r>
          </w:p>
        </w:tc>
      </w:tr>
      <w:tr w14:paraId="64BF8A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0F9DE50">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19</w:t>
            </w:r>
          </w:p>
        </w:tc>
        <w:tc>
          <w:tcPr>
            <w:tcW w:w="7912" w:type="dxa"/>
            <w:vAlign w:val="center"/>
          </w:tcPr>
          <w:p w14:paraId="56E63441">
            <w:pPr>
              <w:spacing w:line="360" w:lineRule="auto"/>
              <w:rPr>
                <w:rFonts w:hint="eastAsia" w:ascii="宋体" w:hAnsi="宋体" w:cs="宋体"/>
                <w:color w:val="auto"/>
                <w:szCs w:val="21"/>
                <w:highlight w:val="none"/>
              </w:rPr>
            </w:pPr>
            <w:r>
              <w:rPr>
                <w:rFonts w:hint="eastAsia" w:ascii="宋体" w:hAnsi="宋体"/>
                <w:color w:val="auto"/>
                <w:szCs w:val="21"/>
                <w:highlight w:val="none"/>
              </w:rPr>
              <w:t>本项目不接受</w:t>
            </w:r>
            <w:r>
              <w:rPr>
                <w:rFonts w:hint="eastAsia"/>
                <w:color w:val="auto"/>
                <w:highlight w:val="none"/>
              </w:rPr>
              <w:t>电子</w:t>
            </w:r>
            <w:r>
              <w:rPr>
                <w:rFonts w:hint="eastAsia" w:ascii="宋体" w:hAnsi="宋体"/>
                <w:color w:val="auto"/>
                <w:szCs w:val="21"/>
                <w:highlight w:val="none"/>
              </w:rPr>
              <w:t>备份响应文件。</w:t>
            </w:r>
          </w:p>
        </w:tc>
      </w:tr>
      <w:tr w14:paraId="21B84E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839026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20.1</w:t>
            </w:r>
          </w:p>
        </w:tc>
        <w:tc>
          <w:tcPr>
            <w:tcW w:w="7912" w:type="dxa"/>
            <w:vAlign w:val="center"/>
          </w:tcPr>
          <w:p w14:paraId="685BE002">
            <w:pPr>
              <w:spacing w:line="360" w:lineRule="auto"/>
              <w:contextualSpacing/>
              <w:jc w:val="left"/>
              <w:rPr>
                <w:rFonts w:hint="eastAsia" w:ascii="宋体" w:hAnsi="宋体" w:cs="宋体"/>
                <w:color w:val="auto"/>
                <w:szCs w:val="21"/>
                <w:highlight w:val="none"/>
                <w:u w:val="single"/>
              </w:rPr>
            </w:pPr>
            <w:r>
              <w:rPr>
                <w:rFonts w:hint="eastAsia" w:ascii="宋体" w:hAnsi="宋体" w:cs="宋体"/>
                <w:color w:val="auto"/>
                <w:szCs w:val="21"/>
                <w:highlight w:val="none"/>
              </w:rPr>
              <w:t>响应文件提交截止时间：详见竞争性磋商公告。</w:t>
            </w:r>
          </w:p>
          <w:p w14:paraId="085F3B00">
            <w:pPr>
              <w:spacing w:line="360" w:lineRule="auto"/>
              <w:contextualSpacing/>
              <w:jc w:val="left"/>
              <w:rPr>
                <w:rFonts w:hint="eastAsia" w:ascii="宋体" w:hAnsi="宋体" w:cs="宋体"/>
                <w:color w:val="auto"/>
                <w:szCs w:val="21"/>
                <w:highlight w:val="none"/>
              </w:rPr>
            </w:pPr>
            <w:r>
              <w:rPr>
                <w:rFonts w:hint="eastAsia" w:ascii="宋体" w:hAnsi="宋体" w:cs="宋体"/>
                <w:color w:val="auto"/>
                <w:szCs w:val="21"/>
                <w:highlight w:val="none"/>
              </w:rPr>
              <w:t>响应文件提交地点：详见竞争性磋商公告。</w:t>
            </w:r>
          </w:p>
          <w:p w14:paraId="0764A6EC">
            <w:pPr>
              <w:spacing w:line="360" w:lineRule="auto"/>
              <w:rPr>
                <w:rFonts w:hint="eastAsia" w:ascii="宋体" w:hAnsi="宋体"/>
                <w:b/>
                <w:color w:val="auto"/>
                <w:szCs w:val="21"/>
                <w:highlight w:val="none"/>
                <w:u w:val="single"/>
              </w:rPr>
            </w:pPr>
            <w:r>
              <w:rPr>
                <w:rFonts w:hint="eastAsia" w:ascii="宋体" w:hAnsi="宋体"/>
                <w:b/>
                <w:color w:val="auto"/>
                <w:szCs w:val="21"/>
                <w:highlight w:val="none"/>
                <w:u w:val="single"/>
              </w:rPr>
              <w:t>电子版响应文件制作方式见磋商公告附件。</w:t>
            </w:r>
          </w:p>
          <w:p w14:paraId="6D9892A4">
            <w:pPr>
              <w:spacing w:line="360" w:lineRule="auto"/>
              <w:rPr>
                <w:rFonts w:hint="eastAsia" w:ascii="宋体" w:hAnsi="宋体"/>
                <w:b/>
                <w:color w:val="auto"/>
                <w:szCs w:val="21"/>
                <w:highlight w:val="none"/>
                <w:u w:val="single"/>
              </w:rPr>
            </w:pPr>
            <w:r>
              <w:rPr>
                <w:rFonts w:hint="eastAsia" w:ascii="宋体" w:hAnsi="宋体"/>
                <w:b/>
                <w:color w:val="auto"/>
                <w:szCs w:val="21"/>
                <w:highlight w:val="none"/>
                <w:u w:val="single"/>
              </w:rPr>
              <w:t>特别说明：因项目存档需要，须按以下要求提供纸质响应文件：（1）成交供应商在成交通知书发出后5天内须提交3套纸质版响应文件（含资格证明文件、报价文件、商务文件、技术文件，合并装订成一本用各自的封面隔开。按要求加盖公章）右上角注明“正/副本”给采购代理机构，壹正贰副。</w:t>
            </w:r>
          </w:p>
          <w:p w14:paraId="4A0E832E">
            <w:pPr>
              <w:spacing w:line="360" w:lineRule="auto"/>
              <w:contextualSpacing/>
              <w:jc w:val="left"/>
              <w:rPr>
                <w:rFonts w:hint="eastAsia" w:ascii="宋体" w:hAnsi="宋体" w:cs="宋体"/>
                <w:color w:val="auto"/>
                <w:szCs w:val="21"/>
                <w:highlight w:val="none"/>
              </w:rPr>
            </w:pPr>
            <w:r>
              <w:rPr>
                <w:rFonts w:hint="eastAsia" w:ascii="宋体" w:hAnsi="宋体"/>
                <w:b/>
                <w:color w:val="auto"/>
                <w:szCs w:val="21"/>
                <w:highlight w:val="none"/>
                <w:u w:val="single"/>
              </w:rPr>
              <w:t>提交的纸质版响应文件文本必须与其上传的电子响应文件内容一致，不允许有篡改。如项目验收时因所提供的纸质响应文件与评审的响应文件不一致造成纠纷时，所有责任由成交供应商承担。</w:t>
            </w:r>
          </w:p>
        </w:tc>
      </w:tr>
      <w:tr w14:paraId="078C1F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4B48D1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24.1</w:t>
            </w:r>
          </w:p>
        </w:tc>
        <w:tc>
          <w:tcPr>
            <w:tcW w:w="7912" w:type="dxa"/>
            <w:vAlign w:val="center"/>
          </w:tcPr>
          <w:p w14:paraId="019AE908">
            <w:pPr>
              <w:snapToGrid w:val="0"/>
              <w:spacing w:line="360" w:lineRule="auto"/>
              <w:jc w:val="left"/>
              <w:rPr>
                <w:rFonts w:hint="eastAsia" w:ascii="宋体" w:hAnsi="宋体" w:cs="宋体"/>
                <w:color w:val="auto"/>
                <w:szCs w:val="21"/>
                <w:highlight w:val="none"/>
                <w:u w:val="single"/>
              </w:rPr>
            </w:pPr>
            <w:r>
              <w:rPr>
                <w:rFonts w:hint="eastAsia" w:ascii="宋体" w:hAnsi="宋体" w:cs="宋体"/>
                <w:color w:val="auto"/>
                <w:szCs w:val="21"/>
                <w:highlight w:val="none"/>
              </w:rPr>
              <w:t>磋商小组的人数：</w:t>
            </w:r>
            <w:r>
              <w:rPr>
                <w:rFonts w:ascii="宋体" w:hAnsi="宋体" w:cs="宋体"/>
                <w:color w:val="auto"/>
                <w:szCs w:val="21"/>
                <w:highlight w:val="none"/>
                <w:u w:val="single"/>
              </w:rPr>
              <w:t>3</w:t>
            </w:r>
            <w:r>
              <w:rPr>
                <w:rFonts w:hint="eastAsia" w:ascii="宋体" w:hAnsi="宋体" w:cs="宋体"/>
                <w:color w:val="auto"/>
                <w:szCs w:val="21"/>
                <w:highlight w:val="none"/>
              </w:rPr>
              <w:t>人或以上单数。</w:t>
            </w:r>
          </w:p>
        </w:tc>
      </w:tr>
      <w:tr w14:paraId="2E471C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796662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p>
        </w:tc>
        <w:tc>
          <w:tcPr>
            <w:tcW w:w="7912" w:type="dxa"/>
            <w:vAlign w:val="center"/>
          </w:tcPr>
          <w:p w14:paraId="510C2CE0">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首次响应文件开启时间详见“竞争性磋商公告”。</w:t>
            </w:r>
          </w:p>
          <w:p w14:paraId="2AFC64BD">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首次响应文件解密时间：</w:t>
            </w:r>
            <w:r>
              <w:rPr>
                <w:rFonts w:hAnsi="宋体"/>
                <w:color w:val="auto"/>
                <w:highlight w:val="none"/>
                <w:u w:val="single"/>
              </w:rPr>
              <w:t>30</w:t>
            </w:r>
            <w:r>
              <w:rPr>
                <w:rFonts w:hint="eastAsia" w:hAnsi="宋体"/>
                <w:color w:val="auto"/>
                <w:highlight w:val="none"/>
              </w:rPr>
              <w:t>分钟。</w:t>
            </w:r>
          </w:p>
        </w:tc>
      </w:tr>
      <w:tr w14:paraId="101D71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Align w:val="center"/>
          </w:tcPr>
          <w:p w14:paraId="5A0452C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6.3</w:t>
            </w:r>
          </w:p>
        </w:tc>
        <w:tc>
          <w:tcPr>
            <w:tcW w:w="7912" w:type="dxa"/>
            <w:vAlign w:val="center"/>
          </w:tcPr>
          <w:p w14:paraId="07A30590">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商务要求评审中允许负偏离的条款数为</w:t>
            </w:r>
            <w:r>
              <w:rPr>
                <w:rFonts w:ascii="宋体" w:hAnsi="宋体" w:cs="宋体"/>
                <w:color w:val="auto"/>
                <w:szCs w:val="21"/>
                <w:highlight w:val="none"/>
                <w:u w:val="single"/>
              </w:rPr>
              <w:t>0</w:t>
            </w:r>
            <w:r>
              <w:rPr>
                <w:rFonts w:hint="eastAsia" w:ascii="宋体" w:hAnsi="宋体" w:cs="宋体"/>
                <w:color w:val="auto"/>
                <w:szCs w:val="21"/>
                <w:highlight w:val="none"/>
              </w:rPr>
              <w:t>项。</w:t>
            </w:r>
          </w:p>
          <w:p w14:paraId="698C1C2B">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技术要求评审中允许负偏离的条款数为</w:t>
            </w:r>
            <w:r>
              <w:rPr>
                <w:rFonts w:ascii="宋体" w:hAnsi="宋体" w:cs="宋体"/>
                <w:color w:val="auto"/>
                <w:szCs w:val="21"/>
                <w:highlight w:val="none"/>
                <w:u w:val="single"/>
              </w:rPr>
              <w:t>0</w:t>
            </w:r>
            <w:r>
              <w:rPr>
                <w:rFonts w:hint="eastAsia" w:ascii="宋体" w:hAnsi="宋体" w:cs="宋体"/>
                <w:color w:val="auto"/>
                <w:szCs w:val="21"/>
                <w:highlight w:val="none"/>
              </w:rPr>
              <w:t>项。</w:t>
            </w:r>
          </w:p>
        </w:tc>
      </w:tr>
      <w:tr w14:paraId="4CD28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7BD203C">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28.1</w:t>
            </w:r>
          </w:p>
        </w:tc>
        <w:tc>
          <w:tcPr>
            <w:tcW w:w="7912" w:type="dxa"/>
            <w:vAlign w:val="center"/>
          </w:tcPr>
          <w:p w14:paraId="2CD57FD0">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本项目不收取履约保证金。</w:t>
            </w:r>
          </w:p>
          <w:p w14:paraId="49A13348">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本项目收取履约保证金，具体规定如下：</w:t>
            </w:r>
          </w:p>
          <w:p w14:paraId="359C912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履约保证金金额：按预算金额的</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rPr>
              <w:t>%，签订合同前交至</w:t>
            </w:r>
            <w:r>
              <w:rPr>
                <w:rFonts w:hint="eastAsia" w:ascii="宋体" w:hAnsi="宋体" w:cs="宋体"/>
                <w:color w:val="auto"/>
                <w:szCs w:val="21"/>
                <w:highlight w:val="none"/>
                <w:lang w:val="en-US" w:eastAsia="zh-CN"/>
              </w:rPr>
              <w:t>/</w:t>
            </w:r>
            <w:r>
              <w:rPr>
                <w:rFonts w:hint="eastAsia" w:ascii="宋体" w:hAnsi="宋体" w:cs="宋体"/>
                <w:color w:val="auto"/>
                <w:sz w:val="24"/>
                <w:highlight w:val="none"/>
              </w:rPr>
              <w:t>指定账户</w:t>
            </w:r>
            <w:r>
              <w:rPr>
                <w:rFonts w:hint="eastAsia" w:ascii="宋体" w:hAnsi="宋体" w:cs="宋体"/>
                <w:color w:val="auto"/>
                <w:szCs w:val="21"/>
                <w:highlight w:val="none"/>
              </w:rPr>
              <w:t>。</w:t>
            </w:r>
          </w:p>
          <w:p w14:paraId="76F052C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履约保证金提交方式：银行转账、支票、汇票、本票或者银行、保险机构出具的保函等非现金方式。</w:t>
            </w:r>
          </w:p>
          <w:p w14:paraId="6E3FEFDD">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履约保证金退付方式、时间及条件：</w:t>
            </w:r>
          </w:p>
          <w:p w14:paraId="556F348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履约保证金在成交人按合同约定履行后，如无问题，由成交供应商向履约保证金收取单位提供《广西壮族自治区政府采购项目合同验收书》（详见桂财采〔2015〕22号），保证金收取单位在收到合格材料后5个工作日内办理退还手续（不计利息）。履约保证金指定账户：</w:t>
            </w:r>
          </w:p>
          <w:p w14:paraId="3C25E833">
            <w:pPr>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开户名称：</w:t>
            </w:r>
          </w:p>
          <w:p w14:paraId="16B8811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开户银行：</w:t>
            </w:r>
          </w:p>
          <w:p w14:paraId="2928775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银行账号：</w:t>
            </w:r>
          </w:p>
          <w:p w14:paraId="685E760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统一社会信用代码：</w:t>
            </w:r>
          </w:p>
          <w:p w14:paraId="5FB4389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联系电话：</w:t>
            </w:r>
          </w:p>
          <w:p w14:paraId="028D352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地址：</w:t>
            </w:r>
          </w:p>
          <w:p w14:paraId="6E14592A">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备注：</w:t>
            </w:r>
          </w:p>
          <w:p w14:paraId="78CEFF4C">
            <w:pPr>
              <w:spacing w:line="360" w:lineRule="auto"/>
              <w:contextualSpacing/>
              <w:rPr>
                <w:rFonts w:hint="eastAsia" w:ascii="宋体" w:hAnsi="宋体" w:cs="宋体"/>
                <w:b/>
                <w:color w:val="auto"/>
                <w:szCs w:val="21"/>
                <w:highlight w:val="none"/>
              </w:rPr>
            </w:pPr>
            <w:r>
              <w:rPr>
                <w:rFonts w:hint="eastAsia" w:ascii="宋体" w:hAnsi="宋体" w:cs="宋体"/>
                <w:b/>
                <w:color w:val="auto"/>
                <w:szCs w:val="21"/>
                <w:highlight w:val="none"/>
              </w:rPr>
              <w:t>1</w:t>
            </w:r>
            <w:r>
              <w:rPr>
                <w:rFonts w:ascii="宋体" w:hAnsi="宋体" w:cs="宋体"/>
                <w:b/>
                <w:color w:val="auto"/>
                <w:szCs w:val="21"/>
                <w:highlight w:val="none"/>
              </w:rPr>
              <w:t>.</w:t>
            </w:r>
            <w:bookmarkStart w:id="67" w:name="_Hlk54170335"/>
            <w:r>
              <w:rPr>
                <w:rFonts w:hint="eastAsia" w:ascii="宋体" w:hAnsi="宋体"/>
                <w:b/>
                <w:color w:val="auto"/>
                <w:szCs w:val="21"/>
                <w:highlight w:val="none"/>
              </w:rPr>
              <w:t>根据《广西壮族自治区财政厅关于贯彻落实政府采购优化营商环境百日攻坚行动方案的通知》（桂财采〔2020〕49号）及桂财采〔2022〕30号 广西壮族自治区财政厅关于进一步发挥政府采购政策功能促进企业发展的通知规定，采购文件要求中标或者成交供应商提交履约保证金的，履约保证金数额不得超过政府采购合同金额的5%，对中小企业收取的履约保证金数额不得超过政府采购合同金额的2%。</w:t>
            </w:r>
            <w:bookmarkEnd w:id="67"/>
          </w:p>
          <w:p w14:paraId="5C28F0B0">
            <w:pPr>
              <w:spacing w:line="360" w:lineRule="auto"/>
              <w:contextualSpacing/>
              <w:rPr>
                <w:rFonts w:hint="eastAsia" w:ascii="宋体" w:hAnsi="宋体" w:cs="宋体"/>
                <w:b/>
                <w:color w:val="auto"/>
                <w:szCs w:val="21"/>
                <w:highlight w:val="none"/>
              </w:rPr>
            </w:pPr>
            <w:r>
              <w:rPr>
                <w:rFonts w:hint="eastAsia" w:ascii="宋体" w:hAnsi="宋体" w:cs="宋体"/>
                <w:b/>
                <w:color w:val="auto"/>
                <w:szCs w:val="21"/>
                <w:highlight w:val="none"/>
              </w:rPr>
              <w:t>2</w:t>
            </w:r>
            <w:r>
              <w:rPr>
                <w:rFonts w:ascii="宋体" w:hAnsi="宋体" w:cs="宋体"/>
                <w:b/>
                <w:color w:val="auto"/>
                <w:szCs w:val="21"/>
                <w:highlight w:val="none"/>
              </w:rPr>
              <w:t>.</w:t>
            </w:r>
            <w:r>
              <w:rPr>
                <w:rFonts w:hint="eastAsia" w:ascii="宋体" w:hAnsi="宋体" w:cs="宋体"/>
                <w:b/>
                <w:color w:val="auto"/>
                <w:szCs w:val="21"/>
                <w:highlight w:val="none"/>
              </w:rPr>
              <w:t>履约保证金不足额缴纳的，或者银行、保险机构出具的保函额度不足的或者保函有效期低于合同履行期限（即签订采购合同之日起至履行完合同约定的权利及义务之日止）的，不予签订合同。</w:t>
            </w:r>
          </w:p>
          <w:p w14:paraId="6CC5E52B">
            <w:pPr>
              <w:spacing w:line="360" w:lineRule="auto"/>
              <w:contextualSpacing/>
              <w:rPr>
                <w:rFonts w:hint="eastAsia" w:ascii="宋体" w:hAnsi="宋体" w:cs="宋体"/>
                <w:b/>
                <w:color w:val="auto"/>
                <w:szCs w:val="21"/>
                <w:highlight w:val="none"/>
              </w:rPr>
            </w:pPr>
            <w:r>
              <w:rPr>
                <w:rFonts w:ascii="宋体" w:hAnsi="宋体" w:cs="宋体"/>
                <w:b/>
                <w:color w:val="auto"/>
                <w:szCs w:val="21"/>
                <w:highlight w:val="none"/>
              </w:rPr>
              <w:t>3.</w:t>
            </w:r>
            <w:r>
              <w:rPr>
                <w:rFonts w:hint="eastAsia" w:ascii="宋体" w:hAnsi="宋体" w:cs="宋体"/>
                <w:b/>
                <w:color w:val="auto"/>
                <w:szCs w:val="21"/>
                <w:highlight w:val="none"/>
              </w:rPr>
              <w:t>采用银行、保险机构出具的保函的，必须为无条件保函，否则不予签订合同。</w:t>
            </w:r>
          </w:p>
          <w:p w14:paraId="6C909F9D">
            <w:pPr>
              <w:snapToGrid w:val="0"/>
              <w:spacing w:line="360" w:lineRule="auto"/>
              <w:rPr>
                <w:rFonts w:hint="eastAsia" w:ascii="宋体" w:hAnsi="宋体" w:cs="宋体"/>
                <w:color w:val="auto"/>
                <w:szCs w:val="21"/>
                <w:highlight w:val="none"/>
              </w:rPr>
            </w:pPr>
            <w:r>
              <w:rPr>
                <w:rFonts w:ascii="宋体" w:hAnsi="宋体" w:cs="宋体"/>
                <w:b/>
                <w:color w:val="auto"/>
                <w:szCs w:val="21"/>
                <w:highlight w:val="none"/>
              </w:rPr>
              <w:t>4.</w:t>
            </w:r>
            <w:r>
              <w:rPr>
                <w:rFonts w:hint="eastAsia" w:ascii="宋体" w:hAnsi="宋体" w:cs="宋体"/>
                <w:b/>
                <w:color w:val="auto"/>
                <w:szCs w:val="21"/>
                <w:highlight w:val="none"/>
              </w:rPr>
              <w:t>供应商为联合体的，由联合体任意一方按规定提交的履约保证金，视为有效履约保证金。</w:t>
            </w:r>
          </w:p>
        </w:tc>
      </w:tr>
      <w:tr w14:paraId="731E9B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B90D7A2">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29.1</w:t>
            </w:r>
          </w:p>
        </w:tc>
        <w:tc>
          <w:tcPr>
            <w:tcW w:w="7912" w:type="dxa"/>
            <w:vAlign w:val="center"/>
          </w:tcPr>
          <w:p w14:paraId="692E941B">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签订合同携带的证明材料：</w:t>
            </w:r>
          </w:p>
          <w:p w14:paraId="4CE7E5EC">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委托代理人负责签订合同的，须携带授权委托书及委托代理人身份证原件等其他资格证件。</w:t>
            </w:r>
          </w:p>
          <w:p w14:paraId="1855F972">
            <w:pPr>
              <w:snapToGrid w:val="0"/>
              <w:spacing w:line="360" w:lineRule="auto"/>
              <w:rPr>
                <w:rFonts w:hint="eastAsia" w:ascii="宋体" w:hAnsi="宋体" w:cs="宋体"/>
                <w:color w:val="auto"/>
                <w:szCs w:val="21"/>
                <w:highlight w:val="none"/>
              </w:rPr>
            </w:pPr>
            <w:r>
              <w:rPr>
                <w:rFonts w:hint="eastAsia" w:ascii="宋体" w:hAnsi="宋体"/>
                <w:color w:val="auto"/>
                <w:szCs w:val="21"/>
                <w:highlight w:val="none"/>
              </w:rPr>
              <w:t>法定代表人负责签订合同的，须携带法定代表人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等其他证明材料。</w:t>
            </w:r>
          </w:p>
        </w:tc>
      </w:tr>
      <w:tr w14:paraId="1C96AD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28245F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1.2</w:t>
            </w:r>
          </w:p>
        </w:tc>
        <w:tc>
          <w:tcPr>
            <w:tcW w:w="7912" w:type="dxa"/>
            <w:vAlign w:val="center"/>
          </w:tcPr>
          <w:p w14:paraId="3A684FF9">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接收质疑函方式：以书面形式。</w:t>
            </w:r>
          </w:p>
          <w:p w14:paraId="35CA4C1D">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质疑联系部门及联系方式：广西国栋招标有限公司</w:t>
            </w:r>
          </w:p>
          <w:p w14:paraId="24019979">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联系电话：0771-5894688</w:t>
            </w:r>
          </w:p>
          <w:p w14:paraId="2228508E">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通讯地址：南宁市青秀区双拥路40-1号东方明珠花园1栋1单元9层</w:t>
            </w:r>
          </w:p>
          <w:p w14:paraId="3E1AC66B">
            <w:pPr>
              <w:pStyle w:val="22"/>
              <w:snapToGrid w:val="0"/>
              <w:spacing w:line="360" w:lineRule="auto"/>
              <w:rPr>
                <w:rFonts w:hint="eastAsia" w:hAnsi="宋体"/>
                <w:color w:val="auto"/>
                <w:kern w:val="2"/>
                <w:sz w:val="21"/>
                <w:highlight w:val="none"/>
              </w:rPr>
            </w:pPr>
            <w:r>
              <w:rPr>
                <w:rFonts w:hint="eastAsia" w:hAnsi="宋体"/>
                <w:color w:val="auto"/>
                <w:kern w:val="2"/>
                <w:sz w:val="21"/>
                <w:highlight w:val="none"/>
              </w:rPr>
              <w:t>业务时间：每天上午8时00分到12时00分，下午2时30分到5时30分，双休日和法定节假日不办理业务。</w:t>
            </w:r>
          </w:p>
        </w:tc>
      </w:tr>
      <w:tr w14:paraId="19E446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3C8DB01">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32.1</w:t>
            </w:r>
          </w:p>
        </w:tc>
        <w:tc>
          <w:tcPr>
            <w:tcW w:w="7912" w:type="dxa"/>
            <w:vAlign w:val="center"/>
          </w:tcPr>
          <w:p w14:paraId="0814201D">
            <w:pPr>
              <w:pStyle w:val="22"/>
              <w:snapToGrid w:val="0"/>
              <w:spacing w:line="360" w:lineRule="auto"/>
              <w:rPr>
                <w:rFonts w:hint="eastAsia" w:hAnsi="宋体" w:cs="宋体"/>
                <w:color w:val="auto"/>
                <w:sz w:val="21"/>
                <w:highlight w:val="none"/>
              </w:rPr>
            </w:pPr>
            <w:r>
              <w:rPr>
                <w:rFonts w:hint="eastAsia" w:hAnsi="宋体" w:cs="宋体"/>
                <w:color w:val="auto"/>
                <w:sz w:val="21"/>
                <w:highlight w:val="none"/>
              </w:rPr>
              <w:t>1.采购代理费支付方式：</w:t>
            </w:r>
          </w:p>
          <w:p w14:paraId="75804F26">
            <w:pPr>
              <w:pStyle w:val="22"/>
              <w:snapToGrid w:val="0"/>
              <w:spacing w:line="360" w:lineRule="auto"/>
              <w:rPr>
                <w:rFonts w:hint="eastAsia" w:hAnsi="宋体" w:cs="宋体"/>
                <w:color w:val="auto"/>
                <w:sz w:val="21"/>
                <w:highlight w:val="none"/>
              </w:rPr>
            </w:pPr>
            <w:r>
              <w:rPr>
                <w:rFonts w:hint="eastAsia" w:hAnsi="宋体" w:cs="宋体"/>
                <w:color w:val="auto"/>
                <w:sz w:val="21"/>
                <w:highlight w:val="none"/>
                <w:lang w:eastAsia="zh-CN"/>
              </w:rPr>
              <w:t>☑</w:t>
            </w:r>
            <w:r>
              <w:rPr>
                <w:rFonts w:hint="eastAsia" w:hAnsi="宋体" w:cs="宋体"/>
                <w:color w:val="auto"/>
                <w:sz w:val="21"/>
                <w:highlight w:val="none"/>
              </w:rPr>
              <w:t>本项目代理服务费按如下规定由</w:t>
            </w:r>
            <w:r>
              <w:rPr>
                <w:rFonts w:hint="eastAsia" w:hAnsi="宋体" w:cs="宋体"/>
                <w:color w:val="auto"/>
                <w:sz w:val="21"/>
                <w:highlight w:val="none"/>
                <w:u w:val="single"/>
              </w:rPr>
              <w:t>成交供应商</w:t>
            </w:r>
            <w:r>
              <w:rPr>
                <w:rFonts w:hint="eastAsia" w:hAnsi="宋体" w:cs="宋体"/>
                <w:color w:val="auto"/>
                <w:sz w:val="21"/>
                <w:highlight w:val="none"/>
              </w:rPr>
              <w:t>在领取成交通知书前，一次性向采购代理机构支付。</w:t>
            </w:r>
          </w:p>
          <w:p w14:paraId="74EE72D3">
            <w:pPr>
              <w:pStyle w:val="22"/>
              <w:snapToGrid w:val="0"/>
              <w:spacing w:line="360" w:lineRule="auto"/>
              <w:rPr>
                <w:rFonts w:hint="eastAsia" w:hAnsi="宋体" w:cs="宋体"/>
                <w:color w:val="auto"/>
                <w:sz w:val="21"/>
                <w:highlight w:val="none"/>
              </w:rPr>
            </w:pPr>
            <w:r>
              <w:rPr>
                <w:rFonts w:hint="eastAsia" w:hAnsi="宋体" w:cs="宋体"/>
                <w:color w:val="auto"/>
                <w:sz w:val="21"/>
                <w:highlight w:val="none"/>
                <w:lang w:eastAsia="zh-CN"/>
              </w:rPr>
              <w:t>□</w:t>
            </w:r>
            <w:r>
              <w:rPr>
                <w:rFonts w:hint="eastAsia" w:hAnsi="宋体" w:cs="宋体"/>
                <w:color w:val="auto"/>
                <w:sz w:val="21"/>
                <w:highlight w:val="none"/>
              </w:rPr>
              <w:t>采购人支付。</w:t>
            </w:r>
          </w:p>
          <w:p w14:paraId="234DFC35">
            <w:pPr>
              <w:pStyle w:val="22"/>
              <w:snapToGrid w:val="0"/>
              <w:spacing w:line="360" w:lineRule="auto"/>
              <w:rPr>
                <w:rFonts w:hint="eastAsia" w:hAnsi="宋体" w:cs="宋体"/>
                <w:color w:val="auto"/>
                <w:sz w:val="21"/>
                <w:highlight w:val="none"/>
              </w:rPr>
            </w:pPr>
            <w:r>
              <w:rPr>
                <w:rFonts w:hint="eastAsia" w:hAnsi="宋体" w:cs="宋体"/>
                <w:color w:val="auto"/>
                <w:sz w:val="21"/>
                <w:highlight w:val="none"/>
              </w:rPr>
              <w:t>2.采购代理费收取标准：</w:t>
            </w:r>
          </w:p>
          <w:p w14:paraId="058E9FB9">
            <w:pPr>
              <w:pStyle w:val="22"/>
              <w:snapToGrid w:val="0"/>
              <w:spacing w:line="360" w:lineRule="auto"/>
              <w:rPr>
                <w:rFonts w:hint="eastAsia" w:hAnsi="宋体" w:cs="宋体"/>
                <w:color w:val="auto"/>
                <w:sz w:val="21"/>
                <w:highlight w:val="none"/>
              </w:rPr>
            </w:pPr>
            <w:r>
              <w:rPr>
                <w:rFonts w:hint="eastAsia" w:hAnsi="宋体" w:cs="宋体"/>
                <w:color w:val="auto"/>
                <w:sz w:val="21"/>
                <w:highlight w:val="none"/>
                <w:lang w:eastAsia="zh-CN"/>
              </w:rPr>
              <w:t>□</w:t>
            </w:r>
            <w:r>
              <w:rPr>
                <w:rFonts w:hint="eastAsia" w:hAnsi="宋体"/>
                <w:color w:val="auto"/>
                <w:highlight w:val="none"/>
              </w:rPr>
              <w:t>按预算金额参照《招标代理服务费收费管理暂行办法》（计价格[2002]1980号）的规定向成交供应商收取</w:t>
            </w:r>
            <w:r>
              <w:rPr>
                <w:rFonts w:hint="eastAsia" w:hAnsi="宋体" w:cs="宋体"/>
                <w:color w:val="auto"/>
                <w:sz w:val="21"/>
                <w:highlight w:val="none"/>
              </w:rPr>
              <w:t>。</w:t>
            </w:r>
          </w:p>
          <w:p w14:paraId="6FD992B6">
            <w:pPr>
              <w:pStyle w:val="22"/>
              <w:snapToGrid w:val="0"/>
              <w:spacing w:line="360" w:lineRule="auto"/>
              <w:rPr>
                <w:rFonts w:hint="eastAsia" w:hAnsi="宋体" w:cs="宋体"/>
                <w:color w:val="auto"/>
                <w:sz w:val="21"/>
                <w:highlight w:val="none"/>
                <w:u w:val="single"/>
              </w:rPr>
            </w:pPr>
            <w:r>
              <w:rPr>
                <w:rFonts w:hint="eastAsia" w:hAnsi="宋体" w:cs="宋体"/>
                <w:color w:val="auto"/>
                <w:sz w:val="21"/>
                <w:highlight w:val="none"/>
                <w:lang w:eastAsia="zh-CN"/>
              </w:rPr>
              <w:t>☑</w:t>
            </w:r>
            <w:r>
              <w:rPr>
                <w:rFonts w:hint="eastAsia" w:hAnsi="宋体" w:cs="宋体"/>
                <w:color w:val="auto"/>
                <w:sz w:val="21"/>
                <w:highlight w:val="none"/>
              </w:rPr>
              <w:t>固定采购代理收费</w:t>
            </w:r>
            <w:r>
              <w:rPr>
                <w:rFonts w:hint="eastAsia" w:hAnsi="宋体" w:cs="宋体"/>
                <w:color w:val="auto"/>
                <w:sz w:val="21"/>
                <w:highlight w:val="none"/>
                <w:u w:val="single"/>
              </w:rPr>
              <w:t xml:space="preserve">  </w:t>
            </w:r>
            <w:r>
              <w:rPr>
                <w:rFonts w:hint="eastAsia" w:hAnsi="宋体" w:cs="宋体"/>
                <w:color w:val="auto"/>
                <w:sz w:val="21"/>
                <w:highlight w:val="none"/>
                <w:u w:val="single"/>
                <w:lang w:val="en-US" w:eastAsia="zh-CN"/>
              </w:rPr>
              <w:t>人民币</w:t>
            </w:r>
            <w:r>
              <w:rPr>
                <w:rFonts w:hint="eastAsia" w:hAnsi="宋体" w:cs="宋体"/>
                <w:color w:val="auto"/>
                <w:sz w:val="21"/>
                <w:highlight w:val="none"/>
                <w:u w:val="single"/>
              </w:rPr>
              <w:t>30200</w:t>
            </w:r>
            <w:r>
              <w:rPr>
                <w:rFonts w:hint="eastAsia" w:hAnsi="宋体" w:cs="宋体"/>
                <w:color w:val="auto"/>
                <w:sz w:val="21"/>
                <w:highlight w:val="none"/>
                <w:u w:val="single"/>
                <w:lang w:val="en-US" w:eastAsia="zh-CN"/>
              </w:rPr>
              <w:t>.00元</w:t>
            </w:r>
            <w:r>
              <w:rPr>
                <w:rFonts w:hint="eastAsia" w:hAnsi="宋体" w:cs="宋体"/>
                <w:color w:val="auto"/>
                <w:sz w:val="21"/>
                <w:highlight w:val="none"/>
                <w:u w:val="single"/>
              </w:rPr>
              <w:t xml:space="preserve">  。</w:t>
            </w:r>
          </w:p>
          <w:p w14:paraId="25D4DA14">
            <w:pPr>
              <w:pStyle w:val="22"/>
              <w:snapToGrid w:val="0"/>
              <w:spacing w:line="360" w:lineRule="auto"/>
              <w:rPr>
                <w:rFonts w:hint="eastAsia" w:hAnsi="宋体" w:cs="宋体"/>
                <w:color w:val="auto"/>
                <w:sz w:val="21"/>
                <w:highlight w:val="none"/>
              </w:rPr>
            </w:pPr>
            <w:r>
              <w:rPr>
                <w:rFonts w:hint="eastAsia" w:hAnsi="宋体" w:cs="宋体"/>
                <w:color w:val="auto"/>
                <w:sz w:val="21"/>
                <w:highlight w:val="none"/>
              </w:rPr>
              <w:t>3.采购代理费收取银行账户</w:t>
            </w:r>
          </w:p>
          <w:p w14:paraId="073C02C6">
            <w:pPr>
              <w:pStyle w:val="22"/>
              <w:snapToGrid w:val="0"/>
              <w:spacing w:line="360" w:lineRule="auto"/>
              <w:rPr>
                <w:rFonts w:hint="eastAsia" w:hAnsi="宋体" w:cs="宋体"/>
                <w:color w:val="auto"/>
                <w:sz w:val="21"/>
                <w:highlight w:val="none"/>
              </w:rPr>
            </w:pPr>
            <w:r>
              <w:rPr>
                <w:rFonts w:hint="eastAsia" w:hAnsi="宋体" w:cs="宋体"/>
                <w:color w:val="auto"/>
                <w:sz w:val="21"/>
                <w:highlight w:val="none"/>
              </w:rPr>
              <w:t>开户名称：广西国栋招标有限公司，</w:t>
            </w:r>
          </w:p>
          <w:p w14:paraId="564D167F">
            <w:pPr>
              <w:pStyle w:val="22"/>
              <w:snapToGrid w:val="0"/>
              <w:spacing w:line="360" w:lineRule="auto"/>
              <w:rPr>
                <w:rFonts w:hint="eastAsia" w:hAnsi="宋体" w:cs="宋体"/>
                <w:color w:val="auto"/>
                <w:sz w:val="21"/>
                <w:highlight w:val="none"/>
              </w:rPr>
            </w:pPr>
            <w:r>
              <w:rPr>
                <w:rFonts w:hint="eastAsia" w:hAnsi="宋体" w:cs="宋体"/>
                <w:color w:val="auto"/>
                <w:sz w:val="21"/>
                <w:highlight w:val="none"/>
              </w:rPr>
              <w:t>开户银行：平安银行南宁分行营业部，</w:t>
            </w:r>
          </w:p>
          <w:p w14:paraId="79847484">
            <w:pPr>
              <w:pStyle w:val="22"/>
              <w:snapToGrid w:val="0"/>
              <w:spacing w:line="360" w:lineRule="auto"/>
              <w:rPr>
                <w:rFonts w:hint="eastAsia" w:hAnsi="宋体" w:cs="宋体"/>
                <w:color w:val="auto"/>
                <w:sz w:val="21"/>
                <w:highlight w:val="none"/>
                <w:u w:val="single"/>
              </w:rPr>
            </w:pPr>
            <w:r>
              <w:rPr>
                <w:rFonts w:hint="eastAsia" w:hAnsi="宋体" w:cs="宋体"/>
                <w:color w:val="auto"/>
                <w:sz w:val="21"/>
                <w:highlight w:val="none"/>
              </w:rPr>
              <w:t>银行账号：15333566666608，</w:t>
            </w:r>
          </w:p>
        </w:tc>
      </w:tr>
      <w:tr w14:paraId="1B47A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EC5C60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3.1</w:t>
            </w:r>
          </w:p>
        </w:tc>
        <w:tc>
          <w:tcPr>
            <w:tcW w:w="7912" w:type="dxa"/>
            <w:vAlign w:val="center"/>
          </w:tcPr>
          <w:p w14:paraId="0A7F85D9">
            <w:pPr>
              <w:pStyle w:val="22"/>
              <w:snapToGrid w:val="0"/>
              <w:spacing w:line="360" w:lineRule="auto"/>
              <w:rPr>
                <w:rFonts w:hint="eastAsia" w:hAnsi="宋体" w:cs="宋体"/>
                <w:color w:val="auto"/>
                <w:kern w:val="2"/>
                <w:sz w:val="21"/>
                <w:highlight w:val="none"/>
              </w:rPr>
            </w:pPr>
            <w:r>
              <w:rPr>
                <w:rFonts w:hint="eastAsia" w:hAnsi="宋体"/>
                <w:color w:val="auto"/>
                <w:sz w:val="21"/>
                <w:highlight w:val="none"/>
              </w:rPr>
              <w:t>解释：</w:t>
            </w:r>
            <w:r>
              <w:rPr>
                <w:rFonts w:hAnsi="宋体"/>
                <w:color w:val="auto"/>
                <w:sz w:val="21"/>
                <w:highlight w:val="none"/>
              </w:rPr>
              <w:t>构成本</w:t>
            </w:r>
            <w:r>
              <w:rPr>
                <w:rFonts w:hint="eastAsia" w:hAnsi="宋体"/>
                <w:color w:val="auto"/>
                <w:sz w:val="21"/>
                <w:highlight w:val="none"/>
              </w:rPr>
              <w:t>磋商文件</w:t>
            </w:r>
            <w:r>
              <w:rPr>
                <w:rFonts w:hAnsi="宋体"/>
                <w:color w:val="auto"/>
                <w:sz w:val="21"/>
                <w:highlight w:val="none"/>
              </w:rPr>
              <w:t>的各个组成文件应互为解释，互为说明；除</w:t>
            </w:r>
            <w:r>
              <w:rPr>
                <w:rFonts w:hint="eastAsia" w:hAnsi="宋体"/>
                <w:color w:val="auto"/>
                <w:sz w:val="21"/>
                <w:highlight w:val="none"/>
              </w:rPr>
              <w:t>磋商文件</w:t>
            </w:r>
            <w:r>
              <w:rPr>
                <w:rFonts w:hAnsi="宋体"/>
                <w:color w:val="auto"/>
                <w:sz w:val="21"/>
                <w:highlight w:val="none"/>
              </w:rPr>
              <w:t>中有特别规定外，仅适用于</w:t>
            </w:r>
            <w:r>
              <w:rPr>
                <w:rFonts w:hint="eastAsia" w:hAnsi="宋体"/>
                <w:color w:val="auto"/>
                <w:sz w:val="21"/>
                <w:highlight w:val="none"/>
              </w:rPr>
              <w:t>竞标</w:t>
            </w:r>
            <w:r>
              <w:rPr>
                <w:rFonts w:hAnsi="宋体"/>
                <w:color w:val="auto"/>
                <w:sz w:val="21"/>
                <w:highlight w:val="none"/>
              </w:rPr>
              <w:t>阶段的规定，按</w:t>
            </w:r>
            <w:r>
              <w:rPr>
                <w:rFonts w:hint="eastAsia" w:hAnsi="宋体"/>
                <w:color w:val="auto"/>
                <w:sz w:val="21"/>
                <w:highlight w:val="none"/>
              </w:rPr>
              <w:t>更正公告（澄清公告）</w:t>
            </w:r>
            <w:r>
              <w:rPr>
                <w:rFonts w:hAnsi="宋体"/>
                <w:color w:val="auto"/>
                <w:sz w:val="21"/>
                <w:highlight w:val="none"/>
              </w:rPr>
              <w:t>、</w:t>
            </w:r>
            <w:r>
              <w:rPr>
                <w:rFonts w:hint="eastAsia" w:hAnsi="宋体"/>
                <w:color w:val="auto"/>
                <w:sz w:val="21"/>
                <w:highlight w:val="none"/>
              </w:rPr>
              <w:t>竞争性磋商</w:t>
            </w:r>
            <w:r>
              <w:rPr>
                <w:rFonts w:hAnsi="宋体"/>
                <w:color w:val="auto"/>
                <w:sz w:val="21"/>
                <w:highlight w:val="none"/>
              </w:rPr>
              <w:t>公告、</w:t>
            </w:r>
            <w:r>
              <w:rPr>
                <w:rFonts w:hint="eastAsia" w:hAnsi="宋体"/>
                <w:color w:val="auto"/>
                <w:sz w:val="21"/>
                <w:highlight w:val="none"/>
              </w:rPr>
              <w:t>供应商</w:t>
            </w:r>
            <w:r>
              <w:rPr>
                <w:rFonts w:hAnsi="宋体"/>
                <w:color w:val="auto"/>
                <w:sz w:val="21"/>
                <w:highlight w:val="none"/>
              </w:rPr>
              <w:t>须知</w:t>
            </w:r>
            <w:r>
              <w:rPr>
                <w:rFonts w:hint="eastAsia" w:hAnsi="宋体"/>
                <w:color w:val="auto"/>
                <w:sz w:val="21"/>
                <w:highlight w:val="none"/>
              </w:rPr>
              <w:t>、采购需求</w:t>
            </w:r>
            <w:r>
              <w:rPr>
                <w:rFonts w:hAnsi="宋体"/>
                <w:color w:val="auto"/>
                <w:sz w:val="21"/>
                <w:highlight w:val="none"/>
              </w:rPr>
              <w:t>、</w:t>
            </w:r>
            <w:r>
              <w:rPr>
                <w:rFonts w:hint="eastAsia"/>
                <w:color w:val="auto"/>
                <w:sz w:val="21"/>
                <w:highlight w:val="none"/>
              </w:rPr>
              <w:t>评审程序、评审方法和评审标准</w:t>
            </w:r>
            <w:r>
              <w:rPr>
                <w:rFonts w:hAnsi="宋体"/>
                <w:color w:val="auto"/>
                <w:sz w:val="21"/>
                <w:highlight w:val="none"/>
              </w:rPr>
              <w:t>、</w:t>
            </w:r>
            <w:r>
              <w:rPr>
                <w:rFonts w:hint="eastAsia" w:hAnsi="宋体"/>
                <w:color w:val="auto"/>
                <w:sz w:val="21"/>
                <w:highlight w:val="none"/>
              </w:rPr>
              <w:t>响应</w:t>
            </w:r>
            <w:r>
              <w:rPr>
                <w:rFonts w:hAnsi="宋体"/>
                <w:color w:val="auto"/>
                <w:sz w:val="21"/>
                <w:highlight w:val="none"/>
              </w:rPr>
              <w:t>文件格式</w:t>
            </w:r>
            <w:r>
              <w:rPr>
                <w:rFonts w:hint="eastAsia" w:hAnsi="宋体"/>
                <w:color w:val="auto"/>
                <w:sz w:val="21"/>
                <w:highlight w:val="none"/>
              </w:rPr>
              <w:t>、合同文本</w:t>
            </w:r>
            <w:r>
              <w:rPr>
                <w:rFonts w:hAnsi="宋体"/>
                <w:color w:val="auto"/>
                <w:sz w:val="21"/>
                <w:highlight w:val="none"/>
              </w:rPr>
              <w:t>的先后顺序解释；同一组成文件中就同一事项的规定或者约定不一致的，以编排顺序在后者为准；同一组成文件不同版本之间有不一致的，以形成时间在后者为准；</w:t>
            </w:r>
            <w:r>
              <w:rPr>
                <w:rFonts w:hint="eastAsia" w:hAnsi="宋体"/>
                <w:color w:val="auto"/>
                <w:sz w:val="21"/>
                <w:highlight w:val="none"/>
              </w:rPr>
              <w:t>更正公告（澄清公告）</w:t>
            </w:r>
            <w:r>
              <w:rPr>
                <w:rFonts w:hAnsi="宋体"/>
                <w:color w:val="auto"/>
                <w:sz w:val="21"/>
                <w:highlight w:val="none"/>
              </w:rPr>
              <w:t>与同步更新的</w:t>
            </w:r>
            <w:r>
              <w:rPr>
                <w:rFonts w:hint="eastAsia" w:hAnsi="宋体"/>
                <w:color w:val="auto"/>
                <w:sz w:val="21"/>
                <w:highlight w:val="none"/>
              </w:rPr>
              <w:t>磋商文件</w:t>
            </w:r>
            <w:r>
              <w:rPr>
                <w:rFonts w:hAnsi="宋体"/>
                <w:color w:val="auto"/>
                <w:sz w:val="21"/>
                <w:highlight w:val="none"/>
              </w:rPr>
              <w:t>不一致时以</w:t>
            </w:r>
            <w:r>
              <w:rPr>
                <w:rFonts w:hint="eastAsia" w:hAnsi="宋体"/>
                <w:color w:val="auto"/>
                <w:sz w:val="21"/>
                <w:highlight w:val="none"/>
              </w:rPr>
              <w:t>更正公告（澄清公告）</w:t>
            </w:r>
            <w:r>
              <w:rPr>
                <w:rFonts w:hAnsi="宋体"/>
                <w:color w:val="auto"/>
                <w:sz w:val="21"/>
                <w:highlight w:val="none"/>
              </w:rPr>
              <w:t>为准。按本款前述规定仍不能形成结论的，由</w:t>
            </w:r>
            <w:r>
              <w:rPr>
                <w:rFonts w:hint="eastAsia" w:hAnsi="宋体"/>
                <w:color w:val="auto"/>
                <w:sz w:val="21"/>
                <w:highlight w:val="none"/>
              </w:rPr>
              <w:t>采购</w:t>
            </w:r>
            <w:r>
              <w:rPr>
                <w:rFonts w:hAnsi="宋体"/>
                <w:color w:val="auto"/>
                <w:sz w:val="21"/>
                <w:highlight w:val="none"/>
              </w:rPr>
              <w:t>人</w:t>
            </w:r>
            <w:r>
              <w:rPr>
                <w:rFonts w:hint="eastAsia" w:hAnsi="宋体"/>
                <w:color w:val="auto"/>
                <w:sz w:val="21"/>
                <w:highlight w:val="none"/>
              </w:rPr>
              <w:t>或者采购代理机构</w:t>
            </w:r>
            <w:r>
              <w:rPr>
                <w:rFonts w:hAnsi="宋体"/>
                <w:color w:val="auto"/>
                <w:sz w:val="21"/>
                <w:highlight w:val="none"/>
              </w:rPr>
              <w:t>负责解释。</w:t>
            </w:r>
          </w:p>
        </w:tc>
      </w:tr>
      <w:tr w14:paraId="63BAA3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645B5D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3.2</w:t>
            </w:r>
          </w:p>
        </w:tc>
        <w:tc>
          <w:tcPr>
            <w:tcW w:w="7912" w:type="dxa"/>
            <w:vAlign w:val="center"/>
          </w:tcPr>
          <w:p w14:paraId="53F237BC">
            <w:pPr>
              <w:pStyle w:val="22"/>
              <w:snapToGrid w:val="0"/>
              <w:spacing w:line="360" w:lineRule="auto"/>
              <w:rPr>
                <w:rFonts w:hint="eastAsia" w:hAnsi="宋体" w:cs="宋体"/>
                <w:color w:val="auto"/>
                <w:sz w:val="21"/>
                <w:highlight w:val="none"/>
              </w:rPr>
            </w:pPr>
            <w:r>
              <w:rPr>
                <w:rFonts w:hint="eastAsia" w:hAnsi="宋体" w:cs="宋体"/>
                <w:color w:val="auto"/>
                <w:sz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043FCEA0">
            <w:pPr>
              <w:pStyle w:val="22"/>
              <w:snapToGrid w:val="0"/>
              <w:spacing w:line="360" w:lineRule="auto"/>
              <w:rPr>
                <w:rFonts w:hint="eastAsia" w:hAnsi="宋体" w:cs="宋体"/>
                <w:color w:val="auto"/>
                <w:sz w:val="21"/>
                <w:highlight w:val="none"/>
              </w:rPr>
            </w:pPr>
            <w:r>
              <w:rPr>
                <w:rFonts w:hint="eastAsia" w:hAnsi="宋体" w:cs="宋体"/>
                <w:bCs/>
                <w:color w:val="auto"/>
                <w:sz w:val="21"/>
                <w:highlight w:val="none"/>
              </w:rPr>
              <w:t>2.本磋商文件所称的“</w:t>
            </w:r>
            <w:r>
              <w:rPr>
                <w:rFonts w:hint="eastAsia" w:hAnsi="宋体"/>
                <w:color w:val="auto"/>
                <w:sz w:val="21"/>
                <w:highlight w:val="none"/>
              </w:rPr>
              <w:t>电子签章</w:t>
            </w:r>
            <w:r>
              <w:rPr>
                <w:rFonts w:hint="eastAsia" w:hAnsi="宋体" w:cs="宋体"/>
                <w:bCs/>
                <w:color w:val="auto"/>
                <w:sz w:val="21"/>
                <w:highlight w:val="none"/>
              </w:rPr>
              <w:t>”、“电子签名”</w:t>
            </w:r>
            <w:r>
              <w:rPr>
                <w:rFonts w:hint="eastAsia" w:hAnsi="宋体"/>
                <w:color w:val="auto"/>
                <w:sz w:val="21"/>
                <w:highlight w:val="none"/>
              </w:rPr>
              <w:t>，是指经广西政府采购云平台认可的CA认证的电子签名数据为表现形式的印章，可用于签署电子响应文件，电子印章与实物印章具有同等法律效力，不因其采用电子化表现形式而否定其法律效力。</w:t>
            </w:r>
          </w:p>
          <w:p w14:paraId="34C0D262">
            <w:pPr>
              <w:pStyle w:val="22"/>
              <w:snapToGrid w:val="0"/>
              <w:spacing w:line="360" w:lineRule="auto"/>
              <w:rPr>
                <w:rFonts w:hint="eastAsia" w:hAnsi="宋体" w:cs="宋体"/>
                <w:bCs/>
                <w:color w:val="auto"/>
                <w:sz w:val="21"/>
                <w:highlight w:val="none"/>
              </w:rPr>
            </w:pPr>
            <w:r>
              <w:rPr>
                <w:rFonts w:hAnsi="宋体" w:cs="宋体"/>
                <w:color w:val="auto"/>
                <w:sz w:val="21"/>
                <w:highlight w:val="none"/>
              </w:rPr>
              <w:t>3</w:t>
            </w:r>
            <w:r>
              <w:rPr>
                <w:rFonts w:hint="eastAsia" w:hAnsi="宋体" w:cs="宋体"/>
                <w:color w:val="auto"/>
                <w:sz w:val="21"/>
                <w:highlight w:val="none"/>
              </w:rPr>
              <w:t>.供应商为其他组织或者自然人时，本磋商文件规定的法定代表人指负责人或者自然人。本磋商文件所称负责人是指参加竞标的其他组织</w:t>
            </w:r>
            <w:r>
              <w:rPr>
                <w:rFonts w:hint="eastAsia" w:hAnsi="宋体" w:cs="宋体"/>
                <w:bCs/>
                <w:color w:val="auto"/>
                <w:sz w:val="21"/>
                <w:highlight w:val="none"/>
              </w:rPr>
              <w:t>营业执照或者执业许可证等证照上的</w:t>
            </w:r>
            <w:r>
              <w:rPr>
                <w:rFonts w:hint="eastAsia" w:hAnsi="宋体" w:cs="宋体"/>
                <w:color w:val="auto"/>
                <w:sz w:val="21"/>
                <w:highlight w:val="none"/>
              </w:rPr>
              <w:t>负责人，本磋商文件所称自然人指参与竞标的自然人本人，</w:t>
            </w:r>
            <w:r>
              <w:rPr>
                <w:rFonts w:hint="eastAsia" w:hAnsi="宋体" w:cs="宋体"/>
                <w:bCs/>
                <w:color w:val="auto"/>
                <w:sz w:val="21"/>
                <w:highlight w:val="none"/>
              </w:rPr>
              <w:t>且应具备独立承担民事责任能力，自然人应当为年满18岁以上成年人（十六周岁以上的未成年人，以自己的劳动收入为主要生活来源的，视为完全民事行为能力人）。</w:t>
            </w:r>
          </w:p>
          <w:p w14:paraId="28285F67">
            <w:pPr>
              <w:pStyle w:val="22"/>
              <w:snapToGrid w:val="0"/>
              <w:spacing w:line="360" w:lineRule="auto"/>
              <w:rPr>
                <w:rFonts w:hint="eastAsia" w:hAnsi="宋体" w:cs="宋体"/>
                <w:color w:val="auto"/>
                <w:sz w:val="21"/>
                <w:highlight w:val="none"/>
              </w:rPr>
            </w:pPr>
            <w:r>
              <w:rPr>
                <w:rFonts w:hAnsi="宋体" w:cs="宋体"/>
                <w:color w:val="auto"/>
                <w:sz w:val="21"/>
                <w:highlight w:val="none"/>
              </w:rPr>
              <w:t>4.</w:t>
            </w:r>
            <w:r>
              <w:rPr>
                <w:rFonts w:hint="eastAsia" w:hAnsi="宋体" w:cs="宋体"/>
                <w:color w:val="auto"/>
                <w:sz w:val="21"/>
                <w:highlight w:val="none"/>
              </w:rPr>
              <w:t>本磋商文件中描述供应商的“签字”是指供应商的法定代表人或者委托代理人亲自在文件规定签署处亲笔写上个人的名字的行为，私章、签字章、印鉴、影印等其他形式均不能代替亲笔签字。</w:t>
            </w:r>
          </w:p>
          <w:p w14:paraId="5A7A7725">
            <w:pPr>
              <w:pStyle w:val="22"/>
              <w:snapToGrid w:val="0"/>
              <w:spacing w:line="360" w:lineRule="auto"/>
              <w:rPr>
                <w:rFonts w:hint="eastAsia" w:hAnsi="宋体" w:cs="宋体"/>
                <w:color w:val="auto"/>
                <w:sz w:val="21"/>
                <w:highlight w:val="none"/>
              </w:rPr>
            </w:pPr>
            <w:r>
              <w:rPr>
                <w:rFonts w:hint="eastAsia" w:hAnsi="宋体" w:cs="宋体"/>
                <w:color w:val="auto"/>
                <w:sz w:val="21"/>
                <w:highlight w:val="none"/>
              </w:rPr>
              <w:t>5</w:t>
            </w:r>
            <w:r>
              <w:rPr>
                <w:rFonts w:hAnsi="宋体" w:cs="宋体"/>
                <w:color w:val="auto"/>
                <w:sz w:val="21"/>
                <w:highlight w:val="none"/>
              </w:rPr>
              <w:t>.</w:t>
            </w:r>
            <w:r>
              <w:rPr>
                <w:rFonts w:hint="eastAsia" w:hAnsi="宋体" w:cs="宋体"/>
                <w:color w:val="auto"/>
                <w:sz w:val="21"/>
                <w:highlight w:val="none"/>
              </w:rPr>
              <w:t>本磋商文件所称的“以上”“以下”“以内”“届满”，包括本数；所称的“不满”“超过”“以外”，不包括本数。</w:t>
            </w:r>
          </w:p>
        </w:tc>
      </w:tr>
      <w:tr w14:paraId="374E8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9FD4CF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33.3</w:t>
            </w:r>
          </w:p>
        </w:tc>
        <w:tc>
          <w:tcPr>
            <w:tcW w:w="7912" w:type="dxa"/>
            <w:vAlign w:val="center"/>
          </w:tcPr>
          <w:p w14:paraId="64EAAA7D">
            <w:pPr>
              <w:spacing w:line="380" w:lineRule="atLeast"/>
              <w:ind w:firstLine="210" w:firstLineChars="100"/>
              <w:rPr>
                <w:color w:val="auto"/>
                <w:highlight w:val="none"/>
              </w:rPr>
            </w:pPr>
            <w:r>
              <w:rPr>
                <w:color w:val="auto"/>
                <w:highlight w:val="none"/>
              </w:rPr>
              <w:t>截标后将进行谈判/磋商：</w:t>
            </w:r>
            <w:r>
              <w:rPr>
                <w:color w:val="auto"/>
                <w:highlight w:val="none"/>
              </w:rPr>
              <w:br w:type="textWrapping"/>
            </w:r>
            <w:r>
              <w:rPr>
                <w:color w:val="auto"/>
                <w:highlight w:val="none"/>
              </w:rPr>
              <w:t>   （1）委托代理人（法定代表人）请注意预留的手机号码中</w:t>
            </w:r>
            <w:r>
              <w:rPr>
                <w:rFonts w:hint="eastAsia"/>
                <w:color w:val="auto"/>
                <w:highlight w:val="none"/>
              </w:rPr>
              <w:t>广西政府采购云平台</w:t>
            </w:r>
            <w:r>
              <w:rPr>
                <w:color w:val="auto"/>
                <w:highlight w:val="none"/>
              </w:rPr>
              <w:t>系统发送的短信提示，并按照要求进行响应及报价。</w:t>
            </w:r>
            <w:r>
              <w:rPr>
                <w:color w:val="auto"/>
                <w:highlight w:val="none"/>
              </w:rPr>
              <w:br w:type="textWrapping"/>
            </w:r>
            <w:r>
              <w:rPr>
                <w:color w:val="auto"/>
                <w:highlight w:val="none"/>
              </w:rPr>
              <w:t>   （2）进入</w:t>
            </w:r>
            <w:r>
              <w:rPr>
                <w:rFonts w:hint="eastAsia"/>
                <w:color w:val="auto"/>
                <w:highlight w:val="none"/>
              </w:rPr>
              <w:t>广西政府采购云平台</w:t>
            </w:r>
            <w:r>
              <w:rPr>
                <w:color w:val="auto"/>
                <w:highlight w:val="none"/>
              </w:rPr>
              <w:t>系统，点击页面右上角的“待办”，找到对应的项目，按系统提示操作。</w:t>
            </w:r>
            <w:r>
              <w:rPr>
                <w:color w:val="auto"/>
                <w:highlight w:val="none"/>
              </w:rPr>
              <w:br w:type="textWrapping"/>
            </w:r>
            <w:r>
              <w:rPr>
                <w:rFonts w:hint="eastAsia"/>
                <w:color w:val="auto"/>
                <w:highlight w:val="none"/>
              </w:rPr>
              <w:t xml:space="preserve"> </w:t>
            </w:r>
            <w:r>
              <w:rPr>
                <w:color w:val="auto"/>
                <w:highlight w:val="none"/>
              </w:rPr>
              <w:t xml:space="preserve"> （3）如仍无法找到，请电话咨询</w:t>
            </w:r>
            <w:r>
              <w:rPr>
                <w:rFonts w:hint="eastAsia"/>
                <w:color w:val="auto"/>
                <w:highlight w:val="none"/>
              </w:rPr>
              <w:t>广西国栋招标有限公司</w:t>
            </w:r>
            <w:r>
              <w:rPr>
                <w:color w:val="auto"/>
                <w:highlight w:val="none"/>
              </w:rPr>
              <w:t>。</w:t>
            </w:r>
          </w:p>
          <w:p w14:paraId="1AD6F6DC">
            <w:pPr>
              <w:spacing w:line="380" w:lineRule="atLeast"/>
              <w:ind w:firstLine="495"/>
              <w:rPr>
                <w:color w:val="auto"/>
                <w:highlight w:val="none"/>
              </w:rPr>
            </w:pPr>
          </w:p>
          <w:p w14:paraId="6864562A">
            <w:pPr>
              <w:spacing w:line="380" w:lineRule="atLeast"/>
              <w:ind w:firstLine="495"/>
              <w:rPr>
                <w:color w:val="auto"/>
                <w:highlight w:val="none"/>
              </w:rPr>
            </w:pPr>
            <w:r>
              <w:rPr>
                <w:color w:val="auto"/>
                <w:highlight w:val="none"/>
              </w:rPr>
              <w:drawing>
                <wp:inline distT="0" distB="0" distL="0" distR="0">
                  <wp:extent cx="4404995" cy="1323975"/>
                  <wp:effectExtent l="0" t="0" r="0" b="0"/>
                  <wp:docPr id="6" name="图片 6" descr="E:\我的文档\Tencent Files\122522256\Image\Group2\26\{R\26{REN{A)V`)]3S4]HF}MT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E:\我的文档\Tencent Files\122522256\Image\Group2\26\{R\26{REN{A)V`)]3S4]HF}MTQ.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414168" cy="1326549"/>
                          </a:xfrm>
                          <a:prstGeom prst="rect">
                            <a:avLst/>
                          </a:prstGeom>
                          <a:noFill/>
                          <a:ln>
                            <a:noFill/>
                          </a:ln>
                        </pic:spPr>
                      </pic:pic>
                    </a:graphicData>
                  </a:graphic>
                </wp:inline>
              </w:drawing>
            </w:r>
          </w:p>
          <w:p w14:paraId="6298CA68">
            <w:pPr>
              <w:spacing w:line="380" w:lineRule="atLeast"/>
              <w:ind w:firstLine="0"/>
              <w:rPr>
                <w:color w:val="auto"/>
                <w:highlight w:val="none"/>
              </w:rPr>
            </w:pPr>
          </w:p>
          <w:p w14:paraId="7C9C5DFD">
            <w:pPr>
              <w:pStyle w:val="22"/>
              <w:snapToGrid w:val="0"/>
              <w:spacing w:line="360" w:lineRule="auto"/>
              <w:rPr>
                <w:rFonts w:hint="eastAsia" w:hAnsi="宋体" w:cs="宋体"/>
                <w:color w:val="auto"/>
                <w:sz w:val="21"/>
                <w:highlight w:val="none"/>
              </w:rPr>
            </w:pPr>
          </w:p>
        </w:tc>
      </w:tr>
    </w:tbl>
    <w:p w14:paraId="3BB643A5">
      <w:pPr>
        <w:pStyle w:val="3"/>
        <w:jc w:val="center"/>
        <w:rPr>
          <w:rFonts w:hint="eastAsia" w:ascii="宋体" w:hAnsi="宋体"/>
          <w:color w:val="auto"/>
          <w:highlight w:val="none"/>
        </w:rPr>
      </w:pPr>
      <w:r>
        <w:rPr>
          <w:rFonts w:ascii="宋体" w:hAnsi="宋体"/>
          <w:color w:val="auto"/>
          <w:highlight w:val="none"/>
        </w:rPr>
        <w:br w:type="page"/>
      </w:r>
      <w:r>
        <w:rPr>
          <w:rFonts w:hint="eastAsia"/>
          <w:color w:val="auto"/>
          <w:highlight w:val="none"/>
        </w:rPr>
        <w:t>供应商须知正文</w:t>
      </w:r>
    </w:p>
    <w:p w14:paraId="392D0052">
      <w:pPr>
        <w:pStyle w:val="4"/>
        <w:jc w:val="center"/>
        <w:rPr>
          <w:color w:val="auto"/>
          <w:highlight w:val="none"/>
        </w:rPr>
      </w:pPr>
      <w:r>
        <w:rPr>
          <w:rFonts w:hint="eastAsia"/>
          <w:color w:val="auto"/>
          <w:highlight w:val="none"/>
        </w:rPr>
        <w:t>一、总则</w:t>
      </w:r>
    </w:p>
    <w:p w14:paraId="1BACDBB5">
      <w:pPr>
        <w:spacing w:line="400" w:lineRule="exact"/>
        <w:rPr>
          <w:rFonts w:hint="eastAsia" w:ascii="宋体" w:hAnsi="宋体"/>
          <w:color w:val="auto"/>
          <w:szCs w:val="21"/>
          <w:highlight w:val="none"/>
        </w:rPr>
      </w:pPr>
    </w:p>
    <w:p w14:paraId="30058E21">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1.适用范围</w:t>
      </w:r>
    </w:p>
    <w:p w14:paraId="140F385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w:t>
      </w:r>
      <w:r>
        <w:rPr>
          <w:rFonts w:hint="eastAsia" w:ascii="宋体" w:hAnsi="宋体"/>
          <w:color w:val="auto"/>
          <w:szCs w:val="21"/>
          <w:highlight w:val="none"/>
        </w:rPr>
        <w:t>《政府采购竞争性磋商采购方式管理暂行办法》《财政部关于政府采购竞争性磋商采购方式管理暂行办法有关问题的补充通知》</w:t>
      </w:r>
      <w:r>
        <w:rPr>
          <w:rFonts w:hint="eastAsia" w:ascii="宋体" w:hAnsi="宋体" w:cs="宋体"/>
          <w:color w:val="auto"/>
          <w:szCs w:val="21"/>
          <w:highlight w:val="none"/>
        </w:rPr>
        <w:t>及本项目本级和上级财政部门政府采购有关规定的约束和保护。</w:t>
      </w:r>
    </w:p>
    <w:p w14:paraId="366F7FC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本竞争性磋商文件（以下简称磋商文件）适用于本项目的所有采购程序和环节（法律、法规另有规定的，从其规定）。</w:t>
      </w:r>
    </w:p>
    <w:p w14:paraId="7B5FAC49">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2.定义</w:t>
      </w:r>
    </w:p>
    <w:p w14:paraId="242DE50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62A87F3E">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2.2“采购代理机构”是指政府采购集中采购机构和集中采购机构以外的采购代理机构。</w:t>
      </w:r>
    </w:p>
    <w:p w14:paraId="59E6088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00CDD336">
      <w:pPr>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2.4“服务”是指除货物和工程以外的其他政府采购对象。</w:t>
      </w:r>
    </w:p>
    <w:p w14:paraId="0875609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r>
        <w:rPr>
          <w:rFonts w:hint="eastAsia" w:ascii="宋体" w:hAnsi="宋体" w:cs="宋体"/>
          <w:color w:val="auto"/>
          <w:szCs w:val="21"/>
          <w:highlight w:val="none"/>
        </w:rPr>
        <w:t>“竞标”是指供应商按照本项目竞争性磋商公告或者邀请函规定的方式获取磋商文件、提交响应文件并希望获得标的的行为。</w:t>
      </w:r>
    </w:p>
    <w:p w14:paraId="643B2C5C">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2.6“书面形式”是指合同书、信件和数据电文（包括电报、电传、传真、电子数据交换和电子邮件）等可以有形地表现所载内容的形式。</w:t>
      </w:r>
    </w:p>
    <w:p w14:paraId="44EBD463">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2.7“响应文件”</w:t>
      </w:r>
      <w:r>
        <w:rPr>
          <w:rFonts w:hint="eastAsia" w:ascii="宋体" w:hAnsi="宋体" w:cs="宋体"/>
          <w:color w:val="auto"/>
          <w:spacing w:val="-6"/>
          <w:szCs w:val="21"/>
          <w:highlight w:val="none"/>
        </w:rPr>
        <w:t>是指：供应商根据本磋商文件要求，编制包含资格证明、报价、商务技术等所有内容的文件。</w:t>
      </w:r>
    </w:p>
    <w:p w14:paraId="6EF4E978">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2.8“实质性要求”是指磋商文件中已经指明不满足则响应文件按无效响应处理的条款，或者不能负偏离的条款，或者采购需求中带“▲”的条款。</w:t>
      </w:r>
    </w:p>
    <w:p w14:paraId="4067E0C0">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2.9“正偏离”，是指响应文件对磋商文件“采购需求”中有关条款作出的响应优于条款要求并有利于采购人的情形。</w:t>
      </w:r>
    </w:p>
    <w:p w14:paraId="1BB06D7D">
      <w:pPr>
        <w:spacing w:line="360" w:lineRule="auto"/>
        <w:ind w:firstLine="420" w:firstLineChars="200"/>
        <w:contextualSpacing/>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10“负偏离”，是指响应文件对磋商文件“采购需求”中有关条款作出的响应不满足条款要求，导致采购人要求不能得到满足的情形。</w:t>
      </w:r>
    </w:p>
    <w:p w14:paraId="27B004B2">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2.11“允许负偏离的条款”是指采购需求中的不属于“实质性要求”的条款。</w:t>
      </w:r>
    </w:p>
    <w:p w14:paraId="6880B771">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1</w:t>
      </w:r>
      <w:r>
        <w:rPr>
          <w:rFonts w:hint="eastAsia" w:ascii="宋体" w:hAnsi="宋体" w:cs="宋体"/>
          <w:color w:val="auto"/>
          <w:szCs w:val="21"/>
          <w:highlight w:val="none"/>
        </w:rPr>
        <w:t>2“首次报价”是指供应商提交的首次响应文件中的报价。</w:t>
      </w:r>
    </w:p>
    <w:p w14:paraId="14398C59">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3.供应商的资格条件</w:t>
      </w:r>
    </w:p>
    <w:p w14:paraId="267AA1F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5A842FA3">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4.竞标费用</w:t>
      </w:r>
    </w:p>
    <w:p w14:paraId="32F14B6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供应商应承担参与本次采购活动有关的所有费用，包括但不限于获取磋商文件、勘查现场、编制和提交响应文件、参加磋商与应答、签订合同等，不论竞标结果如何，均应自行承担。</w:t>
      </w:r>
    </w:p>
    <w:p w14:paraId="6CA04535">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5.联合体竞标</w:t>
      </w:r>
    </w:p>
    <w:p w14:paraId="5D80E68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1923F99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olor w:val="auto"/>
          <w:highlight w:val="none"/>
        </w:rPr>
        <w:t>如接受联合体竞标，</w:t>
      </w:r>
      <w:r>
        <w:rPr>
          <w:rFonts w:hint="eastAsia" w:ascii="宋体" w:hAnsi="宋体" w:cs="宋体"/>
          <w:color w:val="auto"/>
          <w:szCs w:val="21"/>
          <w:highlight w:val="none"/>
        </w:rPr>
        <w:t>联合体竞标要求详见“供应商须知前附表”。</w:t>
      </w:r>
    </w:p>
    <w:p w14:paraId="2A8DA76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w:t>
      </w:r>
      <w:bookmarkStart w:id="68" w:name="_Hlk66782192"/>
      <w:r>
        <w:rPr>
          <w:rFonts w:hint="eastAsia" w:ascii="宋体" w:hAnsi="宋体"/>
          <w:color w:val="auto"/>
          <w:szCs w:val="21"/>
          <w:highlight w:val="none"/>
        </w:rPr>
        <w:t>根据《政府采购促进中小企业发展管理办法》（财库〔2020〕46号）第九条第二款及桂财采〔2022〕30号 广西壮族自治区财政厅关于进一步发挥政府采购政策功能促进企业发展的通知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Pr>
          <w:rFonts w:ascii="宋体" w:hAnsi="宋体"/>
          <w:color w:val="auto"/>
          <w:szCs w:val="21"/>
          <w:highlight w:val="none"/>
        </w:rPr>
        <w:t>4</w:t>
      </w:r>
      <w:r>
        <w:rPr>
          <w:rFonts w:hint="eastAsia" w:ascii="宋体" w:hAnsi="宋体"/>
          <w:color w:val="auto"/>
          <w:szCs w:val="21"/>
          <w:highlight w:val="none"/>
        </w:rPr>
        <w:t>%的扣除，用扣除后的价格参加评审。</w:t>
      </w:r>
      <w:bookmarkEnd w:id="68"/>
    </w:p>
    <w:p w14:paraId="2C249676">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6.转包与分包</w:t>
      </w:r>
    </w:p>
    <w:p w14:paraId="5A588A65">
      <w:pPr>
        <w:spacing w:line="360" w:lineRule="auto"/>
        <w:ind w:firstLine="420" w:firstLineChars="200"/>
        <w:rPr>
          <w:rFonts w:hint="eastAsia" w:ascii="宋体" w:hAnsi="宋体"/>
          <w:color w:val="auto"/>
          <w:szCs w:val="21"/>
          <w:highlight w:val="none"/>
        </w:rPr>
      </w:pPr>
      <w:bookmarkStart w:id="69" w:name="_Toc254970673"/>
      <w:bookmarkStart w:id="70" w:name="_Toc254970532"/>
      <w:r>
        <w:rPr>
          <w:rFonts w:hint="eastAsia" w:ascii="宋体" w:hAnsi="宋体"/>
          <w:color w:val="auto"/>
          <w:szCs w:val="21"/>
          <w:highlight w:val="none"/>
        </w:rPr>
        <w:t>6.1本项目不允许转包。</w:t>
      </w:r>
    </w:p>
    <w:p w14:paraId="00458BB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08C8207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6.3供应商根据磋商文件的规定和采购项目的实际情况，拟在成交后将成交项目的非主体、非关键性工作分包的，应当在响应文件中载明分包承担主体，分包承担主体应当具备相应资质条件且不得再次分包。</w:t>
      </w:r>
    </w:p>
    <w:p w14:paraId="7816F829">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7.特别说明</w:t>
      </w:r>
      <w:bookmarkEnd w:id="69"/>
      <w:bookmarkEnd w:id="70"/>
    </w:p>
    <w:p w14:paraId="323D9682">
      <w:pPr>
        <w:spacing w:line="360" w:lineRule="auto"/>
        <w:ind w:firstLine="420" w:firstLineChars="200"/>
        <w:rPr>
          <w:rFonts w:hint="eastAsia" w:ascii="宋体" w:hAnsi="宋体" w:cs="宋体"/>
          <w:color w:val="auto"/>
          <w:szCs w:val="21"/>
          <w:highlight w:val="none"/>
        </w:rPr>
      </w:pPr>
      <w:bookmarkStart w:id="71" w:name="_8.1提供相同品牌产品且通过资格审查、符合性审查的不同投标人参加同一合"/>
      <w:bookmarkEnd w:id="71"/>
      <w:r>
        <w:rPr>
          <w:rFonts w:hint="eastAsia" w:ascii="宋体" w:hAnsi="宋体" w:cs="宋体"/>
          <w:color w:val="auto"/>
          <w:szCs w:val="21"/>
          <w:highlight w:val="none"/>
        </w:rPr>
        <w:t>7.</w:t>
      </w:r>
      <w:r>
        <w:rPr>
          <w:rFonts w:ascii="宋体" w:hAnsi="宋体" w:cs="宋体"/>
          <w:color w:val="auto"/>
          <w:szCs w:val="21"/>
          <w:highlight w:val="none"/>
        </w:rPr>
        <w:t>1</w:t>
      </w:r>
      <w:bookmarkStart w:id="72" w:name="_Hlk65832145"/>
      <w:r>
        <w:rPr>
          <w:rFonts w:hint="eastAsia" w:ascii="宋体" w:hAnsi="宋体"/>
          <w:color w:val="auto"/>
          <w:szCs w:val="21"/>
          <w:highlight w:val="none"/>
        </w:rPr>
        <w:t>如果本磋商文件要求提供供应商或制造商的资格、信誉、荣誉、业绩与企业认证等材料的，资格、信誉、荣誉、业绩与企业认证等必须为供应商或者制造商所拥有或自身获得</w:t>
      </w:r>
      <w:r>
        <w:rPr>
          <w:rFonts w:hint="eastAsia" w:ascii="宋体" w:hAnsi="宋体" w:cs="宋体"/>
          <w:color w:val="auto"/>
          <w:szCs w:val="21"/>
          <w:highlight w:val="none"/>
        </w:rPr>
        <w:t>。</w:t>
      </w:r>
    </w:p>
    <w:bookmarkEnd w:id="72"/>
    <w:p w14:paraId="6F38D72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2</w:t>
      </w:r>
      <w:r>
        <w:rPr>
          <w:rFonts w:hint="eastAsia" w:ascii="宋体" w:hAnsi="宋体" w:cs="宋体"/>
          <w:color w:val="auto"/>
          <w:szCs w:val="21"/>
          <w:highlight w:val="none"/>
        </w:rPr>
        <w:t>供应商应仔细阅读磋商文件的所有内容，按照磋商文件的要求提交响应文件，并对所提供的全部资料的真实性承担法律责任。</w:t>
      </w:r>
    </w:p>
    <w:p w14:paraId="245B24E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3</w:t>
      </w:r>
      <w:r>
        <w:rPr>
          <w:rFonts w:hint="eastAsia" w:ascii="宋体" w:hAnsi="宋体" w:cs="宋体"/>
          <w:color w:val="auto"/>
          <w:szCs w:val="21"/>
          <w:highlight w:val="none"/>
        </w:rPr>
        <w:t>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3A05D54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4</w:t>
      </w:r>
      <w:r>
        <w:rPr>
          <w:rFonts w:hint="eastAsia" w:ascii="宋体" w:hAnsi="宋体" w:cs="宋体"/>
          <w:color w:val="auto"/>
          <w:szCs w:val="21"/>
          <w:highlight w:val="none"/>
        </w:rPr>
        <w:t>在政府采购活动中，采购人员及相关人员与供应商有下列利害关系之一的，应当回避：</w:t>
      </w:r>
    </w:p>
    <w:p w14:paraId="53DA994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72E699A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369E6F7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2CF6033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1F369F3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2324C52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4D1B3BB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5</w:t>
      </w:r>
      <w:r>
        <w:rPr>
          <w:rFonts w:hint="eastAsia" w:ascii="宋体" w:hAnsi="宋体" w:cs="宋体"/>
          <w:color w:val="auto"/>
          <w:szCs w:val="21"/>
          <w:highlight w:val="none"/>
        </w:rPr>
        <w:t>有下列情形之一的视为供应商相互串通竞标，响应文件将被视为无效：</w:t>
      </w:r>
    </w:p>
    <w:p w14:paraId="3E4134A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（1）不同供应商的响应文件由同一单位或者个人编制；</w:t>
      </w:r>
    </w:p>
    <w:p w14:paraId="7D55DC1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30CF0F9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78599F8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5C2E0AA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52FC7040">
      <w:pPr>
        <w:tabs>
          <w:tab w:val="left" w:pos="6931"/>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r>
        <w:rPr>
          <w:rFonts w:ascii="宋体" w:hAnsi="宋体" w:cs="宋体"/>
          <w:color w:val="auto"/>
          <w:szCs w:val="21"/>
          <w:highlight w:val="none"/>
        </w:rPr>
        <w:tab/>
      </w:r>
    </w:p>
    <w:p w14:paraId="0DCA4C0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6</w:t>
      </w:r>
      <w:r>
        <w:rPr>
          <w:rFonts w:hint="eastAsia" w:ascii="宋体" w:hAnsi="宋体" w:cs="宋体"/>
          <w:color w:val="auto"/>
          <w:szCs w:val="21"/>
          <w:highlight w:val="none"/>
        </w:rPr>
        <w:t>供应商有下列情形之一的，属于恶意串通行为，将报同级监督管理部门：</w:t>
      </w:r>
    </w:p>
    <w:p w14:paraId="403E97B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1D980B9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308C476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1B534FE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52C1D4D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0A92F78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5EF0F957">
      <w:pPr>
        <w:spacing w:line="360" w:lineRule="auto"/>
        <w:ind w:firstLine="420" w:firstLineChars="200"/>
        <w:jc w:val="left"/>
        <w:rPr>
          <w:rFonts w:hint="eastAsia" w:ascii="宋体" w:hAnsi="宋体"/>
          <w:color w:val="auto"/>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bookmarkStart w:id="73" w:name="_Toc254970675"/>
      <w:bookmarkStart w:id="74" w:name="_Toc254970534"/>
    </w:p>
    <w:p w14:paraId="63A473DC">
      <w:pPr>
        <w:pStyle w:val="4"/>
        <w:jc w:val="center"/>
        <w:rPr>
          <w:rFonts w:hint="eastAsia" w:ascii="宋体" w:hAnsi="宋体"/>
          <w:color w:val="auto"/>
          <w:szCs w:val="21"/>
          <w:highlight w:val="none"/>
        </w:rPr>
      </w:pPr>
      <w:r>
        <w:rPr>
          <w:rFonts w:hint="eastAsia"/>
          <w:color w:val="auto"/>
          <w:highlight w:val="none"/>
        </w:rPr>
        <w:t>二、磋商文件</w:t>
      </w:r>
      <w:bookmarkEnd w:id="73"/>
      <w:bookmarkEnd w:id="74"/>
    </w:p>
    <w:p w14:paraId="033CA56A">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8.磋商文件的构成</w:t>
      </w:r>
    </w:p>
    <w:p w14:paraId="354A8089">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（1）竞争性磋商公告/竞标邀请函；</w:t>
      </w:r>
    </w:p>
    <w:p w14:paraId="219C95FC">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（2）供应商须知；</w:t>
      </w:r>
    </w:p>
    <w:p w14:paraId="0D2BB416">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（3）采购需求；</w:t>
      </w:r>
    </w:p>
    <w:p w14:paraId="2191A50D">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（4）评审程序、评审方法和评审标准；</w:t>
      </w:r>
    </w:p>
    <w:p w14:paraId="6D2C300C">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（5）响应文件格式；</w:t>
      </w:r>
    </w:p>
    <w:p w14:paraId="3F9A7A60">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（6）合同文本。</w:t>
      </w:r>
    </w:p>
    <w:p w14:paraId="3C8AFAAC">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9.供应商的询问</w:t>
      </w:r>
    </w:p>
    <w:p w14:paraId="3F2BF0F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供应商应认真阅读磋商文件的采购需求，如供应商对磋商文件有疑问的，如要求采购人作出澄清或者修改的，供应商尽可能在</w:t>
      </w:r>
      <w:r>
        <w:rPr>
          <w:rFonts w:ascii="宋体" w:hAnsi="宋体"/>
          <w:color w:val="auto"/>
          <w:szCs w:val="21"/>
          <w:highlight w:val="none"/>
        </w:rPr>
        <w:t>提交首次响应文件截止之日前</w:t>
      </w:r>
      <w:r>
        <w:rPr>
          <w:rFonts w:hint="eastAsia" w:ascii="宋体" w:hAnsi="宋体"/>
          <w:color w:val="auto"/>
          <w:szCs w:val="21"/>
          <w:highlight w:val="none"/>
        </w:rPr>
        <w:t>，以书面形式向</w:t>
      </w:r>
      <w:r>
        <w:rPr>
          <w:rFonts w:ascii="宋体" w:hAnsi="宋体"/>
          <w:color w:val="auto"/>
          <w:szCs w:val="21"/>
          <w:highlight w:val="none"/>
        </w:rPr>
        <w:t>采购人、采购代理机构</w:t>
      </w:r>
      <w:r>
        <w:rPr>
          <w:rFonts w:hint="eastAsia" w:ascii="宋体" w:hAnsi="宋体"/>
          <w:color w:val="auto"/>
          <w:szCs w:val="21"/>
          <w:highlight w:val="none"/>
        </w:rPr>
        <w:t>提出。</w:t>
      </w:r>
    </w:p>
    <w:p w14:paraId="0919E7AB">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10.磋商文件的澄清和修改</w:t>
      </w:r>
    </w:p>
    <w:p w14:paraId="0D4E125D">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提交首次响应文件截止之日前，采购人、采购代理机构或者磋商小组可以对已发出的磋商文件进行必要的澄清或者修改，澄清或者修改的内容作为磋商文件的组成部分。澄清或者修改的内容可能影响响应文件编制的，</w:t>
      </w:r>
      <w:r>
        <w:rPr>
          <w:rFonts w:hint="eastAsia" w:ascii="宋体" w:hAnsi="宋体"/>
          <w:color w:val="auto"/>
          <w:szCs w:val="21"/>
          <w:highlight w:val="none"/>
        </w:rPr>
        <w:t>采</w:t>
      </w:r>
      <w:r>
        <w:rPr>
          <w:rFonts w:hint="eastAsia" w:ascii="宋体" w:hAnsi="宋体"/>
          <w:color w:val="auto"/>
          <w:szCs w:val="21"/>
          <w:highlight w:val="none"/>
          <w:lang w:eastAsia="zh-CN"/>
        </w:rPr>
        <w:t>购代理机构应当在提交首次响应文件递交截止时间</w:t>
      </w:r>
      <w:r>
        <w:rPr>
          <w:rFonts w:hint="eastAsia" w:ascii="宋体" w:hAnsi="宋体"/>
          <w:color w:val="auto"/>
          <w:szCs w:val="21"/>
          <w:highlight w:val="none"/>
          <w:lang w:val="en-US" w:eastAsia="zh-CN"/>
        </w:rPr>
        <w:t>5</w:t>
      </w:r>
      <w:r>
        <w:rPr>
          <w:rFonts w:hint="eastAsia" w:ascii="宋体" w:hAnsi="宋体"/>
          <w:color w:val="auto"/>
          <w:szCs w:val="21"/>
          <w:highlight w:val="none"/>
          <w:lang w:eastAsia="zh-CN"/>
        </w:rPr>
        <w:t>日前在本项目竞争性磋商公告发布的同一媒体上发布更正公告，不足</w:t>
      </w:r>
      <w:r>
        <w:rPr>
          <w:rFonts w:hint="eastAsia" w:ascii="宋体" w:hAnsi="宋体"/>
          <w:color w:val="auto"/>
          <w:szCs w:val="21"/>
          <w:highlight w:val="none"/>
          <w:lang w:val="en-US" w:eastAsia="zh-CN"/>
        </w:rPr>
        <w:t>5</w:t>
      </w:r>
      <w:r>
        <w:rPr>
          <w:rFonts w:hint="eastAsia" w:ascii="宋体" w:hAnsi="宋体"/>
          <w:color w:val="auto"/>
          <w:szCs w:val="21"/>
          <w:highlight w:val="none"/>
          <w:lang w:eastAsia="zh-CN"/>
        </w:rPr>
        <w:t>日的，应当顺延首次响应文件递交截止时间</w:t>
      </w:r>
      <w:r>
        <w:rPr>
          <w:rFonts w:ascii="宋体" w:hAnsi="宋体"/>
          <w:color w:val="auto"/>
          <w:szCs w:val="21"/>
          <w:highlight w:val="none"/>
        </w:rPr>
        <w:t>。</w:t>
      </w:r>
    </w:p>
    <w:p w14:paraId="78963FC5">
      <w:pPr>
        <w:pStyle w:val="4"/>
        <w:jc w:val="center"/>
        <w:rPr>
          <w:color w:val="auto"/>
          <w:highlight w:val="none"/>
        </w:rPr>
      </w:pPr>
      <w:r>
        <w:rPr>
          <w:rFonts w:hint="eastAsia"/>
          <w:color w:val="auto"/>
          <w:highlight w:val="none"/>
        </w:rPr>
        <w:t>三、响应文件的编制</w:t>
      </w:r>
    </w:p>
    <w:p w14:paraId="7C2AA670">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11.响应文件的编制原则</w:t>
      </w:r>
    </w:p>
    <w:p w14:paraId="339F017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14:paraId="7561F880">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12.响应文件的组成</w:t>
      </w:r>
    </w:p>
    <w:p w14:paraId="5FFA853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12.1响应文件由资格证明文件、报价文件、商务文件、技术文件四部分组成。</w:t>
      </w:r>
    </w:p>
    <w:p w14:paraId="4746830C">
      <w:pPr>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12.1.1资格证明文件：详见“供应商须知前附表”</w:t>
      </w:r>
    </w:p>
    <w:p w14:paraId="2D1BD286">
      <w:pPr>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12.1.2报价文件：详见“供应商须知前附表”</w:t>
      </w:r>
    </w:p>
    <w:p w14:paraId="7223F1E9">
      <w:pPr>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12.1.3商务文件：详见“供应商须知前附表”</w:t>
      </w:r>
    </w:p>
    <w:p w14:paraId="5B044DF3">
      <w:pPr>
        <w:spacing w:line="360" w:lineRule="auto"/>
        <w:ind w:left="840" w:leftChars="200" w:hanging="420" w:hangingChars="200"/>
        <w:rPr>
          <w:rFonts w:hint="eastAsia" w:ascii="黑体" w:hAnsi="黑体" w:eastAsia="黑体" w:cs="宋体"/>
          <w:b/>
          <w:bCs/>
          <w:color w:val="auto"/>
          <w:sz w:val="24"/>
          <w:highlight w:val="none"/>
        </w:rPr>
      </w:pPr>
      <w:r>
        <w:rPr>
          <w:rFonts w:hint="eastAsia" w:ascii="宋体" w:hAnsi="宋体" w:cs="宋体"/>
          <w:color w:val="auto"/>
          <w:szCs w:val="21"/>
          <w:highlight w:val="none"/>
        </w:rPr>
        <w:t>12.1.4技术文件：详见“供应商须知前附表”</w:t>
      </w:r>
    </w:p>
    <w:p w14:paraId="74307DF8">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13.计量单位</w:t>
      </w:r>
    </w:p>
    <w:p w14:paraId="7483A5B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00078D93">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14.竞标的风险</w:t>
      </w:r>
    </w:p>
    <w:p w14:paraId="7E8A9CE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5B355F4B">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15.竞标报价</w:t>
      </w:r>
    </w:p>
    <w:p w14:paraId="56B0A44D">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15.1竞标报价应按磋商文件中“竞标报价表”格式填写。</w:t>
      </w:r>
    </w:p>
    <w:p w14:paraId="4A6A836F">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15.2竞标报价的内容见“供应商须知前附表”。</w:t>
      </w:r>
    </w:p>
    <w:p w14:paraId="74F21CAF">
      <w:pPr>
        <w:spacing w:line="360" w:lineRule="auto"/>
        <w:ind w:left="426" w:leftChars="203"/>
        <w:rPr>
          <w:rFonts w:hint="eastAsia" w:ascii="宋体" w:hAnsi="宋体" w:cs="宋体"/>
          <w:color w:val="auto"/>
          <w:szCs w:val="21"/>
          <w:highlight w:val="none"/>
        </w:rPr>
      </w:pPr>
      <w:r>
        <w:rPr>
          <w:rFonts w:hint="eastAsia" w:ascii="宋体" w:hAnsi="宋体" w:cs="宋体"/>
          <w:color w:val="auto"/>
          <w:szCs w:val="21"/>
          <w:highlight w:val="none"/>
        </w:rPr>
        <w:t>15.3竞标报价要求</w:t>
      </w:r>
    </w:p>
    <w:p w14:paraId="26E1AF5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5.3.1</w:t>
      </w:r>
      <w:r>
        <w:rPr>
          <w:rFonts w:hint="eastAsia" w:ascii="宋体" w:hAnsi="宋体" w:cs="宋体"/>
          <w:color w:val="auto"/>
          <w:szCs w:val="21"/>
          <w:highlight w:val="none"/>
        </w:rPr>
        <w:t>供应商的竞标报价应符合以下要求，否则响应文件按无效响应处理：</w:t>
      </w:r>
    </w:p>
    <w:p w14:paraId="2CE1EC86">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w:t>
      </w:r>
    </w:p>
    <w:p w14:paraId="28EE3AD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不得存在漏项报价；</w:t>
      </w:r>
    </w:p>
    <w:p w14:paraId="4292176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）供应商必须就所竞标的分标的单项内容作唯一报价。</w:t>
      </w:r>
    </w:p>
    <w:p w14:paraId="74480C0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w:t>
      </w:r>
      <w:r>
        <w:rPr>
          <w:rFonts w:ascii="宋体" w:hAnsi="宋体" w:cs="宋体"/>
          <w:color w:val="auto"/>
          <w:szCs w:val="21"/>
          <w:highlight w:val="none"/>
        </w:rPr>
        <w:t>2</w:t>
      </w:r>
      <w:r>
        <w:rPr>
          <w:rFonts w:hint="eastAsia" w:ascii="宋体" w:hAnsi="宋体" w:cs="宋体"/>
          <w:color w:val="auto"/>
          <w:szCs w:val="21"/>
          <w:highlight w:val="none"/>
        </w:rPr>
        <w:t>竞标报价（包含首次报价、最后报价）超过所竞标分标规定的采购预算金额或者最高限价的，其响应文件将按无效处理。</w:t>
      </w:r>
    </w:p>
    <w:p w14:paraId="154837B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w:t>
      </w:r>
      <w:r>
        <w:rPr>
          <w:rFonts w:ascii="宋体" w:hAnsi="宋体" w:cs="宋体"/>
          <w:color w:val="auto"/>
          <w:szCs w:val="21"/>
          <w:highlight w:val="none"/>
        </w:rPr>
        <w:t>3</w:t>
      </w:r>
      <w:bookmarkStart w:id="75" w:name="_Hlk42592874"/>
      <w:r>
        <w:rPr>
          <w:rFonts w:hint="eastAsia" w:ascii="宋体" w:hAnsi="宋体" w:cs="宋体"/>
          <w:color w:val="auto"/>
          <w:szCs w:val="21"/>
          <w:highlight w:val="none"/>
        </w:rPr>
        <w:t>竞标报价（包含首次报价、最后报价）超过分项采购预算金额或者最高限价的，其响应文件将按无效处理。</w:t>
      </w:r>
    </w:p>
    <w:bookmarkEnd w:id="75"/>
    <w:p w14:paraId="7CE916BD">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16.竞标有效期</w:t>
      </w:r>
    </w:p>
    <w:p w14:paraId="6C12361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232AB79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35146AF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72341472">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17.磋商保证金</w:t>
      </w:r>
    </w:p>
    <w:p w14:paraId="23CA2596">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17.1供应商须按“供应商须知前附表”的规定提交磋商保证金。</w:t>
      </w:r>
    </w:p>
    <w:p w14:paraId="33B75A31">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17.2磋商保证金的退还</w:t>
      </w:r>
    </w:p>
    <w:p w14:paraId="7B10BA3E">
      <w:pPr>
        <w:spacing w:line="360" w:lineRule="auto"/>
        <w:ind w:firstLine="420" w:firstLineChars="200"/>
        <w:rPr>
          <w:rFonts w:hint="eastAsia" w:ascii="宋体" w:hAnsi="宋体" w:cs="宋体"/>
          <w:color w:val="auto"/>
          <w:szCs w:val="21"/>
          <w:highlight w:val="none"/>
        </w:rPr>
      </w:pPr>
      <w:bookmarkStart w:id="76" w:name="_Hlk66782243"/>
      <w:r>
        <w:rPr>
          <w:rFonts w:hint="eastAsia" w:ascii="宋体" w:hAnsi="宋体" w:cs="宋体"/>
          <w:color w:val="auto"/>
          <w:szCs w:val="21"/>
          <w:highlight w:val="none"/>
        </w:rPr>
        <w:t>未</w:t>
      </w:r>
      <w:r>
        <w:rPr>
          <w:rFonts w:hint="eastAsia" w:ascii="宋体" w:hAnsi="宋体" w:cs="宋体"/>
          <w:color w:val="auto"/>
          <w:spacing w:val="-6"/>
          <w:szCs w:val="21"/>
          <w:highlight w:val="none"/>
        </w:rPr>
        <w:t>成交供应商的竞标保证金自成交通知书发出之日起5个工作日内退还；</w:t>
      </w:r>
      <w:r>
        <w:rPr>
          <w:rFonts w:hint="eastAsia" w:ascii="宋体" w:hAnsi="宋体" w:cs="宋体"/>
          <w:color w:val="auto"/>
          <w:szCs w:val="21"/>
          <w:highlight w:val="none"/>
        </w:rPr>
        <w:t>成交供应商的磋商保证金自签订合同之日起5个工作日内退还。</w:t>
      </w:r>
      <w:bookmarkEnd w:id="76"/>
    </w:p>
    <w:p w14:paraId="7F4B0CB6">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17.3磋商保证金不计息。</w:t>
      </w:r>
    </w:p>
    <w:p w14:paraId="37636017">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17.4供应商有下列情形之一的，磋商保证金将不予退还：</w:t>
      </w:r>
    </w:p>
    <w:p w14:paraId="5440E1E4">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（1）供应商在提交响应文件截止时间后撤回响应文件的；</w:t>
      </w:r>
    </w:p>
    <w:p w14:paraId="5D4DD3E2">
      <w:pPr>
        <w:spacing w:line="360" w:lineRule="auto"/>
        <w:ind w:left="420" w:leftChars="200"/>
        <w:rPr>
          <w:rFonts w:hint="eastAsia" w:ascii="宋体" w:hAnsi="宋体" w:cs="宋体"/>
          <w:color w:val="auto"/>
          <w:szCs w:val="21"/>
          <w:highlight w:val="none"/>
        </w:rPr>
      </w:pPr>
      <w:r>
        <w:rPr>
          <w:rFonts w:hint="eastAsia" w:ascii="宋体" w:hAnsi="宋体"/>
          <w:color w:val="auto"/>
          <w:szCs w:val="21"/>
          <w:highlight w:val="none"/>
        </w:rPr>
        <w:t>（2）未按规定提交履约保证金的；</w:t>
      </w:r>
    </w:p>
    <w:p w14:paraId="296BAE2C">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（3）供应商在响应文件中提供虚假材料的；</w:t>
      </w:r>
    </w:p>
    <w:p w14:paraId="5C54720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（4）除因不可抗力或者磋商文件认可的情形以外，成交供应商不与采购人签订合同的；</w:t>
      </w:r>
    </w:p>
    <w:p w14:paraId="2EF917F7">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（5）供应商与采购人、其他供应商或者采购代理机构恶意串通的；</w:t>
      </w:r>
    </w:p>
    <w:p w14:paraId="6E7B5F29">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（6）法律法规规定的其他情形。</w:t>
      </w:r>
    </w:p>
    <w:p w14:paraId="22CC1C04">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18.响应文件编制的要求</w:t>
      </w:r>
    </w:p>
    <w:p w14:paraId="329AF64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18.1供应商应先安装“广西政府采购云平台电子交易客户端”（请自行前往广西政府采购云平台进行下载），并按照本项目磋商文件规定的格式和顺序和广西政府采购云平台的要求编制并加密。响应文件内容不完整、编排混乱导致响应文件被误读、漏读或者查找不到相关内容的，由此引发的后果由供应商承担。</w:t>
      </w:r>
    </w:p>
    <w:p w14:paraId="72B3478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18.2为确保网上操作合法、有效和安全，供应商应当在提交响应文件截止时间前完成在广西政府采购云平台的身份认证，确保在电子竞标过程中能够对相关数据电文进行加密和使用电子签章。</w:t>
      </w:r>
    </w:p>
    <w:p w14:paraId="1954594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18.3响应文件须由供应商在规定位置签字、盖章（具体以供应商须知前附表或响应文件格式规定为准），否则按无效响应处理。</w:t>
      </w:r>
    </w:p>
    <w:p w14:paraId="432A072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18.4响应文件中标注的供应商名称应与主体资格证明（如营业执照或者事业单位法人证书或者执业许可证或者登记证书等）及公章一致，供应商为自然人的，标注的供应商名称应与身份证姓名及签名一致，否则其响应文件按无效响应处理。</w:t>
      </w:r>
    </w:p>
    <w:p w14:paraId="51DAE50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0FA3E31F">
      <w:pPr>
        <w:spacing w:line="360" w:lineRule="auto"/>
        <w:ind w:firstLine="482" w:firstLineChars="200"/>
        <w:rPr>
          <w:rFonts w:hint="eastAsia" w:ascii="黑体" w:hAnsi="黑体" w:eastAsia="黑体"/>
          <w:color w:val="auto"/>
          <w:sz w:val="24"/>
          <w:highlight w:val="none"/>
        </w:rPr>
      </w:pPr>
      <w:r>
        <w:rPr>
          <w:rFonts w:hint="eastAsia" w:ascii="黑体" w:hAnsi="黑体" w:eastAsia="黑体" w:cs="宋体"/>
          <w:b/>
          <w:bCs/>
          <w:color w:val="auto"/>
          <w:sz w:val="24"/>
          <w:highlight w:val="none"/>
        </w:rPr>
        <w:t>19.电子</w:t>
      </w:r>
      <w:r>
        <w:rPr>
          <w:rFonts w:hint="eastAsia" w:ascii="黑体" w:hAnsi="黑体" w:eastAsia="黑体"/>
          <w:b/>
          <w:color w:val="auto"/>
          <w:sz w:val="24"/>
          <w:highlight w:val="none"/>
        </w:rPr>
        <w:t>备份响应文件</w:t>
      </w:r>
    </w:p>
    <w:p w14:paraId="5C2D6E0F">
      <w:pPr>
        <w:spacing w:line="360" w:lineRule="auto"/>
        <w:ind w:firstLine="420" w:firstLineChars="200"/>
        <w:rPr>
          <w:rFonts w:hint="eastAsia" w:ascii="宋体" w:hAnsi="宋体" w:cs="宋体"/>
          <w:color w:val="auto"/>
          <w:szCs w:val="21"/>
          <w:highlight w:val="none"/>
        </w:rPr>
      </w:pPr>
      <w:r>
        <w:rPr>
          <w:rFonts w:hint="eastAsia"/>
          <w:color w:val="auto"/>
          <w:highlight w:val="none"/>
        </w:rPr>
        <w:t>电子备份响应文件是指通过“广西政府采购云平台电子投标客户端”在线编制生成且后缀名为“</w:t>
      </w:r>
      <w:r>
        <w:rPr>
          <w:color w:val="auto"/>
          <w:highlight w:val="none"/>
        </w:rPr>
        <w:t>bfbs</w:t>
      </w:r>
      <w:r>
        <w:rPr>
          <w:rFonts w:hint="eastAsia"/>
          <w:color w:val="auto"/>
          <w:highlight w:val="none"/>
        </w:rPr>
        <w:t>”的文件，是否接受电子备份响应文件</w:t>
      </w:r>
      <w:r>
        <w:rPr>
          <w:rFonts w:hint="eastAsia" w:hAnsi="宋体"/>
          <w:bCs/>
          <w:color w:val="auto"/>
          <w:szCs w:val="21"/>
          <w:highlight w:val="none"/>
        </w:rPr>
        <w:t>详见在“供应商须知前附表”。</w:t>
      </w:r>
    </w:p>
    <w:p w14:paraId="61A4BC62">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20.响应文件的提交</w:t>
      </w:r>
    </w:p>
    <w:p w14:paraId="0233B5C4">
      <w:pPr>
        <w:spacing w:line="360" w:lineRule="auto"/>
        <w:ind w:firstLine="420" w:firstLineChars="200"/>
        <w:rPr>
          <w:rFonts w:hint="eastAsia" w:hAnsi="宋体"/>
          <w:b/>
          <w:color w:val="auto"/>
          <w:highlight w:val="none"/>
        </w:rPr>
      </w:pPr>
      <w:r>
        <w:rPr>
          <w:rFonts w:hint="eastAsia" w:hAnsi="宋体"/>
          <w:bCs/>
          <w:color w:val="auto"/>
          <w:szCs w:val="21"/>
          <w:highlight w:val="none"/>
        </w:rPr>
        <w:t>20.1供应商必须按“供应商须知前附表”规定的</w:t>
      </w:r>
      <w:r>
        <w:rPr>
          <w:rFonts w:hint="eastAsia" w:ascii="宋体" w:hAnsi="宋体" w:cs="宋体"/>
          <w:color w:val="auto"/>
          <w:szCs w:val="21"/>
          <w:highlight w:val="none"/>
        </w:rPr>
        <w:t>时间</w:t>
      </w:r>
      <w:r>
        <w:rPr>
          <w:rFonts w:hint="eastAsia" w:ascii="宋体" w:hAnsi="宋体"/>
          <w:color w:val="auto"/>
          <w:szCs w:val="21"/>
          <w:highlight w:val="none"/>
        </w:rPr>
        <w:t>及</w:t>
      </w:r>
      <w:r>
        <w:rPr>
          <w:rFonts w:hint="eastAsia" w:hAnsi="宋体"/>
          <w:bCs/>
          <w:color w:val="auto"/>
          <w:szCs w:val="21"/>
          <w:highlight w:val="none"/>
        </w:rPr>
        <w:t>地点提交响应文件。电子响应文件应在制作完成后，</w:t>
      </w:r>
      <w:r>
        <w:rPr>
          <w:rFonts w:hAnsi="宋体"/>
          <w:bCs/>
          <w:color w:val="auto"/>
          <w:szCs w:val="21"/>
          <w:highlight w:val="none"/>
        </w:rPr>
        <w:t>在</w:t>
      </w:r>
      <w:r>
        <w:rPr>
          <w:rFonts w:hint="eastAsia" w:hAnsi="宋体"/>
          <w:bCs/>
          <w:color w:val="auto"/>
          <w:szCs w:val="21"/>
          <w:highlight w:val="none"/>
        </w:rPr>
        <w:t>提交响应文件截止</w:t>
      </w:r>
      <w:r>
        <w:rPr>
          <w:rFonts w:hAnsi="宋体"/>
          <w:bCs/>
          <w:color w:val="auto"/>
          <w:szCs w:val="21"/>
          <w:highlight w:val="none"/>
        </w:rPr>
        <w:t>时间前</w:t>
      </w:r>
      <w:r>
        <w:rPr>
          <w:rFonts w:hint="eastAsia" w:hAnsi="宋体"/>
          <w:bCs/>
          <w:color w:val="auto"/>
          <w:szCs w:val="21"/>
          <w:highlight w:val="none"/>
        </w:rPr>
        <w:t>通过有效数字证书（CA认证锁）进行电子签章、加密，然后通过网络将加密的电子响应文件提交至</w:t>
      </w:r>
      <w:r>
        <w:rPr>
          <w:rFonts w:hint="eastAsia" w:ascii="宋体" w:hAnsi="宋体"/>
          <w:color w:val="auto"/>
          <w:szCs w:val="21"/>
          <w:highlight w:val="none"/>
        </w:rPr>
        <w:t>广西政府采购云平台</w:t>
      </w:r>
      <w:r>
        <w:rPr>
          <w:rFonts w:hint="eastAsia" w:hAnsi="宋体"/>
          <w:bCs/>
          <w:color w:val="auto"/>
          <w:szCs w:val="21"/>
          <w:highlight w:val="none"/>
        </w:rPr>
        <w:t>。</w:t>
      </w:r>
    </w:p>
    <w:p w14:paraId="6EB7370E">
      <w:pPr>
        <w:spacing w:line="360" w:lineRule="auto"/>
        <w:ind w:firstLine="422" w:firstLineChars="200"/>
        <w:rPr>
          <w:rFonts w:hint="eastAsia" w:ascii="宋体" w:hAnsi="宋体" w:cs="宋体"/>
          <w:color w:val="auto"/>
          <w:szCs w:val="21"/>
          <w:highlight w:val="none"/>
        </w:rPr>
      </w:pPr>
      <w:r>
        <w:rPr>
          <w:rFonts w:hint="eastAsia" w:ascii="宋体" w:hAnsi="宋体"/>
          <w:b/>
          <w:color w:val="auto"/>
          <w:szCs w:val="21"/>
          <w:highlight w:val="none"/>
        </w:rPr>
        <w:t>20.</w:t>
      </w:r>
      <w:r>
        <w:rPr>
          <w:rFonts w:ascii="宋体" w:hAnsi="宋体"/>
          <w:b/>
          <w:color w:val="auto"/>
          <w:szCs w:val="21"/>
          <w:highlight w:val="none"/>
        </w:rPr>
        <w:t>2</w:t>
      </w:r>
      <w:r>
        <w:rPr>
          <w:rFonts w:hint="eastAsia" w:ascii="宋体" w:hAnsi="宋体"/>
          <w:b/>
          <w:color w:val="auto"/>
          <w:szCs w:val="21"/>
          <w:highlight w:val="none"/>
        </w:rPr>
        <w:t>未在规定时间内提交或者未按照磋商文件要求加密的电子响应文件，广西政府采购云平台将拒收。</w:t>
      </w:r>
    </w:p>
    <w:p w14:paraId="5E8E61B9">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21.首次响应文件的补充、修改与撤回</w:t>
      </w:r>
    </w:p>
    <w:p w14:paraId="5DC5EF39">
      <w:pPr>
        <w:snapToGrid w:val="0"/>
        <w:spacing w:line="360" w:lineRule="auto"/>
        <w:ind w:firstLine="420"/>
        <w:jc w:val="left"/>
        <w:rPr>
          <w:rFonts w:hint="eastAsia" w:ascii="宋体" w:hAnsi="宋体"/>
          <w:color w:val="auto"/>
          <w:szCs w:val="21"/>
          <w:highlight w:val="none"/>
        </w:rPr>
      </w:pPr>
      <w:bookmarkStart w:id="77" w:name="_Toc254970684"/>
      <w:bookmarkStart w:id="78" w:name="_Toc254970543"/>
      <w:r>
        <w:rPr>
          <w:rFonts w:ascii="宋体" w:hAnsi="宋体" w:cs="宋体"/>
          <w:color w:val="auto"/>
          <w:szCs w:val="21"/>
          <w:highlight w:val="none"/>
        </w:rPr>
        <w:t>2</w:t>
      </w:r>
      <w:r>
        <w:rPr>
          <w:rFonts w:hint="eastAsia" w:ascii="宋体" w:hAnsi="宋体" w:cs="宋体"/>
          <w:color w:val="auto"/>
          <w:szCs w:val="21"/>
          <w:highlight w:val="none"/>
        </w:rPr>
        <w:t>1.1</w:t>
      </w:r>
      <w:r>
        <w:rPr>
          <w:rFonts w:hint="eastAsia" w:ascii="宋体" w:hAnsi="宋体"/>
          <w:bCs/>
          <w:color w:val="auto"/>
          <w:szCs w:val="21"/>
          <w:highlight w:val="none"/>
        </w:rPr>
        <w:t>供应商应当在</w:t>
      </w:r>
      <w:r>
        <w:rPr>
          <w:rFonts w:hint="eastAsia" w:hAnsi="宋体"/>
          <w:bCs/>
          <w:color w:val="auto"/>
          <w:szCs w:val="21"/>
          <w:highlight w:val="none"/>
        </w:rPr>
        <w:t>提交响应文件截止</w:t>
      </w:r>
      <w:r>
        <w:rPr>
          <w:rFonts w:hAnsi="宋体"/>
          <w:bCs/>
          <w:color w:val="auto"/>
          <w:szCs w:val="21"/>
          <w:highlight w:val="none"/>
        </w:rPr>
        <w:t>时间</w:t>
      </w:r>
      <w:r>
        <w:rPr>
          <w:rFonts w:hint="eastAsia" w:ascii="宋体" w:hAnsi="宋体"/>
          <w:bCs/>
          <w:color w:val="auto"/>
          <w:szCs w:val="21"/>
          <w:highlight w:val="none"/>
        </w:rPr>
        <w:t>前完成电子响应文件的提交（上传），</w:t>
      </w:r>
      <w:r>
        <w:rPr>
          <w:rFonts w:hint="eastAsia" w:hAnsi="宋体"/>
          <w:bCs/>
          <w:color w:val="auto"/>
          <w:szCs w:val="21"/>
          <w:highlight w:val="none"/>
        </w:rPr>
        <w:t>提交响应文件截止</w:t>
      </w:r>
      <w:r>
        <w:rPr>
          <w:rFonts w:hAnsi="宋体"/>
          <w:bCs/>
          <w:color w:val="auto"/>
          <w:szCs w:val="21"/>
          <w:highlight w:val="none"/>
        </w:rPr>
        <w:t>时间</w:t>
      </w:r>
      <w:r>
        <w:rPr>
          <w:rFonts w:hint="eastAsia" w:hAnsi="宋体"/>
          <w:bCs/>
          <w:color w:val="auto"/>
          <w:szCs w:val="21"/>
          <w:highlight w:val="none"/>
        </w:rPr>
        <w:t>前</w:t>
      </w:r>
      <w:r>
        <w:rPr>
          <w:rFonts w:hint="eastAsia" w:ascii="宋体" w:hAnsi="宋体"/>
          <w:bCs/>
          <w:color w:val="auto"/>
          <w:szCs w:val="21"/>
          <w:highlight w:val="none"/>
        </w:rPr>
        <w:t>可以补充、修改或者撤回响应文件。补充或者修改响应文件的，应当先行撤回原响应文件，补充、修改后重新提交（上传），</w:t>
      </w:r>
      <w:r>
        <w:rPr>
          <w:rFonts w:hint="eastAsia" w:hAnsi="宋体"/>
          <w:bCs/>
          <w:color w:val="auto"/>
          <w:szCs w:val="21"/>
          <w:highlight w:val="none"/>
        </w:rPr>
        <w:t>提交响应文件截止</w:t>
      </w:r>
      <w:r>
        <w:rPr>
          <w:rFonts w:hAnsi="宋体"/>
          <w:bCs/>
          <w:color w:val="auto"/>
          <w:szCs w:val="21"/>
          <w:highlight w:val="none"/>
        </w:rPr>
        <w:t>时间</w:t>
      </w:r>
      <w:r>
        <w:rPr>
          <w:rFonts w:hint="eastAsia" w:hAnsi="宋体"/>
          <w:bCs/>
          <w:color w:val="auto"/>
          <w:szCs w:val="21"/>
          <w:highlight w:val="none"/>
        </w:rPr>
        <w:t>前</w:t>
      </w:r>
      <w:r>
        <w:rPr>
          <w:rFonts w:hint="eastAsia" w:ascii="宋体" w:hAnsi="宋体"/>
          <w:bCs/>
          <w:color w:val="auto"/>
          <w:szCs w:val="21"/>
          <w:highlight w:val="none"/>
        </w:rPr>
        <w:t>未完成提交（上传）的，视为撤回响应文件。</w:t>
      </w:r>
      <w:r>
        <w:rPr>
          <w:rFonts w:hint="eastAsia" w:hAnsi="宋体"/>
          <w:bCs/>
          <w:color w:val="auto"/>
          <w:szCs w:val="21"/>
          <w:highlight w:val="none"/>
        </w:rPr>
        <w:t>提交响应文件截止</w:t>
      </w:r>
      <w:r>
        <w:rPr>
          <w:rFonts w:hAnsi="宋体"/>
          <w:bCs/>
          <w:color w:val="auto"/>
          <w:szCs w:val="21"/>
          <w:highlight w:val="none"/>
        </w:rPr>
        <w:t>时间</w:t>
      </w:r>
      <w:r>
        <w:rPr>
          <w:rFonts w:hint="eastAsia" w:ascii="宋体" w:hAnsi="宋体"/>
          <w:bCs/>
          <w:color w:val="auto"/>
          <w:szCs w:val="21"/>
          <w:highlight w:val="none"/>
        </w:rPr>
        <w:t>以后提交（上传）的响应文件，广西政府采购云平台将予以拒收。</w:t>
      </w:r>
      <w:r>
        <w:rPr>
          <w:rFonts w:hint="eastAsia" w:ascii="宋体" w:hAnsi="宋体" w:cs="宋体"/>
          <w:color w:val="auto"/>
          <w:szCs w:val="21"/>
          <w:highlight w:val="none"/>
        </w:rPr>
        <w:t>（补充、修改或者撤回方式可</w:t>
      </w:r>
      <w:r>
        <w:rPr>
          <w:rFonts w:hint="eastAsia" w:ascii="宋体" w:hAnsi="宋体"/>
          <w:color w:val="auto"/>
          <w:szCs w:val="21"/>
          <w:highlight w:val="none"/>
        </w:rPr>
        <w:t>登录</w:t>
      </w:r>
      <w:r>
        <w:rPr>
          <w:rFonts w:hint="eastAsia" w:ascii="宋体" w:hAnsi="宋体" w:cs="宋体"/>
          <w:color w:val="auto"/>
          <w:kern w:val="0"/>
          <w:szCs w:val="21"/>
          <w:highlight w:val="none"/>
        </w:rPr>
        <w:t>广西政府采购云平台，</w:t>
      </w:r>
      <w:r>
        <w:rPr>
          <w:rFonts w:hint="eastAsia" w:ascii="宋体" w:hAnsi="宋体"/>
          <w:color w:val="auto"/>
          <w:szCs w:val="21"/>
          <w:highlight w:val="none"/>
        </w:rPr>
        <w:t>进入“服务中心”中查看</w:t>
      </w:r>
      <w:r>
        <w:rPr>
          <w:rFonts w:hint="eastAsia" w:ascii="宋体" w:hAnsi="宋体" w:cs="宋体"/>
          <w:color w:val="auto"/>
          <w:szCs w:val="21"/>
          <w:highlight w:val="none"/>
        </w:rPr>
        <w:t xml:space="preserve"> “电子投标文件制作与投送教程”）</w:t>
      </w:r>
    </w:p>
    <w:bookmarkEnd w:id="77"/>
    <w:bookmarkEnd w:id="78"/>
    <w:p w14:paraId="65F54817">
      <w:pPr>
        <w:pStyle w:val="66"/>
        <w:spacing w:before="0"/>
        <w:ind w:firstLine="420"/>
        <w:rPr>
          <w:rFonts w:hint="eastAsia" w:ascii="宋体" w:hAnsi="宋体" w:cs="宋体"/>
          <w:color w:val="auto"/>
          <w:sz w:val="21"/>
          <w:szCs w:val="21"/>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1</w:t>
      </w:r>
      <w:r>
        <w:rPr>
          <w:rFonts w:ascii="宋体" w:hAnsi="宋体" w:cs="宋体"/>
          <w:color w:val="auto"/>
          <w:sz w:val="21"/>
          <w:szCs w:val="21"/>
          <w:highlight w:val="none"/>
        </w:rPr>
        <w:t>.</w:t>
      </w:r>
      <w:r>
        <w:rPr>
          <w:rFonts w:hint="eastAsia" w:ascii="宋体" w:hAnsi="宋体" w:cs="宋体"/>
          <w:color w:val="auto"/>
          <w:sz w:val="21"/>
          <w:szCs w:val="21"/>
          <w:highlight w:val="none"/>
        </w:rPr>
        <w:t>2在提交响应文件截止时间前，除供应商补充、修改或者撤回响应文件外，任何单位和个人不得解密或提取响应文件。</w:t>
      </w:r>
    </w:p>
    <w:p w14:paraId="088EAF8C">
      <w:pPr>
        <w:spacing w:line="360" w:lineRule="auto"/>
        <w:ind w:firstLine="482" w:firstLineChars="200"/>
        <w:rPr>
          <w:rFonts w:hint="eastAsia" w:ascii="黑体" w:hAnsi="黑体" w:eastAsia="黑体" w:cs="宋体"/>
          <w:b/>
          <w:bCs/>
          <w:color w:val="auto"/>
          <w:sz w:val="24"/>
          <w:highlight w:val="none"/>
        </w:rPr>
      </w:pPr>
      <w:bookmarkStart w:id="79" w:name="_Hlk45702405"/>
      <w:r>
        <w:rPr>
          <w:rFonts w:hint="eastAsia" w:ascii="黑体" w:hAnsi="黑体" w:eastAsia="黑体" w:cs="宋体"/>
          <w:b/>
          <w:bCs/>
          <w:color w:val="auto"/>
          <w:sz w:val="24"/>
          <w:highlight w:val="none"/>
        </w:rPr>
        <w:t>22.响应文件的退回</w:t>
      </w:r>
    </w:p>
    <w:p w14:paraId="2101667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采购人和采购代理机构对已提交的响应文件概不退回。</w:t>
      </w:r>
    </w:p>
    <w:p w14:paraId="64D23D4F">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23.截止时间后的撤回</w:t>
      </w:r>
    </w:p>
    <w:p w14:paraId="5A981965">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供应商在响应文件提交截止时间后向采购人、采购代理机构书面申请撤回响应文件的，将根据本须知正文17.4的规定不予退还其磋商保证金。</w:t>
      </w:r>
      <w:bookmarkEnd w:id="79"/>
    </w:p>
    <w:p w14:paraId="435A3258">
      <w:pPr>
        <w:pStyle w:val="4"/>
        <w:jc w:val="center"/>
        <w:rPr>
          <w:rFonts w:hint="eastAsia" w:ascii="宋体" w:hAnsi="宋体"/>
          <w:color w:val="auto"/>
          <w:szCs w:val="21"/>
          <w:highlight w:val="none"/>
        </w:rPr>
      </w:pPr>
      <w:r>
        <w:rPr>
          <w:rFonts w:hint="eastAsia"/>
          <w:color w:val="auto"/>
          <w:highlight w:val="none"/>
        </w:rPr>
        <w:t>四、评审及磋商</w:t>
      </w:r>
    </w:p>
    <w:p w14:paraId="21DD7E1D">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24.磋商小组成立</w:t>
      </w:r>
    </w:p>
    <w:p w14:paraId="7D8BDD6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5826FF4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234F141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24.3</w:t>
      </w:r>
      <w:r>
        <w:rPr>
          <w:rFonts w:hint="eastAsia" w:hAnsi="宋体"/>
          <w:bCs/>
          <w:color w:val="auto"/>
          <w:szCs w:val="21"/>
          <w:highlight w:val="none"/>
        </w:rPr>
        <w:t>采购代理机构</w:t>
      </w:r>
      <w:r>
        <w:rPr>
          <w:rFonts w:hint="eastAsia" w:hAnsi="宋体"/>
          <w:bCs/>
          <w:color w:val="auto"/>
          <w:highlight w:val="none"/>
        </w:rPr>
        <w:t>应当</w:t>
      </w:r>
      <w:r>
        <w:rPr>
          <w:rFonts w:hint="eastAsia" w:hAnsi="宋体"/>
          <w:bCs/>
          <w:color w:val="auto"/>
          <w:szCs w:val="21"/>
          <w:highlight w:val="none"/>
        </w:rPr>
        <w:t>基于广西政府采购云平台</w:t>
      </w:r>
      <w:r>
        <w:rPr>
          <w:rFonts w:hint="eastAsia" w:hAnsi="宋体"/>
          <w:bCs/>
          <w:color w:val="auto"/>
          <w:highlight w:val="none"/>
        </w:rPr>
        <w:t>抽（选）取</w:t>
      </w:r>
      <w:r>
        <w:rPr>
          <w:rFonts w:hint="eastAsia" w:hAnsi="宋体"/>
          <w:bCs/>
          <w:color w:val="auto"/>
          <w:szCs w:val="21"/>
          <w:highlight w:val="none"/>
        </w:rPr>
        <w:t>评审专家。</w:t>
      </w:r>
    </w:p>
    <w:p w14:paraId="0D774C9A">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25.</w:t>
      </w:r>
      <w:r>
        <w:rPr>
          <w:rFonts w:hint="eastAsia" w:ascii="黑体" w:hAnsi="黑体" w:eastAsia="黑体" w:cs="宋体"/>
          <w:b/>
          <w:bCs/>
          <w:color w:val="auto"/>
          <w:sz w:val="24"/>
          <w:highlight w:val="none"/>
        </w:rPr>
        <w:t>首次响应文件的开启和解密</w:t>
      </w:r>
    </w:p>
    <w:p w14:paraId="539E7653">
      <w:pPr>
        <w:spacing w:line="360" w:lineRule="auto"/>
        <w:ind w:firstLine="420" w:firstLineChars="200"/>
        <w:rPr>
          <w:rFonts w:hint="eastAsia" w:ascii="宋体" w:hAnsi="宋体" w:cs="宋体"/>
          <w:color w:val="auto"/>
          <w:szCs w:val="21"/>
          <w:highlight w:val="none"/>
        </w:rPr>
      </w:pPr>
      <w:r>
        <w:rPr>
          <w:rFonts w:hint="eastAsia" w:hAnsi="宋体"/>
          <w:bCs/>
          <w:color w:val="auto"/>
          <w:highlight w:val="none"/>
        </w:rPr>
        <w:t>采购代理机构将在“供应商须知前附表”规定的时</w:t>
      </w:r>
      <w:r>
        <w:rPr>
          <w:rFonts w:hint="eastAsia" w:hAnsi="宋体"/>
          <w:color w:val="auto"/>
          <w:highlight w:val="none"/>
        </w:rPr>
        <w:t>间通过电子交易平台组织响应文件开启，供应商的法定代表人或其委托代理人须携带加密时所用的CA锁，按平台提示和磋商文件的规定登录到广西政府采购云平台电子开标大厅签到，</w:t>
      </w:r>
      <w:r>
        <w:rPr>
          <w:rFonts w:hint="eastAsia"/>
          <w:color w:val="auto"/>
          <w:highlight w:val="none"/>
        </w:rPr>
        <w:t>采购代理机构依托广西政府采购云平台向各供应商发出电子加密响应文件【开始解密】通知，由供应商按</w:t>
      </w:r>
      <w:r>
        <w:rPr>
          <w:rFonts w:hint="eastAsia" w:hAnsi="宋体"/>
          <w:bCs/>
          <w:color w:val="auto"/>
          <w:szCs w:val="21"/>
          <w:highlight w:val="none"/>
        </w:rPr>
        <w:t>“供应商须知前附表”</w:t>
      </w:r>
      <w:r>
        <w:rPr>
          <w:rFonts w:hint="eastAsia"/>
          <w:color w:val="auto"/>
          <w:highlight w:val="none"/>
        </w:rPr>
        <w:t>规定的时间内自行进行响应文件解密</w:t>
      </w:r>
      <w:r>
        <w:rPr>
          <w:rFonts w:hint="eastAsia" w:hAnsi="宋体"/>
          <w:color w:val="auto"/>
          <w:highlight w:val="none"/>
        </w:rPr>
        <w:t>。</w:t>
      </w:r>
      <w:r>
        <w:rPr>
          <w:rFonts w:hint="eastAsia"/>
          <w:b/>
          <w:color w:val="auto"/>
          <w:highlight w:val="none"/>
        </w:rPr>
        <w:t>供应商未在</w:t>
      </w:r>
      <w:r>
        <w:rPr>
          <w:b/>
          <w:color w:val="auto"/>
          <w:highlight w:val="none"/>
        </w:rPr>
        <w:t>规定的时间内解密</w:t>
      </w:r>
      <w:r>
        <w:rPr>
          <w:rFonts w:hint="eastAsia"/>
          <w:b/>
          <w:color w:val="auto"/>
          <w:highlight w:val="none"/>
        </w:rPr>
        <w:t>响应文件</w:t>
      </w:r>
      <w:r>
        <w:rPr>
          <w:b/>
          <w:color w:val="auto"/>
          <w:highlight w:val="none"/>
        </w:rPr>
        <w:t>或</w:t>
      </w:r>
      <w:r>
        <w:rPr>
          <w:rFonts w:hint="eastAsia"/>
          <w:b/>
          <w:color w:val="auto"/>
          <w:highlight w:val="none"/>
        </w:rPr>
        <w:t>者</w:t>
      </w:r>
      <w:r>
        <w:rPr>
          <w:b/>
          <w:color w:val="auto"/>
          <w:highlight w:val="none"/>
        </w:rPr>
        <w:t>解密失败的</w:t>
      </w:r>
      <w:r>
        <w:rPr>
          <w:rFonts w:hint="eastAsia"/>
          <w:b/>
          <w:color w:val="auto"/>
          <w:highlight w:val="none"/>
        </w:rPr>
        <w:t>，供应商</w:t>
      </w:r>
      <w:r>
        <w:rPr>
          <w:rFonts w:hint="eastAsia" w:ascii="宋体" w:hAnsi="宋体"/>
          <w:b/>
          <w:color w:val="auto"/>
          <w:szCs w:val="21"/>
          <w:highlight w:val="none"/>
        </w:rPr>
        <w:t>的响应文件作无效处理</w:t>
      </w:r>
      <w:r>
        <w:rPr>
          <w:b/>
          <w:color w:val="auto"/>
          <w:highlight w:val="none"/>
        </w:rPr>
        <w:t>。</w:t>
      </w:r>
    </w:p>
    <w:p w14:paraId="1422548D">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26</w:t>
      </w:r>
      <w:r>
        <w:rPr>
          <w:rFonts w:hint="eastAsia" w:ascii="黑体" w:hAnsi="黑体" w:eastAsia="黑体" w:cs="宋体"/>
          <w:b/>
          <w:bCs/>
          <w:color w:val="auto"/>
          <w:sz w:val="24"/>
          <w:highlight w:val="none"/>
        </w:rPr>
        <w:t>.评审程序、评审方法和评审标准</w:t>
      </w:r>
    </w:p>
    <w:p w14:paraId="5DEB875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w:t>
      </w:r>
      <w:r>
        <w:rPr>
          <w:rFonts w:hint="eastAsia" w:ascii="宋体" w:hAnsi="宋体" w:cs="宋体"/>
          <w:color w:val="auto"/>
          <w:szCs w:val="21"/>
          <w:highlight w:val="none"/>
        </w:rPr>
        <w:t>.1本项目的评审方法为综合评分法。</w:t>
      </w:r>
    </w:p>
    <w:p w14:paraId="5CDFA8FC">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26.2</w:t>
      </w:r>
      <w:r>
        <w:rPr>
          <w:rFonts w:hint="eastAsia" w:ascii="宋体" w:hAnsi="宋体" w:cs="宋体"/>
          <w:color w:val="auto"/>
          <w:szCs w:val="21"/>
          <w:highlight w:val="none"/>
        </w:rPr>
        <w:t>磋商小组</w:t>
      </w:r>
      <w:r>
        <w:rPr>
          <w:rFonts w:ascii="宋体" w:hAnsi="宋体" w:cs="宋体"/>
          <w:color w:val="auto"/>
          <w:szCs w:val="21"/>
          <w:highlight w:val="none"/>
        </w:rPr>
        <w:t>按照</w:t>
      </w:r>
      <w:r>
        <w:rPr>
          <w:rFonts w:hint="eastAsia" w:ascii="宋体" w:hAnsi="宋体" w:cs="宋体"/>
          <w:color w:val="auto"/>
          <w:szCs w:val="21"/>
          <w:highlight w:val="none"/>
        </w:rPr>
        <w:t>“第四章 评审程序、评审方法和评审标准”</w:t>
      </w:r>
      <w:r>
        <w:rPr>
          <w:rFonts w:ascii="宋体" w:hAnsi="宋体" w:cs="宋体"/>
          <w:color w:val="auto"/>
          <w:szCs w:val="21"/>
          <w:highlight w:val="none"/>
        </w:rPr>
        <w:t>规定的方法、评审因素、标准和程序对</w:t>
      </w:r>
      <w:r>
        <w:rPr>
          <w:rFonts w:hint="eastAsia" w:ascii="宋体" w:hAnsi="宋体" w:cs="宋体"/>
          <w:color w:val="auto"/>
          <w:szCs w:val="21"/>
          <w:highlight w:val="none"/>
        </w:rPr>
        <w:t>响应</w:t>
      </w:r>
      <w:r>
        <w:rPr>
          <w:rFonts w:ascii="宋体" w:hAnsi="宋体" w:cs="宋体"/>
          <w:color w:val="auto"/>
          <w:szCs w:val="21"/>
          <w:highlight w:val="none"/>
        </w:rPr>
        <w:t>文件进行评审。</w:t>
      </w:r>
    </w:p>
    <w:p w14:paraId="7015048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 xml:space="preserve">6.3 </w:t>
      </w:r>
      <w:r>
        <w:rPr>
          <w:rFonts w:hint="eastAsia" w:ascii="宋体" w:hAnsi="宋体"/>
          <w:color w:val="auto"/>
          <w:szCs w:val="21"/>
          <w:highlight w:val="none"/>
        </w:rPr>
        <w:t>商务/技术要求允许负偏离的条款数详见“供应商须知前附表”。</w:t>
      </w:r>
    </w:p>
    <w:p w14:paraId="39E359DC">
      <w:pPr>
        <w:spacing w:line="360" w:lineRule="auto"/>
        <w:ind w:firstLine="420" w:firstLineChars="200"/>
        <w:rPr>
          <w:rFonts w:hint="eastAsia" w:ascii="宋体" w:hAnsi="宋体"/>
          <w:color w:val="auto"/>
          <w:szCs w:val="21"/>
          <w:highlight w:val="none"/>
        </w:rPr>
      </w:pPr>
      <w:r>
        <w:rPr>
          <w:rFonts w:hint="eastAsia" w:ascii="宋体" w:hAnsi="宋体" w:cs="宋体"/>
          <w:color w:val="auto"/>
          <w:highlight w:val="none"/>
        </w:rPr>
        <w:t>26.</w:t>
      </w:r>
      <w:r>
        <w:rPr>
          <w:rFonts w:ascii="宋体" w:hAnsi="宋体" w:cs="宋体"/>
          <w:color w:val="auto"/>
          <w:highlight w:val="none"/>
        </w:rPr>
        <w:t>4</w:t>
      </w:r>
      <w:r>
        <w:rPr>
          <w:rFonts w:hint="eastAsia" w:ascii="宋体" w:hAnsi="宋体" w:cs="宋体"/>
          <w:color w:val="auto"/>
          <w:highlight w:val="none"/>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5D20E221">
      <w:pPr>
        <w:spacing w:line="360" w:lineRule="auto"/>
        <w:ind w:firstLine="420" w:firstLineChars="200"/>
        <w:rPr>
          <w:rFonts w:hint="eastAsia" w:hAnsi="宋体"/>
          <w:color w:val="auto"/>
          <w:highlight w:val="none"/>
        </w:rPr>
      </w:pPr>
      <w:r>
        <w:rPr>
          <w:rFonts w:hint="eastAsia" w:ascii="宋体" w:hAnsi="宋体" w:cs="宋体"/>
          <w:color w:val="auto"/>
          <w:highlight w:val="none"/>
        </w:rPr>
        <w:t>2</w:t>
      </w:r>
      <w:r>
        <w:rPr>
          <w:rFonts w:ascii="宋体" w:hAnsi="宋体" w:cs="宋体"/>
          <w:color w:val="auto"/>
          <w:highlight w:val="none"/>
        </w:rPr>
        <w:t>6.5</w:t>
      </w:r>
      <w:r>
        <w:rPr>
          <w:rFonts w:hint="eastAsia" w:hAnsi="宋体"/>
          <w:color w:val="auto"/>
          <w:highlight w:val="none"/>
        </w:rPr>
        <w:t>电子交易活动的中止。采购过程中出现以下情形，导致电子交易平台无法正常运行，或者无法保证电子交易的公平、公正和安全时，采购机构可中止电子交易活动：</w:t>
      </w:r>
    </w:p>
    <w:p w14:paraId="7DDDA3C9">
      <w:pPr>
        <w:spacing w:line="360" w:lineRule="auto"/>
        <w:ind w:firstLine="420" w:firstLineChars="200"/>
        <w:rPr>
          <w:rFonts w:hint="eastAsia" w:hAnsi="宋体"/>
          <w:color w:val="auto"/>
          <w:highlight w:val="none"/>
        </w:rPr>
      </w:pPr>
      <w:r>
        <w:rPr>
          <w:rFonts w:hint="eastAsia" w:hAnsi="宋体"/>
          <w:color w:val="auto"/>
          <w:highlight w:val="none"/>
        </w:rPr>
        <w:t>（1）电子交易平台发生故障而无法登录访问的；</w:t>
      </w:r>
    </w:p>
    <w:p w14:paraId="5E2C0C2C">
      <w:pPr>
        <w:spacing w:line="360" w:lineRule="auto"/>
        <w:ind w:firstLine="420" w:firstLineChars="200"/>
        <w:rPr>
          <w:rFonts w:hint="eastAsia" w:hAnsi="宋体"/>
          <w:color w:val="auto"/>
          <w:highlight w:val="none"/>
        </w:rPr>
      </w:pPr>
      <w:r>
        <w:rPr>
          <w:rFonts w:hint="eastAsia" w:hAnsi="宋体"/>
          <w:color w:val="auto"/>
          <w:highlight w:val="none"/>
        </w:rPr>
        <w:t>（2）电子交易平台应用或数据库出现错误，不能进行正常操作的；</w:t>
      </w:r>
    </w:p>
    <w:p w14:paraId="669ECA3B">
      <w:pPr>
        <w:spacing w:line="360" w:lineRule="auto"/>
        <w:ind w:firstLine="420" w:firstLineChars="200"/>
        <w:rPr>
          <w:rFonts w:hint="eastAsia" w:hAnsi="宋体"/>
          <w:color w:val="auto"/>
          <w:highlight w:val="none"/>
        </w:rPr>
      </w:pPr>
      <w:r>
        <w:rPr>
          <w:rFonts w:hint="eastAsia" w:hAnsi="宋体"/>
          <w:color w:val="auto"/>
          <w:highlight w:val="none"/>
        </w:rPr>
        <w:t>（3）电子交易平台发现严重安全漏洞，有潜在泄密危险的；</w:t>
      </w:r>
    </w:p>
    <w:p w14:paraId="3E13958D">
      <w:pPr>
        <w:spacing w:line="360" w:lineRule="auto"/>
        <w:ind w:firstLine="420" w:firstLineChars="200"/>
        <w:rPr>
          <w:rFonts w:hint="eastAsia" w:hAnsi="宋体"/>
          <w:color w:val="auto"/>
          <w:highlight w:val="none"/>
        </w:rPr>
      </w:pPr>
      <w:r>
        <w:rPr>
          <w:rFonts w:hint="eastAsia" w:hAnsi="宋体"/>
          <w:color w:val="auto"/>
          <w:highlight w:val="none"/>
        </w:rPr>
        <w:t>（4）病毒发作导致不能进行正常操作的；</w:t>
      </w:r>
    </w:p>
    <w:p w14:paraId="3CC9D166">
      <w:pPr>
        <w:spacing w:line="360" w:lineRule="auto"/>
        <w:ind w:firstLine="420" w:firstLineChars="200"/>
        <w:rPr>
          <w:rFonts w:hint="eastAsia" w:hAnsi="宋体"/>
          <w:color w:val="auto"/>
          <w:highlight w:val="none"/>
        </w:rPr>
      </w:pPr>
      <w:r>
        <w:rPr>
          <w:rFonts w:hint="eastAsia" w:hAnsi="宋体"/>
          <w:color w:val="auto"/>
          <w:highlight w:val="none"/>
        </w:rPr>
        <w:t>（5）其他无法保证电子交易的公平、公正和安全的情况。</w:t>
      </w:r>
    </w:p>
    <w:p w14:paraId="654771E1">
      <w:pPr>
        <w:spacing w:line="360" w:lineRule="auto"/>
        <w:ind w:firstLine="420" w:firstLineChars="200"/>
        <w:rPr>
          <w:rFonts w:hint="eastAsia" w:ascii="宋体" w:hAnsi="宋体" w:cs="宋体"/>
          <w:color w:val="auto"/>
          <w:szCs w:val="21"/>
          <w:highlight w:val="none"/>
        </w:rPr>
      </w:pPr>
      <w:r>
        <w:rPr>
          <w:rFonts w:hint="eastAsia" w:ascii="宋体" w:hAnsi="宋体"/>
          <w:color w:val="auto"/>
          <w:highlight w:val="none"/>
        </w:rPr>
        <w:t>26.</w:t>
      </w:r>
      <w:r>
        <w:rPr>
          <w:rFonts w:ascii="宋体" w:hAnsi="宋体"/>
          <w:color w:val="auto"/>
          <w:highlight w:val="none"/>
        </w:rPr>
        <w:t>6</w:t>
      </w:r>
      <w:r>
        <w:rPr>
          <w:rFonts w:hint="eastAsia" w:hAnsi="宋体"/>
          <w:color w:val="auto"/>
          <w:highlight w:val="none"/>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369B89BE">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27</w:t>
      </w:r>
      <w:r>
        <w:rPr>
          <w:rFonts w:hint="eastAsia" w:ascii="黑体" w:hAnsi="黑体" w:eastAsia="黑体" w:cs="宋体"/>
          <w:b/>
          <w:bCs/>
          <w:color w:val="auto"/>
          <w:sz w:val="24"/>
          <w:highlight w:val="none"/>
        </w:rPr>
        <w:t>.确定成交供应商及结果公告</w:t>
      </w:r>
    </w:p>
    <w:p w14:paraId="597CCE99">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1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250A2B2A">
      <w:pPr>
        <w:spacing w:line="360" w:lineRule="auto"/>
        <w:ind w:firstLine="420" w:firstLineChars="200"/>
        <w:rPr>
          <w:rFonts w:hint="eastAsia" w:ascii="宋体" w:hAnsi="宋体" w:cs="Courier New"/>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.2采购代理机构应当在</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80" w:name="_Hlk66782294"/>
      <w:r>
        <w:rPr>
          <w:rFonts w:hint="eastAsia" w:ascii="宋体" w:hAnsi="宋体" w:cs="Courier New"/>
          <w:color w:val="auto"/>
          <w:szCs w:val="21"/>
          <w:highlight w:val="none"/>
        </w:rPr>
        <w:t>成交供应商享受</w:t>
      </w:r>
      <w:r>
        <w:rPr>
          <w:rFonts w:hint="eastAsia" w:ascii="宋体" w:hAnsi="宋体"/>
          <w:color w:val="auto"/>
          <w:szCs w:val="21"/>
          <w:highlight w:val="none"/>
        </w:rPr>
        <w:t>《政府采购促进中小企业发展管理办法》（财库〔2020〕46号）规定的中小企业扶持</w:t>
      </w:r>
      <w:r>
        <w:rPr>
          <w:rFonts w:hint="eastAsia" w:ascii="宋体" w:hAnsi="宋体" w:cs="Courier New"/>
          <w:color w:val="auto"/>
          <w:szCs w:val="21"/>
          <w:highlight w:val="none"/>
        </w:rPr>
        <w:t>政策的，采购人、采购代理机构应当随成交结果公开成交供应商的《中小企业声明函》。</w:t>
      </w:r>
      <w:bookmarkEnd w:id="80"/>
    </w:p>
    <w:p w14:paraId="2AE9AB4D">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27.3出现下列情形之一的，采购人或者采购代理机构应当终止竞争性磋商采购活动，发布项目终止公告并说明原因，重新开展采购活动：</w:t>
      </w:r>
    </w:p>
    <w:p w14:paraId="3D2EF3E7">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（1）因情况变化，不再符合规定的竞争性磋商采购方式适用情形的；</w:t>
      </w:r>
    </w:p>
    <w:p w14:paraId="45061B3A">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（2）出现影响采购公正的违法、违规行为的；</w:t>
      </w:r>
    </w:p>
    <w:p w14:paraId="513555ED">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（3）除“第四章 评审程序、评审方法和评审标准”第4.3条规定的情形外，在采购过程中符合要求的供应商或者报价未超过采购预算的供应商不足3家的。</w:t>
      </w:r>
    </w:p>
    <w:p w14:paraId="60111210">
      <w:pPr>
        <w:spacing w:line="360" w:lineRule="auto"/>
        <w:ind w:firstLine="420" w:firstLineChars="200"/>
        <w:rPr>
          <w:rFonts w:hint="eastAsia" w:ascii="宋体" w:hAnsi="宋体" w:cs="宋体"/>
          <w:color w:val="auto"/>
          <w:szCs w:val="21"/>
          <w:highlight w:val="none"/>
        </w:rPr>
      </w:pPr>
      <w:r>
        <w:rPr>
          <w:rFonts w:hint="eastAsia" w:ascii="宋体" w:hAnsi="宋体" w:cs="Courier New"/>
          <w:color w:val="auto"/>
          <w:szCs w:val="21"/>
          <w:highlight w:val="none"/>
        </w:rPr>
        <w:t>27.4 在采购活动中因重大变故，采购任务取消的，采购人或者采购代理机构应当终止采购活动，通知所有参加采购活动的供应商，并将项目实施情况和采购任务取消原因报送本级财政部门。</w:t>
      </w:r>
    </w:p>
    <w:p w14:paraId="30EB8553">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28</w:t>
      </w:r>
      <w:r>
        <w:rPr>
          <w:rFonts w:hint="eastAsia" w:ascii="黑体" w:hAnsi="黑体" w:eastAsia="黑体" w:cs="宋体"/>
          <w:b/>
          <w:bCs/>
          <w:color w:val="auto"/>
          <w:sz w:val="24"/>
          <w:highlight w:val="none"/>
        </w:rPr>
        <w:t>.履约保证金</w:t>
      </w:r>
    </w:p>
    <w:p w14:paraId="4B0362CD">
      <w:pPr>
        <w:spacing w:line="360" w:lineRule="auto"/>
        <w:ind w:firstLine="424" w:firstLineChars="202"/>
        <w:rPr>
          <w:rFonts w:hint="eastAsia"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.1履约保证金的金额、提交方式、退付的时间和条件详见“供应商须知前附表”。成交供应商未按规定提交履约保证金的，视为拒绝</w:t>
      </w:r>
      <w:r>
        <w:rPr>
          <w:rFonts w:ascii="宋体" w:hAnsi="宋体"/>
          <w:color w:val="auto"/>
          <w:highlight w:val="none"/>
        </w:rPr>
        <w:t>与采购人</w:t>
      </w:r>
      <w:r>
        <w:rPr>
          <w:rFonts w:hint="eastAsia" w:ascii="宋体" w:hAnsi="宋体" w:cs="宋体"/>
          <w:color w:val="auto"/>
          <w:szCs w:val="21"/>
          <w:highlight w:val="none"/>
        </w:rPr>
        <w:t>签订合同。</w:t>
      </w:r>
    </w:p>
    <w:p w14:paraId="10F0A569">
      <w:pPr>
        <w:spacing w:line="360" w:lineRule="auto"/>
        <w:ind w:firstLine="424" w:firstLineChars="202"/>
        <w:rPr>
          <w:rFonts w:hint="eastAsia"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.2在履约保证金退还日期前，若成交供应商的开户名称、开户银行、帐号有变动的，请以书面形式通知履约保证金收取单位，否则由此产生的后果由成交供应商自行承担。</w:t>
      </w:r>
    </w:p>
    <w:p w14:paraId="4C6106AC">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29</w:t>
      </w:r>
      <w:r>
        <w:rPr>
          <w:rFonts w:hint="eastAsia" w:ascii="黑体" w:hAnsi="黑体" w:eastAsia="黑体" w:cs="宋体"/>
          <w:b/>
          <w:bCs/>
          <w:color w:val="auto"/>
          <w:sz w:val="24"/>
          <w:highlight w:val="none"/>
        </w:rPr>
        <w:t>.签订合同</w:t>
      </w:r>
    </w:p>
    <w:p w14:paraId="6AF4110F">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29.1签订电子采购合同：成交供应商领取电子成交通知书后，在</w:t>
      </w:r>
      <w:r>
        <w:rPr>
          <w:rFonts w:hint="eastAsia" w:ascii="宋体" w:hAnsi="宋体" w:cs="宋体"/>
          <w:color w:val="auto"/>
          <w:szCs w:val="21"/>
          <w:highlight w:val="none"/>
          <w:lang w:val="zh-CN"/>
        </w:rPr>
        <w:t>规定的日期、时间、地点，由法定代表人或其授权代表与采购人代表签订电子采购合同。如成交供应商为联合体的，由联合体成员各方法定代表人或其授权代表与采购人代表签订合同。</w:t>
      </w:r>
    </w:p>
    <w:p w14:paraId="056352C3">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线下签订纸质合同：供应商领取成交通知书后，按“供应商须知前附表”规定向采购人出示相关证明材料，经采购人核验合格后方可签订合同。</w:t>
      </w:r>
    </w:p>
    <w:p w14:paraId="3521ED83">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29.2签订合同时间：按成交通知书规定的时间与采购人签订合同。</w:t>
      </w:r>
    </w:p>
    <w:p w14:paraId="091C6170">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w:t>
      </w:r>
      <w:r>
        <w:rPr>
          <w:rFonts w:ascii="宋体" w:hAnsi="宋体" w:cs="宋体"/>
          <w:color w:val="auto"/>
          <w:szCs w:val="21"/>
          <w:highlight w:val="none"/>
        </w:rPr>
        <w:t>3</w:t>
      </w:r>
      <w:r>
        <w:rPr>
          <w:rFonts w:hint="eastAsia" w:ascii="宋体" w:hAnsi="宋体" w:cs="宋体"/>
          <w:color w:val="auto"/>
          <w:szCs w:val="21"/>
          <w:highlight w:val="none"/>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1837E59F">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0609159F">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29.5采购人或成交供应商不得单方面向合同另一方提出任何磋商文件没有约定的条件或不合理的要求，作为签订合同的条件；也不得协商另行订立背离磋商文件和合同实质性内容的协议。</w:t>
      </w:r>
    </w:p>
    <w:p w14:paraId="388CDDAF">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29.6如签订合同并生效后，供应商无故拒绝或延期，除按照合同条款处理外，将承担相应的法律责任。</w:t>
      </w:r>
    </w:p>
    <w:p w14:paraId="6AEFEFB3">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74A83634">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30</w:t>
      </w:r>
      <w:r>
        <w:rPr>
          <w:rFonts w:hint="eastAsia" w:ascii="黑体" w:hAnsi="黑体" w:eastAsia="黑体" w:cs="宋体"/>
          <w:b/>
          <w:bCs/>
          <w:color w:val="auto"/>
          <w:sz w:val="24"/>
          <w:highlight w:val="none"/>
        </w:rPr>
        <w:t>.政府采购合同公告</w:t>
      </w:r>
    </w:p>
    <w:p w14:paraId="7259A66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12BCE175">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31</w:t>
      </w:r>
      <w:r>
        <w:rPr>
          <w:rFonts w:hint="eastAsia" w:ascii="黑体" w:hAnsi="黑体" w:eastAsia="黑体" w:cs="宋体"/>
          <w:b/>
          <w:bCs/>
          <w:color w:val="auto"/>
          <w:sz w:val="24"/>
          <w:highlight w:val="none"/>
        </w:rPr>
        <w:t>.询问、质疑和投诉</w:t>
      </w:r>
    </w:p>
    <w:p w14:paraId="77A2448F">
      <w:pPr>
        <w:pStyle w:val="7"/>
        <w:spacing w:line="360" w:lineRule="auto"/>
        <w:rPr>
          <w:rFonts w:hint="eastAsia" w:ascii="宋体" w:hAnsi="宋体"/>
          <w:color w:val="auto"/>
          <w:szCs w:val="21"/>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.1供应商对政府采购活动事项有疑问的，可以向采购人、采购代理机构提出询问，采购人或者采购代理机构应当在3个工作日内对供应商依法提出的询问作出答复，</w:t>
      </w:r>
      <w:r>
        <w:rPr>
          <w:rFonts w:hint="eastAsia" w:ascii="宋体" w:hAnsi="宋体"/>
          <w:color w:val="auto"/>
          <w:szCs w:val="21"/>
          <w:highlight w:val="none"/>
        </w:rPr>
        <w:t>但答复的内容不得涉及商业秘密</w:t>
      </w:r>
      <w:r>
        <w:rPr>
          <w:rFonts w:hint="eastAsia" w:ascii="宋体" w:hAnsi="宋体" w:cs="宋体"/>
          <w:color w:val="auto"/>
          <w:highlight w:val="none"/>
        </w:rPr>
        <w:t>。</w:t>
      </w:r>
    </w:p>
    <w:p w14:paraId="691A1C2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.2供应商认为磋商文件、采购过程或者成交结果使自己的合法权益受到损害的，应当在知道或者应知其权益受到损害之日起7个工作日内，以书面形式向采购人、采购代理机构提出质疑，</w:t>
      </w:r>
      <w:r>
        <w:rPr>
          <w:rFonts w:ascii="宋体" w:hAnsi="宋体" w:cs="Arial"/>
          <w:color w:val="auto"/>
          <w:highlight w:val="none"/>
          <w:shd w:val="clear" w:color="auto" w:fill="FFFFFF"/>
        </w:rPr>
        <w:t>接收质疑函的方式、联系部门、联系电话和通讯地址等信息</w:t>
      </w:r>
      <w:r>
        <w:rPr>
          <w:rFonts w:hint="eastAsia" w:ascii="宋体" w:hAnsi="宋体" w:cs="Arial"/>
          <w:color w:val="auto"/>
          <w:highlight w:val="none"/>
          <w:shd w:val="clear" w:color="auto" w:fill="FFFFFF"/>
        </w:rPr>
        <w:t>详见</w:t>
      </w:r>
      <w:r>
        <w:rPr>
          <w:rFonts w:hint="eastAsia" w:ascii="宋体" w:hAnsi="宋体" w:cs="宋体"/>
          <w:color w:val="auto"/>
          <w:szCs w:val="21"/>
          <w:highlight w:val="none"/>
        </w:rPr>
        <w:t>“供应商须知前附表”</w:t>
      </w:r>
      <w:r>
        <w:rPr>
          <w:rFonts w:hint="eastAsia" w:ascii="宋体" w:hAnsi="宋体" w:cs="宋体"/>
          <w:color w:val="auto"/>
          <w:highlight w:val="none"/>
        </w:rPr>
        <w:t>。具体质疑起算时间如下：</w:t>
      </w:r>
    </w:p>
    <w:p w14:paraId="2271E82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（1）对可以质疑的磋商文件提出质疑的，为收到磋商文件之日或者</w:t>
      </w:r>
      <w:r>
        <w:rPr>
          <w:rFonts w:hint="eastAsia" w:ascii="宋体" w:hAnsi="宋体"/>
          <w:color w:val="auto"/>
          <w:highlight w:val="none"/>
        </w:rPr>
        <w:t>竞争性磋商公告期限届满之日</w:t>
      </w:r>
      <w:r>
        <w:rPr>
          <w:rFonts w:hint="eastAsia" w:ascii="宋体" w:hAnsi="宋体" w:cs="宋体"/>
          <w:color w:val="auto"/>
          <w:highlight w:val="none"/>
        </w:rPr>
        <w:t>；</w:t>
      </w:r>
    </w:p>
    <w:p w14:paraId="1EFFCAE9">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（2）对采购过程提出质疑的，为各采购程序环节结束之日；</w:t>
      </w:r>
    </w:p>
    <w:p w14:paraId="4ECE3C4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（3）对成交结果提出质疑的，为成交结果公告期限届满之日。</w:t>
      </w:r>
    </w:p>
    <w:p w14:paraId="3A2D74C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1524E4F9">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.4 供应商提出质疑应当提交质疑函和必要的证明材料，针对同一采购程序环节的质疑必须在法定质疑期内一次性提出。质疑函应当包括下列内容</w:t>
      </w:r>
      <w:r>
        <w:rPr>
          <w:rFonts w:hint="eastAsia" w:hAnsi="宋体"/>
          <w:bCs/>
          <w:color w:val="auto"/>
          <w:highlight w:val="none"/>
        </w:rPr>
        <w:t>（质疑函格式后附）</w:t>
      </w:r>
      <w:r>
        <w:rPr>
          <w:rFonts w:hint="eastAsia" w:ascii="宋体" w:hAnsi="宋体" w:cs="宋体"/>
          <w:color w:val="auto"/>
          <w:highlight w:val="none"/>
        </w:rPr>
        <w:t>：</w:t>
      </w:r>
    </w:p>
    <w:p w14:paraId="11BCCC5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30A83F75">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（2）质疑项目的名称、编号；</w:t>
      </w:r>
    </w:p>
    <w:p w14:paraId="706D0655">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（3）具体、明确的质疑事项和与质疑事项相关的请求；</w:t>
      </w:r>
    </w:p>
    <w:p w14:paraId="01E9FEBD">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（4）事实依据；</w:t>
      </w:r>
    </w:p>
    <w:p w14:paraId="10272495">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（5）必要的法律依据；</w:t>
      </w:r>
    </w:p>
    <w:p w14:paraId="78D50D1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（6）提出质疑的日期。</w:t>
      </w:r>
    </w:p>
    <w:p w14:paraId="00FF2F8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53826B03">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1.5</w:t>
      </w:r>
      <w:r>
        <w:rPr>
          <w:rFonts w:hint="eastAsia" w:ascii="宋体" w:hAnsi="宋体" w:cs="宋体"/>
          <w:color w:val="auto"/>
          <w:highlight w:val="none"/>
        </w:rPr>
        <w:t>采购人、采购代理机构认为供应商质疑不成立，或者成立但未对成交结果构成影响的，继续开展采购活动；认为供应商质疑成立且影响或者可能影响成交结果的，按照下列情况处理：</w:t>
      </w:r>
    </w:p>
    <w:p w14:paraId="754EE5AE">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34D315FE">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215D83A3">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057D06A0">
      <w:pPr>
        <w:spacing w:line="360" w:lineRule="auto"/>
        <w:ind w:firstLine="420" w:firstLineChars="200"/>
        <w:rPr>
          <w:rFonts w:hint="eastAsia" w:ascii="宋体" w:hAnsi="宋体" w:cs="宋体"/>
          <w:color w:val="auto"/>
          <w:szCs w:val="21"/>
          <w:highlight w:val="none"/>
        </w:rPr>
      </w:pPr>
      <w:r>
        <w:rPr>
          <w:rFonts w:ascii="宋体" w:hAnsi="宋体" w:cs="宋体"/>
          <w:color w:val="auto"/>
          <w:highlight w:val="none"/>
        </w:rPr>
        <w:t>31</w:t>
      </w: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09341C24">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32</w:t>
      </w:r>
      <w:r>
        <w:rPr>
          <w:rFonts w:hint="eastAsia" w:ascii="黑体" w:hAnsi="黑体" w:eastAsia="黑体" w:cs="宋体"/>
          <w:b/>
          <w:bCs/>
          <w:color w:val="auto"/>
          <w:sz w:val="24"/>
          <w:highlight w:val="none"/>
        </w:rPr>
        <w:t>.其他内容</w:t>
      </w:r>
    </w:p>
    <w:p w14:paraId="2A88011D">
      <w:pPr>
        <w:tabs>
          <w:tab w:val="left" w:pos="2835"/>
        </w:tabs>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.1代理服务收取标准及缴费账户详见“供应商须知前附表”，供应商为联合体的，可以由联合体中的一方或者多方共同交纳代理服务费。</w:t>
      </w:r>
    </w:p>
    <w:p w14:paraId="518E1774">
      <w:pPr>
        <w:tabs>
          <w:tab w:val="left" w:pos="2835"/>
        </w:tabs>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32.2</w:t>
      </w:r>
      <w:r>
        <w:rPr>
          <w:rFonts w:hint="eastAsia" w:ascii="宋体" w:hAnsi="宋体" w:cs="宋体"/>
          <w:color w:val="auto"/>
          <w:szCs w:val="21"/>
          <w:highlight w:val="none"/>
        </w:rPr>
        <w:t>代理服务费收费计算标准：按预算金额参照《招标代理服务费收费管理暂行办法》（计价格[2002]1980号）的规定向成交供应商收取。</w:t>
      </w:r>
    </w:p>
    <w:p w14:paraId="3591A9CC">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w:t>
      </w:r>
      <w:r>
        <w:rPr>
          <w:rFonts w:ascii="黑体" w:hAnsi="黑体" w:eastAsia="黑体" w:cs="宋体"/>
          <w:b/>
          <w:bCs/>
          <w:color w:val="auto"/>
          <w:sz w:val="24"/>
          <w:highlight w:val="none"/>
        </w:rPr>
        <w:t>3.需要补充的其他内容</w:t>
      </w:r>
    </w:p>
    <w:p w14:paraId="22986BB8">
      <w:pPr>
        <w:pStyle w:val="22"/>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3</w:t>
      </w:r>
      <w:r>
        <w:rPr>
          <w:rFonts w:hAnsi="宋体" w:cs="宋体"/>
          <w:color w:val="auto"/>
          <w:kern w:val="2"/>
          <w:sz w:val="21"/>
          <w:highlight w:val="none"/>
        </w:rPr>
        <w:t>3.1</w:t>
      </w:r>
      <w:r>
        <w:rPr>
          <w:rFonts w:hint="eastAsia" w:hAnsi="宋体" w:cs="宋体"/>
          <w:color w:val="auto"/>
          <w:kern w:val="2"/>
          <w:sz w:val="21"/>
          <w:highlight w:val="none"/>
        </w:rPr>
        <w:t>本磋商文件解释规则详见“供应商须知前附表”。</w:t>
      </w:r>
    </w:p>
    <w:p w14:paraId="56213583">
      <w:pPr>
        <w:pStyle w:val="22"/>
        <w:spacing w:line="360" w:lineRule="auto"/>
        <w:ind w:firstLine="420" w:firstLineChars="200"/>
        <w:textAlignment w:val="center"/>
        <w:rPr>
          <w:rFonts w:hint="eastAsia" w:hAnsi="宋体" w:cs="宋体"/>
          <w:color w:val="auto"/>
          <w:kern w:val="2"/>
          <w:sz w:val="21"/>
          <w:highlight w:val="none"/>
        </w:rPr>
      </w:pPr>
      <w:r>
        <w:rPr>
          <w:rFonts w:hAnsi="宋体" w:cs="宋体"/>
          <w:color w:val="auto"/>
          <w:kern w:val="2"/>
          <w:sz w:val="21"/>
          <w:highlight w:val="none"/>
        </w:rPr>
        <w:t>33.2</w:t>
      </w:r>
      <w:r>
        <w:rPr>
          <w:rFonts w:hint="eastAsia" w:hAnsi="宋体" w:cs="宋体"/>
          <w:color w:val="auto"/>
          <w:kern w:val="2"/>
          <w:sz w:val="21"/>
          <w:highlight w:val="none"/>
        </w:rPr>
        <w:t xml:space="preserve"> 其他事项详见“供应商须知前附表”。</w:t>
      </w:r>
    </w:p>
    <w:p w14:paraId="579BD43A">
      <w:pPr>
        <w:pStyle w:val="22"/>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3</w:t>
      </w:r>
      <w:r>
        <w:rPr>
          <w:rFonts w:hAnsi="宋体" w:cs="宋体"/>
          <w:color w:val="auto"/>
          <w:kern w:val="2"/>
          <w:sz w:val="21"/>
          <w:highlight w:val="none"/>
        </w:rPr>
        <w:t>3.3</w:t>
      </w:r>
      <w:r>
        <w:rPr>
          <w:rFonts w:hint="eastAsia" w:hAnsi="宋体" w:cs="宋体"/>
          <w:color w:val="auto"/>
          <w:kern w:val="2"/>
          <w:sz w:val="21"/>
          <w:highlight w:val="none"/>
        </w:rPr>
        <w:t>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574EA84E">
      <w:pPr>
        <w:pStyle w:val="22"/>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0AF8A8EE">
      <w:pPr>
        <w:pStyle w:val="22"/>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（2）在工程采购项目中，工程由中小企业承建，即工程施工单位为中小企业，不对其中涉及的货物的制造商和服务的承接商作出要求；</w:t>
      </w:r>
    </w:p>
    <w:p w14:paraId="7D5C47A5">
      <w:pPr>
        <w:pStyle w:val="22"/>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6857E86A">
      <w:pPr>
        <w:pStyle w:val="22"/>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2D467544">
      <w:pPr>
        <w:pStyle w:val="22"/>
        <w:spacing w:line="360" w:lineRule="auto"/>
        <w:ind w:firstLine="420" w:firstLineChars="200"/>
        <w:textAlignment w:val="center"/>
        <w:rPr>
          <w:rFonts w:hint="eastAsia" w:hAnsi="宋体"/>
          <w:b/>
          <w:color w:val="auto"/>
          <w:sz w:val="32"/>
          <w:szCs w:val="32"/>
          <w:highlight w:val="none"/>
        </w:rPr>
      </w:pPr>
      <w:r>
        <w:rPr>
          <w:rFonts w:hint="eastAsia" w:hAnsi="宋体" w:cs="宋体"/>
          <w:color w:val="auto"/>
          <w:kern w:val="2"/>
          <w:sz w:val="21"/>
          <w:highlight w:val="none"/>
        </w:rPr>
        <w:t>依据本磋商文件规定享受扶持政策获得政府采购合同的，小微企业不得将合同分包给大中型企业，中型企业不得将合同分包给大型企业。</w:t>
      </w:r>
      <w:r>
        <w:rPr>
          <w:rFonts w:hAnsi="宋体"/>
          <w:b/>
          <w:color w:val="auto"/>
          <w:highlight w:val="none"/>
        </w:rPr>
        <w:br w:type="page"/>
      </w:r>
    </w:p>
    <w:p w14:paraId="3D7CE3AF">
      <w:pPr>
        <w:pStyle w:val="2"/>
        <w:jc w:val="center"/>
        <w:rPr>
          <w:color w:val="auto"/>
          <w:highlight w:val="none"/>
        </w:rPr>
      </w:pPr>
      <w:bookmarkStart w:id="81" w:name="_Toc74323458"/>
      <w:r>
        <w:rPr>
          <w:rFonts w:hint="eastAsia"/>
          <w:color w:val="auto"/>
          <w:highlight w:val="none"/>
        </w:rPr>
        <w:t>第三章采购需求</w:t>
      </w:r>
      <w:bookmarkEnd w:id="81"/>
    </w:p>
    <w:p w14:paraId="369393DE">
      <w:pPr>
        <w:spacing w:line="440" w:lineRule="exact"/>
        <w:jc w:val="center"/>
        <w:outlineLvl w:val="1"/>
        <w:rPr>
          <w:rFonts w:hint="eastAsia" w:ascii="宋体" w:hAnsi="宋体"/>
          <w:b/>
          <w:color w:val="auto"/>
          <w:sz w:val="32"/>
          <w:szCs w:val="32"/>
          <w:highlight w:val="none"/>
        </w:rPr>
      </w:pPr>
      <w:r>
        <w:rPr>
          <w:rFonts w:hint="eastAsia" w:ascii="宋体" w:hAnsi="宋体"/>
          <w:b/>
          <w:color w:val="auto"/>
          <w:sz w:val="32"/>
          <w:szCs w:val="32"/>
          <w:highlight w:val="none"/>
          <w:lang w:val="en-US" w:eastAsia="zh-CN"/>
        </w:rPr>
        <w:t>一</w:t>
      </w:r>
      <w:r>
        <w:rPr>
          <w:rFonts w:hint="eastAsia" w:ascii="宋体" w:hAnsi="宋体"/>
          <w:b/>
          <w:color w:val="auto"/>
          <w:sz w:val="32"/>
          <w:szCs w:val="32"/>
          <w:highlight w:val="none"/>
        </w:rPr>
        <w:t>、采购项目技术规格、参数及要求</w:t>
      </w:r>
    </w:p>
    <w:p w14:paraId="7022E75E">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说明：</w:t>
      </w:r>
    </w:p>
    <w:p w14:paraId="00BF3DD1">
      <w:pPr>
        <w:spacing w:line="360" w:lineRule="auto"/>
        <w:ind w:firstLine="480" w:firstLineChars="200"/>
        <w:jc w:val="left"/>
        <w:rPr>
          <w:rFonts w:hint="eastAsia" w:ascii="宋体" w:hAnsi="宋体" w:cs="宋体"/>
          <w:color w:val="auto"/>
          <w:sz w:val="24"/>
          <w:highlight w:val="none"/>
        </w:rPr>
      </w:pPr>
      <w:r>
        <w:rPr>
          <w:rFonts w:hint="eastAsia" w:ascii="宋体" w:hAnsi="宋体"/>
          <w:color w:val="auto"/>
          <w:sz w:val="24"/>
          <w:highlight w:val="none"/>
        </w:rPr>
        <w:t>1</w:t>
      </w:r>
      <w:r>
        <w:rPr>
          <w:rFonts w:hint="eastAsia"/>
          <w:color w:val="auto"/>
          <w:sz w:val="24"/>
          <w:highlight w:val="none"/>
        </w:rPr>
        <w:t>.为落实政府采购政策需满足的要求</w:t>
      </w:r>
    </w:p>
    <w:p w14:paraId="60F5FAEE">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（1）本竞争性磋商采购文件所称中小企业必须符合《政府采购促进中小企业发展管理办法》（财库〔2020〕46号）的规定。</w:t>
      </w:r>
    </w:p>
    <w:p w14:paraId="02AAAC64">
      <w:pPr>
        <w:spacing w:line="360" w:lineRule="auto"/>
        <w:ind w:firstLine="484" w:firstLineChars="202"/>
        <w:jc w:val="left"/>
        <w:rPr>
          <w:rFonts w:hint="eastAsia" w:ascii="宋体" w:hAnsi="宋体" w:cs="宋体"/>
          <w:color w:val="auto"/>
          <w:sz w:val="24"/>
          <w:highlight w:val="none"/>
        </w:rPr>
      </w:pPr>
      <w:r>
        <w:rPr>
          <w:rFonts w:hint="eastAsia" w:ascii="宋体" w:hAnsi="宋体" w:cs="宋体"/>
          <w:color w:val="auto"/>
          <w:sz w:val="24"/>
          <w:highlight w:val="none"/>
        </w:rPr>
        <w:t>2.“实质性要求”是指采购需求中带“▲”的条款或者不能负偏离的条款或者已经指明不满足按响应文件按无效处理的条款。</w:t>
      </w:r>
    </w:p>
    <w:p w14:paraId="67A0DB91">
      <w:pPr>
        <w:spacing w:line="360" w:lineRule="auto"/>
        <w:ind w:firstLine="484" w:firstLineChars="202"/>
        <w:jc w:val="left"/>
        <w:rPr>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w:t>
      </w:r>
      <w:r>
        <w:rPr>
          <w:rFonts w:hint="eastAsia"/>
          <w:color w:val="auto"/>
          <w:sz w:val="24"/>
          <w:highlight w:val="none"/>
        </w:rPr>
        <w:t>供应商必须自行为其竞标产品侵犯他人的知识产权或者专利成果的行为承担相应法律责任。</w:t>
      </w:r>
    </w:p>
    <w:p w14:paraId="7F7473D0">
      <w:pPr>
        <w:spacing w:line="360" w:lineRule="auto"/>
        <w:ind w:firstLine="595" w:firstLineChars="247"/>
        <w:jc w:val="left"/>
        <w:rPr>
          <w:rFonts w:hint="eastAsia" w:ascii="宋体" w:hAnsi="宋体" w:cs="Arial"/>
          <w:b/>
          <w:bCs/>
          <w:color w:val="auto"/>
          <w:sz w:val="24"/>
          <w:highlight w:val="none"/>
          <w:u w:val="single"/>
        </w:rPr>
      </w:pPr>
      <w:r>
        <w:rPr>
          <w:rFonts w:hint="eastAsia" w:ascii="宋体" w:hAnsi="宋体" w:cs="Arial"/>
          <w:b/>
          <w:bCs/>
          <w:color w:val="auto"/>
          <w:sz w:val="24"/>
          <w:highlight w:val="none"/>
          <w:u w:val="single"/>
        </w:rPr>
        <w:t>4.本项目整体所属行业：其他未列明行业</w:t>
      </w:r>
    </w:p>
    <w:p w14:paraId="3AE08A90">
      <w:pPr>
        <w:spacing w:line="360" w:lineRule="auto"/>
        <w:ind w:firstLine="595" w:firstLineChars="247"/>
        <w:jc w:val="left"/>
        <w:rPr>
          <w:rFonts w:hint="eastAsia" w:ascii="宋体" w:hAnsi="宋体" w:cs="Arial"/>
          <w:b/>
          <w:bCs/>
          <w:color w:val="auto"/>
          <w:sz w:val="24"/>
          <w:highlight w:val="none"/>
          <w:u w:val="single"/>
        </w:rPr>
      </w:pPr>
    </w:p>
    <w:p w14:paraId="09A56963">
      <w:pPr>
        <w:spacing w:line="360" w:lineRule="auto"/>
        <w:ind w:firstLine="595" w:firstLineChars="247"/>
        <w:jc w:val="left"/>
        <w:rPr>
          <w:rFonts w:hint="eastAsia" w:ascii="宋体" w:hAnsi="宋体" w:cs="Arial"/>
          <w:b/>
          <w:bCs/>
          <w:color w:val="auto"/>
          <w:sz w:val="24"/>
          <w:highlight w:val="none"/>
          <w:u w:val="single"/>
        </w:rPr>
      </w:pPr>
    </w:p>
    <w:tbl>
      <w:tblPr>
        <w:tblStyle w:val="36"/>
        <w:tblW w:w="89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12"/>
        <w:gridCol w:w="1361"/>
        <w:gridCol w:w="606"/>
        <w:gridCol w:w="245"/>
        <w:gridCol w:w="6165"/>
      </w:tblGrid>
      <w:tr w14:paraId="4CB063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612" w:type="dxa"/>
            <w:tcBorders>
              <w:top w:val="single" w:color="000000" w:sz="4" w:space="0"/>
              <w:left w:val="single" w:color="000000" w:sz="4" w:space="0"/>
              <w:bottom w:val="single" w:color="000000" w:sz="4" w:space="0"/>
              <w:right w:val="single" w:color="000000" w:sz="4" w:space="0"/>
            </w:tcBorders>
            <w:vAlign w:val="center"/>
          </w:tcPr>
          <w:p w14:paraId="2DCFCCEB">
            <w:pPr>
              <w:tabs>
                <w:tab w:val="left" w:pos="180"/>
                <w:tab w:val="left" w:pos="1620"/>
              </w:tabs>
              <w:spacing w:line="360" w:lineRule="auto"/>
              <w:jc w:val="center"/>
              <w:rPr>
                <w:rFonts w:ascii="Arial" w:hAnsi="Arial" w:cs="Arial"/>
                <w:color w:val="auto"/>
                <w:sz w:val="24"/>
                <w:highlight w:val="none"/>
              </w:rPr>
            </w:pPr>
            <w:r>
              <w:rPr>
                <w:rFonts w:ascii="Arial" w:hAnsi="Arial" w:cs="Arial"/>
                <w:color w:val="auto"/>
                <w:sz w:val="24"/>
                <w:highlight w:val="none"/>
              </w:rPr>
              <w:t>序号</w:t>
            </w:r>
          </w:p>
        </w:tc>
        <w:tc>
          <w:tcPr>
            <w:tcW w:w="1361" w:type="dxa"/>
            <w:tcBorders>
              <w:top w:val="single" w:color="000000" w:sz="4" w:space="0"/>
              <w:left w:val="single" w:color="000000" w:sz="4" w:space="0"/>
              <w:bottom w:val="single" w:color="000000" w:sz="4" w:space="0"/>
              <w:right w:val="single" w:color="000000" w:sz="4" w:space="0"/>
            </w:tcBorders>
            <w:vAlign w:val="center"/>
          </w:tcPr>
          <w:p w14:paraId="1865BBE0">
            <w:pPr>
              <w:tabs>
                <w:tab w:val="left" w:pos="180"/>
                <w:tab w:val="left" w:pos="1620"/>
              </w:tabs>
              <w:spacing w:line="360" w:lineRule="auto"/>
              <w:jc w:val="center"/>
              <w:rPr>
                <w:rFonts w:ascii="Arial" w:hAnsi="Arial" w:cs="Arial"/>
                <w:color w:val="auto"/>
                <w:sz w:val="24"/>
                <w:highlight w:val="none"/>
              </w:rPr>
            </w:pPr>
            <w:r>
              <w:rPr>
                <w:rFonts w:ascii="Arial" w:hAnsi="Arial" w:cs="Arial"/>
                <w:color w:val="auto"/>
                <w:sz w:val="24"/>
                <w:highlight w:val="none"/>
              </w:rPr>
              <w:t>标的的名称</w:t>
            </w:r>
          </w:p>
        </w:tc>
        <w:tc>
          <w:tcPr>
            <w:tcW w:w="851" w:type="dxa"/>
            <w:gridSpan w:val="2"/>
            <w:tcBorders>
              <w:top w:val="single" w:color="000000" w:sz="4" w:space="0"/>
              <w:left w:val="single" w:color="000000" w:sz="4" w:space="0"/>
              <w:bottom w:val="single" w:color="000000" w:sz="4" w:space="0"/>
              <w:right w:val="single" w:color="000000" w:sz="4" w:space="0"/>
            </w:tcBorders>
            <w:vAlign w:val="center"/>
          </w:tcPr>
          <w:p w14:paraId="016B265E">
            <w:pPr>
              <w:tabs>
                <w:tab w:val="left" w:pos="180"/>
                <w:tab w:val="left" w:pos="1620"/>
              </w:tabs>
              <w:spacing w:line="360" w:lineRule="auto"/>
              <w:jc w:val="center"/>
              <w:rPr>
                <w:rFonts w:ascii="Arial" w:hAnsi="Arial" w:cs="Arial"/>
                <w:color w:val="auto"/>
                <w:sz w:val="24"/>
                <w:highlight w:val="none"/>
              </w:rPr>
            </w:pPr>
            <w:r>
              <w:rPr>
                <w:rFonts w:ascii="Arial" w:hAnsi="Arial" w:cs="Arial"/>
                <w:color w:val="auto"/>
                <w:sz w:val="24"/>
                <w:highlight w:val="none"/>
              </w:rPr>
              <w:t>单位及数量</w:t>
            </w:r>
          </w:p>
        </w:tc>
        <w:tc>
          <w:tcPr>
            <w:tcW w:w="6165" w:type="dxa"/>
            <w:tcBorders>
              <w:top w:val="single" w:color="000000" w:sz="4" w:space="0"/>
              <w:left w:val="single" w:color="000000" w:sz="4" w:space="0"/>
              <w:bottom w:val="single" w:color="000000" w:sz="4" w:space="0"/>
              <w:right w:val="single" w:color="000000" w:sz="4" w:space="0"/>
            </w:tcBorders>
            <w:vAlign w:val="center"/>
          </w:tcPr>
          <w:p w14:paraId="0D0FFA45">
            <w:pPr>
              <w:tabs>
                <w:tab w:val="left" w:pos="180"/>
                <w:tab w:val="left" w:pos="1620"/>
              </w:tabs>
              <w:spacing w:line="360" w:lineRule="auto"/>
              <w:jc w:val="center"/>
              <w:rPr>
                <w:rFonts w:ascii="Arial" w:hAnsi="Arial" w:cs="Arial"/>
                <w:color w:val="auto"/>
                <w:sz w:val="24"/>
                <w:highlight w:val="none"/>
              </w:rPr>
            </w:pPr>
            <w:r>
              <w:rPr>
                <w:rFonts w:ascii="Arial" w:hAnsi="Arial" w:cs="Arial"/>
                <w:color w:val="auto"/>
                <w:sz w:val="24"/>
                <w:highlight w:val="none"/>
              </w:rPr>
              <w:t>▲服务需求</w:t>
            </w:r>
          </w:p>
        </w:tc>
      </w:tr>
      <w:tr w14:paraId="257C43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1" w:hRule="atLeast"/>
          <w:jc w:val="center"/>
        </w:trPr>
        <w:tc>
          <w:tcPr>
            <w:tcW w:w="612" w:type="dxa"/>
            <w:tcBorders>
              <w:top w:val="single" w:color="000000" w:sz="4" w:space="0"/>
              <w:left w:val="single" w:color="000000" w:sz="4" w:space="0"/>
              <w:bottom w:val="single" w:color="000000" w:sz="4" w:space="0"/>
              <w:right w:val="single" w:color="000000" w:sz="4" w:space="0"/>
            </w:tcBorders>
            <w:vAlign w:val="center"/>
          </w:tcPr>
          <w:p w14:paraId="773317FB">
            <w:pPr>
              <w:tabs>
                <w:tab w:val="left" w:pos="180"/>
                <w:tab w:val="left" w:pos="1620"/>
              </w:tabs>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361" w:type="dxa"/>
            <w:tcBorders>
              <w:top w:val="single" w:color="000000" w:sz="4" w:space="0"/>
              <w:left w:val="single" w:color="000000" w:sz="4" w:space="0"/>
              <w:bottom w:val="single" w:color="000000" w:sz="4" w:space="0"/>
              <w:right w:val="single" w:color="000000" w:sz="4" w:space="0"/>
            </w:tcBorders>
            <w:vAlign w:val="center"/>
          </w:tcPr>
          <w:p w14:paraId="66A40F80">
            <w:pPr>
              <w:pStyle w:val="121"/>
              <w:spacing w:line="360" w:lineRule="auto"/>
              <w:ind w:firstLine="0" w:firstLineChars="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服务重点群体就业系列招聘活动项目</w:t>
            </w:r>
          </w:p>
        </w:tc>
        <w:tc>
          <w:tcPr>
            <w:tcW w:w="851" w:type="dxa"/>
            <w:gridSpan w:val="2"/>
            <w:tcBorders>
              <w:top w:val="single" w:color="000000" w:sz="4" w:space="0"/>
              <w:left w:val="single" w:color="000000" w:sz="4" w:space="0"/>
              <w:bottom w:val="single" w:color="000000" w:sz="4" w:space="0"/>
              <w:right w:val="single" w:color="000000" w:sz="4" w:space="0"/>
            </w:tcBorders>
            <w:vAlign w:val="center"/>
          </w:tcPr>
          <w:p w14:paraId="2C12138B">
            <w:pPr>
              <w:pStyle w:val="121"/>
              <w:spacing w:line="360" w:lineRule="auto"/>
              <w:ind w:firstLine="0" w:firstLine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1项</w:t>
            </w:r>
          </w:p>
        </w:tc>
        <w:tc>
          <w:tcPr>
            <w:tcW w:w="6165" w:type="dxa"/>
            <w:tcBorders>
              <w:top w:val="single" w:color="000000" w:sz="4" w:space="0"/>
              <w:left w:val="single" w:color="000000" w:sz="4" w:space="0"/>
              <w:bottom w:val="single" w:color="000000" w:sz="4" w:space="0"/>
              <w:right w:val="single" w:color="000000" w:sz="4" w:space="0"/>
            </w:tcBorders>
            <w:vAlign w:val="center"/>
          </w:tcPr>
          <w:p w14:paraId="1FDF40D1">
            <w:pPr>
              <w:keepNext w:val="0"/>
              <w:keepLines w:val="0"/>
              <w:pageBreakBefore w:val="0"/>
              <w:widowControl/>
              <w:numPr>
                <w:ilvl w:val="0"/>
                <w:numId w:val="0"/>
              </w:numPr>
              <w:shd w:val="clear"/>
              <w:kinsoku/>
              <w:wordWrap/>
              <w:overflowPunct/>
              <w:topLinePunct w:val="0"/>
              <w:autoSpaceDE/>
              <w:autoSpaceDN/>
              <w:bidi w:val="0"/>
              <w:adjustRightInd/>
              <w:snapToGrid/>
              <w:spacing w:line="240" w:lineRule="auto"/>
              <w:ind w:firstLine="482" w:firstLineChars="200"/>
              <w:contextualSpacing w:val="0"/>
              <w:jc w:val="left"/>
              <w:textAlignment w:val="auto"/>
              <w:outlineLvl w:val="9"/>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
                <w:bCs w:val="0"/>
                <w:color w:val="auto"/>
                <w:kern w:val="0"/>
                <w:sz w:val="24"/>
                <w:szCs w:val="24"/>
                <w:highlight w:val="none"/>
                <w:lang w:val="en-US" w:eastAsia="zh-CN"/>
              </w:rPr>
              <w:t>一、活动主题、时间及地点</w:t>
            </w:r>
          </w:p>
          <w:p w14:paraId="040056F6">
            <w:pPr>
              <w:keepNext w:val="0"/>
              <w:keepLines w:val="0"/>
              <w:pageBreakBefore w:val="0"/>
              <w:numPr>
                <w:ilvl w:val="0"/>
                <w:numId w:val="0"/>
              </w:numPr>
              <w:shd w:val="clear"/>
              <w:kinsoku/>
              <w:wordWrap/>
              <w:overflowPunct/>
              <w:topLinePunct w:val="0"/>
              <w:bidi w:val="0"/>
              <w:spacing w:line="24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（一）主题：</w:t>
            </w:r>
            <w:r>
              <w:rPr>
                <w:rFonts w:hint="eastAsia" w:ascii="宋体" w:hAnsi="宋体" w:eastAsia="宋体" w:cs="宋体"/>
                <w:color w:val="auto"/>
                <w:sz w:val="24"/>
                <w:szCs w:val="24"/>
                <w:highlight w:val="none"/>
                <w:lang w:eastAsia="zh-CN"/>
              </w:rPr>
              <w:t>金秋聚贤，“职”等你来</w:t>
            </w:r>
          </w:p>
          <w:p w14:paraId="08789C06">
            <w:pPr>
              <w:keepNext w:val="0"/>
              <w:keepLines w:val="0"/>
              <w:pageBreakBefore w:val="0"/>
              <w:numPr>
                <w:ilvl w:val="0"/>
                <w:numId w:val="0"/>
              </w:numPr>
              <w:shd w:val="clear"/>
              <w:kinsoku/>
              <w:wordWrap/>
              <w:overflowPunct/>
              <w:topLinePunct w:val="0"/>
              <w:bidi w:val="0"/>
              <w:spacing w:line="240" w:lineRule="auto"/>
              <w:ind w:left="0" w:lef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二）时间：</w:t>
            </w:r>
            <w:r>
              <w:rPr>
                <w:rFonts w:hint="eastAsia" w:ascii="宋体" w:hAnsi="宋体" w:eastAsia="宋体" w:cs="宋体"/>
                <w:color w:val="auto"/>
                <w:sz w:val="24"/>
                <w:szCs w:val="24"/>
                <w:highlight w:val="none"/>
                <w:lang w:eastAsia="zh-CN"/>
              </w:rPr>
              <w:t>活动拟于2025年</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lang w:eastAsia="zh-CN"/>
              </w:rPr>
              <w:t>月至12月期间举办。</w:t>
            </w:r>
          </w:p>
          <w:p w14:paraId="19BE4657">
            <w:pPr>
              <w:keepNext w:val="0"/>
              <w:keepLines w:val="0"/>
              <w:pageBreakBefore w:val="0"/>
              <w:widowControl/>
              <w:numPr>
                <w:ilvl w:val="0"/>
                <w:numId w:val="0"/>
              </w:numPr>
              <w:shd w:val="clear"/>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lang w:eastAsia="zh-CN"/>
              </w:rPr>
              <w:t>（三）地点：在区核心商圈或临近地铁、公交枢纽等交通便利的区域开展活动；同时，对接广西区内高校，在校园体育馆、图书馆广场等开阔区域举办就业活动。</w:t>
            </w:r>
          </w:p>
          <w:p w14:paraId="7B45DEB5">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2" w:firstLineChars="200"/>
              <w:contextualSpacing w:val="0"/>
              <w:jc w:val="left"/>
              <w:textAlignment w:val="auto"/>
              <w:outlineLvl w:val="9"/>
              <w:rPr>
                <w:rFonts w:hint="eastAsia" w:ascii="宋体" w:hAnsi="宋体" w:eastAsia="宋体" w:cs="宋体"/>
                <w:b/>
                <w:bCs w:val="0"/>
                <w:color w:val="auto"/>
                <w:kern w:val="0"/>
                <w:sz w:val="24"/>
                <w:szCs w:val="24"/>
                <w:highlight w:val="none"/>
                <w:lang w:eastAsia="zh-CN"/>
              </w:rPr>
            </w:pPr>
            <w:r>
              <w:rPr>
                <w:rFonts w:hint="eastAsia" w:ascii="宋体" w:hAnsi="宋体" w:eastAsia="宋体" w:cs="宋体"/>
                <w:b/>
                <w:bCs w:val="0"/>
                <w:color w:val="auto"/>
                <w:kern w:val="0"/>
                <w:sz w:val="24"/>
                <w:szCs w:val="24"/>
                <w:highlight w:val="none"/>
                <w:lang w:val="en-US" w:eastAsia="zh-CN"/>
              </w:rPr>
              <w:t>二</w:t>
            </w:r>
            <w:r>
              <w:rPr>
                <w:rFonts w:hint="eastAsia" w:ascii="宋体" w:hAnsi="宋体" w:eastAsia="宋体" w:cs="宋体"/>
                <w:b/>
                <w:bCs w:val="0"/>
                <w:color w:val="auto"/>
                <w:kern w:val="0"/>
                <w:sz w:val="24"/>
                <w:szCs w:val="24"/>
                <w:highlight w:val="none"/>
                <w:lang w:eastAsia="zh-CN"/>
              </w:rPr>
              <w:t>、</w:t>
            </w:r>
            <w:r>
              <w:rPr>
                <w:rFonts w:hint="eastAsia" w:ascii="宋体" w:hAnsi="宋体" w:eastAsia="宋体" w:cs="宋体"/>
                <w:b/>
                <w:bCs w:val="0"/>
                <w:color w:val="auto"/>
                <w:kern w:val="0"/>
                <w:sz w:val="24"/>
                <w:szCs w:val="24"/>
                <w:highlight w:val="none"/>
              </w:rPr>
              <w:t>活动形式</w:t>
            </w:r>
            <w:r>
              <w:rPr>
                <w:rFonts w:hint="eastAsia" w:ascii="宋体" w:hAnsi="宋体" w:eastAsia="宋体" w:cs="宋体"/>
                <w:b/>
                <w:bCs w:val="0"/>
                <w:color w:val="auto"/>
                <w:kern w:val="0"/>
                <w:sz w:val="24"/>
                <w:szCs w:val="24"/>
                <w:highlight w:val="none"/>
                <w:lang w:eastAsia="zh-CN"/>
              </w:rPr>
              <w:t>、目标</w:t>
            </w:r>
          </w:p>
          <w:p w14:paraId="645910ED">
            <w:pPr>
              <w:keepNext w:val="0"/>
              <w:keepLines w:val="0"/>
              <w:pageBreakBefore w:val="0"/>
              <w:numPr>
                <w:ilvl w:val="0"/>
                <w:numId w:val="0"/>
              </w:numPr>
              <w:shd w:val="clear"/>
              <w:kinsoku/>
              <w:wordWrap/>
              <w:overflowPunct/>
              <w:topLinePunct w:val="0"/>
              <w:bidi w:val="0"/>
              <w:spacing w:line="240" w:lineRule="auto"/>
              <w:ind w:firstLine="480" w:firstLineChars="200"/>
              <w:rPr>
                <w:rFonts w:hint="eastAsia" w:ascii="宋体" w:hAnsi="宋体" w:eastAsia="宋体" w:cs="宋体"/>
                <w:b w:val="0"/>
                <w:bCs/>
                <w:color w:val="auto"/>
                <w:sz w:val="24"/>
                <w:szCs w:val="24"/>
                <w:highlight w:val="none"/>
                <w:lang w:val="en-US" w:eastAsia="zh-CN" w:bidi="en-US"/>
              </w:rPr>
            </w:pPr>
            <w:r>
              <w:rPr>
                <w:rFonts w:hint="eastAsia" w:ascii="宋体" w:hAnsi="宋体" w:eastAsia="宋体" w:cs="宋体"/>
                <w:color w:val="auto"/>
                <w:sz w:val="24"/>
                <w:szCs w:val="24"/>
                <w:highlight w:val="none"/>
                <w:lang w:eastAsia="zh-CN"/>
              </w:rPr>
              <w:t>采用“线上与线下相结合”的模式，在全区</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lang w:eastAsia="zh-CN"/>
              </w:rPr>
              <w:t>个设区市全面开展招聘活动。</w:t>
            </w:r>
            <w:r>
              <w:rPr>
                <w:rFonts w:hint="eastAsia" w:ascii="宋体" w:hAnsi="宋体" w:eastAsia="宋体" w:cs="宋体"/>
                <w:color w:val="auto"/>
                <w:sz w:val="24"/>
                <w:szCs w:val="24"/>
                <w:highlight w:val="none"/>
                <w:lang w:val="en-US" w:eastAsia="zh-CN"/>
              </w:rPr>
              <w:t>计划组织并举办商圈线下招聘会21场、校园招聘会13场，提供超1万个岗位信息，</w:t>
            </w:r>
            <w:r>
              <w:rPr>
                <w:rFonts w:hint="eastAsia" w:ascii="宋体" w:hAnsi="宋体" w:eastAsia="宋体" w:cs="宋体"/>
                <w:color w:val="auto"/>
                <w:sz w:val="24"/>
                <w:szCs w:val="24"/>
                <w:highlight w:val="none"/>
              </w:rPr>
              <w:t>所有招聘岗位数据全部归集至广西“数智人社”信息系统</w:t>
            </w:r>
            <w:r>
              <w:rPr>
                <w:rFonts w:hint="eastAsia" w:ascii="宋体" w:hAnsi="宋体" w:eastAsia="宋体" w:cs="宋体"/>
                <w:color w:val="auto"/>
                <w:sz w:val="24"/>
                <w:szCs w:val="24"/>
                <w:highlight w:val="none"/>
                <w:lang w:val="en-US" w:eastAsia="zh-CN"/>
              </w:rPr>
              <w:t>。招聘会旨在服务重点群体的就业工作，通过精心策划与组织的一系列招聘活动，为各类求职者提供多样化的就业机会，满足其就业需求，同时为企业和用人单位搭建高效的招聘平台，促进人力资源的合理配置与优化利用。</w:t>
            </w:r>
          </w:p>
          <w:p w14:paraId="6CE9B500">
            <w:pPr>
              <w:keepNext w:val="0"/>
              <w:keepLines w:val="0"/>
              <w:pageBreakBefore w:val="0"/>
              <w:numPr>
                <w:ilvl w:val="0"/>
                <w:numId w:val="0"/>
              </w:numPr>
              <w:shd w:val="clear"/>
              <w:kinsoku/>
              <w:wordWrap/>
              <w:overflowPunct/>
              <w:topLinePunct w:val="0"/>
              <w:bidi w:val="0"/>
              <w:spacing w:line="24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kern w:val="0"/>
                <w:sz w:val="24"/>
                <w:szCs w:val="24"/>
                <w:highlight w:val="none"/>
              </w:rPr>
              <w:t>活动具体安排</w:t>
            </w:r>
          </w:p>
          <w:p w14:paraId="3A9CD291">
            <w:pPr>
              <w:keepNext w:val="0"/>
              <w:keepLines w:val="0"/>
              <w:pageBreakBefore w:val="0"/>
              <w:numPr>
                <w:ilvl w:val="0"/>
                <w:numId w:val="0"/>
              </w:numPr>
              <w:shd w:val="clear"/>
              <w:kinsoku/>
              <w:wordWrap/>
              <w:overflowPunct/>
              <w:topLinePunct w:val="0"/>
              <w:bidi w:val="0"/>
              <w:spacing w:line="240" w:lineRule="auto"/>
              <w:ind w:firstLine="480" w:firstLineChars="200"/>
              <w:jc w:val="left"/>
              <w:rPr>
                <w:rFonts w:hint="eastAsia" w:ascii="宋体" w:hAnsi="宋体" w:eastAsia="宋体" w:cs="宋体"/>
                <w:b w:val="0"/>
                <w:bCs/>
                <w:color w:val="auto"/>
                <w:kern w:val="0"/>
                <w:sz w:val="24"/>
                <w:szCs w:val="24"/>
                <w:highlight w:val="none"/>
                <w:lang w:bidi="ar-SA"/>
              </w:rPr>
            </w:pPr>
            <w:r>
              <w:rPr>
                <w:rFonts w:hint="eastAsia" w:ascii="宋体" w:hAnsi="宋体" w:eastAsia="宋体" w:cs="宋体"/>
                <w:b w:val="0"/>
                <w:bCs/>
                <w:color w:val="auto"/>
                <w:kern w:val="0"/>
                <w:sz w:val="24"/>
                <w:szCs w:val="24"/>
                <w:highlight w:val="none"/>
                <w:lang w:eastAsia="zh-CN" w:bidi="ar-SA"/>
              </w:rPr>
              <w:t>（</w:t>
            </w:r>
            <w:r>
              <w:rPr>
                <w:rFonts w:hint="eastAsia" w:ascii="宋体" w:hAnsi="宋体" w:eastAsia="宋体" w:cs="宋体"/>
                <w:b w:val="0"/>
                <w:bCs/>
                <w:color w:val="auto"/>
                <w:kern w:val="0"/>
                <w:sz w:val="24"/>
                <w:szCs w:val="24"/>
                <w:highlight w:val="none"/>
                <w:lang w:val="en-US" w:eastAsia="zh-CN" w:bidi="ar-SA"/>
              </w:rPr>
              <w:t>一）</w:t>
            </w:r>
            <w:r>
              <w:rPr>
                <w:rFonts w:hint="eastAsia" w:ascii="宋体" w:hAnsi="宋体" w:eastAsia="宋体" w:cs="宋体"/>
                <w:b w:val="0"/>
                <w:bCs/>
                <w:color w:val="auto"/>
                <w:kern w:val="0"/>
                <w:sz w:val="24"/>
                <w:szCs w:val="24"/>
                <w:highlight w:val="none"/>
                <w:lang w:bidi="ar-SA"/>
              </w:rPr>
              <w:t>线上活动安排</w:t>
            </w:r>
          </w:p>
          <w:p w14:paraId="626A5E80">
            <w:pPr>
              <w:keepNext w:val="0"/>
              <w:keepLines w:val="0"/>
              <w:pageBreakBefore w:val="0"/>
              <w:numPr>
                <w:ilvl w:val="0"/>
                <w:numId w:val="0"/>
              </w:numPr>
              <w:shd w:val="clear"/>
              <w:kinsoku/>
              <w:wordWrap/>
              <w:overflowPunct/>
              <w:topLinePunct w:val="0"/>
              <w:bidi w:val="0"/>
              <w:spacing w:line="240" w:lineRule="auto"/>
              <w:ind w:firstLine="480" w:firstLineChars="200"/>
              <w:jc w:val="left"/>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eastAsia="zh-CN"/>
              </w:rPr>
              <w:t>依托“广西就业”平台，</w:t>
            </w:r>
            <w:r>
              <w:rPr>
                <w:rFonts w:hint="eastAsia" w:ascii="宋体" w:hAnsi="宋体" w:eastAsia="宋体" w:cs="宋体"/>
                <w:bCs/>
                <w:color w:val="auto"/>
                <w:kern w:val="0"/>
                <w:sz w:val="24"/>
                <w:szCs w:val="24"/>
                <w:highlight w:val="none"/>
                <w:lang w:val="en-US" w:eastAsia="zh-CN"/>
              </w:rPr>
              <w:t>计划于11月至12月，在“广西就业平台”开设“2025年服务重点群体就业系列招聘活动”专栏，并设置全区14个地市的线上引才专区。</w:t>
            </w:r>
          </w:p>
          <w:p w14:paraId="77D11581">
            <w:pPr>
              <w:keepNext w:val="0"/>
              <w:keepLines w:val="0"/>
              <w:pageBreakBefore w:val="0"/>
              <w:numPr>
                <w:ilvl w:val="0"/>
                <w:numId w:val="0"/>
              </w:numPr>
              <w:shd w:val="clear"/>
              <w:kinsoku/>
              <w:wordWrap/>
              <w:overflowPunct/>
              <w:topLinePunct w:val="0"/>
              <w:bidi w:val="0"/>
              <w:spacing w:line="240" w:lineRule="auto"/>
              <w:ind w:firstLine="480" w:firstLineChars="20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（二）</w:t>
            </w:r>
            <w:r>
              <w:rPr>
                <w:rFonts w:hint="eastAsia" w:ascii="宋体" w:hAnsi="宋体" w:eastAsia="宋体" w:cs="宋体"/>
                <w:b w:val="0"/>
                <w:bCs/>
                <w:color w:val="auto"/>
                <w:kern w:val="0"/>
                <w:sz w:val="24"/>
                <w:szCs w:val="24"/>
                <w:highlight w:val="none"/>
                <w:lang w:val="en-US" w:eastAsia="zh-CN"/>
              </w:rPr>
              <w:t>商圈</w:t>
            </w:r>
            <w:r>
              <w:rPr>
                <w:rFonts w:hint="eastAsia" w:ascii="宋体" w:hAnsi="宋体" w:eastAsia="宋体" w:cs="宋体"/>
                <w:b w:val="0"/>
                <w:bCs/>
                <w:color w:val="auto"/>
                <w:kern w:val="0"/>
                <w:sz w:val="24"/>
                <w:szCs w:val="24"/>
                <w:highlight w:val="none"/>
                <w:lang w:eastAsia="zh-Hans"/>
              </w:rPr>
              <w:t>线下活动安排</w:t>
            </w:r>
          </w:p>
          <w:p w14:paraId="58701037">
            <w:pPr>
              <w:keepNext w:val="0"/>
              <w:keepLines w:val="0"/>
              <w:pageBreakBefore w:val="0"/>
              <w:numPr>
                <w:ilvl w:val="0"/>
                <w:numId w:val="0"/>
              </w:numPr>
              <w:kinsoku/>
              <w:wordWrap/>
              <w:overflowPunct/>
              <w:topLinePunct w:val="0"/>
              <w:bidi w:val="0"/>
              <w:spacing w:line="24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lang w:eastAsia="zh-CN"/>
              </w:rPr>
              <w:t>拟于1</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lang w:eastAsia="zh-CN"/>
              </w:rPr>
              <w:t>月至1</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lang w:eastAsia="zh-CN"/>
              </w:rPr>
              <w:t>月，在14个地市的商圈举办系列专场招聘会。</w:t>
            </w:r>
            <w:r>
              <w:rPr>
                <w:rFonts w:hint="eastAsia" w:ascii="宋体" w:hAnsi="宋体" w:eastAsia="宋体" w:cs="宋体"/>
                <w:bCs/>
                <w:color w:val="auto"/>
                <w:sz w:val="24"/>
                <w:szCs w:val="24"/>
                <w:highlight w:val="none"/>
                <w:lang w:val="en-US" w:eastAsia="zh-CN"/>
              </w:rPr>
              <w:t>具体站点安排将根据实际情况动态调整，初步计划为：南宁、梧州、北海、防城港、玉林、百色各举办2场招聘会；柳州、桂林、钦州、贵港、贺州、河池、来宾、崇左各举办1场招聘会，共计21场。</w:t>
            </w:r>
          </w:p>
          <w:p w14:paraId="7E45986E">
            <w:pPr>
              <w:numPr>
                <w:ilvl w:val="0"/>
                <w:numId w:val="0"/>
              </w:numPr>
              <w:ind w:firstLine="480" w:firstLineChars="200"/>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（三）校园线下活动安排</w:t>
            </w:r>
          </w:p>
          <w:p w14:paraId="5EE6EAD0">
            <w:pPr>
              <w:keepNext w:val="0"/>
              <w:keepLines w:val="0"/>
              <w:pageBreakBefore w:val="0"/>
              <w:numPr>
                <w:ilvl w:val="0"/>
                <w:numId w:val="0"/>
              </w:numPr>
              <w:kinsoku/>
              <w:wordWrap/>
              <w:overflowPunct/>
              <w:topLinePunct w:val="0"/>
              <w:bidi w:val="0"/>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eastAsia="zh-CN"/>
              </w:rPr>
              <w:t>拟于1</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lang w:eastAsia="zh-CN"/>
              </w:rPr>
              <w:t>月至1</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lang w:eastAsia="zh-CN"/>
              </w:rPr>
              <w:t>月，在</w:t>
            </w:r>
            <w:r>
              <w:rPr>
                <w:rFonts w:hint="eastAsia" w:ascii="宋体" w:hAnsi="宋体" w:eastAsia="宋体" w:cs="宋体"/>
                <w:bCs/>
                <w:color w:val="auto"/>
                <w:sz w:val="24"/>
                <w:szCs w:val="24"/>
                <w:highlight w:val="none"/>
                <w:lang w:val="en-US" w:eastAsia="zh-CN"/>
              </w:rPr>
              <w:t>全区</w:t>
            </w:r>
            <w:r>
              <w:rPr>
                <w:rFonts w:hint="eastAsia" w:ascii="宋体" w:hAnsi="宋体" w:eastAsia="宋体" w:cs="宋体"/>
                <w:bCs/>
                <w:color w:val="auto"/>
                <w:sz w:val="24"/>
                <w:szCs w:val="24"/>
                <w:highlight w:val="none"/>
                <w:lang w:eastAsia="zh-CN"/>
              </w:rPr>
              <w:t>重点城市高校举办系列专场招聘会。</w:t>
            </w:r>
            <w:r>
              <w:rPr>
                <w:rFonts w:hint="eastAsia" w:ascii="宋体" w:hAnsi="宋体" w:eastAsia="宋体" w:cs="宋体"/>
                <w:bCs/>
                <w:color w:val="auto"/>
                <w:sz w:val="24"/>
                <w:szCs w:val="24"/>
                <w:highlight w:val="none"/>
                <w:lang w:val="en-US" w:eastAsia="zh-CN"/>
              </w:rPr>
              <w:t>具体站点安排将根据实际情况动态调整，初步计划如下</w:t>
            </w:r>
            <w:r>
              <w:rPr>
                <w:rFonts w:hint="eastAsia" w:ascii="宋体" w:hAnsi="宋体" w:eastAsia="宋体" w:cs="宋体"/>
                <w:color w:val="auto"/>
                <w:sz w:val="24"/>
                <w:szCs w:val="24"/>
                <w:highlight w:val="none"/>
                <w:lang w:val="en-US" w:eastAsia="zh-CN"/>
              </w:rPr>
              <w:t>：</w:t>
            </w:r>
          </w:p>
          <w:p w14:paraId="35812B94">
            <w:pPr>
              <w:keepNext w:val="0"/>
              <w:keepLines w:val="0"/>
              <w:pageBreakBefore w:val="0"/>
              <w:numPr>
                <w:ilvl w:val="0"/>
                <w:numId w:val="0"/>
              </w:numPr>
              <w:kinsoku/>
              <w:wordWrap/>
              <w:overflowPunct/>
              <w:topLinePunct w:val="0"/>
              <w:bidi w:val="0"/>
              <w:spacing w:line="240" w:lineRule="auto"/>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在南宁市举办2场，柳州市、桂林市、梧州市、防城港市、钦州市、贵港市、玉林市、百色市、河池市、来宾市、崇左市各举办1场，总计13场。</w:t>
            </w:r>
          </w:p>
          <w:p w14:paraId="32B5BFCA">
            <w:pPr>
              <w:keepNext w:val="0"/>
              <w:keepLines w:val="0"/>
              <w:pageBreakBefore w:val="0"/>
              <w:numPr>
                <w:ilvl w:val="0"/>
                <w:numId w:val="0"/>
              </w:numPr>
              <w:shd w:val="clear"/>
              <w:kinsoku/>
              <w:wordWrap/>
              <w:overflowPunct/>
              <w:topLinePunct w:val="0"/>
              <w:bidi w:val="0"/>
              <w:spacing w:line="24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四、服务对象</w:t>
            </w:r>
          </w:p>
          <w:p w14:paraId="06CD42C5">
            <w:pPr>
              <w:keepNext w:val="0"/>
              <w:keepLines w:val="0"/>
              <w:pageBreakBefore w:val="0"/>
              <w:numPr>
                <w:ilvl w:val="0"/>
                <w:numId w:val="0"/>
              </w:numPr>
              <w:kinsoku/>
              <w:wordWrap/>
              <w:overflowPunct/>
              <w:topLinePunct w:val="0"/>
              <w:bidi w:val="0"/>
              <w:spacing w:line="240" w:lineRule="auto"/>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重点就业群体包括面临较大就业压力、亟须就业支持的人群，如高校毕业生（存在工作经验不足、求职技巧欠缺等难题）、下岗失业人员，农民工群体（在城市从事基础工作，常面临劳动权益保障不充分、技能提升渠道有限等挑战），为以上重点就业群体提供精准有效服务，促进稳定就业。</w:t>
            </w:r>
          </w:p>
          <w:p w14:paraId="6B53F292">
            <w:pPr>
              <w:keepNext w:val="0"/>
              <w:keepLines w:val="0"/>
              <w:pageBreakBefore w:val="0"/>
              <w:numPr>
                <w:ilvl w:val="0"/>
                <w:numId w:val="0"/>
              </w:numPr>
              <w:kinsoku/>
              <w:wordWrap/>
              <w:overflowPunct/>
              <w:topLinePunct w:val="0"/>
              <w:bidi w:val="0"/>
              <w:spacing w:line="24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活动内容</w:t>
            </w:r>
          </w:p>
          <w:p w14:paraId="5591E9E9">
            <w:pPr>
              <w:numPr>
                <w:ilvl w:val="0"/>
                <w:numId w:val="0"/>
              </w:numPr>
              <w:ind w:firstLine="480" w:firstLineChars="200"/>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lang w:val="en-US" w:eastAsia="zh-CN"/>
              </w:rPr>
              <w:t>（一）</w:t>
            </w:r>
            <w:r>
              <w:rPr>
                <w:rFonts w:hint="eastAsia" w:ascii="宋体" w:hAnsi="宋体" w:eastAsia="宋体" w:cs="宋体"/>
                <w:b w:val="0"/>
                <w:bCs/>
                <w:color w:val="auto"/>
                <w:kern w:val="2"/>
                <w:sz w:val="24"/>
                <w:szCs w:val="24"/>
                <w:highlight w:val="none"/>
              </w:rPr>
              <w:t>现场招聘</w:t>
            </w:r>
          </w:p>
          <w:p w14:paraId="49F3869B">
            <w:pPr>
              <w:keepNext w:val="0"/>
              <w:keepLines w:val="0"/>
              <w:pageBreakBefore w:val="0"/>
              <w:numPr>
                <w:ilvl w:val="0"/>
                <w:numId w:val="0"/>
              </w:numPr>
              <w:kinsoku/>
              <w:wordWrap/>
              <w:overflowPunct/>
              <w:topLinePunct w:val="0"/>
              <w:bidi w:val="0"/>
              <w:spacing w:line="240" w:lineRule="auto"/>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每场活动将组织约</w:t>
            </w:r>
            <w:r>
              <w:rPr>
                <w:rFonts w:hint="eastAsia" w:ascii="宋体" w:hAnsi="宋体" w:eastAsia="宋体" w:cs="宋体"/>
                <w:bCs/>
                <w:color w:val="auto"/>
                <w:sz w:val="24"/>
                <w:szCs w:val="24"/>
                <w:highlight w:val="none"/>
                <w:lang w:val="en-US" w:eastAsia="zh-CN"/>
              </w:rPr>
              <w:t>30</w:t>
            </w:r>
            <w:r>
              <w:rPr>
                <w:rFonts w:hint="eastAsia" w:ascii="宋体" w:hAnsi="宋体" w:eastAsia="宋体" w:cs="宋体"/>
                <w:bCs/>
                <w:color w:val="auto"/>
                <w:sz w:val="24"/>
                <w:szCs w:val="24"/>
                <w:highlight w:val="none"/>
                <w:lang w:eastAsia="zh-CN"/>
              </w:rPr>
              <w:t>到</w:t>
            </w:r>
            <w:r>
              <w:rPr>
                <w:rFonts w:hint="eastAsia" w:ascii="宋体" w:hAnsi="宋体" w:eastAsia="宋体" w:cs="宋体"/>
                <w:bCs/>
                <w:color w:val="auto"/>
                <w:sz w:val="24"/>
                <w:szCs w:val="24"/>
                <w:highlight w:val="none"/>
                <w:lang w:val="en-US" w:eastAsia="zh-CN"/>
              </w:rPr>
              <w:t>50</w:t>
            </w:r>
            <w:r>
              <w:rPr>
                <w:rFonts w:hint="eastAsia" w:ascii="宋体" w:hAnsi="宋体" w:eastAsia="宋体" w:cs="宋体"/>
                <w:bCs/>
                <w:color w:val="auto"/>
                <w:sz w:val="24"/>
                <w:szCs w:val="24"/>
                <w:highlight w:val="none"/>
                <w:lang w:eastAsia="zh-CN"/>
              </w:rPr>
              <w:t>家用人单位参与，提供多样化的就业岗位。</w:t>
            </w:r>
            <w:r>
              <w:rPr>
                <w:rFonts w:hint="eastAsia" w:ascii="宋体" w:hAnsi="宋体" w:eastAsia="宋体" w:cs="宋体"/>
                <w:color w:val="auto"/>
                <w:sz w:val="24"/>
                <w:szCs w:val="24"/>
                <w:highlight w:val="none"/>
                <w:lang w:eastAsia="zh-CN"/>
              </w:rPr>
              <w:t>协办单位与承办单位将携手负责活动的宣传工作。</w:t>
            </w:r>
          </w:p>
          <w:p w14:paraId="71E5A84D">
            <w:pPr>
              <w:numPr>
                <w:ilvl w:val="0"/>
                <w:numId w:val="0"/>
              </w:numPr>
              <w:ind w:firstLine="480" w:firstLineChars="200"/>
              <w:rPr>
                <w:rFonts w:hint="eastAsia" w:ascii="宋体" w:hAnsi="宋体" w:eastAsia="宋体" w:cs="宋体"/>
                <w:b w:val="0"/>
                <w:bCs/>
                <w:color w:val="auto"/>
                <w:kern w:val="2"/>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rPr>
              <w:t>（二）现场配套服务</w:t>
            </w:r>
          </w:p>
          <w:p w14:paraId="7485652F">
            <w:pPr>
              <w:numPr>
                <w:ilvl w:val="0"/>
                <w:numId w:val="0"/>
              </w:numPr>
              <w:ind w:firstLine="480" w:firstLineChars="200"/>
              <w:rPr>
                <w:rFonts w:hint="eastAsia" w:ascii="宋体" w:hAnsi="宋体" w:eastAsia="宋体" w:cs="宋体"/>
                <w:b w:val="0"/>
                <w:bCs/>
                <w:color w:val="auto"/>
                <w:kern w:val="2"/>
                <w:sz w:val="24"/>
                <w:szCs w:val="24"/>
                <w:highlight w:val="none"/>
                <w:lang w:val="en-US"/>
              </w:rPr>
            </w:pPr>
            <w:r>
              <w:rPr>
                <w:rFonts w:hint="eastAsia" w:ascii="宋体" w:hAnsi="宋体" w:eastAsia="宋体" w:cs="宋体"/>
                <w:b w:val="0"/>
                <w:bCs/>
                <w:color w:val="auto"/>
                <w:kern w:val="2"/>
                <w:sz w:val="24"/>
                <w:szCs w:val="24"/>
                <w:highlight w:val="none"/>
                <w:lang w:val="en-US" w:eastAsia="zh-CN"/>
              </w:rPr>
              <w:t>1.</w:t>
            </w:r>
            <w:r>
              <w:rPr>
                <w:rFonts w:hint="eastAsia" w:ascii="宋体" w:hAnsi="宋体" w:eastAsia="宋体" w:cs="宋体"/>
                <w:b w:val="0"/>
                <w:bCs/>
                <w:color w:val="auto"/>
                <w:kern w:val="2"/>
                <w:sz w:val="24"/>
                <w:szCs w:val="24"/>
                <w:highlight w:val="none"/>
                <w:lang w:eastAsia="zh-CN"/>
              </w:rPr>
              <w:t>政策咨询区：提供就业创业政策解读服务</w:t>
            </w:r>
            <w:r>
              <w:rPr>
                <w:rFonts w:hint="eastAsia" w:ascii="宋体" w:hAnsi="宋体" w:eastAsia="宋体" w:cs="宋体"/>
                <w:b w:val="0"/>
                <w:bCs/>
                <w:color w:val="auto"/>
                <w:kern w:val="2"/>
                <w:sz w:val="24"/>
                <w:szCs w:val="24"/>
                <w:highlight w:val="none"/>
                <w:lang w:val="en-US" w:eastAsia="zh-CN"/>
              </w:rPr>
              <w:t>。</w:t>
            </w:r>
          </w:p>
          <w:p w14:paraId="1E978B64">
            <w:pPr>
              <w:keepNext w:val="0"/>
              <w:keepLines w:val="0"/>
              <w:pageBreakBefore w:val="0"/>
              <w:numPr>
                <w:ilvl w:val="0"/>
                <w:numId w:val="0"/>
              </w:numPr>
              <w:kinsoku/>
              <w:wordWrap/>
              <w:overflowPunct/>
              <w:topLinePunct w:val="0"/>
              <w:bidi w:val="0"/>
              <w:spacing w:line="24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lang w:eastAsia="zh-CN"/>
              </w:rPr>
              <w:t>职业指导区：邀请区内职业指导专家现场答疑，提供职业规划、职场导航、心理咨询等个性化服务，助力求职人员找到合适岗位。</w:t>
            </w:r>
          </w:p>
          <w:p w14:paraId="0970686D">
            <w:pPr>
              <w:numPr>
                <w:ilvl w:val="0"/>
                <w:numId w:val="0"/>
              </w:numPr>
              <w:ind w:firstLine="480" w:firstLineChars="200"/>
              <w:rPr>
                <w:rFonts w:hint="eastAsia" w:ascii="宋体" w:hAnsi="宋体" w:eastAsia="宋体" w:cs="宋体"/>
                <w:b w:val="0"/>
                <w:bCs/>
                <w:color w:val="auto"/>
                <w:kern w:val="2"/>
                <w:sz w:val="24"/>
                <w:szCs w:val="24"/>
                <w:highlight w:val="none"/>
                <w:lang w:val="en-US"/>
              </w:rPr>
            </w:pPr>
            <w:r>
              <w:rPr>
                <w:rFonts w:hint="eastAsia" w:ascii="宋体" w:hAnsi="宋体" w:eastAsia="宋体" w:cs="宋体"/>
                <w:b w:val="0"/>
                <w:bCs/>
                <w:color w:val="auto"/>
                <w:kern w:val="2"/>
                <w:sz w:val="24"/>
                <w:szCs w:val="24"/>
                <w:highlight w:val="none"/>
                <w:lang w:val="en-US" w:eastAsia="zh-CN"/>
              </w:rPr>
              <w:t>3.</w:t>
            </w:r>
            <w:r>
              <w:rPr>
                <w:rFonts w:hint="eastAsia" w:ascii="宋体" w:hAnsi="宋体" w:eastAsia="宋体" w:cs="宋体"/>
                <w:b w:val="0"/>
                <w:bCs/>
                <w:color w:val="auto"/>
                <w:kern w:val="2"/>
                <w:sz w:val="24"/>
                <w:szCs w:val="24"/>
                <w:highlight w:val="none"/>
                <w:lang w:eastAsia="zh-CN"/>
              </w:rPr>
              <w:t>简历诊断区：提供简历优化指导服务。</w:t>
            </w:r>
          </w:p>
          <w:p w14:paraId="3E549132">
            <w:pPr>
              <w:numPr>
                <w:ilvl w:val="0"/>
                <w:numId w:val="0"/>
              </w:numPr>
              <w:ind w:firstLine="480" w:firstLineChars="200"/>
              <w:rPr>
                <w:rFonts w:hint="eastAsia" w:ascii="宋体" w:hAnsi="宋体" w:eastAsia="宋体" w:cs="宋体"/>
                <w:b w:val="0"/>
                <w:bCs/>
                <w:color w:val="auto"/>
                <w:kern w:val="2"/>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rPr>
              <w:t>（三）网络招聘会</w:t>
            </w:r>
          </w:p>
          <w:p w14:paraId="70A53956">
            <w:pPr>
              <w:numPr>
                <w:ilvl w:val="0"/>
                <w:numId w:val="0"/>
              </w:numPr>
              <w:spacing w:line="24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举办现场招聘会，将同步启动网络招聘会，活动将持续20天。</w:t>
            </w:r>
          </w:p>
          <w:p w14:paraId="56E04E5D">
            <w:pPr>
              <w:numPr>
                <w:ilvl w:val="0"/>
                <w:numId w:val="0"/>
              </w:numPr>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六</w:t>
            </w:r>
            <w:r>
              <w:rPr>
                <w:rFonts w:hint="eastAsia" w:ascii="宋体"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服务内容</w:t>
            </w:r>
          </w:p>
          <w:p w14:paraId="2535768A">
            <w:pPr>
              <w:numPr>
                <w:ilvl w:val="0"/>
                <w:numId w:val="0"/>
              </w:numPr>
              <w:ind w:firstLine="482" w:firstLineChars="200"/>
              <w:rPr>
                <w:rFonts w:hint="eastAsia" w:ascii="宋体" w:hAnsi="宋体" w:eastAsia="宋体" w:cs="宋体"/>
                <w:b/>
                <w:bCs/>
                <w:color w:val="auto"/>
                <w:sz w:val="24"/>
                <w:highlight w:val="none"/>
                <w:lang w:val="en-US"/>
              </w:rPr>
            </w:pPr>
            <w:r>
              <w:rPr>
                <w:rFonts w:hint="eastAsia" w:ascii="宋体" w:hAnsi="宋体" w:eastAsia="宋体" w:cs="宋体"/>
                <w:b/>
                <w:bCs/>
                <w:color w:val="auto"/>
                <w:sz w:val="24"/>
                <w:highlight w:val="none"/>
                <w:lang w:val="en-US"/>
              </w:rPr>
              <w:t>（一）就业创业宣传物资</w:t>
            </w:r>
          </w:p>
          <w:p w14:paraId="0731A18A">
            <w:pPr>
              <w:numPr>
                <w:ilvl w:val="0"/>
                <w:numId w:val="0"/>
              </w:numPr>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rPr>
              <w:t>按市进行分配</w:t>
            </w:r>
            <w:r>
              <w:rPr>
                <w:rFonts w:hint="eastAsia" w:ascii="宋体" w:hAnsi="宋体" w:cs="宋体"/>
                <w:color w:val="auto"/>
                <w:sz w:val="24"/>
                <w:highlight w:val="none"/>
                <w:lang w:val="en-US" w:eastAsia="zh-CN"/>
              </w:rPr>
              <w:t>（总量约30万）</w:t>
            </w:r>
            <w:r>
              <w:rPr>
                <w:rFonts w:hint="eastAsia" w:ascii="宋体" w:hAnsi="宋体" w:eastAsia="宋体" w:cs="宋体"/>
                <w:color w:val="auto"/>
                <w:sz w:val="24"/>
                <w:highlight w:val="none"/>
                <w:lang w:val="en-US"/>
              </w:rPr>
              <w:t>，适配进社区、进高校等面对面场景进行政策宣传，方便求职人员等群体直接获取、长期留存并实现二次传播。主要包括：政策手册/口袋书（含申请流程、经办方式，精简易携）、突出核心政策的折页、营造氛围的海报/易拉宝（分主题或指引流程）、日常用的环保袋、扇子等周边（印政策标语与联系方式）、固定展示的宣传展板（定期更新政策、岗位信息）等</w:t>
            </w:r>
            <w:r>
              <w:rPr>
                <w:rFonts w:hint="eastAsia" w:ascii="宋体" w:hAnsi="宋体" w:eastAsia="宋体" w:cs="宋体"/>
                <w:color w:val="auto"/>
                <w:sz w:val="24"/>
                <w:highlight w:val="none"/>
                <w:lang w:val="en-US" w:eastAsia="zh-CN"/>
              </w:rPr>
              <w:t>。</w:t>
            </w:r>
          </w:p>
          <w:p w14:paraId="5D8717D4">
            <w:pPr>
              <w:numPr>
                <w:ilvl w:val="0"/>
                <w:numId w:val="0"/>
              </w:numPr>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（二）商圈线下招聘活动，预计开展21场。</w:t>
            </w:r>
          </w:p>
          <w:p w14:paraId="2A0B5221">
            <w:pPr>
              <w:numPr>
                <w:ilvl w:val="0"/>
                <w:numId w:val="0"/>
              </w:numPr>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1.企业邀约服务（含用人单位组织，用人单位资质、证件、职位信息审核，活动数据汇总，平台搭建维护等），21场；</w:t>
            </w:r>
          </w:p>
          <w:p w14:paraId="0B89BB11">
            <w:pPr>
              <w:numPr>
                <w:ilvl w:val="0"/>
                <w:numId w:val="0"/>
              </w:numPr>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2.策划执行（含招聘活动策划执行、专题页面设计制作、活动推广），21场；</w:t>
            </w:r>
          </w:p>
          <w:p w14:paraId="74DA4CAF">
            <w:pPr>
              <w:numPr>
                <w:ilvl w:val="0"/>
                <w:numId w:val="0"/>
              </w:numPr>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3.场地搭建（含会场场地、展位搭建、桌椅租赁、专区特展搭建等），21场；</w:t>
            </w:r>
          </w:p>
          <w:p w14:paraId="13DA94F8">
            <w:pPr>
              <w:numPr>
                <w:ilvl w:val="0"/>
                <w:numId w:val="0"/>
              </w:numPr>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4.会场物料设计制作（活动宣传展架、展位信息展架、企业信息铭牌、宣传横幅、工作证件等），21场；</w:t>
            </w:r>
          </w:p>
          <w:p w14:paraId="0437FA25">
            <w:pPr>
              <w:numPr>
                <w:ilvl w:val="0"/>
                <w:numId w:val="0"/>
              </w:numPr>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5.会务保障服务（含应急医疗、通讯保障、安全检查、秩序维护、会务办公用品、会务资料印刷、饮用矿泉水、物料运输、组织企业包车服务等），21场；</w:t>
            </w:r>
          </w:p>
          <w:p w14:paraId="4805333D">
            <w:pPr>
              <w:numPr>
                <w:ilvl w:val="0"/>
                <w:numId w:val="0"/>
              </w:numPr>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（三）线下校园招聘活动，13场活动。</w:t>
            </w:r>
          </w:p>
          <w:p w14:paraId="2941DBAD">
            <w:pPr>
              <w:numPr>
                <w:ilvl w:val="0"/>
                <w:numId w:val="0"/>
              </w:numPr>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1.线下招聘会服务</w:t>
            </w:r>
          </w:p>
          <w:p w14:paraId="201312DB">
            <w:pPr>
              <w:numPr>
                <w:ilvl w:val="0"/>
                <w:numId w:val="0"/>
              </w:numPr>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含用人单位组织服务、招聘信息审核、技术支持等服务。</w:t>
            </w:r>
          </w:p>
          <w:p w14:paraId="7E20446C">
            <w:pPr>
              <w:numPr>
                <w:ilvl w:val="0"/>
                <w:numId w:val="0"/>
              </w:numPr>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2.招聘会物料</w:t>
            </w:r>
          </w:p>
          <w:p w14:paraId="1367A9FB">
            <w:pPr>
              <w:numPr>
                <w:ilvl w:val="0"/>
                <w:numId w:val="0"/>
              </w:numPr>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桌椅、帐篷租赁；饮用水用、招聘会场所需物料制作等；</w:t>
            </w:r>
          </w:p>
          <w:p w14:paraId="713710FA">
            <w:pPr>
              <w:numPr>
                <w:ilvl w:val="0"/>
                <w:numId w:val="0"/>
              </w:numPr>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3.宣传</w:t>
            </w:r>
          </w:p>
          <w:p w14:paraId="6A8E81E6">
            <w:pPr>
              <w:numPr>
                <w:ilvl w:val="0"/>
                <w:numId w:val="0"/>
              </w:numPr>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活动专题页、首页大条幅设计及宣传、</w:t>
            </w:r>
            <w:r>
              <w:rPr>
                <w:rFonts w:hint="eastAsia" w:ascii="宋体" w:hAnsi="宋体" w:cs="宋体"/>
                <w:color w:val="auto"/>
                <w:sz w:val="24"/>
                <w:highlight w:val="none"/>
                <w:lang w:val="en-US" w:eastAsia="zh-CN"/>
              </w:rPr>
              <w:t>区内头部招聘网站</w:t>
            </w:r>
            <w:r>
              <w:rPr>
                <w:rFonts w:hint="eastAsia" w:ascii="宋体" w:hAnsi="宋体" w:eastAsia="宋体" w:cs="宋体"/>
                <w:color w:val="auto"/>
                <w:sz w:val="24"/>
                <w:highlight w:val="none"/>
                <w:lang w:val="en-US" w:eastAsia="zh-CN"/>
              </w:rPr>
              <w:t>、HR俱乐部等微信公众号做活动前期宣传；短信发送（用人单位邀约、求职者宣传）等；</w:t>
            </w:r>
          </w:p>
          <w:p w14:paraId="22E1EE34">
            <w:pPr>
              <w:numPr>
                <w:ilvl w:val="0"/>
                <w:numId w:val="0"/>
              </w:numPr>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4.保障</w:t>
            </w:r>
          </w:p>
          <w:p w14:paraId="399E9E35">
            <w:pPr>
              <w:numPr>
                <w:ilvl w:val="0"/>
                <w:numId w:val="0"/>
              </w:numPr>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就业指导专家、安保、保洁、医疗人员、安装人工等；视觉设计、大巴车租赁、物料运输等；</w:t>
            </w:r>
          </w:p>
          <w:p w14:paraId="6E3342EB">
            <w:pPr>
              <w:numPr>
                <w:ilvl w:val="0"/>
                <w:numId w:val="0"/>
              </w:numPr>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sz w:val="24"/>
                <w:highlight w:val="none"/>
                <w:lang w:val="en-US" w:eastAsia="zh-CN"/>
              </w:rPr>
              <w:t>5.网络招聘会。</w:t>
            </w:r>
          </w:p>
        </w:tc>
      </w:tr>
      <w:tr w14:paraId="7F29C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89" w:type="dxa"/>
            <w:gridSpan w:val="5"/>
            <w:tcBorders>
              <w:top w:val="single" w:color="000000" w:sz="4" w:space="0"/>
              <w:left w:val="single" w:color="000000" w:sz="4" w:space="0"/>
              <w:bottom w:val="single" w:color="000000" w:sz="4" w:space="0"/>
              <w:right w:val="single" w:color="000000" w:sz="4" w:space="0"/>
            </w:tcBorders>
          </w:tcPr>
          <w:p w14:paraId="77CDC48A">
            <w:pPr>
              <w:tabs>
                <w:tab w:val="left" w:pos="180"/>
                <w:tab w:val="left" w:pos="1620"/>
              </w:tabs>
              <w:spacing w:line="360" w:lineRule="auto"/>
              <w:rPr>
                <w:rFonts w:ascii="Arial" w:hAnsi="Arial" w:cs="Arial"/>
                <w:color w:val="auto"/>
                <w:sz w:val="24"/>
                <w:highlight w:val="none"/>
              </w:rPr>
            </w:pPr>
            <w:r>
              <w:rPr>
                <w:rFonts w:ascii="Arial" w:hAnsi="Arial" w:cs="Arial"/>
                <w:color w:val="auto"/>
                <w:sz w:val="24"/>
                <w:highlight w:val="none"/>
              </w:rPr>
              <w:t>▲一、</w:t>
            </w:r>
            <w:r>
              <w:rPr>
                <w:rFonts w:ascii="Arial" w:hAnsi="Arial" w:cs="Arial"/>
                <w:b/>
                <w:color w:val="auto"/>
                <w:sz w:val="24"/>
                <w:highlight w:val="none"/>
              </w:rPr>
              <w:t>商务条款</w:t>
            </w:r>
          </w:p>
        </w:tc>
      </w:tr>
      <w:tr w14:paraId="2D434D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73" w:type="dxa"/>
            <w:gridSpan w:val="2"/>
            <w:tcBorders>
              <w:top w:val="single" w:color="000000" w:sz="4" w:space="0"/>
              <w:left w:val="single" w:color="000000" w:sz="4" w:space="0"/>
              <w:bottom w:val="single" w:color="000000" w:sz="4" w:space="0"/>
              <w:right w:val="single" w:color="000000" w:sz="4" w:space="0"/>
            </w:tcBorders>
            <w:vAlign w:val="center"/>
          </w:tcPr>
          <w:p w14:paraId="4B1C3AEA">
            <w:pPr>
              <w:snapToGrid w:val="0"/>
              <w:spacing w:line="360" w:lineRule="auto"/>
              <w:jc w:val="center"/>
              <w:rPr>
                <w:rFonts w:ascii="Arial" w:hAnsi="Arial" w:cs="Arial"/>
                <w:color w:val="auto"/>
                <w:kern w:val="0"/>
                <w:sz w:val="24"/>
                <w:highlight w:val="none"/>
              </w:rPr>
            </w:pPr>
            <w:r>
              <w:rPr>
                <w:rFonts w:ascii="Arial" w:hAnsi="Arial" w:cs="Arial"/>
                <w:color w:val="auto"/>
                <w:kern w:val="0"/>
                <w:sz w:val="24"/>
                <w:highlight w:val="none"/>
              </w:rPr>
              <w:t>1.合同签订时间</w:t>
            </w:r>
          </w:p>
        </w:tc>
        <w:tc>
          <w:tcPr>
            <w:tcW w:w="7016" w:type="dxa"/>
            <w:gridSpan w:val="3"/>
            <w:tcBorders>
              <w:top w:val="single" w:color="000000" w:sz="4" w:space="0"/>
              <w:left w:val="single" w:color="000000" w:sz="4" w:space="0"/>
              <w:bottom w:val="single" w:color="000000" w:sz="4" w:space="0"/>
              <w:right w:val="single" w:color="000000" w:sz="4" w:space="0"/>
            </w:tcBorders>
          </w:tcPr>
          <w:p w14:paraId="396F21C6">
            <w:pPr>
              <w:snapToGrid w:val="0"/>
              <w:spacing w:line="360" w:lineRule="auto"/>
              <w:rPr>
                <w:rFonts w:ascii="Arial" w:hAnsi="Arial" w:cs="Arial"/>
                <w:color w:val="auto"/>
                <w:sz w:val="24"/>
                <w:highlight w:val="none"/>
                <w:lang w:val="zh-CN"/>
              </w:rPr>
            </w:pPr>
            <w:r>
              <w:rPr>
                <w:rFonts w:ascii="Arial" w:hAnsi="Arial" w:cs="Arial"/>
                <w:color w:val="auto"/>
                <w:sz w:val="24"/>
                <w:highlight w:val="none"/>
                <w:lang w:val="zh-CN"/>
              </w:rPr>
              <w:t>自成交通知书发出之日起</w:t>
            </w:r>
            <w:r>
              <w:rPr>
                <w:rFonts w:hint="eastAsia" w:ascii="Arial" w:hAnsi="Arial" w:cs="Arial"/>
                <w:color w:val="auto"/>
                <w:sz w:val="24"/>
                <w:highlight w:val="none"/>
              </w:rPr>
              <w:t>10</w:t>
            </w:r>
            <w:r>
              <w:rPr>
                <w:rFonts w:ascii="Arial" w:hAnsi="Arial" w:cs="Arial"/>
                <w:color w:val="auto"/>
                <w:sz w:val="24"/>
                <w:highlight w:val="none"/>
                <w:lang w:val="zh-CN"/>
              </w:rPr>
              <w:t>个日历日内。</w:t>
            </w:r>
          </w:p>
        </w:tc>
      </w:tr>
      <w:tr w14:paraId="5A1C1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73" w:type="dxa"/>
            <w:gridSpan w:val="2"/>
            <w:tcBorders>
              <w:top w:val="single" w:color="000000" w:sz="4" w:space="0"/>
              <w:left w:val="single" w:color="000000" w:sz="4" w:space="0"/>
              <w:bottom w:val="single" w:color="000000" w:sz="4" w:space="0"/>
              <w:right w:val="single" w:color="000000" w:sz="4" w:space="0"/>
            </w:tcBorders>
            <w:vAlign w:val="center"/>
          </w:tcPr>
          <w:p w14:paraId="578639DB">
            <w:pPr>
              <w:snapToGrid w:val="0"/>
              <w:spacing w:line="360" w:lineRule="auto"/>
              <w:jc w:val="center"/>
              <w:rPr>
                <w:rFonts w:ascii="Arial" w:hAnsi="Arial" w:cs="Arial"/>
                <w:color w:val="auto"/>
                <w:sz w:val="24"/>
                <w:highlight w:val="none"/>
              </w:rPr>
            </w:pPr>
            <w:r>
              <w:rPr>
                <w:rFonts w:ascii="Arial" w:hAnsi="Arial" w:cs="Arial"/>
                <w:color w:val="auto"/>
                <w:sz w:val="24"/>
                <w:highlight w:val="none"/>
              </w:rPr>
              <w:t>2.服务时间及地点</w:t>
            </w:r>
          </w:p>
        </w:tc>
        <w:tc>
          <w:tcPr>
            <w:tcW w:w="7016" w:type="dxa"/>
            <w:gridSpan w:val="3"/>
            <w:tcBorders>
              <w:top w:val="single" w:color="000000" w:sz="4" w:space="0"/>
              <w:left w:val="single" w:color="000000" w:sz="4" w:space="0"/>
              <w:bottom w:val="single" w:color="000000" w:sz="4" w:space="0"/>
              <w:right w:val="single" w:color="000000" w:sz="4" w:space="0"/>
            </w:tcBorders>
          </w:tcPr>
          <w:p w14:paraId="7E14DEA8">
            <w:pPr>
              <w:widowControl/>
              <w:spacing w:line="360" w:lineRule="auto"/>
              <w:jc w:val="left"/>
              <w:rPr>
                <w:rFonts w:ascii="Arial" w:hAnsi="Arial" w:cs="Arial"/>
                <w:color w:val="auto"/>
                <w:sz w:val="24"/>
                <w:highlight w:val="none"/>
              </w:rPr>
            </w:pPr>
            <w:r>
              <w:rPr>
                <w:rFonts w:ascii="Arial" w:hAnsi="Arial" w:cs="Arial"/>
                <w:color w:val="auto"/>
                <w:sz w:val="24"/>
                <w:highlight w:val="none"/>
              </w:rPr>
              <w:t>服务时间：</w:t>
            </w:r>
            <w:r>
              <w:rPr>
                <w:rFonts w:hint="eastAsia" w:ascii="Arial" w:hAnsi="Arial" w:cs="Arial"/>
                <w:color w:val="auto"/>
                <w:sz w:val="24"/>
                <w:highlight w:val="none"/>
                <w:lang w:eastAsia="zh-CN"/>
              </w:rPr>
              <w:t>活动拟于2025年11月至12月期间举办，</w:t>
            </w:r>
            <w:r>
              <w:rPr>
                <w:rFonts w:hint="eastAsia" w:ascii="Arial" w:hAnsi="Arial" w:cs="Arial"/>
                <w:color w:val="auto"/>
                <w:sz w:val="24"/>
                <w:highlight w:val="none"/>
                <w:lang w:val="en-US" w:eastAsia="zh-CN"/>
              </w:rPr>
              <w:t>具体以采购人通知时间为准</w:t>
            </w:r>
            <w:r>
              <w:rPr>
                <w:rFonts w:ascii="Arial" w:hAnsi="Arial" w:cs="Arial"/>
                <w:color w:val="auto"/>
                <w:sz w:val="24"/>
                <w:highlight w:val="none"/>
              </w:rPr>
              <w:t>。</w:t>
            </w:r>
          </w:p>
          <w:p w14:paraId="6B494692">
            <w:pPr>
              <w:widowControl/>
              <w:spacing w:line="360" w:lineRule="auto"/>
              <w:jc w:val="left"/>
              <w:rPr>
                <w:rFonts w:ascii="Arial" w:hAnsi="Arial" w:cs="Arial"/>
                <w:color w:val="auto"/>
                <w:sz w:val="24"/>
                <w:highlight w:val="none"/>
              </w:rPr>
            </w:pPr>
            <w:r>
              <w:rPr>
                <w:rFonts w:ascii="Arial" w:hAnsi="Arial" w:cs="Arial"/>
                <w:color w:val="auto"/>
                <w:sz w:val="24"/>
                <w:highlight w:val="none"/>
              </w:rPr>
              <w:t>服务地点：采购人指定地点。</w:t>
            </w:r>
          </w:p>
        </w:tc>
      </w:tr>
      <w:tr w14:paraId="46800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73" w:type="dxa"/>
            <w:gridSpan w:val="2"/>
            <w:tcBorders>
              <w:top w:val="single" w:color="000000" w:sz="4" w:space="0"/>
              <w:left w:val="single" w:color="000000" w:sz="4" w:space="0"/>
              <w:bottom w:val="single" w:color="000000" w:sz="4" w:space="0"/>
              <w:right w:val="single" w:color="000000" w:sz="4" w:space="0"/>
            </w:tcBorders>
            <w:vAlign w:val="center"/>
          </w:tcPr>
          <w:p w14:paraId="7A29B29D">
            <w:pPr>
              <w:spacing w:before="100" w:beforeAutospacing="1" w:after="100" w:afterAutospacing="1" w:line="360" w:lineRule="auto"/>
              <w:jc w:val="center"/>
              <w:rPr>
                <w:rFonts w:ascii="Arial" w:hAnsi="Arial" w:cs="Arial"/>
                <w:color w:val="auto"/>
                <w:sz w:val="24"/>
                <w:highlight w:val="none"/>
              </w:rPr>
            </w:pPr>
            <w:r>
              <w:rPr>
                <w:rFonts w:ascii="Arial" w:hAnsi="Arial" w:cs="Arial"/>
                <w:color w:val="auto"/>
                <w:sz w:val="24"/>
                <w:highlight w:val="none"/>
              </w:rPr>
              <w:t>3.报价要求</w:t>
            </w:r>
          </w:p>
        </w:tc>
        <w:tc>
          <w:tcPr>
            <w:tcW w:w="7016" w:type="dxa"/>
            <w:gridSpan w:val="3"/>
            <w:tcBorders>
              <w:top w:val="single" w:color="000000" w:sz="4" w:space="0"/>
              <w:left w:val="single" w:color="000000" w:sz="4" w:space="0"/>
              <w:bottom w:val="single" w:color="000000" w:sz="4" w:space="0"/>
              <w:right w:val="single" w:color="000000" w:sz="4" w:space="0"/>
            </w:tcBorders>
            <w:vAlign w:val="center"/>
          </w:tcPr>
          <w:p w14:paraId="1820D637">
            <w:pPr>
              <w:pStyle w:val="7"/>
              <w:spacing w:line="360" w:lineRule="auto"/>
              <w:ind w:firstLine="0"/>
              <w:rPr>
                <w:rFonts w:ascii="Arial" w:hAnsi="Arial" w:cs="Arial"/>
                <w:color w:val="auto"/>
                <w:sz w:val="24"/>
                <w:szCs w:val="24"/>
                <w:highlight w:val="none"/>
              </w:rPr>
            </w:pPr>
            <w:r>
              <w:rPr>
                <w:rFonts w:ascii="Arial" w:hAnsi="Arial" w:cs="Arial"/>
                <w:color w:val="auto"/>
                <w:sz w:val="24"/>
                <w:szCs w:val="24"/>
                <w:highlight w:val="none"/>
              </w:rPr>
              <w:t>报价必须包括但不限于以下：</w:t>
            </w:r>
          </w:p>
          <w:p w14:paraId="541304B8">
            <w:pPr>
              <w:pStyle w:val="7"/>
              <w:spacing w:line="360" w:lineRule="auto"/>
              <w:ind w:firstLine="0"/>
              <w:rPr>
                <w:rFonts w:ascii="Arial" w:hAnsi="Arial" w:cs="Arial"/>
                <w:color w:val="auto"/>
                <w:sz w:val="24"/>
                <w:szCs w:val="24"/>
                <w:highlight w:val="none"/>
              </w:rPr>
            </w:pPr>
            <w:r>
              <w:rPr>
                <w:rFonts w:ascii="Arial" w:hAnsi="Arial" w:cs="Arial"/>
                <w:color w:val="auto"/>
                <w:sz w:val="24"/>
                <w:szCs w:val="24"/>
                <w:highlight w:val="none"/>
              </w:rPr>
              <w:t>磋商报价包含本项目服务实施全过程中所需的所有费用，包括但不限于服务价款，活动场地的规划设计及布置、搭建及撤场费用、设备租赁及保管费、运输装卸费、相关工作人员劳务费、物料设计及制作、配件及辅助材料费、活动相关文件及证书印制费、宣传费、公证费、安装调试、技术支持、培训、售后服务、保险费用和各项税金等全部费用，完成本项目所需的一切工作内容而发生的所有直接费用、间接费用、其它费用，执行本次服务所需的人工、设备、交通、劳保等一切相关费用，供应商自行考虑完成项目所需的费用</w:t>
            </w:r>
            <w:r>
              <w:rPr>
                <w:rFonts w:hint="eastAsia" w:ascii="Arial" w:hAnsi="Arial" w:cs="Arial"/>
                <w:color w:val="auto"/>
                <w:sz w:val="24"/>
                <w:szCs w:val="24"/>
                <w:highlight w:val="none"/>
              </w:rPr>
              <w:t>，</w:t>
            </w:r>
            <w:r>
              <w:rPr>
                <w:rFonts w:ascii="Arial" w:hAnsi="Arial" w:cs="Arial"/>
                <w:color w:val="auto"/>
                <w:sz w:val="24"/>
                <w:szCs w:val="24"/>
                <w:highlight w:val="none"/>
              </w:rPr>
              <w:t>响应报价中应包含全部内容</w:t>
            </w:r>
            <w:r>
              <w:rPr>
                <w:rFonts w:hint="eastAsia" w:ascii="Arial" w:hAnsi="Arial" w:cs="Arial"/>
                <w:color w:val="auto"/>
                <w:sz w:val="24"/>
                <w:szCs w:val="24"/>
                <w:highlight w:val="none"/>
              </w:rPr>
              <w:t>，</w:t>
            </w:r>
            <w:r>
              <w:rPr>
                <w:rFonts w:ascii="Arial" w:hAnsi="Arial" w:cs="Arial"/>
                <w:color w:val="auto"/>
                <w:sz w:val="24"/>
                <w:szCs w:val="24"/>
                <w:highlight w:val="none"/>
              </w:rPr>
              <w:t>采购人不再支付合同金额以外的任何费用。</w:t>
            </w:r>
          </w:p>
        </w:tc>
      </w:tr>
      <w:tr w14:paraId="22827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73" w:type="dxa"/>
            <w:gridSpan w:val="2"/>
            <w:tcBorders>
              <w:top w:val="single" w:color="000000" w:sz="4" w:space="0"/>
              <w:left w:val="single" w:color="000000" w:sz="4" w:space="0"/>
              <w:bottom w:val="single" w:color="000000" w:sz="4" w:space="0"/>
              <w:right w:val="single" w:color="000000" w:sz="4" w:space="0"/>
            </w:tcBorders>
            <w:vAlign w:val="center"/>
          </w:tcPr>
          <w:p w14:paraId="4DA12D32">
            <w:pPr>
              <w:snapToGrid w:val="0"/>
              <w:spacing w:line="360" w:lineRule="auto"/>
              <w:jc w:val="center"/>
              <w:rPr>
                <w:rFonts w:ascii="Arial" w:hAnsi="Arial" w:cs="Arial"/>
                <w:color w:val="auto"/>
                <w:kern w:val="0"/>
                <w:sz w:val="24"/>
                <w:highlight w:val="none"/>
              </w:rPr>
            </w:pPr>
            <w:r>
              <w:rPr>
                <w:rFonts w:ascii="Arial" w:hAnsi="Arial" w:cs="Arial"/>
                <w:color w:val="auto"/>
                <w:sz w:val="24"/>
                <w:highlight w:val="none"/>
              </w:rPr>
              <w:t>4.付款方式</w:t>
            </w:r>
          </w:p>
        </w:tc>
        <w:tc>
          <w:tcPr>
            <w:tcW w:w="7016" w:type="dxa"/>
            <w:gridSpan w:val="3"/>
            <w:tcBorders>
              <w:top w:val="single" w:color="000000" w:sz="4" w:space="0"/>
              <w:left w:val="single" w:color="000000" w:sz="4" w:space="0"/>
              <w:bottom w:val="single" w:color="000000" w:sz="4" w:space="0"/>
              <w:right w:val="single" w:color="000000" w:sz="4" w:space="0"/>
            </w:tcBorders>
          </w:tcPr>
          <w:p w14:paraId="71A3BDF2">
            <w:pPr>
              <w:widowControl/>
              <w:spacing w:line="360" w:lineRule="auto"/>
              <w:jc w:val="left"/>
              <w:rPr>
                <w:rFonts w:ascii="Arial" w:hAnsi="Arial" w:cs="Arial"/>
                <w:color w:val="auto"/>
                <w:sz w:val="24"/>
                <w:highlight w:val="none"/>
              </w:rPr>
            </w:pPr>
            <w:r>
              <w:rPr>
                <w:rFonts w:ascii="Arial" w:hAnsi="Arial" w:cs="Arial"/>
                <w:color w:val="auto"/>
                <w:sz w:val="24"/>
                <w:highlight w:val="none"/>
              </w:rPr>
              <w:t>（1）签订合同10个工作日内支付50%，</w:t>
            </w:r>
            <w:r>
              <w:rPr>
                <w:rFonts w:hint="eastAsia" w:ascii="Arial" w:hAnsi="Arial" w:cs="Arial"/>
                <w:color w:val="auto"/>
                <w:sz w:val="24"/>
                <w:highlight w:val="none"/>
                <w:lang w:val="en-US" w:eastAsia="zh-CN"/>
              </w:rPr>
              <w:t>供应商提交全部服务成果并经采购人</w:t>
            </w:r>
            <w:r>
              <w:rPr>
                <w:rFonts w:ascii="Arial" w:hAnsi="Arial" w:cs="Arial"/>
                <w:color w:val="auto"/>
                <w:sz w:val="24"/>
                <w:highlight w:val="none"/>
              </w:rPr>
              <w:t>验收合格后20日</w:t>
            </w:r>
            <w:r>
              <w:rPr>
                <w:rFonts w:hint="eastAsia" w:ascii="Arial" w:hAnsi="Arial" w:cs="Arial"/>
                <w:color w:val="auto"/>
                <w:sz w:val="24"/>
                <w:highlight w:val="none"/>
                <w:lang w:val="en-US" w:eastAsia="zh-CN"/>
              </w:rPr>
              <w:t>内</w:t>
            </w:r>
            <w:r>
              <w:rPr>
                <w:rFonts w:ascii="Arial" w:hAnsi="Arial" w:cs="Arial"/>
                <w:color w:val="auto"/>
                <w:sz w:val="24"/>
                <w:highlight w:val="none"/>
              </w:rPr>
              <w:t>支付剩余50%</w:t>
            </w:r>
            <w:r>
              <w:rPr>
                <w:rFonts w:hint="eastAsia" w:ascii="Arial" w:hAnsi="Arial" w:cs="Arial"/>
                <w:color w:val="auto"/>
                <w:sz w:val="24"/>
                <w:highlight w:val="none"/>
                <w:lang w:eastAsia="zh-CN"/>
              </w:rPr>
              <w:t>。</w:t>
            </w:r>
            <w:r>
              <w:rPr>
                <w:rFonts w:hint="eastAsia" w:ascii="Arial" w:hAnsi="Arial" w:cs="Arial"/>
                <w:color w:val="auto"/>
                <w:sz w:val="24"/>
                <w:highlight w:val="none"/>
                <w:lang w:val="en-US" w:eastAsia="zh-CN"/>
              </w:rPr>
              <w:t>供应商</w:t>
            </w:r>
            <w:r>
              <w:rPr>
                <w:rFonts w:hint="eastAsia" w:ascii="Arial" w:hAnsi="Arial" w:cs="Arial"/>
                <w:color w:val="auto"/>
                <w:sz w:val="24"/>
                <w:highlight w:val="none"/>
              </w:rPr>
              <w:t>在</w:t>
            </w:r>
            <w:r>
              <w:rPr>
                <w:rFonts w:hint="eastAsia" w:ascii="Arial" w:hAnsi="Arial" w:cs="Arial"/>
                <w:color w:val="auto"/>
                <w:sz w:val="24"/>
                <w:highlight w:val="none"/>
                <w:lang w:val="en-US" w:eastAsia="zh-CN"/>
              </w:rPr>
              <w:t>采购人</w:t>
            </w:r>
            <w:r>
              <w:rPr>
                <w:rFonts w:hint="eastAsia" w:ascii="Arial" w:hAnsi="Arial" w:cs="Arial"/>
                <w:color w:val="auto"/>
                <w:sz w:val="24"/>
                <w:highlight w:val="none"/>
              </w:rPr>
              <w:t>每次付款前应开具等额、合法有效且符合</w:t>
            </w:r>
            <w:r>
              <w:rPr>
                <w:rFonts w:hint="eastAsia" w:ascii="Arial" w:hAnsi="Arial" w:cs="Arial"/>
                <w:color w:val="auto"/>
                <w:sz w:val="24"/>
                <w:highlight w:val="none"/>
                <w:lang w:val="en-US" w:eastAsia="zh-CN"/>
              </w:rPr>
              <w:t>采购人</w:t>
            </w:r>
            <w:r>
              <w:rPr>
                <w:rFonts w:hint="eastAsia" w:ascii="Arial" w:hAnsi="Arial" w:cs="Arial"/>
                <w:color w:val="auto"/>
                <w:sz w:val="24"/>
                <w:highlight w:val="none"/>
              </w:rPr>
              <w:t>要求的增值税发票，否则付款时间相应顺延，且</w:t>
            </w:r>
            <w:r>
              <w:rPr>
                <w:rFonts w:hint="eastAsia" w:ascii="Arial" w:hAnsi="Arial" w:cs="Arial"/>
                <w:color w:val="auto"/>
                <w:sz w:val="24"/>
                <w:highlight w:val="none"/>
                <w:lang w:val="en-US" w:eastAsia="zh-CN"/>
              </w:rPr>
              <w:t>采购人</w:t>
            </w:r>
            <w:r>
              <w:rPr>
                <w:rFonts w:hint="eastAsia" w:ascii="Arial" w:hAnsi="Arial" w:cs="Arial"/>
                <w:color w:val="auto"/>
                <w:sz w:val="24"/>
                <w:highlight w:val="none"/>
              </w:rPr>
              <w:t>不必承担延迟付款的责任</w:t>
            </w:r>
            <w:r>
              <w:rPr>
                <w:rFonts w:ascii="Arial" w:hAnsi="Arial" w:cs="Arial"/>
                <w:color w:val="auto"/>
                <w:sz w:val="24"/>
                <w:highlight w:val="none"/>
              </w:rPr>
              <w:t>。</w:t>
            </w:r>
          </w:p>
          <w:p w14:paraId="55AA614E">
            <w:pPr>
              <w:widowControl/>
              <w:spacing w:line="360" w:lineRule="auto"/>
              <w:jc w:val="left"/>
              <w:rPr>
                <w:rFonts w:ascii="Arial" w:hAnsi="Arial" w:cs="Arial"/>
                <w:color w:val="auto"/>
                <w:sz w:val="24"/>
                <w:highlight w:val="none"/>
              </w:rPr>
            </w:pPr>
            <w:r>
              <w:rPr>
                <w:rFonts w:ascii="Arial" w:hAnsi="Arial" w:cs="Arial"/>
                <w:color w:val="auto"/>
                <w:sz w:val="24"/>
                <w:highlight w:val="none"/>
              </w:rPr>
              <w:t>（2）</w:t>
            </w:r>
            <w:r>
              <w:rPr>
                <w:rFonts w:hint="eastAsia" w:ascii="Arial" w:hAnsi="Arial" w:cs="Arial"/>
                <w:color w:val="auto"/>
                <w:sz w:val="24"/>
                <w:highlight w:val="none"/>
              </w:rPr>
              <w:t>如因政策原因造成项目报批工作终止，合同进度款按上述进度比例支付完后，双方就实际产生的费用进行结算，对于超过实际费用的部分，成交供应商应当向采购人返还，剩余合同款采购人不再支付，视为合同终止。</w:t>
            </w:r>
          </w:p>
        </w:tc>
      </w:tr>
      <w:tr w14:paraId="5D7C4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73" w:type="dxa"/>
            <w:gridSpan w:val="2"/>
            <w:tcBorders>
              <w:top w:val="single" w:color="000000" w:sz="4" w:space="0"/>
              <w:left w:val="single" w:color="000000" w:sz="4" w:space="0"/>
              <w:bottom w:val="single" w:color="000000" w:sz="4" w:space="0"/>
              <w:right w:val="single" w:color="000000" w:sz="4" w:space="0"/>
            </w:tcBorders>
            <w:vAlign w:val="center"/>
          </w:tcPr>
          <w:p w14:paraId="212400B1">
            <w:pPr>
              <w:spacing w:before="100" w:beforeAutospacing="1" w:after="100" w:afterAutospacing="1" w:line="360" w:lineRule="auto"/>
              <w:jc w:val="center"/>
              <w:rPr>
                <w:rFonts w:ascii="Arial" w:hAnsi="Arial" w:cs="Arial"/>
                <w:color w:val="auto"/>
                <w:sz w:val="24"/>
                <w:highlight w:val="none"/>
              </w:rPr>
            </w:pPr>
            <w:r>
              <w:rPr>
                <w:rFonts w:hint="eastAsia" w:ascii="Arial" w:hAnsi="Arial" w:cs="Arial"/>
                <w:color w:val="auto"/>
                <w:sz w:val="24"/>
                <w:highlight w:val="none"/>
                <w:lang w:val="en-US" w:eastAsia="zh-CN"/>
              </w:rPr>
              <w:t>5</w:t>
            </w:r>
            <w:r>
              <w:rPr>
                <w:rFonts w:hint="eastAsia" w:ascii="Arial" w:hAnsi="Arial" w:cs="Arial"/>
                <w:color w:val="auto"/>
                <w:sz w:val="24"/>
                <w:highlight w:val="none"/>
              </w:rPr>
              <w:t>.</w:t>
            </w:r>
            <w:r>
              <w:rPr>
                <w:rFonts w:ascii="Arial" w:hAnsi="Arial" w:cs="Arial"/>
                <w:color w:val="auto"/>
                <w:sz w:val="24"/>
                <w:highlight w:val="none"/>
              </w:rPr>
              <w:t>服务响应处理要求及文档要求</w:t>
            </w:r>
          </w:p>
        </w:tc>
        <w:tc>
          <w:tcPr>
            <w:tcW w:w="7016" w:type="dxa"/>
            <w:gridSpan w:val="3"/>
            <w:tcBorders>
              <w:top w:val="single" w:color="000000" w:sz="4" w:space="0"/>
              <w:left w:val="single" w:color="000000" w:sz="4" w:space="0"/>
              <w:bottom w:val="single" w:color="000000" w:sz="4" w:space="0"/>
              <w:right w:val="single" w:color="000000" w:sz="4" w:space="0"/>
            </w:tcBorders>
            <w:vAlign w:val="center"/>
          </w:tcPr>
          <w:p w14:paraId="4DA535D3">
            <w:pPr>
              <w:pStyle w:val="7"/>
              <w:spacing w:line="360" w:lineRule="auto"/>
              <w:ind w:firstLine="0" w:firstLineChars="0"/>
              <w:rPr>
                <w:rFonts w:ascii="Arial" w:hAnsi="Arial" w:cs="Arial"/>
                <w:color w:val="auto"/>
                <w:sz w:val="24"/>
                <w:szCs w:val="24"/>
                <w:highlight w:val="none"/>
              </w:rPr>
            </w:pPr>
            <w:r>
              <w:rPr>
                <w:rFonts w:ascii="Arial" w:hAnsi="Arial" w:cs="Arial"/>
                <w:color w:val="auto"/>
                <w:sz w:val="24"/>
                <w:szCs w:val="24"/>
                <w:highlight w:val="none"/>
              </w:rPr>
              <w:t>1、接到</w:t>
            </w:r>
            <w:r>
              <w:rPr>
                <w:rFonts w:hint="eastAsia" w:ascii="Arial" w:hAnsi="Arial" w:cs="Arial"/>
                <w:color w:val="auto"/>
                <w:sz w:val="24"/>
                <w:szCs w:val="24"/>
                <w:highlight w:val="none"/>
                <w:lang w:val="en-US" w:eastAsia="zh-CN"/>
              </w:rPr>
              <w:t>采购人</w:t>
            </w:r>
            <w:r>
              <w:rPr>
                <w:rFonts w:ascii="Arial" w:hAnsi="Arial" w:cs="Arial"/>
                <w:color w:val="auto"/>
                <w:sz w:val="24"/>
                <w:szCs w:val="24"/>
                <w:highlight w:val="none"/>
              </w:rPr>
              <w:t>反馈后</w:t>
            </w:r>
            <w:r>
              <w:rPr>
                <w:rFonts w:hint="eastAsia" w:ascii="Arial" w:hAnsi="Arial" w:cs="Arial"/>
                <w:color w:val="auto"/>
                <w:sz w:val="24"/>
                <w:szCs w:val="24"/>
                <w:highlight w:val="none"/>
                <w:lang w:val="en-US" w:eastAsia="zh-CN"/>
              </w:rPr>
              <w:t>4</w:t>
            </w:r>
            <w:r>
              <w:rPr>
                <w:rFonts w:ascii="Arial" w:hAnsi="Arial" w:cs="Arial"/>
                <w:color w:val="auto"/>
                <w:sz w:val="24"/>
                <w:szCs w:val="24"/>
                <w:highlight w:val="none"/>
              </w:rPr>
              <w:t>小时内响应，</w:t>
            </w:r>
            <w:r>
              <w:rPr>
                <w:rFonts w:hint="eastAsia" w:ascii="Arial" w:hAnsi="Arial" w:cs="Arial"/>
                <w:color w:val="auto"/>
                <w:sz w:val="24"/>
                <w:szCs w:val="24"/>
                <w:highlight w:val="none"/>
                <w:lang w:val="en-US" w:eastAsia="zh-CN"/>
              </w:rPr>
              <w:t>24</w:t>
            </w:r>
            <w:r>
              <w:rPr>
                <w:rFonts w:ascii="Arial" w:hAnsi="Arial" w:cs="Arial"/>
                <w:color w:val="auto"/>
                <w:sz w:val="24"/>
                <w:szCs w:val="24"/>
                <w:highlight w:val="none"/>
              </w:rPr>
              <w:t>小时内给出处理结果。</w:t>
            </w:r>
          </w:p>
          <w:p w14:paraId="07F6DA11">
            <w:pPr>
              <w:pStyle w:val="7"/>
              <w:spacing w:line="360" w:lineRule="auto"/>
              <w:ind w:firstLine="0" w:firstLineChars="0"/>
              <w:rPr>
                <w:rFonts w:ascii="Arial" w:hAnsi="Arial" w:cs="Arial"/>
                <w:color w:val="auto"/>
                <w:sz w:val="24"/>
                <w:szCs w:val="24"/>
                <w:highlight w:val="none"/>
              </w:rPr>
            </w:pPr>
            <w:r>
              <w:rPr>
                <w:rFonts w:ascii="Arial" w:hAnsi="Arial" w:cs="Arial"/>
                <w:color w:val="auto"/>
                <w:sz w:val="24"/>
                <w:szCs w:val="24"/>
                <w:highlight w:val="none"/>
              </w:rPr>
              <w:t>2、每</w:t>
            </w:r>
            <w:r>
              <w:rPr>
                <w:rFonts w:hint="eastAsia" w:ascii="Arial" w:hAnsi="Arial" w:cs="Arial"/>
                <w:color w:val="auto"/>
                <w:sz w:val="24"/>
                <w:szCs w:val="24"/>
                <w:highlight w:val="none"/>
                <w:lang w:val="en-US" w:eastAsia="zh-CN"/>
              </w:rPr>
              <w:t>月</w:t>
            </w:r>
            <w:r>
              <w:rPr>
                <w:rFonts w:ascii="Arial" w:hAnsi="Arial" w:cs="Arial"/>
                <w:color w:val="auto"/>
                <w:sz w:val="24"/>
                <w:szCs w:val="24"/>
                <w:highlight w:val="none"/>
              </w:rPr>
              <w:t>提供反馈单汇总情况处理表。</w:t>
            </w:r>
          </w:p>
        </w:tc>
      </w:tr>
      <w:tr w14:paraId="72812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73" w:type="dxa"/>
            <w:gridSpan w:val="2"/>
            <w:tcBorders>
              <w:top w:val="single" w:color="000000" w:sz="4" w:space="0"/>
              <w:left w:val="single" w:color="000000" w:sz="4" w:space="0"/>
              <w:bottom w:val="single" w:color="000000" w:sz="4" w:space="0"/>
              <w:right w:val="single" w:color="000000" w:sz="4" w:space="0"/>
            </w:tcBorders>
            <w:vAlign w:val="center"/>
          </w:tcPr>
          <w:p w14:paraId="5B0C78F9">
            <w:pPr>
              <w:spacing w:before="100" w:beforeAutospacing="1" w:after="100" w:afterAutospacing="1" w:line="360" w:lineRule="auto"/>
              <w:jc w:val="center"/>
              <w:rPr>
                <w:rFonts w:ascii="Arial" w:hAnsi="Arial" w:cs="Arial"/>
                <w:color w:val="auto"/>
                <w:sz w:val="24"/>
                <w:highlight w:val="none"/>
                <w:lang w:val="zh-CN"/>
              </w:rPr>
            </w:pPr>
            <w:r>
              <w:rPr>
                <w:rFonts w:hint="eastAsia" w:ascii="Arial" w:hAnsi="Arial" w:cs="Arial"/>
                <w:color w:val="auto"/>
                <w:sz w:val="24"/>
                <w:highlight w:val="none"/>
                <w:lang w:val="en-US" w:eastAsia="zh-CN"/>
              </w:rPr>
              <w:t>6</w:t>
            </w:r>
            <w:r>
              <w:rPr>
                <w:rFonts w:ascii="Arial" w:hAnsi="Arial" w:cs="Arial"/>
                <w:color w:val="auto"/>
                <w:sz w:val="24"/>
                <w:highlight w:val="none"/>
              </w:rPr>
              <w:t>.违约责任</w:t>
            </w:r>
          </w:p>
        </w:tc>
        <w:tc>
          <w:tcPr>
            <w:tcW w:w="7016" w:type="dxa"/>
            <w:gridSpan w:val="3"/>
            <w:tcBorders>
              <w:top w:val="single" w:color="000000" w:sz="4" w:space="0"/>
              <w:left w:val="single" w:color="000000" w:sz="4" w:space="0"/>
              <w:bottom w:val="single" w:color="000000" w:sz="4" w:space="0"/>
              <w:right w:val="single" w:color="000000" w:sz="4" w:space="0"/>
            </w:tcBorders>
            <w:vAlign w:val="center"/>
          </w:tcPr>
          <w:p w14:paraId="430B2182">
            <w:pPr>
              <w:pStyle w:val="7"/>
              <w:spacing w:line="360" w:lineRule="auto"/>
              <w:ind w:firstLine="0" w:firstLineChars="0"/>
              <w:rPr>
                <w:rFonts w:ascii="Arial" w:hAnsi="Arial" w:cs="Arial"/>
                <w:color w:val="auto"/>
                <w:sz w:val="24"/>
                <w:szCs w:val="24"/>
                <w:highlight w:val="none"/>
              </w:rPr>
            </w:pPr>
            <w:r>
              <w:rPr>
                <w:rFonts w:ascii="Arial" w:hAnsi="Arial" w:cs="Arial"/>
                <w:color w:val="auto"/>
                <w:sz w:val="24"/>
                <w:szCs w:val="24"/>
                <w:highlight w:val="none"/>
              </w:rPr>
              <w:t>1.供应商不得单方面终止协议的履行。</w:t>
            </w:r>
          </w:p>
          <w:p w14:paraId="714349ED">
            <w:pPr>
              <w:spacing w:line="360" w:lineRule="auto"/>
              <w:ind w:firstLine="0" w:firstLineChars="0"/>
              <w:rPr>
                <w:rFonts w:ascii="Arial" w:hAnsi="Arial" w:cs="Arial"/>
                <w:color w:val="auto"/>
                <w:sz w:val="24"/>
                <w:highlight w:val="none"/>
              </w:rPr>
            </w:pPr>
            <w:r>
              <w:rPr>
                <w:rFonts w:ascii="Arial" w:hAnsi="Arial" w:cs="Arial"/>
                <w:color w:val="auto"/>
                <w:sz w:val="24"/>
                <w:highlight w:val="none"/>
              </w:rPr>
              <w:t>2.供应商应严格按照采购合同要求开展服务工作，投入足够的、合格的人员保证服务项目的实现，确保项目按照合同内容要求悉数完成。如成交人被</w:t>
            </w:r>
            <w:r>
              <w:rPr>
                <w:rFonts w:hint="eastAsia" w:ascii="Arial" w:hAnsi="Arial" w:cs="Arial"/>
                <w:color w:val="auto"/>
                <w:sz w:val="24"/>
                <w:highlight w:val="none"/>
                <w:lang w:val="en-US" w:eastAsia="zh-CN"/>
              </w:rPr>
              <w:t>采购人</w:t>
            </w:r>
            <w:r>
              <w:rPr>
                <w:rFonts w:ascii="Arial" w:hAnsi="Arial" w:cs="Arial"/>
                <w:color w:val="auto"/>
                <w:sz w:val="24"/>
                <w:highlight w:val="none"/>
              </w:rPr>
              <w:t>、第三人投诉且经核实确实存在过错的，成交人应赔偿</w:t>
            </w:r>
            <w:r>
              <w:rPr>
                <w:rFonts w:hint="eastAsia" w:ascii="Arial" w:hAnsi="Arial" w:cs="Arial"/>
                <w:color w:val="auto"/>
                <w:sz w:val="24"/>
                <w:highlight w:val="none"/>
                <w:lang w:val="en-US" w:eastAsia="zh-CN"/>
              </w:rPr>
              <w:t>采购人</w:t>
            </w:r>
            <w:r>
              <w:rPr>
                <w:rFonts w:ascii="Arial" w:hAnsi="Arial" w:cs="Arial"/>
                <w:color w:val="auto"/>
                <w:sz w:val="24"/>
                <w:highlight w:val="none"/>
              </w:rPr>
              <w:t>或者第三人因此造成的经济损失。</w:t>
            </w:r>
          </w:p>
          <w:p w14:paraId="0AE1AD70">
            <w:pPr>
              <w:pStyle w:val="7"/>
              <w:spacing w:line="360" w:lineRule="auto"/>
              <w:ind w:firstLine="0" w:firstLineChars="0"/>
              <w:rPr>
                <w:rFonts w:ascii="Arial" w:hAnsi="Arial" w:cs="Arial"/>
                <w:color w:val="auto"/>
                <w:sz w:val="24"/>
                <w:szCs w:val="24"/>
                <w:highlight w:val="none"/>
              </w:rPr>
            </w:pPr>
            <w:r>
              <w:rPr>
                <w:rFonts w:ascii="Arial" w:hAnsi="Arial" w:cs="Arial"/>
                <w:color w:val="auto"/>
                <w:sz w:val="24"/>
                <w:szCs w:val="24"/>
                <w:highlight w:val="none"/>
              </w:rPr>
              <w:t>3.双方的其他约定。</w:t>
            </w:r>
          </w:p>
        </w:tc>
      </w:tr>
      <w:tr w14:paraId="65EA9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73" w:type="dxa"/>
            <w:gridSpan w:val="2"/>
            <w:tcBorders>
              <w:top w:val="single" w:color="000000" w:sz="4" w:space="0"/>
              <w:left w:val="single" w:color="000000" w:sz="4" w:space="0"/>
              <w:bottom w:val="single" w:color="000000" w:sz="4" w:space="0"/>
              <w:right w:val="single" w:color="000000" w:sz="4" w:space="0"/>
            </w:tcBorders>
            <w:vAlign w:val="center"/>
          </w:tcPr>
          <w:p w14:paraId="357BF3A2">
            <w:pPr>
              <w:spacing w:line="360" w:lineRule="auto"/>
              <w:jc w:val="center"/>
              <w:rPr>
                <w:rFonts w:ascii="Arial" w:hAnsi="Arial" w:cs="Arial"/>
                <w:color w:val="auto"/>
                <w:sz w:val="24"/>
                <w:highlight w:val="none"/>
                <w:lang w:val="zh-CN"/>
              </w:rPr>
            </w:pPr>
            <w:r>
              <w:rPr>
                <w:rFonts w:hint="eastAsia" w:ascii="Arial" w:hAnsi="Arial" w:cs="Arial"/>
                <w:color w:val="auto"/>
                <w:sz w:val="24"/>
                <w:highlight w:val="none"/>
                <w:lang w:val="en-US" w:eastAsia="zh-CN"/>
              </w:rPr>
              <w:t>7</w:t>
            </w:r>
            <w:r>
              <w:rPr>
                <w:rFonts w:ascii="Arial" w:hAnsi="Arial" w:cs="Arial"/>
                <w:color w:val="auto"/>
                <w:sz w:val="24"/>
                <w:highlight w:val="none"/>
              </w:rPr>
              <w:t>.验收要求</w:t>
            </w:r>
          </w:p>
        </w:tc>
        <w:tc>
          <w:tcPr>
            <w:tcW w:w="7016" w:type="dxa"/>
            <w:gridSpan w:val="3"/>
            <w:tcBorders>
              <w:top w:val="single" w:color="000000" w:sz="4" w:space="0"/>
              <w:left w:val="single" w:color="000000" w:sz="4" w:space="0"/>
              <w:bottom w:val="single" w:color="000000" w:sz="4" w:space="0"/>
              <w:right w:val="single" w:color="000000" w:sz="4" w:space="0"/>
            </w:tcBorders>
            <w:vAlign w:val="center"/>
          </w:tcPr>
          <w:p w14:paraId="68F0161C">
            <w:pPr>
              <w:pStyle w:val="7"/>
              <w:spacing w:line="360" w:lineRule="auto"/>
              <w:ind w:firstLine="0" w:firstLineChars="0"/>
              <w:rPr>
                <w:rFonts w:ascii="Arial" w:hAnsi="Arial" w:cs="Arial"/>
                <w:color w:val="auto"/>
                <w:sz w:val="24"/>
                <w:szCs w:val="24"/>
                <w:highlight w:val="none"/>
              </w:rPr>
            </w:pPr>
            <w:r>
              <w:rPr>
                <w:rFonts w:ascii="Arial" w:hAnsi="Arial" w:cs="Arial"/>
                <w:color w:val="auto"/>
                <w:sz w:val="24"/>
                <w:szCs w:val="24"/>
                <w:highlight w:val="none"/>
              </w:rPr>
              <w:t>1.验收过程中所产生的一切费用均由成交人承担。报价时应考虑相关费用。</w:t>
            </w:r>
          </w:p>
          <w:p w14:paraId="28D91947">
            <w:pPr>
              <w:pStyle w:val="7"/>
              <w:spacing w:line="360" w:lineRule="auto"/>
              <w:ind w:firstLine="0" w:firstLineChars="0"/>
              <w:rPr>
                <w:rFonts w:ascii="Arial" w:hAnsi="Arial" w:cs="Arial"/>
                <w:color w:val="auto"/>
                <w:sz w:val="24"/>
                <w:szCs w:val="24"/>
                <w:highlight w:val="none"/>
              </w:rPr>
            </w:pPr>
            <w:r>
              <w:rPr>
                <w:rFonts w:ascii="Arial" w:hAnsi="Arial" w:cs="Arial"/>
                <w:color w:val="auto"/>
                <w:sz w:val="24"/>
                <w:szCs w:val="24"/>
                <w:highlight w:val="none"/>
              </w:rPr>
              <w:t>2.成交人在项目验收时由采购人对照采购文件的功能目标及技术指标全面核对检验，对所有要求出具的证明文件的原件进行核查，如不符合采购文件的技术需求及要求以及提供虚假承诺的，按相关规定做违约处理，成交人承担所有责任和费用采购人保留进一步追究责任的权利。</w:t>
            </w:r>
          </w:p>
        </w:tc>
      </w:tr>
      <w:tr w14:paraId="6D194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73" w:type="dxa"/>
            <w:gridSpan w:val="2"/>
            <w:tcBorders>
              <w:top w:val="single" w:color="000000" w:sz="4" w:space="0"/>
              <w:left w:val="single" w:color="000000" w:sz="4" w:space="0"/>
              <w:bottom w:val="single" w:color="000000" w:sz="4" w:space="0"/>
              <w:right w:val="single" w:color="000000" w:sz="4" w:space="0"/>
            </w:tcBorders>
            <w:vAlign w:val="center"/>
          </w:tcPr>
          <w:p w14:paraId="44A8E2B1">
            <w:pPr>
              <w:spacing w:before="100" w:beforeAutospacing="1" w:after="100" w:afterAutospacing="1" w:line="360" w:lineRule="auto"/>
              <w:jc w:val="center"/>
              <w:rPr>
                <w:rFonts w:ascii="Arial" w:hAnsi="Arial" w:cs="Arial"/>
                <w:color w:val="auto"/>
                <w:sz w:val="24"/>
                <w:highlight w:val="none"/>
                <w:lang w:val="zh-CN"/>
              </w:rPr>
            </w:pPr>
            <w:r>
              <w:rPr>
                <w:rFonts w:hint="eastAsia" w:ascii="Arial" w:hAnsi="Arial" w:cs="Arial"/>
                <w:color w:val="auto"/>
                <w:sz w:val="24"/>
                <w:highlight w:val="none"/>
                <w:lang w:val="en-US" w:eastAsia="zh-CN"/>
              </w:rPr>
              <w:t>9</w:t>
            </w:r>
            <w:r>
              <w:rPr>
                <w:rFonts w:ascii="Arial" w:hAnsi="Arial" w:cs="Arial"/>
                <w:color w:val="auto"/>
                <w:sz w:val="24"/>
                <w:highlight w:val="none"/>
              </w:rPr>
              <w:t>.项目其他说明及要求</w:t>
            </w:r>
          </w:p>
        </w:tc>
        <w:tc>
          <w:tcPr>
            <w:tcW w:w="7016" w:type="dxa"/>
            <w:gridSpan w:val="3"/>
            <w:tcBorders>
              <w:top w:val="single" w:color="000000" w:sz="4" w:space="0"/>
              <w:left w:val="single" w:color="000000" w:sz="4" w:space="0"/>
              <w:bottom w:val="single" w:color="000000" w:sz="4" w:space="0"/>
              <w:right w:val="single" w:color="000000" w:sz="4" w:space="0"/>
            </w:tcBorders>
            <w:vAlign w:val="center"/>
          </w:tcPr>
          <w:p w14:paraId="7CC69678">
            <w:pPr>
              <w:pStyle w:val="7"/>
              <w:spacing w:line="360" w:lineRule="auto"/>
              <w:ind w:firstLine="0" w:firstLineChars="0"/>
              <w:rPr>
                <w:rFonts w:ascii="Arial" w:hAnsi="Arial" w:cs="Arial"/>
                <w:color w:val="auto"/>
                <w:sz w:val="24"/>
                <w:szCs w:val="24"/>
                <w:highlight w:val="none"/>
              </w:rPr>
            </w:pPr>
            <w:r>
              <w:rPr>
                <w:rFonts w:hint="eastAsia" w:ascii="Arial" w:hAnsi="Arial" w:cs="Arial"/>
                <w:color w:val="auto"/>
                <w:sz w:val="24"/>
                <w:szCs w:val="24"/>
                <w:highlight w:val="none"/>
              </w:rPr>
              <w:t>1</w:t>
            </w:r>
            <w:r>
              <w:rPr>
                <w:rFonts w:ascii="Arial" w:hAnsi="Arial" w:cs="Arial"/>
                <w:color w:val="auto"/>
                <w:sz w:val="24"/>
                <w:szCs w:val="24"/>
                <w:highlight w:val="none"/>
              </w:rPr>
              <w:t>.项目实施过程中，采购人有权对项目的各阶段、各环节进行的指导和监督，采购人对服务过程中发现的问题，有权要求成交供应商限期整改，逾期不整改的，采购人有权终止合同，造成采购人经济损失的，成交供应商应予赔偿。</w:t>
            </w:r>
          </w:p>
          <w:p w14:paraId="00CAB95F">
            <w:pPr>
              <w:pStyle w:val="7"/>
              <w:spacing w:line="360" w:lineRule="auto"/>
              <w:ind w:firstLine="0" w:firstLineChars="0"/>
              <w:rPr>
                <w:rFonts w:ascii="Arial" w:hAnsi="Arial" w:cs="Arial"/>
                <w:color w:val="auto"/>
                <w:sz w:val="24"/>
                <w:szCs w:val="24"/>
                <w:highlight w:val="none"/>
              </w:rPr>
            </w:pPr>
            <w:r>
              <w:rPr>
                <w:rFonts w:hint="eastAsia" w:ascii="Arial" w:hAnsi="Arial" w:cs="Arial"/>
                <w:color w:val="auto"/>
                <w:sz w:val="24"/>
                <w:szCs w:val="24"/>
                <w:highlight w:val="none"/>
                <w:lang w:val="en-US" w:eastAsia="zh-CN"/>
              </w:rPr>
              <w:t>2</w:t>
            </w:r>
            <w:r>
              <w:rPr>
                <w:rFonts w:ascii="Arial" w:hAnsi="Arial" w:cs="Arial"/>
                <w:color w:val="auto"/>
                <w:sz w:val="24"/>
                <w:szCs w:val="24"/>
                <w:highlight w:val="none"/>
              </w:rPr>
              <w:t>.项目服务期间如出现非采购人原因导致的成交供应商的人员人身、财产安全事故、损失等由成交供应商全部负责，采购人不负任何责任。</w:t>
            </w:r>
          </w:p>
          <w:p w14:paraId="17C2D9FA">
            <w:pPr>
              <w:pStyle w:val="7"/>
              <w:spacing w:line="360" w:lineRule="auto"/>
              <w:ind w:firstLine="0" w:firstLineChars="0"/>
              <w:rPr>
                <w:rFonts w:ascii="Arial" w:hAnsi="Arial" w:cs="Arial"/>
                <w:color w:val="auto"/>
                <w:sz w:val="24"/>
                <w:szCs w:val="24"/>
                <w:highlight w:val="none"/>
              </w:rPr>
            </w:pPr>
            <w:r>
              <w:rPr>
                <w:rFonts w:hint="eastAsia" w:ascii="Arial" w:hAnsi="Arial" w:cs="Arial"/>
                <w:color w:val="auto"/>
                <w:sz w:val="24"/>
                <w:szCs w:val="24"/>
                <w:highlight w:val="none"/>
                <w:lang w:val="en-US" w:eastAsia="zh-CN"/>
              </w:rPr>
              <w:t>3</w:t>
            </w:r>
            <w:r>
              <w:rPr>
                <w:rFonts w:ascii="Arial" w:hAnsi="Arial" w:cs="Arial"/>
                <w:color w:val="auto"/>
                <w:sz w:val="24"/>
                <w:szCs w:val="24"/>
                <w:highlight w:val="none"/>
              </w:rPr>
              <w:t>.采购人有在进行行业宣传活动时向供应商提出配合要求的权利。</w:t>
            </w:r>
          </w:p>
          <w:p w14:paraId="76D637E2">
            <w:pPr>
              <w:pStyle w:val="7"/>
              <w:spacing w:line="360" w:lineRule="auto"/>
              <w:ind w:firstLine="0" w:firstLineChars="0"/>
              <w:rPr>
                <w:rFonts w:ascii="Arial" w:hAnsi="Arial" w:cs="Arial"/>
                <w:color w:val="auto"/>
                <w:sz w:val="24"/>
                <w:szCs w:val="24"/>
                <w:highlight w:val="none"/>
              </w:rPr>
            </w:pPr>
            <w:r>
              <w:rPr>
                <w:rFonts w:hint="eastAsia" w:ascii="Arial" w:hAnsi="Arial" w:cs="Arial"/>
                <w:color w:val="auto"/>
                <w:sz w:val="24"/>
                <w:szCs w:val="24"/>
                <w:highlight w:val="none"/>
                <w:lang w:val="en-US" w:eastAsia="zh-CN"/>
              </w:rPr>
              <w:t>4</w:t>
            </w:r>
            <w:r>
              <w:rPr>
                <w:rFonts w:ascii="Arial" w:hAnsi="Arial" w:cs="Arial"/>
                <w:color w:val="auto"/>
                <w:sz w:val="24"/>
                <w:szCs w:val="24"/>
                <w:highlight w:val="none"/>
              </w:rPr>
              <w:t>.采购人有权在相关报刊、网络媒体等使用项目内容。</w:t>
            </w:r>
          </w:p>
          <w:p w14:paraId="73213453">
            <w:pPr>
              <w:pStyle w:val="7"/>
              <w:spacing w:line="360" w:lineRule="auto"/>
              <w:ind w:firstLine="0" w:firstLineChars="0"/>
              <w:rPr>
                <w:rFonts w:ascii="Arial" w:hAnsi="Arial" w:cs="Arial"/>
                <w:color w:val="auto"/>
                <w:sz w:val="24"/>
                <w:szCs w:val="24"/>
                <w:highlight w:val="none"/>
              </w:rPr>
            </w:pPr>
            <w:r>
              <w:rPr>
                <w:rFonts w:hint="eastAsia" w:ascii="Arial" w:hAnsi="Arial" w:cs="Arial"/>
                <w:color w:val="auto"/>
                <w:sz w:val="24"/>
                <w:szCs w:val="24"/>
                <w:highlight w:val="none"/>
                <w:lang w:val="en-US" w:eastAsia="zh-CN"/>
              </w:rPr>
              <w:t>5</w:t>
            </w:r>
            <w:r>
              <w:rPr>
                <w:rFonts w:ascii="Arial" w:hAnsi="Arial" w:cs="Arial"/>
                <w:color w:val="auto"/>
                <w:sz w:val="24"/>
                <w:szCs w:val="24"/>
                <w:highlight w:val="none"/>
              </w:rPr>
              <w:t>.采购人拥有本项目知识产权。</w:t>
            </w:r>
          </w:p>
          <w:p w14:paraId="37F94EC1">
            <w:pPr>
              <w:spacing w:line="360" w:lineRule="auto"/>
              <w:ind w:firstLine="0" w:firstLineChars="0"/>
              <w:rPr>
                <w:rFonts w:ascii="Arial" w:hAnsi="Arial" w:cs="Arial"/>
                <w:color w:val="auto"/>
                <w:sz w:val="24"/>
                <w:highlight w:val="none"/>
              </w:rPr>
            </w:pPr>
            <w:r>
              <w:rPr>
                <w:rFonts w:hint="eastAsia" w:ascii="Arial" w:hAnsi="Arial" w:cs="Arial"/>
                <w:color w:val="auto"/>
                <w:sz w:val="24"/>
                <w:highlight w:val="none"/>
                <w:lang w:val="en-US" w:eastAsia="zh-CN"/>
              </w:rPr>
              <w:t>6</w:t>
            </w:r>
            <w:r>
              <w:rPr>
                <w:rFonts w:ascii="Arial" w:hAnsi="Arial" w:cs="Arial"/>
                <w:color w:val="auto"/>
                <w:sz w:val="24"/>
                <w:highlight w:val="none"/>
              </w:rPr>
              <w:t>.采购人在中华人民共和国境内使用供应商提供的产品及服务时免受第三方提出的侵犯其专利权或其它知识产权的起诉。如果第三方提出侵权指控，成交供应商承担由此而引起的一切法律责任和费用。</w:t>
            </w:r>
          </w:p>
          <w:p w14:paraId="716CA9FC">
            <w:pPr>
              <w:spacing w:line="360" w:lineRule="auto"/>
              <w:ind w:firstLine="0" w:firstLineChars="0"/>
              <w:rPr>
                <w:rFonts w:ascii="Arial" w:hAnsi="Arial" w:cs="Arial"/>
                <w:color w:val="auto"/>
                <w:sz w:val="24"/>
                <w:highlight w:val="none"/>
              </w:rPr>
            </w:pPr>
            <w:r>
              <w:rPr>
                <w:rFonts w:hint="eastAsia" w:ascii="Arial" w:hAnsi="Arial" w:cs="Arial"/>
                <w:color w:val="auto"/>
                <w:sz w:val="24"/>
                <w:highlight w:val="none"/>
                <w:lang w:val="en-US" w:eastAsia="zh-CN"/>
              </w:rPr>
              <w:t>7</w:t>
            </w:r>
            <w:r>
              <w:rPr>
                <w:rFonts w:ascii="Arial" w:hAnsi="Arial" w:cs="Arial"/>
                <w:color w:val="auto"/>
                <w:sz w:val="24"/>
                <w:highlight w:val="none"/>
              </w:rPr>
              <w:t>.为了确保采购质量和维护公平的竞争，根据《中华人民共和国政府采购法》第七十七条和中华人民共和国反不正当竞争法第十一条，经营者不得以排挤对手为目的，以低于成本的价格销售商品（服务）。磋商小组认为磋商人的报价明显低于其他通过符合性审查磋商人的报价，有可能影响服务（产品）质量或者不能诚信履约的，应当要求其在评审现场合理的时间内提供书面说明，必要时提交相关证明材料；磋商人不能证明其报价合理性的，磋商小组应当将其作为无效竞标处理。</w:t>
            </w:r>
          </w:p>
        </w:tc>
      </w:tr>
      <w:tr w14:paraId="517448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89" w:type="dxa"/>
            <w:gridSpan w:val="5"/>
            <w:tcBorders>
              <w:top w:val="single" w:color="auto" w:sz="4" w:space="0"/>
              <w:left w:val="single" w:color="auto" w:sz="4" w:space="0"/>
              <w:bottom w:val="single" w:color="auto" w:sz="4" w:space="0"/>
              <w:right w:val="single" w:color="auto" w:sz="4" w:space="0"/>
            </w:tcBorders>
          </w:tcPr>
          <w:p w14:paraId="11D59A2C">
            <w:pPr>
              <w:spacing w:line="360" w:lineRule="auto"/>
              <w:rPr>
                <w:rFonts w:ascii="Arial" w:hAnsi="Arial" w:cs="Arial"/>
                <w:color w:val="auto"/>
                <w:sz w:val="24"/>
                <w:highlight w:val="none"/>
              </w:rPr>
            </w:pPr>
            <w:r>
              <w:rPr>
                <w:rFonts w:ascii="Arial" w:hAnsi="Arial" w:cs="Arial"/>
                <w:b/>
                <w:bCs/>
                <w:color w:val="auto"/>
                <w:sz w:val="24"/>
                <w:highlight w:val="none"/>
              </w:rPr>
              <w:t>二、与实现项目目标相关的其他要求</w:t>
            </w:r>
          </w:p>
        </w:tc>
      </w:tr>
      <w:tr w14:paraId="52F42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89" w:type="dxa"/>
            <w:gridSpan w:val="5"/>
            <w:tcBorders>
              <w:top w:val="single" w:color="auto" w:sz="4" w:space="0"/>
              <w:left w:val="single" w:color="auto" w:sz="4" w:space="0"/>
              <w:bottom w:val="single" w:color="auto" w:sz="4" w:space="0"/>
              <w:right w:val="single" w:color="auto" w:sz="4" w:space="0"/>
            </w:tcBorders>
          </w:tcPr>
          <w:p w14:paraId="5D843406">
            <w:pPr>
              <w:spacing w:line="360" w:lineRule="auto"/>
              <w:rPr>
                <w:rFonts w:ascii="Arial" w:hAnsi="Arial" w:cs="Arial"/>
                <w:b/>
                <w:color w:val="auto"/>
                <w:sz w:val="24"/>
                <w:highlight w:val="none"/>
              </w:rPr>
            </w:pPr>
            <w:r>
              <w:rPr>
                <w:rFonts w:ascii="Arial" w:hAnsi="Arial" w:cs="Arial"/>
                <w:b/>
                <w:color w:val="auto"/>
                <w:sz w:val="24"/>
                <w:highlight w:val="none"/>
              </w:rPr>
              <w:t>（一）供应商的履约能力要求</w:t>
            </w:r>
          </w:p>
        </w:tc>
      </w:tr>
      <w:tr w14:paraId="79F42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79" w:type="dxa"/>
            <w:gridSpan w:val="3"/>
            <w:tcBorders>
              <w:top w:val="single" w:color="auto" w:sz="4" w:space="0"/>
              <w:left w:val="single" w:color="auto" w:sz="4" w:space="0"/>
              <w:bottom w:val="single" w:color="auto" w:sz="4" w:space="0"/>
              <w:right w:val="single" w:color="auto" w:sz="4" w:space="0"/>
            </w:tcBorders>
            <w:vAlign w:val="center"/>
          </w:tcPr>
          <w:p w14:paraId="4FE90210">
            <w:pPr>
              <w:spacing w:line="360" w:lineRule="auto"/>
              <w:rPr>
                <w:rFonts w:ascii="Arial" w:hAnsi="Arial" w:cs="Arial"/>
                <w:color w:val="auto"/>
                <w:sz w:val="24"/>
                <w:highlight w:val="none"/>
              </w:rPr>
            </w:pPr>
            <w:r>
              <w:rPr>
                <w:rFonts w:ascii="Arial" w:hAnsi="Arial" w:cs="Arial"/>
                <w:color w:val="auto"/>
                <w:sz w:val="24"/>
                <w:highlight w:val="none"/>
              </w:rPr>
              <w:t>质量管理、企业信用要求</w:t>
            </w:r>
          </w:p>
        </w:tc>
        <w:tc>
          <w:tcPr>
            <w:tcW w:w="6410" w:type="dxa"/>
            <w:gridSpan w:val="2"/>
            <w:tcBorders>
              <w:top w:val="single" w:color="auto" w:sz="4" w:space="0"/>
              <w:left w:val="single" w:color="auto" w:sz="4" w:space="0"/>
              <w:bottom w:val="single" w:color="auto" w:sz="4" w:space="0"/>
              <w:right w:val="single" w:color="auto" w:sz="4" w:space="0"/>
            </w:tcBorders>
          </w:tcPr>
          <w:p w14:paraId="4D200CEC">
            <w:pPr>
              <w:spacing w:line="360" w:lineRule="auto"/>
              <w:rPr>
                <w:rFonts w:ascii="Arial" w:hAnsi="Arial" w:cs="Arial"/>
                <w:color w:val="auto"/>
                <w:sz w:val="24"/>
                <w:highlight w:val="none"/>
              </w:rPr>
            </w:pPr>
            <w:r>
              <w:rPr>
                <w:rFonts w:ascii="Arial" w:hAnsi="Arial" w:cs="Arial"/>
                <w:color w:val="auto"/>
                <w:sz w:val="24"/>
                <w:highlight w:val="none"/>
              </w:rPr>
              <w:t>详见《第四章 评审程序、评审方法和评审标准》</w:t>
            </w:r>
          </w:p>
        </w:tc>
      </w:tr>
      <w:tr w14:paraId="52CC5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79" w:type="dxa"/>
            <w:gridSpan w:val="3"/>
            <w:tcBorders>
              <w:top w:val="single" w:color="auto" w:sz="4" w:space="0"/>
              <w:left w:val="single" w:color="auto" w:sz="4" w:space="0"/>
              <w:bottom w:val="single" w:color="auto" w:sz="4" w:space="0"/>
              <w:right w:val="single" w:color="auto" w:sz="4" w:space="0"/>
            </w:tcBorders>
            <w:vAlign w:val="center"/>
          </w:tcPr>
          <w:p w14:paraId="7B939CFF">
            <w:pPr>
              <w:spacing w:line="360" w:lineRule="auto"/>
              <w:rPr>
                <w:rFonts w:ascii="Arial" w:hAnsi="Arial" w:cs="Arial"/>
                <w:color w:val="auto"/>
                <w:sz w:val="24"/>
                <w:highlight w:val="none"/>
              </w:rPr>
            </w:pPr>
            <w:r>
              <w:rPr>
                <w:rFonts w:ascii="Arial" w:hAnsi="Arial" w:cs="Arial"/>
                <w:color w:val="auto"/>
                <w:sz w:val="24"/>
                <w:highlight w:val="none"/>
              </w:rPr>
              <w:t>能力或者业绩要求</w:t>
            </w:r>
          </w:p>
        </w:tc>
        <w:tc>
          <w:tcPr>
            <w:tcW w:w="6410" w:type="dxa"/>
            <w:gridSpan w:val="2"/>
            <w:tcBorders>
              <w:top w:val="single" w:color="auto" w:sz="4" w:space="0"/>
              <w:left w:val="single" w:color="auto" w:sz="4" w:space="0"/>
              <w:bottom w:val="single" w:color="auto" w:sz="4" w:space="0"/>
              <w:right w:val="single" w:color="auto" w:sz="4" w:space="0"/>
            </w:tcBorders>
          </w:tcPr>
          <w:p w14:paraId="5853F96D">
            <w:pPr>
              <w:spacing w:line="360" w:lineRule="auto"/>
              <w:rPr>
                <w:rFonts w:ascii="Arial" w:hAnsi="Arial" w:cs="Arial"/>
                <w:color w:val="auto"/>
                <w:sz w:val="24"/>
                <w:highlight w:val="none"/>
              </w:rPr>
            </w:pPr>
            <w:r>
              <w:rPr>
                <w:rFonts w:ascii="Arial" w:hAnsi="Arial" w:cs="Arial"/>
                <w:color w:val="auto"/>
                <w:sz w:val="24"/>
                <w:highlight w:val="none"/>
              </w:rPr>
              <w:t>详见《第四章 评审程序、评审方法和评审标准》</w:t>
            </w:r>
          </w:p>
        </w:tc>
      </w:tr>
      <w:tr w14:paraId="63B92C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89" w:type="dxa"/>
            <w:gridSpan w:val="5"/>
            <w:tcBorders>
              <w:top w:val="single" w:color="auto" w:sz="4" w:space="0"/>
              <w:left w:val="single" w:color="auto" w:sz="4" w:space="0"/>
              <w:bottom w:val="single" w:color="auto" w:sz="4" w:space="0"/>
              <w:right w:val="single" w:color="auto" w:sz="4" w:space="0"/>
            </w:tcBorders>
          </w:tcPr>
          <w:p w14:paraId="77CE219F">
            <w:pPr>
              <w:spacing w:line="360" w:lineRule="auto"/>
              <w:rPr>
                <w:rFonts w:ascii="Arial" w:hAnsi="Arial" w:cs="Arial"/>
                <w:b/>
                <w:color w:val="auto"/>
                <w:sz w:val="24"/>
                <w:highlight w:val="none"/>
              </w:rPr>
            </w:pPr>
            <w:r>
              <w:rPr>
                <w:rFonts w:ascii="Arial" w:hAnsi="Arial" w:cs="Arial"/>
                <w:color w:val="auto"/>
                <w:sz w:val="24"/>
                <w:highlight w:val="none"/>
              </w:rPr>
              <w:t>▲（二）</w:t>
            </w:r>
            <w:r>
              <w:rPr>
                <w:rFonts w:ascii="Arial" w:hAnsi="Arial" w:cs="Arial"/>
                <w:b/>
                <w:color w:val="auto"/>
                <w:sz w:val="24"/>
                <w:highlight w:val="none"/>
              </w:rPr>
              <w:t>验收标准</w:t>
            </w:r>
          </w:p>
        </w:tc>
      </w:tr>
      <w:tr w14:paraId="726E9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79" w:type="dxa"/>
            <w:gridSpan w:val="3"/>
            <w:tcBorders>
              <w:top w:val="single" w:color="auto" w:sz="4" w:space="0"/>
              <w:left w:val="single" w:color="auto" w:sz="4" w:space="0"/>
              <w:bottom w:val="single" w:color="auto" w:sz="4" w:space="0"/>
              <w:right w:val="single" w:color="auto" w:sz="4" w:space="0"/>
            </w:tcBorders>
            <w:vAlign w:val="center"/>
          </w:tcPr>
          <w:p w14:paraId="2E952EB8">
            <w:pPr>
              <w:snapToGrid w:val="0"/>
              <w:spacing w:line="360" w:lineRule="auto"/>
              <w:jc w:val="center"/>
              <w:rPr>
                <w:rFonts w:ascii="Arial" w:hAnsi="Arial" w:cs="Arial"/>
                <w:color w:val="auto"/>
                <w:sz w:val="24"/>
                <w:highlight w:val="none"/>
              </w:rPr>
            </w:pPr>
            <w:r>
              <w:rPr>
                <w:rFonts w:ascii="Arial" w:hAnsi="Arial" w:cs="Arial"/>
                <w:color w:val="auto"/>
                <w:sz w:val="24"/>
                <w:highlight w:val="none"/>
              </w:rPr>
              <w:t>采购标的验收（考核）标准</w:t>
            </w:r>
          </w:p>
        </w:tc>
        <w:tc>
          <w:tcPr>
            <w:tcW w:w="6410" w:type="dxa"/>
            <w:gridSpan w:val="2"/>
            <w:tcBorders>
              <w:top w:val="single" w:color="auto" w:sz="4" w:space="0"/>
              <w:left w:val="single" w:color="auto" w:sz="4" w:space="0"/>
              <w:bottom w:val="single" w:color="auto" w:sz="4" w:space="0"/>
              <w:right w:val="single" w:color="auto" w:sz="4" w:space="0"/>
            </w:tcBorders>
          </w:tcPr>
          <w:p w14:paraId="6552A67A">
            <w:pPr>
              <w:widowControl/>
              <w:spacing w:line="360" w:lineRule="auto"/>
              <w:jc w:val="left"/>
              <w:rPr>
                <w:rFonts w:ascii="Arial" w:hAnsi="Arial" w:cs="Arial"/>
                <w:color w:val="auto"/>
                <w:sz w:val="24"/>
                <w:highlight w:val="none"/>
              </w:rPr>
            </w:pPr>
            <w:r>
              <w:rPr>
                <w:rFonts w:ascii="Arial" w:hAnsi="Arial" w:cs="Arial"/>
                <w:color w:val="auto"/>
                <w:sz w:val="24"/>
                <w:highlight w:val="none"/>
              </w:rPr>
              <w:t>合同履行过程中，采购人按照本项目合同及磋商文件、</w:t>
            </w:r>
            <w:r>
              <w:rPr>
                <w:rFonts w:ascii="Arial" w:hAnsi="Arial" w:cs="Arial"/>
                <w:color w:val="auto"/>
                <w:sz w:val="24"/>
                <w:highlight w:val="none"/>
                <w:lang w:val="zh-CN"/>
              </w:rPr>
              <w:t>成交人</w:t>
            </w:r>
            <w:r>
              <w:rPr>
                <w:rFonts w:ascii="Arial" w:hAnsi="Arial" w:cs="Arial"/>
                <w:color w:val="auto"/>
                <w:sz w:val="24"/>
                <w:highlight w:val="none"/>
              </w:rPr>
              <w:t>响应文件承诺进行验收，如服务验收不合格，由</w:t>
            </w:r>
            <w:r>
              <w:rPr>
                <w:rFonts w:ascii="Arial" w:hAnsi="Arial" w:cs="Arial"/>
                <w:color w:val="auto"/>
                <w:sz w:val="24"/>
                <w:highlight w:val="none"/>
                <w:lang w:val="zh-CN"/>
              </w:rPr>
              <w:t>成交人</w:t>
            </w:r>
            <w:r>
              <w:rPr>
                <w:rFonts w:ascii="Arial" w:hAnsi="Arial" w:cs="Arial"/>
                <w:color w:val="auto"/>
                <w:sz w:val="24"/>
                <w:highlight w:val="none"/>
              </w:rPr>
              <w:t>按采购人（或第三方验收机构）要求整改，</w:t>
            </w:r>
            <w:r>
              <w:rPr>
                <w:rFonts w:ascii="Arial" w:hAnsi="Arial" w:cs="Arial"/>
                <w:color w:val="auto"/>
                <w:sz w:val="24"/>
                <w:highlight w:val="none"/>
                <w:lang w:val="zh-CN"/>
              </w:rPr>
              <w:t>成交人</w:t>
            </w:r>
            <w:r>
              <w:rPr>
                <w:rFonts w:ascii="Arial" w:hAnsi="Arial" w:cs="Arial"/>
                <w:color w:val="auto"/>
                <w:sz w:val="24"/>
                <w:highlight w:val="none"/>
              </w:rPr>
              <w:t>不按要求整改或拒不整改的，给采购人造成的损失等费用由</w:t>
            </w:r>
            <w:r>
              <w:rPr>
                <w:rFonts w:ascii="Arial" w:hAnsi="Arial" w:cs="Arial"/>
                <w:color w:val="auto"/>
                <w:sz w:val="24"/>
                <w:highlight w:val="none"/>
                <w:lang w:val="zh-CN"/>
              </w:rPr>
              <w:t>成交人</w:t>
            </w:r>
            <w:r>
              <w:rPr>
                <w:rFonts w:ascii="Arial" w:hAnsi="Arial" w:cs="Arial"/>
                <w:color w:val="auto"/>
                <w:sz w:val="24"/>
                <w:highlight w:val="none"/>
              </w:rPr>
              <w:t>承担。如不符合采购文件项目需要及技术需求以及提供虚假承诺的，按相关规定做违约处理，采购人依据相关法律规定追究</w:t>
            </w:r>
            <w:r>
              <w:rPr>
                <w:rFonts w:ascii="Arial" w:hAnsi="Arial" w:cs="Arial"/>
                <w:color w:val="auto"/>
                <w:sz w:val="24"/>
                <w:highlight w:val="none"/>
                <w:lang w:val="zh-CN"/>
              </w:rPr>
              <w:t>成交人</w:t>
            </w:r>
            <w:r>
              <w:rPr>
                <w:rFonts w:ascii="Arial" w:hAnsi="Arial" w:cs="Arial"/>
                <w:color w:val="auto"/>
                <w:sz w:val="24"/>
                <w:highlight w:val="none"/>
              </w:rPr>
              <w:t>的责任，由此带来的一切损失由</w:t>
            </w:r>
            <w:r>
              <w:rPr>
                <w:rFonts w:ascii="Arial" w:hAnsi="Arial" w:cs="Arial"/>
                <w:color w:val="auto"/>
                <w:sz w:val="24"/>
                <w:highlight w:val="none"/>
                <w:lang w:val="zh-CN"/>
              </w:rPr>
              <w:t>成交人</w:t>
            </w:r>
            <w:r>
              <w:rPr>
                <w:rFonts w:ascii="Arial" w:hAnsi="Arial" w:cs="Arial"/>
                <w:color w:val="auto"/>
                <w:sz w:val="24"/>
                <w:highlight w:val="none"/>
              </w:rPr>
              <w:t>自行承担。</w:t>
            </w:r>
          </w:p>
        </w:tc>
      </w:tr>
      <w:tr w14:paraId="338502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89" w:type="dxa"/>
            <w:gridSpan w:val="5"/>
            <w:tcBorders>
              <w:top w:val="single" w:color="auto" w:sz="4" w:space="0"/>
              <w:left w:val="single" w:color="auto" w:sz="4" w:space="0"/>
              <w:bottom w:val="single" w:color="auto" w:sz="4" w:space="0"/>
              <w:right w:val="single" w:color="auto" w:sz="4" w:space="0"/>
            </w:tcBorders>
          </w:tcPr>
          <w:p w14:paraId="4FBED18D">
            <w:pPr>
              <w:spacing w:line="360" w:lineRule="auto"/>
              <w:rPr>
                <w:rFonts w:ascii="Arial" w:hAnsi="Arial" w:cs="Arial"/>
                <w:b/>
                <w:color w:val="auto"/>
                <w:sz w:val="24"/>
                <w:highlight w:val="none"/>
              </w:rPr>
            </w:pPr>
            <w:r>
              <w:rPr>
                <w:rFonts w:ascii="Arial" w:hAnsi="Arial" w:cs="Arial"/>
                <w:b/>
                <w:color w:val="auto"/>
                <w:sz w:val="24"/>
                <w:highlight w:val="none"/>
              </w:rPr>
              <w:t>三、采购人对项目的其他要求和说明</w:t>
            </w:r>
          </w:p>
        </w:tc>
      </w:tr>
      <w:tr w14:paraId="5D8CC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79" w:type="dxa"/>
            <w:gridSpan w:val="3"/>
            <w:tcBorders>
              <w:top w:val="single" w:color="auto" w:sz="4" w:space="0"/>
              <w:left w:val="single" w:color="auto" w:sz="4" w:space="0"/>
              <w:bottom w:val="single" w:color="auto" w:sz="4" w:space="0"/>
              <w:right w:val="single" w:color="auto" w:sz="4" w:space="0"/>
            </w:tcBorders>
            <w:vAlign w:val="center"/>
          </w:tcPr>
          <w:p w14:paraId="62C51C2D">
            <w:pPr>
              <w:spacing w:line="360" w:lineRule="auto"/>
              <w:rPr>
                <w:rFonts w:ascii="Arial" w:hAnsi="Arial" w:cs="Arial"/>
                <w:color w:val="auto"/>
                <w:sz w:val="24"/>
                <w:highlight w:val="none"/>
              </w:rPr>
            </w:pPr>
            <w:r>
              <w:rPr>
                <w:rFonts w:ascii="Arial" w:hAnsi="Arial" w:cs="Arial"/>
                <w:color w:val="auto"/>
                <w:sz w:val="24"/>
                <w:highlight w:val="none"/>
              </w:rPr>
              <w:t>规范标准</w:t>
            </w:r>
          </w:p>
        </w:tc>
        <w:tc>
          <w:tcPr>
            <w:tcW w:w="6410" w:type="dxa"/>
            <w:gridSpan w:val="2"/>
            <w:tcBorders>
              <w:top w:val="single" w:color="auto" w:sz="4" w:space="0"/>
              <w:left w:val="single" w:color="auto" w:sz="4" w:space="0"/>
              <w:bottom w:val="single" w:color="auto" w:sz="4" w:space="0"/>
              <w:right w:val="single" w:color="auto" w:sz="4" w:space="0"/>
            </w:tcBorders>
          </w:tcPr>
          <w:p w14:paraId="23C3FFB5">
            <w:pPr>
              <w:spacing w:line="360" w:lineRule="auto"/>
              <w:rPr>
                <w:rFonts w:ascii="Arial" w:hAnsi="Arial" w:cs="Arial"/>
                <w:color w:val="auto"/>
                <w:sz w:val="24"/>
                <w:highlight w:val="none"/>
              </w:rPr>
            </w:pPr>
            <w:r>
              <w:rPr>
                <w:rFonts w:ascii="Arial" w:hAnsi="Arial" w:cs="Arial"/>
                <w:color w:val="auto"/>
                <w:sz w:val="24"/>
                <w:highlight w:val="none"/>
              </w:rPr>
              <w:t>执行现行的强制的国家、行业、地方标准。</w:t>
            </w:r>
          </w:p>
        </w:tc>
      </w:tr>
      <w:tr w14:paraId="10211F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79" w:type="dxa"/>
            <w:gridSpan w:val="3"/>
            <w:tcBorders>
              <w:top w:val="single" w:color="auto" w:sz="4" w:space="0"/>
              <w:left w:val="single" w:color="auto" w:sz="4" w:space="0"/>
              <w:bottom w:val="single" w:color="auto" w:sz="4" w:space="0"/>
              <w:right w:val="single" w:color="auto" w:sz="4" w:space="0"/>
            </w:tcBorders>
            <w:vAlign w:val="center"/>
          </w:tcPr>
          <w:p w14:paraId="66F7CE10">
            <w:pPr>
              <w:spacing w:line="360" w:lineRule="auto"/>
              <w:rPr>
                <w:rFonts w:ascii="Arial" w:hAnsi="Arial" w:cs="Arial"/>
                <w:color w:val="auto"/>
                <w:sz w:val="24"/>
                <w:highlight w:val="none"/>
              </w:rPr>
            </w:pPr>
            <w:r>
              <w:rPr>
                <w:rFonts w:hint="eastAsia" w:ascii="Arial" w:hAnsi="Arial" w:cs="Arial"/>
                <w:color w:val="auto"/>
                <w:sz w:val="24"/>
                <w:highlight w:val="none"/>
              </w:rPr>
              <w:t>负偏离要求</w:t>
            </w:r>
          </w:p>
        </w:tc>
        <w:tc>
          <w:tcPr>
            <w:tcW w:w="6410" w:type="dxa"/>
            <w:gridSpan w:val="2"/>
            <w:tcBorders>
              <w:top w:val="single" w:color="auto" w:sz="4" w:space="0"/>
              <w:left w:val="single" w:color="auto" w:sz="4" w:space="0"/>
              <w:bottom w:val="single" w:color="auto" w:sz="4" w:space="0"/>
              <w:right w:val="single" w:color="auto" w:sz="4" w:space="0"/>
            </w:tcBorders>
          </w:tcPr>
          <w:p w14:paraId="59EAFC8C">
            <w:pPr>
              <w:spacing w:line="360" w:lineRule="auto"/>
              <w:rPr>
                <w:rFonts w:ascii="Arial" w:hAnsi="Arial" w:cs="Arial"/>
                <w:color w:val="auto"/>
                <w:sz w:val="24"/>
                <w:highlight w:val="none"/>
              </w:rPr>
            </w:pPr>
            <w:r>
              <w:rPr>
                <w:rFonts w:ascii="Arial" w:hAnsi="Arial" w:cs="Arial"/>
                <w:color w:val="auto"/>
                <w:sz w:val="24"/>
                <w:highlight w:val="none"/>
              </w:rPr>
              <w:t>本项目属于服务采购，无核心产品要求，不允许负偏离响应，否则做否决废标处理。</w:t>
            </w:r>
          </w:p>
        </w:tc>
      </w:tr>
    </w:tbl>
    <w:p w14:paraId="1C7A7BF4">
      <w:pPr>
        <w:tabs>
          <w:tab w:val="left" w:pos="180"/>
          <w:tab w:val="left" w:pos="1620"/>
        </w:tabs>
        <w:spacing w:line="360" w:lineRule="auto"/>
        <w:ind w:firstLine="422" w:firstLineChars="200"/>
        <w:rPr>
          <w:rFonts w:hint="eastAsia" w:ascii="宋体" w:hAnsi="宋体" w:cs="宋体"/>
          <w:b/>
          <w:bCs/>
          <w:color w:val="auto"/>
          <w:szCs w:val="21"/>
          <w:highlight w:val="none"/>
        </w:rPr>
      </w:pPr>
    </w:p>
    <w:p w14:paraId="0244D483">
      <w:pPr>
        <w:tabs>
          <w:tab w:val="left" w:pos="180"/>
          <w:tab w:val="left" w:pos="1620"/>
        </w:tabs>
        <w:spacing w:line="360" w:lineRule="auto"/>
        <w:ind w:firstLine="422" w:firstLineChars="200"/>
        <w:rPr>
          <w:rFonts w:hint="eastAsia" w:ascii="宋体" w:hAnsi="宋体" w:cs="宋体"/>
          <w:b/>
          <w:bCs/>
          <w:color w:val="auto"/>
          <w:szCs w:val="21"/>
          <w:highlight w:val="none"/>
        </w:rPr>
      </w:pPr>
    </w:p>
    <w:p w14:paraId="18EA77FF">
      <w:pPr>
        <w:spacing w:line="360" w:lineRule="auto"/>
        <w:jc w:val="left"/>
        <w:rPr>
          <w:rFonts w:hint="eastAsia" w:ascii="宋体" w:hAnsi="宋体" w:cs="Arial"/>
          <w:bCs/>
          <w:color w:val="auto"/>
          <w:szCs w:val="21"/>
          <w:highlight w:val="none"/>
          <w:u w:val="single"/>
        </w:rPr>
      </w:pPr>
    </w:p>
    <w:p w14:paraId="59EDB556">
      <w:pPr>
        <w:rPr>
          <w:rFonts w:ascii="宋体" w:hAnsi="宋体" w:cs="宋体"/>
          <w:color w:val="auto"/>
          <w:sz w:val="20"/>
          <w:szCs w:val="20"/>
          <w:highlight w:val="none"/>
        </w:rPr>
      </w:pPr>
      <w:r>
        <w:rPr>
          <w:rFonts w:ascii="宋体" w:hAnsi="宋体" w:cs="宋体"/>
          <w:color w:val="auto"/>
          <w:sz w:val="20"/>
          <w:szCs w:val="20"/>
          <w:highlight w:val="none"/>
        </w:rPr>
        <w:br w:type="page"/>
      </w:r>
    </w:p>
    <w:p w14:paraId="114D195D">
      <w:pPr>
        <w:pStyle w:val="2"/>
        <w:jc w:val="center"/>
        <w:rPr>
          <w:color w:val="auto"/>
          <w:highlight w:val="none"/>
        </w:rPr>
      </w:pPr>
      <w:bookmarkStart w:id="82" w:name="_Toc74323459"/>
      <w:r>
        <w:rPr>
          <w:rFonts w:hint="eastAsia"/>
          <w:color w:val="auto"/>
          <w:highlight w:val="none"/>
        </w:rPr>
        <w:t>第四章评审程序、评审方法和评审标准</w:t>
      </w:r>
      <w:bookmarkEnd w:id="82"/>
    </w:p>
    <w:p w14:paraId="50D2BF1F">
      <w:pPr>
        <w:pStyle w:val="4"/>
        <w:jc w:val="center"/>
        <w:rPr>
          <w:color w:val="auto"/>
          <w:highlight w:val="none"/>
        </w:rPr>
      </w:pPr>
      <w:r>
        <w:rPr>
          <w:rFonts w:hint="eastAsia"/>
          <w:color w:val="auto"/>
          <w:highlight w:val="none"/>
        </w:rPr>
        <w:t>一、评审程序和评审方法</w:t>
      </w:r>
    </w:p>
    <w:p w14:paraId="7A60B079">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1</w:t>
      </w:r>
      <w:r>
        <w:rPr>
          <w:rFonts w:hint="eastAsia" w:ascii="黑体" w:hAnsi="黑体" w:eastAsia="黑体" w:cs="宋体"/>
          <w:b/>
          <w:bCs/>
          <w:color w:val="auto"/>
          <w:sz w:val="24"/>
          <w:highlight w:val="none"/>
        </w:rPr>
        <w:t>.资格审查</w:t>
      </w:r>
    </w:p>
    <w:p w14:paraId="5C8F2D51">
      <w:pPr>
        <w:snapToGrid w:val="0"/>
        <w:spacing w:line="360" w:lineRule="auto"/>
        <w:ind w:firstLine="420" w:firstLineChars="200"/>
        <w:rPr>
          <w:rFonts w:hint="eastAsia" w:ascii="宋体" w:hAnsi="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w:t>
      </w:r>
      <w:r>
        <w:rPr>
          <w:rFonts w:hint="eastAsia" w:ascii="宋体" w:hAnsi="宋体"/>
          <w:color w:val="auto"/>
          <w:szCs w:val="21"/>
          <w:highlight w:val="none"/>
        </w:rPr>
        <w:t>响应文件开启后，磋商小组依法对供应商的资格证明文件进行审查。</w:t>
      </w:r>
    </w:p>
    <w:p w14:paraId="26CA0680">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w:t>
      </w:r>
      <w:r>
        <w:rPr>
          <w:rFonts w:hint="eastAsia"/>
          <w:color w:val="auto"/>
          <w:highlight w:val="none"/>
        </w:rPr>
        <w:t>磋商小组</w:t>
      </w:r>
      <w:r>
        <w:rPr>
          <w:rFonts w:hint="eastAsia" w:ascii="宋体" w:hAnsi="宋体" w:cs="宋体"/>
          <w:color w:val="auto"/>
          <w:szCs w:val="21"/>
          <w:highlight w:val="none"/>
        </w:rPr>
        <w:t>在资格审查结束前，对供应商进行信用查询。</w:t>
      </w:r>
    </w:p>
    <w:p w14:paraId="74A1F8AE">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（1）查询渠道：广西政府采购云平台“信用中国”网站(www.creditchina.gov.cn)、中国政府采购网(www.ccgp.gov.cn)链接入口。</w:t>
      </w:r>
    </w:p>
    <w:p w14:paraId="5F416514">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17F2D32E">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（3）查询记录和证据留存方式：在查询网站中直接查询，截图另存为电子文档作为评审资料保存。</w:t>
      </w:r>
    </w:p>
    <w:p w14:paraId="01BABD41">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信用信息使用规则：对在“信用中国”网站（www.creditchina.gov.cn）、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w:t>
      </w:r>
      <w:r>
        <w:rPr>
          <w:rFonts w:hint="eastAsia" w:ascii="宋体" w:hAnsi="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r>
        <w:rPr>
          <w:rFonts w:hint="eastAsia" w:ascii="宋体" w:hAnsi="宋体" w:cs="宋体"/>
          <w:color w:val="auto"/>
          <w:szCs w:val="21"/>
          <w:highlight w:val="none"/>
        </w:rPr>
        <w:t>。</w:t>
      </w:r>
    </w:p>
    <w:p w14:paraId="579A6896">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.2资格审查标准为本磋商文件中载明对供应商资格要求的条件。资格审查采用合格制，凡符合磋商文件规定的供应商资格要求的响应文件均通过资格审查。</w:t>
      </w:r>
    </w:p>
    <w:p w14:paraId="39099161">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.3供应商有下列情形之一的，资格审查不通过，其响应文件按无效响应处理：</w:t>
      </w:r>
    </w:p>
    <w:p w14:paraId="51F4966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）不具备磋商文件中规定的资格要求的；</w:t>
      </w:r>
    </w:p>
    <w:p w14:paraId="05FBCD4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（2）未按磋商文件规定的方式获取本磋商文件的供应商；</w:t>
      </w:r>
    </w:p>
    <w:p w14:paraId="16D13B6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）响应文件的资格证明文件缺少任一项“供应商须知前附表”资格证明文件规定的“必须提供”的文件资料的；</w:t>
      </w:r>
    </w:p>
    <w:p w14:paraId="308EFE6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）响应文件中的资格证明文件出现任一项不符合“供应商须知前附表”资格证明文件规定的“必须提供”的文件资料要求或者无效的；</w:t>
      </w:r>
    </w:p>
    <w:p w14:paraId="7882069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）同一合同项下的不同供应商，单位负责人为同一人或者存在直接控股、管理关系的；为本项目提供过整体设计、规范编制或者项目管理、监理、检测等服务的供应商，再参加该采购项目的其他采购活动的。</w:t>
      </w:r>
    </w:p>
    <w:p w14:paraId="1DB74B86">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.4通过资格审查的合格供应商不足3家的，不得进入符合性审查环节，</w:t>
      </w:r>
      <w:r>
        <w:rPr>
          <w:rFonts w:hint="eastAsia" w:ascii="宋体" w:hAnsi="宋体"/>
          <w:color w:val="auto"/>
          <w:szCs w:val="21"/>
          <w:highlight w:val="none"/>
        </w:rPr>
        <w:t>采购人或者采购代理机构应当重新开展采购活动。</w:t>
      </w:r>
    </w:p>
    <w:p w14:paraId="18596F72">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.符合性审查</w:t>
      </w:r>
    </w:p>
    <w:p w14:paraId="48C93B04">
      <w:pPr>
        <w:spacing w:line="360" w:lineRule="auto"/>
        <w:ind w:firstLine="420" w:firstLineChars="200"/>
        <w:rPr>
          <w:rFonts w:hint="eastAsia" w:ascii="宋体" w:hAnsi="宋体" w:cs="宋体"/>
          <w:color w:val="auto"/>
          <w:szCs w:val="21"/>
          <w:highlight w:val="none"/>
        </w:rPr>
      </w:pPr>
      <w:bookmarkStart w:id="83" w:name="_Hlk42528882"/>
      <w:r>
        <w:rPr>
          <w:rFonts w:ascii="宋体" w:hAnsi="宋体" w:cs="宋体"/>
          <w:color w:val="auto"/>
          <w:szCs w:val="21"/>
          <w:highlight w:val="none"/>
        </w:rPr>
        <w:t>2.1</w:t>
      </w:r>
      <w:r>
        <w:rPr>
          <w:rFonts w:hint="eastAsia" w:ascii="宋体" w:hAnsi="宋体" w:cs="宋体"/>
          <w:color w:val="auto"/>
          <w:szCs w:val="21"/>
          <w:highlight w:val="none"/>
        </w:rPr>
        <w:t>由磋商小组对</w:t>
      </w:r>
      <w:r>
        <w:rPr>
          <w:rFonts w:hint="eastAsia" w:ascii="宋体" w:hAnsi="宋体"/>
          <w:color w:val="auto"/>
          <w:szCs w:val="21"/>
          <w:highlight w:val="none"/>
        </w:rPr>
        <w:t>通过资格审查的合格供应商</w:t>
      </w:r>
      <w:r>
        <w:rPr>
          <w:rFonts w:hint="eastAsia" w:ascii="宋体" w:hAnsi="宋体" w:cs="宋体"/>
          <w:color w:val="auto"/>
          <w:szCs w:val="21"/>
          <w:highlight w:val="none"/>
        </w:rPr>
        <w:t>的响应文件的竞标报价、商务、技术等实质性要求进行符合性审查，以确定其是否满足磋商文件的实质性要求。</w:t>
      </w:r>
    </w:p>
    <w:bookmarkEnd w:id="83"/>
    <w:p w14:paraId="507FFC5B">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2.2</w:t>
      </w:r>
      <w:r>
        <w:rPr>
          <w:rFonts w:hint="eastAsia" w:ascii="宋体" w:hAnsi="宋体" w:cs="宋体"/>
          <w:color w:val="auto"/>
          <w:szCs w:val="21"/>
          <w:highlight w:val="none"/>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F6E6249">
      <w:pPr>
        <w:spacing w:line="360" w:lineRule="auto"/>
        <w:ind w:firstLine="420" w:firstLineChars="200"/>
        <w:rPr>
          <w:rFonts w:hint="eastAsia" w:ascii="宋体" w:hAnsi="宋体" w:cs="宋体"/>
          <w:color w:val="auto"/>
          <w:spacing w:val="-6"/>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eastAsia" w:hAnsi="宋体"/>
          <w:color w:val="auto"/>
          <w:highlight w:val="none"/>
        </w:rPr>
        <w:t>签章</w:t>
      </w:r>
      <w:r>
        <w:rPr>
          <w:rFonts w:hint="eastAsia" w:ascii="宋体" w:hAnsi="宋体" w:cs="宋体"/>
          <w:color w:val="auto"/>
          <w:spacing w:val="-6"/>
          <w:szCs w:val="21"/>
          <w:highlight w:val="none"/>
        </w:rPr>
        <w:t>。</w:t>
      </w:r>
    </w:p>
    <w:p w14:paraId="41312516">
      <w:pPr>
        <w:spacing w:line="360" w:lineRule="auto"/>
        <w:ind w:firstLine="420" w:firstLineChars="200"/>
        <w:rPr>
          <w:rFonts w:hint="eastAsia" w:ascii="宋体" w:hAnsi="宋体" w:cs="宋体"/>
          <w:color w:val="auto"/>
          <w:spacing w:val="-6"/>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72F88075">
      <w:pPr>
        <w:spacing w:line="360" w:lineRule="auto"/>
        <w:ind w:firstLine="396" w:firstLineChars="200"/>
        <w:rPr>
          <w:rFonts w:hint="eastAsia" w:ascii="宋体" w:hAnsi="宋体" w:cs="宋体"/>
          <w:color w:val="auto"/>
          <w:szCs w:val="21"/>
          <w:highlight w:val="none"/>
        </w:rPr>
      </w:pPr>
      <w:r>
        <w:rPr>
          <w:rFonts w:ascii="宋体" w:hAnsi="宋体" w:cs="宋体"/>
          <w:color w:val="auto"/>
          <w:spacing w:val="-6"/>
          <w:szCs w:val="21"/>
          <w:highlight w:val="none"/>
        </w:rPr>
        <w:t>2.4</w:t>
      </w:r>
      <w:r>
        <w:rPr>
          <w:rFonts w:hint="eastAsia" w:ascii="宋体" w:hAnsi="宋体" w:cs="宋体"/>
          <w:color w:val="auto"/>
          <w:szCs w:val="21"/>
          <w:highlight w:val="none"/>
        </w:rPr>
        <w:t>首次响应文件报价出现前后不一致的，按照下列规定修正：</w:t>
      </w:r>
    </w:p>
    <w:p w14:paraId="6866D26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0B5BB63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3A02344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3EC52B8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07B81D0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03560A40">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商务技术报价评审</w:t>
      </w:r>
    </w:p>
    <w:p w14:paraId="731A688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6BC869D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（1）商务技术评审</w:t>
      </w:r>
    </w:p>
    <w:p w14:paraId="006608B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1）提供响应文件正、副本数量不足；</w:t>
      </w:r>
    </w:p>
    <w:p w14:paraId="7C910AD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2）响应文件未按磋商文件要求签署、盖章；</w:t>
      </w:r>
    </w:p>
    <w:p w14:paraId="3A42A6C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3）委托代理人未能出具有效身份证或者出具的身份证与授权委托书中的信息不符的； </w:t>
      </w:r>
    </w:p>
    <w:p w14:paraId="5C7E306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4）提交的磋商保证金无效的或者未按照磋商文件的规定提交磋商保证金；</w:t>
      </w:r>
    </w:p>
    <w:p w14:paraId="07F7B70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5）响应文件未提供任一项“供应商须知前附表”商务技术文件中“必须提供”或者“委托时必须提供”的文件资料；响应文件提供的商务技术文件出现任一项不符合“供应商须知前附表”商务技术文件中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0B2D5AFB">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）商务要求允许负偏离的条款数超过“供应商须知前附表”规定项数的；</w:t>
      </w:r>
    </w:p>
    <w:p w14:paraId="65B8F47D">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7</w:t>
      </w:r>
      <w:r>
        <w:rPr>
          <w:rFonts w:hint="eastAsia" w:ascii="宋体" w:hAnsi="宋体" w:cs="宋体"/>
          <w:color w:val="auto"/>
          <w:szCs w:val="21"/>
          <w:highlight w:val="none"/>
        </w:rPr>
        <w:t>）未对竞标有效期作出响应或者响应文件承诺的竞标有效期不满足磋商文件要求；</w:t>
      </w:r>
    </w:p>
    <w:p w14:paraId="13A7DFB8">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8</w:t>
      </w:r>
      <w:r>
        <w:rPr>
          <w:rFonts w:hint="eastAsia" w:ascii="宋体" w:hAnsi="宋体" w:cs="宋体"/>
          <w:color w:val="auto"/>
          <w:szCs w:val="21"/>
          <w:highlight w:val="none"/>
        </w:rPr>
        <w:t>）响应文件的实质性内容未使用中文表述、使用计量单位不符合磋商文件要求；</w:t>
      </w:r>
    </w:p>
    <w:p w14:paraId="2F0E0A03">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9</w:t>
      </w:r>
      <w:r>
        <w:rPr>
          <w:rFonts w:hint="eastAsia" w:ascii="宋体" w:hAnsi="宋体" w:cs="宋体"/>
          <w:color w:val="auto"/>
          <w:szCs w:val="21"/>
          <w:highlight w:val="none"/>
        </w:rPr>
        <w:t>）响应文件中的文件资料因填写不齐全或者内容虚假或者出现其他情形而导致被磋商小组认定无效；</w:t>
      </w:r>
    </w:p>
    <w:p w14:paraId="18B0C432">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10</w:t>
      </w:r>
      <w:r>
        <w:rPr>
          <w:rFonts w:hint="eastAsia" w:ascii="宋体" w:hAnsi="宋体" w:cs="宋体"/>
          <w:color w:val="auto"/>
          <w:szCs w:val="21"/>
          <w:highlight w:val="none"/>
        </w:rPr>
        <w:t>）响应文件含有采购人不能接受的附加条件；</w:t>
      </w:r>
    </w:p>
    <w:p w14:paraId="6A59BFC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1</w:t>
      </w:r>
      <w:r>
        <w:rPr>
          <w:rFonts w:hint="eastAsia" w:ascii="宋体" w:hAnsi="宋体" w:cs="宋体"/>
          <w:color w:val="auto"/>
          <w:szCs w:val="21"/>
          <w:highlight w:val="none"/>
        </w:rPr>
        <w:t>）属于“供应商须知正文”第7.</w:t>
      </w:r>
      <w:r>
        <w:rPr>
          <w:rFonts w:ascii="宋体" w:hAnsi="宋体" w:cs="宋体"/>
          <w:color w:val="auto"/>
          <w:szCs w:val="21"/>
          <w:highlight w:val="none"/>
        </w:rPr>
        <w:t>5</w:t>
      </w:r>
      <w:r>
        <w:rPr>
          <w:rFonts w:hint="eastAsia" w:ascii="宋体" w:hAnsi="宋体" w:cs="宋体"/>
          <w:color w:val="auto"/>
          <w:szCs w:val="21"/>
          <w:highlight w:val="none"/>
        </w:rPr>
        <w:t>条情形；</w:t>
      </w:r>
    </w:p>
    <w:p w14:paraId="66842FD9">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2）技术要求允许负偏离的条款数超过“供应商须知前附表”规定项数；</w:t>
      </w:r>
    </w:p>
    <w:p w14:paraId="5A7B91FE">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3）虚假竞标，或者出现其他情形而导致被磋商小组认定无效；</w:t>
      </w:r>
    </w:p>
    <w:p w14:paraId="0225B678">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4）</w:t>
      </w:r>
      <w:bookmarkStart w:id="84" w:name="_Hlk71704147"/>
      <w:r>
        <w:rPr>
          <w:rFonts w:hint="eastAsia" w:ascii="宋体" w:hAnsi="宋体" w:cs="宋体"/>
          <w:color w:val="auto"/>
          <w:szCs w:val="21"/>
          <w:highlight w:val="none"/>
        </w:rPr>
        <w:t>磋商文件未载明允许提供备选（替代）竞标方案或明确不允许提供备选（替代）竞标方案时，供应商提供了备选（替代）竞标方案的；</w:t>
      </w:r>
      <w:bookmarkEnd w:id="84"/>
    </w:p>
    <w:p w14:paraId="015C803F">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15</w:t>
      </w:r>
      <w:r>
        <w:rPr>
          <w:rFonts w:hint="eastAsia" w:ascii="宋体" w:hAnsi="宋体" w:cs="宋体"/>
          <w:color w:val="auto"/>
          <w:szCs w:val="21"/>
          <w:highlight w:val="none"/>
        </w:rPr>
        <w:t>）响应文件标注的项目名称或者项目编号与磋商文件标注的项目名称或者项目编号不一致的；</w:t>
      </w:r>
    </w:p>
    <w:p w14:paraId="3B3D5AB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6</w:t>
      </w:r>
      <w:r>
        <w:rPr>
          <w:rFonts w:hint="eastAsia" w:ascii="宋体" w:hAnsi="宋体" w:cs="宋体"/>
          <w:color w:val="auto"/>
          <w:szCs w:val="21"/>
          <w:highlight w:val="none"/>
        </w:rPr>
        <w:t>）</w:t>
      </w:r>
      <w:r>
        <w:rPr>
          <w:rFonts w:hint="eastAsia" w:ascii="宋体" w:hAnsi="宋体"/>
          <w:b/>
          <w:color w:val="auto"/>
          <w:szCs w:val="21"/>
          <w:highlight w:val="none"/>
        </w:rPr>
        <w:t>竞争性磋商文件明确不允许分包，响应文件拟分包的；</w:t>
      </w:r>
    </w:p>
    <w:p w14:paraId="732F0213">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17</w:t>
      </w:r>
      <w:r>
        <w:rPr>
          <w:rFonts w:hint="eastAsia" w:ascii="宋体" w:hAnsi="宋体" w:cs="宋体"/>
          <w:color w:val="auto"/>
          <w:szCs w:val="21"/>
          <w:highlight w:val="none"/>
        </w:rPr>
        <w:t>）未响应磋商文件实质性要求；</w:t>
      </w:r>
    </w:p>
    <w:p w14:paraId="71DC233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8</w:t>
      </w:r>
      <w:r>
        <w:rPr>
          <w:rFonts w:hint="eastAsia" w:ascii="宋体" w:hAnsi="宋体" w:cs="宋体"/>
          <w:color w:val="auto"/>
          <w:szCs w:val="21"/>
          <w:highlight w:val="none"/>
        </w:rPr>
        <w:t>）法律、法规和磋商文件规定的其他无效情形。</w:t>
      </w:r>
    </w:p>
    <w:p w14:paraId="3370245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）报价评审</w:t>
      </w:r>
    </w:p>
    <w:p w14:paraId="421E742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1）响应文件未提供“供应商须知前附表”报价文件中规定的“竞标报价表”；</w:t>
      </w:r>
    </w:p>
    <w:p w14:paraId="6CF8C38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2）未采用人民币报价或者未按照磋商文件标明的币种报价；</w:t>
      </w:r>
    </w:p>
    <w:p w14:paraId="6C089BC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6586FB4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4）竞标报价（包含首次报价、最后报价）超过所竞标分标规定的采购预算金额或者最高限价的（如本项目公布了最高限价）；</w:t>
      </w:r>
      <w:bookmarkStart w:id="85" w:name="_Hlk42596405"/>
      <w:r>
        <w:rPr>
          <w:rFonts w:hint="eastAsia" w:ascii="宋体" w:hAnsi="宋体" w:cs="宋体"/>
          <w:color w:val="auto"/>
          <w:szCs w:val="21"/>
          <w:highlight w:val="none"/>
        </w:rPr>
        <w:t>竞标报价（包含首次报价、最后报价）</w:t>
      </w:r>
      <w:bookmarkEnd w:id="85"/>
      <w:bookmarkStart w:id="86" w:name="_Hlk42596276"/>
      <w:r>
        <w:rPr>
          <w:rFonts w:hint="eastAsia" w:ascii="宋体" w:hAnsi="宋体" w:cs="宋体"/>
          <w:color w:val="auto"/>
          <w:szCs w:val="21"/>
          <w:highlight w:val="none"/>
        </w:rPr>
        <w:t>超过磋商文件分项采购预算金额或者最高限价的</w:t>
      </w:r>
      <w:bookmarkEnd w:id="86"/>
      <w:r>
        <w:rPr>
          <w:rFonts w:hint="eastAsia" w:ascii="宋体" w:hAnsi="宋体" w:cs="宋体"/>
          <w:color w:val="auto"/>
          <w:szCs w:val="21"/>
          <w:highlight w:val="none"/>
        </w:rPr>
        <w:t>（如本项目公布了最高限价）；</w:t>
      </w:r>
    </w:p>
    <w:p w14:paraId="3305B37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公布了最高限价）。</w:t>
      </w:r>
    </w:p>
    <w:p w14:paraId="3A3FC117">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6）</w:t>
      </w:r>
      <w:r>
        <w:rPr>
          <w:rFonts w:hint="eastAsia" w:ascii="宋体" w:hAnsi="宋体"/>
          <w:color w:val="auto"/>
          <w:szCs w:val="21"/>
          <w:highlight w:val="none"/>
        </w:rPr>
        <w:t>响应文件响应的标的数量及单位与竞争性磋商采购文件要求实质性不一致的。</w:t>
      </w:r>
    </w:p>
    <w:p w14:paraId="269CA19E">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2.6</w:t>
      </w:r>
      <w:r>
        <w:rPr>
          <w:rFonts w:hint="eastAsia" w:ascii="宋体" w:hAnsi="宋体" w:cs="宋体"/>
          <w:color w:val="auto"/>
          <w:szCs w:val="21"/>
          <w:highlight w:val="none"/>
        </w:rPr>
        <w:t>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7BD51F6B">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2.7</w:t>
      </w:r>
      <w:r>
        <w:rPr>
          <w:rFonts w:hint="eastAsia" w:ascii="宋体" w:hAnsi="宋体"/>
          <w:color w:val="auto"/>
          <w:szCs w:val="21"/>
          <w:highlight w:val="none"/>
        </w:rPr>
        <w:t>通过符合性审查的合格供应商不足3家的，不得进入磋商环节，采购人或者采购代理机构应当重新开展采购活动。</w:t>
      </w:r>
    </w:p>
    <w:p w14:paraId="64D97705">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w:t>
      </w:r>
      <w:r>
        <w:rPr>
          <w:rFonts w:hint="eastAsia" w:ascii="黑体" w:hAnsi="黑体" w:eastAsia="黑体" w:cs="宋体"/>
          <w:b/>
          <w:bCs/>
          <w:color w:val="auto"/>
          <w:sz w:val="24"/>
          <w:highlight w:val="none"/>
        </w:rPr>
        <w:t>.磋商程序</w:t>
      </w:r>
    </w:p>
    <w:p w14:paraId="109CB985">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w:t>
      </w:r>
      <w:r>
        <w:rPr>
          <w:rFonts w:ascii="宋体" w:hAnsi="宋体" w:cs="宋体"/>
          <w:color w:val="auto"/>
          <w:kern w:val="0"/>
          <w:szCs w:val="21"/>
          <w:highlight w:val="none"/>
        </w:rPr>
        <w:t>.1</w:t>
      </w:r>
      <w:r>
        <w:rPr>
          <w:rFonts w:hint="eastAsia" w:ascii="宋体" w:hAnsi="宋体" w:cs="宋体"/>
          <w:color w:val="auto"/>
          <w:kern w:val="0"/>
          <w:szCs w:val="21"/>
          <w:highlight w:val="none"/>
        </w:rPr>
        <w:t>磋商小组</w:t>
      </w:r>
      <w:r>
        <w:rPr>
          <w:rFonts w:hint="eastAsia" w:ascii="宋体" w:hAnsi="宋体" w:cs="宋体"/>
          <w:color w:val="auto"/>
          <w:szCs w:val="21"/>
          <w:highlight w:val="none"/>
        </w:rPr>
        <w:t>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33420F24">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5D73B40E">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3.3</w:t>
      </w:r>
      <w:r>
        <w:rPr>
          <w:rFonts w:hint="eastAsia" w:ascii="宋体" w:hAnsi="宋体" w:cs="宋体"/>
          <w:color w:val="auto"/>
          <w:szCs w:val="21"/>
          <w:highlight w:val="none"/>
        </w:rPr>
        <w:t>对磋商文件作出的实质性变动是磋商文件的有效组成部分，由磋商小组及时以电子澄清函形式同时通知所有参加磋商的供应商。</w:t>
      </w:r>
    </w:p>
    <w:p w14:paraId="0B33FBF4">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3.4</w:t>
      </w:r>
      <w:r>
        <w:rPr>
          <w:rFonts w:hint="eastAsia" w:ascii="宋体" w:hAnsi="宋体" w:cs="宋体"/>
          <w:color w:val="auto"/>
          <w:szCs w:val="21"/>
          <w:highlight w:val="none"/>
        </w:rPr>
        <w:t>供应商必须按照磋商文件的变动情况和磋商小组的要求以回函的形式重新提交响应文件，并加盖电子签章。参加磋商的供应商未在规定时间内重新提交响应文件的，视同退出磋商，其响应文件按无效处理。</w:t>
      </w:r>
    </w:p>
    <w:p w14:paraId="174EF17E">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3.5</w:t>
      </w:r>
      <w:r>
        <w:rPr>
          <w:rFonts w:hint="eastAsia" w:ascii="宋体" w:hAnsi="宋体" w:cs="宋体"/>
          <w:color w:val="auto"/>
          <w:szCs w:val="21"/>
          <w:highlight w:val="none"/>
        </w:rPr>
        <w:t>磋商中，</w:t>
      </w:r>
      <w:r>
        <w:rPr>
          <w:rFonts w:hint="eastAsia" w:ascii="宋体" w:hAnsi="宋体" w:cs="宋体"/>
          <w:color w:val="auto"/>
          <w:spacing w:val="-6"/>
          <w:szCs w:val="21"/>
          <w:highlight w:val="none"/>
        </w:rPr>
        <w:t>磋商的任何一方不得透露与磋商有关的其他供应商的技术资料、价格和其他信息。</w:t>
      </w:r>
    </w:p>
    <w:p w14:paraId="6179F02E">
      <w:pPr>
        <w:widowControl/>
        <w:tabs>
          <w:tab w:val="left" w:pos="540"/>
        </w:tabs>
        <w:spacing w:line="360" w:lineRule="auto"/>
        <w:ind w:firstLine="420" w:firstLineChars="200"/>
        <w:jc w:val="left"/>
        <w:rPr>
          <w:rFonts w:hint="eastAsia" w:ascii="宋体" w:hAnsi="宋体" w:cs="宋体"/>
          <w:color w:val="auto"/>
          <w:szCs w:val="21"/>
          <w:highlight w:val="none"/>
        </w:rPr>
      </w:pPr>
      <w:r>
        <w:rPr>
          <w:rFonts w:ascii="宋体" w:hAnsi="宋体" w:cs="宋体"/>
          <w:color w:val="auto"/>
          <w:szCs w:val="21"/>
          <w:highlight w:val="none"/>
        </w:rPr>
        <w:t>3.6</w:t>
      </w:r>
      <w:r>
        <w:rPr>
          <w:rFonts w:hint="eastAsia" w:ascii="宋体" w:hAnsi="宋体" w:cs="宋体"/>
          <w:color w:val="auto"/>
          <w:szCs w:val="21"/>
          <w:highlight w:val="none"/>
        </w:rPr>
        <w:t>采购代理机构对磋商过程和重要磋商内容进行记录。</w:t>
      </w:r>
    </w:p>
    <w:p w14:paraId="19308842">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.7</w:t>
      </w:r>
      <w:r>
        <w:rPr>
          <w:color w:val="auto"/>
          <w:highlight w:val="none"/>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47719B81">
      <w:pPr>
        <w:tabs>
          <w:tab w:val="left" w:pos="2835"/>
        </w:tabs>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3.8除</w:t>
      </w:r>
      <w:r>
        <w:rPr>
          <w:color w:val="auto"/>
          <w:highlight w:val="none"/>
        </w:rPr>
        <w:t>本章第3.7条情形</w:t>
      </w:r>
      <w:r>
        <w:rPr>
          <w:rFonts w:hint="eastAsia"/>
          <w:color w:val="auto"/>
          <w:highlight w:val="none"/>
        </w:rPr>
        <w:t>外，</w:t>
      </w:r>
      <w:r>
        <w:rPr>
          <w:rFonts w:hint="eastAsia" w:ascii="宋体" w:hAnsi="宋体"/>
          <w:color w:val="auto"/>
          <w:szCs w:val="21"/>
          <w:highlight w:val="none"/>
        </w:rPr>
        <w:t>对磋商过程提交的响应文件进行有效性、完整性和响应程度审查，通过审查的合格供应商不足3家的，采购人或者采购代理机构应当重新开展采购活动。</w:t>
      </w:r>
    </w:p>
    <w:p w14:paraId="714BEEA7">
      <w:pPr>
        <w:spacing w:line="360" w:lineRule="auto"/>
        <w:ind w:firstLine="482" w:firstLineChars="200"/>
        <w:rPr>
          <w:rFonts w:hint="eastAsia" w:ascii="宋体" w:hAnsi="宋体" w:cs="宋体"/>
          <w:color w:val="auto"/>
          <w:szCs w:val="21"/>
          <w:highlight w:val="none"/>
        </w:rPr>
      </w:pPr>
      <w:r>
        <w:rPr>
          <w:rFonts w:ascii="黑体" w:hAnsi="黑体" w:eastAsia="黑体" w:cs="宋体"/>
          <w:b/>
          <w:bCs/>
          <w:color w:val="auto"/>
          <w:sz w:val="24"/>
          <w:highlight w:val="none"/>
        </w:rPr>
        <w:t>4.</w:t>
      </w:r>
      <w:r>
        <w:rPr>
          <w:rFonts w:hint="eastAsia" w:ascii="黑体" w:hAnsi="黑体" w:eastAsia="黑体" w:cs="宋体"/>
          <w:b/>
          <w:bCs/>
          <w:color w:val="auto"/>
          <w:sz w:val="24"/>
          <w:highlight w:val="none"/>
        </w:rPr>
        <w:t xml:space="preserve"> 最后报价</w:t>
      </w:r>
    </w:p>
    <w:p w14:paraId="59309E7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磋商文件能够详细列明采购标的的技术、服务要求的，磋商结束后，磋商小组应当要求所有继续参加磋商的供应商在规定时间内在广西政府采购云平台开标大厅提交最后报价，除本章第</w:t>
      </w:r>
      <w:r>
        <w:rPr>
          <w:rFonts w:ascii="宋体" w:hAnsi="宋体" w:cs="宋体"/>
          <w:color w:val="auto"/>
          <w:szCs w:val="21"/>
          <w:highlight w:val="none"/>
        </w:rPr>
        <w:t>4.3</w:t>
      </w:r>
      <w:r>
        <w:rPr>
          <w:rFonts w:hint="eastAsia" w:ascii="宋体" w:hAnsi="宋体" w:cs="宋体"/>
          <w:color w:val="auto"/>
          <w:szCs w:val="21"/>
          <w:highlight w:val="none"/>
        </w:rPr>
        <w:t>条外，提交最后报价的供应商不得少于3家，否则必须重新采购。</w:t>
      </w:r>
    </w:p>
    <w:p w14:paraId="354D37D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开标大厅提交最后报价。</w:t>
      </w:r>
    </w:p>
    <w:p w14:paraId="477F29A4">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4.3</w:t>
      </w:r>
      <w:r>
        <w:rPr>
          <w:rFonts w:hint="eastAsia" w:ascii="宋体" w:hAnsi="宋体" w:cs="宋体"/>
          <w:color w:val="auto"/>
          <w:szCs w:val="21"/>
          <w:highlight w:val="none"/>
        </w:rPr>
        <w:t xml:space="preserve"> 最后报价是供应商响应文件的有效组成部分。符合《政府采购竞争性磋商采购方式管理暂行办法》（财库〔2014〕214号）第三条第四项“市场竞争不充分的科研项目，以及需要扶持的科技成果转化项目”和</w:t>
      </w:r>
      <w:r>
        <w:rPr>
          <w:color w:val="auto"/>
          <w:highlight w:val="none"/>
        </w:rPr>
        <w:t>本章第3.7条情形的，</w:t>
      </w:r>
      <w:r>
        <w:rPr>
          <w:rFonts w:hint="eastAsia" w:ascii="宋体" w:hAnsi="宋体" w:cs="宋体"/>
          <w:color w:val="auto"/>
          <w:szCs w:val="21"/>
          <w:highlight w:val="none"/>
        </w:rPr>
        <w:t>提交最后报价的供应商可以为2家。</w:t>
      </w:r>
    </w:p>
    <w:p w14:paraId="7956ED1A">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4.4</w:t>
      </w:r>
      <w:r>
        <w:rPr>
          <w:rFonts w:hint="eastAsia" w:ascii="宋体" w:hAnsi="宋体" w:cs="宋体"/>
          <w:color w:val="auto"/>
          <w:szCs w:val="21"/>
          <w:highlight w:val="none"/>
        </w:rPr>
        <w:t>已经提交响应文件的供应商，在提交最后报价之前，可以根据磋商情况退出磋商，退出磋商的供应商的响应文件按无效响应处理。采购人、采购代理机构将退还退出磋商的供应商的保证金。</w:t>
      </w:r>
    </w:p>
    <w:p w14:paraId="7520F049">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4.5</w:t>
      </w:r>
      <w:r>
        <w:rPr>
          <w:rFonts w:hint="eastAsia" w:ascii="宋体" w:hAnsi="宋体" w:cs="宋体"/>
          <w:color w:val="auto"/>
          <w:szCs w:val="21"/>
          <w:highlight w:val="none"/>
        </w:rPr>
        <w:t>供应商未在规定时间内提交最后报价的，视同退出磋商，其响应文件按无效处理。</w:t>
      </w:r>
    </w:p>
    <w:p w14:paraId="289D0EF0">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4.6</w:t>
      </w:r>
      <w:r>
        <w:rPr>
          <w:rFonts w:hint="eastAsia" w:ascii="宋体" w:hAnsi="宋体" w:cs="宋体"/>
          <w:color w:val="auto"/>
          <w:szCs w:val="21"/>
          <w:highlight w:val="none"/>
        </w:rPr>
        <w:t>最后报价统一开启后，磋商小组对最后报价进行有效性、完整性和响应程度的审查。</w:t>
      </w:r>
    </w:p>
    <w:p w14:paraId="49B870E0">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4.7</w:t>
      </w:r>
      <w:r>
        <w:rPr>
          <w:rFonts w:hint="eastAsia" w:ascii="宋体" w:hAnsi="宋体" w:cs="宋体"/>
          <w:color w:val="auto"/>
          <w:szCs w:val="21"/>
          <w:highlight w:val="none"/>
        </w:rPr>
        <w:t>最后报价出现前后不一致的，按照本章第</w:t>
      </w:r>
      <w:r>
        <w:rPr>
          <w:rFonts w:ascii="宋体" w:hAnsi="宋体" w:cs="宋体"/>
          <w:color w:val="auto"/>
          <w:szCs w:val="21"/>
          <w:highlight w:val="none"/>
        </w:rPr>
        <w:t>2.4</w:t>
      </w:r>
      <w:r>
        <w:rPr>
          <w:rFonts w:hint="eastAsia" w:ascii="宋体" w:hAnsi="宋体" w:cs="宋体"/>
          <w:color w:val="auto"/>
          <w:szCs w:val="21"/>
          <w:highlight w:val="none"/>
        </w:rPr>
        <w:t>条的规定修正。</w:t>
      </w:r>
    </w:p>
    <w:p w14:paraId="61973499">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4.8</w:t>
      </w:r>
      <w:r>
        <w:rPr>
          <w:rFonts w:hint="eastAsia" w:ascii="宋体" w:hAnsi="宋体" w:cs="宋体"/>
          <w:color w:val="auto"/>
          <w:szCs w:val="21"/>
          <w:highlight w:val="none"/>
        </w:rPr>
        <w:t>修正后的报价出现下列情形的，按无效响应处理：</w:t>
      </w:r>
    </w:p>
    <w:p w14:paraId="638B99D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476391E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（2）经供应商确认修正后的竞标报价（包含首次报价、最后报价）超过所竞标分标规定的采购预算金额或者最高限价的（如本项目公布了最高限价）；</w:t>
      </w:r>
    </w:p>
    <w:p w14:paraId="7E22063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（3）经供应商确认修正后的竞标报价（包含首次报价、最后报价）超过分项采购预算金额或者最高限价的（如本项目公布了最高限价）。</w:t>
      </w:r>
    </w:p>
    <w:p w14:paraId="4BC74C00">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4.9</w:t>
      </w:r>
      <w:r>
        <w:rPr>
          <w:rFonts w:hint="eastAsia" w:ascii="宋体" w:hAnsi="宋体" w:cs="宋体"/>
          <w:color w:val="auto"/>
          <w:szCs w:val="21"/>
          <w:highlight w:val="none"/>
        </w:rPr>
        <w:t>经供应商确认修正后的最后报价作为评审及签订合同的依据。</w:t>
      </w:r>
    </w:p>
    <w:p w14:paraId="7F20B8B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4.10供应商出现最后报价按无效响应处理或者响应文件按无效处理时</w:t>
      </w:r>
      <w:r>
        <w:rPr>
          <w:rFonts w:hint="eastAsia" w:ascii="宋体" w:hAnsi="宋体"/>
          <w:color w:val="auto"/>
          <w:sz w:val="22"/>
          <w:szCs w:val="22"/>
          <w:highlight w:val="none"/>
        </w:rPr>
        <w:t>，磋商小组应当告知有关供应商</w:t>
      </w:r>
      <w:r>
        <w:rPr>
          <w:rFonts w:hint="eastAsia" w:ascii="宋体" w:hAnsi="宋体" w:cs="宋体"/>
          <w:color w:val="auto"/>
          <w:szCs w:val="21"/>
          <w:highlight w:val="none"/>
        </w:rPr>
        <w:t>。</w:t>
      </w:r>
    </w:p>
    <w:p w14:paraId="0AA7102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1最后报价结束后，磋商小组不得再与供应商进行任何形式的商谈。</w:t>
      </w:r>
    </w:p>
    <w:p w14:paraId="5D38B0E6">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5</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比较与评价</w:t>
      </w:r>
    </w:p>
    <w:p w14:paraId="783223F5">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评审方法：综合评分法。</w:t>
      </w:r>
    </w:p>
    <w:p w14:paraId="63F52BED">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5.2</w:t>
      </w:r>
      <w:r>
        <w:rPr>
          <w:rFonts w:hint="eastAsia" w:ascii="宋体" w:hAnsi="宋体" w:cs="宋体"/>
          <w:color w:val="auto"/>
          <w:szCs w:val="21"/>
          <w:highlight w:val="none"/>
        </w:rPr>
        <w:t>经磋商确定最终采购需求和提交最后报价的供应商后，由磋商小组采用综合评分法对提交最后报价的供应商的响应文件和最后报价进行综合评分。</w:t>
      </w:r>
    </w:p>
    <w:p w14:paraId="55E80DC1">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5.3</w:t>
      </w:r>
      <w:r>
        <w:rPr>
          <w:rFonts w:hint="eastAsia" w:ascii="宋体" w:hAnsi="宋体" w:cs="宋体"/>
          <w:color w:val="auto"/>
          <w:szCs w:val="21"/>
          <w:highlight w:val="none"/>
        </w:rPr>
        <w:t>评审时，磋商小组各成员应当独立对每个有效响应的文件进行评价、打分，然后汇总每个供应商每项评分因素的得分。</w:t>
      </w:r>
    </w:p>
    <w:p w14:paraId="6508D52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（1）磋商小组按照磋商文件中规定的评审标准计算各供应商的报价得分。项目评审过程中，不得去掉最后报价中的最高报价和最低报价。</w:t>
      </w:r>
    </w:p>
    <w:p w14:paraId="002F2D3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（2）各供应商的得分为磋商小组所有成员的有效评分的算术平均数。</w:t>
      </w:r>
    </w:p>
    <w:p w14:paraId="318BD74F">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5.4</w:t>
      </w:r>
      <w:r>
        <w:rPr>
          <w:rFonts w:hint="eastAsia" w:ascii="宋体" w:hAnsi="宋体" w:cs="宋体"/>
          <w:color w:val="auto"/>
          <w:szCs w:val="21"/>
          <w:highlight w:val="none"/>
        </w:rPr>
        <w:t>评审价为供应商的最后报价进行政策性扣除后的价格，评审价只是作为评审时使用。最终成交供应商的成交金额等于最后报价（如有修正，以确认修正后的最后报价为准）。</w:t>
      </w:r>
    </w:p>
    <w:p w14:paraId="12D9BAA2">
      <w:pPr>
        <w:spacing w:line="360" w:lineRule="auto"/>
        <w:ind w:firstLine="420" w:firstLineChars="200"/>
        <w:rPr>
          <w:rFonts w:hint="eastAsia" w:ascii="宋体" w:hAnsi="宋体"/>
          <w:color w:val="auto"/>
          <w:kern w:val="0"/>
          <w:szCs w:val="21"/>
          <w:highlight w:val="none"/>
        </w:rPr>
      </w:pPr>
      <w:r>
        <w:rPr>
          <w:rFonts w:ascii="宋体" w:hAnsi="宋体" w:cs="宋体"/>
          <w:color w:val="auto"/>
          <w:szCs w:val="21"/>
          <w:highlight w:val="none"/>
        </w:rPr>
        <w:t>5.5</w:t>
      </w:r>
      <w:r>
        <w:rPr>
          <w:rFonts w:hint="eastAsia" w:ascii="宋体" w:hAnsi="宋体" w:cs="宋体"/>
          <w:color w:val="auto"/>
          <w:szCs w:val="21"/>
          <w:highlight w:val="none"/>
        </w:rPr>
        <w:t>由磋商小组根据综合评分情况，按照评审得分由高到低顺序推荐3名以上成交候选供应商，并编写评</w:t>
      </w:r>
      <w:r>
        <w:rPr>
          <w:rFonts w:hint="eastAsia" w:ascii="宋体" w:hAnsi="宋体"/>
          <w:color w:val="auto"/>
          <w:kern w:val="0"/>
          <w:szCs w:val="21"/>
          <w:highlight w:val="none"/>
        </w:rPr>
        <w:t>审报告。符合本章第</w:t>
      </w:r>
      <w:r>
        <w:rPr>
          <w:rFonts w:ascii="宋体" w:hAnsi="宋体"/>
          <w:color w:val="auto"/>
          <w:kern w:val="0"/>
          <w:szCs w:val="21"/>
          <w:highlight w:val="none"/>
        </w:rPr>
        <w:t>4.3</w:t>
      </w:r>
      <w:r>
        <w:rPr>
          <w:rFonts w:hint="eastAsia" w:ascii="宋体" w:hAnsi="宋体"/>
          <w:color w:val="auto"/>
          <w:kern w:val="0"/>
          <w:szCs w:val="21"/>
          <w:highlight w:val="none"/>
        </w:rPr>
        <w:t>条情形的，可以推荐2家成交候选供应商。评审得分相同的，按照最后报价由低到高的顺序推荐。评审得分且最后报价相同的，按照技术指标优劣顺序推荐。</w:t>
      </w:r>
    </w:p>
    <w:p w14:paraId="06EEBA0B">
      <w:pPr>
        <w:spacing w:line="360" w:lineRule="auto"/>
        <w:ind w:firstLine="420" w:firstLineChars="200"/>
        <w:rPr>
          <w:rFonts w:hint="eastAsia" w:ascii="宋体" w:hAnsi="宋体" w:cs="宋体"/>
          <w:color w:val="auto"/>
          <w:szCs w:val="21"/>
          <w:highlight w:val="none"/>
        </w:rPr>
      </w:pPr>
      <w:r>
        <w:rPr>
          <w:rFonts w:ascii="宋体" w:hAnsi="宋体"/>
          <w:color w:val="auto"/>
          <w:kern w:val="0"/>
          <w:szCs w:val="21"/>
          <w:highlight w:val="none"/>
        </w:rPr>
        <w:t>5.6</w:t>
      </w:r>
      <w:r>
        <w:rPr>
          <w:rFonts w:hint="eastAsia" w:ascii="宋体" w:hAnsi="宋体"/>
          <w:color w:val="auto"/>
          <w:kern w:val="0"/>
          <w:szCs w:val="21"/>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684A7B6">
      <w:pPr>
        <w:pStyle w:val="4"/>
        <w:jc w:val="center"/>
        <w:rPr>
          <w:color w:val="auto"/>
          <w:highlight w:val="none"/>
        </w:rPr>
      </w:pPr>
      <w:r>
        <w:rPr>
          <w:rFonts w:hint="eastAsia"/>
          <w:color w:val="auto"/>
          <w:highlight w:val="none"/>
        </w:rPr>
        <w:t>二、评审标准</w:t>
      </w:r>
    </w:p>
    <w:p w14:paraId="7066448C">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6</w:t>
      </w:r>
      <w:r>
        <w:rPr>
          <w:rFonts w:ascii="宋体" w:hAnsi="宋体"/>
          <w:bCs/>
          <w:color w:val="auto"/>
          <w:szCs w:val="21"/>
          <w:highlight w:val="none"/>
        </w:rPr>
        <w:t>.</w:t>
      </w:r>
      <w:r>
        <w:rPr>
          <w:rFonts w:hint="eastAsia" w:ascii="宋体" w:hAnsi="宋体"/>
          <w:bCs/>
          <w:color w:val="auto"/>
          <w:szCs w:val="21"/>
          <w:highlight w:val="none"/>
        </w:rPr>
        <w:t>评审依据：磋商小组将以磋商响应文件为评审依据，对供应商的报价、技术、商务等方面内容按百分制打分。（计分方法按四舍五入取至百分位）</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9"/>
        <w:gridCol w:w="1033"/>
        <w:gridCol w:w="6092"/>
        <w:gridCol w:w="1271"/>
      </w:tblGrid>
      <w:tr w14:paraId="2E664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Pr>
          <w:p w14:paraId="712CA3EF">
            <w:pPr>
              <w:keepNext w:val="0"/>
              <w:keepLines w:val="0"/>
              <w:widowControl/>
              <w:suppressLineNumbers w:val="0"/>
              <w:jc w:val="center"/>
              <w:rPr>
                <w:rFonts w:hint="default"/>
                <w:color w:val="auto"/>
                <w:highlight w:val="none"/>
                <w:vertAlign w:val="baseline"/>
                <w:lang w:val="en-US"/>
              </w:rPr>
            </w:pPr>
            <w:r>
              <w:rPr>
                <w:rFonts w:hint="eastAsia" w:ascii="宋体" w:hAnsi="宋体" w:eastAsia="宋体" w:cs="宋体"/>
                <w:b/>
                <w:bCs/>
                <w:color w:val="auto"/>
                <w:kern w:val="0"/>
                <w:sz w:val="24"/>
                <w:szCs w:val="24"/>
                <w:highlight w:val="none"/>
                <w:lang w:val="en-US" w:eastAsia="zh-CN" w:bidi="ar"/>
              </w:rPr>
              <w:t>序</w:t>
            </w:r>
            <w:r>
              <w:rPr>
                <w:rFonts w:hint="eastAsia" w:ascii="宋体" w:hAnsi="宋体" w:cs="宋体"/>
                <w:b/>
                <w:bCs/>
                <w:color w:val="auto"/>
                <w:kern w:val="0"/>
                <w:sz w:val="24"/>
                <w:szCs w:val="24"/>
                <w:highlight w:val="none"/>
                <w:lang w:val="en-US" w:eastAsia="zh-CN" w:bidi="ar"/>
              </w:rPr>
              <w:t>号</w:t>
            </w:r>
          </w:p>
        </w:tc>
        <w:tc>
          <w:tcPr>
            <w:tcW w:w="1033" w:type="dxa"/>
          </w:tcPr>
          <w:p w14:paraId="127918A2">
            <w:pPr>
              <w:keepNext w:val="0"/>
              <w:keepLines w:val="0"/>
              <w:widowControl/>
              <w:suppressLineNumbers w:val="0"/>
              <w:jc w:val="center"/>
              <w:rPr>
                <w:rFonts w:hint="eastAsia"/>
                <w:color w:val="auto"/>
                <w:highlight w:val="none"/>
                <w:vertAlign w:val="baseline"/>
              </w:rPr>
            </w:pPr>
            <w:r>
              <w:rPr>
                <w:rFonts w:hint="eastAsia" w:ascii="宋体" w:hAnsi="宋体" w:eastAsia="宋体" w:cs="宋体"/>
                <w:b/>
                <w:bCs/>
                <w:color w:val="auto"/>
                <w:kern w:val="0"/>
                <w:sz w:val="24"/>
                <w:szCs w:val="24"/>
                <w:highlight w:val="none"/>
                <w:lang w:val="en-US" w:eastAsia="zh-CN" w:bidi="ar"/>
              </w:rPr>
              <w:t>评审因素</w:t>
            </w:r>
          </w:p>
        </w:tc>
        <w:tc>
          <w:tcPr>
            <w:tcW w:w="6092" w:type="dxa"/>
          </w:tcPr>
          <w:p w14:paraId="28C2B5CF">
            <w:pPr>
              <w:keepNext w:val="0"/>
              <w:keepLines w:val="0"/>
              <w:widowControl/>
              <w:suppressLineNumbers w:val="0"/>
              <w:jc w:val="center"/>
              <w:rPr>
                <w:rFonts w:hint="eastAsia"/>
                <w:color w:val="auto"/>
                <w:highlight w:val="none"/>
                <w:vertAlign w:val="baseline"/>
              </w:rPr>
            </w:pPr>
            <w:r>
              <w:rPr>
                <w:rFonts w:hint="eastAsia" w:ascii="宋体" w:hAnsi="宋体" w:eastAsia="宋体" w:cs="宋体"/>
                <w:b/>
                <w:bCs/>
                <w:color w:val="auto"/>
                <w:kern w:val="0"/>
                <w:sz w:val="24"/>
                <w:szCs w:val="24"/>
                <w:highlight w:val="none"/>
                <w:lang w:val="en-US" w:eastAsia="zh-CN" w:bidi="ar"/>
              </w:rPr>
              <w:t>评审因素具体内容</w:t>
            </w:r>
          </w:p>
        </w:tc>
        <w:tc>
          <w:tcPr>
            <w:tcW w:w="1271" w:type="dxa"/>
          </w:tcPr>
          <w:p w14:paraId="39D445E6">
            <w:pPr>
              <w:keepNext w:val="0"/>
              <w:keepLines w:val="0"/>
              <w:widowControl/>
              <w:suppressLineNumbers w:val="0"/>
              <w:jc w:val="center"/>
              <w:rPr>
                <w:rFonts w:hint="eastAsia"/>
                <w:color w:val="auto"/>
                <w:highlight w:val="none"/>
                <w:vertAlign w:val="baseline"/>
              </w:rPr>
            </w:pPr>
            <w:r>
              <w:rPr>
                <w:rFonts w:hint="eastAsia" w:ascii="宋体" w:hAnsi="宋体" w:eastAsia="宋体" w:cs="宋体"/>
                <w:b/>
                <w:bCs/>
                <w:color w:val="auto"/>
                <w:kern w:val="0"/>
                <w:sz w:val="24"/>
                <w:szCs w:val="24"/>
                <w:highlight w:val="none"/>
                <w:lang w:val="en-US" w:eastAsia="zh-CN" w:bidi="ar"/>
              </w:rPr>
              <w:t>分值</w:t>
            </w:r>
          </w:p>
        </w:tc>
      </w:tr>
      <w:tr w14:paraId="76F3E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vAlign w:val="center"/>
          </w:tcPr>
          <w:p w14:paraId="376F7D8B">
            <w:pPr>
              <w:pStyle w:val="25"/>
              <w:jc w:val="center"/>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1</w:t>
            </w:r>
          </w:p>
        </w:tc>
        <w:tc>
          <w:tcPr>
            <w:tcW w:w="1033" w:type="dxa"/>
            <w:vAlign w:val="center"/>
          </w:tcPr>
          <w:p w14:paraId="446E5A07">
            <w:pPr>
              <w:pStyle w:val="25"/>
              <w:jc w:val="center"/>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报价分</w:t>
            </w:r>
          </w:p>
        </w:tc>
        <w:tc>
          <w:tcPr>
            <w:tcW w:w="6092" w:type="dxa"/>
          </w:tcPr>
          <w:p w14:paraId="3442C631">
            <w:pPr>
              <w:pStyle w:val="25"/>
              <w:spacing w:line="360" w:lineRule="auto"/>
              <w:jc w:val="left"/>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一、报价分（满分10分）</w:t>
            </w:r>
          </w:p>
          <w:p w14:paraId="34FCBC0D">
            <w:pPr>
              <w:pStyle w:val="25"/>
              <w:spacing w:line="360" w:lineRule="auto"/>
              <w:jc w:val="left"/>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1.评审报价为供应商的最后报价进行政策性扣除后的价格，评审报价只是作为评审时使用。最终成交供应商的成交金额等于最后报价（如有修正，以确认修正后的最后报价为准）。</w:t>
            </w:r>
          </w:p>
          <w:p w14:paraId="30C474C4">
            <w:pPr>
              <w:pStyle w:val="25"/>
              <w:spacing w:line="360" w:lineRule="auto"/>
              <w:jc w:val="left"/>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2.按照《政府采购促进中小企业发展管理办法》（财库〔2020〕46号）及《广西壮族自治区财政厅关于进一步发挥政府采购政策功能促进企业发展的通知》（桂财采〔2022〕30号）的规定，专门面向中小企业采购的项目或者采购包，不再执行价格评审优惠的扶持政策，即评审报价＝最后报价。</w:t>
            </w:r>
          </w:p>
          <w:p w14:paraId="5B395A54">
            <w:pPr>
              <w:pStyle w:val="25"/>
              <w:spacing w:line="360" w:lineRule="auto"/>
              <w:jc w:val="left"/>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3.报价分采用低价优先法计算，满足磋商文件要求且评审报价最低的有效供应商的评标价为评标基准价，其报价分为满分10分。</w:t>
            </w:r>
          </w:p>
          <w:p w14:paraId="7B93A8EC">
            <w:pPr>
              <w:pStyle w:val="25"/>
              <w:spacing w:line="360" w:lineRule="auto"/>
              <w:jc w:val="left"/>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4.价格分计算公式：</w:t>
            </w:r>
          </w:p>
          <w:p w14:paraId="3FB1E8D3">
            <w:pPr>
              <w:pStyle w:val="25"/>
              <w:spacing w:line="360" w:lineRule="auto"/>
              <w:jc w:val="left"/>
              <w:rPr>
                <w:rFonts w:hint="eastAsia"/>
                <w:color w:val="auto"/>
                <w:highlight w:val="none"/>
                <w:vertAlign w:val="baseline"/>
              </w:rPr>
            </w:pPr>
            <w:r>
              <w:rPr>
                <w:rFonts w:hint="eastAsia" w:asciiTheme="minorEastAsia" w:hAnsiTheme="minorEastAsia" w:eastAsiaTheme="minorEastAsia" w:cstheme="minorEastAsia"/>
                <w:color w:val="auto"/>
                <w:sz w:val="24"/>
                <w:szCs w:val="24"/>
                <w:highlight w:val="none"/>
                <w:vertAlign w:val="baseline"/>
                <w:lang w:val="en-US" w:eastAsia="zh-CN"/>
              </w:rPr>
              <w:t>报价得分=（评标基准价/某供应商评审报价）×10分。</w:t>
            </w:r>
          </w:p>
        </w:tc>
        <w:tc>
          <w:tcPr>
            <w:tcW w:w="1271" w:type="dxa"/>
            <w:vAlign w:val="center"/>
          </w:tcPr>
          <w:p w14:paraId="69A0AF20">
            <w:pPr>
              <w:pStyle w:val="25"/>
              <w:jc w:val="center"/>
              <w:rPr>
                <w:rFonts w:hint="default" w:eastAsia="宋体"/>
                <w:color w:val="auto"/>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10分</w:t>
            </w:r>
          </w:p>
        </w:tc>
      </w:tr>
      <w:tr w14:paraId="4AB30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89" w:type="dxa"/>
          </w:tcPr>
          <w:p w14:paraId="2F45E0FC">
            <w:pPr>
              <w:pStyle w:val="25"/>
              <w:jc w:val="center"/>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2</w:t>
            </w:r>
          </w:p>
        </w:tc>
        <w:tc>
          <w:tcPr>
            <w:tcW w:w="1033" w:type="dxa"/>
          </w:tcPr>
          <w:p w14:paraId="35EB0263">
            <w:pPr>
              <w:pStyle w:val="25"/>
              <w:jc w:val="center"/>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技术分（满分78分）</w:t>
            </w:r>
          </w:p>
        </w:tc>
        <w:tc>
          <w:tcPr>
            <w:tcW w:w="7363" w:type="dxa"/>
            <w:gridSpan w:val="2"/>
            <w:vAlign w:val="center"/>
          </w:tcPr>
          <w:p w14:paraId="76D6100D">
            <w:pPr>
              <w:pStyle w:val="25"/>
              <w:jc w:val="center"/>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评审因素</w:t>
            </w:r>
          </w:p>
        </w:tc>
      </w:tr>
      <w:tr w14:paraId="56071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vAlign w:val="center"/>
          </w:tcPr>
          <w:p w14:paraId="4637E1FA">
            <w:pPr>
              <w:pStyle w:val="25"/>
              <w:spacing w:line="360" w:lineRule="auto"/>
              <w:jc w:val="center"/>
              <w:rPr>
                <w:rFonts w:hint="default"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2.1</w:t>
            </w:r>
          </w:p>
        </w:tc>
        <w:tc>
          <w:tcPr>
            <w:tcW w:w="1033" w:type="dxa"/>
            <w:vAlign w:val="center"/>
          </w:tcPr>
          <w:p w14:paraId="403D94CC">
            <w:pPr>
              <w:pStyle w:val="25"/>
              <w:spacing w:line="360" w:lineRule="auto"/>
              <w:jc w:val="center"/>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实施方案分</w:t>
            </w:r>
          </w:p>
        </w:tc>
        <w:tc>
          <w:tcPr>
            <w:tcW w:w="6092" w:type="dxa"/>
          </w:tcPr>
          <w:p w14:paraId="34E78203">
            <w:pPr>
              <w:pStyle w:val="25"/>
              <w:spacing w:line="360" w:lineRule="auto"/>
              <w:jc w:val="left"/>
              <w:rPr>
                <w:rFonts w:hint="default"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磋商小组各成员根据各磋商供应商提供的实施方案内容进行可行性、合理性、实用性等方面的比较，确定磋商供应商档次并打分。不提供或达不到一档的不得分。</w:t>
            </w:r>
          </w:p>
          <w:p w14:paraId="08E2D7E3">
            <w:pPr>
              <w:pStyle w:val="25"/>
              <w:spacing w:line="360" w:lineRule="auto"/>
              <w:jc w:val="left"/>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一档（7分）：提供实施方案，有可行的实施措施、项目执行保障措施，但对项目实施方案叙述简单和较程序化，对采购需求的满足有遗漏，不能针对方案有较为具体的实施措施，主体比较模糊；</w:t>
            </w:r>
          </w:p>
          <w:p w14:paraId="5AF83BEA">
            <w:pPr>
              <w:pStyle w:val="25"/>
              <w:spacing w:line="360" w:lineRule="auto"/>
              <w:jc w:val="left"/>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二档（14分）：满足一档要求，提供实施方案，对本项目的实施方案有可行的保障计划、实施进度计划，实施服务保障措施、项目质量管理体系，能够保障项目进度及质量要求；</w:t>
            </w:r>
          </w:p>
          <w:p w14:paraId="7E7E25C6">
            <w:pPr>
              <w:pStyle w:val="25"/>
              <w:spacing w:line="360" w:lineRule="auto"/>
              <w:jc w:val="left"/>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三档（21分）：满足二档要求，提供实施方案，保障措施的方法和实现方式考虑较完整，有明确的进度和管理措施，项目实施方案描述详细且较为全面，具有详细而合理的项目组织机构，对方案有较为具体的实施措施且具有一定的先进性且考虑周全，主体明确，方案合理可行；</w:t>
            </w:r>
          </w:p>
          <w:p w14:paraId="7DF3990B">
            <w:pPr>
              <w:pStyle w:val="25"/>
              <w:spacing w:line="360" w:lineRule="auto"/>
              <w:jc w:val="left"/>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四档（28分）：满足三档要求，提供实施方案，保障措施的方法和实现方式考虑周全完整，有明确的进度和管理措施，项目实施方案详实，具有很强的针对性以及一定的创新性。方案具有详细而合理的项目组织机构，指明重点难点及解决办法，确保项目在计划时间内完成；且能够针对本项目提出合理化建议，合理化建议能够考虑到项目实施实际，适用项目工作所需，有优于采购需求服务项目的有利服务方案和措施且能有力保证按承诺完成工作。</w:t>
            </w:r>
          </w:p>
        </w:tc>
        <w:tc>
          <w:tcPr>
            <w:tcW w:w="1271" w:type="dxa"/>
            <w:vAlign w:val="center"/>
          </w:tcPr>
          <w:p w14:paraId="520E177E">
            <w:pPr>
              <w:pStyle w:val="25"/>
              <w:spacing w:line="360" w:lineRule="auto"/>
              <w:jc w:val="center"/>
              <w:rPr>
                <w:rFonts w:hint="default"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28分</w:t>
            </w:r>
          </w:p>
        </w:tc>
      </w:tr>
      <w:tr w14:paraId="26FA9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vAlign w:val="center"/>
          </w:tcPr>
          <w:p w14:paraId="79FBC94A">
            <w:pPr>
              <w:pStyle w:val="25"/>
              <w:spacing w:line="360" w:lineRule="auto"/>
              <w:jc w:val="center"/>
              <w:rPr>
                <w:rFonts w:hint="default"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2.2</w:t>
            </w:r>
          </w:p>
        </w:tc>
        <w:tc>
          <w:tcPr>
            <w:tcW w:w="1033" w:type="dxa"/>
            <w:vAlign w:val="center"/>
          </w:tcPr>
          <w:p w14:paraId="7EFC4E4D">
            <w:pPr>
              <w:pStyle w:val="25"/>
              <w:spacing w:line="360" w:lineRule="auto"/>
              <w:jc w:val="center"/>
              <w:rPr>
                <w:rFonts w:hint="default"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团队与履约能力分</w:t>
            </w:r>
          </w:p>
        </w:tc>
        <w:tc>
          <w:tcPr>
            <w:tcW w:w="6092" w:type="dxa"/>
          </w:tcPr>
          <w:p w14:paraId="4A0438A6">
            <w:pPr>
              <w:pStyle w:val="25"/>
              <w:spacing w:line="360" w:lineRule="auto"/>
              <w:jc w:val="left"/>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由磋商小组根据各磋商供应商提供的项目团队与履约能力内容进行评定，进行独立评分，不提供方案不得分。</w:t>
            </w:r>
          </w:p>
          <w:p w14:paraId="7CF18BA3">
            <w:pPr>
              <w:pStyle w:val="25"/>
              <w:spacing w:line="360" w:lineRule="auto"/>
              <w:jc w:val="left"/>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一档（5分）团队人员及设备设施配备基本齐全，拟投入实施团队人员数量≥10人，基本满足项目实施需求。建立相关团队人员运营管理制度性文件，规章制度不够健全。</w:t>
            </w:r>
          </w:p>
          <w:p w14:paraId="0970F412">
            <w:pPr>
              <w:pStyle w:val="25"/>
              <w:spacing w:line="360" w:lineRule="auto"/>
              <w:jc w:val="left"/>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二档（10分）团队人员及设备设施配备齐全，拟投入实施团队人员数量≥15人，满足项目实施需求。建立项目团队人员管理制度性文件，规章制度基本健全。</w:t>
            </w:r>
          </w:p>
          <w:p w14:paraId="44BABF88">
            <w:pPr>
              <w:pStyle w:val="25"/>
              <w:spacing w:line="360" w:lineRule="auto"/>
              <w:jc w:val="left"/>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三档（15分）团队人员配备合理、岗位分工明确、人员、设备设施配备齐全充足，较好满足项目实施需求。服务团队专业、经验丰富，参与人员及技术力量投入充足，拟投入实施团队人员数量≥30人，建立相关项目人力资源管理、应急突发事件管理等运营管理制度性文件，规章制度完善，项目运作机制成熟、科学，有针对性，逻辑清晰、切合实际。</w:t>
            </w:r>
          </w:p>
          <w:p w14:paraId="38A73C9A">
            <w:pPr>
              <w:pStyle w:val="25"/>
              <w:spacing w:line="360" w:lineRule="auto"/>
              <w:jc w:val="left"/>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注：投入人员须提供团队成员构成花名册、身份证，截标前半年内任意一个月人员参保证明或劳动合同证明。否则不予计分。</w:t>
            </w:r>
          </w:p>
        </w:tc>
        <w:tc>
          <w:tcPr>
            <w:tcW w:w="1271" w:type="dxa"/>
            <w:vAlign w:val="center"/>
          </w:tcPr>
          <w:p w14:paraId="50A6FF08">
            <w:pPr>
              <w:pStyle w:val="25"/>
              <w:spacing w:line="360" w:lineRule="auto"/>
              <w:jc w:val="center"/>
              <w:rPr>
                <w:rFonts w:hint="default"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15分</w:t>
            </w:r>
          </w:p>
        </w:tc>
      </w:tr>
      <w:tr w14:paraId="42EB6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vAlign w:val="center"/>
          </w:tcPr>
          <w:p w14:paraId="187308B6">
            <w:pPr>
              <w:pStyle w:val="25"/>
              <w:spacing w:line="360" w:lineRule="auto"/>
              <w:jc w:val="center"/>
              <w:rPr>
                <w:rFonts w:hint="default"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2.3</w:t>
            </w:r>
          </w:p>
        </w:tc>
        <w:tc>
          <w:tcPr>
            <w:tcW w:w="1033" w:type="dxa"/>
            <w:vAlign w:val="center"/>
          </w:tcPr>
          <w:p w14:paraId="1068AD38">
            <w:pPr>
              <w:pStyle w:val="25"/>
              <w:spacing w:line="360" w:lineRule="auto"/>
              <w:jc w:val="center"/>
              <w:rPr>
                <w:rFonts w:hint="default"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售后服务方案分</w:t>
            </w:r>
          </w:p>
        </w:tc>
        <w:tc>
          <w:tcPr>
            <w:tcW w:w="6092" w:type="dxa"/>
          </w:tcPr>
          <w:p w14:paraId="5659DAB2">
            <w:pPr>
              <w:pStyle w:val="25"/>
              <w:spacing w:line="360" w:lineRule="auto"/>
              <w:jc w:val="left"/>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由磋商小组各成员根据各磋商供应商提供的本项目“售后服务方案”（含①具体方案、②服务响应承诺及具体措施、③应急处理问题能力、④承诺在后续服务中积极响应并配合采购人相关工作）的响应情况及合理性、针对性、可行性等方面，确定磋商供应商档次并独立评分。</w:t>
            </w:r>
          </w:p>
          <w:p w14:paraId="70BB4076">
            <w:pPr>
              <w:pStyle w:val="25"/>
              <w:spacing w:line="360" w:lineRule="auto"/>
              <w:jc w:val="left"/>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一档（5分）：售后服务方案内容有2项表述清晰可行，满足采购文件要求且相互间略有逻辑偏差的。</w:t>
            </w:r>
          </w:p>
          <w:p w14:paraId="36E3727B">
            <w:pPr>
              <w:pStyle w:val="25"/>
              <w:spacing w:line="360" w:lineRule="auto"/>
              <w:jc w:val="left"/>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二档（10分）：满足一档要求，售后服务方案内容有3项表述清晰可行，提出了具体服务措施，能满足本项目需求的服务体系、服务内容、故障解决方案、响应时间等内容，有应急预案，响应机制较完善；满足采购文件要求且相互间无逻辑偏差的。</w:t>
            </w:r>
          </w:p>
          <w:p w14:paraId="5877ED55">
            <w:pPr>
              <w:pStyle w:val="25"/>
              <w:spacing w:line="360" w:lineRule="auto"/>
              <w:jc w:val="left"/>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三档（15分）：满足二档要求，售后服务方案内容有4项表述清晰可行，满足采购文件要求且相互间无逻辑偏差的；具体服务措施，能满足本项目需求的服务体系、服务内容、故障解决方案、响应时间等内容，有应急预案，响应机制绝大部分完善。</w:t>
            </w:r>
          </w:p>
          <w:p w14:paraId="191159EB">
            <w:pPr>
              <w:pStyle w:val="25"/>
              <w:spacing w:line="360" w:lineRule="auto"/>
              <w:jc w:val="left"/>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四档（20分）：满足三档要求，售后服务方案内容有5项或以上表述清晰可行，有详细的售后服务方案、针对本项目提供全面且详细的服务方案内容和措施，有到场解决时间及解决措施等。提供其他增值服务承诺或其他实质性优惠措施及保障，且涵盖面广，能全面满足本项目需求的服务体系、服务内容、故障解决方案、响应时间等内容；满足采购文件要求且相互间无逻辑偏差的。</w:t>
            </w:r>
          </w:p>
        </w:tc>
        <w:tc>
          <w:tcPr>
            <w:tcW w:w="1271" w:type="dxa"/>
            <w:vAlign w:val="center"/>
          </w:tcPr>
          <w:p w14:paraId="2649B0E3">
            <w:pPr>
              <w:pStyle w:val="25"/>
              <w:spacing w:line="360" w:lineRule="auto"/>
              <w:jc w:val="center"/>
              <w:rPr>
                <w:rFonts w:hint="default"/>
                <w:color w:val="auto"/>
                <w:highlight w:val="no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20分</w:t>
            </w:r>
          </w:p>
        </w:tc>
      </w:tr>
      <w:tr w14:paraId="6A4DA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shd w:val="clear" w:color="auto" w:fill="auto"/>
            <w:vAlign w:val="center"/>
          </w:tcPr>
          <w:p w14:paraId="47F2207E">
            <w:pPr>
              <w:pStyle w:val="25"/>
              <w:spacing w:line="360" w:lineRule="auto"/>
              <w:jc w:val="center"/>
              <w:rPr>
                <w:rFonts w:hint="eastAsia" w:asciiTheme="minorEastAsia" w:hAnsiTheme="minorEastAsia" w:eastAsiaTheme="minorEastAsia" w:cstheme="minorEastAsia"/>
                <w:color w:val="auto"/>
                <w:kern w:val="0"/>
                <w:sz w:val="24"/>
                <w:szCs w:val="24"/>
                <w:highlight w:val="none"/>
                <w:vertAlign w:val="baseline"/>
                <w:lang w:val="en-US" w:eastAsia="zh-CN" w:bidi="ar-SA"/>
              </w:rPr>
            </w:pPr>
            <w:r>
              <w:rPr>
                <w:rFonts w:hint="eastAsia" w:asciiTheme="minorEastAsia" w:hAnsiTheme="minorEastAsia" w:eastAsiaTheme="minorEastAsia" w:cstheme="minorEastAsia"/>
                <w:color w:val="auto"/>
                <w:sz w:val="24"/>
                <w:szCs w:val="24"/>
                <w:highlight w:val="none"/>
                <w:vertAlign w:val="baseline"/>
                <w:lang w:val="en-US" w:eastAsia="zh-CN"/>
              </w:rPr>
              <w:t>2.4</w:t>
            </w:r>
          </w:p>
        </w:tc>
        <w:tc>
          <w:tcPr>
            <w:tcW w:w="1033" w:type="dxa"/>
            <w:shd w:val="clear" w:color="auto" w:fill="auto"/>
            <w:vAlign w:val="center"/>
          </w:tcPr>
          <w:p w14:paraId="3057620E">
            <w:pPr>
              <w:pStyle w:val="25"/>
              <w:spacing w:line="360" w:lineRule="auto"/>
              <w:jc w:val="center"/>
              <w:rPr>
                <w:rFonts w:hint="eastAsia" w:eastAsia="宋体" w:asciiTheme="minorEastAsia" w:hAnsiTheme="minorEastAsia" w:cstheme="minorEastAsia"/>
                <w:color w:val="auto"/>
                <w:kern w:val="0"/>
                <w:sz w:val="24"/>
                <w:szCs w:val="24"/>
                <w:highlight w:val="none"/>
                <w:vertAlign w:val="baseline"/>
                <w:lang w:val="en-US" w:eastAsia="zh-CN" w:bidi="ar-SA"/>
              </w:rPr>
            </w:pPr>
            <w:r>
              <w:rPr>
                <w:rFonts w:hint="eastAsia" w:asciiTheme="minorEastAsia" w:hAnsiTheme="minorEastAsia" w:eastAsiaTheme="minorEastAsia" w:cstheme="minorEastAsia"/>
                <w:color w:val="auto"/>
                <w:sz w:val="24"/>
                <w:szCs w:val="24"/>
                <w:highlight w:val="none"/>
                <w:vertAlign w:val="baseline"/>
                <w:lang w:val="en-US" w:eastAsia="zh-CN"/>
              </w:rPr>
              <w:t>人员配置分</w:t>
            </w:r>
          </w:p>
        </w:tc>
        <w:tc>
          <w:tcPr>
            <w:tcW w:w="6092" w:type="dxa"/>
            <w:shd w:val="clear" w:color="auto" w:fill="auto"/>
            <w:vAlign w:val="top"/>
          </w:tcPr>
          <w:p w14:paraId="74156913">
            <w:pPr>
              <w:pStyle w:val="25"/>
              <w:spacing w:line="360" w:lineRule="auto"/>
              <w:jc w:val="left"/>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1.项目团队成员中，持有二级企业人力资源管理师或中级人力资源管理师证书的，每个证书得3分，满分6分；持有三级企业人力资源管理师或初级人力资源管理师证书的，每个证书得1.5分，满分3分；持有劳动关系协调员或职业指导师证书的，每个证书得1分，满分2分；无上述证书的不得分。本项最高得10分。</w:t>
            </w:r>
          </w:p>
          <w:p w14:paraId="59D16B6F">
            <w:pPr>
              <w:pStyle w:val="25"/>
              <w:spacing w:line="360" w:lineRule="auto"/>
              <w:jc w:val="left"/>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2.核心管理团队，需配备本科或以上、从事人力资源服务相关工作3年或以上（不同单位工作年限可累计计算）且现工作单位为供应商本单位；或具有大专（或以上）学历、从事人力资源服务相关工作5年或以上（不同单位工作年限可累计计算）且现工作单位为供应商本单位，每配备1人得1分，最高得5分。</w:t>
            </w:r>
          </w:p>
          <w:p w14:paraId="2B9FEFF1">
            <w:pPr>
              <w:pStyle w:val="25"/>
              <w:spacing w:line="360" w:lineRule="auto"/>
              <w:jc w:val="left"/>
              <w:rPr>
                <w:rFonts w:hint="eastAsia" w:asciiTheme="minorEastAsia" w:hAnsiTheme="minorEastAsia" w:eastAsiaTheme="minorEastAsia" w:cstheme="minorEastAsia"/>
                <w:color w:val="auto"/>
                <w:kern w:val="0"/>
                <w:sz w:val="24"/>
                <w:szCs w:val="24"/>
                <w:highlight w:val="none"/>
                <w:vertAlign w:val="baseline"/>
                <w:lang w:val="en-US" w:eastAsia="zh-CN" w:bidi="ar-SA"/>
              </w:rPr>
            </w:pPr>
            <w:r>
              <w:rPr>
                <w:rFonts w:hint="eastAsia" w:asciiTheme="minorEastAsia" w:hAnsiTheme="minorEastAsia" w:eastAsiaTheme="minorEastAsia" w:cstheme="minorEastAsia"/>
                <w:color w:val="auto"/>
                <w:sz w:val="24"/>
                <w:szCs w:val="24"/>
                <w:highlight w:val="none"/>
                <w:vertAlign w:val="baseline"/>
                <w:lang w:val="en-US" w:eastAsia="zh-CN"/>
              </w:rPr>
              <w:t>注：投入人员须提供团队成员构成花名册、身份证，截标前半年内任意一个月人员参保证明或劳动合同证明。否则不予计分。</w:t>
            </w:r>
          </w:p>
        </w:tc>
        <w:tc>
          <w:tcPr>
            <w:tcW w:w="1271" w:type="dxa"/>
            <w:shd w:val="clear" w:color="auto" w:fill="auto"/>
            <w:vAlign w:val="center"/>
          </w:tcPr>
          <w:p w14:paraId="591346CC">
            <w:pPr>
              <w:pStyle w:val="25"/>
              <w:spacing w:line="360" w:lineRule="auto"/>
              <w:jc w:val="center"/>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15分</w:t>
            </w:r>
          </w:p>
          <w:p w14:paraId="72122557">
            <w:pPr>
              <w:rPr>
                <w:rFonts w:hint="eastAsia"/>
                <w:color w:val="auto"/>
                <w:highlight w:val="none"/>
                <w:lang w:val="en-US" w:eastAsia="zh-CN"/>
              </w:rPr>
            </w:pPr>
            <w:r>
              <w:rPr>
                <w:rFonts w:hint="eastAsia"/>
                <w:color w:val="auto"/>
                <w:highlight w:val="none"/>
                <w:lang w:val="en-US" w:eastAsia="zh-CN"/>
              </w:rPr>
              <w:t>（客观分）</w:t>
            </w:r>
          </w:p>
        </w:tc>
      </w:tr>
      <w:tr w14:paraId="5039C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689" w:type="dxa"/>
          </w:tcPr>
          <w:p w14:paraId="72F89E86">
            <w:pPr>
              <w:pStyle w:val="25"/>
              <w:rPr>
                <w:rFonts w:hint="default"/>
                <w:color w:val="auto"/>
                <w:highlight w:val="none"/>
                <w:vertAlign w:val="baseline"/>
                <w:lang w:val="en-US" w:eastAsia="zh-CN"/>
              </w:rPr>
            </w:pPr>
            <w:r>
              <w:rPr>
                <w:rFonts w:hint="eastAsia" w:ascii="宋体" w:hAnsi="宋体" w:eastAsia="宋体" w:cs="宋体"/>
                <w:b/>
                <w:bCs/>
                <w:color w:val="auto"/>
                <w:kern w:val="0"/>
                <w:sz w:val="24"/>
                <w:szCs w:val="24"/>
                <w:highlight w:val="none"/>
                <w:lang w:val="en-US" w:eastAsia="zh-CN" w:bidi="ar"/>
              </w:rPr>
              <w:t>3</w:t>
            </w:r>
          </w:p>
        </w:tc>
        <w:tc>
          <w:tcPr>
            <w:tcW w:w="1033" w:type="dxa"/>
            <w:vAlign w:val="top"/>
          </w:tcPr>
          <w:p w14:paraId="77C01939">
            <w:pPr>
              <w:keepNext w:val="0"/>
              <w:keepLines w:val="0"/>
              <w:widowControl/>
              <w:suppressLineNumbers w:val="0"/>
              <w:jc w:val="center"/>
              <w:rPr>
                <w:rFonts w:hint="eastAsia" w:ascii="Times New Roman" w:hAnsi="Times New Roman" w:eastAsia="宋体" w:cs="Times New Roman"/>
                <w:color w:val="auto"/>
                <w:kern w:val="0"/>
                <w:sz w:val="21"/>
                <w:szCs w:val="21"/>
                <w:highlight w:val="none"/>
                <w:lang w:val="en-US" w:eastAsia="zh-CN" w:bidi="ar-SA"/>
              </w:rPr>
            </w:pPr>
            <w:r>
              <w:rPr>
                <w:rFonts w:hint="eastAsia" w:ascii="宋体" w:hAnsi="宋体" w:cs="宋体"/>
                <w:b/>
                <w:bCs/>
                <w:color w:val="auto"/>
                <w:kern w:val="0"/>
                <w:sz w:val="24"/>
                <w:szCs w:val="24"/>
                <w:highlight w:val="none"/>
                <w:lang w:val="en-US" w:eastAsia="zh-CN" w:bidi="ar"/>
              </w:rPr>
              <w:t>商务分</w:t>
            </w:r>
            <w:r>
              <w:rPr>
                <w:rFonts w:hint="eastAsia" w:ascii="宋体" w:hAnsi="宋体" w:eastAsia="宋体" w:cs="宋体"/>
                <w:b/>
                <w:bCs/>
                <w:color w:val="auto"/>
                <w:kern w:val="0"/>
                <w:sz w:val="24"/>
                <w:szCs w:val="24"/>
                <w:highlight w:val="none"/>
                <w:lang w:val="en-US" w:eastAsia="zh-CN" w:bidi="ar"/>
              </w:rPr>
              <w:t>（满分</w:t>
            </w:r>
            <w:r>
              <w:rPr>
                <w:rFonts w:hint="eastAsia" w:ascii="宋体" w:hAnsi="宋体" w:cs="宋体"/>
                <w:b/>
                <w:bCs/>
                <w:color w:val="auto"/>
                <w:kern w:val="0"/>
                <w:sz w:val="24"/>
                <w:szCs w:val="24"/>
                <w:highlight w:val="none"/>
                <w:lang w:val="en-US" w:eastAsia="zh-CN" w:bidi="ar"/>
              </w:rPr>
              <w:t>12</w:t>
            </w:r>
            <w:r>
              <w:rPr>
                <w:rFonts w:hint="eastAsia" w:ascii="宋体" w:hAnsi="宋体" w:eastAsia="宋体" w:cs="宋体"/>
                <w:b/>
                <w:bCs/>
                <w:color w:val="auto"/>
                <w:kern w:val="0"/>
                <w:sz w:val="24"/>
                <w:szCs w:val="24"/>
                <w:highlight w:val="none"/>
                <w:lang w:val="en-US" w:eastAsia="zh-CN" w:bidi="ar"/>
              </w:rPr>
              <w:t>分）</w:t>
            </w:r>
          </w:p>
        </w:tc>
        <w:tc>
          <w:tcPr>
            <w:tcW w:w="7363" w:type="dxa"/>
            <w:gridSpan w:val="2"/>
            <w:vAlign w:val="top"/>
          </w:tcPr>
          <w:p w14:paraId="3D00EEC8">
            <w:pPr>
              <w:keepNext w:val="0"/>
              <w:keepLines w:val="0"/>
              <w:widowControl/>
              <w:suppressLineNumbers w:val="0"/>
              <w:jc w:val="center"/>
              <w:rPr>
                <w:rFonts w:hint="eastAsia"/>
                <w:color w:val="auto"/>
                <w:highlight w:val="none"/>
                <w:vertAlign w:val="baseline"/>
                <w:lang w:val="en-US" w:eastAsia="zh-CN"/>
              </w:rPr>
            </w:pPr>
            <w:r>
              <w:rPr>
                <w:rFonts w:hint="eastAsia" w:ascii="宋体" w:hAnsi="宋体" w:eastAsia="宋体" w:cs="宋体"/>
                <w:b/>
                <w:bCs/>
                <w:color w:val="auto"/>
                <w:kern w:val="0"/>
                <w:sz w:val="24"/>
                <w:szCs w:val="24"/>
                <w:highlight w:val="none"/>
                <w:lang w:val="en-US" w:eastAsia="zh-CN" w:bidi="ar"/>
              </w:rPr>
              <w:t>评审因素</w:t>
            </w:r>
          </w:p>
        </w:tc>
      </w:tr>
      <w:tr w14:paraId="04CF5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vAlign w:val="center"/>
          </w:tcPr>
          <w:p w14:paraId="2EA083AF">
            <w:pPr>
              <w:pStyle w:val="25"/>
              <w:spacing w:line="360" w:lineRule="auto"/>
              <w:jc w:val="center"/>
              <w:rPr>
                <w:rFonts w:hint="default"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3.1</w:t>
            </w:r>
          </w:p>
        </w:tc>
        <w:tc>
          <w:tcPr>
            <w:tcW w:w="1033" w:type="dxa"/>
            <w:vAlign w:val="center"/>
          </w:tcPr>
          <w:p w14:paraId="6F6E417C">
            <w:pPr>
              <w:pStyle w:val="25"/>
              <w:spacing w:line="360" w:lineRule="auto"/>
              <w:jc w:val="center"/>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项目业绩分</w:t>
            </w:r>
          </w:p>
        </w:tc>
        <w:tc>
          <w:tcPr>
            <w:tcW w:w="6092" w:type="dxa"/>
          </w:tcPr>
          <w:p w14:paraId="3158426E">
            <w:pPr>
              <w:pStyle w:val="25"/>
              <w:spacing w:line="360" w:lineRule="auto"/>
              <w:jc w:val="left"/>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（1）磋商供应商自2024年1月1日以来举办过20（含20家）至49家企业参与的中型招聘服务业绩的每一个得1分，合计2分。</w:t>
            </w:r>
          </w:p>
          <w:p w14:paraId="5CB50EB7">
            <w:pPr>
              <w:pStyle w:val="25"/>
              <w:spacing w:line="360" w:lineRule="auto"/>
              <w:jc w:val="left"/>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（2）磋商供应商自2024年1月1日以来举办过50家及以上企业（含50家）参与的大型招聘服务业绩的每一个得1分，合计4分。</w:t>
            </w:r>
          </w:p>
          <w:p w14:paraId="297FB9D3">
            <w:pPr>
              <w:pStyle w:val="25"/>
              <w:spacing w:line="360" w:lineRule="auto"/>
              <w:jc w:val="left"/>
              <w:rPr>
                <w:rFonts w:hint="eastAsia" w:asciiTheme="minorEastAsia" w:hAnsiTheme="minorEastAsia" w:eastAsiaTheme="minorEastAsia" w:cstheme="minorEastAsia"/>
                <w:color w:val="auto"/>
                <w:sz w:val="24"/>
                <w:szCs w:val="24"/>
                <w:highlight w:val="none"/>
                <w:vertAlign w:val="baseline"/>
                <w:lang w:val="en-US" w:eastAsia="zh-CN"/>
              </w:rPr>
            </w:pPr>
          </w:p>
          <w:p w14:paraId="634AB93A">
            <w:pPr>
              <w:pStyle w:val="25"/>
              <w:spacing w:line="360" w:lineRule="auto"/>
              <w:jc w:val="left"/>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上述业绩需在响应文件中提供签订的项目合同书或协议书复印件，供应商自行举办的提供相应佐证材料，并加盖磋商供应商公章（含CA公章）为计分依据，能清晰反映项目名称、类型，同一个编号的项目有两个或两个以上的分标中标的只算一次，否则不得分。</w:t>
            </w:r>
          </w:p>
        </w:tc>
        <w:tc>
          <w:tcPr>
            <w:tcW w:w="1271" w:type="dxa"/>
            <w:vAlign w:val="center"/>
          </w:tcPr>
          <w:p w14:paraId="79C320AF">
            <w:pPr>
              <w:pStyle w:val="25"/>
              <w:spacing w:line="360" w:lineRule="auto"/>
              <w:jc w:val="center"/>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6分</w:t>
            </w:r>
          </w:p>
          <w:p w14:paraId="1FA5DBAF">
            <w:pPr>
              <w:rPr>
                <w:rFonts w:hint="default"/>
                <w:color w:val="auto"/>
                <w:highlight w:val="none"/>
                <w:lang w:val="en-US" w:eastAsia="zh-CN"/>
              </w:rPr>
            </w:pPr>
            <w:r>
              <w:rPr>
                <w:rFonts w:hint="eastAsia"/>
                <w:color w:val="auto"/>
                <w:highlight w:val="none"/>
                <w:lang w:val="en-US" w:eastAsia="zh-CN"/>
              </w:rPr>
              <w:t>（客观分）</w:t>
            </w:r>
          </w:p>
        </w:tc>
      </w:tr>
      <w:tr w14:paraId="1CC81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vAlign w:val="center"/>
          </w:tcPr>
          <w:p w14:paraId="6FBF55B7">
            <w:pPr>
              <w:pStyle w:val="25"/>
              <w:spacing w:line="360" w:lineRule="auto"/>
              <w:jc w:val="center"/>
              <w:rPr>
                <w:rFonts w:hint="default"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3.2</w:t>
            </w:r>
          </w:p>
        </w:tc>
        <w:tc>
          <w:tcPr>
            <w:tcW w:w="1033" w:type="dxa"/>
            <w:vAlign w:val="center"/>
          </w:tcPr>
          <w:p w14:paraId="562F8E37">
            <w:pPr>
              <w:pStyle w:val="25"/>
              <w:spacing w:line="360" w:lineRule="auto"/>
              <w:jc w:val="center"/>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企业实力信誉分</w:t>
            </w:r>
          </w:p>
        </w:tc>
        <w:tc>
          <w:tcPr>
            <w:tcW w:w="6092" w:type="dxa"/>
          </w:tcPr>
          <w:p w14:paraId="66F19F70">
            <w:pPr>
              <w:pStyle w:val="25"/>
              <w:spacing w:line="360" w:lineRule="auto"/>
              <w:jc w:val="left"/>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（1）磋商供应商自有网络招聘平台且具有著作权登记的，得1分（以响应文件中提供的网络招聘平台ICP备案证明材料及著作权登记证书复印件为准）；</w:t>
            </w:r>
          </w:p>
          <w:p w14:paraId="63679DDC">
            <w:pPr>
              <w:pStyle w:val="25"/>
              <w:spacing w:line="360" w:lineRule="auto"/>
              <w:jc w:val="left"/>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2）供应商具有专业服务能力：持有国家级五星级专业服务认证（需为国家相关主管部门或权威认证机构颁发，认证范围需涵盖人力资源服务、平台运营服务或信息技术服务领域），每多1个加1分，最高2分，（需在投标文件中提供认证证书复印件、含证书编号、有效期、认证范围页）本项满分2分；</w:t>
            </w:r>
          </w:p>
          <w:p w14:paraId="02717923">
            <w:pPr>
              <w:pStyle w:val="25"/>
              <w:spacing w:line="360" w:lineRule="auto"/>
              <w:jc w:val="left"/>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（3）具有各大高校长期稳定的合作关系和良好的沟通协调机制。具备有高校建立合作关系案例，每1个案例得1.5分，最高得3分（需提供合作协议、服务记录等证明材料）</w:t>
            </w:r>
          </w:p>
          <w:p w14:paraId="2ABAD6FE">
            <w:pPr>
              <w:pStyle w:val="25"/>
              <w:spacing w:line="360" w:lineRule="auto"/>
              <w:jc w:val="left"/>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注：以上须提供有效的证明材料或其他电子文件、截图、</w:t>
            </w:r>
          </w:p>
          <w:p w14:paraId="17CB36CE">
            <w:pPr>
              <w:pStyle w:val="25"/>
              <w:spacing w:line="360" w:lineRule="auto"/>
              <w:jc w:val="left"/>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照片并加盖供应商电子章，没有提供或者提供不符合要求的不得分。</w:t>
            </w:r>
          </w:p>
        </w:tc>
        <w:tc>
          <w:tcPr>
            <w:tcW w:w="1271" w:type="dxa"/>
            <w:vAlign w:val="center"/>
          </w:tcPr>
          <w:p w14:paraId="6EA1B7E9">
            <w:pPr>
              <w:pStyle w:val="25"/>
              <w:spacing w:line="360" w:lineRule="auto"/>
              <w:jc w:val="center"/>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6分</w:t>
            </w:r>
          </w:p>
          <w:p w14:paraId="6F229521">
            <w:pPr>
              <w:rPr>
                <w:rFonts w:hint="default"/>
                <w:color w:val="auto"/>
                <w:highlight w:val="none"/>
                <w:lang w:val="en-US" w:eastAsia="zh-CN"/>
              </w:rPr>
            </w:pPr>
            <w:r>
              <w:rPr>
                <w:rFonts w:hint="eastAsia"/>
                <w:color w:val="auto"/>
                <w:highlight w:val="none"/>
                <w:lang w:val="en-US" w:eastAsia="zh-CN"/>
              </w:rPr>
              <w:t>（客观分）</w:t>
            </w:r>
          </w:p>
        </w:tc>
      </w:tr>
      <w:tr w14:paraId="25111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5" w:type="dxa"/>
            <w:gridSpan w:val="4"/>
          </w:tcPr>
          <w:p w14:paraId="4DEC96E4">
            <w:pPr>
              <w:pStyle w:val="25"/>
              <w:spacing w:line="360" w:lineRule="auto"/>
              <w:jc w:val="left"/>
              <w:rPr>
                <w:rFonts w:hint="default"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总得分=1+2+3.</w:t>
            </w:r>
          </w:p>
        </w:tc>
      </w:tr>
    </w:tbl>
    <w:p w14:paraId="5CF5BF6A">
      <w:pPr>
        <w:pStyle w:val="25"/>
        <w:rPr>
          <w:rFonts w:hint="eastAsia"/>
          <w:color w:val="auto"/>
          <w:highlight w:val="none"/>
        </w:rPr>
      </w:pPr>
    </w:p>
    <w:p w14:paraId="4F4910ED">
      <w:pPr>
        <w:pStyle w:val="45"/>
        <w:rPr>
          <w:color w:val="auto"/>
          <w:highlight w:val="none"/>
        </w:rPr>
      </w:pPr>
    </w:p>
    <w:p w14:paraId="787E5FBC">
      <w:pPr>
        <w:tabs>
          <w:tab w:val="left" w:pos="5760"/>
        </w:tabs>
        <w:spacing w:line="360" w:lineRule="auto"/>
        <w:ind w:left="412" w:leftChars="196"/>
        <w:rPr>
          <w:rFonts w:hint="eastAsia" w:ascii="宋体" w:hAnsi="宋体"/>
          <w:bCs/>
          <w:color w:val="auto"/>
          <w:szCs w:val="21"/>
          <w:highlight w:val="none"/>
        </w:rPr>
      </w:pPr>
      <w:r>
        <w:rPr>
          <w:rFonts w:hint="eastAsia" w:ascii="宋体" w:hAnsi="宋体"/>
          <w:b/>
          <w:bCs/>
          <w:color w:val="auto"/>
          <w:szCs w:val="21"/>
          <w:highlight w:val="none"/>
        </w:rPr>
        <w:t>注：本项目为服务采购项目，不属于财政部规定的节能产品和环境标志产品范畴，不适用财库〔2019〕9号及财库〔2019〕19号文件规定。</w:t>
      </w:r>
    </w:p>
    <w:p w14:paraId="1F076EDB">
      <w:pPr>
        <w:spacing w:line="360" w:lineRule="auto"/>
        <w:ind w:firstLine="420" w:firstLineChars="200"/>
        <w:rPr>
          <w:rFonts w:hint="eastAsia" w:ascii="宋体" w:hAnsi="宋体"/>
          <w:color w:val="auto"/>
          <w:szCs w:val="21"/>
          <w:highlight w:val="none"/>
        </w:rPr>
      </w:pPr>
      <w:r>
        <w:rPr>
          <w:rFonts w:ascii="宋体" w:hAnsi="宋体"/>
          <w:bCs/>
          <w:color w:val="auto"/>
          <w:szCs w:val="21"/>
          <w:highlight w:val="none"/>
        </w:rPr>
        <w:t>7.</w:t>
      </w:r>
      <w:r>
        <w:rPr>
          <w:rFonts w:hint="eastAsia" w:ascii="宋体" w:hAnsi="宋体"/>
          <w:bCs/>
          <w:color w:val="auto"/>
          <w:szCs w:val="21"/>
          <w:highlight w:val="none"/>
        </w:rPr>
        <w:t>由磋商小组根据综合评分情况，按照评审得分由高到低顺序推荐3名以上成交候选供应商，并编写评审报告，</w:t>
      </w:r>
      <w:r>
        <w:rPr>
          <w:rFonts w:hint="eastAsia" w:ascii="宋体" w:hAnsi="宋体" w:cs="宋体"/>
          <w:color w:val="auto"/>
          <w:highlight w:val="none"/>
        </w:rPr>
        <w:t>评审报告</w:t>
      </w:r>
      <w:r>
        <w:rPr>
          <w:rFonts w:hint="eastAsia" w:hAnsi="宋体"/>
          <w:color w:val="auto"/>
          <w:highlight w:val="none"/>
        </w:rPr>
        <w:t>通过电子交易平台向采购人、采购代理机构提交。</w:t>
      </w:r>
      <w:r>
        <w:rPr>
          <w:rFonts w:hint="eastAsia" w:ascii="宋体" w:hAnsi="宋体"/>
          <w:bCs/>
          <w:color w:val="auto"/>
          <w:szCs w:val="21"/>
          <w:highlight w:val="none"/>
        </w:rPr>
        <w:t>符合本章第</w:t>
      </w:r>
      <w:r>
        <w:rPr>
          <w:rFonts w:ascii="宋体" w:hAnsi="宋体"/>
          <w:bCs/>
          <w:color w:val="auto"/>
          <w:szCs w:val="21"/>
          <w:highlight w:val="none"/>
        </w:rPr>
        <w:t>4.3</w:t>
      </w:r>
      <w:r>
        <w:rPr>
          <w:rFonts w:hint="eastAsia" w:ascii="宋体" w:hAnsi="宋体"/>
          <w:bCs/>
          <w:color w:val="auto"/>
          <w:szCs w:val="21"/>
          <w:highlight w:val="none"/>
        </w:rPr>
        <w:t>条情形的，可以推荐2家成交候选供应商。评审得分相同的，按照最后报价（不计算价格折扣）由低到高的顺序推荐。评审得分且最后报价（不计算价格折扣）相同的，按照技术指标（项目实施方案）优劣顺序推荐（按技术得分由高到低排序，技术得分相同的按照技术要求偏离分由高到低排序）。评审得分、最后报价（不计算价格折扣）、技术得分、技术要求偏离分均相同的，由磋商小组随机抽取推荐。</w:t>
      </w:r>
    </w:p>
    <w:p w14:paraId="7C624F75">
      <w:pPr>
        <w:spacing w:line="400" w:lineRule="exact"/>
        <w:ind w:firstLine="420" w:firstLineChars="200"/>
        <w:rPr>
          <w:rFonts w:hint="eastAsia" w:ascii="宋体" w:hAnsi="宋体" w:cs="宋体"/>
          <w:color w:val="auto"/>
          <w:highlight w:val="none"/>
        </w:rPr>
      </w:pPr>
    </w:p>
    <w:p w14:paraId="149D8660">
      <w:pPr>
        <w:spacing w:line="400" w:lineRule="exact"/>
        <w:ind w:firstLine="420" w:firstLineChars="200"/>
        <w:rPr>
          <w:rFonts w:hint="eastAsia" w:ascii="宋体" w:hAnsi="宋体" w:cs="宋体"/>
          <w:color w:val="auto"/>
          <w:highlight w:val="none"/>
        </w:rPr>
      </w:pPr>
    </w:p>
    <w:p w14:paraId="14B02B92">
      <w:pPr>
        <w:rPr>
          <w:color w:val="auto"/>
          <w:highlight w:val="none"/>
        </w:rPr>
      </w:pPr>
      <w:r>
        <w:rPr>
          <w:color w:val="auto"/>
          <w:highlight w:val="none"/>
        </w:rPr>
        <w:br w:type="page"/>
      </w:r>
    </w:p>
    <w:p w14:paraId="1799DA80">
      <w:pPr>
        <w:rPr>
          <w:color w:val="auto"/>
          <w:highlight w:val="none"/>
        </w:rPr>
      </w:pPr>
    </w:p>
    <w:p w14:paraId="194D2C98">
      <w:pPr>
        <w:rPr>
          <w:color w:val="auto"/>
          <w:highlight w:val="none"/>
        </w:rPr>
      </w:pPr>
    </w:p>
    <w:p w14:paraId="2ED896FE">
      <w:pPr>
        <w:rPr>
          <w:color w:val="auto"/>
          <w:highlight w:val="none"/>
        </w:rPr>
      </w:pPr>
    </w:p>
    <w:p w14:paraId="5AEC80FC">
      <w:pPr>
        <w:rPr>
          <w:color w:val="auto"/>
          <w:highlight w:val="none"/>
        </w:rPr>
      </w:pPr>
    </w:p>
    <w:p w14:paraId="48D6A678">
      <w:pPr>
        <w:rPr>
          <w:color w:val="auto"/>
          <w:highlight w:val="none"/>
        </w:rPr>
      </w:pPr>
    </w:p>
    <w:p w14:paraId="25305776">
      <w:pPr>
        <w:rPr>
          <w:color w:val="auto"/>
          <w:highlight w:val="none"/>
        </w:rPr>
      </w:pPr>
    </w:p>
    <w:p w14:paraId="6E7F5323">
      <w:pPr>
        <w:rPr>
          <w:color w:val="auto"/>
          <w:highlight w:val="none"/>
        </w:rPr>
      </w:pPr>
    </w:p>
    <w:p w14:paraId="2054F006">
      <w:pPr>
        <w:rPr>
          <w:color w:val="auto"/>
          <w:highlight w:val="none"/>
        </w:rPr>
      </w:pPr>
    </w:p>
    <w:p w14:paraId="0415A297">
      <w:pPr>
        <w:rPr>
          <w:color w:val="auto"/>
          <w:highlight w:val="none"/>
        </w:rPr>
      </w:pPr>
    </w:p>
    <w:p w14:paraId="10C85210">
      <w:pPr>
        <w:rPr>
          <w:color w:val="auto"/>
          <w:highlight w:val="none"/>
        </w:rPr>
      </w:pPr>
    </w:p>
    <w:p w14:paraId="0A51804D">
      <w:pPr>
        <w:rPr>
          <w:color w:val="auto"/>
          <w:highlight w:val="none"/>
        </w:rPr>
      </w:pPr>
    </w:p>
    <w:p w14:paraId="7E16E251">
      <w:pPr>
        <w:rPr>
          <w:color w:val="auto"/>
          <w:highlight w:val="none"/>
        </w:rPr>
      </w:pPr>
    </w:p>
    <w:p w14:paraId="3858116D">
      <w:pPr>
        <w:rPr>
          <w:color w:val="auto"/>
          <w:highlight w:val="none"/>
        </w:rPr>
      </w:pPr>
    </w:p>
    <w:p w14:paraId="7118A80A">
      <w:pPr>
        <w:pStyle w:val="2"/>
        <w:jc w:val="center"/>
        <w:rPr>
          <w:color w:val="auto"/>
          <w:highlight w:val="none"/>
        </w:rPr>
      </w:pPr>
      <w:bookmarkStart w:id="87" w:name="_Toc74323460"/>
      <w:r>
        <w:rPr>
          <w:rFonts w:hint="eastAsia"/>
          <w:color w:val="auto"/>
          <w:highlight w:val="none"/>
        </w:rPr>
        <w:t>第五章响应文件格式</w:t>
      </w:r>
      <w:bookmarkEnd w:id="87"/>
    </w:p>
    <w:p w14:paraId="127DE81B">
      <w:pPr>
        <w:spacing w:line="240" w:lineRule="atLeast"/>
        <w:rPr>
          <w:rFonts w:hint="eastAsia" w:ascii="宋体" w:hAnsi="宋体"/>
          <w:b/>
          <w:color w:val="auto"/>
          <w:sz w:val="32"/>
          <w:szCs w:val="32"/>
          <w:highlight w:val="none"/>
        </w:rPr>
      </w:pPr>
    </w:p>
    <w:p w14:paraId="319ED751">
      <w:pPr>
        <w:spacing w:line="240" w:lineRule="atLeast"/>
        <w:rPr>
          <w:rFonts w:hint="eastAsia" w:ascii="宋体" w:hAnsi="宋体"/>
          <w:b/>
          <w:color w:val="auto"/>
          <w:sz w:val="32"/>
          <w:szCs w:val="32"/>
          <w:highlight w:val="none"/>
        </w:rPr>
      </w:pPr>
    </w:p>
    <w:p w14:paraId="427FC048">
      <w:pPr>
        <w:spacing w:line="240" w:lineRule="atLeast"/>
        <w:rPr>
          <w:rFonts w:hint="eastAsia" w:ascii="宋体" w:hAnsi="宋体"/>
          <w:b/>
          <w:color w:val="auto"/>
          <w:sz w:val="32"/>
          <w:szCs w:val="32"/>
          <w:highlight w:val="none"/>
        </w:rPr>
      </w:pPr>
    </w:p>
    <w:p w14:paraId="23972B64">
      <w:pPr>
        <w:spacing w:line="240" w:lineRule="atLeast"/>
        <w:rPr>
          <w:rFonts w:hint="eastAsia" w:ascii="宋体" w:hAnsi="宋体"/>
          <w:b/>
          <w:color w:val="auto"/>
          <w:sz w:val="32"/>
          <w:szCs w:val="32"/>
          <w:highlight w:val="none"/>
        </w:rPr>
      </w:pPr>
    </w:p>
    <w:p w14:paraId="478A282B">
      <w:pPr>
        <w:spacing w:line="240" w:lineRule="atLeast"/>
        <w:rPr>
          <w:rFonts w:hint="eastAsia" w:ascii="宋体" w:hAnsi="宋体"/>
          <w:b/>
          <w:color w:val="auto"/>
          <w:sz w:val="32"/>
          <w:szCs w:val="32"/>
          <w:highlight w:val="none"/>
        </w:rPr>
      </w:pPr>
    </w:p>
    <w:p w14:paraId="4EBCC6EB">
      <w:pPr>
        <w:spacing w:line="240" w:lineRule="atLeast"/>
        <w:rPr>
          <w:rFonts w:hint="eastAsia" w:ascii="宋体" w:hAnsi="宋体"/>
          <w:b/>
          <w:color w:val="auto"/>
          <w:sz w:val="32"/>
          <w:szCs w:val="32"/>
          <w:highlight w:val="none"/>
        </w:rPr>
      </w:pPr>
    </w:p>
    <w:p w14:paraId="56442029">
      <w:pPr>
        <w:spacing w:line="240" w:lineRule="atLeast"/>
        <w:rPr>
          <w:rFonts w:hint="eastAsia" w:ascii="宋体" w:hAnsi="宋体"/>
          <w:b/>
          <w:color w:val="auto"/>
          <w:sz w:val="32"/>
          <w:szCs w:val="32"/>
          <w:highlight w:val="none"/>
        </w:rPr>
      </w:pPr>
    </w:p>
    <w:p w14:paraId="62F2A9F0">
      <w:pPr>
        <w:spacing w:line="240" w:lineRule="atLeast"/>
        <w:rPr>
          <w:rFonts w:hint="eastAsia" w:ascii="宋体" w:hAnsi="宋体"/>
          <w:b/>
          <w:color w:val="auto"/>
          <w:sz w:val="32"/>
          <w:szCs w:val="32"/>
          <w:highlight w:val="none"/>
        </w:rPr>
      </w:pPr>
    </w:p>
    <w:p w14:paraId="156ADC75">
      <w:pPr>
        <w:spacing w:line="240" w:lineRule="atLeast"/>
        <w:rPr>
          <w:rFonts w:hint="eastAsia" w:ascii="宋体" w:hAnsi="宋体"/>
          <w:b/>
          <w:color w:val="auto"/>
          <w:sz w:val="32"/>
          <w:szCs w:val="32"/>
          <w:highlight w:val="none"/>
        </w:rPr>
      </w:pPr>
    </w:p>
    <w:p w14:paraId="060BA2C9">
      <w:pPr>
        <w:spacing w:line="240" w:lineRule="atLeast"/>
        <w:rPr>
          <w:rFonts w:hint="eastAsia" w:ascii="宋体" w:hAnsi="宋体"/>
          <w:b/>
          <w:color w:val="auto"/>
          <w:sz w:val="32"/>
          <w:szCs w:val="32"/>
          <w:highlight w:val="none"/>
        </w:rPr>
      </w:pPr>
    </w:p>
    <w:p w14:paraId="18355C94">
      <w:pPr>
        <w:spacing w:line="240" w:lineRule="atLeast"/>
        <w:rPr>
          <w:rFonts w:hint="eastAsia" w:ascii="宋体" w:hAnsi="宋体"/>
          <w:b/>
          <w:color w:val="auto"/>
          <w:sz w:val="32"/>
          <w:szCs w:val="32"/>
          <w:highlight w:val="none"/>
        </w:rPr>
      </w:pPr>
    </w:p>
    <w:p w14:paraId="5BBACFB9">
      <w:pPr>
        <w:snapToGrid w:val="0"/>
        <w:spacing w:before="50" w:after="50"/>
        <w:rPr>
          <w:rFonts w:hint="eastAsia" w:ascii="宋体" w:hAnsi="宋体"/>
          <w:b/>
          <w:bCs/>
          <w:color w:val="auto"/>
          <w:sz w:val="24"/>
          <w:highlight w:val="none"/>
        </w:rPr>
      </w:pPr>
    </w:p>
    <w:p w14:paraId="026EB092">
      <w:pPr>
        <w:snapToGrid w:val="0"/>
        <w:spacing w:before="50" w:after="50"/>
        <w:rPr>
          <w:rFonts w:hint="eastAsia" w:ascii="宋体" w:hAnsi="宋体"/>
          <w:b/>
          <w:bCs/>
          <w:color w:val="auto"/>
          <w:sz w:val="24"/>
          <w:highlight w:val="none"/>
        </w:rPr>
      </w:pPr>
    </w:p>
    <w:p w14:paraId="032F9C31">
      <w:pPr>
        <w:snapToGrid w:val="0"/>
        <w:spacing w:before="156" w:beforeLines="50" w:after="50"/>
        <w:jc w:val="center"/>
        <w:rPr>
          <w:rFonts w:hint="eastAsia" w:ascii="仿宋_GB2312" w:hAnsi="仿宋_GB2312" w:eastAsia="仿宋_GB2312" w:cs="仿宋_GB2312"/>
          <w:bCs/>
          <w:color w:val="auto"/>
          <w:sz w:val="32"/>
          <w:szCs w:val="32"/>
          <w:highlight w:val="none"/>
        </w:rPr>
      </w:pPr>
    </w:p>
    <w:p w14:paraId="4F0F502E">
      <w:pPr>
        <w:pStyle w:val="3"/>
        <w:rPr>
          <w:color w:val="auto"/>
          <w:highlight w:val="none"/>
        </w:rPr>
      </w:pPr>
      <w:bookmarkStart w:id="88" w:name="_Toc44229899"/>
      <w:bookmarkStart w:id="89" w:name="_Toc35611438"/>
      <w:bookmarkStart w:id="90" w:name="_Toc31723070"/>
      <w:bookmarkStart w:id="91" w:name="_Toc31728084"/>
      <w:bookmarkStart w:id="92" w:name="_Toc35611516"/>
      <w:bookmarkStart w:id="93" w:name="_Toc71366186"/>
      <w:r>
        <w:rPr>
          <w:rFonts w:hint="eastAsia"/>
          <w:color w:val="auto"/>
          <w:highlight w:val="none"/>
        </w:rPr>
        <w:t>一、资格证明文件格式</w:t>
      </w:r>
      <w:bookmarkEnd w:id="88"/>
      <w:bookmarkEnd w:id="89"/>
      <w:bookmarkEnd w:id="90"/>
      <w:bookmarkEnd w:id="91"/>
      <w:bookmarkEnd w:id="92"/>
      <w:bookmarkEnd w:id="93"/>
    </w:p>
    <w:p w14:paraId="21FC74DF">
      <w:pPr>
        <w:snapToGrid w:val="0"/>
        <w:spacing w:before="156" w:beforeLines="50" w:after="50" w:line="360" w:lineRule="auto"/>
        <w:jc w:val="left"/>
        <w:rPr>
          <w:rFonts w:hint="eastAsia" w:ascii="宋体" w:hAnsi="宋体"/>
          <w:b/>
          <w:color w:val="auto"/>
          <w:sz w:val="24"/>
          <w:highlight w:val="none"/>
        </w:rPr>
      </w:pPr>
      <w:r>
        <w:rPr>
          <w:rFonts w:hint="eastAsia" w:ascii="宋体" w:hAnsi="宋体"/>
          <w:b/>
          <w:color w:val="auto"/>
          <w:sz w:val="32"/>
          <w:szCs w:val="32"/>
          <w:highlight w:val="none"/>
        </w:rPr>
        <w:t>1.资格证明文件封面格式：</w:t>
      </w:r>
    </w:p>
    <w:p w14:paraId="79A3BB95">
      <w:pPr>
        <w:snapToGrid w:val="0"/>
        <w:spacing w:before="156" w:beforeLines="50" w:after="50"/>
        <w:jc w:val="center"/>
        <w:rPr>
          <w:rFonts w:hint="eastAsia" w:ascii="宋体" w:hAnsi="宋体"/>
          <w:color w:val="auto"/>
          <w:sz w:val="44"/>
          <w:szCs w:val="44"/>
          <w:highlight w:val="none"/>
        </w:rPr>
      </w:pPr>
    </w:p>
    <w:p w14:paraId="5F0BDE3D">
      <w:pPr>
        <w:snapToGrid w:val="0"/>
        <w:spacing w:before="156" w:beforeLines="50" w:after="50"/>
        <w:jc w:val="center"/>
        <w:rPr>
          <w:rFonts w:hint="eastAsia" w:ascii="宋体" w:hAnsi="宋体"/>
          <w:color w:val="auto"/>
          <w:sz w:val="44"/>
          <w:szCs w:val="44"/>
          <w:highlight w:val="none"/>
        </w:rPr>
      </w:pPr>
      <w:r>
        <w:rPr>
          <w:rFonts w:hint="eastAsia" w:ascii="宋体" w:hAnsi="宋体"/>
          <w:color w:val="auto"/>
          <w:sz w:val="44"/>
          <w:szCs w:val="44"/>
          <w:highlight w:val="none"/>
        </w:rPr>
        <w:t>电 子 响 应 文 件</w:t>
      </w:r>
    </w:p>
    <w:p w14:paraId="494AE844">
      <w:pPr>
        <w:snapToGrid w:val="0"/>
        <w:spacing w:before="156" w:beforeLines="50" w:after="50"/>
        <w:rPr>
          <w:rFonts w:hint="eastAsia" w:ascii="宋体" w:hAnsi="宋体"/>
          <w:color w:val="auto"/>
          <w:sz w:val="24"/>
          <w:szCs w:val="20"/>
          <w:highlight w:val="none"/>
        </w:rPr>
      </w:pPr>
    </w:p>
    <w:p w14:paraId="0AF8466B">
      <w:pPr>
        <w:snapToGrid w:val="0"/>
        <w:spacing w:before="156"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资  格  证  明  文  件</w:t>
      </w:r>
    </w:p>
    <w:p w14:paraId="16C3EBF4">
      <w:pPr>
        <w:snapToGrid w:val="0"/>
        <w:spacing w:before="156" w:beforeLines="50" w:after="50"/>
        <w:rPr>
          <w:rFonts w:hint="eastAsia" w:ascii="宋体" w:hAnsi="宋体"/>
          <w:bCs/>
          <w:color w:val="auto"/>
          <w:sz w:val="24"/>
          <w:szCs w:val="20"/>
          <w:highlight w:val="none"/>
        </w:rPr>
      </w:pPr>
    </w:p>
    <w:p w14:paraId="26A9B5A1">
      <w:pPr>
        <w:snapToGrid w:val="0"/>
        <w:spacing w:before="156" w:beforeLines="50" w:after="50"/>
        <w:rPr>
          <w:rFonts w:hint="eastAsia" w:ascii="宋体" w:hAnsi="宋体"/>
          <w:bCs/>
          <w:color w:val="auto"/>
          <w:sz w:val="24"/>
          <w:szCs w:val="20"/>
          <w:highlight w:val="none"/>
        </w:rPr>
      </w:pPr>
    </w:p>
    <w:p w14:paraId="2FC8841A">
      <w:pPr>
        <w:snapToGrid w:val="0"/>
        <w:spacing w:before="156" w:beforeLines="50" w:after="50"/>
        <w:rPr>
          <w:rFonts w:hint="eastAsia" w:ascii="宋体" w:hAnsi="宋体"/>
          <w:bCs/>
          <w:color w:val="auto"/>
          <w:sz w:val="24"/>
          <w:szCs w:val="20"/>
          <w:highlight w:val="none"/>
        </w:rPr>
      </w:pPr>
    </w:p>
    <w:p w14:paraId="4B394809">
      <w:pPr>
        <w:snapToGrid w:val="0"/>
        <w:spacing w:before="156" w:beforeLines="50" w:after="50"/>
        <w:rPr>
          <w:rFonts w:hint="eastAsia" w:ascii="宋体" w:hAnsi="宋体"/>
          <w:bCs/>
          <w:color w:val="auto"/>
          <w:sz w:val="24"/>
          <w:szCs w:val="20"/>
          <w:highlight w:val="none"/>
        </w:rPr>
      </w:pPr>
    </w:p>
    <w:p w14:paraId="3A4A1756">
      <w:pPr>
        <w:snapToGrid w:val="0"/>
        <w:spacing w:before="156" w:beforeLines="50" w:after="50"/>
        <w:rPr>
          <w:rFonts w:hint="eastAsia" w:ascii="宋体" w:hAnsi="宋体"/>
          <w:bCs/>
          <w:color w:val="auto"/>
          <w:sz w:val="24"/>
          <w:szCs w:val="20"/>
          <w:highlight w:val="none"/>
        </w:rPr>
      </w:pPr>
    </w:p>
    <w:p w14:paraId="14CBDAF8">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301CAC19">
      <w:pPr>
        <w:snapToGrid w:val="0"/>
        <w:spacing w:before="156" w:beforeLines="50" w:after="50"/>
        <w:ind w:firstLine="720" w:firstLineChars="225"/>
        <w:rPr>
          <w:rFonts w:hint="eastAsia" w:ascii="宋体" w:hAnsi="宋体" w:cs="仿宋_GB2312"/>
          <w:bCs/>
          <w:color w:val="auto"/>
          <w:sz w:val="32"/>
          <w:szCs w:val="32"/>
          <w:highlight w:val="none"/>
        </w:rPr>
      </w:pPr>
    </w:p>
    <w:p w14:paraId="4CD2AD70">
      <w:pPr>
        <w:snapToGrid w:val="0"/>
        <w:spacing w:before="156"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59C615E7">
      <w:pPr>
        <w:snapToGrid w:val="0"/>
        <w:spacing w:before="156" w:beforeLines="50" w:after="50"/>
        <w:ind w:firstLine="720" w:firstLineChars="225"/>
        <w:rPr>
          <w:rFonts w:hint="eastAsia" w:ascii="宋体" w:hAnsi="宋体" w:cs="仿宋_GB2312"/>
          <w:bCs/>
          <w:color w:val="auto"/>
          <w:sz w:val="32"/>
          <w:szCs w:val="32"/>
          <w:highlight w:val="none"/>
        </w:rPr>
      </w:pPr>
    </w:p>
    <w:p w14:paraId="2AE79C57">
      <w:pPr>
        <w:snapToGrid w:val="0"/>
        <w:spacing w:before="156"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6D933E78">
      <w:pPr>
        <w:snapToGrid w:val="0"/>
        <w:spacing w:before="156" w:beforeLines="50" w:after="50"/>
        <w:ind w:firstLine="720" w:firstLineChars="225"/>
        <w:rPr>
          <w:rFonts w:hint="eastAsia" w:ascii="宋体" w:hAnsi="宋体" w:cs="仿宋_GB2312"/>
          <w:bCs/>
          <w:color w:val="auto"/>
          <w:sz w:val="32"/>
          <w:szCs w:val="32"/>
          <w:highlight w:val="none"/>
        </w:rPr>
      </w:pPr>
    </w:p>
    <w:p w14:paraId="0BE9D095">
      <w:pPr>
        <w:pStyle w:val="7"/>
        <w:snapToGrid w:val="0"/>
        <w:spacing w:before="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163EBF2F">
      <w:pPr>
        <w:snapToGrid w:val="0"/>
        <w:spacing w:before="156" w:beforeLines="50" w:after="50"/>
        <w:ind w:firstLine="640" w:firstLineChars="200"/>
        <w:rPr>
          <w:rFonts w:hint="eastAsia" w:ascii="宋体" w:hAnsi="宋体" w:cs="仿宋_GB2312"/>
          <w:bCs/>
          <w:color w:val="auto"/>
          <w:sz w:val="32"/>
          <w:szCs w:val="32"/>
          <w:highlight w:val="none"/>
        </w:rPr>
      </w:pPr>
    </w:p>
    <w:p w14:paraId="1ED6B912">
      <w:pPr>
        <w:pStyle w:val="7"/>
        <w:snapToGrid w:val="0"/>
        <w:spacing w:before="50" w:after="50"/>
        <w:ind w:firstLine="720" w:firstLineChars="225"/>
        <w:rPr>
          <w:rFonts w:hint="eastAsia" w:ascii="宋体" w:hAnsi="宋体" w:cs="仿宋_GB2312"/>
          <w:bCs/>
          <w:color w:val="auto"/>
          <w:sz w:val="32"/>
          <w:szCs w:val="32"/>
          <w:highlight w:val="none"/>
        </w:rPr>
      </w:pPr>
    </w:p>
    <w:p w14:paraId="55C8C45A">
      <w:pPr>
        <w:pStyle w:val="7"/>
        <w:snapToGrid w:val="0"/>
        <w:spacing w:before="50" w:after="50"/>
        <w:ind w:firstLine="720" w:firstLineChars="225"/>
        <w:rPr>
          <w:rFonts w:hint="eastAsia" w:ascii="宋体" w:hAnsi="宋体" w:cs="仿宋_GB2312"/>
          <w:bCs/>
          <w:color w:val="auto"/>
          <w:sz w:val="32"/>
          <w:szCs w:val="32"/>
          <w:highlight w:val="none"/>
        </w:rPr>
      </w:pPr>
    </w:p>
    <w:p w14:paraId="0D544C8E">
      <w:pPr>
        <w:pStyle w:val="7"/>
        <w:snapToGrid w:val="0"/>
        <w:spacing w:before="50" w:after="50"/>
        <w:ind w:firstLine="1280" w:firstLineChars="400"/>
        <w:rPr>
          <w:rFonts w:hint="eastAsia" w:ascii="宋体" w:hAnsi="宋体" w:cs="仿宋_GB2312"/>
          <w:bCs/>
          <w:color w:val="auto"/>
          <w:sz w:val="32"/>
          <w:szCs w:val="32"/>
          <w:highlight w:val="none"/>
        </w:rPr>
      </w:pPr>
    </w:p>
    <w:p w14:paraId="7D1C722C">
      <w:pPr>
        <w:snapToGrid w:val="0"/>
        <w:spacing w:before="156"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22C25F69">
      <w:pPr>
        <w:snapToGrid w:val="0"/>
        <w:spacing w:before="156" w:beforeLines="50" w:after="50" w:line="360" w:lineRule="auto"/>
        <w:ind w:left="142"/>
        <w:jc w:val="left"/>
        <w:rPr>
          <w:rFonts w:hint="eastAsia" w:ascii="宋体" w:hAnsi="宋体"/>
          <w:b/>
          <w:bCs/>
          <w:color w:val="auto"/>
          <w:sz w:val="32"/>
          <w:szCs w:val="32"/>
          <w:highlight w:val="none"/>
        </w:rPr>
      </w:pPr>
      <w:r>
        <w:rPr>
          <w:rFonts w:ascii="宋体" w:hAnsi="宋体"/>
          <w:color w:val="auto"/>
          <w:sz w:val="24"/>
          <w:highlight w:val="none"/>
        </w:rPr>
        <w:br w:type="page"/>
      </w:r>
      <w:r>
        <w:rPr>
          <w:rFonts w:hint="eastAsia" w:ascii="宋体" w:hAnsi="宋体"/>
          <w:b/>
          <w:bCs/>
          <w:color w:val="auto"/>
          <w:sz w:val="32"/>
          <w:szCs w:val="32"/>
          <w:highlight w:val="none"/>
        </w:rPr>
        <w:t>2.资格证明文件目录</w:t>
      </w:r>
    </w:p>
    <w:p w14:paraId="5F382283">
      <w:pPr>
        <w:snapToGrid w:val="0"/>
        <w:spacing w:before="156" w:beforeLines="50" w:after="50" w:line="360" w:lineRule="auto"/>
        <w:ind w:firstLine="645"/>
        <w:rPr>
          <w:rFonts w:hint="eastAsia"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37C874B0">
      <w:pPr>
        <w:snapToGrid w:val="0"/>
        <w:spacing w:before="156" w:beforeLines="50" w:after="50"/>
        <w:rPr>
          <w:rFonts w:hint="eastAsia" w:ascii="宋体" w:hAnsi="宋体"/>
          <w:color w:val="auto"/>
          <w:sz w:val="24"/>
          <w:szCs w:val="20"/>
          <w:highlight w:val="none"/>
        </w:rPr>
      </w:pPr>
    </w:p>
    <w:p w14:paraId="3FCC75AB">
      <w:pPr>
        <w:spacing w:line="300" w:lineRule="auto"/>
        <w:rPr>
          <w:rFonts w:hint="eastAsia" w:ascii="宋体" w:hAnsi="宋体"/>
          <w:color w:val="auto"/>
          <w:szCs w:val="21"/>
          <w:highlight w:val="none"/>
        </w:rPr>
      </w:pPr>
    </w:p>
    <w:p w14:paraId="374F90EF">
      <w:pPr>
        <w:spacing w:line="300" w:lineRule="auto"/>
        <w:rPr>
          <w:rFonts w:hint="eastAsia" w:ascii="宋体" w:hAnsi="宋体"/>
          <w:color w:val="auto"/>
          <w:szCs w:val="21"/>
          <w:highlight w:val="none"/>
        </w:rPr>
      </w:pPr>
    </w:p>
    <w:p w14:paraId="75954262">
      <w:pPr>
        <w:spacing w:line="300" w:lineRule="auto"/>
        <w:rPr>
          <w:rFonts w:hint="eastAsia" w:ascii="宋体" w:hAnsi="宋体"/>
          <w:color w:val="auto"/>
          <w:szCs w:val="21"/>
          <w:highlight w:val="none"/>
        </w:rPr>
      </w:pPr>
    </w:p>
    <w:p w14:paraId="355A214C">
      <w:pPr>
        <w:spacing w:line="300" w:lineRule="auto"/>
        <w:rPr>
          <w:rFonts w:hint="eastAsia" w:ascii="宋体" w:hAnsi="宋体"/>
          <w:color w:val="auto"/>
          <w:szCs w:val="21"/>
          <w:highlight w:val="none"/>
        </w:rPr>
      </w:pPr>
    </w:p>
    <w:p w14:paraId="5E62EFF5">
      <w:pPr>
        <w:spacing w:line="300" w:lineRule="auto"/>
        <w:rPr>
          <w:rFonts w:hint="eastAsia" w:ascii="宋体" w:hAnsi="宋体"/>
          <w:color w:val="auto"/>
          <w:szCs w:val="21"/>
          <w:highlight w:val="none"/>
        </w:rPr>
      </w:pPr>
    </w:p>
    <w:p w14:paraId="04ADF10E">
      <w:pPr>
        <w:spacing w:line="300" w:lineRule="auto"/>
        <w:rPr>
          <w:rFonts w:hint="eastAsia" w:ascii="宋体" w:hAnsi="宋体"/>
          <w:color w:val="auto"/>
          <w:szCs w:val="21"/>
          <w:highlight w:val="none"/>
        </w:rPr>
      </w:pPr>
    </w:p>
    <w:p w14:paraId="6B8EC7F7">
      <w:pPr>
        <w:spacing w:line="300" w:lineRule="auto"/>
        <w:rPr>
          <w:rFonts w:hint="eastAsia" w:ascii="宋体" w:hAnsi="宋体"/>
          <w:color w:val="auto"/>
          <w:szCs w:val="21"/>
          <w:highlight w:val="none"/>
        </w:rPr>
      </w:pPr>
    </w:p>
    <w:p w14:paraId="55B2F420">
      <w:pPr>
        <w:spacing w:line="300" w:lineRule="auto"/>
        <w:rPr>
          <w:rFonts w:hint="eastAsia" w:ascii="宋体" w:hAnsi="宋体"/>
          <w:color w:val="auto"/>
          <w:szCs w:val="21"/>
          <w:highlight w:val="none"/>
        </w:rPr>
      </w:pPr>
    </w:p>
    <w:p w14:paraId="0EF82F9B">
      <w:pPr>
        <w:spacing w:line="300" w:lineRule="auto"/>
        <w:rPr>
          <w:rFonts w:hint="eastAsia" w:ascii="宋体" w:hAnsi="宋体"/>
          <w:color w:val="auto"/>
          <w:szCs w:val="21"/>
          <w:highlight w:val="none"/>
        </w:rPr>
      </w:pPr>
    </w:p>
    <w:p w14:paraId="670162DB">
      <w:pPr>
        <w:spacing w:line="300" w:lineRule="auto"/>
        <w:rPr>
          <w:rFonts w:hint="eastAsia" w:ascii="宋体" w:hAnsi="宋体"/>
          <w:color w:val="auto"/>
          <w:szCs w:val="21"/>
          <w:highlight w:val="none"/>
        </w:rPr>
      </w:pPr>
    </w:p>
    <w:p w14:paraId="4EE80242">
      <w:pPr>
        <w:spacing w:line="300" w:lineRule="auto"/>
        <w:rPr>
          <w:rFonts w:hint="eastAsia" w:ascii="宋体" w:hAnsi="宋体"/>
          <w:color w:val="auto"/>
          <w:szCs w:val="21"/>
          <w:highlight w:val="none"/>
        </w:rPr>
      </w:pPr>
    </w:p>
    <w:p w14:paraId="182BD16D">
      <w:pPr>
        <w:spacing w:line="300" w:lineRule="auto"/>
        <w:rPr>
          <w:rFonts w:hint="eastAsia" w:ascii="宋体" w:hAnsi="宋体"/>
          <w:color w:val="auto"/>
          <w:szCs w:val="21"/>
          <w:highlight w:val="none"/>
        </w:rPr>
      </w:pPr>
    </w:p>
    <w:p w14:paraId="28B192F3">
      <w:pPr>
        <w:spacing w:line="300" w:lineRule="auto"/>
        <w:rPr>
          <w:rFonts w:hint="eastAsia" w:ascii="宋体" w:hAnsi="宋体"/>
          <w:color w:val="auto"/>
          <w:szCs w:val="21"/>
          <w:highlight w:val="none"/>
        </w:rPr>
      </w:pPr>
    </w:p>
    <w:p w14:paraId="1EAABFF0">
      <w:pPr>
        <w:spacing w:line="300" w:lineRule="auto"/>
        <w:rPr>
          <w:rFonts w:hint="eastAsia" w:ascii="宋体" w:hAnsi="宋体"/>
          <w:color w:val="auto"/>
          <w:szCs w:val="21"/>
          <w:highlight w:val="none"/>
        </w:rPr>
      </w:pPr>
    </w:p>
    <w:p w14:paraId="34A60D32">
      <w:pPr>
        <w:spacing w:line="300" w:lineRule="auto"/>
        <w:rPr>
          <w:rFonts w:hint="eastAsia" w:ascii="宋体" w:hAnsi="宋体"/>
          <w:color w:val="auto"/>
          <w:szCs w:val="21"/>
          <w:highlight w:val="none"/>
        </w:rPr>
      </w:pPr>
    </w:p>
    <w:p w14:paraId="64B4D393">
      <w:pPr>
        <w:spacing w:line="320" w:lineRule="exact"/>
        <w:jc w:val="left"/>
        <w:rPr>
          <w:rFonts w:hint="eastAsia" w:ascii="宋体" w:hAnsi="宋体"/>
          <w:color w:val="auto"/>
          <w:szCs w:val="21"/>
          <w:highlight w:val="none"/>
        </w:rPr>
      </w:pPr>
      <w:r>
        <w:rPr>
          <w:rFonts w:ascii="宋体" w:hAnsi="宋体"/>
          <w:color w:val="auto"/>
          <w:szCs w:val="21"/>
          <w:highlight w:val="none"/>
        </w:rPr>
        <w:br w:type="page"/>
      </w:r>
    </w:p>
    <w:p w14:paraId="2DC660CA">
      <w:pPr>
        <w:wordWrap w:val="0"/>
        <w:spacing w:before="156" w:beforeLines="50" w:after="50" w:line="320" w:lineRule="exact"/>
        <w:ind w:right="482" w:firstLine="210" w:firstLineChars="100"/>
        <w:contextualSpacing/>
        <w:jc w:val="center"/>
        <w:rPr>
          <w:rFonts w:hint="eastAsia" w:ascii="宋体" w:hAnsi="宋体"/>
          <w:color w:val="auto"/>
          <w:szCs w:val="21"/>
          <w:highlight w:val="none"/>
        </w:rPr>
      </w:pPr>
    </w:p>
    <w:p w14:paraId="7663580A">
      <w:pPr>
        <w:spacing w:line="32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供应商直接控股、管理关系信息表</w:t>
      </w:r>
    </w:p>
    <w:p w14:paraId="65675F56">
      <w:pPr>
        <w:snapToGrid w:val="0"/>
        <w:spacing w:before="156" w:beforeLines="50" w:after="50" w:line="360" w:lineRule="auto"/>
        <w:jc w:val="center"/>
        <w:rPr>
          <w:rFonts w:hint="eastAsia" w:ascii="宋体" w:hAnsi="宋体"/>
          <w:b/>
          <w:color w:val="auto"/>
          <w:sz w:val="24"/>
          <w:highlight w:val="none"/>
        </w:rPr>
      </w:pPr>
    </w:p>
    <w:p w14:paraId="45D7E5C5">
      <w:pPr>
        <w:spacing w:line="360" w:lineRule="auto"/>
        <w:contextualSpacing/>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供应商直接控股股东信息表</w:t>
      </w:r>
    </w:p>
    <w:p w14:paraId="7A3FF2B5">
      <w:pPr>
        <w:spacing w:line="360" w:lineRule="auto"/>
        <w:contextualSpacing/>
        <w:jc w:val="center"/>
        <w:rPr>
          <w:rFonts w:hint="eastAsia" w:ascii="宋体" w:hAnsi="宋体"/>
          <w:b/>
          <w:color w:val="auto"/>
          <w:sz w:val="24"/>
          <w:highlight w:val="none"/>
        </w:rPr>
      </w:pPr>
    </w:p>
    <w:tbl>
      <w:tblPr>
        <w:tblStyle w:val="36"/>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04D00D3A">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1592583">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6DA93B6">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A97FAA1">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B6001A8">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6AB23D4">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7656F394">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638AB5C">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91E4B95">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D6A423F">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3353E15">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A73F4D6">
            <w:pPr>
              <w:widowControl/>
              <w:spacing w:line="360" w:lineRule="auto"/>
              <w:contextualSpacing/>
              <w:jc w:val="center"/>
              <w:rPr>
                <w:rFonts w:hint="eastAsia" w:ascii="宋体" w:hAnsi="宋体" w:cs="宋体"/>
                <w:color w:val="auto"/>
                <w:kern w:val="0"/>
                <w:sz w:val="24"/>
                <w:highlight w:val="none"/>
              </w:rPr>
            </w:pPr>
          </w:p>
        </w:tc>
      </w:tr>
      <w:tr w14:paraId="3479878B">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3C06794">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CFA1254">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8624C85">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E5C13B7">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3CA6A3E">
            <w:pPr>
              <w:widowControl/>
              <w:spacing w:line="360" w:lineRule="auto"/>
              <w:contextualSpacing/>
              <w:jc w:val="center"/>
              <w:rPr>
                <w:rFonts w:hint="eastAsia" w:ascii="宋体" w:hAnsi="宋体" w:cs="宋体"/>
                <w:color w:val="auto"/>
                <w:kern w:val="0"/>
                <w:sz w:val="24"/>
                <w:highlight w:val="none"/>
              </w:rPr>
            </w:pPr>
          </w:p>
        </w:tc>
      </w:tr>
      <w:tr w14:paraId="06A54B08">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6B0FB2D">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AA24455">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3A3F64C">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1E6CE2D">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AC7ADB8">
            <w:pPr>
              <w:widowControl/>
              <w:spacing w:line="360" w:lineRule="auto"/>
              <w:contextualSpacing/>
              <w:jc w:val="center"/>
              <w:rPr>
                <w:rFonts w:hint="eastAsia" w:ascii="宋体" w:hAnsi="宋体" w:cs="宋体"/>
                <w:color w:val="auto"/>
                <w:kern w:val="0"/>
                <w:sz w:val="24"/>
                <w:highlight w:val="none"/>
              </w:rPr>
            </w:pPr>
          </w:p>
        </w:tc>
      </w:tr>
      <w:tr w14:paraId="659651CE">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1A1F32B">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4381790">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78729C4">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597C1B8">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B27EA23">
            <w:pPr>
              <w:widowControl/>
              <w:spacing w:line="360" w:lineRule="auto"/>
              <w:contextualSpacing/>
              <w:jc w:val="center"/>
              <w:rPr>
                <w:rFonts w:hint="eastAsia" w:ascii="宋体" w:hAnsi="宋体" w:cs="宋体"/>
                <w:color w:val="auto"/>
                <w:kern w:val="0"/>
                <w:sz w:val="24"/>
                <w:highlight w:val="none"/>
              </w:rPr>
            </w:pPr>
          </w:p>
        </w:tc>
      </w:tr>
    </w:tbl>
    <w:p w14:paraId="4AE4F291">
      <w:pPr>
        <w:spacing w:line="360" w:lineRule="auto"/>
        <w:contextualSpacing/>
        <w:jc w:val="left"/>
        <w:rPr>
          <w:rFonts w:hint="eastAsia" w:ascii="宋体" w:hAnsi="宋体" w:cs="宋体"/>
          <w:color w:val="auto"/>
          <w:sz w:val="24"/>
          <w:highlight w:val="none"/>
        </w:rPr>
      </w:pPr>
      <w:r>
        <w:rPr>
          <w:rFonts w:hint="eastAsia" w:ascii="宋体" w:hAnsi="宋体" w:cs="宋体"/>
          <w:color w:val="auto"/>
          <w:sz w:val="24"/>
          <w:highlight w:val="none"/>
        </w:rPr>
        <w:t>注：</w:t>
      </w:r>
    </w:p>
    <w:p w14:paraId="3060FA02">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87455B8">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454F6B66">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3.供应商不存在直接控股股东的，</w:t>
      </w:r>
      <w:r>
        <w:rPr>
          <w:rFonts w:hint="eastAsia" w:ascii="宋体" w:hAnsi="宋体"/>
          <w:color w:val="auto"/>
          <w:sz w:val="24"/>
          <w:highlight w:val="none"/>
        </w:rPr>
        <w:t>则在“直接控股股东名称”填“无”</w:t>
      </w:r>
      <w:r>
        <w:rPr>
          <w:rFonts w:hint="eastAsia" w:ascii="宋体" w:hAnsi="宋体" w:cs="宋体"/>
          <w:color w:val="auto"/>
          <w:sz w:val="24"/>
          <w:highlight w:val="none"/>
        </w:rPr>
        <w:t>。</w:t>
      </w:r>
    </w:p>
    <w:p w14:paraId="1365A150">
      <w:pPr>
        <w:spacing w:line="360" w:lineRule="auto"/>
        <w:ind w:firstLine="420" w:firstLineChars="200"/>
        <w:contextualSpacing/>
        <w:jc w:val="left"/>
        <w:rPr>
          <w:rFonts w:hint="eastAsia" w:ascii="宋体" w:hAnsi="宋体" w:cs="宋体"/>
          <w:color w:val="auto"/>
          <w:szCs w:val="21"/>
          <w:highlight w:val="none"/>
        </w:rPr>
      </w:pPr>
    </w:p>
    <w:p w14:paraId="0A62E5EE">
      <w:pPr>
        <w:spacing w:line="360" w:lineRule="auto"/>
        <w:ind w:firstLine="560" w:firstLineChars="200"/>
        <w:contextualSpacing/>
        <w:jc w:val="left"/>
        <w:rPr>
          <w:rFonts w:hint="eastAsia" w:ascii="宋体" w:hAnsi="宋体" w:cs="宋体"/>
          <w:color w:val="auto"/>
          <w:sz w:val="28"/>
          <w:szCs w:val="28"/>
          <w:highlight w:val="none"/>
        </w:rPr>
      </w:pPr>
    </w:p>
    <w:p w14:paraId="015436AA">
      <w:pPr>
        <w:spacing w:line="360" w:lineRule="auto"/>
        <w:ind w:right="480"/>
        <w:contextualSpacing/>
        <w:jc w:val="center"/>
        <w:rPr>
          <w:rFonts w:hint="eastAsia" w:ascii="宋体" w:hAnsi="宋体" w:cs="宋体"/>
          <w:color w:val="auto"/>
          <w:sz w:val="24"/>
          <w:highlight w:val="none"/>
          <w:u w:val="single"/>
        </w:rPr>
      </w:pPr>
      <w:r>
        <w:rPr>
          <w:rFonts w:hint="eastAsia" w:ascii="宋体" w:hAnsi="宋体" w:cs="宋体"/>
          <w:color w:val="auto"/>
          <w:sz w:val="24"/>
          <w:highlight w:val="none"/>
        </w:rPr>
        <w:t>法定代表人或者委托代理人</w:t>
      </w:r>
      <w:r>
        <w:rPr>
          <w:rFonts w:hint="eastAsia" w:ascii="宋体" w:hAnsi="宋体"/>
          <w:color w:val="auto"/>
          <w:sz w:val="24"/>
          <w:highlight w:val="none"/>
        </w:rPr>
        <w:t>（签字或者电子签名）</w:t>
      </w:r>
      <w:r>
        <w:rPr>
          <w:rFonts w:hint="eastAsia" w:ascii="宋体" w:hAnsi="宋体" w:cs="宋体"/>
          <w:color w:val="auto"/>
          <w:sz w:val="24"/>
          <w:highlight w:val="none"/>
        </w:rPr>
        <w:t>：</w:t>
      </w:r>
    </w:p>
    <w:p w14:paraId="7D70036F">
      <w:pPr>
        <w:spacing w:line="360" w:lineRule="auto"/>
        <w:ind w:right="480" w:firstLine="3000" w:firstLineChars="1250"/>
        <w:contextualSpacing/>
        <w:rPr>
          <w:rFonts w:hint="eastAsia" w:ascii="宋体" w:hAnsi="宋体" w:cs="宋体"/>
          <w:color w:val="auto"/>
          <w:sz w:val="24"/>
          <w:highlight w:val="none"/>
          <w:u w:val="single"/>
        </w:rPr>
      </w:pPr>
      <w:r>
        <w:rPr>
          <w:rFonts w:hint="eastAsia" w:ascii="宋体" w:hAnsi="宋体" w:cs="宋体"/>
          <w:color w:val="auto"/>
          <w:sz w:val="24"/>
          <w:highlight w:val="none"/>
        </w:rPr>
        <w:t>供应商</w:t>
      </w:r>
      <w:r>
        <w:rPr>
          <w:rFonts w:hint="eastAsia" w:ascii="宋体" w:hAnsi="宋体"/>
          <w:color w:val="auto"/>
          <w:sz w:val="24"/>
          <w:highlight w:val="none"/>
        </w:rPr>
        <w:t>（电子签章）</w:t>
      </w:r>
      <w:r>
        <w:rPr>
          <w:rFonts w:hint="eastAsia" w:ascii="宋体" w:hAnsi="宋体" w:cs="宋体"/>
          <w:color w:val="auto"/>
          <w:sz w:val="24"/>
          <w:highlight w:val="none"/>
        </w:rPr>
        <w:t xml:space="preserve">： </w:t>
      </w:r>
    </w:p>
    <w:p w14:paraId="51691C28">
      <w:pPr>
        <w:spacing w:line="360" w:lineRule="auto"/>
        <w:ind w:firstLine="480" w:firstLineChars="200"/>
        <w:contextualSpacing/>
        <w:jc w:val="right"/>
        <w:rPr>
          <w:rFonts w:hint="eastAsia" w:ascii="宋体" w:hAnsi="宋体" w:cs="宋体"/>
          <w:color w:val="auto"/>
          <w:sz w:val="28"/>
          <w:szCs w:val="28"/>
          <w:highlight w:val="none"/>
        </w:rPr>
      </w:pPr>
      <w:r>
        <w:rPr>
          <w:rFonts w:hint="eastAsia" w:ascii="宋体" w:hAnsi="宋体" w:cs="宋体"/>
          <w:color w:val="auto"/>
          <w:sz w:val="24"/>
          <w:highlight w:val="none"/>
        </w:rPr>
        <w:t>年    月    日</w:t>
      </w:r>
    </w:p>
    <w:p w14:paraId="0C538C23">
      <w:pPr>
        <w:snapToGrid w:val="0"/>
        <w:jc w:val="center"/>
        <w:rPr>
          <w:rFonts w:hint="eastAsia" w:ascii="宋体" w:hAnsi="宋体"/>
          <w:b/>
          <w:color w:val="auto"/>
          <w:sz w:val="28"/>
          <w:szCs w:val="28"/>
          <w:highlight w:val="none"/>
        </w:rPr>
      </w:pPr>
      <w:r>
        <w:rPr>
          <w:rFonts w:ascii="宋体" w:hAnsi="宋体"/>
          <w:b/>
          <w:color w:val="auto"/>
          <w:sz w:val="28"/>
          <w:szCs w:val="28"/>
          <w:highlight w:val="none"/>
        </w:rPr>
        <w:br w:type="page"/>
      </w:r>
    </w:p>
    <w:p w14:paraId="31558702">
      <w:pPr>
        <w:spacing w:line="32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供应商直接管理关系信息表</w:t>
      </w:r>
    </w:p>
    <w:p w14:paraId="40232C1F">
      <w:pPr>
        <w:snapToGrid w:val="0"/>
        <w:spacing w:line="360" w:lineRule="auto"/>
        <w:jc w:val="center"/>
        <w:rPr>
          <w:rFonts w:hint="eastAsia" w:ascii="宋体" w:hAnsi="宋体"/>
          <w:b/>
          <w:color w:val="auto"/>
          <w:sz w:val="24"/>
          <w:highlight w:val="none"/>
        </w:rPr>
      </w:pPr>
    </w:p>
    <w:tbl>
      <w:tblPr>
        <w:tblStyle w:val="36"/>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4603B1A3">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4D1A3D4">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8EB3466">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1924DA7">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B3AC534">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4C3B09DC">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967CFF9">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0288666">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012F878">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8886EA2">
            <w:pPr>
              <w:widowControl/>
              <w:spacing w:line="360" w:lineRule="auto"/>
              <w:contextualSpacing/>
              <w:jc w:val="center"/>
              <w:rPr>
                <w:rFonts w:hint="eastAsia" w:ascii="宋体" w:hAnsi="宋体" w:cs="宋体"/>
                <w:color w:val="auto"/>
                <w:kern w:val="0"/>
                <w:sz w:val="24"/>
                <w:highlight w:val="none"/>
              </w:rPr>
            </w:pPr>
          </w:p>
        </w:tc>
      </w:tr>
      <w:tr w14:paraId="517F9EA1">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BCCEB1C">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DD46859">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FCE2091">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C17586E">
            <w:pPr>
              <w:widowControl/>
              <w:spacing w:line="360" w:lineRule="auto"/>
              <w:contextualSpacing/>
              <w:jc w:val="center"/>
              <w:rPr>
                <w:rFonts w:hint="eastAsia" w:ascii="宋体" w:hAnsi="宋体" w:cs="宋体"/>
                <w:color w:val="auto"/>
                <w:kern w:val="0"/>
                <w:sz w:val="24"/>
                <w:highlight w:val="none"/>
              </w:rPr>
            </w:pPr>
          </w:p>
        </w:tc>
      </w:tr>
      <w:tr w14:paraId="2A93924E">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BCF1045">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C05A071">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F61E3EF">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D715E4C">
            <w:pPr>
              <w:widowControl/>
              <w:spacing w:line="360" w:lineRule="auto"/>
              <w:contextualSpacing/>
              <w:jc w:val="center"/>
              <w:rPr>
                <w:rFonts w:hint="eastAsia" w:ascii="宋体" w:hAnsi="宋体" w:cs="宋体"/>
                <w:color w:val="auto"/>
                <w:kern w:val="0"/>
                <w:sz w:val="24"/>
                <w:highlight w:val="none"/>
              </w:rPr>
            </w:pPr>
          </w:p>
        </w:tc>
      </w:tr>
      <w:tr w14:paraId="2DADC78C">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E4C4069">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87A27CE">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38301C6">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0DD0483">
            <w:pPr>
              <w:widowControl/>
              <w:spacing w:line="360" w:lineRule="auto"/>
              <w:contextualSpacing/>
              <w:jc w:val="center"/>
              <w:rPr>
                <w:rFonts w:hint="eastAsia" w:ascii="宋体" w:hAnsi="宋体" w:cs="宋体"/>
                <w:color w:val="auto"/>
                <w:kern w:val="0"/>
                <w:sz w:val="24"/>
                <w:highlight w:val="none"/>
              </w:rPr>
            </w:pPr>
          </w:p>
        </w:tc>
      </w:tr>
    </w:tbl>
    <w:p w14:paraId="1177D897">
      <w:pPr>
        <w:spacing w:line="360" w:lineRule="auto"/>
        <w:contextualSpacing/>
        <w:jc w:val="left"/>
        <w:rPr>
          <w:rFonts w:hint="eastAsia" w:ascii="宋体" w:hAnsi="宋体"/>
          <w:color w:val="auto"/>
          <w:sz w:val="24"/>
          <w:highlight w:val="none"/>
        </w:rPr>
      </w:pPr>
      <w:r>
        <w:rPr>
          <w:rFonts w:hint="eastAsia" w:ascii="宋体" w:hAnsi="宋体"/>
          <w:color w:val="auto"/>
          <w:sz w:val="24"/>
          <w:highlight w:val="none"/>
        </w:rPr>
        <w:t>注：</w:t>
      </w:r>
    </w:p>
    <w:p w14:paraId="25E0C134">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43B63D05">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7254D5A1">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3.供应商不存在直接管理关系的，则在“直接管理关系单位名称”填“无”。</w:t>
      </w:r>
    </w:p>
    <w:p w14:paraId="37DAB512">
      <w:pPr>
        <w:spacing w:line="360" w:lineRule="auto"/>
        <w:contextualSpacing/>
        <w:jc w:val="left"/>
        <w:rPr>
          <w:rFonts w:hint="eastAsia" w:ascii="宋体" w:hAnsi="宋体"/>
          <w:color w:val="auto"/>
          <w:sz w:val="28"/>
          <w:szCs w:val="28"/>
          <w:highlight w:val="none"/>
        </w:rPr>
      </w:pPr>
    </w:p>
    <w:p w14:paraId="66DB21C4">
      <w:pPr>
        <w:spacing w:line="360" w:lineRule="auto"/>
        <w:contextualSpacing/>
        <w:jc w:val="left"/>
        <w:rPr>
          <w:rFonts w:hint="eastAsia" w:ascii="宋体" w:hAnsi="宋体"/>
          <w:color w:val="auto"/>
          <w:sz w:val="28"/>
          <w:szCs w:val="28"/>
          <w:highlight w:val="none"/>
        </w:rPr>
      </w:pPr>
    </w:p>
    <w:p w14:paraId="28554EBE">
      <w:pPr>
        <w:spacing w:line="360" w:lineRule="auto"/>
        <w:contextualSpacing/>
        <w:jc w:val="left"/>
        <w:rPr>
          <w:color w:val="auto"/>
          <w:sz w:val="28"/>
          <w:szCs w:val="28"/>
          <w:highlight w:val="none"/>
        </w:rPr>
      </w:pPr>
    </w:p>
    <w:p w14:paraId="41B1A8A8">
      <w:pPr>
        <w:spacing w:line="360" w:lineRule="auto"/>
        <w:contextualSpacing/>
        <w:jc w:val="left"/>
        <w:rPr>
          <w:color w:val="auto"/>
          <w:sz w:val="28"/>
          <w:szCs w:val="28"/>
          <w:highlight w:val="none"/>
        </w:rPr>
      </w:pPr>
    </w:p>
    <w:p w14:paraId="08C3CB9F">
      <w:pPr>
        <w:spacing w:line="360" w:lineRule="auto"/>
        <w:contextualSpacing/>
        <w:jc w:val="left"/>
        <w:rPr>
          <w:color w:val="auto"/>
          <w:sz w:val="28"/>
          <w:szCs w:val="28"/>
          <w:highlight w:val="none"/>
        </w:rPr>
      </w:pPr>
    </w:p>
    <w:p w14:paraId="52980207">
      <w:pPr>
        <w:spacing w:line="360" w:lineRule="auto"/>
        <w:contextualSpacing/>
        <w:jc w:val="left"/>
        <w:rPr>
          <w:rFonts w:hint="eastAsia" w:ascii="宋体" w:hAnsi="宋体"/>
          <w:color w:val="auto"/>
          <w:sz w:val="28"/>
          <w:szCs w:val="28"/>
          <w:highlight w:val="none"/>
        </w:rPr>
      </w:pPr>
    </w:p>
    <w:p w14:paraId="466D31B5">
      <w:pPr>
        <w:spacing w:line="360" w:lineRule="auto"/>
        <w:ind w:right="480"/>
        <w:contextualSpacing/>
        <w:jc w:val="center"/>
        <w:rPr>
          <w:rFonts w:hint="eastAsia" w:ascii="宋体" w:hAnsi="宋体"/>
          <w:color w:val="auto"/>
          <w:sz w:val="24"/>
          <w:highlight w:val="none"/>
          <w:u w:val="single"/>
        </w:rPr>
      </w:pPr>
      <w:r>
        <w:rPr>
          <w:rFonts w:hint="eastAsia" w:ascii="宋体" w:hAnsi="宋体"/>
          <w:color w:val="auto"/>
          <w:sz w:val="24"/>
          <w:highlight w:val="none"/>
        </w:rPr>
        <w:t>法定代表人或者委托代理人（签字或者电子签名）：</w:t>
      </w:r>
    </w:p>
    <w:p w14:paraId="46FA57BE">
      <w:pPr>
        <w:spacing w:line="360" w:lineRule="auto"/>
        <w:ind w:right="480" w:firstLine="3360" w:firstLineChars="1400"/>
        <w:contextualSpacing/>
        <w:rPr>
          <w:rFonts w:hint="eastAsia" w:ascii="宋体" w:hAnsi="宋体"/>
          <w:color w:val="auto"/>
          <w:sz w:val="24"/>
          <w:highlight w:val="none"/>
        </w:rPr>
      </w:pPr>
      <w:r>
        <w:rPr>
          <w:rFonts w:hint="eastAsia" w:ascii="宋体" w:hAnsi="宋体"/>
          <w:color w:val="auto"/>
          <w:sz w:val="24"/>
          <w:highlight w:val="none"/>
        </w:rPr>
        <w:t>供应商（电子签章）：</w:t>
      </w:r>
    </w:p>
    <w:p w14:paraId="4E39BB7D">
      <w:pPr>
        <w:spacing w:line="360" w:lineRule="auto"/>
        <w:ind w:firstLine="480" w:firstLineChars="200"/>
        <w:contextualSpacing/>
        <w:jc w:val="left"/>
        <w:rPr>
          <w:rFonts w:hint="eastAsia" w:ascii="宋体" w:hAnsi="宋体"/>
          <w:color w:val="auto"/>
          <w:sz w:val="28"/>
          <w:szCs w:val="28"/>
          <w:highlight w:val="none"/>
        </w:rPr>
      </w:pPr>
      <w:r>
        <w:rPr>
          <w:rFonts w:hint="eastAsia" w:ascii="宋体" w:hAnsi="宋体"/>
          <w:color w:val="auto"/>
          <w:sz w:val="24"/>
          <w:highlight w:val="none"/>
        </w:rPr>
        <w:t xml:space="preserve">                                        年    月    日</w:t>
      </w:r>
    </w:p>
    <w:p w14:paraId="17128C03">
      <w:pPr>
        <w:spacing w:line="320" w:lineRule="exact"/>
        <w:jc w:val="center"/>
        <w:rPr>
          <w:rFonts w:hint="eastAsia" w:ascii="宋体" w:hAnsi="宋体"/>
          <w:b/>
          <w:color w:val="auto"/>
          <w:sz w:val="32"/>
          <w:szCs w:val="32"/>
          <w:highlight w:val="none"/>
        </w:rPr>
      </w:pPr>
      <w:r>
        <w:rPr>
          <w:rFonts w:ascii="宋体" w:hAnsi="宋体"/>
          <w:color w:val="auto"/>
          <w:sz w:val="28"/>
          <w:szCs w:val="28"/>
          <w:highlight w:val="none"/>
        </w:rPr>
        <w:br w:type="page"/>
      </w:r>
      <w:r>
        <w:rPr>
          <w:rFonts w:hint="eastAsia" w:ascii="宋体" w:hAnsi="宋体"/>
          <w:b/>
          <w:color w:val="auto"/>
          <w:sz w:val="32"/>
          <w:szCs w:val="32"/>
          <w:highlight w:val="none"/>
        </w:rPr>
        <w:t>竞标声明</w:t>
      </w:r>
    </w:p>
    <w:p w14:paraId="63C567A2">
      <w:pPr>
        <w:spacing w:line="320" w:lineRule="exact"/>
        <w:jc w:val="center"/>
        <w:rPr>
          <w:rFonts w:hint="eastAsia" w:ascii="宋体" w:hAnsi="宋体"/>
          <w:color w:val="auto"/>
          <w:sz w:val="24"/>
          <w:szCs w:val="20"/>
          <w:highlight w:val="none"/>
        </w:rPr>
      </w:pPr>
    </w:p>
    <w:p w14:paraId="4F95B04C">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69F297E8">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p>
    <w:p w14:paraId="2FEB3AED">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14:paraId="0635224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558B34CD">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olor w:val="auto"/>
          <w:sz w:val="24"/>
          <w:highlight w:val="none"/>
        </w:rPr>
        <w:t>我方不是为本次采购项目提供整体设计、规范编制或者项目管理、监理、检测等服务的供应商</w:t>
      </w:r>
      <w:r>
        <w:rPr>
          <w:rFonts w:hint="eastAsia" w:ascii="宋体" w:hAnsi="宋体" w:cs="宋体"/>
          <w:color w:val="auto"/>
          <w:sz w:val="24"/>
          <w:highlight w:val="none"/>
        </w:rPr>
        <w:t>。</w:t>
      </w:r>
    </w:p>
    <w:p w14:paraId="6C0AFBFE">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3.在此，我方宣布同意如下：</w:t>
      </w:r>
    </w:p>
    <w:p w14:paraId="137FE534">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240E4008">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5CFFEA46">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（3）同意提供按照贵方可能要求的与磋商有关的一切数据或者资料；</w:t>
      </w:r>
    </w:p>
    <w:p w14:paraId="0AA96854">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（4）响应磋商文件规定的竞标有效期。</w:t>
      </w:r>
    </w:p>
    <w:p w14:paraId="1A2987F8">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02CA71A8">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（1）具有独立承担民事责任的能力；</w:t>
      </w:r>
    </w:p>
    <w:p w14:paraId="28C5530B">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2536FFFB">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05FB8920">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7E823C84">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6D27D01D">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（6）法律、行政法规规定的其他条件。</w:t>
      </w:r>
    </w:p>
    <w:p w14:paraId="759AF37E">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718ABC62">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66DF438C">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377A98BD">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p>
    <w:p w14:paraId="02D20A5F">
      <w:pPr>
        <w:pStyle w:val="22"/>
        <w:spacing w:line="360" w:lineRule="auto"/>
        <w:ind w:firstLine="480" w:firstLineChars="200"/>
        <w:contextualSpacing/>
        <w:rPr>
          <w:rFonts w:hint="eastAsia" w:hAnsi="宋体" w:cs="宋体"/>
          <w:color w:val="auto"/>
          <w:sz w:val="24"/>
          <w:szCs w:val="24"/>
          <w:highlight w:val="none"/>
          <w:u w:val="single"/>
        </w:rPr>
      </w:pPr>
      <w:r>
        <w:rPr>
          <w:rFonts w:hint="eastAsia" w:hAnsi="宋体" w:cs="宋体"/>
          <w:color w:val="auto"/>
          <w:sz w:val="24"/>
          <w:szCs w:val="24"/>
          <w:highlight w:val="none"/>
        </w:rPr>
        <w:t>7.与本磋商有关的一切正式往来信函请寄：邮政编号：</w:t>
      </w:r>
    </w:p>
    <w:p w14:paraId="056B00B2">
      <w:pPr>
        <w:pStyle w:val="22"/>
        <w:spacing w:line="360" w:lineRule="auto"/>
        <w:ind w:firstLine="480" w:firstLineChars="200"/>
        <w:contextualSpacing/>
        <w:rPr>
          <w:rFonts w:hint="eastAsia" w:hAnsi="宋体" w:cs="宋体"/>
          <w:color w:val="auto"/>
          <w:sz w:val="24"/>
          <w:szCs w:val="24"/>
          <w:highlight w:val="none"/>
        </w:rPr>
      </w:pPr>
      <w:r>
        <w:rPr>
          <w:rFonts w:hint="eastAsia" w:hAnsi="宋体" w:cs="宋体"/>
          <w:color w:val="auto"/>
          <w:sz w:val="24"/>
          <w:szCs w:val="24"/>
          <w:highlight w:val="none"/>
        </w:rPr>
        <w:t>电话/传真： 电子邮箱：</w:t>
      </w:r>
    </w:p>
    <w:p w14:paraId="2E4C4D47">
      <w:pPr>
        <w:pStyle w:val="20"/>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开户银行：  帐号：</w:t>
      </w:r>
    </w:p>
    <w:p w14:paraId="57B65763">
      <w:pPr>
        <w:pStyle w:val="20"/>
        <w:tabs>
          <w:tab w:val="left" w:pos="939"/>
        </w:tabs>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0BE3A890">
      <w:pPr>
        <w:pStyle w:val="20"/>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特此承诺。</w:t>
      </w:r>
    </w:p>
    <w:p w14:paraId="71861085">
      <w:pPr>
        <w:spacing w:line="360" w:lineRule="auto"/>
        <w:contextualSpacing/>
        <w:jc w:val="left"/>
        <w:rPr>
          <w:rFonts w:hint="eastAsia" w:ascii="宋体" w:hAnsi="宋体"/>
          <w:b/>
          <w:color w:val="auto"/>
          <w:sz w:val="24"/>
          <w:highlight w:val="none"/>
        </w:rPr>
      </w:pPr>
    </w:p>
    <w:p w14:paraId="0B7EC1A6">
      <w:pPr>
        <w:spacing w:line="360" w:lineRule="auto"/>
        <w:contextualSpacing/>
        <w:jc w:val="left"/>
        <w:rPr>
          <w:rFonts w:hint="eastAsia" w:ascii="宋体" w:hAnsi="宋体" w:cs="宋体"/>
          <w:color w:val="auto"/>
          <w:szCs w:val="21"/>
          <w:highlight w:val="none"/>
        </w:rPr>
      </w:pPr>
    </w:p>
    <w:p w14:paraId="278A9A01">
      <w:pPr>
        <w:spacing w:line="360" w:lineRule="auto"/>
        <w:ind w:firstLine="1575" w:firstLineChars="750"/>
        <w:contextualSpacing/>
        <w:rPr>
          <w:color w:val="auto"/>
          <w:highlight w:val="none"/>
        </w:rPr>
      </w:pPr>
      <w:r>
        <w:rPr>
          <w:rFonts w:hint="eastAsia"/>
          <w:color w:val="auto"/>
          <w:highlight w:val="none"/>
        </w:rPr>
        <w:t>法定代表人（</w:t>
      </w:r>
      <w:r>
        <w:rPr>
          <w:rFonts w:hint="eastAsia" w:ascii="宋体" w:hAnsi="宋体"/>
          <w:color w:val="auto"/>
          <w:sz w:val="24"/>
          <w:highlight w:val="none"/>
        </w:rPr>
        <w:t>签字或者盖章或者电子签名</w:t>
      </w:r>
      <w:r>
        <w:rPr>
          <w:rFonts w:hint="eastAsia"/>
          <w:color w:val="auto"/>
          <w:highlight w:val="none"/>
        </w:rPr>
        <w:t>）：</w:t>
      </w:r>
    </w:p>
    <w:p w14:paraId="794C6B5E">
      <w:pPr>
        <w:spacing w:line="360" w:lineRule="auto"/>
        <w:ind w:firstLine="1800" w:firstLineChars="750"/>
        <w:contextualSpacing/>
        <w:rPr>
          <w:rFonts w:hint="eastAsia" w:ascii="宋体" w:hAnsi="宋体"/>
          <w:color w:val="auto"/>
          <w:sz w:val="24"/>
          <w:highlight w:val="none"/>
        </w:rPr>
      </w:pPr>
      <w:r>
        <w:rPr>
          <w:rFonts w:hint="eastAsia" w:ascii="宋体" w:hAnsi="宋体"/>
          <w:color w:val="auto"/>
          <w:sz w:val="24"/>
          <w:highlight w:val="none"/>
        </w:rPr>
        <w:t>供应商（电子签章）：</w:t>
      </w:r>
    </w:p>
    <w:p w14:paraId="04B36C0E">
      <w:pPr>
        <w:ind w:firstLine="1800" w:firstLineChars="750"/>
        <w:rPr>
          <w:rFonts w:hint="eastAsia" w:ascii="宋体" w:hAnsi="宋体"/>
          <w:color w:val="auto"/>
          <w:sz w:val="24"/>
          <w:highlight w:val="none"/>
        </w:rPr>
      </w:pPr>
      <w:r>
        <w:rPr>
          <w:rFonts w:hint="eastAsia" w:ascii="宋体" w:hAnsi="宋体"/>
          <w:color w:val="auto"/>
          <w:sz w:val="24"/>
          <w:highlight w:val="none"/>
        </w:rPr>
        <w:t>年月日</w:t>
      </w:r>
    </w:p>
    <w:p w14:paraId="6E7F1826">
      <w:pPr>
        <w:spacing w:line="360" w:lineRule="auto"/>
        <w:ind w:right="480" w:firstLine="240" w:firstLineChars="100"/>
        <w:contextualSpacing/>
        <w:jc w:val="center"/>
        <w:rPr>
          <w:rFonts w:hint="eastAsia" w:ascii="宋体" w:hAnsi="宋体"/>
          <w:b/>
          <w:bCs/>
          <w:color w:val="auto"/>
          <w:sz w:val="32"/>
          <w:szCs w:val="32"/>
          <w:highlight w:val="none"/>
        </w:rPr>
      </w:pPr>
      <w:r>
        <w:rPr>
          <w:rFonts w:hint="eastAsia"/>
          <w:color w:val="auto"/>
          <w:sz w:val="24"/>
          <w:highlight w:val="none"/>
        </w:rPr>
        <w:br w:type="page"/>
      </w:r>
    </w:p>
    <w:p w14:paraId="338F3A8D">
      <w:pPr>
        <w:pStyle w:val="3"/>
        <w:rPr>
          <w:rFonts w:hint="eastAsia" w:ascii="宋体" w:hAnsi="宋体"/>
          <w:color w:val="auto"/>
          <w:highlight w:val="none"/>
        </w:rPr>
      </w:pPr>
      <w:r>
        <w:rPr>
          <w:rFonts w:hint="eastAsia" w:ascii="宋体" w:hAnsi="宋体"/>
          <w:color w:val="auto"/>
          <w:highlight w:val="none"/>
        </w:rPr>
        <w:t xml:space="preserve">二、报价文件格式 </w:t>
      </w:r>
    </w:p>
    <w:p w14:paraId="3E000208">
      <w:pPr>
        <w:snapToGrid w:val="0"/>
        <w:spacing w:before="156" w:beforeLines="50" w:after="50" w:line="360" w:lineRule="auto"/>
        <w:jc w:val="left"/>
        <w:rPr>
          <w:rFonts w:hint="eastAsia" w:ascii="宋体" w:hAnsi="宋体"/>
          <w:b/>
          <w:color w:val="auto"/>
          <w:sz w:val="32"/>
          <w:szCs w:val="32"/>
          <w:highlight w:val="none"/>
        </w:rPr>
      </w:pPr>
      <w:r>
        <w:rPr>
          <w:rFonts w:hint="eastAsia" w:ascii="宋体" w:hAnsi="宋体"/>
          <w:b/>
          <w:color w:val="auto"/>
          <w:sz w:val="32"/>
          <w:szCs w:val="32"/>
          <w:highlight w:val="none"/>
        </w:rPr>
        <w:t>1.报价文件封面格式</w:t>
      </w:r>
    </w:p>
    <w:p w14:paraId="43AEBC9D">
      <w:pPr>
        <w:snapToGrid w:val="0"/>
        <w:spacing w:before="156" w:beforeLines="50" w:after="50"/>
        <w:rPr>
          <w:rFonts w:hint="eastAsia" w:ascii="宋体" w:hAnsi="宋体"/>
          <w:bCs/>
          <w:color w:val="auto"/>
          <w:sz w:val="32"/>
          <w:szCs w:val="20"/>
          <w:highlight w:val="none"/>
        </w:rPr>
      </w:pPr>
    </w:p>
    <w:p w14:paraId="63D081F1">
      <w:pPr>
        <w:snapToGrid w:val="0"/>
        <w:spacing w:before="156" w:beforeLines="50" w:after="50"/>
        <w:jc w:val="center"/>
        <w:rPr>
          <w:rFonts w:hint="eastAsia" w:ascii="宋体" w:hAnsi="宋体"/>
          <w:color w:val="auto"/>
          <w:sz w:val="24"/>
          <w:szCs w:val="20"/>
          <w:highlight w:val="none"/>
        </w:rPr>
      </w:pPr>
      <w:r>
        <w:rPr>
          <w:rFonts w:hint="eastAsia" w:ascii="宋体" w:hAnsi="宋体"/>
          <w:color w:val="auto"/>
          <w:sz w:val="44"/>
          <w:szCs w:val="44"/>
          <w:highlight w:val="none"/>
        </w:rPr>
        <w:t>电 子 响 应 文 件</w:t>
      </w:r>
    </w:p>
    <w:p w14:paraId="27D2DFE0">
      <w:pPr>
        <w:snapToGrid w:val="0"/>
        <w:spacing w:before="156" w:beforeLines="50" w:after="50"/>
        <w:rPr>
          <w:rFonts w:hint="eastAsia" w:ascii="宋体" w:hAnsi="宋体"/>
          <w:color w:val="auto"/>
          <w:sz w:val="24"/>
          <w:szCs w:val="20"/>
          <w:highlight w:val="none"/>
        </w:rPr>
      </w:pPr>
    </w:p>
    <w:p w14:paraId="65B8F8B8">
      <w:pPr>
        <w:snapToGrid w:val="0"/>
        <w:spacing w:before="156" w:beforeLines="50" w:after="50"/>
        <w:rPr>
          <w:rFonts w:hint="eastAsia" w:ascii="宋体" w:hAnsi="宋体"/>
          <w:color w:val="auto"/>
          <w:sz w:val="24"/>
          <w:szCs w:val="20"/>
          <w:highlight w:val="none"/>
        </w:rPr>
      </w:pPr>
    </w:p>
    <w:p w14:paraId="19883CE8">
      <w:pPr>
        <w:snapToGrid w:val="0"/>
        <w:spacing w:before="156"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报  价  文  件</w:t>
      </w:r>
    </w:p>
    <w:p w14:paraId="5716368D">
      <w:pPr>
        <w:snapToGrid w:val="0"/>
        <w:spacing w:before="156" w:beforeLines="50" w:after="50"/>
        <w:rPr>
          <w:rFonts w:hint="eastAsia" w:ascii="宋体" w:hAnsi="宋体"/>
          <w:bCs/>
          <w:color w:val="auto"/>
          <w:sz w:val="24"/>
          <w:szCs w:val="20"/>
          <w:highlight w:val="none"/>
        </w:rPr>
      </w:pPr>
    </w:p>
    <w:p w14:paraId="3474C31C">
      <w:pPr>
        <w:snapToGrid w:val="0"/>
        <w:spacing w:before="156" w:beforeLines="50" w:after="50"/>
        <w:rPr>
          <w:rFonts w:hint="eastAsia" w:ascii="宋体" w:hAnsi="宋体"/>
          <w:bCs/>
          <w:color w:val="auto"/>
          <w:sz w:val="24"/>
          <w:szCs w:val="20"/>
          <w:highlight w:val="none"/>
        </w:rPr>
      </w:pPr>
    </w:p>
    <w:p w14:paraId="3B64D66E">
      <w:pPr>
        <w:snapToGrid w:val="0"/>
        <w:spacing w:before="156" w:beforeLines="50" w:after="50"/>
        <w:rPr>
          <w:rFonts w:hint="eastAsia" w:ascii="宋体" w:hAnsi="宋体"/>
          <w:bCs/>
          <w:color w:val="auto"/>
          <w:sz w:val="24"/>
          <w:szCs w:val="20"/>
          <w:highlight w:val="none"/>
        </w:rPr>
      </w:pPr>
    </w:p>
    <w:p w14:paraId="3A72E903">
      <w:pPr>
        <w:snapToGrid w:val="0"/>
        <w:spacing w:before="156" w:beforeLines="50" w:after="50"/>
        <w:rPr>
          <w:rFonts w:hint="eastAsia" w:ascii="宋体" w:hAnsi="宋体"/>
          <w:bCs/>
          <w:color w:val="auto"/>
          <w:sz w:val="24"/>
          <w:szCs w:val="20"/>
          <w:highlight w:val="none"/>
        </w:rPr>
      </w:pPr>
    </w:p>
    <w:p w14:paraId="115B23E9">
      <w:pPr>
        <w:snapToGrid w:val="0"/>
        <w:spacing w:before="156" w:beforeLines="50" w:after="50"/>
        <w:rPr>
          <w:rFonts w:hint="eastAsia" w:ascii="宋体" w:hAnsi="宋体"/>
          <w:bCs/>
          <w:color w:val="auto"/>
          <w:sz w:val="24"/>
          <w:szCs w:val="20"/>
          <w:highlight w:val="none"/>
        </w:rPr>
      </w:pPr>
    </w:p>
    <w:p w14:paraId="2C567E19">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0F5FE996">
      <w:pPr>
        <w:snapToGrid w:val="0"/>
        <w:spacing w:before="156" w:beforeLines="50" w:after="50"/>
        <w:ind w:firstLine="720" w:firstLineChars="225"/>
        <w:rPr>
          <w:rFonts w:hint="eastAsia" w:ascii="宋体" w:hAnsi="宋体" w:cs="仿宋_GB2312"/>
          <w:bCs/>
          <w:color w:val="auto"/>
          <w:sz w:val="32"/>
          <w:szCs w:val="32"/>
          <w:highlight w:val="none"/>
        </w:rPr>
      </w:pPr>
    </w:p>
    <w:p w14:paraId="2E16CACD">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5B8B530C">
      <w:pPr>
        <w:snapToGrid w:val="0"/>
        <w:spacing w:before="156" w:beforeLines="50" w:after="50"/>
        <w:ind w:firstLine="720" w:firstLineChars="225"/>
        <w:rPr>
          <w:rFonts w:hint="eastAsia" w:ascii="宋体" w:hAnsi="宋体" w:cs="仿宋_GB2312"/>
          <w:bCs/>
          <w:color w:val="auto"/>
          <w:sz w:val="32"/>
          <w:szCs w:val="32"/>
          <w:highlight w:val="none"/>
        </w:rPr>
      </w:pPr>
    </w:p>
    <w:p w14:paraId="72A88773">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5D80A8D8">
      <w:pPr>
        <w:snapToGrid w:val="0"/>
        <w:spacing w:before="156" w:beforeLines="50" w:after="50"/>
        <w:ind w:firstLine="720" w:firstLineChars="225"/>
        <w:rPr>
          <w:rFonts w:hint="eastAsia" w:ascii="宋体" w:hAnsi="宋体" w:cs="仿宋_GB2312"/>
          <w:bCs/>
          <w:color w:val="auto"/>
          <w:sz w:val="32"/>
          <w:szCs w:val="32"/>
          <w:highlight w:val="none"/>
        </w:rPr>
      </w:pPr>
    </w:p>
    <w:p w14:paraId="4D03CC3C">
      <w:pPr>
        <w:pStyle w:val="7"/>
        <w:snapToGrid w:val="0"/>
        <w:spacing w:before="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1774563A">
      <w:pPr>
        <w:pStyle w:val="7"/>
        <w:snapToGrid w:val="0"/>
        <w:spacing w:before="50" w:after="50"/>
        <w:ind w:firstLine="640" w:firstLineChars="200"/>
        <w:rPr>
          <w:rFonts w:hint="eastAsia" w:ascii="宋体" w:hAnsi="宋体" w:cs="仿宋_GB2312"/>
          <w:bCs/>
          <w:color w:val="auto"/>
          <w:sz w:val="32"/>
          <w:szCs w:val="32"/>
          <w:highlight w:val="none"/>
        </w:rPr>
      </w:pPr>
    </w:p>
    <w:p w14:paraId="098D82F5">
      <w:pPr>
        <w:pStyle w:val="7"/>
        <w:snapToGrid w:val="0"/>
        <w:spacing w:before="50" w:after="50"/>
        <w:ind w:firstLine="720" w:firstLineChars="225"/>
        <w:rPr>
          <w:rFonts w:hint="eastAsia" w:ascii="宋体" w:hAnsi="宋体" w:cs="仿宋_GB2312"/>
          <w:bCs/>
          <w:color w:val="auto"/>
          <w:sz w:val="32"/>
          <w:szCs w:val="32"/>
          <w:highlight w:val="none"/>
        </w:rPr>
      </w:pPr>
    </w:p>
    <w:p w14:paraId="06CED31D">
      <w:pPr>
        <w:pStyle w:val="7"/>
        <w:snapToGrid w:val="0"/>
        <w:spacing w:before="50" w:after="50"/>
        <w:ind w:firstLine="0"/>
        <w:rPr>
          <w:rFonts w:hint="eastAsia" w:ascii="宋体" w:hAnsi="宋体" w:cs="仿宋_GB2312"/>
          <w:bCs/>
          <w:color w:val="auto"/>
          <w:sz w:val="32"/>
          <w:szCs w:val="32"/>
          <w:highlight w:val="none"/>
        </w:rPr>
      </w:pPr>
    </w:p>
    <w:p w14:paraId="17DAD77D">
      <w:pPr>
        <w:pStyle w:val="7"/>
        <w:snapToGrid w:val="0"/>
        <w:spacing w:before="50" w:after="50"/>
        <w:ind w:firstLine="1280" w:firstLineChars="400"/>
        <w:rPr>
          <w:rFonts w:hint="eastAsia" w:ascii="宋体" w:hAnsi="宋体" w:cs="仿宋_GB2312"/>
          <w:bCs/>
          <w:color w:val="auto"/>
          <w:sz w:val="32"/>
          <w:szCs w:val="32"/>
          <w:highlight w:val="none"/>
        </w:rPr>
      </w:pPr>
    </w:p>
    <w:p w14:paraId="674A59BE">
      <w:pPr>
        <w:snapToGrid w:val="0"/>
        <w:spacing w:before="156"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7A5AC1CF">
      <w:pPr>
        <w:snapToGrid w:val="0"/>
        <w:spacing w:before="156" w:beforeLines="50" w:after="50" w:line="360" w:lineRule="auto"/>
        <w:ind w:left="142"/>
        <w:jc w:val="left"/>
        <w:rPr>
          <w:rFonts w:hint="eastAsia" w:ascii="宋体" w:hAnsi="宋体"/>
          <w:b/>
          <w:bCs/>
          <w:color w:val="auto"/>
          <w:sz w:val="24"/>
          <w:highlight w:val="none"/>
        </w:rPr>
      </w:pPr>
      <w:r>
        <w:rPr>
          <w:rFonts w:hint="eastAsia" w:ascii="宋体" w:hAnsi="宋体"/>
          <w:color w:val="auto"/>
          <w:szCs w:val="21"/>
          <w:highlight w:val="none"/>
        </w:rPr>
        <w:br w:type="page"/>
      </w:r>
      <w:r>
        <w:rPr>
          <w:rFonts w:hint="eastAsia" w:ascii="宋体" w:hAnsi="宋体"/>
          <w:b/>
          <w:bCs/>
          <w:color w:val="auto"/>
          <w:sz w:val="32"/>
          <w:szCs w:val="32"/>
          <w:highlight w:val="none"/>
        </w:rPr>
        <w:t>2.报价文件目录</w:t>
      </w:r>
    </w:p>
    <w:p w14:paraId="5A004909">
      <w:pPr>
        <w:spacing w:line="520" w:lineRule="exact"/>
        <w:jc w:val="center"/>
        <w:rPr>
          <w:rFonts w:hint="eastAsia" w:ascii="方正小标宋简体" w:hAnsi="方正小标宋简体" w:eastAsia="方正小标宋简体" w:cs="方正小标宋简体"/>
          <w:bCs/>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r>
        <w:rPr>
          <w:rFonts w:ascii="宋体" w:hAnsi="宋体"/>
          <w:b/>
          <w:bCs/>
          <w:color w:val="auto"/>
          <w:sz w:val="32"/>
          <w:szCs w:val="32"/>
          <w:highlight w:val="none"/>
        </w:rPr>
        <w:br w:type="page"/>
      </w:r>
      <w:r>
        <w:rPr>
          <w:rFonts w:hint="eastAsia" w:ascii="方正小标宋简体" w:hAnsi="方正小标宋简体" w:eastAsia="方正小标宋简体" w:cs="方正小标宋简体"/>
          <w:bCs/>
          <w:color w:val="auto"/>
          <w:sz w:val="44"/>
          <w:szCs w:val="44"/>
          <w:highlight w:val="none"/>
        </w:rPr>
        <w:t>竞  标  报  价  表</w:t>
      </w:r>
    </w:p>
    <w:p w14:paraId="06577DCB">
      <w:pPr>
        <w:spacing w:line="440" w:lineRule="exact"/>
        <w:jc w:val="center"/>
        <w:rPr>
          <w:rFonts w:hint="eastAsia" w:ascii="方正小标宋简体" w:hAnsi="方正小标宋简体" w:eastAsia="方正小标宋简体" w:cs="方正小标宋简体"/>
          <w:bCs/>
          <w:color w:val="auto"/>
          <w:sz w:val="32"/>
          <w:szCs w:val="32"/>
          <w:highlight w:val="none"/>
        </w:rPr>
      </w:pPr>
    </w:p>
    <w:p w14:paraId="7B4AB44C">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项目名称：</w:t>
      </w:r>
      <w:r>
        <w:rPr>
          <w:rFonts w:hint="eastAsia" w:ascii="宋体" w:hAnsi="宋体" w:cs="仿宋_GB2312"/>
          <w:color w:val="auto"/>
          <w:sz w:val="24"/>
          <w:highlight w:val="none"/>
          <w:lang w:val="en-US" w:eastAsia="zh-CN"/>
        </w:rPr>
        <w:t xml:space="preserve">                               </w:t>
      </w:r>
      <w:r>
        <w:rPr>
          <w:rFonts w:hint="eastAsia" w:ascii="宋体" w:hAnsi="宋体" w:cs="仿宋_GB2312"/>
          <w:color w:val="auto"/>
          <w:sz w:val="24"/>
          <w:highlight w:val="none"/>
        </w:rPr>
        <w:t>项目编号：</w:t>
      </w:r>
    </w:p>
    <w:p w14:paraId="412F6FF6">
      <w:pPr>
        <w:spacing w:line="360" w:lineRule="auto"/>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分标（如有）：</w:t>
      </w:r>
    </w:p>
    <w:p w14:paraId="4A5853BA">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供应商名称：</w:t>
      </w:r>
    </w:p>
    <w:p w14:paraId="2BBF08BC">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单位：元</w:t>
      </w:r>
    </w:p>
    <w:tbl>
      <w:tblPr>
        <w:tblStyle w:val="36"/>
        <w:tblW w:w="909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3428"/>
        <w:gridCol w:w="2368"/>
      </w:tblGrid>
      <w:tr w14:paraId="06F27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51EB8B4A">
            <w:pPr>
              <w:spacing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序号</w:t>
            </w:r>
          </w:p>
        </w:tc>
        <w:tc>
          <w:tcPr>
            <w:tcW w:w="2712" w:type="dxa"/>
            <w:tcBorders>
              <w:top w:val="single" w:color="auto" w:sz="4" w:space="0"/>
              <w:left w:val="single" w:color="auto" w:sz="4" w:space="0"/>
              <w:bottom w:val="single" w:color="auto" w:sz="4" w:space="0"/>
              <w:right w:val="single" w:color="auto" w:sz="4" w:space="0"/>
            </w:tcBorders>
            <w:vAlign w:val="center"/>
          </w:tcPr>
          <w:p w14:paraId="71AE9584">
            <w:pPr>
              <w:spacing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服务名称</w:t>
            </w:r>
          </w:p>
        </w:tc>
        <w:tc>
          <w:tcPr>
            <w:tcW w:w="3428" w:type="dxa"/>
            <w:tcBorders>
              <w:top w:val="single" w:color="auto" w:sz="4" w:space="0"/>
              <w:left w:val="single" w:color="auto" w:sz="4" w:space="0"/>
              <w:bottom w:val="single" w:color="auto" w:sz="4" w:space="0"/>
              <w:right w:val="single" w:color="auto" w:sz="4" w:space="0"/>
            </w:tcBorders>
            <w:vAlign w:val="center"/>
          </w:tcPr>
          <w:p w14:paraId="6DA14170">
            <w:pPr>
              <w:spacing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总报价（元）</w:t>
            </w:r>
          </w:p>
        </w:tc>
        <w:tc>
          <w:tcPr>
            <w:tcW w:w="2368" w:type="dxa"/>
            <w:tcBorders>
              <w:top w:val="single" w:color="auto" w:sz="4" w:space="0"/>
              <w:left w:val="single" w:color="auto" w:sz="4" w:space="0"/>
              <w:bottom w:val="single" w:color="auto" w:sz="4" w:space="0"/>
              <w:right w:val="single" w:color="auto" w:sz="4" w:space="0"/>
            </w:tcBorders>
            <w:vAlign w:val="center"/>
          </w:tcPr>
          <w:p w14:paraId="318E0A8F">
            <w:pPr>
              <w:spacing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备注</w:t>
            </w:r>
          </w:p>
        </w:tc>
      </w:tr>
      <w:tr w14:paraId="74DB5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3B9A1553">
            <w:pPr>
              <w:spacing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1</w:t>
            </w:r>
          </w:p>
        </w:tc>
        <w:tc>
          <w:tcPr>
            <w:tcW w:w="2712" w:type="dxa"/>
            <w:tcBorders>
              <w:top w:val="single" w:color="auto" w:sz="4" w:space="0"/>
              <w:left w:val="single" w:color="auto" w:sz="4" w:space="0"/>
              <w:bottom w:val="single" w:color="auto" w:sz="4" w:space="0"/>
              <w:right w:val="single" w:color="auto" w:sz="4" w:space="0"/>
            </w:tcBorders>
            <w:vAlign w:val="center"/>
          </w:tcPr>
          <w:p w14:paraId="52C0A844">
            <w:pPr>
              <w:spacing w:line="360" w:lineRule="auto"/>
              <w:jc w:val="center"/>
              <w:rPr>
                <w:rFonts w:hint="eastAsia" w:ascii="宋体" w:hAnsi="宋体" w:eastAsia="宋体" w:cs="仿宋_GB2312"/>
                <w:color w:val="auto"/>
                <w:sz w:val="24"/>
                <w:highlight w:val="none"/>
                <w:lang w:eastAsia="zh-CN"/>
              </w:rPr>
            </w:pPr>
            <w:r>
              <w:rPr>
                <w:rFonts w:hint="eastAsia" w:ascii="宋体" w:hAnsi="宋体" w:cs="仿宋_GB2312"/>
                <w:color w:val="auto"/>
                <w:sz w:val="24"/>
                <w:highlight w:val="none"/>
                <w:lang w:eastAsia="zh-CN"/>
              </w:rPr>
              <w:t>服务重点群体就业系列招聘活动项目</w:t>
            </w:r>
          </w:p>
        </w:tc>
        <w:tc>
          <w:tcPr>
            <w:tcW w:w="3428" w:type="dxa"/>
            <w:tcBorders>
              <w:top w:val="single" w:color="auto" w:sz="4" w:space="0"/>
              <w:left w:val="single" w:color="auto" w:sz="4" w:space="0"/>
              <w:bottom w:val="single" w:color="auto" w:sz="4" w:space="0"/>
              <w:right w:val="single" w:color="auto" w:sz="4" w:space="0"/>
            </w:tcBorders>
            <w:vAlign w:val="center"/>
          </w:tcPr>
          <w:p w14:paraId="609CFAF1">
            <w:pPr>
              <w:spacing w:line="360" w:lineRule="auto"/>
              <w:ind w:firstLine="1200" w:firstLineChars="500"/>
              <w:rPr>
                <w:rFonts w:hint="eastAsia" w:ascii="宋体" w:hAnsi="宋体" w:cs="仿宋_GB2312"/>
                <w:color w:val="auto"/>
                <w:sz w:val="24"/>
                <w:highlight w:val="none"/>
              </w:rPr>
            </w:pPr>
          </w:p>
        </w:tc>
        <w:tc>
          <w:tcPr>
            <w:tcW w:w="2368" w:type="dxa"/>
            <w:tcBorders>
              <w:top w:val="single" w:color="auto" w:sz="4" w:space="0"/>
              <w:left w:val="single" w:color="auto" w:sz="4" w:space="0"/>
              <w:bottom w:val="single" w:color="auto" w:sz="4" w:space="0"/>
              <w:right w:val="single" w:color="auto" w:sz="4" w:space="0"/>
            </w:tcBorders>
          </w:tcPr>
          <w:p w14:paraId="05ACB74A">
            <w:pPr>
              <w:spacing w:line="360" w:lineRule="auto"/>
              <w:rPr>
                <w:rFonts w:hint="eastAsia" w:ascii="宋体" w:hAnsi="宋体" w:cs="仿宋_GB2312"/>
                <w:color w:val="auto"/>
                <w:sz w:val="24"/>
                <w:highlight w:val="none"/>
              </w:rPr>
            </w:pPr>
          </w:p>
        </w:tc>
      </w:tr>
      <w:tr w14:paraId="37953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right"/>
        </w:trPr>
        <w:tc>
          <w:tcPr>
            <w:tcW w:w="9095" w:type="dxa"/>
            <w:gridSpan w:val="4"/>
            <w:tcBorders>
              <w:top w:val="single" w:color="auto" w:sz="4" w:space="0"/>
              <w:left w:val="single" w:color="auto" w:sz="4" w:space="0"/>
              <w:bottom w:val="single" w:color="auto" w:sz="4" w:space="0"/>
              <w:right w:val="single" w:color="auto" w:sz="4" w:space="0"/>
            </w:tcBorders>
            <w:vAlign w:val="center"/>
          </w:tcPr>
          <w:p w14:paraId="7386BE3D">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lang w:val="en-US" w:eastAsia="zh-CN"/>
              </w:rPr>
              <w:t>服务</w:t>
            </w:r>
            <w:r>
              <w:rPr>
                <w:rFonts w:hint="eastAsia" w:ascii="宋体" w:hAnsi="宋体" w:cs="仿宋_GB2312"/>
                <w:color w:val="auto"/>
                <w:sz w:val="24"/>
                <w:highlight w:val="none"/>
              </w:rPr>
              <w:t>期限：</w:t>
            </w:r>
            <w:r>
              <w:rPr>
                <w:rFonts w:hint="eastAsia" w:ascii="宋体" w:hAnsi="宋体" w:cs="仿宋_GB2312"/>
                <w:color w:val="auto"/>
                <w:sz w:val="24"/>
                <w:highlight w:val="none"/>
                <w:lang w:eastAsia="zh-CN"/>
              </w:rPr>
              <w:t>活动拟于2025年11月至12月期间举办，</w:t>
            </w:r>
            <w:r>
              <w:rPr>
                <w:rFonts w:hint="eastAsia" w:ascii="Arial" w:hAnsi="Arial" w:cs="Arial"/>
                <w:color w:val="auto"/>
                <w:sz w:val="24"/>
                <w:highlight w:val="none"/>
                <w:lang w:val="en-US" w:eastAsia="zh-CN"/>
              </w:rPr>
              <w:t>具体以采购人通知时间为准</w:t>
            </w:r>
            <w:r>
              <w:rPr>
                <w:rFonts w:hint="eastAsia" w:ascii="宋体" w:hAnsi="宋体" w:cs="仿宋_GB2312"/>
                <w:color w:val="auto"/>
                <w:sz w:val="24"/>
                <w:highlight w:val="none"/>
              </w:rPr>
              <w:t>。</w:t>
            </w:r>
          </w:p>
        </w:tc>
      </w:tr>
    </w:tbl>
    <w:p w14:paraId="582C1D98">
      <w:pPr>
        <w:pStyle w:val="48"/>
        <w:ind w:firstLine="480"/>
        <w:rPr>
          <w:color w:val="auto"/>
          <w:highlight w:val="none"/>
        </w:rPr>
      </w:pPr>
    </w:p>
    <w:p w14:paraId="25D9C582">
      <w:pPr>
        <w:spacing w:line="360" w:lineRule="auto"/>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 xml:space="preserve">注: </w:t>
      </w:r>
    </w:p>
    <w:p w14:paraId="4FCF3752">
      <w:pPr>
        <w:spacing w:line="360" w:lineRule="auto"/>
        <w:ind w:firstLine="480" w:firstLineChars="200"/>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1.供应商的报价表必须加盖供应商电子签章并由法定代表人或者委托代理人签字或者电子签名，</w:t>
      </w:r>
      <w:r>
        <w:rPr>
          <w:rFonts w:hint="eastAsia" w:ascii="宋体" w:hAnsi="宋体" w:cs="仿宋_GB2312"/>
          <w:b/>
          <w:color w:val="auto"/>
          <w:sz w:val="24"/>
          <w:highlight w:val="none"/>
        </w:rPr>
        <w:t>否则其响应文件按无效处理</w:t>
      </w:r>
      <w:r>
        <w:rPr>
          <w:rFonts w:hint="eastAsia" w:ascii="宋体" w:hAnsi="宋体" w:cs="仿宋_GB2312"/>
          <w:color w:val="auto"/>
          <w:sz w:val="24"/>
          <w:highlight w:val="none"/>
        </w:rPr>
        <w:t>。</w:t>
      </w:r>
    </w:p>
    <w:p w14:paraId="042EA586">
      <w:pPr>
        <w:spacing w:line="360" w:lineRule="auto"/>
        <w:ind w:firstLine="480" w:firstLineChars="200"/>
        <w:contextualSpacing/>
        <w:jc w:val="left"/>
        <w:rPr>
          <w:rFonts w:hint="eastAsia" w:ascii="宋体" w:hAnsi="宋体" w:cs="仿宋_GB2312"/>
          <w:b/>
          <w:color w:val="auto"/>
          <w:sz w:val="24"/>
          <w:highlight w:val="none"/>
        </w:rPr>
      </w:pPr>
      <w:r>
        <w:rPr>
          <w:rFonts w:hint="eastAsia" w:ascii="宋体" w:hAnsi="宋体" w:cs="仿宋_GB2312"/>
          <w:bCs/>
          <w:color w:val="auto"/>
          <w:sz w:val="24"/>
          <w:highlight w:val="none"/>
        </w:rPr>
        <w:t>2.</w:t>
      </w:r>
      <w:r>
        <w:rPr>
          <w:rFonts w:hint="eastAsia" w:ascii="宋体" w:hAnsi="宋体" w:cs="仿宋_GB2312"/>
          <w:color w:val="auto"/>
          <w:sz w:val="24"/>
          <w:highlight w:val="none"/>
        </w:rPr>
        <w:t>报价一经涂改，应在涂改处加盖供应商公章或者加盖电子签章或者由法定代表人或者授权委托人签字</w:t>
      </w:r>
      <w:r>
        <w:rPr>
          <w:rFonts w:hint="eastAsia" w:ascii="宋体" w:hAnsi="宋体"/>
          <w:color w:val="auto"/>
          <w:sz w:val="24"/>
          <w:highlight w:val="none"/>
        </w:rPr>
        <w:t>（或者电子签名）</w:t>
      </w:r>
      <w:r>
        <w:rPr>
          <w:rFonts w:hint="eastAsia" w:ascii="宋体" w:hAnsi="宋体" w:cs="仿宋_GB2312"/>
          <w:b/>
          <w:color w:val="auto"/>
          <w:sz w:val="24"/>
          <w:highlight w:val="none"/>
        </w:rPr>
        <w:t>，否则其响应文件按无效处理。</w:t>
      </w:r>
    </w:p>
    <w:p w14:paraId="1DD7FD67">
      <w:pPr>
        <w:spacing w:line="360" w:lineRule="auto"/>
        <w:ind w:firstLine="480" w:firstLineChars="200"/>
        <w:contextualSpacing/>
        <w:jc w:val="left"/>
        <w:rPr>
          <w:rFonts w:hint="eastAsia" w:ascii="宋体" w:hAnsi="宋体" w:cs="仿宋_GB2312"/>
          <w:b/>
          <w:color w:val="auto"/>
          <w:sz w:val="24"/>
          <w:highlight w:val="none"/>
        </w:rPr>
      </w:pPr>
      <w:r>
        <w:rPr>
          <w:rFonts w:ascii="宋体" w:hAnsi="宋体" w:cs="仿宋_GB2312"/>
          <w:color w:val="auto"/>
          <w:sz w:val="24"/>
          <w:highlight w:val="none"/>
        </w:rPr>
        <w:t>3</w:t>
      </w:r>
      <w:r>
        <w:rPr>
          <w:rFonts w:hint="eastAsia" w:ascii="宋体" w:hAnsi="宋体" w:cs="仿宋_GB2312"/>
          <w:color w:val="auto"/>
          <w:sz w:val="24"/>
          <w:highlight w:val="none"/>
        </w:rPr>
        <w:t>.如为联合体竞标，“供应商名称”处必须列明联合体各方名称，标注联合体牵头人名称，</w:t>
      </w:r>
      <w:r>
        <w:rPr>
          <w:rFonts w:hint="eastAsia" w:ascii="宋体" w:hAnsi="宋体" w:cs="仿宋_GB2312"/>
          <w:b/>
          <w:color w:val="auto"/>
          <w:sz w:val="24"/>
          <w:highlight w:val="none"/>
        </w:rPr>
        <w:t>否则其响应文件按无效响应处理。</w:t>
      </w:r>
    </w:p>
    <w:p w14:paraId="157F7080">
      <w:pPr>
        <w:spacing w:line="360" w:lineRule="auto"/>
        <w:ind w:firstLine="480" w:firstLineChars="200"/>
        <w:contextualSpacing/>
        <w:jc w:val="left"/>
        <w:rPr>
          <w:rFonts w:hint="eastAsia" w:ascii="宋体" w:hAnsi="宋体" w:cs="仿宋_GB2312"/>
          <w:color w:val="auto"/>
          <w:sz w:val="24"/>
          <w:highlight w:val="none"/>
        </w:rPr>
      </w:pPr>
      <w:r>
        <w:rPr>
          <w:rFonts w:ascii="宋体" w:hAnsi="宋体" w:cs="仿宋_GB2312"/>
          <w:color w:val="auto"/>
          <w:sz w:val="24"/>
          <w:highlight w:val="none"/>
        </w:rPr>
        <w:t>4</w:t>
      </w:r>
      <w:r>
        <w:rPr>
          <w:rFonts w:hint="eastAsia" w:ascii="宋体" w:hAnsi="宋体" w:cs="仿宋_GB2312"/>
          <w:color w:val="auto"/>
          <w:sz w:val="24"/>
          <w:highlight w:val="none"/>
        </w:rPr>
        <w:t>.如为联合体竞标，</w:t>
      </w:r>
      <w:r>
        <w:rPr>
          <w:rFonts w:hint="eastAsia" w:ascii="宋体" w:hAnsi="宋体"/>
          <w:color w:val="auto"/>
          <w:spacing w:val="-6"/>
          <w:sz w:val="24"/>
          <w:highlight w:val="none"/>
        </w:rPr>
        <w:t>盖章处须加盖联合体牵头人电子签章</w:t>
      </w:r>
      <w:r>
        <w:rPr>
          <w:rFonts w:hint="eastAsia" w:ascii="宋体" w:hAnsi="宋体" w:cs="仿宋_GB2312"/>
          <w:color w:val="auto"/>
          <w:sz w:val="24"/>
          <w:highlight w:val="none"/>
        </w:rPr>
        <w:t>，</w:t>
      </w:r>
      <w:r>
        <w:rPr>
          <w:rFonts w:hint="eastAsia" w:ascii="宋体" w:hAnsi="宋体" w:cs="仿宋_GB2312"/>
          <w:b/>
          <w:color w:val="auto"/>
          <w:sz w:val="24"/>
          <w:highlight w:val="none"/>
        </w:rPr>
        <w:t>否则其响应文件按无效处理。</w:t>
      </w:r>
    </w:p>
    <w:p w14:paraId="622FB39C">
      <w:pPr>
        <w:spacing w:line="360" w:lineRule="auto"/>
        <w:ind w:firstLine="480" w:firstLineChars="200"/>
        <w:contextualSpacing/>
        <w:rPr>
          <w:rFonts w:hint="eastAsia" w:ascii="宋体" w:hAnsi="宋体" w:cs="仿宋_GB2312"/>
          <w:color w:val="auto"/>
          <w:sz w:val="24"/>
          <w:highlight w:val="none"/>
        </w:rPr>
      </w:pPr>
      <w:r>
        <w:rPr>
          <w:rFonts w:ascii="宋体" w:hAnsi="宋体" w:cs="仿宋_GB2312"/>
          <w:color w:val="auto"/>
          <w:sz w:val="24"/>
          <w:highlight w:val="none"/>
        </w:rPr>
        <w:t>5</w:t>
      </w:r>
      <w:r>
        <w:rPr>
          <w:rFonts w:hint="eastAsia" w:ascii="宋体" w:hAnsi="宋体" w:cs="仿宋_GB2312"/>
          <w:color w:val="auto"/>
          <w:sz w:val="24"/>
          <w:highlight w:val="none"/>
        </w:rPr>
        <w:t>.</w:t>
      </w:r>
      <w:r>
        <w:rPr>
          <w:rFonts w:hint="eastAsia" w:ascii="宋体" w:hAnsi="宋体" w:cs="仿宋_GB2312"/>
          <w:color w:val="auto"/>
          <w:spacing w:val="-6"/>
          <w:sz w:val="24"/>
          <w:highlight w:val="none"/>
        </w:rPr>
        <w:t>如有多分标，分别列明各分标的报价表，</w:t>
      </w:r>
      <w:r>
        <w:rPr>
          <w:rFonts w:hint="eastAsia" w:ascii="宋体" w:hAnsi="宋体" w:cs="仿宋_GB2312"/>
          <w:b/>
          <w:color w:val="auto"/>
          <w:spacing w:val="-6"/>
          <w:sz w:val="24"/>
          <w:highlight w:val="none"/>
        </w:rPr>
        <w:t>否则其响应文件按无效响应处理。</w:t>
      </w:r>
    </w:p>
    <w:p w14:paraId="416684E9">
      <w:pPr>
        <w:spacing w:line="360" w:lineRule="auto"/>
        <w:ind w:right="-817" w:rightChars="-389"/>
        <w:contextualSpacing/>
        <w:rPr>
          <w:rFonts w:hint="eastAsia" w:ascii="宋体" w:hAnsi="宋体" w:cs="仿宋_GB2312"/>
          <w:color w:val="auto"/>
          <w:sz w:val="24"/>
          <w:highlight w:val="none"/>
        </w:rPr>
      </w:pPr>
    </w:p>
    <w:p w14:paraId="701AD6C1">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法定代表人或者委托代理人（签字或者电子签名）：                    </w:t>
      </w:r>
    </w:p>
    <w:p w14:paraId="0039DD21">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1F47A5D7">
      <w:pPr>
        <w:spacing w:line="360" w:lineRule="auto"/>
        <w:ind w:right="-817" w:rightChars="-389" w:firstLine="4080" w:firstLineChars="1700"/>
        <w:contextualSpacing/>
        <w:rPr>
          <w:rFonts w:hint="eastAsia" w:ascii="宋体" w:hAnsi="宋体" w:cs="仿宋_GB2312"/>
          <w:b/>
          <w:color w:val="auto"/>
          <w:sz w:val="24"/>
          <w:highlight w:val="none"/>
        </w:rPr>
      </w:pPr>
      <w:r>
        <w:rPr>
          <w:rFonts w:hint="eastAsia" w:ascii="宋体" w:hAnsi="宋体" w:cs="仿宋_GB2312"/>
          <w:color w:val="auto"/>
          <w:sz w:val="24"/>
          <w:highlight w:val="none"/>
        </w:rPr>
        <w:t>日期：   年   月   日</w:t>
      </w:r>
    </w:p>
    <w:p w14:paraId="54186505">
      <w:pPr>
        <w:pStyle w:val="3"/>
        <w:rPr>
          <w:rFonts w:hint="eastAsia" w:ascii="宋体" w:hAnsi="宋体"/>
          <w:color w:val="auto"/>
          <w:highlight w:val="none"/>
        </w:rPr>
      </w:pPr>
      <w:r>
        <w:rPr>
          <w:rFonts w:ascii="宋体" w:hAnsi="宋体"/>
          <w:color w:val="auto"/>
          <w:highlight w:val="none"/>
        </w:rPr>
        <w:br w:type="page"/>
      </w:r>
      <w:r>
        <w:rPr>
          <w:rFonts w:hint="eastAsia"/>
          <w:color w:val="auto"/>
          <w:highlight w:val="none"/>
        </w:rPr>
        <w:t>三、商务文件格式</w:t>
      </w:r>
    </w:p>
    <w:p w14:paraId="148AB0E0">
      <w:pPr>
        <w:snapToGrid w:val="0"/>
        <w:spacing w:before="156" w:beforeLines="50" w:after="50" w:line="360" w:lineRule="auto"/>
        <w:jc w:val="left"/>
        <w:rPr>
          <w:rFonts w:hint="eastAsia" w:ascii="宋体" w:hAnsi="宋体"/>
          <w:b/>
          <w:color w:val="auto"/>
          <w:sz w:val="32"/>
          <w:szCs w:val="32"/>
          <w:highlight w:val="none"/>
        </w:rPr>
      </w:pPr>
      <w:r>
        <w:rPr>
          <w:rFonts w:hint="eastAsia" w:ascii="宋体" w:hAnsi="宋体"/>
          <w:b/>
          <w:color w:val="auto"/>
          <w:sz w:val="32"/>
          <w:szCs w:val="32"/>
          <w:highlight w:val="none"/>
        </w:rPr>
        <w:t>1.商务文件封面格式</w:t>
      </w:r>
    </w:p>
    <w:p w14:paraId="19CE15D2">
      <w:pPr>
        <w:snapToGrid w:val="0"/>
        <w:spacing w:before="156" w:beforeLines="50" w:after="50"/>
        <w:rPr>
          <w:rFonts w:hint="eastAsia" w:ascii="宋体" w:hAnsi="宋体"/>
          <w:bCs/>
          <w:color w:val="auto"/>
          <w:sz w:val="32"/>
          <w:szCs w:val="20"/>
          <w:highlight w:val="none"/>
        </w:rPr>
      </w:pPr>
    </w:p>
    <w:p w14:paraId="374D74D6">
      <w:pPr>
        <w:snapToGrid w:val="0"/>
        <w:spacing w:before="156" w:beforeLines="50" w:after="50"/>
        <w:jc w:val="center"/>
        <w:rPr>
          <w:rFonts w:hint="eastAsia" w:ascii="宋体" w:hAnsi="宋体"/>
          <w:color w:val="auto"/>
          <w:sz w:val="24"/>
          <w:szCs w:val="20"/>
          <w:highlight w:val="none"/>
        </w:rPr>
      </w:pPr>
      <w:r>
        <w:rPr>
          <w:rFonts w:hint="eastAsia" w:ascii="宋体" w:hAnsi="宋体"/>
          <w:color w:val="auto"/>
          <w:sz w:val="44"/>
          <w:szCs w:val="44"/>
          <w:highlight w:val="none"/>
        </w:rPr>
        <w:t>电 子 响 应 文 件</w:t>
      </w:r>
    </w:p>
    <w:p w14:paraId="047C3324">
      <w:pPr>
        <w:snapToGrid w:val="0"/>
        <w:spacing w:before="156" w:beforeLines="50" w:after="50"/>
        <w:rPr>
          <w:rFonts w:hint="eastAsia" w:ascii="宋体" w:hAnsi="宋体"/>
          <w:color w:val="auto"/>
          <w:sz w:val="24"/>
          <w:szCs w:val="20"/>
          <w:highlight w:val="none"/>
        </w:rPr>
      </w:pPr>
    </w:p>
    <w:p w14:paraId="1A026CF5">
      <w:pPr>
        <w:snapToGrid w:val="0"/>
        <w:spacing w:before="156" w:beforeLines="50" w:after="50"/>
        <w:rPr>
          <w:rFonts w:hint="eastAsia" w:ascii="宋体" w:hAnsi="宋体"/>
          <w:color w:val="auto"/>
          <w:sz w:val="24"/>
          <w:szCs w:val="20"/>
          <w:highlight w:val="none"/>
        </w:rPr>
      </w:pPr>
    </w:p>
    <w:p w14:paraId="175BA384">
      <w:pPr>
        <w:snapToGrid w:val="0"/>
        <w:spacing w:before="156"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  务  文  件</w:t>
      </w:r>
    </w:p>
    <w:p w14:paraId="4CB4B611">
      <w:pPr>
        <w:snapToGrid w:val="0"/>
        <w:spacing w:before="156" w:beforeLines="50" w:after="50"/>
        <w:rPr>
          <w:rFonts w:hint="eastAsia" w:ascii="宋体" w:hAnsi="宋体"/>
          <w:bCs/>
          <w:color w:val="auto"/>
          <w:sz w:val="24"/>
          <w:szCs w:val="20"/>
          <w:highlight w:val="none"/>
        </w:rPr>
      </w:pPr>
    </w:p>
    <w:p w14:paraId="2F2B6058">
      <w:pPr>
        <w:snapToGrid w:val="0"/>
        <w:spacing w:before="156" w:beforeLines="50" w:after="50"/>
        <w:rPr>
          <w:rFonts w:hint="eastAsia" w:ascii="宋体" w:hAnsi="宋体"/>
          <w:bCs/>
          <w:color w:val="auto"/>
          <w:sz w:val="24"/>
          <w:szCs w:val="20"/>
          <w:highlight w:val="none"/>
        </w:rPr>
      </w:pPr>
    </w:p>
    <w:p w14:paraId="4FA35631">
      <w:pPr>
        <w:snapToGrid w:val="0"/>
        <w:spacing w:before="156" w:beforeLines="50" w:after="50"/>
        <w:rPr>
          <w:rFonts w:hint="eastAsia" w:ascii="宋体" w:hAnsi="宋体"/>
          <w:bCs/>
          <w:color w:val="auto"/>
          <w:sz w:val="24"/>
          <w:szCs w:val="20"/>
          <w:highlight w:val="none"/>
        </w:rPr>
      </w:pPr>
    </w:p>
    <w:p w14:paraId="1893942A">
      <w:pPr>
        <w:snapToGrid w:val="0"/>
        <w:spacing w:before="156" w:beforeLines="50" w:after="50"/>
        <w:rPr>
          <w:rFonts w:hint="eastAsia" w:ascii="宋体" w:hAnsi="宋体"/>
          <w:bCs/>
          <w:color w:val="auto"/>
          <w:sz w:val="24"/>
          <w:szCs w:val="20"/>
          <w:highlight w:val="none"/>
        </w:rPr>
      </w:pPr>
    </w:p>
    <w:p w14:paraId="6A6D9C3F">
      <w:pPr>
        <w:snapToGrid w:val="0"/>
        <w:spacing w:before="156" w:beforeLines="50" w:after="50"/>
        <w:rPr>
          <w:rFonts w:hint="eastAsia" w:ascii="宋体" w:hAnsi="宋体"/>
          <w:bCs/>
          <w:color w:val="auto"/>
          <w:sz w:val="24"/>
          <w:szCs w:val="20"/>
          <w:highlight w:val="none"/>
        </w:rPr>
      </w:pPr>
    </w:p>
    <w:p w14:paraId="1D057098">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49B8D9E0">
      <w:pPr>
        <w:snapToGrid w:val="0"/>
        <w:spacing w:before="156" w:beforeLines="50" w:after="50"/>
        <w:ind w:firstLine="720" w:firstLineChars="225"/>
        <w:rPr>
          <w:rFonts w:hint="eastAsia" w:ascii="宋体" w:hAnsi="宋体" w:cs="仿宋_GB2312"/>
          <w:bCs/>
          <w:color w:val="auto"/>
          <w:sz w:val="32"/>
          <w:szCs w:val="32"/>
          <w:highlight w:val="none"/>
        </w:rPr>
      </w:pPr>
    </w:p>
    <w:p w14:paraId="170F4B35">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31AB3D04">
      <w:pPr>
        <w:snapToGrid w:val="0"/>
        <w:spacing w:before="156" w:beforeLines="50" w:after="50"/>
        <w:ind w:firstLine="720" w:firstLineChars="225"/>
        <w:rPr>
          <w:rFonts w:hint="eastAsia" w:ascii="宋体" w:hAnsi="宋体" w:cs="仿宋_GB2312"/>
          <w:bCs/>
          <w:color w:val="auto"/>
          <w:sz w:val="32"/>
          <w:szCs w:val="32"/>
          <w:highlight w:val="none"/>
        </w:rPr>
      </w:pPr>
    </w:p>
    <w:p w14:paraId="44BF4098">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132F5E8F">
      <w:pPr>
        <w:snapToGrid w:val="0"/>
        <w:spacing w:before="156" w:beforeLines="50" w:after="50"/>
        <w:ind w:firstLine="720" w:firstLineChars="225"/>
        <w:rPr>
          <w:rFonts w:hint="eastAsia" w:ascii="宋体" w:hAnsi="宋体" w:cs="仿宋_GB2312"/>
          <w:bCs/>
          <w:color w:val="auto"/>
          <w:sz w:val="32"/>
          <w:szCs w:val="32"/>
          <w:highlight w:val="none"/>
        </w:rPr>
      </w:pPr>
    </w:p>
    <w:p w14:paraId="22EFC8FF">
      <w:pPr>
        <w:pStyle w:val="7"/>
        <w:snapToGrid w:val="0"/>
        <w:spacing w:before="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615F7024">
      <w:pPr>
        <w:pStyle w:val="7"/>
        <w:snapToGrid w:val="0"/>
        <w:spacing w:before="50" w:after="50"/>
        <w:ind w:firstLine="640" w:firstLineChars="200"/>
        <w:rPr>
          <w:rFonts w:hint="eastAsia" w:ascii="宋体" w:hAnsi="宋体" w:cs="仿宋_GB2312"/>
          <w:bCs/>
          <w:color w:val="auto"/>
          <w:sz w:val="32"/>
          <w:szCs w:val="32"/>
          <w:highlight w:val="none"/>
        </w:rPr>
      </w:pPr>
    </w:p>
    <w:p w14:paraId="1BFD1D4E">
      <w:pPr>
        <w:pStyle w:val="7"/>
        <w:snapToGrid w:val="0"/>
        <w:spacing w:before="50" w:after="50"/>
        <w:ind w:firstLine="720" w:firstLineChars="225"/>
        <w:rPr>
          <w:rFonts w:hint="eastAsia" w:ascii="宋体" w:hAnsi="宋体" w:cs="仿宋_GB2312"/>
          <w:bCs/>
          <w:color w:val="auto"/>
          <w:sz w:val="32"/>
          <w:szCs w:val="32"/>
          <w:highlight w:val="none"/>
        </w:rPr>
      </w:pPr>
    </w:p>
    <w:p w14:paraId="045C34A7">
      <w:pPr>
        <w:pStyle w:val="7"/>
        <w:snapToGrid w:val="0"/>
        <w:spacing w:before="50" w:after="50"/>
        <w:ind w:firstLine="0"/>
        <w:rPr>
          <w:rFonts w:hint="eastAsia" w:ascii="宋体" w:hAnsi="宋体" w:cs="仿宋_GB2312"/>
          <w:bCs/>
          <w:color w:val="auto"/>
          <w:sz w:val="32"/>
          <w:szCs w:val="32"/>
          <w:highlight w:val="none"/>
        </w:rPr>
      </w:pPr>
    </w:p>
    <w:p w14:paraId="665E206C">
      <w:pPr>
        <w:pStyle w:val="7"/>
        <w:snapToGrid w:val="0"/>
        <w:spacing w:before="50" w:after="50"/>
        <w:ind w:firstLine="1280" w:firstLineChars="400"/>
        <w:rPr>
          <w:rFonts w:hint="eastAsia" w:ascii="宋体" w:hAnsi="宋体" w:cs="仿宋_GB2312"/>
          <w:bCs/>
          <w:color w:val="auto"/>
          <w:sz w:val="32"/>
          <w:szCs w:val="32"/>
          <w:highlight w:val="none"/>
        </w:rPr>
      </w:pPr>
    </w:p>
    <w:p w14:paraId="1C602A4F">
      <w:pPr>
        <w:snapToGrid w:val="0"/>
        <w:spacing w:before="156"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62FDA797">
      <w:pPr>
        <w:snapToGrid w:val="0"/>
        <w:spacing w:before="156" w:beforeLines="50" w:after="50" w:line="360" w:lineRule="auto"/>
        <w:ind w:right="480" w:firstLine="240" w:firstLineChars="100"/>
        <w:jc w:val="left"/>
        <w:rPr>
          <w:rFonts w:hint="eastAsia" w:ascii="宋体" w:hAnsi="宋体"/>
          <w:b/>
          <w:bCs/>
          <w:color w:val="auto"/>
          <w:sz w:val="24"/>
          <w:highlight w:val="none"/>
        </w:rPr>
      </w:pPr>
      <w:r>
        <w:rPr>
          <w:rFonts w:ascii="宋体" w:hAnsi="宋体"/>
          <w:color w:val="auto"/>
          <w:sz w:val="24"/>
          <w:highlight w:val="none"/>
        </w:rPr>
        <w:br w:type="page"/>
      </w:r>
      <w:r>
        <w:rPr>
          <w:rFonts w:hint="eastAsia" w:ascii="宋体" w:hAnsi="宋体"/>
          <w:b/>
          <w:bCs/>
          <w:color w:val="auto"/>
          <w:sz w:val="32"/>
          <w:szCs w:val="32"/>
          <w:highlight w:val="none"/>
        </w:rPr>
        <w:t>2.商务文件目录</w:t>
      </w:r>
    </w:p>
    <w:p w14:paraId="156F1BE6">
      <w:pPr>
        <w:snapToGrid w:val="0"/>
        <w:spacing w:before="156" w:beforeLines="50" w:after="50" w:line="360" w:lineRule="auto"/>
        <w:ind w:firstLine="640" w:firstLineChars="200"/>
        <w:rPr>
          <w:rFonts w:hint="eastAsia"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7D3DCEF7">
      <w:pPr>
        <w:spacing w:line="400" w:lineRule="exact"/>
        <w:rPr>
          <w:rFonts w:hint="eastAsia" w:ascii="仿宋_GB2312" w:hAnsi="仿宋_GB2312" w:eastAsia="仿宋_GB2312" w:cs="仿宋_GB2312"/>
          <w:color w:val="auto"/>
          <w:sz w:val="32"/>
          <w:szCs w:val="32"/>
          <w:highlight w:val="none"/>
        </w:rPr>
      </w:pPr>
    </w:p>
    <w:p w14:paraId="52E98B19">
      <w:pPr>
        <w:spacing w:line="520" w:lineRule="exact"/>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方正小标宋简体" w:hAnsi="方正小标宋简体" w:eastAsia="方正小标宋简体" w:cs="方正小标宋简体"/>
          <w:color w:val="auto"/>
          <w:sz w:val="44"/>
          <w:szCs w:val="44"/>
          <w:highlight w:val="none"/>
        </w:rPr>
        <w:t>无串通竞标行为的承诺函</w:t>
      </w:r>
    </w:p>
    <w:p w14:paraId="7F49FE5A">
      <w:pPr>
        <w:spacing w:line="360" w:lineRule="auto"/>
        <w:ind w:firstLine="640" w:firstLineChars="200"/>
        <w:contextualSpacing/>
        <w:rPr>
          <w:rFonts w:hint="eastAsia" w:ascii="仿宋_GB2312" w:hAnsi="仿宋_GB2312" w:eastAsia="仿宋_GB2312" w:cs="仿宋_GB2312"/>
          <w:color w:val="auto"/>
          <w:sz w:val="32"/>
          <w:szCs w:val="32"/>
          <w:highlight w:val="none"/>
        </w:rPr>
      </w:pPr>
    </w:p>
    <w:p w14:paraId="4027C6B7">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一、我方承诺无下列相互串通竞标的情形：</w:t>
      </w:r>
    </w:p>
    <w:p w14:paraId="1C16AA7E">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1.不同供应商的响应文件由同一单位或者个人编制；</w:t>
      </w:r>
    </w:p>
    <w:p w14:paraId="7EAE82C4">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2.不同供应商委托同一单位或者个人办理竞标事宜；</w:t>
      </w:r>
    </w:p>
    <w:p w14:paraId="4501F551">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3.不同供应商的响应文件载明的项目管理员为同一个人；</w:t>
      </w:r>
    </w:p>
    <w:p w14:paraId="0F8EEBC2">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4.不</w:t>
      </w:r>
      <w:r>
        <w:rPr>
          <w:rFonts w:hint="eastAsia" w:ascii="宋体" w:hAnsi="宋体" w:cs="仿宋_GB2312"/>
          <w:color w:val="auto"/>
          <w:spacing w:val="-6"/>
          <w:sz w:val="24"/>
          <w:highlight w:val="none"/>
        </w:rPr>
        <w:t>同供应商的响应文件异常一致或者竞标报价呈规律性差异；</w:t>
      </w:r>
    </w:p>
    <w:p w14:paraId="23C19E70">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5.不同供应商的响应文件相互混装；</w:t>
      </w:r>
    </w:p>
    <w:p w14:paraId="3B7BB13B">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6.不同供应商的磋商保证金从同一单位或者个人账户转出。</w:t>
      </w:r>
    </w:p>
    <w:p w14:paraId="0FE254DB">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二、我方承诺无下列恶意串通的情形：</w:t>
      </w:r>
    </w:p>
    <w:p w14:paraId="70C84EE6">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1.供应商直接或者间接从采购人或者采购代理机构处获得其他供应商的相关信息并修改其响应文件；</w:t>
      </w:r>
    </w:p>
    <w:p w14:paraId="69E916F5">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2.供应商按照采购人或者采购代理机构的授意撤换、修改响应文件；</w:t>
      </w:r>
    </w:p>
    <w:p w14:paraId="2F804448">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3.供</w:t>
      </w:r>
      <w:r>
        <w:rPr>
          <w:rFonts w:hint="eastAsia" w:ascii="宋体" w:hAnsi="宋体" w:cs="仿宋_GB2312"/>
          <w:color w:val="auto"/>
          <w:spacing w:val="-6"/>
          <w:sz w:val="24"/>
          <w:highlight w:val="none"/>
        </w:rPr>
        <w:t>应商之间协商报价、技术方案等响应文件的实质性内容；</w:t>
      </w:r>
    </w:p>
    <w:p w14:paraId="03782917">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4.属于同一集团、协会、商会等组织成员的供应商按照该组织要求协同参加政府采购活动；</w:t>
      </w:r>
    </w:p>
    <w:p w14:paraId="6883EA95">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5.供应商之间事先约定一致抬高或者压低竞标报价，或者在竞争性磋商项目中事先约定轮流以高价位或者低价位成交，或者事先约定由某一特定供应商成交，然后再参加竞标；</w:t>
      </w:r>
    </w:p>
    <w:p w14:paraId="04F0BC7F">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6.供应商之间商定部分供应商放弃参加政府采购活动或者放弃成交；</w:t>
      </w:r>
    </w:p>
    <w:p w14:paraId="50500764">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7.供应商与采购人或者采购代理机构之间、供应商相互之间，为</w:t>
      </w:r>
      <w:r>
        <w:rPr>
          <w:rFonts w:hint="eastAsia" w:ascii="宋体" w:hAnsi="宋体" w:cs="仿宋_GB2312"/>
          <w:color w:val="auto"/>
          <w:spacing w:val="-6"/>
          <w:sz w:val="24"/>
          <w:highlight w:val="none"/>
        </w:rPr>
        <w:t>谋求特定供应商成交或者排斥其他供应商的其他串通行为。</w:t>
      </w:r>
    </w:p>
    <w:p w14:paraId="05233FC4">
      <w:pPr>
        <w:spacing w:line="360" w:lineRule="auto"/>
        <w:ind w:firstLine="480" w:firstLineChars="200"/>
        <w:contextualSpacing/>
        <w:rPr>
          <w:rFonts w:hint="eastAsia" w:ascii="宋体" w:hAnsi="宋体" w:cs="仿宋_GB2312"/>
          <w:color w:val="auto"/>
          <w:sz w:val="24"/>
          <w:highlight w:val="none"/>
        </w:rPr>
      </w:pPr>
    </w:p>
    <w:p w14:paraId="1ECD72DE">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以上情形一经核查属实，我方愿意承担一切后果，并不再寻求任何旨在减轻或者免除法律责任的辩解。</w:t>
      </w:r>
    </w:p>
    <w:p w14:paraId="4F16F6D8">
      <w:pPr>
        <w:spacing w:line="360" w:lineRule="auto"/>
        <w:contextualSpacing/>
        <w:rPr>
          <w:rFonts w:hint="eastAsia" w:ascii="宋体" w:hAnsi="宋体" w:cs="仿宋_GB2312"/>
          <w:color w:val="auto"/>
          <w:sz w:val="24"/>
          <w:highlight w:val="none"/>
        </w:rPr>
      </w:pPr>
    </w:p>
    <w:p w14:paraId="6ACDDEBD">
      <w:pPr>
        <w:spacing w:line="360" w:lineRule="auto"/>
        <w:ind w:firstLine="3600" w:firstLineChars="150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供应商（电子签章）：</w:t>
      </w:r>
    </w:p>
    <w:p w14:paraId="4D59F2B4">
      <w:pPr>
        <w:spacing w:line="360" w:lineRule="auto"/>
        <w:ind w:firstLine="480" w:firstLineChars="200"/>
        <w:contextualSpacing/>
        <w:jc w:val="center"/>
        <w:rPr>
          <w:rFonts w:hint="eastAsia" w:ascii="仿宋_GB2312" w:hAnsi="仿宋_GB2312" w:eastAsia="仿宋_GB2312" w:cs="仿宋_GB2312"/>
          <w:color w:val="auto"/>
          <w:sz w:val="32"/>
          <w:szCs w:val="32"/>
          <w:highlight w:val="none"/>
        </w:rPr>
      </w:pPr>
      <w:r>
        <w:rPr>
          <w:rFonts w:hint="eastAsia" w:ascii="宋体" w:hAnsi="宋体" w:cs="仿宋_GB2312"/>
          <w:color w:val="auto"/>
          <w:sz w:val="24"/>
          <w:highlight w:val="none"/>
        </w:rPr>
        <w:t xml:space="preserve">                               年   月   日</w:t>
      </w:r>
    </w:p>
    <w:p w14:paraId="451DF10A">
      <w:pPr>
        <w:spacing w:line="520" w:lineRule="exact"/>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br w:type="page"/>
      </w:r>
      <w:r>
        <w:rPr>
          <w:rFonts w:hint="eastAsia" w:ascii="方正小标宋简体" w:hAnsi="方正小标宋简体" w:eastAsia="方正小标宋简体" w:cs="方正小标宋简体"/>
          <w:bCs/>
          <w:color w:val="auto"/>
          <w:sz w:val="44"/>
          <w:szCs w:val="44"/>
          <w:highlight w:val="none"/>
        </w:rPr>
        <w:t>法定代表人证明书</w:t>
      </w:r>
    </w:p>
    <w:p w14:paraId="7232F6A2">
      <w:pPr>
        <w:spacing w:line="360" w:lineRule="auto"/>
        <w:ind w:left="540"/>
        <w:contextualSpacing/>
        <w:rPr>
          <w:rFonts w:hint="eastAsia" w:ascii="仿宋_GB2312" w:hAnsi="仿宋_GB2312" w:eastAsia="仿宋_GB2312" w:cs="仿宋_GB2312"/>
          <w:color w:val="auto"/>
          <w:sz w:val="32"/>
          <w:szCs w:val="32"/>
          <w:highlight w:val="none"/>
        </w:rPr>
      </w:pPr>
    </w:p>
    <w:p w14:paraId="01BA658D">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供应商名称：</w:t>
      </w:r>
    </w:p>
    <w:p w14:paraId="1A886674">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地    址：</w:t>
      </w:r>
    </w:p>
    <w:p w14:paraId="3F3BCCFC">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姓    名：性     别：</w:t>
      </w:r>
    </w:p>
    <w:p w14:paraId="313E3760">
      <w:pPr>
        <w:spacing w:line="360" w:lineRule="auto"/>
        <w:ind w:left="540"/>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年    龄：职     务：</w:t>
      </w:r>
    </w:p>
    <w:p w14:paraId="79C56EA2">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身份证号码：</w:t>
      </w:r>
    </w:p>
    <w:p w14:paraId="2849A993">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系</w:t>
      </w:r>
      <w:r>
        <w:rPr>
          <w:rFonts w:hint="eastAsia" w:ascii="宋体" w:hAnsi="宋体" w:cs="仿宋_GB2312"/>
          <w:color w:val="auto"/>
          <w:sz w:val="24"/>
          <w:highlight w:val="none"/>
          <w:u w:val="single"/>
        </w:rPr>
        <w:t>（供应商名称）</w:t>
      </w:r>
      <w:r>
        <w:rPr>
          <w:rFonts w:hint="eastAsia" w:ascii="宋体" w:hAnsi="宋体" w:cs="仿宋_GB2312"/>
          <w:color w:val="auto"/>
          <w:sz w:val="24"/>
          <w:highlight w:val="none"/>
        </w:rPr>
        <w:t>的法定代表人。</w:t>
      </w:r>
    </w:p>
    <w:p w14:paraId="2CA0BEEE">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特此证明。</w:t>
      </w:r>
    </w:p>
    <w:p w14:paraId="5664B0D8">
      <w:pPr>
        <w:spacing w:line="360" w:lineRule="auto"/>
        <w:ind w:left="540"/>
        <w:contextualSpacing/>
        <w:rPr>
          <w:rFonts w:hint="eastAsia" w:ascii="宋体" w:hAnsi="宋体" w:cs="仿宋_GB2312"/>
          <w:color w:val="auto"/>
          <w:sz w:val="24"/>
          <w:highlight w:val="none"/>
        </w:rPr>
      </w:pPr>
    </w:p>
    <w:p w14:paraId="731AC008">
      <w:pPr>
        <w:spacing w:line="360" w:lineRule="auto"/>
        <w:ind w:left="540"/>
        <w:contextualSpacing/>
        <w:rPr>
          <w:rFonts w:hint="eastAsia" w:ascii="宋体" w:hAnsi="宋体" w:cs="仿宋_GB2312"/>
          <w:color w:val="auto"/>
          <w:sz w:val="24"/>
          <w:highlight w:val="none"/>
        </w:rPr>
      </w:pPr>
    </w:p>
    <w:p w14:paraId="7742B4AB">
      <w:pPr>
        <w:spacing w:line="360" w:lineRule="auto"/>
        <w:ind w:left="540"/>
        <w:contextualSpacing/>
        <w:rPr>
          <w:rFonts w:hint="eastAsia" w:ascii="宋体" w:hAnsi="宋体" w:cs="仿宋_GB2312"/>
          <w:color w:val="auto"/>
          <w:sz w:val="24"/>
          <w:highlight w:val="none"/>
        </w:rPr>
      </w:pPr>
    </w:p>
    <w:p w14:paraId="24602676">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附件：法定代表人有效身份证正反面复印件</w:t>
      </w:r>
    </w:p>
    <w:p w14:paraId="37C4A391">
      <w:pPr>
        <w:spacing w:line="360" w:lineRule="auto"/>
        <w:ind w:left="540"/>
        <w:contextualSpacing/>
        <w:rPr>
          <w:rFonts w:hint="eastAsia" w:ascii="宋体" w:hAnsi="宋体" w:cs="仿宋_GB2312"/>
          <w:color w:val="auto"/>
          <w:sz w:val="24"/>
          <w:highlight w:val="none"/>
        </w:rPr>
      </w:pPr>
    </w:p>
    <w:p w14:paraId="767DA3A7">
      <w:pPr>
        <w:spacing w:line="360" w:lineRule="auto"/>
        <w:ind w:left="540"/>
        <w:contextualSpacing/>
        <w:jc w:val="right"/>
        <w:rPr>
          <w:rFonts w:hint="eastAsia" w:ascii="宋体" w:hAnsi="宋体" w:cs="仿宋_GB2312"/>
          <w:color w:val="auto"/>
          <w:sz w:val="24"/>
          <w:highlight w:val="none"/>
        </w:rPr>
      </w:pPr>
      <w:r>
        <w:rPr>
          <w:rFonts w:hint="eastAsia" w:ascii="宋体" w:hAnsi="宋体" w:cs="仿宋_GB2312"/>
          <w:color w:val="auto"/>
          <w:sz w:val="24"/>
          <w:highlight w:val="none"/>
        </w:rPr>
        <w:t>供应商（电子签章）：</w:t>
      </w:r>
    </w:p>
    <w:p w14:paraId="6A9E33BC">
      <w:pPr>
        <w:spacing w:line="360" w:lineRule="auto"/>
        <w:ind w:firstLine="4080" w:firstLineChars="1700"/>
        <w:contextualSpacing/>
        <w:rPr>
          <w:rFonts w:hint="eastAsia" w:ascii="宋体" w:hAnsi="宋体" w:cs="仿宋_GB2312"/>
          <w:color w:val="auto"/>
          <w:sz w:val="24"/>
          <w:highlight w:val="none"/>
        </w:rPr>
      </w:pPr>
      <w:r>
        <w:rPr>
          <w:rFonts w:hint="eastAsia" w:ascii="宋体" w:hAnsi="宋体" w:cs="仿宋_GB2312"/>
          <w:color w:val="auto"/>
          <w:sz w:val="24"/>
          <w:highlight w:val="none"/>
        </w:rPr>
        <w:t>年月日</w:t>
      </w:r>
    </w:p>
    <w:p w14:paraId="59DB5C76">
      <w:pPr>
        <w:spacing w:line="360" w:lineRule="auto"/>
        <w:contextualSpacing/>
        <w:jc w:val="center"/>
        <w:rPr>
          <w:rFonts w:hint="eastAsia" w:ascii="宋体" w:hAnsi="宋体" w:cs="仿宋_GB2312"/>
          <w:b/>
          <w:color w:val="auto"/>
          <w:sz w:val="24"/>
          <w:highlight w:val="none"/>
        </w:rPr>
      </w:pPr>
    </w:p>
    <w:p w14:paraId="3A2B6144">
      <w:pPr>
        <w:spacing w:line="360" w:lineRule="auto"/>
        <w:contextualSpacing/>
        <w:jc w:val="left"/>
        <w:rPr>
          <w:rFonts w:hint="eastAsia" w:ascii="宋体" w:hAnsi="宋体" w:cs="仿宋_GB2312"/>
          <w:color w:val="auto"/>
          <w:sz w:val="24"/>
          <w:highlight w:val="none"/>
        </w:rPr>
      </w:pPr>
    </w:p>
    <w:p w14:paraId="0D274E5E">
      <w:pPr>
        <w:spacing w:line="360" w:lineRule="auto"/>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注：自然人竞标的无需提供，联合体竞标的只需牵头人出具。</w:t>
      </w:r>
    </w:p>
    <w:p w14:paraId="3F122C8A">
      <w:pPr>
        <w:adjustRightInd w:val="0"/>
        <w:snapToGrid w:val="0"/>
        <w:spacing w:line="300" w:lineRule="auto"/>
        <w:jc w:val="left"/>
        <w:rPr>
          <w:rFonts w:hint="eastAsia" w:ascii="宋体" w:hAnsi="宋体"/>
          <w:b/>
          <w:color w:val="auto"/>
          <w:szCs w:val="21"/>
          <w:highlight w:val="none"/>
        </w:rPr>
      </w:pPr>
    </w:p>
    <w:p w14:paraId="09BB3F51">
      <w:pPr>
        <w:spacing w:line="50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p>
    <w:p w14:paraId="2A978513">
      <w:pPr>
        <w:spacing w:line="520" w:lineRule="exact"/>
        <w:jc w:val="center"/>
        <w:rPr>
          <w:rFonts w:hint="eastAsia" w:ascii="方正小标宋简体" w:hAnsi="方正小标宋简体" w:eastAsia="方正小标宋简体" w:cs="方正小标宋简体"/>
          <w:color w:val="auto"/>
          <w:sz w:val="44"/>
          <w:szCs w:val="44"/>
          <w:highlight w:val="none"/>
        </w:rPr>
      </w:pPr>
      <w:bookmarkStart w:id="94" w:name="_Hlk65853643"/>
      <w:r>
        <w:rPr>
          <w:rFonts w:hint="eastAsia" w:ascii="方正小标宋简体" w:hAnsi="方正小标宋简体" w:eastAsia="方正小标宋简体" w:cs="方正小标宋简体"/>
          <w:color w:val="auto"/>
          <w:sz w:val="44"/>
          <w:szCs w:val="44"/>
          <w:highlight w:val="none"/>
        </w:rPr>
        <w:t>授权委托书</w:t>
      </w:r>
    </w:p>
    <w:p w14:paraId="1CEDF595">
      <w:pPr>
        <w:spacing w:line="520" w:lineRule="exact"/>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（非联合体竞标格式）</w:t>
      </w:r>
    </w:p>
    <w:p w14:paraId="2B0A2B06">
      <w:pPr>
        <w:spacing w:line="52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32"/>
          <w:szCs w:val="32"/>
          <w:highlight w:val="none"/>
        </w:rPr>
        <w:t>（如有委托时）</w:t>
      </w:r>
    </w:p>
    <w:p w14:paraId="49B3F781">
      <w:pPr>
        <w:spacing w:line="520" w:lineRule="exact"/>
        <w:rPr>
          <w:rFonts w:hint="eastAsia" w:ascii="仿宋_GB2312" w:hAnsi="仿宋_GB2312" w:eastAsia="仿宋_GB2312" w:cs="仿宋_GB2312"/>
          <w:color w:val="auto"/>
          <w:sz w:val="32"/>
          <w:szCs w:val="32"/>
          <w:highlight w:val="none"/>
        </w:rPr>
      </w:pPr>
    </w:p>
    <w:p w14:paraId="3FD14683">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致：</w:t>
      </w:r>
      <w:r>
        <w:rPr>
          <w:rFonts w:hint="eastAsia" w:ascii="宋体" w:hAnsi="宋体" w:cs="仿宋_GB2312"/>
          <w:color w:val="auto"/>
          <w:sz w:val="24"/>
          <w:highlight w:val="none"/>
          <w:u w:val="single"/>
        </w:rPr>
        <w:t>（采购人名称）</w:t>
      </w:r>
      <w:r>
        <w:rPr>
          <w:rFonts w:hint="eastAsia" w:ascii="宋体" w:hAnsi="宋体" w:cs="仿宋_GB2312"/>
          <w:color w:val="auto"/>
          <w:sz w:val="24"/>
          <w:highlight w:val="none"/>
        </w:rPr>
        <w:t>：</w:t>
      </w:r>
    </w:p>
    <w:p w14:paraId="554CC63A">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我</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  （供应商名称）  </w:t>
      </w:r>
      <w:r>
        <w:rPr>
          <w:rFonts w:hint="eastAsia" w:ascii="宋体" w:hAnsi="宋体" w:cs="仿宋_GB2312"/>
          <w:color w:val="auto"/>
          <w:sz w:val="24"/>
          <w:highlight w:val="none"/>
        </w:rPr>
        <w:t>的（</w:t>
      </w:r>
      <w:r>
        <w:rPr>
          <w:rFonts w:hint="eastAsia" w:ascii="宋体" w:hAnsi="宋体" w:cs="仿宋_GB2312"/>
          <w:color w:val="auto"/>
          <w:sz w:val="24"/>
          <w:highlight w:val="none"/>
          <w:u w:val="single"/>
        </w:rPr>
        <w:sym w:font="Wingdings 2" w:char="00A3"/>
      </w:r>
      <w:r>
        <w:rPr>
          <w:rFonts w:hint="eastAsia" w:ascii="宋体" w:hAnsi="宋体" w:cs="仿宋_GB2312"/>
          <w:color w:val="auto"/>
          <w:sz w:val="24"/>
          <w:highlight w:val="none"/>
          <w:u w:val="single"/>
        </w:rPr>
        <w:t>法定代表人/□负责人/□自然人本人</w:t>
      </w:r>
      <w:r>
        <w:rPr>
          <w:rFonts w:hint="eastAsia" w:ascii="宋体" w:hAnsi="宋体" w:cs="仿宋_GB2312"/>
          <w:color w:val="auto"/>
          <w:sz w:val="24"/>
          <w:highlight w:val="none"/>
        </w:rPr>
        <w:t>），现授权</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以我方的名义参加项目的竞标活动，并代表我方全权办理针对上述项目的所有采购程序和环节的具体事务和签署相关文件。</w:t>
      </w:r>
    </w:p>
    <w:p w14:paraId="39622E0E">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我方对委托代理人的签字</w:t>
      </w:r>
      <w:r>
        <w:rPr>
          <w:rFonts w:hint="eastAsia" w:ascii="宋体" w:hAnsi="宋体"/>
          <w:color w:val="auto"/>
          <w:sz w:val="24"/>
          <w:highlight w:val="none"/>
        </w:rPr>
        <w:t>或者电子签名</w:t>
      </w:r>
      <w:r>
        <w:rPr>
          <w:rFonts w:hint="eastAsia" w:ascii="宋体" w:hAnsi="宋体" w:cs="仿宋_GB2312"/>
          <w:color w:val="auto"/>
          <w:sz w:val="24"/>
          <w:highlight w:val="none"/>
        </w:rPr>
        <w:t>事项负全部责任。</w:t>
      </w:r>
    </w:p>
    <w:p w14:paraId="0F91513A">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50DD0D1F">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55941FCF">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附：法定代表人身份证明书及委托代理人有效身份证正反面复印件</w:t>
      </w:r>
    </w:p>
    <w:p w14:paraId="018E2637">
      <w:pPr>
        <w:spacing w:line="360" w:lineRule="auto"/>
        <w:rPr>
          <w:rFonts w:hint="eastAsia" w:ascii="宋体" w:hAnsi="宋体" w:cs="仿宋_GB2312"/>
          <w:color w:val="auto"/>
          <w:sz w:val="24"/>
          <w:highlight w:val="none"/>
        </w:rPr>
      </w:pPr>
    </w:p>
    <w:p w14:paraId="22CB36E2">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委托代理人（</w:t>
      </w:r>
      <w:r>
        <w:rPr>
          <w:rFonts w:hint="eastAsia" w:ascii="宋体" w:hAnsi="宋体"/>
          <w:color w:val="auto"/>
          <w:sz w:val="24"/>
          <w:highlight w:val="none"/>
        </w:rPr>
        <w:t>签字或者电子签名</w:t>
      </w:r>
      <w:r>
        <w:rPr>
          <w:rFonts w:hint="eastAsia" w:ascii="宋体" w:hAnsi="宋体" w:cs="仿宋_GB2312"/>
          <w:color w:val="auto"/>
          <w:sz w:val="24"/>
          <w:highlight w:val="none"/>
        </w:rPr>
        <w:t xml:space="preserve">）：     法定代表人（签字或者盖章或者电子签名）：                    </w:t>
      </w:r>
    </w:p>
    <w:p w14:paraId="38330391">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委托代理人身份证号码：                              </w:t>
      </w:r>
    </w:p>
    <w:p w14:paraId="19E38EB9">
      <w:pPr>
        <w:spacing w:line="360" w:lineRule="auto"/>
        <w:contextualSpacing/>
        <w:rPr>
          <w:rFonts w:hint="eastAsia" w:ascii="宋体" w:hAnsi="宋体" w:cs="仿宋_GB2312"/>
          <w:color w:val="auto"/>
          <w:sz w:val="24"/>
          <w:highlight w:val="none"/>
        </w:rPr>
      </w:pPr>
    </w:p>
    <w:p w14:paraId="3AA1A3F1">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供应商（电子签章）：                      </w:t>
      </w:r>
    </w:p>
    <w:p w14:paraId="2A589719">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年    月    日</w:t>
      </w:r>
    </w:p>
    <w:p w14:paraId="234199B1">
      <w:pPr>
        <w:spacing w:line="360" w:lineRule="auto"/>
        <w:rPr>
          <w:rFonts w:hint="eastAsia" w:ascii="宋体" w:hAnsi="宋体" w:cs="仿宋_GB2312"/>
          <w:color w:val="auto"/>
          <w:sz w:val="24"/>
          <w:highlight w:val="none"/>
        </w:rPr>
      </w:pPr>
    </w:p>
    <w:p w14:paraId="23A9BD28">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注：1. 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，委托代理人必须在授权委托书上签字或者电子签名，</w:t>
      </w:r>
      <w:r>
        <w:rPr>
          <w:rFonts w:hint="eastAsia" w:ascii="宋体" w:hAnsi="宋体" w:cs="仿宋_GB2312"/>
          <w:b/>
          <w:color w:val="auto"/>
          <w:sz w:val="24"/>
          <w:highlight w:val="none"/>
        </w:rPr>
        <w:t>否则其响应文件按无效响应处理。</w:t>
      </w:r>
    </w:p>
    <w:p w14:paraId="3560B075">
      <w:pPr>
        <w:spacing w:line="360" w:lineRule="auto"/>
        <w:ind w:firstLine="480" w:firstLineChars="200"/>
        <w:jc w:val="left"/>
        <w:rPr>
          <w:rFonts w:hint="eastAsia" w:ascii="宋体" w:hAnsi="宋体" w:cs="仿宋_GB2312"/>
          <w:color w:val="auto"/>
          <w:sz w:val="24"/>
          <w:highlight w:val="none"/>
        </w:rPr>
      </w:pPr>
      <w:r>
        <w:rPr>
          <w:rFonts w:ascii="宋体" w:hAnsi="宋体" w:cs="仿宋_GB2312"/>
          <w:color w:val="auto"/>
          <w:sz w:val="24"/>
          <w:highlight w:val="none"/>
        </w:rPr>
        <w:t>2.</w:t>
      </w:r>
      <w:bookmarkStart w:id="95" w:name="_Hlk65853109"/>
      <w:bookmarkStart w:id="96" w:name="_Hlk65853542"/>
      <w:r>
        <w:rPr>
          <w:rFonts w:hint="eastAsia" w:ascii="宋体" w:hAnsi="宋体" w:cs="仿宋_GB2312"/>
          <w:color w:val="auto"/>
          <w:sz w:val="24"/>
          <w:highlight w:val="none"/>
        </w:rPr>
        <w:t>法人、其他组织竞标时“我方”是指“我单位”，自然人竞标时“我方”是指“本人”。</w:t>
      </w:r>
      <w:bookmarkEnd w:id="95"/>
    </w:p>
    <w:bookmarkEnd w:id="96"/>
    <w:p w14:paraId="4E7CC188">
      <w:pPr>
        <w:spacing w:line="360" w:lineRule="auto"/>
        <w:ind w:firstLine="420" w:firstLineChars="200"/>
        <w:jc w:val="left"/>
        <w:rPr>
          <w:rFonts w:hint="eastAsia" w:ascii="仿宋_GB2312" w:hAnsi="仿宋_GB2312" w:eastAsia="仿宋_GB2312" w:cs="仿宋_GB2312"/>
          <w:color w:val="auto"/>
          <w:szCs w:val="21"/>
          <w:highlight w:val="none"/>
        </w:rPr>
      </w:pPr>
    </w:p>
    <w:p w14:paraId="6FDBF778">
      <w:pPr>
        <w:spacing w:line="500" w:lineRule="exact"/>
        <w:jc w:val="center"/>
        <w:rPr>
          <w:rFonts w:hint="eastAsia" w:ascii="方正小标宋简体" w:hAnsi="方正小标宋简体" w:eastAsia="方正小标宋简体" w:cs="方正小标宋简体"/>
          <w:color w:val="auto"/>
          <w:sz w:val="44"/>
          <w:szCs w:val="44"/>
          <w:highlight w:val="none"/>
        </w:rPr>
      </w:pPr>
      <w:r>
        <w:rPr>
          <w:rFonts w:ascii="仿宋_GB2312" w:hAnsi="仿宋_GB2312" w:eastAsia="仿宋_GB2312" w:cs="仿宋_GB2312"/>
          <w:color w:val="auto"/>
          <w:szCs w:val="21"/>
          <w:highlight w:val="none"/>
        </w:rPr>
        <w:br w:type="page"/>
      </w:r>
      <w:r>
        <w:rPr>
          <w:rFonts w:hint="eastAsia" w:ascii="方正小标宋简体" w:hAnsi="方正小标宋简体" w:eastAsia="方正小标宋简体" w:cs="方正小标宋简体"/>
          <w:color w:val="auto"/>
          <w:sz w:val="44"/>
          <w:szCs w:val="44"/>
          <w:highlight w:val="none"/>
        </w:rPr>
        <w:t>授权委托书</w:t>
      </w:r>
    </w:p>
    <w:p w14:paraId="238BFB0F">
      <w:pPr>
        <w:spacing w:line="500" w:lineRule="exact"/>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（联合体竞标格式）</w:t>
      </w:r>
    </w:p>
    <w:p w14:paraId="50947A71">
      <w:pPr>
        <w:spacing w:line="50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32"/>
          <w:szCs w:val="32"/>
          <w:highlight w:val="none"/>
        </w:rPr>
        <w:t>（如有委托时）</w:t>
      </w:r>
    </w:p>
    <w:p w14:paraId="2070E775">
      <w:pPr>
        <w:spacing w:line="500" w:lineRule="exact"/>
        <w:jc w:val="center"/>
        <w:rPr>
          <w:rFonts w:hint="eastAsia" w:ascii="方正小标宋简体" w:hAnsi="方正小标宋简体" w:eastAsia="方正小标宋简体" w:cs="方正小标宋简体"/>
          <w:color w:val="auto"/>
          <w:sz w:val="44"/>
          <w:szCs w:val="44"/>
          <w:highlight w:val="none"/>
        </w:rPr>
      </w:pPr>
    </w:p>
    <w:p w14:paraId="395AA33B">
      <w:pPr>
        <w:spacing w:line="500" w:lineRule="exact"/>
        <w:jc w:val="center"/>
        <w:rPr>
          <w:rFonts w:hint="eastAsia" w:ascii="仿宋_GB2312" w:hAnsi="仿宋_GB2312" w:eastAsia="仿宋_GB2312" w:cs="仿宋_GB2312"/>
          <w:color w:val="auto"/>
          <w:sz w:val="32"/>
          <w:szCs w:val="32"/>
          <w:highlight w:val="none"/>
        </w:rPr>
      </w:pPr>
    </w:p>
    <w:p w14:paraId="44B1F17E">
      <w:pPr>
        <w:spacing w:line="360" w:lineRule="auto"/>
        <w:ind w:firstLine="480" w:firstLineChars="200"/>
        <w:jc w:val="left"/>
        <w:rPr>
          <w:rFonts w:hint="eastAsia" w:ascii="宋体" w:hAnsi="宋体" w:cs="仿宋_GB2312"/>
          <w:color w:val="auto"/>
          <w:sz w:val="24"/>
          <w:highlight w:val="none"/>
        </w:rPr>
      </w:pPr>
      <w:r>
        <w:rPr>
          <w:rFonts w:hint="eastAsia" w:ascii="宋体" w:hAnsi="宋体" w:cs="仿宋_GB2312"/>
          <w:color w:val="auto"/>
          <w:sz w:val="24"/>
          <w:highlight w:val="none"/>
        </w:rPr>
        <w:t>本授权委托书声明：根据（牵头人名称）与（联合体其他成员名称）签订的《联合体竞标协议书》的内容，（牵头人名称）的法定代表人（姓名）现授权（姓名）为联合委托代理人，并代表我方全权办理针对上述项目的所有采购程序和环节的具体事务和签署相关文件。</w:t>
      </w:r>
    </w:p>
    <w:p w14:paraId="67C49D1D">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我方对委托代理人的</w:t>
      </w:r>
      <w:r>
        <w:rPr>
          <w:rFonts w:hint="eastAsia" w:ascii="宋体" w:hAnsi="宋体"/>
          <w:color w:val="auto"/>
          <w:sz w:val="24"/>
          <w:highlight w:val="none"/>
        </w:rPr>
        <w:t>签字或者电子签名</w:t>
      </w:r>
      <w:r>
        <w:rPr>
          <w:rFonts w:hint="eastAsia" w:ascii="宋体" w:hAnsi="宋体" w:cs="仿宋_GB2312"/>
          <w:color w:val="auto"/>
          <w:sz w:val="24"/>
          <w:highlight w:val="none"/>
        </w:rPr>
        <w:t>事项负全部责任。</w:t>
      </w:r>
    </w:p>
    <w:p w14:paraId="7B6ED2F6">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7CCEC014">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70D6FC75">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附：法定代表人身份证明书及委托代理人有效身份证正反面复印件</w:t>
      </w:r>
    </w:p>
    <w:p w14:paraId="788B9F56">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牵头人法定代表人（签字或者盖章或者电子签名）：</w:t>
      </w:r>
    </w:p>
    <w:p w14:paraId="3182BE43">
      <w:pPr>
        <w:spacing w:line="360" w:lineRule="auto"/>
        <w:ind w:firstLine="3120" w:firstLineChars="1300"/>
        <w:contextualSpacing/>
        <w:rPr>
          <w:rFonts w:hint="eastAsia" w:ascii="宋体" w:hAnsi="宋体" w:cs="仿宋_GB2312"/>
          <w:color w:val="auto"/>
          <w:sz w:val="24"/>
          <w:highlight w:val="none"/>
        </w:rPr>
      </w:pPr>
      <w:r>
        <w:rPr>
          <w:rFonts w:hint="eastAsia" w:ascii="宋体" w:hAnsi="宋体" w:cs="仿宋_GB2312"/>
          <w:color w:val="auto"/>
          <w:sz w:val="24"/>
          <w:highlight w:val="none"/>
        </w:rPr>
        <w:t>牵头人（电子签章）：</w:t>
      </w:r>
    </w:p>
    <w:p w14:paraId="4F9A9CBF">
      <w:pPr>
        <w:spacing w:line="360" w:lineRule="auto"/>
        <w:ind w:firstLine="3840" w:firstLineChars="1600"/>
        <w:contextualSpacing/>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14:paraId="035C3365">
      <w:pPr>
        <w:spacing w:line="360" w:lineRule="auto"/>
        <w:contextualSpacing/>
        <w:rPr>
          <w:rFonts w:hint="eastAsia" w:ascii="宋体" w:hAnsi="宋体" w:cs="仿宋_GB2312"/>
          <w:color w:val="auto"/>
          <w:sz w:val="24"/>
          <w:highlight w:val="none"/>
        </w:rPr>
      </w:pPr>
    </w:p>
    <w:p w14:paraId="19B89686">
      <w:pPr>
        <w:spacing w:line="360" w:lineRule="auto"/>
        <w:ind w:firstLine="3120" w:firstLineChars="1300"/>
        <w:contextualSpacing/>
        <w:rPr>
          <w:rFonts w:hint="eastAsia" w:ascii="宋体" w:hAnsi="宋体" w:cs="仿宋_GB2312"/>
          <w:color w:val="auto"/>
          <w:sz w:val="24"/>
          <w:highlight w:val="none"/>
        </w:rPr>
      </w:pPr>
      <w:r>
        <w:rPr>
          <w:rFonts w:hint="eastAsia" w:ascii="宋体" w:hAnsi="宋体" w:cs="仿宋_GB2312"/>
          <w:color w:val="auto"/>
          <w:sz w:val="24"/>
          <w:highlight w:val="none"/>
        </w:rPr>
        <w:t>被授权人（签字或者电子签名）：</w:t>
      </w:r>
    </w:p>
    <w:p w14:paraId="68952969">
      <w:pPr>
        <w:spacing w:line="360" w:lineRule="auto"/>
        <w:ind w:firstLine="3840" w:firstLineChars="1600"/>
        <w:contextualSpacing/>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14:paraId="0D3DD4B1">
      <w:pPr>
        <w:spacing w:line="360" w:lineRule="auto"/>
        <w:contextualSpacing/>
        <w:rPr>
          <w:rFonts w:hint="eastAsia" w:ascii="宋体" w:hAnsi="宋体" w:cs="仿宋_GB2312"/>
          <w:color w:val="auto"/>
          <w:sz w:val="24"/>
          <w:highlight w:val="none"/>
        </w:rPr>
      </w:pPr>
    </w:p>
    <w:p w14:paraId="1E512F75">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注：1. 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，委托代理人必须在授权委托书上签字或者电子签名，</w:t>
      </w:r>
      <w:r>
        <w:rPr>
          <w:rFonts w:hint="eastAsia" w:ascii="宋体" w:hAnsi="宋体" w:cs="仿宋_GB2312"/>
          <w:b/>
          <w:color w:val="auto"/>
          <w:sz w:val="24"/>
          <w:highlight w:val="none"/>
        </w:rPr>
        <w:t>否则其响应文件按无效响应处理。</w:t>
      </w:r>
    </w:p>
    <w:p w14:paraId="76B76C49">
      <w:pPr>
        <w:spacing w:line="360" w:lineRule="auto"/>
        <w:ind w:firstLine="480" w:firstLineChars="200"/>
        <w:jc w:val="left"/>
        <w:rPr>
          <w:rFonts w:hint="eastAsia" w:ascii="宋体" w:hAnsi="宋体" w:cs="仿宋_GB2312"/>
          <w:color w:val="auto"/>
          <w:spacing w:val="-11"/>
          <w:sz w:val="24"/>
          <w:highlight w:val="none"/>
        </w:rPr>
      </w:pPr>
      <w:r>
        <w:rPr>
          <w:rFonts w:ascii="宋体" w:hAnsi="宋体" w:cs="仿宋_GB2312"/>
          <w:color w:val="auto"/>
          <w:sz w:val="24"/>
          <w:highlight w:val="none"/>
        </w:rPr>
        <w:t>2.</w:t>
      </w:r>
      <w:r>
        <w:rPr>
          <w:rFonts w:hint="eastAsia" w:ascii="宋体" w:hAnsi="宋体" w:cs="仿宋_GB2312"/>
          <w:color w:val="auto"/>
          <w:sz w:val="24"/>
          <w:highlight w:val="none"/>
        </w:rPr>
        <w:t>法人、其他组织竞标时“我方”是指“我单位”，自然人竞标时“我方”是指“本人”。</w:t>
      </w:r>
    </w:p>
    <w:bookmarkEnd w:id="94"/>
    <w:p w14:paraId="169246E6">
      <w:pPr>
        <w:spacing w:line="500" w:lineRule="exact"/>
        <w:jc w:val="center"/>
        <w:rPr>
          <w:rFonts w:hint="eastAsia" w:ascii="方正小标宋简体" w:hAnsi="方正小标宋简体" w:eastAsia="方正小标宋简体" w:cs="方正小标宋简体"/>
          <w:bCs/>
          <w:color w:val="auto"/>
          <w:sz w:val="44"/>
          <w:szCs w:val="44"/>
          <w:highlight w:val="none"/>
        </w:rPr>
      </w:pPr>
      <w:r>
        <w:rPr>
          <w:rFonts w:hint="eastAsia" w:ascii="仿宋_GB2312" w:hAnsi="仿宋_GB2312" w:eastAsia="仿宋_GB2312" w:cs="仿宋_GB2312"/>
          <w:color w:val="auto"/>
          <w:sz w:val="32"/>
          <w:szCs w:val="32"/>
          <w:highlight w:val="none"/>
        </w:rPr>
        <w:br w:type="page"/>
      </w:r>
      <w:r>
        <w:rPr>
          <w:rFonts w:hint="eastAsia" w:ascii="方正小标宋简体" w:hAnsi="方正小标宋简体" w:eastAsia="方正小标宋简体" w:cs="方正小标宋简体"/>
          <w:bCs/>
          <w:color w:val="auto"/>
          <w:sz w:val="44"/>
          <w:szCs w:val="44"/>
          <w:highlight w:val="none"/>
        </w:rPr>
        <w:t>商务要求偏离表格式</w:t>
      </w:r>
    </w:p>
    <w:p w14:paraId="6ABB5E63">
      <w:pPr>
        <w:spacing w:line="360" w:lineRule="auto"/>
        <w:contextualSpacing/>
        <w:jc w:val="left"/>
        <w:rPr>
          <w:rFonts w:hint="eastAsia" w:ascii="宋体" w:hAnsi="宋体"/>
          <w:color w:val="auto"/>
          <w:sz w:val="24"/>
          <w:highlight w:val="none"/>
        </w:rPr>
      </w:pPr>
    </w:p>
    <w:p w14:paraId="1756A0A5">
      <w:pPr>
        <w:pStyle w:val="22"/>
        <w:spacing w:line="360" w:lineRule="auto"/>
        <w:contextualSpacing/>
        <w:rPr>
          <w:rFonts w:hint="eastAsia" w:hAnsi="宋体" w:cs="仿宋_GB2312"/>
          <w:color w:val="auto"/>
          <w:sz w:val="24"/>
          <w:szCs w:val="24"/>
          <w:highlight w:val="none"/>
        </w:rPr>
      </w:pPr>
      <w:r>
        <w:rPr>
          <w:rFonts w:hint="eastAsia" w:hAnsi="宋体" w:cs="仿宋_GB2312"/>
          <w:color w:val="auto"/>
          <w:sz w:val="24"/>
          <w:szCs w:val="24"/>
          <w:highlight w:val="none"/>
        </w:rPr>
        <w:t>所竞分标：</w:t>
      </w:r>
    </w:p>
    <w:p w14:paraId="2F53DCA6">
      <w:pPr>
        <w:spacing w:line="360" w:lineRule="auto"/>
        <w:contextualSpacing/>
        <w:jc w:val="left"/>
        <w:rPr>
          <w:rFonts w:hint="eastAsia" w:ascii="宋体" w:hAnsi="宋体" w:cs="仿宋_GB2312"/>
          <w:color w:val="auto"/>
          <w:sz w:val="24"/>
          <w:highlight w:val="none"/>
          <w:u w:val="single"/>
        </w:rPr>
      </w:pPr>
    </w:p>
    <w:tbl>
      <w:tblPr>
        <w:tblStyle w:val="36"/>
        <w:tblpPr w:leftFromText="180" w:rightFromText="180" w:vertAnchor="text" w:horzAnchor="margin" w:tblpY="-9"/>
        <w:tblOverlap w:val="never"/>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2112"/>
      </w:tblGrid>
      <w:tr w14:paraId="2B100A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42" w:hRule="atLeast"/>
        </w:trPr>
        <w:tc>
          <w:tcPr>
            <w:tcW w:w="2178" w:type="dxa"/>
            <w:tcBorders>
              <w:top w:val="single" w:color="auto" w:sz="4" w:space="0"/>
              <w:left w:val="single" w:color="auto" w:sz="4" w:space="0"/>
              <w:bottom w:val="single" w:color="auto" w:sz="4" w:space="0"/>
              <w:right w:val="single" w:color="auto" w:sz="4" w:space="0"/>
            </w:tcBorders>
            <w:vAlign w:val="center"/>
          </w:tcPr>
          <w:p w14:paraId="540A1275">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项目</w:t>
            </w:r>
          </w:p>
        </w:tc>
        <w:tc>
          <w:tcPr>
            <w:tcW w:w="2668" w:type="dxa"/>
            <w:tcBorders>
              <w:top w:val="single" w:color="auto" w:sz="4" w:space="0"/>
              <w:left w:val="single" w:color="auto" w:sz="4" w:space="0"/>
              <w:bottom w:val="single" w:color="auto" w:sz="4" w:space="0"/>
              <w:right w:val="single" w:color="auto" w:sz="4" w:space="0"/>
            </w:tcBorders>
            <w:vAlign w:val="center"/>
          </w:tcPr>
          <w:p w14:paraId="44F1FBA8">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磋商文件商务要求</w:t>
            </w:r>
          </w:p>
        </w:tc>
        <w:tc>
          <w:tcPr>
            <w:tcW w:w="2350" w:type="dxa"/>
            <w:tcBorders>
              <w:top w:val="single" w:color="auto" w:sz="4" w:space="0"/>
              <w:left w:val="single" w:color="auto" w:sz="4" w:space="0"/>
              <w:bottom w:val="single" w:color="auto" w:sz="4" w:space="0"/>
              <w:right w:val="single" w:color="auto" w:sz="4" w:space="0"/>
            </w:tcBorders>
            <w:vAlign w:val="center"/>
          </w:tcPr>
          <w:p w14:paraId="1A0A478C">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供应商的响应</w:t>
            </w:r>
          </w:p>
        </w:tc>
        <w:tc>
          <w:tcPr>
            <w:tcW w:w="2112" w:type="dxa"/>
            <w:tcBorders>
              <w:top w:val="single" w:color="auto" w:sz="4" w:space="0"/>
              <w:left w:val="single" w:color="auto" w:sz="4" w:space="0"/>
              <w:bottom w:val="single" w:color="auto" w:sz="4" w:space="0"/>
              <w:right w:val="single" w:color="auto" w:sz="4" w:space="0"/>
            </w:tcBorders>
            <w:vAlign w:val="center"/>
          </w:tcPr>
          <w:p w14:paraId="3ADD6B85">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偏离说明</w:t>
            </w:r>
          </w:p>
        </w:tc>
      </w:tr>
      <w:tr w14:paraId="260858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left w:val="single" w:color="auto" w:sz="4" w:space="0"/>
              <w:bottom w:val="single" w:color="auto" w:sz="4" w:space="0"/>
              <w:right w:val="single" w:color="auto" w:sz="4" w:space="0"/>
            </w:tcBorders>
            <w:vAlign w:val="center"/>
          </w:tcPr>
          <w:p w14:paraId="6DC04D54">
            <w:pPr>
              <w:jc w:val="center"/>
              <w:rPr>
                <w:rFonts w:hint="eastAsia" w:ascii="宋体" w:hAnsi="宋体"/>
                <w:color w:val="auto"/>
                <w:sz w:val="24"/>
                <w:highlight w:val="none"/>
              </w:rPr>
            </w:pPr>
          </w:p>
        </w:tc>
        <w:tc>
          <w:tcPr>
            <w:tcW w:w="2668" w:type="dxa"/>
            <w:tcBorders>
              <w:top w:val="single" w:color="auto" w:sz="4" w:space="0"/>
              <w:left w:val="single" w:color="auto" w:sz="4" w:space="0"/>
              <w:bottom w:val="single" w:color="auto" w:sz="4" w:space="0"/>
              <w:right w:val="single" w:color="auto" w:sz="4" w:space="0"/>
            </w:tcBorders>
            <w:vAlign w:val="center"/>
          </w:tcPr>
          <w:p w14:paraId="240E4383">
            <w:pPr>
              <w:spacing w:line="360" w:lineRule="auto"/>
              <w:contextualSpacing/>
              <w:jc w:val="center"/>
              <w:rPr>
                <w:rFonts w:hint="eastAsia" w:ascii="宋体" w:hAnsi="宋体" w:cs="仿宋_GB2312"/>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1EBD1FBF">
            <w:pPr>
              <w:spacing w:line="360" w:lineRule="auto"/>
              <w:contextualSpacing/>
              <w:jc w:val="center"/>
              <w:rPr>
                <w:rFonts w:hint="eastAsia" w:ascii="宋体" w:hAnsi="宋体" w:cs="仿宋_GB2312"/>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7A8E139B">
            <w:pPr>
              <w:spacing w:line="360" w:lineRule="auto"/>
              <w:contextualSpacing/>
              <w:jc w:val="center"/>
              <w:rPr>
                <w:rFonts w:hint="eastAsia" w:ascii="宋体" w:hAnsi="宋体" w:cs="仿宋_GB2312"/>
                <w:color w:val="auto"/>
                <w:sz w:val="24"/>
                <w:highlight w:val="none"/>
              </w:rPr>
            </w:pPr>
          </w:p>
        </w:tc>
      </w:tr>
      <w:tr w14:paraId="6FA389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78" w:type="dxa"/>
            <w:tcBorders>
              <w:top w:val="single" w:color="auto" w:sz="4" w:space="0"/>
              <w:left w:val="single" w:color="auto" w:sz="4" w:space="0"/>
              <w:bottom w:val="single" w:color="auto" w:sz="4" w:space="0"/>
              <w:right w:val="single" w:color="auto" w:sz="4" w:space="0"/>
            </w:tcBorders>
            <w:vAlign w:val="center"/>
          </w:tcPr>
          <w:p w14:paraId="1A255B11">
            <w:pPr>
              <w:jc w:val="center"/>
              <w:rPr>
                <w:rFonts w:hint="eastAsia" w:ascii="宋体" w:hAnsi="宋体"/>
                <w:color w:val="auto"/>
                <w:sz w:val="24"/>
                <w:highlight w:val="none"/>
              </w:rPr>
            </w:pPr>
          </w:p>
        </w:tc>
        <w:tc>
          <w:tcPr>
            <w:tcW w:w="2668" w:type="dxa"/>
            <w:tcBorders>
              <w:top w:val="single" w:color="auto" w:sz="4" w:space="0"/>
              <w:left w:val="single" w:color="auto" w:sz="4" w:space="0"/>
              <w:bottom w:val="single" w:color="auto" w:sz="4" w:space="0"/>
              <w:right w:val="single" w:color="auto" w:sz="4" w:space="0"/>
            </w:tcBorders>
            <w:vAlign w:val="center"/>
          </w:tcPr>
          <w:p w14:paraId="5B6FED92">
            <w:pPr>
              <w:spacing w:line="360" w:lineRule="auto"/>
              <w:contextualSpacing/>
              <w:jc w:val="center"/>
              <w:rPr>
                <w:rFonts w:hint="eastAsia" w:ascii="宋体" w:hAnsi="宋体" w:cs="仿宋_GB2312"/>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1E88CF54">
            <w:pPr>
              <w:spacing w:line="360" w:lineRule="auto"/>
              <w:ind w:left="43"/>
              <w:contextualSpacing/>
              <w:jc w:val="center"/>
              <w:rPr>
                <w:rFonts w:hint="eastAsia" w:ascii="宋体" w:hAnsi="宋体" w:cs="仿宋_GB2312"/>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3B70E882">
            <w:pPr>
              <w:spacing w:line="360" w:lineRule="auto"/>
              <w:ind w:left="43"/>
              <w:contextualSpacing/>
              <w:jc w:val="center"/>
              <w:rPr>
                <w:rFonts w:hint="eastAsia" w:ascii="宋体" w:hAnsi="宋体" w:cs="仿宋_GB2312"/>
                <w:color w:val="auto"/>
                <w:sz w:val="24"/>
                <w:highlight w:val="none"/>
              </w:rPr>
            </w:pPr>
          </w:p>
        </w:tc>
      </w:tr>
      <w:tr w14:paraId="7989A5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vAlign w:val="center"/>
          </w:tcPr>
          <w:p w14:paraId="586FA654">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w:t>
            </w:r>
          </w:p>
        </w:tc>
        <w:tc>
          <w:tcPr>
            <w:tcW w:w="2668" w:type="dxa"/>
            <w:tcBorders>
              <w:top w:val="single" w:color="auto" w:sz="4" w:space="0"/>
              <w:left w:val="single" w:color="auto" w:sz="4" w:space="0"/>
              <w:bottom w:val="single" w:color="auto" w:sz="4" w:space="0"/>
              <w:right w:val="single" w:color="auto" w:sz="4" w:space="0"/>
            </w:tcBorders>
            <w:vAlign w:val="center"/>
          </w:tcPr>
          <w:p w14:paraId="184E1521">
            <w:pPr>
              <w:spacing w:line="360" w:lineRule="auto"/>
              <w:contextualSpacing/>
              <w:jc w:val="center"/>
              <w:rPr>
                <w:rFonts w:hint="eastAsia" w:ascii="宋体" w:hAnsi="宋体" w:cs="仿宋_GB2312"/>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06B1B962">
            <w:pPr>
              <w:spacing w:line="360" w:lineRule="auto"/>
              <w:contextualSpacing/>
              <w:jc w:val="center"/>
              <w:rPr>
                <w:rFonts w:hint="eastAsia" w:ascii="宋体" w:hAnsi="宋体" w:cs="仿宋_GB2312"/>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677271C5">
            <w:pPr>
              <w:spacing w:line="360" w:lineRule="auto"/>
              <w:contextualSpacing/>
              <w:jc w:val="center"/>
              <w:rPr>
                <w:rFonts w:hint="eastAsia" w:ascii="宋体" w:hAnsi="宋体" w:cs="仿宋_GB2312"/>
                <w:color w:val="auto"/>
                <w:sz w:val="24"/>
                <w:highlight w:val="none"/>
              </w:rPr>
            </w:pPr>
          </w:p>
        </w:tc>
      </w:tr>
    </w:tbl>
    <w:p w14:paraId="686A1BD4">
      <w:pPr>
        <w:pStyle w:val="16"/>
        <w:spacing w:after="0" w:line="360" w:lineRule="auto"/>
        <w:contextualSpacing/>
        <w:rPr>
          <w:rFonts w:hint="eastAsia" w:ascii="宋体" w:hAnsi="宋体"/>
          <w:color w:val="auto"/>
          <w:kern w:val="0"/>
          <w:sz w:val="24"/>
          <w:szCs w:val="24"/>
          <w:highlight w:val="none"/>
        </w:rPr>
      </w:pPr>
      <w:r>
        <w:rPr>
          <w:rFonts w:hint="eastAsia" w:ascii="宋体" w:hAnsi="宋体"/>
          <w:color w:val="auto"/>
          <w:kern w:val="0"/>
          <w:sz w:val="24"/>
          <w:szCs w:val="24"/>
          <w:highlight w:val="none"/>
        </w:rPr>
        <w:t>注：</w:t>
      </w:r>
    </w:p>
    <w:p w14:paraId="3A7C7800">
      <w:pPr>
        <w:pStyle w:val="16"/>
        <w:spacing w:after="0" w:line="360" w:lineRule="auto"/>
        <w:contextualSpacing/>
        <w:rPr>
          <w:rFonts w:hint="eastAsia" w:ascii="宋体" w:hAnsi="宋体"/>
          <w:color w:val="auto"/>
          <w:kern w:val="0"/>
          <w:sz w:val="24"/>
          <w:szCs w:val="24"/>
          <w:highlight w:val="none"/>
        </w:rPr>
      </w:pPr>
      <w:r>
        <w:rPr>
          <w:rFonts w:hint="eastAsia" w:ascii="宋体" w:hAnsi="宋体"/>
          <w:color w:val="auto"/>
          <w:kern w:val="0"/>
          <w:sz w:val="24"/>
          <w:szCs w:val="24"/>
          <w:highlight w:val="none"/>
        </w:rPr>
        <w:t>1. 说明：应对照磋商文件“第三章 采购需求”中的商务要求逐条作出明确响应，并作出偏离说明。</w:t>
      </w:r>
    </w:p>
    <w:p w14:paraId="7823AECD">
      <w:pPr>
        <w:spacing w:line="360" w:lineRule="auto"/>
        <w:contextualSpacing/>
        <w:jc w:val="left"/>
        <w:rPr>
          <w:rFonts w:hint="eastAsia" w:ascii="宋体" w:hAnsi="宋体" w:cs="仿宋_GB2312"/>
          <w:color w:val="auto"/>
          <w:sz w:val="24"/>
          <w:highlight w:val="none"/>
          <w:u w:val="single"/>
        </w:rPr>
      </w:pPr>
      <w:r>
        <w:rPr>
          <w:rFonts w:hint="eastAsia" w:ascii="宋体" w:hAnsi="宋体"/>
          <w:color w:val="auto"/>
          <w:kern w:val="0"/>
          <w:sz w:val="24"/>
          <w:highlight w:val="none"/>
        </w:rPr>
        <w:t>2.供应商应根据自身的承诺，对照磋商文件要求在“偏离说明”中注明“正偏离”、“负偏离”或者“无偏离”。既不属于“正偏离”也不属于“负偏离”即为“无偏离”。</w:t>
      </w:r>
    </w:p>
    <w:p w14:paraId="78E2DB2A">
      <w:pPr>
        <w:spacing w:line="360" w:lineRule="auto"/>
        <w:ind w:right="-817" w:rightChars="-389"/>
        <w:contextualSpacing/>
        <w:rPr>
          <w:rFonts w:hint="eastAsia" w:ascii="宋体" w:hAnsi="宋体" w:cs="仿宋_GB2312"/>
          <w:color w:val="auto"/>
          <w:sz w:val="24"/>
          <w:highlight w:val="none"/>
        </w:rPr>
      </w:pPr>
    </w:p>
    <w:p w14:paraId="37A3C809">
      <w:pPr>
        <w:spacing w:line="360" w:lineRule="auto"/>
        <w:ind w:right="-817" w:rightChars="-389"/>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法定代表人或者委托代理人（签字或者电子签名）：</w:t>
      </w:r>
    </w:p>
    <w:p w14:paraId="4C17201E">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38B55E0E">
      <w:pPr>
        <w:spacing w:line="360" w:lineRule="auto"/>
        <w:ind w:right="-817" w:rightChars="-389" w:firstLine="4080" w:firstLineChars="1700"/>
        <w:contextualSpacing/>
        <w:rPr>
          <w:rFonts w:hint="eastAsia" w:ascii="仿宋_GB2312" w:hAnsi="仿宋_GB2312" w:eastAsia="仿宋_GB2312" w:cs="仿宋_GB2312"/>
          <w:b/>
          <w:color w:val="auto"/>
          <w:sz w:val="32"/>
          <w:szCs w:val="32"/>
          <w:highlight w:val="none"/>
        </w:rPr>
      </w:pPr>
      <w:r>
        <w:rPr>
          <w:rFonts w:hint="eastAsia" w:ascii="宋体" w:hAnsi="宋体" w:cs="仿宋_GB2312"/>
          <w:color w:val="auto"/>
          <w:sz w:val="24"/>
          <w:highlight w:val="none"/>
        </w:rPr>
        <w:t>日期：   年   月   日</w:t>
      </w:r>
    </w:p>
    <w:p w14:paraId="560D2502">
      <w:pPr>
        <w:adjustRightInd w:val="0"/>
        <w:snapToGrid w:val="0"/>
        <w:spacing w:line="520" w:lineRule="exact"/>
        <w:ind w:firstLine="7040" w:firstLineChars="1600"/>
        <w:jc w:val="center"/>
        <w:rPr>
          <w:rFonts w:hint="eastAsia" w:ascii="方正小标宋简体" w:hAnsi="方正小标宋简体" w:eastAsia="方正小标宋简体" w:cs="方正小标宋简体"/>
          <w:bCs/>
          <w:color w:val="auto"/>
          <w:sz w:val="44"/>
          <w:szCs w:val="44"/>
          <w:highlight w:val="none"/>
        </w:rPr>
      </w:pPr>
    </w:p>
    <w:p w14:paraId="1ED32BDC">
      <w:pPr>
        <w:adjustRightInd w:val="0"/>
        <w:snapToGrid w:val="0"/>
        <w:spacing w:line="520" w:lineRule="exact"/>
        <w:ind w:firstLine="7040" w:firstLineChars="1600"/>
        <w:jc w:val="center"/>
        <w:rPr>
          <w:rFonts w:hint="eastAsia" w:ascii="方正小标宋简体" w:hAnsi="方正小标宋简体" w:eastAsia="方正小标宋简体" w:cs="方正小标宋简体"/>
          <w:bCs/>
          <w:color w:val="auto"/>
          <w:sz w:val="44"/>
          <w:szCs w:val="44"/>
          <w:highlight w:val="none"/>
        </w:rPr>
      </w:pPr>
    </w:p>
    <w:p w14:paraId="71A67BCC">
      <w:pPr>
        <w:adjustRightInd w:val="0"/>
        <w:snapToGrid w:val="0"/>
        <w:spacing w:line="520" w:lineRule="exact"/>
        <w:ind w:firstLine="7040" w:firstLineChars="1600"/>
        <w:jc w:val="center"/>
        <w:rPr>
          <w:rFonts w:hint="eastAsia" w:ascii="方正小标宋简体" w:hAnsi="方正小标宋简体" w:eastAsia="方正小标宋简体" w:cs="方正小标宋简体"/>
          <w:bCs/>
          <w:color w:val="auto"/>
          <w:sz w:val="44"/>
          <w:szCs w:val="44"/>
          <w:highlight w:val="none"/>
        </w:rPr>
      </w:pPr>
    </w:p>
    <w:p w14:paraId="75797AED">
      <w:pPr>
        <w:adjustRightInd w:val="0"/>
        <w:snapToGrid w:val="0"/>
        <w:spacing w:line="520" w:lineRule="exact"/>
        <w:ind w:firstLine="7040" w:firstLineChars="1600"/>
        <w:jc w:val="center"/>
        <w:rPr>
          <w:rFonts w:hint="eastAsia" w:ascii="方正小标宋简体" w:hAnsi="方正小标宋简体" w:eastAsia="方正小标宋简体" w:cs="方正小标宋简体"/>
          <w:bCs/>
          <w:color w:val="auto"/>
          <w:sz w:val="44"/>
          <w:szCs w:val="44"/>
          <w:highlight w:val="none"/>
        </w:rPr>
      </w:pPr>
    </w:p>
    <w:p w14:paraId="3F283C86">
      <w:pPr>
        <w:adjustRightInd w:val="0"/>
        <w:snapToGrid w:val="0"/>
        <w:spacing w:line="520" w:lineRule="exact"/>
        <w:rPr>
          <w:rFonts w:hint="eastAsia" w:ascii="宋体" w:hAnsi="宋体"/>
          <w:color w:val="auto"/>
          <w:szCs w:val="21"/>
          <w:highlight w:val="none"/>
          <w:u w:val="single"/>
        </w:rPr>
      </w:pPr>
    </w:p>
    <w:p w14:paraId="769CF42F">
      <w:pPr>
        <w:pStyle w:val="3"/>
        <w:rPr>
          <w:rFonts w:hint="eastAsia" w:ascii="宋体" w:hAnsi="宋体"/>
          <w:color w:val="auto"/>
          <w:highlight w:val="none"/>
        </w:rPr>
      </w:pPr>
      <w:r>
        <w:rPr>
          <w:rFonts w:ascii="方正小标宋简体" w:hAnsi="方正小标宋简体" w:eastAsia="方正小标宋简体" w:cs="方正小标宋简体"/>
          <w:color w:val="auto"/>
          <w:sz w:val="44"/>
          <w:szCs w:val="44"/>
          <w:highlight w:val="none"/>
        </w:rPr>
        <w:br w:type="page"/>
      </w:r>
      <w:r>
        <w:rPr>
          <w:rFonts w:hint="eastAsia"/>
          <w:color w:val="auto"/>
          <w:highlight w:val="none"/>
        </w:rPr>
        <w:t>四、技术文件格式</w:t>
      </w:r>
    </w:p>
    <w:p w14:paraId="52868D70">
      <w:pPr>
        <w:snapToGrid w:val="0"/>
        <w:spacing w:before="156" w:beforeLines="50" w:after="50" w:line="360" w:lineRule="auto"/>
        <w:jc w:val="left"/>
        <w:rPr>
          <w:rFonts w:hint="eastAsia" w:ascii="宋体" w:hAnsi="宋体"/>
          <w:b/>
          <w:color w:val="auto"/>
          <w:sz w:val="32"/>
          <w:szCs w:val="32"/>
          <w:highlight w:val="none"/>
        </w:rPr>
      </w:pPr>
      <w:r>
        <w:rPr>
          <w:rFonts w:hint="eastAsia" w:ascii="宋体" w:hAnsi="宋体"/>
          <w:b/>
          <w:color w:val="auto"/>
          <w:sz w:val="32"/>
          <w:szCs w:val="32"/>
          <w:highlight w:val="none"/>
        </w:rPr>
        <w:t>1.技术文件封面格式</w:t>
      </w:r>
    </w:p>
    <w:p w14:paraId="70CE3B1A">
      <w:pPr>
        <w:snapToGrid w:val="0"/>
        <w:spacing w:before="156" w:beforeLines="50" w:after="50"/>
        <w:rPr>
          <w:rFonts w:hint="eastAsia" w:ascii="宋体" w:hAnsi="宋体"/>
          <w:bCs/>
          <w:color w:val="auto"/>
          <w:sz w:val="32"/>
          <w:szCs w:val="20"/>
          <w:highlight w:val="none"/>
        </w:rPr>
      </w:pPr>
    </w:p>
    <w:p w14:paraId="4438B5AC">
      <w:pPr>
        <w:snapToGrid w:val="0"/>
        <w:spacing w:before="156" w:beforeLines="50" w:after="50"/>
        <w:jc w:val="center"/>
        <w:rPr>
          <w:rFonts w:hint="eastAsia" w:ascii="宋体" w:hAnsi="宋体"/>
          <w:color w:val="auto"/>
          <w:sz w:val="24"/>
          <w:szCs w:val="20"/>
          <w:highlight w:val="none"/>
        </w:rPr>
      </w:pPr>
      <w:r>
        <w:rPr>
          <w:rFonts w:hint="eastAsia" w:ascii="宋体" w:hAnsi="宋体"/>
          <w:color w:val="auto"/>
          <w:sz w:val="44"/>
          <w:szCs w:val="44"/>
          <w:highlight w:val="none"/>
        </w:rPr>
        <w:t>电 子 响 应 文 件</w:t>
      </w:r>
    </w:p>
    <w:p w14:paraId="567A6213">
      <w:pPr>
        <w:snapToGrid w:val="0"/>
        <w:spacing w:before="156" w:beforeLines="50" w:after="50"/>
        <w:rPr>
          <w:rFonts w:hint="eastAsia" w:ascii="宋体" w:hAnsi="宋体"/>
          <w:color w:val="auto"/>
          <w:sz w:val="24"/>
          <w:szCs w:val="20"/>
          <w:highlight w:val="none"/>
        </w:rPr>
      </w:pPr>
    </w:p>
    <w:p w14:paraId="5F53338D">
      <w:pPr>
        <w:snapToGrid w:val="0"/>
        <w:spacing w:before="156" w:beforeLines="50" w:after="50"/>
        <w:rPr>
          <w:rFonts w:hint="eastAsia" w:ascii="宋体" w:hAnsi="宋体"/>
          <w:color w:val="auto"/>
          <w:sz w:val="24"/>
          <w:szCs w:val="20"/>
          <w:highlight w:val="none"/>
        </w:rPr>
      </w:pPr>
    </w:p>
    <w:p w14:paraId="16E0B92D">
      <w:pPr>
        <w:snapToGrid w:val="0"/>
        <w:spacing w:before="156"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技  术  文  件</w:t>
      </w:r>
    </w:p>
    <w:p w14:paraId="4BDE72E8">
      <w:pPr>
        <w:snapToGrid w:val="0"/>
        <w:spacing w:before="156" w:beforeLines="50" w:after="50"/>
        <w:rPr>
          <w:rFonts w:hint="eastAsia" w:ascii="宋体" w:hAnsi="宋体"/>
          <w:bCs/>
          <w:color w:val="auto"/>
          <w:sz w:val="24"/>
          <w:szCs w:val="20"/>
          <w:highlight w:val="none"/>
        </w:rPr>
      </w:pPr>
    </w:p>
    <w:p w14:paraId="519A8EFC">
      <w:pPr>
        <w:snapToGrid w:val="0"/>
        <w:spacing w:before="156" w:beforeLines="50" w:after="50"/>
        <w:rPr>
          <w:rFonts w:hint="eastAsia" w:ascii="宋体" w:hAnsi="宋体"/>
          <w:bCs/>
          <w:color w:val="auto"/>
          <w:sz w:val="24"/>
          <w:szCs w:val="20"/>
          <w:highlight w:val="none"/>
        </w:rPr>
      </w:pPr>
    </w:p>
    <w:p w14:paraId="55331A85">
      <w:pPr>
        <w:snapToGrid w:val="0"/>
        <w:spacing w:before="156" w:beforeLines="50" w:after="50"/>
        <w:rPr>
          <w:rFonts w:hint="eastAsia" w:ascii="宋体" w:hAnsi="宋体"/>
          <w:bCs/>
          <w:color w:val="auto"/>
          <w:sz w:val="24"/>
          <w:szCs w:val="20"/>
          <w:highlight w:val="none"/>
        </w:rPr>
      </w:pPr>
    </w:p>
    <w:p w14:paraId="0C6F5878">
      <w:pPr>
        <w:snapToGrid w:val="0"/>
        <w:spacing w:before="156" w:beforeLines="50" w:after="50"/>
        <w:rPr>
          <w:rFonts w:hint="eastAsia" w:ascii="宋体" w:hAnsi="宋体"/>
          <w:bCs/>
          <w:color w:val="auto"/>
          <w:sz w:val="24"/>
          <w:szCs w:val="20"/>
          <w:highlight w:val="none"/>
        </w:rPr>
      </w:pPr>
    </w:p>
    <w:p w14:paraId="3199868D">
      <w:pPr>
        <w:snapToGrid w:val="0"/>
        <w:spacing w:before="156" w:beforeLines="50" w:after="50"/>
        <w:rPr>
          <w:rFonts w:hint="eastAsia" w:ascii="宋体" w:hAnsi="宋体"/>
          <w:bCs/>
          <w:color w:val="auto"/>
          <w:sz w:val="24"/>
          <w:szCs w:val="20"/>
          <w:highlight w:val="none"/>
        </w:rPr>
      </w:pPr>
    </w:p>
    <w:p w14:paraId="7B1DEE38">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2FD8A1D3">
      <w:pPr>
        <w:snapToGrid w:val="0"/>
        <w:spacing w:before="156" w:beforeLines="50" w:after="50"/>
        <w:ind w:firstLine="720" w:firstLineChars="225"/>
        <w:rPr>
          <w:rFonts w:hint="eastAsia" w:ascii="宋体" w:hAnsi="宋体" w:cs="仿宋_GB2312"/>
          <w:bCs/>
          <w:color w:val="auto"/>
          <w:sz w:val="32"/>
          <w:szCs w:val="32"/>
          <w:highlight w:val="none"/>
        </w:rPr>
      </w:pPr>
    </w:p>
    <w:p w14:paraId="0E7DA85D">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06D831E6">
      <w:pPr>
        <w:snapToGrid w:val="0"/>
        <w:spacing w:before="156" w:beforeLines="50" w:after="50"/>
        <w:ind w:firstLine="720" w:firstLineChars="225"/>
        <w:rPr>
          <w:rFonts w:hint="eastAsia" w:ascii="宋体" w:hAnsi="宋体" w:cs="仿宋_GB2312"/>
          <w:bCs/>
          <w:color w:val="auto"/>
          <w:sz w:val="32"/>
          <w:szCs w:val="32"/>
          <w:highlight w:val="none"/>
        </w:rPr>
      </w:pPr>
    </w:p>
    <w:p w14:paraId="66D71BE2">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1E240268">
      <w:pPr>
        <w:snapToGrid w:val="0"/>
        <w:spacing w:before="156" w:beforeLines="50" w:after="50"/>
        <w:ind w:firstLine="720" w:firstLineChars="225"/>
        <w:rPr>
          <w:rFonts w:hint="eastAsia" w:ascii="宋体" w:hAnsi="宋体" w:cs="仿宋_GB2312"/>
          <w:bCs/>
          <w:color w:val="auto"/>
          <w:sz w:val="32"/>
          <w:szCs w:val="32"/>
          <w:highlight w:val="none"/>
        </w:rPr>
      </w:pPr>
    </w:p>
    <w:p w14:paraId="1D04A0FC">
      <w:pPr>
        <w:pStyle w:val="7"/>
        <w:snapToGrid w:val="0"/>
        <w:spacing w:before="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7CB7982F">
      <w:pPr>
        <w:pStyle w:val="7"/>
        <w:snapToGrid w:val="0"/>
        <w:spacing w:before="50" w:after="50"/>
        <w:ind w:firstLine="640" w:firstLineChars="200"/>
        <w:rPr>
          <w:rFonts w:hint="eastAsia" w:ascii="宋体" w:hAnsi="宋体" w:cs="仿宋_GB2312"/>
          <w:bCs/>
          <w:color w:val="auto"/>
          <w:sz w:val="32"/>
          <w:szCs w:val="32"/>
          <w:highlight w:val="none"/>
        </w:rPr>
      </w:pPr>
    </w:p>
    <w:p w14:paraId="5FF7AAAC">
      <w:pPr>
        <w:pStyle w:val="7"/>
        <w:snapToGrid w:val="0"/>
        <w:spacing w:before="50" w:after="50"/>
        <w:ind w:firstLine="720" w:firstLineChars="225"/>
        <w:rPr>
          <w:rFonts w:hint="eastAsia" w:ascii="宋体" w:hAnsi="宋体" w:cs="仿宋_GB2312"/>
          <w:bCs/>
          <w:color w:val="auto"/>
          <w:sz w:val="32"/>
          <w:szCs w:val="32"/>
          <w:highlight w:val="none"/>
        </w:rPr>
      </w:pPr>
    </w:p>
    <w:p w14:paraId="10CF16C4">
      <w:pPr>
        <w:pStyle w:val="7"/>
        <w:snapToGrid w:val="0"/>
        <w:spacing w:before="50" w:after="50"/>
        <w:ind w:firstLine="0"/>
        <w:rPr>
          <w:rFonts w:hint="eastAsia" w:ascii="宋体" w:hAnsi="宋体" w:cs="仿宋_GB2312"/>
          <w:bCs/>
          <w:color w:val="auto"/>
          <w:sz w:val="32"/>
          <w:szCs w:val="32"/>
          <w:highlight w:val="none"/>
        </w:rPr>
      </w:pPr>
    </w:p>
    <w:p w14:paraId="7A8B5482">
      <w:pPr>
        <w:pStyle w:val="7"/>
        <w:snapToGrid w:val="0"/>
        <w:spacing w:before="50" w:after="50"/>
        <w:ind w:firstLine="1280" w:firstLineChars="400"/>
        <w:rPr>
          <w:rFonts w:hint="eastAsia" w:ascii="宋体" w:hAnsi="宋体" w:cs="仿宋_GB2312"/>
          <w:bCs/>
          <w:color w:val="auto"/>
          <w:sz w:val="32"/>
          <w:szCs w:val="32"/>
          <w:highlight w:val="none"/>
        </w:rPr>
      </w:pPr>
    </w:p>
    <w:p w14:paraId="1EA3C01B">
      <w:pPr>
        <w:snapToGrid w:val="0"/>
        <w:spacing w:before="156"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5DE5797C">
      <w:pPr>
        <w:snapToGrid w:val="0"/>
        <w:spacing w:before="156" w:beforeLines="50" w:after="50" w:line="360" w:lineRule="auto"/>
        <w:ind w:right="480" w:firstLine="240" w:firstLineChars="100"/>
        <w:jc w:val="left"/>
        <w:rPr>
          <w:rFonts w:hint="eastAsia" w:ascii="宋体" w:hAnsi="宋体"/>
          <w:b/>
          <w:bCs/>
          <w:color w:val="auto"/>
          <w:sz w:val="24"/>
          <w:highlight w:val="none"/>
        </w:rPr>
      </w:pPr>
      <w:r>
        <w:rPr>
          <w:rFonts w:ascii="宋体" w:hAnsi="宋体"/>
          <w:color w:val="auto"/>
          <w:sz w:val="24"/>
          <w:highlight w:val="none"/>
        </w:rPr>
        <w:br w:type="page"/>
      </w:r>
      <w:r>
        <w:rPr>
          <w:rFonts w:hint="eastAsia" w:ascii="宋体" w:hAnsi="宋体"/>
          <w:b/>
          <w:bCs/>
          <w:color w:val="auto"/>
          <w:sz w:val="32"/>
          <w:szCs w:val="32"/>
          <w:highlight w:val="none"/>
        </w:rPr>
        <w:t>2.技术文件目录</w:t>
      </w:r>
    </w:p>
    <w:p w14:paraId="284DA1C2">
      <w:pPr>
        <w:snapToGrid w:val="0"/>
        <w:spacing w:before="156" w:beforeLines="50" w:after="50" w:line="360" w:lineRule="auto"/>
        <w:ind w:firstLine="640" w:firstLineChars="200"/>
        <w:rPr>
          <w:rFonts w:hint="eastAsia"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464F9D7A">
      <w:pPr>
        <w:spacing w:line="400" w:lineRule="exact"/>
        <w:rPr>
          <w:rFonts w:hint="eastAsia" w:ascii="仿宋_GB2312" w:hAnsi="仿宋_GB2312" w:eastAsia="仿宋_GB2312" w:cs="仿宋_GB2312"/>
          <w:color w:val="auto"/>
          <w:sz w:val="32"/>
          <w:szCs w:val="32"/>
          <w:highlight w:val="none"/>
        </w:rPr>
      </w:pPr>
    </w:p>
    <w:p w14:paraId="1C6A05C2">
      <w:pPr>
        <w:adjustRightInd w:val="0"/>
        <w:snapToGrid w:val="0"/>
        <w:spacing w:line="300" w:lineRule="auto"/>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方正小标宋简体" w:hAnsi="方正小标宋简体" w:eastAsia="方正小标宋简体" w:cs="方正小标宋简体"/>
          <w:bCs/>
          <w:color w:val="auto"/>
          <w:sz w:val="44"/>
          <w:szCs w:val="44"/>
          <w:highlight w:val="none"/>
        </w:rPr>
        <w:t>技术要求偏离表</w:t>
      </w:r>
    </w:p>
    <w:p w14:paraId="19B0B87D">
      <w:pPr>
        <w:spacing w:line="520" w:lineRule="exact"/>
        <w:rPr>
          <w:rFonts w:hint="eastAsia" w:ascii="仿宋_GB2312" w:hAnsi="仿宋_GB2312" w:eastAsia="仿宋_GB2312" w:cs="仿宋_GB2312"/>
          <w:color w:val="auto"/>
          <w:sz w:val="32"/>
          <w:szCs w:val="32"/>
          <w:highlight w:val="none"/>
        </w:rPr>
      </w:pPr>
    </w:p>
    <w:p w14:paraId="65C9FF78">
      <w:pPr>
        <w:spacing w:line="360" w:lineRule="auto"/>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采购项目编号：</w:t>
      </w:r>
    </w:p>
    <w:p w14:paraId="01BCA5CC">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采购项目名称：</w:t>
      </w:r>
    </w:p>
    <w:p w14:paraId="3498EED2">
      <w:pPr>
        <w:spacing w:line="360" w:lineRule="auto"/>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分标号：</w:t>
      </w:r>
    </w:p>
    <w:tbl>
      <w:tblPr>
        <w:tblStyle w:val="36"/>
        <w:tblW w:w="909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16"/>
        <w:gridCol w:w="915"/>
        <w:gridCol w:w="3038"/>
        <w:gridCol w:w="2734"/>
        <w:gridCol w:w="1492"/>
      </w:tblGrid>
      <w:tr w14:paraId="074E6E5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15B10F01">
            <w:pPr>
              <w:pStyle w:val="19"/>
              <w:spacing w:line="360" w:lineRule="auto"/>
              <w:ind w:firstLine="0" w:firstLineChars="0"/>
              <w:contextualSpacing/>
              <w:jc w:val="center"/>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序号</w:t>
            </w:r>
          </w:p>
        </w:tc>
        <w:tc>
          <w:tcPr>
            <w:tcW w:w="915" w:type="dxa"/>
            <w:tcBorders>
              <w:right w:val="single" w:color="auto" w:sz="4" w:space="0"/>
            </w:tcBorders>
            <w:vAlign w:val="center"/>
          </w:tcPr>
          <w:p w14:paraId="38E929E4">
            <w:pPr>
              <w:pStyle w:val="19"/>
              <w:spacing w:line="360" w:lineRule="auto"/>
              <w:ind w:firstLine="0" w:firstLineChars="0"/>
              <w:contextualSpacing/>
              <w:jc w:val="center"/>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名称</w:t>
            </w:r>
          </w:p>
        </w:tc>
        <w:tc>
          <w:tcPr>
            <w:tcW w:w="3038" w:type="dxa"/>
            <w:tcBorders>
              <w:left w:val="single" w:color="auto" w:sz="4" w:space="0"/>
            </w:tcBorders>
            <w:vAlign w:val="center"/>
          </w:tcPr>
          <w:p w14:paraId="197D3D3B">
            <w:pPr>
              <w:pStyle w:val="19"/>
              <w:spacing w:line="360" w:lineRule="auto"/>
              <w:ind w:firstLine="0" w:firstLineChars="0"/>
              <w:contextualSpacing/>
              <w:jc w:val="center"/>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磋商文件技术要求</w:t>
            </w:r>
          </w:p>
        </w:tc>
        <w:tc>
          <w:tcPr>
            <w:tcW w:w="2734" w:type="dxa"/>
            <w:vAlign w:val="center"/>
          </w:tcPr>
          <w:p w14:paraId="4F2B94D2">
            <w:pPr>
              <w:pStyle w:val="19"/>
              <w:spacing w:line="360" w:lineRule="auto"/>
              <w:ind w:firstLine="0" w:firstLineChars="0"/>
              <w:contextualSpacing/>
              <w:jc w:val="center"/>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竞标响应</w:t>
            </w:r>
          </w:p>
        </w:tc>
        <w:tc>
          <w:tcPr>
            <w:tcW w:w="1492" w:type="dxa"/>
            <w:vAlign w:val="center"/>
          </w:tcPr>
          <w:p w14:paraId="52755F56">
            <w:pPr>
              <w:pStyle w:val="19"/>
              <w:spacing w:line="360" w:lineRule="auto"/>
              <w:ind w:firstLine="0" w:firstLineChars="0"/>
              <w:contextualSpacing/>
              <w:jc w:val="center"/>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偏离说明</w:t>
            </w:r>
          </w:p>
        </w:tc>
      </w:tr>
      <w:tr w14:paraId="20C36E5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76F7828E">
            <w:pPr>
              <w:pStyle w:val="19"/>
              <w:spacing w:line="360" w:lineRule="auto"/>
              <w:ind w:firstLine="0" w:firstLineChars="0"/>
              <w:contextualSpacing/>
              <w:jc w:val="center"/>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1</w:t>
            </w:r>
          </w:p>
        </w:tc>
        <w:tc>
          <w:tcPr>
            <w:tcW w:w="915" w:type="dxa"/>
            <w:tcBorders>
              <w:right w:val="single" w:color="auto" w:sz="4" w:space="0"/>
            </w:tcBorders>
            <w:vAlign w:val="center"/>
          </w:tcPr>
          <w:p w14:paraId="2A657DB9">
            <w:pPr>
              <w:pStyle w:val="19"/>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3038" w:type="dxa"/>
            <w:tcBorders>
              <w:left w:val="single" w:color="auto" w:sz="4" w:space="0"/>
            </w:tcBorders>
            <w:vAlign w:val="center"/>
          </w:tcPr>
          <w:p w14:paraId="4F4304AB">
            <w:pPr>
              <w:pStyle w:val="19"/>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2734" w:type="dxa"/>
            <w:vAlign w:val="center"/>
          </w:tcPr>
          <w:p w14:paraId="2F59DF0C">
            <w:pPr>
              <w:pStyle w:val="19"/>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1492" w:type="dxa"/>
            <w:vAlign w:val="center"/>
          </w:tcPr>
          <w:p w14:paraId="5C7E666C">
            <w:pPr>
              <w:pStyle w:val="19"/>
              <w:spacing w:line="360" w:lineRule="auto"/>
              <w:ind w:firstLine="0" w:firstLineChars="0"/>
              <w:contextualSpacing/>
              <w:jc w:val="center"/>
              <w:rPr>
                <w:rFonts w:hint="eastAsia" w:ascii="宋体" w:hAnsi="宋体" w:eastAsia="宋体" w:cs="仿宋_GB2312"/>
                <w:color w:val="auto"/>
                <w:kern w:val="2"/>
                <w:sz w:val="24"/>
                <w:szCs w:val="24"/>
                <w:highlight w:val="none"/>
              </w:rPr>
            </w:pPr>
          </w:p>
        </w:tc>
      </w:tr>
      <w:tr w14:paraId="2D1105C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34A073EE">
            <w:pPr>
              <w:pStyle w:val="19"/>
              <w:spacing w:line="360" w:lineRule="auto"/>
              <w:ind w:firstLine="0" w:firstLineChars="0"/>
              <w:contextualSpacing/>
              <w:jc w:val="center"/>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2</w:t>
            </w:r>
          </w:p>
        </w:tc>
        <w:tc>
          <w:tcPr>
            <w:tcW w:w="915" w:type="dxa"/>
            <w:tcBorders>
              <w:right w:val="single" w:color="auto" w:sz="4" w:space="0"/>
            </w:tcBorders>
            <w:vAlign w:val="center"/>
          </w:tcPr>
          <w:p w14:paraId="7C326FDF">
            <w:pPr>
              <w:pStyle w:val="19"/>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3038" w:type="dxa"/>
            <w:tcBorders>
              <w:left w:val="single" w:color="auto" w:sz="4" w:space="0"/>
            </w:tcBorders>
            <w:vAlign w:val="center"/>
          </w:tcPr>
          <w:p w14:paraId="58634530">
            <w:pPr>
              <w:pStyle w:val="19"/>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2734" w:type="dxa"/>
            <w:vAlign w:val="center"/>
          </w:tcPr>
          <w:p w14:paraId="5744ED6B">
            <w:pPr>
              <w:pStyle w:val="19"/>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1492" w:type="dxa"/>
            <w:vAlign w:val="center"/>
          </w:tcPr>
          <w:p w14:paraId="61C5BA41">
            <w:pPr>
              <w:pStyle w:val="19"/>
              <w:spacing w:line="360" w:lineRule="auto"/>
              <w:ind w:firstLine="0" w:firstLineChars="0"/>
              <w:contextualSpacing/>
              <w:jc w:val="center"/>
              <w:rPr>
                <w:rFonts w:hint="eastAsia" w:ascii="宋体" w:hAnsi="宋体" w:eastAsia="宋体" w:cs="仿宋_GB2312"/>
                <w:color w:val="auto"/>
                <w:kern w:val="2"/>
                <w:sz w:val="24"/>
                <w:szCs w:val="24"/>
                <w:highlight w:val="none"/>
              </w:rPr>
            </w:pPr>
          </w:p>
        </w:tc>
      </w:tr>
      <w:tr w14:paraId="22022E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1DD3EAB8">
            <w:pPr>
              <w:pStyle w:val="19"/>
              <w:spacing w:line="360" w:lineRule="auto"/>
              <w:ind w:firstLine="0" w:firstLineChars="0"/>
              <w:contextualSpacing/>
              <w:jc w:val="center"/>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3</w:t>
            </w:r>
          </w:p>
        </w:tc>
        <w:tc>
          <w:tcPr>
            <w:tcW w:w="915" w:type="dxa"/>
            <w:tcBorders>
              <w:right w:val="single" w:color="auto" w:sz="4" w:space="0"/>
            </w:tcBorders>
            <w:vAlign w:val="center"/>
          </w:tcPr>
          <w:p w14:paraId="227719F6">
            <w:pPr>
              <w:pStyle w:val="19"/>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3038" w:type="dxa"/>
            <w:tcBorders>
              <w:left w:val="single" w:color="auto" w:sz="4" w:space="0"/>
            </w:tcBorders>
            <w:vAlign w:val="center"/>
          </w:tcPr>
          <w:p w14:paraId="2E0C51A1">
            <w:pPr>
              <w:pStyle w:val="19"/>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2734" w:type="dxa"/>
            <w:vAlign w:val="center"/>
          </w:tcPr>
          <w:p w14:paraId="2A058169">
            <w:pPr>
              <w:pStyle w:val="19"/>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1492" w:type="dxa"/>
            <w:vAlign w:val="center"/>
          </w:tcPr>
          <w:p w14:paraId="54069973">
            <w:pPr>
              <w:pStyle w:val="19"/>
              <w:spacing w:line="360" w:lineRule="auto"/>
              <w:ind w:firstLine="0" w:firstLineChars="0"/>
              <w:contextualSpacing/>
              <w:jc w:val="center"/>
              <w:rPr>
                <w:rFonts w:hint="eastAsia" w:ascii="宋体" w:hAnsi="宋体" w:eastAsia="宋体" w:cs="仿宋_GB2312"/>
                <w:color w:val="auto"/>
                <w:kern w:val="2"/>
                <w:sz w:val="24"/>
                <w:szCs w:val="24"/>
                <w:highlight w:val="none"/>
              </w:rPr>
            </w:pPr>
          </w:p>
        </w:tc>
      </w:tr>
      <w:tr w14:paraId="53D92C6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051A48D3">
            <w:pPr>
              <w:pStyle w:val="19"/>
              <w:spacing w:line="360" w:lineRule="auto"/>
              <w:ind w:firstLine="0" w:firstLineChars="0"/>
              <w:contextualSpacing/>
              <w:jc w:val="center"/>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4</w:t>
            </w:r>
          </w:p>
        </w:tc>
        <w:tc>
          <w:tcPr>
            <w:tcW w:w="915" w:type="dxa"/>
            <w:tcBorders>
              <w:right w:val="single" w:color="auto" w:sz="4" w:space="0"/>
            </w:tcBorders>
            <w:vAlign w:val="center"/>
          </w:tcPr>
          <w:p w14:paraId="222E1EDE">
            <w:pPr>
              <w:pStyle w:val="19"/>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3038" w:type="dxa"/>
            <w:tcBorders>
              <w:left w:val="single" w:color="auto" w:sz="4" w:space="0"/>
            </w:tcBorders>
            <w:vAlign w:val="center"/>
          </w:tcPr>
          <w:p w14:paraId="7F59A429">
            <w:pPr>
              <w:pStyle w:val="19"/>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2734" w:type="dxa"/>
            <w:vAlign w:val="center"/>
          </w:tcPr>
          <w:p w14:paraId="02EE53C4">
            <w:pPr>
              <w:pStyle w:val="19"/>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1492" w:type="dxa"/>
            <w:vAlign w:val="center"/>
          </w:tcPr>
          <w:p w14:paraId="67DC9944">
            <w:pPr>
              <w:pStyle w:val="19"/>
              <w:spacing w:line="360" w:lineRule="auto"/>
              <w:ind w:firstLine="0" w:firstLineChars="0"/>
              <w:contextualSpacing/>
              <w:jc w:val="center"/>
              <w:rPr>
                <w:rFonts w:hint="eastAsia" w:ascii="宋体" w:hAnsi="宋体" w:eastAsia="宋体" w:cs="仿宋_GB2312"/>
                <w:color w:val="auto"/>
                <w:kern w:val="2"/>
                <w:sz w:val="24"/>
                <w:szCs w:val="24"/>
                <w:highlight w:val="none"/>
              </w:rPr>
            </w:pPr>
          </w:p>
        </w:tc>
      </w:tr>
      <w:tr w14:paraId="1345990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1B434B5E">
            <w:pPr>
              <w:pStyle w:val="19"/>
              <w:spacing w:line="360" w:lineRule="auto"/>
              <w:ind w:firstLine="0" w:firstLineChars="0"/>
              <w:contextualSpacing/>
              <w:jc w:val="center"/>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5</w:t>
            </w:r>
          </w:p>
        </w:tc>
        <w:tc>
          <w:tcPr>
            <w:tcW w:w="915" w:type="dxa"/>
            <w:tcBorders>
              <w:right w:val="single" w:color="auto" w:sz="4" w:space="0"/>
            </w:tcBorders>
            <w:vAlign w:val="center"/>
          </w:tcPr>
          <w:p w14:paraId="32431272">
            <w:pPr>
              <w:pStyle w:val="19"/>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3038" w:type="dxa"/>
            <w:tcBorders>
              <w:left w:val="single" w:color="auto" w:sz="4" w:space="0"/>
            </w:tcBorders>
            <w:vAlign w:val="center"/>
          </w:tcPr>
          <w:p w14:paraId="4CE17EEC">
            <w:pPr>
              <w:pStyle w:val="19"/>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2734" w:type="dxa"/>
            <w:vAlign w:val="center"/>
          </w:tcPr>
          <w:p w14:paraId="10EAF7AC">
            <w:pPr>
              <w:pStyle w:val="19"/>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1492" w:type="dxa"/>
            <w:vAlign w:val="center"/>
          </w:tcPr>
          <w:p w14:paraId="3E972D5C">
            <w:pPr>
              <w:pStyle w:val="19"/>
              <w:spacing w:line="360" w:lineRule="auto"/>
              <w:ind w:firstLine="0" w:firstLineChars="0"/>
              <w:contextualSpacing/>
              <w:jc w:val="center"/>
              <w:rPr>
                <w:rFonts w:hint="eastAsia" w:ascii="宋体" w:hAnsi="宋体" w:eastAsia="宋体" w:cs="仿宋_GB2312"/>
                <w:color w:val="auto"/>
                <w:kern w:val="2"/>
                <w:sz w:val="24"/>
                <w:szCs w:val="24"/>
                <w:highlight w:val="none"/>
              </w:rPr>
            </w:pPr>
          </w:p>
        </w:tc>
      </w:tr>
      <w:tr w14:paraId="62CE3ED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6" w:type="dxa"/>
            <w:vAlign w:val="center"/>
          </w:tcPr>
          <w:p w14:paraId="1ADD50CA">
            <w:pPr>
              <w:pStyle w:val="19"/>
              <w:spacing w:line="360" w:lineRule="auto"/>
              <w:ind w:firstLine="0" w:firstLineChars="0"/>
              <w:contextualSpacing/>
              <w:jc w:val="center"/>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w:t>
            </w:r>
          </w:p>
        </w:tc>
        <w:tc>
          <w:tcPr>
            <w:tcW w:w="915" w:type="dxa"/>
            <w:tcBorders>
              <w:right w:val="single" w:color="auto" w:sz="4" w:space="0"/>
            </w:tcBorders>
            <w:vAlign w:val="center"/>
          </w:tcPr>
          <w:p w14:paraId="7B484052">
            <w:pPr>
              <w:pStyle w:val="19"/>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3038" w:type="dxa"/>
            <w:tcBorders>
              <w:left w:val="single" w:color="auto" w:sz="4" w:space="0"/>
            </w:tcBorders>
            <w:vAlign w:val="center"/>
          </w:tcPr>
          <w:p w14:paraId="0D13A3AA">
            <w:pPr>
              <w:pStyle w:val="19"/>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2734" w:type="dxa"/>
            <w:vAlign w:val="center"/>
          </w:tcPr>
          <w:p w14:paraId="5A05EA36">
            <w:pPr>
              <w:pStyle w:val="19"/>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1492" w:type="dxa"/>
            <w:tcBorders>
              <w:right w:val="single" w:color="auto" w:sz="4" w:space="0"/>
            </w:tcBorders>
            <w:vAlign w:val="center"/>
          </w:tcPr>
          <w:p w14:paraId="490E8301">
            <w:pPr>
              <w:pStyle w:val="19"/>
              <w:spacing w:line="360" w:lineRule="auto"/>
              <w:ind w:firstLine="0" w:firstLineChars="0"/>
              <w:contextualSpacing/>
              <w:jc w:val="center"/>
              <w:rPr>
                <w:rFonts w:hint="eastAsia" w:ascii="宋体" w:hAnsi="宋体" w:eastAsia="宋体" w:cs="仿宋_GB2312"/>
                <w:color w:val="auto"/>
                <w:kern w:val="2"/>
                <w:sz w:val="24"/>
                <w:szCs w:val="24"/>
                <w:highlight w:val="none"/>
              </w:rPr>
            </w:pPr>
          </w:p>
        </w:tc>
      </w:tr>
    </w:tbl>
    <w:p w14:paraId="51F75C7D">
      <w:pPr>
        <w:adjustRightInd w:val="0"/>
        <w:spacing w:line="360" w:lineRule="auto"/>
        <w:contextualSpacing/>
        <w:rPr>
          <w:rFonts w:hint="eastAsia" w:ascii="宋体" w:hAnsi="宋体" w:cs="仿宋_GB2312"/>
          <w:color w:val="auto"/>
          <w:sz w:val="24"/>
          <w:highlight w:val="none"/>
        </w:rPr>
      </w:pPr>
    </w:p>
    <w:p w14:paraId="46889D51">
      <w:pPr>
        <w:pStyle w:val="19"/>
        <w:spacing w:line="360" w:lineRule="auto"/>
        <w:ind w:firstLine="0" w:firstLineChars="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注：</w:t>
      </w:r>
    </w:p>
    <w:p w14:paraId="2DE49C9A">
      <w:pPr>
        <w:pStyle w:val="19"/>
        <w:spacing w:line="360" w:lineRule="auto"/>
        <w:ind w:firstLine="0" w:firstLineChars="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1. 说明：应对照磋商文件“第三章 采购需求”中的技术要求逐条作出明确响应，并作出偏离说明。</w:t>
      </w:r>
    </w:p>
    <w:p w14:paraId="7398F6AB">
      <w:pPr>
        <w:pStyle w:val="19"/>
        <w:spacing w:line="360" w:lineRule="auto"/>
        <w:ind w:firstLine="0" w:firstLineChars="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2.供应商应根据自身的承诺，对照磋商文件要求，在“偏离说明”中注明“正偏离”、“负偏离”或者“无偏离”。既不属于“正偏离”也不属于“负偏离”即为“无偏离”。</w:t>
      </w:r>
    </w:p>
    <w:p w14:paraId="59EFC9B9">
      <w:pPr>
        <w:spacing w:line="360" w:lineRule="auto"/>
        <w:ind w:right="-817" w:rightChars="-389"/>
        <w:contextualSpacing/>
        <w:rPr>
          <w:rFonts w:hint="eastAsia" w:ascii="宋体" w:hAnsi="宋体" w:cs="仿宋_GB2312"/>
          <w:color w:val="auto"/>
          <w:sz w:val="24"/>
          <w:highlight w:val="none"/>
        </w:rPr>
      </w:pPr>
    </w:p>
    <w:p w14:paraId="24C02472">
      <w:pPr>
        <w:spacing w:line="360" w:lineRule="auto"/>
        <w:ind w:right="-817" w:rightChars="-389"/>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法定代表人或者委托代理人（签字或者电子签名）：</w:t>
      </w:r>
    </w:p>
    <w:p w14:paraId="742EB26C">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4CD02C9C">
      <w:pPr>
        <w:spacing w:line="360" w:lineRule="auto"/>
        <w:ind w:right="-817" w:rightChars="-389" w:firstLine="4080" w:firstLineChars="1700"/>
        <w:contextualSpacing/>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14:paraId="1B822B5D">
      <w:pPr>
        <w:snapToGrid w:val="0"/>
        <w:spacing w:before="156" w:beforeLines="50" w:after="50"/>
        <w:ind w:left="142"/>
        <w:jc w:val="left"/>
        <w:rPr>
          <w:rFonts w:hint="eastAsia" w:ascii="宋体" w:hAnsi="宋体"/>
          <w:b/>
          <w:color w:val="auto"/>
          <w:sz w:val="24"/>
          <w:highlight w:val="none"/>
        </w:rPr>
      </w:pPr>
      <w:r>
        <w:rPr>
          <w:rFonts w:ascii="宋体" w:hAnsi="宋体" w:cs="仿宋_GB2312"/>
          <w:color w:val="auto"/>
          <w:sz w:val="24"/>
          <w:highlight w:val="none"/>
        </w:rPr>
        <w:br w:type="page"/>
      </w:r>
      <w:r>
        <w:rPr>
          <w:rFonts w:hint="eastAsia" w:ascii="宋体" w:hAnsi="宋体"/>
          <w:b/>
          <w:color w:val="auto"/>
          <w:sz w:val="24"/>
          <w:highlight w:val="none"/>
        </w:rPr>
        <w:t>项目实施人员一览表格式</w:t>
      </w:r>
    </w:p>
    <w:p w14:paraId="0C6F8B71">
      <w:pPr>
        <w:snapToGrid w:val="0"/>
        <w:spacing w:before="156" w:beforeLines="50" w:after="50"/>
        <w:ind w:left="142"/>
        <w:jc w:val="left"/>
        <w:rPr>
          <w:rFonts w:hint="eastAsia" w:ascii="宋体" w:hAnsi="宋体"/>
          <w:b/>
          <w:color w:val="auto"/>
          <w:sz w:val="24"/>
          <w:highlight w:val="none"/>
        </w:rPr>
      </w:pPr>
    </w:p>
    <w:p w14:paraId="6B58F19E">
      <w:pPr>
        <w:spacing w:line="360" w:lineRule="auto"/>
        <w:ind w:left="142"/>
        <w:contextualSpacing/>
        <w:jc w:val="center"/>
        <w:rPr>
          <w:rFonts w:hint="eastAsia" w:ascii="宋体" w:hAnsi="宋体"/>
          <w:b/>
          <w:color w:val="auto"/>
          <w:sz w:val="32"/>
          <w:szCs w:val="32"/>
          <w:highlight w:val="none"/>
        </w:rPr>
      </w:pPr>
      <w:r>
        <w:rPr>
          <w:rFonts w:hint="eastAsia" w:ascii="宋体" w:hAnsi="宋体"/>
          <w:b/>
          <w:color w:val="auto"/>
          <w:sz w:val="32"/>
          <w:szCs w:val="32"/>
          <w:highlight w:val="none"/>
        </w:rPr>
        <w:t>项目实施人员一览表</w:t>
      </w:r>
    </w:p>
    <w:p w14:paraId="7E145F83">
      <w:pPr>
        <w:pStyle w:val="22"/>
        <w:spacing w:line="360" w:lineRule="auto"/>
        <w:contextualSpacing/>
        <w:rPr>
          <w:color w:val="auto"/>
          <w:sz w:val="24"/>
          <w:szCs w:val="24"/>
          <w:highlight w:val="none"/>
        </w:rPr>
      </w:pPr>
      <w:r>
        <w:rPr>
          <w:rFonts w:hint="eastAsia"/>
          <w:color w:val="auto"/>
          <w:sz w:val="24"/>
          <w:szCs w:val="24"/>
          <w:highlight w:val="none"/>
        </w:rPr>
        <w:t>所竞分标：分标</w:t>
      </w:r>
    </w:p>
    <w:tbl>
      <w:tblPr>
        <w:tblStyle w:val="36"/>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63864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19EAFA7">
            <w:pPr>
              <w:spacing w:line="360" w:lineRule="auto"/>
              <w:contextualSpacing/>
              <w:jc w:val="center"/>
              <w:rPr>
                <w:rFonts w:hint="eastAsia" w:ascii="宋体" w:hAnsi="宋体"/>
                <w:color w:val="auto"/>
                <w:sz w:val="24"/>
                <w:szCs w:val="20"/>
                <w:highlight w:val="none"/>
              </w:rPr>
            </w:pPr>
            <w:r>
              <w:rPr>
                <w:rFonts w:hint="eastAsia" w:ascii="宋体" w:hAnsi="宋体"/>
                <w:color w:val="auto"/>
                <w:sz w:val="24"/>
                <w:szCs w:val="20"/>
                <w:highlight w:val="none"/>
              </w:rPr>
              <w:t>姓名</w:t>
            </w:r>
          </w:p>
        </w:tc>
        <w:tc>
          <w:tcPr>
            <w:tcW w:w="709" w:type="dxa"/>
            <w:vAlign w:val="center"/>
          </w:tcPr>
          <w:p w14:paraId="3EFE492D">
            <w:pPr>
              <w:spacing w:line="360" w:lineRule="auto"/>
              <w:contextualSpacing/>
              <w:jc w:val="center"/>
              <w:rPr>
                <w:rFonts w:hint="eastAsia" w:ascii="宋体" w:hAnsi="宋体"/>
                <w:color w:val="auto"/>
                <w:sz w:val="24"/>
                <w:szCs w:val="20"/>
                <w:highlight w:val="none"/>
              </w:rPr>
            </w:pPr>
            <w:r>
              <w:rPr>
                <w:rFonts w:hint="eastAsia" w:ascii="宋体" w:hAnsi="宋体"/>
                <w:color w:val="auto"/>
                <w:sz w:val="24"/>
                <w:szCs w:val="20"/>
                <w:highlight w:val="none"/>
              </w:rPr>
              <w:t>职务</w:t>
            </w:r>
          </w:p>
        </w:tc>
        <w:tc>
          <w:tcPr>
            <w:tcW w:w="1701" w:type="dxa"/>
            <w:vAlign w:val="center"/>
          </w:tcPr>
          <w:p w14:paraId="284569A4">
            <w:pPr>
              <w:spacing w:line="360" w:lineRule="auto"/>
              <w:contextualSpacing/>
              <w:jc w:val="center"/>
              <w:rPr>
                <w:rFonts w:hint="eastAsia" w:ascii="宋体" w:hAnsi="宋体"/>
                <w:color w:val="auto"/>
                <w:sz w:val="24"/>
                <w:szCs w:val="20"/>
                <w:highlight w:val="none"/>
              </w:rPr>
            </w:pPr>
            <w:r>
              <w:rPr>
                <w:rFonts w:hint="eastAsia" w:ascii="宋体" w:hAnsi="宋体"/>
                <w:color w:val="auto"/>
                <w:sz w:val="24"/>
                <w:szCs w:val="20"/>
                <w:highlight w:val="none"/>
              </w:rPr>
              <w:t>专业技术资格（职称）或者职业资格或者执业资格证或者其他证书</w:t>
            </w:r>
          </w:p>
        </w:tc>
        <w:tc>
          <w:tcPr>
            <w:tcW w:w="1420" w:type="dxa"/>
            <w:vAlign w:val="center"/>
          </w:tcPr>
          <w:p w14:paraId="3371F3BC">
            <w:pPr>
              <w:spacing w:line="360" w:lineRule="auto"/>
              <w:contextualSpacing/>
              <w:jc w:val="center"/>
              <w:rPr>
                <w:rFonts w:hint="eastAsia" w:ascii="宋体" w:hAnsi="宋体"/>
                <w:color w:val="auto"/>
                <w:sz w:val="24"/>
                <w:szCs w:val="20"/>
                <w:highlight w:val="none"/>
              </w:rPr>
            </w:pPr>
            <w:r>
              <w:rPr>
                <w:rFonts w:hint="eastAsia" w:ascii="宋体" w:hAnsi="宋体"/>
                <w:color w:val="auto"/>
                <w:sz w:val="24"/>
                <w:szCs w:val="20"/>
                <w:highlight w:val="none"/>
              </w:rPr>
              <w:t>证书编号</w:t>
            </w:r>
          </w:p>
        </w:tc>
        <w:tc>
          <w:tcPr>
            <w:tcW w:w="1698" w:type="dxa"/>
            <w:vAlign w:val="center"/>
          </w:tcPr>
          <w:p w14:paraId="1BF3821A">
            <w:pPr>
              <w:spacing w:line="360" w:lineRule="auto"/>
              <w:contextualSpacing/>
              <w:jc w:val="center"/>
              <w:rPr>
                <w:rFonts w:hint="eastAsia" w:ascii="宋体" w:hAnsi="宋体"/>
                <w:color w:val="auto"/>
                <w:sz w:val="24"/>
                <w:szCs w:val="20"/>
                <w:highlight w:val="none"/>
              </w:rPr>
            </w:pPr>
            <w:r>
              <w:rPr>
                <w:rFonts w:hint="eastAsia" w:ascii="宋体" w:hAnsi="宋体"/>
                <w:color w:val="auto"/>
                <w:sz w:val="24"/>
                <w:szCs w:val="20"/>
                <w:highlight w:val="none"/>
              </w:rPr>
              <w:t>参加本单位</w:t>
            </w:r>
          </w:p>
          <w:p w14:paraId="56D13DD4">
            <w:pPr>
              <w:spacing w:line="360" w:lineRule="auto"/>
              <w:contextualSpacing/>
              <w:jc w:val="center"/>
              <w:rPr>
                <w:rFonts w:hint="eastAsia" w:ascii="宋体" w:hAnsi="宋体"/>
                <w:color w:val="auto"/>
                <w:sz w:val="24"/>
                <w:szCs w:val="20"/>
                <w:highlight w:val="none"/>
              </w:rPr>
            </w:pPr>
            <w:r>
              <w:rPr>
                <w:rFonts w:hint="eastAsia" w:ascii="宋体" w:hAnsi="宋体"/>
                <w:color w:val="auto"/>
                <w:sz w:val="24"/>
                <w:szCs w:val="20"/>
                <w:highlight w:val="none"/>
              </w:rPr>
              <w:t>工作时间</w:t>
            </w:r>
          </w:p>
        </w:tc>
        <w:tc>
          <w:tcPr>
            <w:tcW w:w="1843" w:type="dxa"/>
            <w:vAlign w:val="center"/>
          </w:tcPr>
          <w:p w14:paraId="75CF12D7">
            <w:pPr>
              <w:spacing w:line="360" w:lineRule="auto"/>
              <w:contextualSpacing/>
              <w:jc w:val="center"/>
              <w:rPr>
                <w:rFonts w:hint="eastAsia" w:ascii="宋体" w:hAnsi="宋体"/>
                <w:color w:val="auto"/>
                <w:sz w:val="24"/>
                <w:szCs w:val="20"/>
                <w:highlight w:val="none"/>
              </w:rPr>
            </w:pPr>
            <w:r>
              <w:rPr>
                <w:rFonts w:hint="eastAsia" w:ascii="宋体" w:hAnsi="宋体"/>
                <w:color w:val="auto"/>
                <w:sz w:val="24"/>
                <w:szCs w:val="20"/>
                <w:highlight w:val="none"/>
              </w:rPr>
              <w:t>劳动合同编号</w:t>
            </w:r>
          </w:p>
        </w:tc>
      </w:tr>
      <w:tr w14:paraId="4324C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189A664">
            <w:pPr>
              <w:spacing w:line="360" w:lineRule="auto"/>
              <w:contextualSpacing/>
              <w:jc w:val="center"/>
              <w:rPr>
                <w:rFonts w:hint="eastAsia" w:ascii="宋体" w:hAnsi="宋体"/>
                <w:color w:val="auto"/>
                <w:sz w:val="24"/>
                <w:szCs w:val="20"/>
                <w:highlight w:val="none"/>
              </w:rPr>
            </w:pPr>
          </w:p>
        </w:tc>
        <w:tc>
          <w:tcPr>
            <w:tcW w:w="709" w:type="dxa"/>
            <w:vAlign w:val="center"/>
          </w:tcPr>
          <w:p w14:paraId="77BF25BC">
            <w:pPr>
              <w:spacing w:line="360" w:lineRule="auto"/>
              <w:contextualSpacing/>
              <w:jc w:val="center"/>
              <w:rPr>
                <w:rFonts w:hint="eastAsia" w:ascii="宋体" w:hAnsi="宋体"/>
                <w:color w:val="auto"/>
                <w:sz w:val="24"/>
                <w:szCs w:val="20"/>
                <w:highlight w:val="none"/>
              </w:rPr>
            </w:pPr>
          </w:p>
        </w:tc>
        <w:tc>
          <w:tcPr>
            <w:tcW w:w="1701" w:type="dxa"/>
            <w:vAlign w:val="center"/>
          </w:tcPr>
          <w:p w14:paraId="5B21A7C1">
            <w:pPr>
              <w:spacing w:line="360" w:lineRule="auto"/>
              <w:contextualSpacing/>
              <w:jc w:val="center"/>
              <w:rPr>
                <w:rFonts w:hint="eastAsia" w:ascii="宋体" w:hAnsi="宋体"/>
                <w:color w:val="auto"/>
                <w:sz w:val="24"/>
                <w:szCs w:val="20"/>
                <w:highlight w:val="none"/>
              </w:rPr>
            </w:pPr>
          </w:p>
        </w:tc>
        <w:tc>
          <w:tcPr>
            <w:tcW w:w="1420" w:type="dxa"/>
            <w:vAlign w:val="center"/>
          </w:tcPr>
          <w:p w14:paraId="38BEF573">
            <w:pPr>
              <w:spacing w:line="360" w:lineRule="auto"/>
              <w:contextualSpacing/>
              <w:jc w:val="center"/>
              <w:rPr>
                <w:rFonts w:hint="eastAsia" w:ascii="宋体" w:hAnsi="宋体"/>
                <w:color w:val="auto"/>
                <w:sz w:val="24"/>
                <w:szCs w:val="20"/>
                <w:highlight w:val="none"/>
              </w:rPr>
            </w:pPr>
          </w:p>
        </w:tc>
        <w:tc>
          <w:tcPr>
            <w:tcW w:w="1698" w:type="dxa"/>
            <w:vAlign w:val="center"/>
          </w:tcPr>
          <w:p w14:paraId="6B660E9B">
            <w:pPr>
              <w:spacing w:line="360" w:lineRule="auto"/>
              <w:contextualSpacing/>
              <w:jc w:val="center"/>
              <w:rPr>
                <w:rFonts w:hint="eastAsia" w:ascii="宋体" w:hAnsi="宋体"/>
                <w:color w:val="auto"/>
                <w:sz w:val="24"/>
                <w:szCs w:val="20"/>
                <w:highlight w:val="none"/>
              </w:rPr>
            </w:pPr>
          </w:p>
        </w:tc>
        <w:tc>
          <w:tcPr>
            <w:tcW w:w="1843" w:type="dxa"/>
            <w:vAlign w:val="center"/>
          </w:tcPr>
          <w:p w14:paraId="686B58E4">
            <w:pPr>
              <w:spacing w:line="360" w:lineRule="auto"/>
              <w:contextualSpacing/>
              <w:jc w:val="center"/>
              <w:rPr>
                <w:rFonts w:hint="eastAsia" w:ascii="宋体" w:hAnsi="宋体"/>
                <w:color w:val="auto"/>
                <w:sz w:val="24"/>
                <w:szCs w:val="20"/>
                <w:highlight w:val="none"/>
              </w:rPr>
            </w:pPr>
          </w:p>
        </w:tc>
      </w:tr>
      <w:tr w14:paraId="44F0F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A2CE294">
            <w:pPr>
              <w:spacing w:line="360" w:lineRule="auto"/>
              <w:contextualSpacing/>
              <w:jc w:val="center"/>
              <w:rPr>
                <w:rFonts w:hint="eastAsia" w:ascii="宋体" w:hAnsi="宋体"/>
                <w:color w:val="auto"/>
                <w:sz w:val="24"/>
                <w:szCs w:val="20"/>
                <w:highlight w:val="none"/>
              </w:rPr>
            </w:pPr>
          </w:p>
        </w:tc>
        <w:tc>
          <w:tcPr>
            <w:tcW w:w="709" w:type="dxa"/>
            <w:vAlign w:val="center"/>
          </w:tcPr>
          <w:p w14:paraId="66F7A51D">
            <w:pPr>
              <w:spacing w:line="360" w:lineRule="auto"/>
              <w:contextualSpacing/>
              <w:jc w:val="center"/>
              <w:rPr>
                <w:rFonts w:hint="eastAsia" w:ascii="宋体" w:hAnsi="宋体"/>
                <w:color w:val="auto"/>
                <w:sz w:val="24"/>
                <w:szCs w:val="20"/>
                <w:highlight w:val="none"/>
              </w:rPr>
            </w:pPr>
          </w:p>
        </w:tc>
        <w:tc>
          <w:tcPr>
            <w:tcW w:w="1701" w:type="dxa"/>
            <w:vAlign w:val="center"/>
          </w:tcPr>
          <w:p w14:paraId="2DC10AAB">
            <w:pPr>
              <w:spacing w:line="360" w:lineRule="auto"/>
              <w:contextualSpacing/>
              <w:jc w:val="center"/>
              <w:rPr>
                <w:rFonts w:hint="eastAsia" w:ascii="宋体" w:hAnsi="宋体"/>
                <w:color w:val="auto"/>
                <w:sz w:val="24"/>
                <w:szCs w:val="20"/>
                <w:highlight w:val="none"/>
              </w:rPr>
            </w:pPr>
          </w:p>
        </w:tc>
        <w:tc>
          <w:tcPr>
            <w:tcW w:w="1420" w:type="dxa"/>
            <w:vAlign w:val="center"/>
          </w:tcPr>
          <w:p w14:paraId="02ECE3AC">
            <w:pPr>
              <w:spacing w:line="360" w:lineRule="auto"/>
              <w:contextualSpacing/>
              <w:jc w:val="center"/>
              <w:rPr>
                <w:rFonts w:hint="eastAsia" w:ascii="宋体" w:hAnsi="宋体"/>
                <w:color w:val="auto"/>
                <w:sz w:val="24"/>
                <w:szCs w:val="20"/>
                <w:highlight w:val="none"/>
              </w:rPr>
            </w:pPr>
          </w:p>
        </w:tc>
        <w:tc>
          <w:tcPr>
            <w:tcW w:w="1698" w:type="dxa"/>
            <w:vAlign w:val="center"/>
          </w:tcPr>
          <w:p w14:paraId="2B0219E1">
            <w:pPr>
              <w:spacing w:line="360" w:lineRule="auto"/>
              <w:contextualSpacing/>
              <w:jc w:val="center"/>
              <w:rPr>
                <w:rFonts w:hint="eastAsia" w:ascii="宋体" w:hAnsi="宋体"/>
                <w:color w:val="auto"/>
                <w:sz w:val="24"/>
                <w:szCs w:val="20"/>
                <w:highlight w:val="none"/>
              </w:rPr>
            </w:pPr>
          </w:p>
        </w:tc>
        <w:tc>
          <w:tcPr>
            <w:tcW w:w="1843" w:type="dxa"/>
            <w:vAlign w:val="center"/>
          </w:tcPr>
          <w:p w14:paraId="014799C7">
            <w:pPr>
              <w:spacing w:line="360" w:lineRule="auto"/>
              <w:contextualSpacing/>
              <w:jc w:val="center"/>
              <w:rPr>
                <w:rFonts w:hint="eastAsia" w:ascii="宋体" w:hAnsi="宋体"/>
                <w:color w:val="auto"/>
                <w:sz w:val="24"/>
                <w:szCs w:val="20"/>
                <w:highlight w:val="none"/>
              </w:rPr>
            </w:pPr>
          </w:p>
        </w:tc>
      </w:tr>
      <w:tr w14:paraId="00A67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AE67FD3">
            <w:pPr>
              <w:spacing w:line="360" w:lineRule="auto"/>
              <w:contextualSpacing/>
              <w:jc w:val="center"/>
              <w:rPr>
                <w:rFonts w:hint="eastAsia" w:ascii="宋体" w:hAnsi="宋体"/>
                <w:color w:val="auto"/>
                <w:sz w:val="24"/>
                <w:szCs w:val="20"/>
                <w:highlight w:val="none"/>
              </w:rPr>
            </w:pPr>
          </w:p>
        </w:tc>
        <w:tc>
          <w:tcPr>
            <w:tcW w:w="709" w:type="dxa"/>
            <w:vAlign w:val="center"/>
          </w:tcPr>
          <w:p w14:paraId="421AAE87">
            <w:pPr>
              <w:spacing w:line="360" w:lineRule="auto"/>
              <w:contextualSpacing/>
              <w:jc w:val="center"/>
              <w:rPr>
                <w:rFonts w:hint="eastAsia" w:ascii="宋体" w:hAnsi="宋体"/>
                <w:color w:val="auto"/>
                <w:sz w:val="24"/>
                <w:szCs w:val="20"/>
                <w:highlight w:val="none"/>
              </w:rPr>
            </w:pPr>
          </w:p>
        </w:tc>
        <w:tc>
          <w:tcPr>
            <w:tcW w:w="1701" w:type="dxa"/>
            <w:vAlign w:val="center"/>
          </w:tcPr>
          <w:p w14:paraId="79EDFF7E">
            <w:pPr>
              <w:spacing w:line="360" w:lineRule="auto"/>
              <w:contextualSpacing/>
              <w:jc w:val="center"/>
              <w:rPr>
                <w:rFonts w:hint="eastAsia" w:ascii="宋体" w:hAnsi="宋体"/>
                <w:color w:val="auto"/>
                <w:sz w:val="24"/>
                <w:szCs w:val="20"/>
                <w:highlight w:val="none"/>
              </w:rPr>
            </w:pPr>
          </w:p>
        </w:tc>
        <w:tc>
          <w:tcPr>
            <w:tcW w:w="1420" w:type="dxa"/>
            <w:vAlign w:val="center"/>
          </w:tcPr>
          <w:p w14:paraId="1017058E">
            <w:pPr>
              <w:spacing w:line="360" w:lineRule="auto"/>
              <w:contextualSpacing/>
              <w:jc w:val="center"/>
              <w:rPr>
                <w:rFonts w:hint="eastAsia" w:ascii="宋体" w:hAnsi="宋体"/>
                <w:color w:val="auto"/>
                <w:sz w:val="24"/>
                <w:szCs w:val="20"/>
                <w:highlight w:val="none"/>
              </w:rPr>
            </w:pPr>
          </w:p>
        </w:tc>
        <w:tc>
          <w:tcPr>
            <w:tcW w:w="1698" w:type="dxa"/>
            <w:vAlign w:val="center"/>
          </w:tcPr>
          <w:p w14:paraId="4AE0D5B7">
            <w:pPr>
              <w:spacing w:line="360" w:lineRule="auto"/>
              <w:contextualSpacing/>
              <w:jc w:val="center"/>
              <w:rPr>
                <w:rFonts w:hint="eastAsia" w:ascii="宋体" w:hAnsi="宋体"/>
                <w:color w:val="auto"/>
                <w:sz w:val="24"/>
                <w:szCs w:val="20"/>
                <w:highlight w:val="none"/>
              </w:rPr>
            </w:pPr>
          </w:p>
        </w:tc>
        <w:tc>
          <w:tcPr>
            <w:tcW w:w="1843" w:type="dxa"/>
            <w:vAlign w:val="center"/>
          </w:tcPr>
          <w:p w14:paraId="75071919">
            <w:pPr>
              <w:spacing w:line="360" w:lineRule="auto"/>
              <w:contextualSpacing/>
              <w:jc w:val="center"/>
              <w:rPr>
                <w:rFonts w:hint="eastAsia" w:ascii="宋体" w:hAnsi="宋体"/>
                <w:color w:val="auto"/>
                <w:sz w:val="24"/>
                <w:szCs w:val="20"/>
                <w:highlight w:val="none"/>
              </w:rPr>
            </w:pPr>
          </w:p>
        </w:tc>
      </w:tr>
    </w:tbl>
    <w:p w14:paraId="7E1A1649">
      <w:pPr>
        <w:spacing w:line="360" w:lineRule="auto"/>
        <w:contextualSpacing/>
        <w:jc w:val="left"/>
        <w:rPr>
          <w:rFonts w:hint="eastAsia" w:ascii="宋体" w:hAnsi="宋体"/>
          <w:color w:val="auto"/>
          <w:sz w:val="24"/>
          <w:szCs w:val="20"/>
          <w:highlight w:val="none"/>
        </w:rPr>
      </w:pPr>
      <w:r>
        <w:rPr>
          <w:rFonts w:hint="eastAsia" w:ascii="宋体" w:hAnsi="宋体"/>
          <w:color w:val="auto"/>
          <w:sz w:val="24"/>
          <w:szCs w:val="20"/>
          <w:highlight w:val="none"/>
        </w:rPr>
        <w:t>注：</w:t>
      </w:r>
    </w:p>
    <w:p w14:paraId="6E74D176">
      <w:pPr>
        <w:spacing w:line="360" w:lineRule="auto"/>
        <w:contextualSpacing/>
        <w:jc w:val="left"/>
        <w:rPr>
          <w:rFonts w:hint="eastAsia" w:ascii="宋体" w:hAnsi="宋体"/>
          <w:color w:val="auto"/>
          <w:sz w:val="24"/>
          <w:szCs w:val="20"/>
          <w:highlight w:val="none"/>
        </w:rPr>
      </w:pPr>
      <w:r>
        <w:rPr>
          <w:rFonts w:hint="eastAsia" w:ascii="宋体" w:hAnsi="宋体"/>
          <w:color w:val="auto"/>
          <w:sz w:val="24"/>
          <w:szCs w:val="20"/>
          <w:highlight w:val="none"/>
        </w:rPr>
        <w:t>1</w:t>
      </w:r>
      <w:r>
        <w:rPr>
          <w:rFonts w:ascii="宋体" w:hAnsi="宋体"/>
          <w:color w:val="auto"/>
          <w:sz w:val="24"/>
          <w:szCs w:val="20"/>
          <w:highlight w:val="none"/>
        </w:rPr>
        <w:t>.</w:t>
      </w:r>
      <w:r>
        <w:rPr>
          <w:rFonts w:hint="eastAsia" w:ascii="宋体" w:hAnsi="宋体"/>
          <w:color w:val="auto"/>
          <w:sz w:val="24"/>
          <w:szCs w:val="20"/>
          <w:highlight w:val="none"/>
        </w:rPr>
        <w:t>在填写时，如本表格不适合供应商的实际情况，可根据本表格式自行制表填写。</w:t>
      </w:r>
    </w:p>
    <w:p w14:paraId="246938B7">
      <w:pPr>
        <w:spacing w:line="360" w:lineRule="auto"/>
        <w:contextualSpacing/>
        <w:jc w:val="left"/>
        <w:rPr>
          <w:rFonts w:hint="eastAsia" w:ascii="宋体" w:hAnsi="宋体"/>
          <w:color w:val="auto"/>
          <w:sz w:val="24"/>
          <w:szCs w:val="20"/>
          <w:highlight w:val="none"/>
        </w:rPr>
      </w:pPr>
      <w:r>
        <w:rPr>
          <w:rFonts w:ascii="宋体" w:hAnsi="宋体"/>
          <w:color w:val="auto"/>
          <w:sz w:val="24"/>
          <w:szCs w:val="20"/>
          <w:highlight w:val="none"/>
        </w:rPr>
        <w:t>2.</w:t>
      </w:r>
      <w:r>
        <w:rPr>
          <w:rFonts w:hint="eastAsia" w:ascii="宋体" w:hAnsi="宋体"/>
          <w:color w:val="auto"/>
          <w:sz w:val="24"/>
          <w:szCs w:val="20"/>
          <w:highlight w:val="none"/>
        </w:rPr>
        <w:t>供应商应当附本表所列证书的复印件并加盖供应商电子签章。</w:t>
      </w:r>
    </w:p>
    <w:p w14:paraId="1F861AD2">
      <w:pPr>
        <w:spacing w:line="360" w:lineRule="auto"/>
        <w:contextualSpacing/>
        <w:rPr>
          <w:rFonts w:hint="eastAsia" w:ascii="宋体" w:hAnsi="宋体"/>
          <w:color w:val="auto"/>
          <w:spacing w:val="20"/>
          <w:sz w:val="24"/>
          <w:szCs w:val="20"/>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w:t>
      </w:r>
    </w:p>
    <w:p w14:paraId="09EA6C1E">
      <w:pPr>
        <w:spacing w:line="360" w:lineRule="auto"/>
        <w:contextualSpacing/>
        <w:jc w:val="left"/>
        <w:rPr>
          <w:rFonts w:hint="eastAsia" w:ascii="宋体" w:hAnsi="宋体"/>
          <w:color w:val="auto"/>
          <w:sz w:val="24"/>
          <w:szCs w:val="20"/>
          <w:highlight w:val="none"/>
        </w:rPr>
      </w:pPr>
      <w:r>
        <w:rPr>
          <w:rFonts w:hint="eastAsia" w:ascii="宋体" w:hAnsi="宋体"/>
          <w:color w:val="auto"/>
          <w:spacing w:val="20"/>
          <w:sz w:val="24"/>
          <w:highlight w:val="none"/>
        </w:rPr>
        <w:t>供应商（电子签章）：              日 期：</w:t>
      </w:r>
    </w:p>
    <w:p w14:paraId="58DBECD2">
      <w:pPr>
        <w:snapToGrid w:val="0"/>
        <w:spacing w:before="50" w:after="156" w:afterLines="50"/>
        <w:jc w:val="left"/>
        <w:rPr>
          <w:rFonts w:hint="eastAsia" w:ascii="宋体" w:hAnsi="宋体"/>
          <w:color w:val="auto"/>
          <w:sz w:val="24"/>
          <w:szCs w:val="20"/>
          <w:highlight w:val="none"/>
        </w:rPr>
      </w:pPr>
    </w:p>
    <w:p w14:paraId="4638F15F">
      <w:pPr>
        <w:snapToGrid w:val="0"/>
        <w:spacing w:before="50" w:after="50" w:line="360" w:lineRule="auto"/>
        <w:ind w:right="-817" w:rightChars="-389" w:firstLine="5461" w:firstLineChars="1700"/>
        <w:rPr>
          <w:rFonts w:hint="eastAsia" w:ascii="仿宋_GB2312" w:hAnsi="仿宋_GB2312" w:eastAsia="仿宋_GB2312" w:cs="仿宋_GB2312"/>
          <w:b/>
          <w:color w:val="auto"/>
          <w:sz w:val="32"/>
          <w:szCs w:val="32"/>
          <w:highlight w:val="none"/>
        </w:rPr>
      </w:pPr>
    </w:p>
    <w:p w14:paraId="5A70285A">
      <w:pPr>
        <w:spacing w:line="300" w:lineRule="auto"/>
        <w:rPr>
          <w:rFonts w:hint="eastAsia" w:ascii="宋体" w:hAnsi="宋体"/>
          <w:color w:val="auto"/>
          <w:szCs w:val="21"/>
          <w:highlight w:val="none"/>
        </w:rPr>
      </w:pPr>
      <w:r>
        <w:rPr>
          <w:rFonts w:ascii="宋体" w:hAnsi="宋体"/>
          <w:b/>
          <w:bCs/>
          <w:color w:val="auto"/>
          <w:sz w:val="24"/>
          <w:highlight w:val="none"/>
        </w:rPr>
        <w:br w:type="page"/>
      </w:r>
      <w:r>
        <w:rPr>
          <w:rFonts w:hint="eastAsia" w:ascii="宋体" w:hAnsi="宋体"/>
          <w:b/>
          <w:bCs/>
          <w:color w:val="auto"/>
          <w:sz w:val="24"/>
          <w:highlight w:val="none"/>
        </w:rPr>
        <w:t>其他文书、文件格式</w:t>
      </w:r>
    </w:p>
    <w:p w14:paraId="24AF987D">
      <w:pPr>
        <w:jc w:val="center"/>
        <w:rPr>
          <w:rFonts w:hint="eastAsia" w:ascii="方正小标宋简体" w:hAnsi="方正小标宋简体" w:eastAsia="方正小标宋简体" w:cs="方正小标宋简体"/>
          <w:color w:val="auto"/>
          <w:sz w:val="44"/>
          <w:szCs w:val="44"/>
          <w:highlight w:val="none"/>
        </w:rPr>
      </w:pPr>
      <w:bookmarkStart w:id="97" w:name="_Toc71365926"/>
      <w:r>
        <w:rPr>
          <w:rFonts w:hint="eastAsia" w:ascii="方正小标宋简体" w:hAnsi="方正小标宋简体" w:eastAsia="方正小标宋简体" w:cs="方正小标宋简体"/>
          <w:color w:val="auto"/>
          <w:sz w:val="44"/>
          <w:szCs w:val="44"/>
          <w:highlight w:val="none"/>
        </w:rPr>
        <w:t>中小企业声明函（服务）</w:t>
      </w:r>
      <w:bookmarkEnd w:id="97"/>
    </w:p>
    <w:p w14:paraId="03862CB4">
      <w:pPr>
        <w:spacing w:before="2" w:line="500" w:lineRule="exact"/>
        <w:ind w:firstLine="708" w:firstLineChars="294"/>
        <w:rPr>
          <w:rFonts w:hint="eastAsia" w:ascii="宋体" w:hAnsi="宋体" w:cs="宋体"/>
          <w:b/>
          <w:bCs/>
          <w:color w:val="auto"/>
          <w:sz w:val="24"/>
          <w:highlight w:val="none"/>
        </w:rPr>
      </w:pPr>
    </w:p>
    <w:p w14:paraId="3FC211FC">
      <w:pPr>
        <w:pStyle w:val="17"/>
        <w:spacing w:line="500" w:lineRule="exact"/>
        <w:ind w:right="142" w:firstLine="705" w:firstLineChars="294"/>
        <w:rPr>
          <w:rFonts w:hint="eastAsia" w:ascii="宋体" w:hAnsi="宋体"/>
          <w:color w:val="auto"/>
          <w:sz w:val="24"/>
          <w:highlight w:val="none"/>
        </w:rPr>
      </w:pPr>
      <w:r>
        <w:rPr>
          <w:rFonts w:ascii="宋体" w:hAnsi="宋体"/>
          <w:color w:val="auto"/>
          <w:sz w:val="24"/>
          <w:highlight w:val="none"/>
        </w:rPr>
        <w:t>本公司（联合体）郑重声明，根据《政府采购促进中小企业发展管理办法》（财库﹝2020﹞46号）的规定，本公司（联合体）参加</w:t>
      </w:r>
      <w:r>
        <w:rPr>
          <w:rFonts w:ascii="宋体" w:hAnsi="宋体"/>
          <w:color w:val="auto"/>
          <w:sz w:val="24"/>
          <w:highlight w:val="none"/>
          <w:u w:val="single"/>
        </w:rPr>
        <w:t>（单位名称）</w:t>
      </w:r>
      <w:r>
        <w:rPr>
          <w:rFonts w:ascii="宋体" w:hAnsi="宋体"/>
          <w:color w:val="auto"/>
          <w:sz w:val="24"/>
          <w:highlight w:val="none"/>
        </w:rPr>
        <w:t>的</w:t>
      </w:r>
      <w:r>
        <w:rPr>
          <w:rFonts w:ascii="宋体" w:hAnsi="宋体"/>
          <w:color w:val="auto"/>
          <w:sz w:val="24"/>
          <w:highlight w:val="none"/>
          <w:u w:val="single"/>
        </w:rPr>
        <w:t>（项目名称）</w:t>
      </w:r>
      <w:r>
        <w:rPr>
          <w:rFonts w:ascii="宋体" w:hAnsi="宋体"/>
          <w:color w:val="auto"/>
          <w:sz w:val="24"/>
          <w:highlight w:val="none"/>
        </w:rPr>
        <w:t>采购活动，</w:t>
      </w:r>
      <w:r>
        <w:rPr>
          <w:rFonts w:hint="eastAsia" w:ascii="宋体" w:hAnsi="宋体"/>
          <w:color w:val="auto"/>
          <w:sz w:val="24"/>
          <w:highlight w:val="none"/>
        </w:rPr>
        <w:t>服务全部由符合政策要求的中小企业承接。相关企业（含联合体中的中小企业、签订分包意向协议的中小企业）的具体情况如下：</w:t>
      </w:r>
    </w:p>
    <w:p w14:paraId="67FEE267">
      <w:pPr>
        <w:tabs>
          <w:tab w:val="left" w:pos="1384"/>
          <w:tab w:val="left" w:pos="4562"/>
          <w:tab w:val="left" w:pos="6803"/>
        </w:tabs>
        <w:spacing w:before="13" w:line="500" w:lineRule="exact"/>
        <w:ind w:right="142" w:firstLine="772" w:firstLineChars="322"/>
        <w:rPr>
          <w:rFonts w:hint="eastAsia" w:ascii="宋体" w:hAnsi="宋体"/>
          <w:color w:val="auto"/>
          <w:sz w:val="24"/>
          <w:highlight w:val="none"/>
        </w:rPr>
      </w:pPr>
      <w:r>
        <w:rPr>
          <w:rFonts w:ascii="宋体" w:hAnsi="宋体"/>
          <w:color w:val="auto"/>
          <w:sz w:val="24"/>
          <w:highlight w:val="none"/>
        </w:rPr>
        <w:t>1.</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w:t>
      </w:r>
      <w:r>
        <w:rPr>
          <w:rFonts w:ascii="宋体" w:hAnsi="宋体"/>
          <w:color w:val="auto"/>
          <w:sz w:val="24"/>
          <w:highlight w:val="none"/>
          <w:u w:val="single"/>
        </w:rPr>
        <w:t>业）</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，从业人员人，营业收入为万元，资产总额为万元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5AAFD144">
      <w:pPr>
        <w:tabs>
          <w:tab w:val="left" w:pos="1065"/>
          <w:tab w:val="left" w:pos="4262"/>
          <w:tab w:val="left" w:pos="6477"/>
        </w:tabs>
        <w:spacing w:before="20" w:line="500" w:lineRule="exact"/>
        <w:ind w:right="84" w:firstLine="772" w:firstLineChars="322"/>
        <w:rPr>
          <w:rFonts w:hint="eastAsia" w:ascii="宋体" w:hAnsi="宋体"/>
          <w:color w:val="auto"/>
          <w:sz w:val="24"/>
          <w:highlight w:val="none"/>
          <w:u w:val="single"/>
        </w:rPr>
      </w:pPr>
      <w:r>
        <w:rPr>
          <w:rFonts w:ascii="宋体" w:hAnsi="宋体"/>
          <w:color w:val="auto"/>
          <w:sz w:val="24"/>
          <w:highlight w:val="none"/>
        </w:rPr>
        <w:t>2.</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行业</w:t>
      </w:r>
      <w:r>
        <w:rPr>
          <w:rFonts w:ascii="宋体" w:hAnsi="宋体"/>
          <w:color w:val="auto"/>
          <w:sz w:val="24"/>
          <w:highlight w:val="none"/>
          <w:u w:val="single"/>
        </w:rPr>
        <w:t>）</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，从业人员人，营业收入为万元，资产总额为万元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7F3AB409">
      <w:pPr>
        <w:pStyle w:val="17"/>
        <w:spacing w:before="34" w:line="500" w:lineRule="exact"/>
        <w:ind w:right="142" w:firstLine="705" w:firstLineChars="294"/>
        <w:rPr>
          <w:rFonts w:hint="eastAsia" w:ascii="宋体" w:hAnsi="宋体"/>
          <w:color w:val="auto"/>
          <w:sz w:val="24"/>
          <w:highlight w:val="none"/>
        </w:rPr>
      </w:pPr>
      <w:r>
        <w:rPr>
          <w:rFonts w:ascii="宋体" w:hAnsi="宋体"/>
          <w:color w:val="auto"/>
          <w:sz w:val="24"/>
          <w:highlight w:val="none"/>
        </w:rPr>
        <w:t xml:space="preserve">…… </w:t>
      </w:r>
    </w:p>
    <w:p w14:paraId="05073E87">
      <w:pPr>
        <w:pStyle w:val="17"/>
        <w:spacing w:before="34" w:line="500" w:lineRule="exact"/>
        <w:ind w:right="142" w:firstLine="705" w:firstLineChars="294"/>
        <w:rPr>
          <w:rFonts w:hint="eastAsia" w:ascii="宋体" w:hAnsi="宋体"/>
          <w:color w:val="auto"/>
          <w:sz w:val="24"/>
          <w:highlight w:val="none"/>
        </w:rPr>
      </w:pPr>
      <w:r>
        <w:rPr>
          <w:rFonts w:ascii="宋体" w:hAnsi="宋体"/>
          <w:color w:val="auto"/>
          <w:sz w:val="24"/>
          <w:highlight w:val="none"/>
        </w:rPr>
        <w:t>以上企业，不属于大企业的分支机构，不存在控股股东为大企业的情形，也不存在与大企业的负责人为同一人的情形。</w:t>
      </w:r>
    </w:p>
    <w:p w14:paraId="5105A3EA">
      <w:pPr>
        <w:pStyle w:val="17"/>
        <w:spacing w:before="25" w:line="500" w:lineRule="exact"/>
        <w:ind w:right="142" w:firstLine="705" w:firstLineChars="294"/>
        <w:rPr>
          <w:rFonts w:hint="eastAsia" w:ascii="宋体" w:hAnsi="宋体"/>
          <w:color w:val="auto"/>
          <w:sz w:val="24"/>
          <w:highlight w:val="none"/>
        </w:rPr>
      </w:pPr>
      <w:r>
        <w:rPr>
          <w:rFonts w:ascii="宋体" w:hAnsi="宋体"/>
          <w:color w:val="auto"/>
          <w:sz w:val="24"/>
          <w:highlight w:val="none"/>
        </w:rPr>
        <w:t>本企业对上述声明内容的真实性负责。如有虚假，将依法承担相应责任。</w:t>
      </w:r>
    </w:p>
    <w:p w14:paraId="4C0D91C5">
      <w:pPr>
        <w:pStyle w:val="17"/>
        <w:spacing w:before="56" w:line="500" w:lineRule="exact"/>
        <w:ind w:right="1808" w:firstLine="705" w:firstLineChars="294"/>
        <w:rPr>
          <w:rFonts w:hint="eastAsia" w:ascii="宋体" w:hAnsi="宋体"/>
          <w:color w:val="auto"/>
          <w:sz w:val="24"/>
          <w:highlight w:val="none"/>
        </w:rPr>
      </w:pPr>
    </w:p>
    <w:p w14:paraId="6B1EA315">
      <w:pPr>
        <w:pStyle w:val="17"/>
        <w:spacing w:before="56" w:line="500" w:lineRule="exact"/>
        <w:ind w:right="650" w:firstLine="5625" w:firstLineChars="2344"/>
        <w:rPr>
          <w:rFonts w:hint="eastAsia" w:ascii="宋体" w:hAnsi="宋体"/>
          <w:color w:val="auto"/>
          <w:sz w:val="24"/>
          <w:highlight w:val="none"/>
        </w:rPr>
      </w:pPr>
      <w:r>
        <w:rPr>
          <w:rFonts w:ascii="宋体" w:hAnsi="宋体"/>
          <w:color w:val="auto"/>
          <w:sz w:val="24"/>
          <w:highlight w:val="none"/>
        </w:rPr>
        <w:t xml:space="preserve">企业名称（章）： </w:t>
      </w:r>
    </w:p>
    <w:p w14:paraId="1C15612F">
      <w:pPr>
        <w:pStyle w:val="17"/>
        <w:spacing w:before="56" w:line="500" w:lineRule="exact"/>
        <w:ind w:right="1808" w:firstLine="5625" w:firstLineChars="2344"/>
        <w:rPr>
          <w:rFonts w:hint="eastAsia" w:ascii="宋体" w:hAnsi="宋体"/>
          <w:color w:val="auto"/>
          <w:sz w:val="24"/>
          <w:highlight w:val="none"/>
        </w:rPr>
      </w:pPr>
      <w:r>
        <w:rPr>
          <w:rFonts w:ascii="宋体" w:hAnsi="宋体"/>
          <w:color w:val="auto"/>
          <w:sz w:val="24"/>
          <w:highlight w:val="none"/>
        </w:rPr>
        <w:t>日 期：</w:t>
      </w:r>
    </w:p>
    <w:p w14:paraId="04F7484B">
      <w:pPr>
        <w:spacing w:line="520" w:lineRule="exact"/>
        <w:jc w:val="left"/>
        <w:rPr>
          <w:rFonts w:hint="eastAsia" w:ascii="宋体" w:hAnsi="宋体" w:cs="仿宋_GB2312"/>
          <w:color w:val="auto"/>
          <w:sz w:val="24"/>
          <w:highlight w:val="none"/>
        </w:rPr>
      </w:pPr>
      <w:r>
        <w:rPr>
          <w:rFonts w:hint="eastAsia" w:ascii="宋体" w:hAnsi="宋体" w:cs="仿宋_GB2312"/>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18C5D255">
      <w:pPr>
        <w:spacing w:line="520" w:lineRule="exact"/>
        <w:jc w:val="center"/>
        <w:rPr>
          <w:rFonts w:hint="eastAsia" w:ascii="仿宋_GB2312" w:hAnsi="仿宋_GB2312" w:eastAsia="仿宋_GB2312" w:cs="仿宋_GB2312"/>
          <w:color w:val="auto"/>
          <w:sz w:val="32"/>
          <w:szCs w:val="32"/>
          <w:highlight w:val="none"/>
        </w:rPr>
      </w:pPr>
      <w:r>
        <w:rPr>
          <w:rFonts w:ascii="宋体" w:hAnsi="宋体"/>
          <w:color w:val="auto"/>
          <w:sz w:val="24"/>
          <w:highlight w:val="none"/>
        </w:rPr>
        <w:br w:type="page"/>
      </w:r>
      <w:r>
        <w:rPr>
          <w:rFonts w:hint="eastAsia" w:ascii="方正小标宋简体" w:hAnsi="方正小标宋简体" w:eastAsia="方正小标宋简体" w:cs="方正小标宋简体"/>
          <w:color w:val="auto"/>
          <w:sz w:val="44"/>
          <w:szCs w:val="44"/>
          <w:highlight w:val="none"/>
        </w:rPr>
        <w:t>残疾人福利性单位声明函</w:t>
      </w:r>
    </w:p>
    <w:p w14:paraId="32F27716">
      <w:pPr>
        <w:spacing w:line="360" w:lineRule="auto"/>
        <w:contextualSpacing/>
        <w:rPr>
          <w:rFonts w:hint="eastAsia" w:ascii="仿宋_GB2312" w:hAnsi="仿宋_GB2312" w:eastAsia="仿宋_GB2312" w:cs="仿宋_GB2312"/>
          <w:color w:val="auto"/>
          <w:sz w:val="32"/>
          <w:szCs w:val="32"/>
          <w:highlight w:val="none"/>
        </w:rPr>
      </w:pPr>
    </w:p>
    <w:p w14:paraId="2645978D">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53B8EB81">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本单位对上述声明的真实性负责。如有虚假，将依法承担相应责任。</w:t>
      </w:r>
    </w:p>
    <w:p w14:paraId="08592E20">
      <w:pPr>
        <w:spacing w:line="360" w:lineRule="auto"/>
        <w:contextualSpacing/>
        <w:rPr>
          <w:rFonts w:hint="eastAsia" w:ascii="宋体" w:hAnsi="宋体" w:cs="仿宋_GB2312"/>
          <w:color w:val="auto"/>
          <w:sz w:val="24"/>
          <w:highlight w:val="none"/>
        </w:rPr>
      </w:pPr>
    </w:p>
    <w:p w14:paraId="7D4770BB">
      <w:pPr>
        <w:spacing w:line="360" w:lineRule="auto"/>
        <w:contextualSpacing/>
        <w:rPr>
          <w:rFonts w:hint="eastAsia" w:ascii="宋体" w:hAnsi="宋体" w:cs="仿宋_GB2312"/>
          <w:color w:val="auto"/>
          <w:sz w:val="24"/>
          <w:highlight w:val="none"/>
        </w:rPr>
      </w:pPr>
    </w:p>
    <w:p w14:paraId="1A904F96">
      <w:pPr>
        <w:spacing w:line="360" w:lineRule="auto"/>
        <w:contextualSpacing/>
        <w:rPr>
          <w:rFonts w:hint="eastAsia" w:ascii="宋体" w:hAnsi="宋体" w:cs="仿宋_GB2312"/>
          <w:color w:val="auto"/>
          <w:sz w:val="24"/>
          <w:highlight w:val="none"/>
        </w:rPr>
      </w:pPr>
    </w:p>
    <w:p w14:paraId="569EEF7A">
      <w:pPr>
        <w:spacing w:line="360" w:lineRule="auto"/>
        <w:ind w:firstLine="2400" w:firstLineChars="1000"/>
        <w:contextualSpacing/>
        <w:rPr>
          <w:rFonts w:hint="eastAsia" w:ascii="宋体" w:hAnsi="宋体" w:cs="仿宋_GB2312"/>
          <w:color w:val="auto"/>
          <w:sz w:val="24"/>
          <w:highlight w:val="none"/>
        </w:rPr>
      </w:pPr>
      <w:r>
        <w:rPr>
          <w:rFonts w:hint="eastAsia" w:ascii="宋体" w:hAnsi="宋体" w:cs="仿宋_GB2312"/>
          <w:color w:val="auto"/>
          <w:sz w:val="24"/>
          <w:highlight w:val="none"/>
        </w:rPr>
        <w:t>单位名称（盖章）：</w:t>
      </w:r>
    </w:p>
    <w:p w14:paraId="2FA50050">
      <w:pPr>
        <w:spacing w:line="360" w:lineRule="auto"/>
        <w:ind w:firstLine="3600" w:firstLineChars="1500"/>
        <w:contextualSpacing/>
        <w:rPr>
          <w:rFonts w:hint="eastAsia" w:ascii="宋体" w:hAnsi="宋体" w:cs="仿宋_GB2312"/>
          <w:color w:val="auto"/>
          <w:sz w:val="24"/>
          <w:highlight w:val="none"/>
        </w:rPr>
      </w:pPr>
      <w:r>
        <w:rPr>
          <w:rFonts w:hint="eastAsia" w:ascii="宋体" w:hAnsi="宋体" w:cs="仿宋_GB2312"/>
          <w:color w:val="auto"/>
          <w:sz w:val="24"/>
          <w:highlight w:val="none"/>
        </w:rPr>
        <w:t>日  期：</w:t>
      </w:r>
    </w:p>
    <w:p w14:paraId="08050069">
      <w:pPr>
        <w:spacing w:line="360" w:lineRule="auto"/>
        <w:contextualSpacing/>
        <w:rPr>
          <w:rFonts w:hint="eastAsia" w:ascii="宋体" w:hAnsi="宋体" w:cs="仿宋_GB2312"/>
          <w:color w:val="auto"/>
          <w:sz w:val="24"/>
          <w:highlight w:val="none"/>
        </w:rPr>
      </w:pPr>
    </w:p>
    <w:p w14:paraId="38FCAA3F">
      <w:pPr>
        <w:spacing w:line="360" w:lineRule="auto"/>
        <w:contextualSpacing/>
        <w:rPr>
          <w:rFonts w:hint="eastAsia" w:ascii="宋体" w:hAnsi="宋体" w:cs="仿宋_GB2312"/>
          <w:color w:val="auto"/>
          <w:sz w:val="24"/>
          <w:highlight w:val="none"/>
        </w:rPr>
      </w:pPr>
    </w:p>
    <w:p w14:paraId="25E70D9A">
      <w:pPr>
        <w:spacing w:line="360" w:lineRule="auto"/>
        <w:contextualSpacing/>
        <w:rPr>
          <w:rFonts w:hint="eastAsia" w:ascii="宋体" w:hAnsi="宋体" w:cs="仿宋_GB2312"/>
          <w:color w:val="auto"/>
          <w:sz w:val="24"/>
          <w:highlight w:val="none"/>
        </w:rPr>
      </w:pPr>
    </w:p>
    <w:p w14:paraId="785B4DE1">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5928D4B0">
      <w:pPr>
        <w:spacing w:line="360" w:lineRule="auto"/>
        <w:jc w:val="center"/>
        <w:rPr>
          <w:rFonts w:hint="eastAsia" w:ascii="宋体" w:hAnsi="宋体" w:cs="仿宋_GB2312"/>
          <w:color w:val="auto"/>
          <w:sz w:val="24"/>
          <w:highlight w:val="none"/>
        </w:rPr>
      </w:pPr>
      <w:r>
        <w:rPr>
          <w:rFonts w:ascii="宋体" w:hAnsi="宋体" w:cs="仿宋_GB2312"/>
          <w:color w:val="auto"/>
          <w:sz w:val="24"/>
          <w:highlight w:val="none"/>
        </w:rPr>
        <w:br w:type="page"/>
      </w:r>
    </w:p>
    <w:p w14:paraId="67452A0D">
      <w:pPr>
        <w:spacing w:line="360" w:lineRule="auto"/>
        <w:jc w:val="center"/>
        <w:rPr>
          <w:rFonts w:hint="eastAsia" w:ascii="宋体" w:hAnsi="宋体"/>
          <w:b/>
          <w:bCs/>
          <w:color w:val="auto"/>
          <w:sz w:val="32"/>
          <w:szCs w:val="32"/>
          <w:highlight w:val="none"/>
        </w:rPr>
      </w:pPr>
      <w:r>
        <w:rPr>
          <w:rFonts w:hint="eastAsia" w:ascii="方正小标宋简体" w:hAnsi="方正小标宋简体" w:eastAsia="方正小标宋简体" w:cs="方正小标宋简体"/>
          <w:color w:val="auto"/>
          <w:sz w:val="44"/>
          <w:szCs w:val="44"/>
          <w:highlight w:val="none"/>
        </w:rPr>
        <w:t>质疑函（格式）</w:t>
      </w:r>
    </w:p>
    <w:p w14:paraId="7FEF7B12">
      <w:pPr>
        <w:pStyle w:val="22"/>
        <w:spacing w:line="360" w:lineRule="auto"/>
        <w:ind w:firstLine="482" w:firstLineChars="200"/>
        <w:contextualSpacing/>
        <w:rPr>
          <w:rFonts w:hint="eastAsia" w:hAnsi="宋体"/>
          <w:b/>
          <w:bCs/>
          <w:color w:val="auto"/>
          <w:sz w:val="24"/>
          <w:szCs w:val="24"/>
          <w:highlight w:val="none"/>
        </w:rPr>
      </w:pPr>
      <w:r>
        <w:rPr>
          <w:rFonts w:hint="eastAsia" w:hAnsi="宋体"/>
          <w:b/>
          <w:bCs/>
          <w:color w:val="auto"/>
          <w:sz w:val="24"/>
          <w:szCs w:val="24"/>
          <w:highlight w:val="none"/>
        </w:rPr>
        <w:t>一、质疑供应商基本信息：</w:t>
      </w:r>
    </w:p>
    <w:p w14:paraId="2EC3520F">
      <w:pPr>
        <w:pStyle w:val="22"/>
        <w:spacing w:line="360" w:lineRule="auto"/>
        <w:ind w:firstLine="480" w:firstLineChars="200"/>
        <w:contextualSpacing/>
        <w:rPr>
          <w:rFonts w:hint="eastAsia" w:hAnsi="宋体"/>
          <w:bCs/>
          <w:color w:val="auto"/>
          <w:sz w:val="24"/>
          <w:szCs w:val="24"/>
          <w:highlight w:val="none"/>
          <w:u w:val="single"/>
        </w:rPr>
      </w:pPr>
      <w:r>
        <w:rPr>
          <w:rFonts w:hint="eastAsia" w:hAnsi="宋体"/>
          <w:bCs/>
          <w:color w:val="auto"/>
          <w:sz w:val="24"/>
          <w:szCs w:val="24"/>
          <w:highlight w:val="none"/>
        </w:rPr>
        <w:t>质疑供应商：</w:t>
      </w:r>
    </w:p>
    <w:p w14:paraId="0B27846C">
      <w:pPr>
        <w:pStyle w:val="22"/>
        <w:spacing w:line="360" w:lineRule="auto"/>
        <w:ind w:firstLine="480" w:firstLineChars="200"/>
        <w:contextualSpacing/>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Ansi="宋体"/>
          <w:bCs/>
          <w:color w:val="auto"/>
          <w:sz w:val="24"/>
          <w:szCs w:val="24"/>
          <w:highlight w:val="none"/>
        </w:rPr>
        <w:t>邮编</w:t>
      </w:r>
      <w:r>
        <w:rPr>
          <w:rFonts w:hint="eastAsia" w:hAnsi="宋体"/>
          <w:bCs/>
          <w:color w:val="auto"/>
          <w:sz w:val="24"/>
          <w:szCs w:val="24"/>
          <w:highlight w:val="none"/>
        </w:rPr>
        <w:t>：</w:t>
      </w:r>
    </w:p>
    <w:p w14:paraId="000CDE46">
      <w:pPr>
        <w:pStyle w:val="22"/>
        <w:spacing w:line="360" w:lineRule="auto"/>
        <w:ind w:firstLine="480" w:firstLineChars="200"/>
        <w:contextualSpacing/>
        <w:rPr>
          <w:rFonts w:hint="eastAsia"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Ansi="宋体"/>
          <w:bCs/>
          <w:color w:val="auto"/>
          <w:sz w:val="24"/>
          <w:szCs w:val="24"/>
          <w:highlight w:val="none"/>
        </w:rPr>
        <w:t>联系电话</w:t>
      </w:r>
      <w:r>
        <w:rPr>
          <w:rFonts w:hint="eastAsia" w:hAnsi="宋体"/>
          <w:bCs/>
          <w:color w:val="auto"/>
          <w:sz w:val="24"/>
          <w:szCs w:val="24"/>
          <w:highlight w:val="none"/>
        </w:rPr>
        <w:t>：</w:t>
      </w:r>
    </w:p>
    <w:p w14:paraId="6A36D210">
      <w:pPr>
        <w:pStyle w:val="22"/>
        <w:spacing w:line="360" w:lineRule="auto"/>
        <w:ind w:firstLine="480" w:firstLineChars="200"/>
        <w:contextualSpacing/>
        <w:rPr>
          <w:rFonts w:hint="eastAsia" w:hAnsi="宋体"/>
          <w:bCs/>
          <w:color w:val="auto"/>
          <w:sz w:val="24"/>
          <w:szCs w:val="24"/>
          <w:highlight w:val="none"/>
        </w:rPr>
      </w:pPr>
      <w:r>
        <w:rPr>
          <w:rFonts w:hint="eastAsia" w:hAnsi="宋体"/>
          <w:bCs/>
          <w:color w:val="auto"/>
          <w:sz w:val="24"/>
          <w:szCs w:val="24"/>
          <w:highlight w:val="none"/>
        </w:rPr>
        <w:t>授权代表：</w:t>
      </w:r>
    </w:p>
    <w:p w14:paraId="166A9D16">
      <w:pPr>
        <w:pStyle w:val="22"/>
        <w:spacing w:line="360" w:lineRule="auto"/>
        <w:ind w:firstLine="480" w:firstLineChars="200"/>
        <w:contextualSpacing/>
        <w:rPr>
          <w:rFonts w:hint="eastAsia"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p>
    <w:p w14:paraId="5305F20E">
      <w:pPr>
        <w:pStyle w:val="22"/>
        <w:spacing w:line="360" w:lineRule="auto"/>
        <w:ind w:firstLine="480" w:firstLineChars="200"/>
        <w:contextualSpacing/>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Ansi="宋体"/>
          <w:bCs/>
          <w:color w:val="auto"/>
          <w:sz w:val="24"/>
          <w:szCs w:val="24"/>
          <w:highlight w:val="none"/>
        </w:rPr>
        <w:t>邮编</w:t>
      </w:r>
      <w:r>
        <w:rPr>
          <w:rFonts w:hint="eastAsia" w:hAnsi="宋体"/>
          <w:bCs/>
          <w:color w:val="auto"/>
          <w:sz w:val="24"/>
          <w:szCs w:val="24"/>
          <w:highlight w:val="none"/>
        </w:rPr>
        <w:t>：</w:t>
      </w:r>
    </w:p>
    <w:p w14:paraId="47517E9D">
      <w:pPr>
        <w:pStyle w:val="22"/>
        <w:spacing w:line="360" w:lineRule="auto"/>
        <w:ind w:firstLine="482" w:firstLineChars="200"/>
        <w:contextualSpacing/>
        <w:rPr>
          <w:rFonts w:hint="eastAsia" w:hAnsi="宋体"/>
          <w:b/>
          <w:bCs/>
          <w:color w:val="auto"/>
          <w:sz w:val="24"/>
          <w:szCs w:val="24"/>
          <w:highlight w:val="none"/>
        </w:rPr>
      </w:pPr>
      <w:r>
        <w:rPr>
          <w:rFonts w:hint="eastAsia" w:hAnsi="宋体"/>
          <w:b/>
          <w:bCs/>
          <w:color w:val="auto"/>
          <w:sz w:val="24"/>
          <w:szCs w:val="24"/>
          <w:highlight w:val="none"/>
        </w:rPr>
        <w:t>二、质疑项目基本情况：</w:t>
      </w:r>
    </w:p>
    <w:p w14:paraId="6F3F4D50">
      <w:pPr>
        <w:pStyle w:val="22"/>
        <w:spacing w:line="360" w:lineRule="auto"/>
        <w:ind w:left="25" w:leftChars="12" w:firstLine="472" w:firstLineChars="197"/>
        <w:contextualSpacing/>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p>
    <w:p w14:paraId="13C8FFC0">
      <w:pPr>
        <w:pStyle w:val="22"/>
        <w:spacing w:line="360" w:lineRule="auto"/>
        <w:ind w:left="25" w:leftChars="12" w:firstLine="472" w:firstLineChars="197"/>
        <w:contextualSpacing/>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p>
    <w:p w14:paraId="1A300B8E">
      <w:pPr>
        <w:pStyle w:val="22"/>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采购人名称：</w:t>
      </w:r>
    </w:p>
    <w:p w14:paraId="33476404">
      <w:pPr>
        <w:pStyle w:val="22"/>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w:t>
      </w:r>
    </w:p>
    <w:p w14:paraId="52D064D0">
      <w:pPr>
        <w:pStyle w:val="22"/>
        <w:spacing w:line="360" w:lineRule="auto"/>
        <w:ind w:left="25" w:leftChars="12" w:firstLine="352" w:firstLineChars="147"/>
        <w:contextualSpacing/>
        <w:rPr>
          <w:rFonts w:hint="eastAsia" w:hAnsi="宋体"/>
          <w:color w:val="auto"/>
          <w:sz w:val="24"/>
          <w:szCs w:val="24"/>
          <w:highlight w:val="none"/>
        </w:rPr>
      </w:pPr>
      <w:r>
        <w:rPr>
          <w:rFonts w:hint="eastAsia" w:hAnsi="宋体"/>
          <w:color w:val="auto"/>
          <w:sz w:val="24"/>
          <w:szCs w:val="24"/>
          <w:highlight w:val="none"/>
        </w:rPr>
        <w:t>□采购文件   采购文件获取日期：</w:t>
      </w:r>
    </w:p>
    <w:p w14:paraId="67C03753">
      <w:pPr>
        <w:pStyle w:val="22"/>
        <w:spacing w:line="360" w:lineRule="auto"/>
        <w:ind w:left="25" w:leftChars="12" w:firstLine="352" w:firstLineChars="147"/>
        <w:contextualSpacing/>
        <w:rPr>
          <w:rFonts w:hint="eastAsia" w:hAnsi="宋体"/>
          <w:color w:val="auto"/>
          <w:sz w:val="24"/>
          <w:szCs w:val="24"/>
          <w:highlight w:val="none"/>
        </w:rPr>
      </w:pPr>
      <w:r>
        <w:rPr>
          <w:rFonts w:hint="eastAsia" w:hAnsi="宋体"/>
          <w:color w:val="auto"/>
          <w:sz w:val="24"/>
          <w:szCs w:val="24"/>
          <w:highlight w:val="none"/>
        </w:rPr>
        <w:t xml:space="preserve">□采购过程   </w:t>
      </w:r>
    </w:p>
    <w:p w14:paraId="65978A62">
      <w:pPr>
        <w:pStyle w:val="22"/>
        <w:spacing w:line="360" w:lineRule="auto"/>
        <w:ind w:left="25" w:leftChars="12" w:firstLine="352" w:firstLineChars="147"/>
        <w:contextualSpacing/>
        <w:rPr>
          <w:rFonts w:hint="eastAsia" w:hAnsi="宋体"/>
          <w:bCs/>
          <w:color w:val="auto"/>
          <w:sz w:val="24"/>
          <w:szCs w:val="24"/>
          <w:highlight w:val="none"/>
          <w:u w:val="single"/>
        </w:rPr>
      </w:pPr>
      <w:r>
        <w:rPr>
          <w:rFonts w:hint="eastAsia" w:hAnsi="宋体"/>
          <w:color w:val="auto"/>
          <w:sz w:val="24"/>
          <w:szCs w:val="24"/>
          <w:highlight w:val="none"/>
        </w:rPr>
        <w:t xml:space="preserve">□成交结果   </w:t>
      </w:r>
    </w:p>
    <w:p w14:paraId="1DE37382">
      <w:pPr>
        <w:pStyle w:val="22"/>
        <w:spacing w:line="360" w:lineRule="auto"/>
        <w:ind w:left="25" w:leftChars="12" w:firstLine="472" w:firstLineChars="196"/>
        <w:contextualSpacing/>
        <w:rPr>
          <w:rFonts w:hint="eastAsia" w:hAnsi="宋体"/>
          <w:b/>
          <w:color w:val="auto"/>
          <w:sz w:val="24"/>
          <w:szCs w:val="24"/>
          <w:highlight w:val="none"/>
        </w:rPr>
      </w:pPr>
      <w:r>
        <w:rPr>
          <w:rFonts w:hint="eastAsia" w:hAnsi="宋体"/>
          <w:b/>
          <w:color w:val="auto"/>
          <w:sz w:val="24"/>
          <w:szCs w:val="24"/>
          <w:highlight w:val="none"/>
        </w:rPr>
        <w:t>三、质疑事项具体内容</w:t>
      </w:r>
    </w:p>
    <w:p w14:paraId="15166921">
      <w:pPr>
        <w:pStyle w:val="22"/>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质疑事项1：</w:t>
      </w:r>
    </w:p>
    <w:p w14:paraId="4B794679">
      <w:pPr>
        <w:pStyle w:val="22"/>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事实依据：</w:t>
      </w:r>
    </w:p>
    <w:p w14:paraId="6E32F69E">
      <w:pPr>
        <w:pStyle w:val="22"/>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法律依据：</w:t>
      </w:r>
    </w:p>
    <w:p w14:paraId="07DB76F3">
      <w:pPr>
        <w:pStyle w:val="22"/>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质疑事项2</w:t>
      </w:r>
    </w:p>
    <w:p w14:paraId="601C519E">
      <w:pPr>
        <w:pStyle w:val="22"/>
        <w:spacing w:line="360" w:lineRule="auto"/>
        <w:ind w:left="25" w:leftChars="12" w:firstLine="472" w:firstLineChars="197"/>
        <w:contextualSpacing/>
        <w:rPr>
          <w:rFonts w:hint="eastAsia" w:hAnsi="宋体"/>
          <w:color w:val="auto"/>
          <w:sz w:val="24"/>
          <w:szCs w:val="24"/>
          <w:highlight w:val="none"/>
        </w:rPr>
      </w:pPr>
      <w:r>
        <w:rPr>
          <w:rFonts w:hAnsi="宋体"/>
          <w:color w:val="auto"/>
          <w:sz w:val="24"/>
          <w:szCs w:val="24"/>
          <w:highlight w:val="none"/>
        </w:rPr>
        <w:t>……</w:t>
      </w:r>
    </w:p>
    <w:p w14:paraId="3524CD49">
      <w:pPr>
        <w:pStyle w:val="22"/>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四、与质疑事项相关的质疑请求：</w:t>
      </w:r>
    </w:p>
    <w:p w14:paraId="531FA1A7">
      <w:pPr>
        <w:pStyle w:val="22"/>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请求：</w:t>
      </w:r>
    </w:p>
    <w:p w14:paraId="7AFA5BAD">
      <w:pPr>
        <w:pStyle w:val="22"/>
        <w:spacing w:line="360" w:lineRule="auto"/>
        <w:ind w:left="25" w:leftChars="12" w:firstLine="352" w:firstLineChars="147"/>
        <w:contextualSpacing/>
        <w:rPr>
          <w:rFonts w:hint="eastAsia" w:hAnsi="宋体"/>
          <w:color w:val="auto"/>
          <w:sz w:val="24"/>
          <w:szCs w:val="24"/>
          <w:highlight w:val="none"/>
        </w:rPr>
      </w:pPr>
    </w:p>
    <w:p w14:paraId="6EFEDB57">
      <w:pPr>
        <w:pStyle w:val="22"/>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签字（签章）：                                       公章：</w:t>
      </w:r>
    </w:p>
    <w:p w14:paraId="1F05FF09">
      <w:pPr>
        <w:pStyle w:val="22"/>
        <w:spacing w:line="360" w:lineRule="auto"/>
        <w:ind w:firstLine="480" w:firstLineChars="200"/>
        <w:contextualSpacing/>
        <w:rPr>
          <w:rFonts w:hint="eastAsia" w:hAnsi="宋体"/>
          <w:b/>
          <w:color w:val="auto"/>
          <w:sz w:val="24"/>
          <w:szCs w:val="24"/>
          <w:highlight w:val="none"/>
        </w:rPr>
      </w:pPr>
      <w:r>
        <w:rPr>
          <w:rFonts w:hint="eastAsia" w:hAnsi="宋体"/>
          <w:color w:val="auto"/>
          <w:sz w:val="24"/>
          <w:szCs w:val="24"/>
          <w:highlight w:val="none"/>
        </w:rPr>
        <w:t>日期：</w:t>
      </w:r>
    </w:p>
    <w:p w14:paraId="1BE456AB">
      <w:pPr>
        <w:pStyle w:val="22"/>
        <w:spacing w:line="360" w:lineRule="auto"/>
        <w:contextualSpacing/>
        <w:rPr>
          <w:rFonts w:hint="eastAsia" w:hAnsi="宋体"/>
          <w:b/>
          <w:color w:val="auto"/>
          <w:sz w:val="24"/>
          <w:szCs w:val="24"/>
          <w:highlight w:val="none"/>
        </w:rPr>
      </w:pPr>
      <w:r>
        <w:rPr>
          <w:rFonts w:hint="eastAsia" w:hAnsi="宋体"/>
          <w:b/>
          <w:color w:val="auto"/>
          <w:sz w:val="24"/>
          <w:szCs w:val="24"/>
          <w:highlight w:val="none"/>
        </w:rPr>
        <w:t>说明：</w:t>
      </w:r>
    </w:p>
    <w:p w14:paraId="58C56B40">
      <w:pPr>
        <w:pStyle w:val="22"/>
        <w:spacing w:line="360" w:lineRule="auto"/>
        <w:ind w:left="25" w:leftChars="12" w:firstLine="354" w:firstLineChars="147"/>
        <w:contextualSpacing/>
        <w:rPr>
          <w:rFonts w:hint="eastAsia"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28E44CA8">
      <w:pPr>
        <w:pStyle w:val="22"/>
        <w:spacing w:line="360" w:lineRule="auto"/>
        <w:ind w:left="25" w:leftChars="12" w:firstLine="354" w:firstLineChars="147"/>
        <w:contextualSpacing/>
        <w:rPr>
          <w:rFonts w:hint="eastAsia"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E8D3CF7">
      <w:pPr>
        <w:pStyle w:val="22"/>
        <w:spacing w:line="360" w:lineRule="auto"/>
        <w:ind w:left="25" w:leftChars="12" w:firstLine="354" w:firstLineChars="147"/>
        <w:contextualSpacing/>
        <w:rPr>
          <w:rFonts w:hint="eastAsia"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6C078896">
      <w:pPr>
        <w:pStyle w:val="22"/>
        <w:spacing w:line="360" w:lineRule="auto"/>
        <w:ind w:left="25" w:leftChars="12" w:firstLine="354" w:firstLineChars="147"/>
        <w:contextualSpacing/>
        <w:rPr>
          <w:rFonts w:hint="eastAsia" w:hAnsi="宋体"/>
          <w:b/>
          <w:color w:val="auto"/>
          <w:sz w:val="24"/>
          <w:szCs w:val="24"/>
          <w:highlight w:val="none"/>
        </w:rPr>
      </w:pPr>
      <w:r>
        <w:rPr>
          <w:rFonts w:hint="eastAsia" w:hAnsi="宋体"/>
          <w:b/>
          <w:color w:val="auto"/>
          <w:sz w:val="24"/>
          <w:szCs w:val="24"/>
          <w:highlight w:val="none"/>
        </w:rPr>
        <w:t>4.质疑函的质疑请求应与质疑事项相关。</w:t>
      </w:r>
    </w:p>
    <w:p w14:paraId="323964F4">
      <w:pPr>
        <w:pStyle w:val="22"/>
        <w:spacing w:line="360" w:lineRule="auto"/>
        <w:ind w:left="25" w:leftChars="12" w:firstLine="354" w:firstLineChars="147"/>
        <w:contextualSpacing/>
        <w:rPr>
          <w:rFonts w:hint="eastAsia"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60CFD421">
      <w:pPr>
        <w:pStyle w:val="22"/>
        <w:snapToGrid w:val="0"/>
        <w:rPr>
          <w:b/>
          <w:color w:val="auto"/>
          <w:sz w:val="24"/>
          <w:szCs w:val="24"/>
          <w:highlight w:val="none"/>
        </w:rPr>
      </w:pPr>
    </w:p>
    <w:p w14:paraId="39F1CDDD">
      <w:pPr>
        <w:rPr>
          <w:color w:val="auto"/>
          <w:sz w:val="32"/>
          <w:szCs w:val="40"/>
          <w:highlight w:val="none"/>
        </w:rPr>
      </w:pPr>
    </w:p>
    <w:p w14:paraId="713ACBF9">
      <w:pPr>
        <w:rPr>
          <w:color w:val="auto"/>
          <w:sz w:val="32"/>
          <w:szCs w:val="40"/>
          <w:highlight w:val="none"/>
        </w:rPr>
      </w:pPr>
    </w:p>
    <w:p w14:paraId="1657305A">
      <w:pPr>
        <w:rPr>
          <w:color w:val="auto"/>
          <w:sz w:val="32"/>
          <w:szCs w:val="40"/>
          <w:highlight w:val="none"/>
        </w:rPr>
      </w:pPr>
    </w:p>
    <w:p w14:paraId="130DA0A1">
      <w:pPr>
        <w:rPr>
          <w:color w:val="auto"/>
          <w:sz w:val="32"/>
          <w:szCs w:val="40"/>
          <w:highlight w:val="none"/>
        </w:rPr>
      </w:pPr>
    </w:p>
    <w:p w14:paraId="027700B8">
      <w:pPr>
        <w:rPr>
          <w:color w:val="auto"/>
          <w:sz w:val="32"/>
          <w:szCs w:val="40"/>
          <w:highlight w:val="none"/>
        </w:rPr>
      </w:pPr>
    </w:p>
    <w:p w14:paraId="0A3EE4F0">
      <w:pPr>
        <w:rPr>
          <w:color w:val="auto"/>
          <w:sz w:val="32"/>
          <w:szCs w:val="40"/>
          <w:highlight w:val="none"/>
        </w:rPr>
      </w:pPr>
    </w:p>
    <w:p w14:paraId="6BED1AA2">
      <w:pPr>
        <w:rPr>
          <w:color w:val="auto"/>
          <w:sz w:val="32"/>
          <w:szCs w:val="40"/>
          <w:highlight w:val="none"/>
        </w:rPr>
      </w:pPr>
    </w:p>
    <w:p w14:paraId="257D3493">
      <w:pPr>
        <w:rPr>
          <w:color w:val="auto"/>
          <w:sz w:val="32"/>
          <w:szCs w:val="40"/>
          <w:highlight w:val="none"/>
        </w:rPr>
      </w:pPr>
    </w:p>
    <w:p w14:paraId="2258DEAD">
      <w:pPr>
        <w:rPr>
          <w:color w:val="auto"/>
          <w:sz w:val="32"/>
          <w:szCs w:val="40"/>
          <w:highlight w:val="none"/>
        </w:rPr>
      </w:pPr>
    </w:p>
    <w:p w14:paraId="2AB74B06">
      <w:pPr>
        <w:rPr>
          <w:color w:val="auto"/>
          <w:sz w:val="32"/>
          <w:szCs w:val="40"/>
          <w:highlight w:val="none"/>
        </w:rPr>
      </w:pPr>
    </w:p>
    <w:p w14:paraId="1CBA8A4C">
      <w:pPr>
        <w:rPr>
          <w:color w:val="auto"/>
          <w:sz w:val="32"/>
          <w:szCs w:val="40"/>
          <w:highlight w:val="none"/>
        </w:rPr>
      </w:pPr>
    </w:p>
    <w:p w14:paraId="504B4925">
      <w:pPr>
        <w:rPr>
          <w:color w:val="auto"/>
          <w:sz w:val="32"/>
          <w:szCs w:val="40"/>
          <w:highlight w:val="none"/>
        </w:rPr>
      </w:pPr>
    </w:p>
    <w:p w14:paraId="281E626F">
      <w:pPr>
        <w:rPr>
          <w:color w:val="auto"/>
          <w:sz w:val="32"/>
          <w:szCs w:val="40"/>
          <w:highlight w:val="none"/>
        </w:rPr>
      </w:pPr>
    </w:p>
    <w:p w14:paraId="087A92E3">
      <w:pPr>
        <w:rPr>
          <w:color w:val="auto"/>
          <w:sz w:val="32"/>
          <w:szCs w:val="40"/>
          <w:highlight w:val="none"/>
        </w:rPr>
      </w:pPr>
    </w:p>
    <w:p w14:paraId="05E44B5E">
      <w:pPr>
        <w:spacing w:line="360" w:lineRule="auto"/>
        <w:jc w:val="center"/>
        <w:rPr>
          <w:rFonts w:hint="eastAsia" w:ascii="方正小标宋简体" w:hAnsi="方正小标宋简体" w:eastAsia="方正小标宋简体" w:cs="方正小标宋简体"/>
          <w:color w:val="auto"/>
          <w:sz w:val="44"/>
          <w:szCs w:val="44"/>
          <w:highlight w:val="none"/>
        </w:rPr>
      </w:pPr>
    </w:p>
    <w:p w14:paraId="31EAB3AC">
      <w:pPr>
        <w:spacing w:line="360" w:lineRule="auto"/>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投诉书（格式）</w:t>
      </w:r>
    </w:p>
    <w:p w14:paraId="2A6F7893">
      <w:pPr>
        <w:pStyle w:val="22"/>
        <w:snapToGrid w:val="0"/>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一、投诉相关主体基本情况：</w:t>
      </w:r>
    </w:p>
    <w:p w14:paraId="596B4D44">
      <w:pPr>
        <w:pStyle w:val="22"/>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供应商：</w:t>
      </w:r>
    </w:p>
    <w:p w14:paraId="2866EE25">
      <w:pPr>
        <w:pStyle w:val="22"/>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Ansi="宋体"/>
          <w:bCs/>
          <w:color w:val="auto"/>
          <w:sz w:val="24"/>
          <w:szCs w:val="24"/>
          <w:highlight w:val="none"/>
        </w:rPr>
        <w:t>邮编</w:t>
      </w:r>
      <w:r>
        <w:rPr>
          <w:rFonts w:hint="eastAsia" w:hAnsi="宋体"/>
          <w:bCs/>
          <w:color w:val="auto"/>
          <w:sz w:val="24"/>
          <w:szCs w:val="24"/>
          <w:highlight w:val="none"/>
        </w:rPr>
        <w:t>：</w:t>
      </w:r>
    </w:p>
    <w:p w14:paraId="74CE8866">
      <w:pPr>
        <w:pStyle w:val="22"/>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法定代表人/主要负责人：</w:t>
      </w:r>
    </w:p>
    <w:p w14:paraId="02EC8F4C">
      <w:pPr>
        <w:pStyle w:val="22"/>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p>
    <w:p w14:paraId="15F00C89">
      <w:pPr>
        <w:pStyle w:val="22"/>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授权代表：</w:t>
      </w:r>
      <w:r>
        <w:rPr>
          <w:rFonts w:hAnsi="宋体"/>
          <w:bCs/>
          <w:color w:val="auto"/>
          <w:sz w:val="24"/>
          <w:szCs w:val="24"/>
          <w:highlight w:val="none"/>
        </w:rPr>
        <w:t>联系</w:t>
      </w:r>
      <w:r>
        <w:rPr>
          <w:rFonts w:hint="eastAsia" w:hAnsi="宋体"/>
          <w:bCs/>
          <w:color w:val="auto"/>
          <w:sz w:val="24"/>
          <w:szCs w:val="24"/>
          <w:highlight w:val="none"/>
        </w:rPr>
        <w:t>电话：</w:t>
      </w:r>
    </w:p>
    <w:p w14:paraId="50F71756">
      <w:pPr>
        <w:pStyle w:val="22"/>
        <w:snapToGrid w:val="0"/>
        <w:spacing w:line="360" w:lineRule="auto"/>
        <w:ind w:firstLine="480" w:firstLineChars="200"/>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p>
    <w:p w14:paraId="587B7478">
      <w:pPr>
        <w:pStyle w:val="22"/>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p>
    <w:p w14:paraId="5417835F">
      <w:pPr>
        <w:pStyle w:val="22"/>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被投诉人1：</w:t>
      </w:r>
    </w:p>
    <w:p w14:paraId="14F4C640">
      <w:pPr>
        <w:pStyle w:val="22"/>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地址：</w:t>
      </w:r>
    </w:p>
    <w:p w14:paraId="78DD3A97">
      <w:pPr>
        <w:pStyle w:val="22"/>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p>
    <w:p w14:paraId="35ADE457">
      <w:pPr>
        <w:pStyle w:val="22"/>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联系人：</w:t>
      </w:r>
      <w:r>
        <w:rPr>
          <w:rFonts w:hAnsi="宋体"/>
          <w:bCs/>
          <w:color w:val="auto"/>
          <w:sz w:val="24"/>
          <w:szCs w:val="24"/>
          <w:highlight w:val="none"/>
        </w:rPr>
        <w:t>联系</w:t>
      </w:r>
      <w:r>
        <w:rPr>
          <w:rFonts w:hint="eastAsia" w:hAnsi="宋体"/>
          <w:bCs/>
          <w:color w:val="auto"/>
          <w:sz w:val="24"/>
          <w:szCs w:val="24"/>
          <w:highlight w:val="none"/>
        </w:rPr>
        <w:t>电话：</w:t>
      </w:r>
    </w:p>
    <w:p w14:paraId="38CA55A5">
      <w:pPr>
        <w:pStyle w:val="22"/>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被投诉人2：</w:t>
      </w:r>
    </w:p>
    <w:p w14:paraId="436524F1">
      <w:pPr>
        <w:pStyle w:val="22"/>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w:t>
      </w:r>
    </w:p>
    <w:p w14:paraId="2814C4AD">
      <w:pPr>
        <w:pStyle w:val="22"/>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相关供应商：</w:t>
      </w:r>
    </w:p>
    <w:p w14:paraId="0D3DF8ED">
      <w:pPr>
        <w:pStyle w:val="22"/>
        <w:snapToGrid w:val="0"/>
        <w:spacing w:line="360" w:lineRule="auto"/>
        <w:ind w:firstLine="480" w:firstLineChars="200"/>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Ansi="宋体"/>
          <w:bCs/>
          <w:color w:val="auto"/>
          <w:sz w:val="24"/>
          <w:szCs w:val="24"/>
          <w:highlight w:val="none"/>
        </w:rPr>
        <w:t>邮编</w:t>
      </w:r>
      <w:r>
        <w:rPr>
          <w:rFonts w:hint="eastAsia" w:hAnsi="宋体"/>
          <w:bCs/>
          <w:color w:val="auto"/>
          <w:sz w:val="24"/>
          <w:szCs w:val="24"/>
          <w:highlight w:val="none"/>
        </w:rPr>
        <w:t>：</w:t>
      </w:r>
    </w:p>
    <w:p w14:paraId="3200FBA6">
      <w:pPr>
        <w:pStyle w:val="22"/>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联系人：</w:t>
      </w:r>
      <w:r>
        <w:rPr>
          <w:rFonts w:hAnsi="宋体"/>
          <w:bCs/>
          <w:color w:val="auto"/>
          <w:sz w:val="24"/>
          <w:szCs w:val="24"/>
          <w:highlight w:val="none"/>
        </w:rPr>
        <w:t>联系</w:t>
      </w:r>
      <w:r>
        <w:rPr>
          <w:rFonts w:hint="eastAsia" w:hAnsi="宋体"/>
          <w:bCs/>
          <w:color w:val="auto"/>
          <w:sz w:val="24"/>
          <w:szCs w:val="24"/>
          <w:highlight w:val="none"/>
        </w:rPr>
        <w:t>电话：</w:t>
      </w:r>
    </w:p>
    <w:p w14:paraId="18B48728">
      <w:pPr>
        <w:pStyle w:val="22"/>
        <w:snapToGrid w:val="0"/>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二、投诉项目基本情况：</w:t>
      </w:r>
    </w:p>
    <w:p w14:paraId="3A9ACE47">
      <w:pPr>
        <w:pStyle w:val="22"/>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项目的名称：</w:t>
      </w:r>
    </w:p>
    <w:p w14:paraId="217C9BAE">
      <w:pPr>
        <w:pStyle w:val="22"/>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项目的编号：</w:t>
      </w:r>
    </w:p>
    <w:p w14:paraId="490399A0">
      <w:pPr>
        <w:pStyle w:val="22"/>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采购人名称：</w:t>
      </w:r>
    </w:p>
    <w:p w14:paraId="4F655B47">
      <w:pPr>
        <w:pStyle w:val="22"/>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代理机构名称：</w:t>
      </w:r>
    </w:p>
    <w:p w14:paraId="4048A447">
      <w:pPr>
        <w:pStyle w:val="22"/>
        <w:spacing w:line="360" w:lineRule="auto"/>
        <w:ind w:left="25" w:leftChars="12" w:firstLine="472" w:firstLineChars="197"/>
        <w:rPr>
          <w:rFonts w:hint="eastAsia" w:hAnsi="宋体"/>
          <w:bCs/>
          <w:color w:val="auto"/>
          <w:sz w:val="24"/>
          <w:szCs w:val="24"/>
          <w:highlight w:val="none"/>
          <w:u w:val="single"/>
        </w:rPr>
      </w:pPr>
      <w:r>
        <w:rPr>
          <w:rFonts w:hint="eastAsia" w:hAnsi="宋体"/>
          <w:bCs/>
          <w:color w:val="auto"/>
          <w:sz w:val="24"/>
          <w:szCs w:val="24"/>
          <w:highlight w:val="none"/>
        </w:rPr>
        <w:t>采购文件公告：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p>
    <w:p w14:paraId="4545A5D0">
      <w:pPr>
        <w:pStyle w:val="22"/>
        <w:spacing w:line="360" w:lineRule="auto"/>
        <w:ind w:left="25" w:leftChars="12" w:firstLine="472" w:firstLineChars="197"/>
        <w:rPr>
          <w:rFonts w:hint="eastAsia" w:hAnsi="宋体"/>
          <w:b/>
          <w:color w:val="auto"/>
          <w:sz w:val="24"/>
          <w:szCs w:val="24"/>
          <w:highlight w:val="none"/>
        </w:rPr>
      </w:pPr>
      <w:r>
        <w:rPr>
          <w:rFonts w:hint="eastAsia" w:hAnsi="宋体"/>
          <w:bCs/>
          <w:color w:val="auto"/>
          <w:sz w:val="24"/>
          <w:szCs w:val="24"/>
          <w:highlight w:val="none"/>
        </w:rPr>
        <w:t>采购结果公告：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p>
    <w:p w14:paraId="7B770610">
      <w:pPr>
        <w:pStyle w:val="22"/>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三、质疑基本情况</w:t>
      </w:r>
    </w:p>
    <w:p w14:paraId="15836F7B">
      <w:pPr>
        <w:pStyle w:val="22"/>
        <w:spacing w:line="360" w:lineRule="auto"/>
        <w:ind w:firstLine="480" w:firstLineChars="200"/>
        <w:rPr>
          <w:rFonts w:hint="eastAsia" w:hAnsi="宋体"/>
          <w:color w:val="auto"/>
          <w:sz w:val="24"/>
          <w:szCs w:val="24"/>
          <w:highlight w:val="none"/>
        </w:rPr>
      </w:pPr>
      <w:r>
        <w:rPr>
          <w:rFonts w:hint="eastAsia" w:hAnsi="宋体"/>
          <w:color w:val="auto"/>
          <w:sz w:val="24"/>
          <w:szCs w:val="24"/>
          <w:highlight w:val="none"/>
        </w:rPr>
        <w:t>投诉人于年月日，向提出质疑，质疑事项为：</w:t>
      </w:r>
    </w:p>
    <w:p w14:paraId="470514D0">
      <w:pPr>
        <w:pStyle w:val="22"/>
        <w:spacing w:line="360" w:lineRule="auto"/>
        <w:ind w:firstLine="241"/>
        <w:rPr>
          <w:rFonts w:hint="eastAsia" w:hAnsi="宋体"/>
          <w:bCs/>
          <w:color w:val="auto"/>
          <w:sz w:val="24"/>
          <w:szCs w:val="24"/>
          <w:highlight w:val="none"/>
          <w:u w:val="single"/>
        </w:rPr>
      </w:pPr>
    </w:p>
    <w:p w14:paraId="51678BC0">
      <w:pPr>
        <w:pStyle w:val="22"/>
        <w:spacing w:line="360" w:lineRule="auto"/>
        <w:ind w:firstLine="241"/>
        <w:rPr>
          <w:rFonts w:hint="eastAsia" w:hAnsi="宋体"/>
          <w:bCs/>
          <w:color w:val="auto"/>
          <w:sz w:val="24"/>
          <w:szCs w:val="24"/>
          <w:highlight w:val="none"/>
          <w:u w:val="single"/>
        </w:rPr>
      </w:pPr>
    </w:p>
    <w:p w14:paraId="723FD734">
      <w:pPr>
        <w:pStyle w:val="22"/>
        <w:spacing w:line="360" w:lineRule="auto"/>
        <w:ind w:firstLine="480" w:firstLineChars="200"/>
        <w:rPr>
          <w:rFonts w:hint="eastAsia"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rPr>
        <w:t>年月日，</w:t>
      </w:r>
      <w:r>
        <w:rPr>
          <w:rFonts w:hint="eastAsia" w:hAnsi="宋体"/>
          <w:bCs/>
          <w:color w:val="auto"/>
          <w:sz w:val="24"/>
          <w:szCs w:val="24"/>
          <w:highlight w:val="none"/>
        </w:rPr>
        <w:t xml:space="preserve">就质疑事项作出了答复/没有在法定期限内作出答复。                                                                                             </w:t>
      </w:r>
    </w:p>
    <w:p w14:paraId="44ECFDBD">
      <w:pPr>
        <w:pStyle w:val="22"/>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四、投诉事项具体内容</w:t>
      </w:r>
    </w:p>
    <w:p w14:paraId="49477518">
      <w:pPr>
        <w:pStyle w:val="22"/>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投诉事项1：</w:t>
      </w:r>
    </w:p>
    <w:p w14:paraId="3D7C0FE0">
      <w:pPr>
        <w:pStyle w:val="22"/>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事实依据：</w:t>
      </w:r>
    </w:p>
    <w:p w14:paraId="5A33863C">
      <w:pPr>
        <w:pStyle w:val="22"/>
        <w:spacing w:line="360" w:lineRule="auto"/>
        <w:ind w:left="25" w:leftChars="12" w:firstLine="472" w:firstLineChars="197"/>
        <w:rPr>
          <w:rFonts w:hint="eastAsia" w:hAnsi="宋体"/>
          <w:color w:val="auto"/>
          <w:sz w:val="24"/>
          <w:szCs w:val="24"/>
          <w:highlight w:val="none"/>
        </w:rPr>
      </w:pPr>
    </w:p>
    <w:p w14:paraId="0AAB9182">
      <w:pPr>
        <w:pStyle w:val="22"/>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法律依据：</w:t>
      </w:r>
    </w:p>
    <w:p w14:paraId="3EBEB5C1">
      <w:pPr>
        <w:pStyle w:val="22"/>
        <w:spacing w:line="360" w:lineRule="auto"/>
        <w:ind w:left="25" w:leftChars="12" w:firstLine="352" w:firstLineChars="147"/>
        <w:rPr>
          <w:rFonts w:hint="eastAsia" w:hAnsi="宋体"/>
          <w:bCs/>
          <w:color w:val="auto"/>
          <w:sz w:val="24"/>
          <w:szCs w:val="24"/>
          <w:highlight w:val="none"/>
          <w:u w:val="single"/>
        </w:rPr>
      </w:pPr>
    </w:p>
    <w:p w14:paraId="4DC47D6B">
      <w:pPr>
        <w:pStyle w:val="22"/>
        <w:spacing w:line="360" w:lineRule="auto"/>
        <w:ind w:left="25" w:leftChars="12" w:firstLine="472" w:firstLineChars="197"/>
        <w:rPr>
          <w:rFonts w:hint="eastAsia" w:hAnsi="宋体"/>
          <w:bCs/>
          <w:color w:val="auto"/>
          <w:sz w:val="24"/>
          <w:szCs w:val="24"/>
          <w:highlight w:val="none"/>
        </w:rPr>
      </w:pPr>
      <w:r>
        <w:rPr>
          <w:rFonts w:hint="eastAsia" w:hAnsi="宋体"/>
          <w:color w:val="auto"/>
          <w:sz w:val="24"/>
          <w:szCs w:val="24"/>
          <w:highlight w:val="none"/>
        </w:rPr>
        <w:t xml:space="preserve">投诉事项2  </w:t>
      </w:r>
    </w:p>
    <w:p w14:paraId="0EAE33EF">
      <w:pPr>
        <w:pStyle w:val="22"/>
        <w:spacing w:line="360" w:lineRule="auto"/>
        <w:ind w:left="25" w:leftChars="12" w:firstLine="472" w:firstLineChars="197"/>
        <w:rPr>
          <w:rFonts w:hint="eastAsia" w:hAnsi="宋体"/>
          <w:bCs/>
          <w:color w:val="auto"/>
          <w:sz w:val="24"/>
          <w:szCs w:val="24"/>
          <w:highlight w:val="none"/>
        </w:rPr>
      </w:pPr>
      <w:r>
        <w:rPr>
          <w:rFonts w:hAnsi="宋体"/>
          <w:bCs/>
          <w:color w:val="auto"/>
          <w:sz w:val="24"/>
          <w:szCs w:val="24"/>
          <w:highlight w:val="none"/>
        </w:rPr>
        <w:t>……</w:t>
      </w:r>
    </w:p>
    <w:p w14:paraId="0316E9EF">
      <w:pPr>
        <w:pStyle w:val="22"/>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五、与投诉事项相关的投诉请求：</w:t>
      </w:r>
    </w:p>
    <w:p w14:paraId="2544F7CE">
      <w:pPr>
        <w:pStyle w:val="22"/>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请求：</w:t>
      </w:r>
    </w:p>
    <w:p w14:paraId="102C40FC">
      <w:pPr>
        <w:pStyle w:val="22"/>
        <w:spacing w:line="360" w:lineRule="auto"/>
        <w:ind w:left="25" w:leftChars="12" w:firstLine="352" w:firstLineChars="147"/>
        <w:rPr>
          <w:rFonts w:hint="eastAsia" w:hAnsi="宋体"/>
          <w:color w:val="auto"/>
          <w:sz w:val="24"/>
          <w:szCs w:val="24"/>
          <w:highlight w:val="none"/>
        </w:rPr>
      </w:pPr>
    </w:p>
    <w:p w14:paraId="3B350DE9">
      <w:pPr>
        <w:pStyle w:val="22"/>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签字（签章）：                                       公章：</w:t>
      </w:r>
    </w:p>
    <w:p w14:paraId="7E4FF217">
      <w:pPr>
        <w:pStyle w:val="22"/>
        <w:spacing w:line="360" w:lineRule="auto"/>
        <w:ind w:left="25" w:leftChars="12" w:firstLine="352" w:firstLineChars="147"/>
        <w:rPr>
          <w:rFonts w:hint="eastAsia" w:hAnsi="宋体"/>
          <w:color w:val="auto"/>
          <w:sz w:val="24"/>
          <w:szCs w:val="24"/>
          <w:highlight w:val="none"/>
        </w:rPr>
      </w:pPr>
    </w:p>
    <w:p w14:paraId="0D4D2D12">
      <w:pPr>
        <w:pStyle w:val="22"/>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日期：</w:t>
      </w:r>
    </w:p>
    <w:p w14:paraId="3E60E4CD">
      <w:pPr>
        <w:pStyle w:val="22"/>
        <w:spacing w:line="360" w:lineRule="auto"/>
        <w:ind w:left="25" w:leftChars="12" w:firstLine="475" w:firstLineChars="197"/>
        <w:rPr>
          <w:rFonts w:hint="eastAsia" w:hAnsi="宋体"/>
          <w:b/>
          <w:color w:val="auto"/>
          <w:sz w:val="24"/>
          <w:szCs w:val="24"/>
          <w:highlight w:val="none"/>
        </w:rPr>
      </w:pPr>
    </w:p>
    <w:p w14:paraId="342636A9">
      <w:pPr>
        <w:pStyle w:val="22"/>
        <w:snapToGrid w:val="0"/>
        <w:spacing w:line="360" w:lineRule="auto"/>
        <w:rPr>
          <w:rFonts w:hint="eastAsia" w:hAnsi="宋体"/>
          <w:b/>
          <w:color w:val="auto"/>
          <w:sz w:val="24"/>
          <w:szCs w:val="24"/>
          <w:highlight w:val="none"/>
        </w:rPr>
      </w:pPr>
      <w:r>
        <w:rPr>
          <w:rFonts w:hint="eastAsia" w:hAnsi="宋体"/>
          <w:b/>
          <w:color w:val="auto"/>
          <w:sz w:val="24"/>
          <w:szCs w:val="24"/>
          <w:highlight w:val="none"/>
        </w:rPr>
        <w:t>说明：</w:t>
      </w:r>
    </w:p>
    <w:p w14:paraId="0DC57C53">
      <w:pPr>
        <w:pStyle w:val="22"/>
        <w:spacing w:line="360" w:lineRule="auto"/>
        <w:ind w:left="25" w:leftChars="12" w:firstLine="354" w:firstLineChars="147"/>
        <w:rPr>
          <w:rFonts w:hint="eastAsia"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68E2E1AB">
      <w:pPr>
        <w:pStyle w:val="22"/>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6BF6AC06">
      <w:pPr>
        <w:pStyle w:val="22"/>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3A3DF1E0">
      <w:pPr>
        <w:pStyle w:val="22"/>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44148AB9">
      <w:pPr>
        <w:pStyle w:val="22"/>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5.投诉书的投诉请求应与投诉事项相关。</w:t>
      </w:r>
    </w:p>
    <w:p w14:paraId="612C259C">
      <w:pPr>
        <w:pStyle w:val="22"/>
        <w:spacing w:line="360" w:lineRule="auto"/>
        <w:ind w:left="25" w:leftChars="12" w:firstLine="354" w:firstLineChars="147"/>
        <w:rPr>
          <w:rFonts w:hint="eastAsia" w:hAnsi="宋体"/>
          <w:b/>
          <w:color w:val="auto"/>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p w14:paraId="0A5744BD">
      <w:pPr>
        <w:pStyle w:val="2"/>
        <w:jc w:val="center"/>
        <w:rPr>
          <w:color w:val="auto"/>
          <w:highlight w:val="none"/>
        </w:rPr>
      </w:pPr>
      <w:bookmarkStart w:id="98" w:name="_Toc74323461"/>
      <w:r>
        <w:rPr>
          <w:rFonts w:hint="eastAsia"/>
          <w:color w:val="auto"/>
          <w:highlight w:val="none"/>
        </w:rPr>
        <w:t>第六章合同文本</w:t>
      </w:r>
      <w:bookmarkEnd w:id="98"/>
    </w:p>
    <w:p w14:paraId="5964B09E">
      <w:pPr>
        <w:jc w:val="center"/>
        <w:rPr>
          <w:b/>
          <w:bCs/>
          <w:color w:val="auto"/>
          <w:sz w:val="28"/>
          <w:szCs w:val="36"/>
          <w:highlight w:val="none"/>
        </w:rPr>
      </w:pPr>
      <w:bookmarkStart w:id="99" w:name="_Toc7000"/>
      <w:r>
        <w:rPr>
          <w:b/>
          <w:bCs/>
          <w:color w:val="auto"/>
          <w:sz w:val="28"/>
          <w:szCs w:val="36"/>
          <w:highlight w:val="none"/>
        </w:rPr>
        <w:t>采购合同（格式）</w:t>
      </w:r>
    </w:p>
    <w:p w14:paraId="1A469FC0">
      <w:pPr>
        <w:jc w:val="center"/>
        <w:rPr>
          <w:rFonts w:hint="eastAsia" w:ascii="宋体" w:hAnsi="宋体"/>
          <w:color w:val="auto"/>
          <w:sz w:val="28"/>
          <w:szCs w:val="28"/>
          <w:highlight w:val="none"/>
        </w:rPr>
      </w:pPr>
      <w:r>
        <w:rPr>
          <w:rFonts w:hint="eastAsia" w:ascii="宋体" w:hAnsi="宋体"/>
          <w:color w:val="auto"/>
          <w:sz w:val="28"/>
          <w:szCs w:val="28"/>
          <w:highlight w:val="none"/>
        </w:rPr>
        <w:t>（适用服务类）</w:t>
      </w:r>
    </w:p>
    <w:p w14:paraId="31875DEA">
      <w:pPr>
        <w:spacing w:line="360" w:lineRule="auto"/>
        <w:rPr>
          <w:rFonts w:hint="eastAsia" w:ascii="宋体" w:hAnsi="宋体"/>
          <w:bCs/>
          <w:color w:val="auto"/>
          <w:szCs w:val="21"/>
          <w:highlight w:val="none"/>
          <w:u w:val="single"/>
        </w:rPr>
      </w:pPr>
      <w:r>
        <w:rPr>
          <w:rFonts w:hint="eastAsia" w:ascii="宋体" w:hAnsi="宋体"/>
          <w:bCs/>
          <w:color w:val="auto"/>
          <w:szCs w:val="21"/>
          <w:highlight w:val="none"/>
        </w:rPr>
        <w:t>合同编号：</w:t>
      </w:r>
      <w:r>
        <w:rPr>
          <w:rFonts w:hint="eastAsia" w:ascii="宋体" w:hAnsi="宋体"/>
          <w:bCs/>
          <w:color w:val="auto"/>
          <w:szCs w:val="21"/>
          <w:highlight w:val="none"/>
          <w:u w:val="single"/>
        </w:rPr>
        <w:t xml:space="preserve">                   </w:t>
      </w:r>
    </w:p>
    <w:p w14:paraId="5F8B91FA">
      <w:pPr>
        <w:spacing w:line="360" w:lineRule="auto"/>
        <w:rPr>
          <w:rFonts w:hint="eastAsia" w:ascii="宋体" w:hAnsi="宋体"/>
          <w:color w:val="auto"/>
          <w:szCs w:val="21"/>
          <w:highlight w:val="none"/>
        </w:rPr>
      </w:pPr>
    </w:p>
    <w:p w14:paraId="1A10D2FC">
      <w:pPr>
        <w:spacing w:line="360" w:lineRule="auto"/>
        <w:rPr>
          <w:rFonts w:hint="eastAsia" w:ascii="宋体" w:hAnsi="宋体"/>
          <w:color w:val="auto"/>
          <w:szCs w:val="21"/>
          <w:highlight w:val="none"/>
          <w:u w:val="single"/>
        </w:rPr>
      </w:pPr>
      <w:r>
        <w:rPr>
          <w:rFonts w:hint="eastAsia" w:ascii="宋体" w:hAnsi="宋体"/>
          <w:color w:val="auto"/>
          <w:szCs w:val="21"/>
          <w:highlight w:val="none"/>
        </w:rPr>
        <w:t>采购单位（甲方）</w:t>
      </w:r>
      <w:r>
        <w:rPr>
          <w:rFonts w:hint="eastAsia" w:ascii="宋体" w:hAnsi="宋体"/>
          <w:color w:val="auto"/>
          <w:szCs w:val="21"/>
          <w:highlight w:val="none"/>
          <w:u w:val="single"/>
          <w:lang w:eastAsia="zh-CN"/>
        </w:rPr>
        <w:t>广西壮族自治区就业服务中心</w:t>
      </w:r>
      <w:r>
        <w:rPr>
          <w:rFonts w:hint="eastAsia" w:ascii="宋体" w:hAnsi="宋体"/>
          <w:color w:val="auto"/>
          <w:szCs w:val="21"/>
          <w:highlight w:val="none"/>
        </w:rPr>
        <w:t xml:space="preserve">       </w:t>
      </w:r>
      <w:r>
        <w:rPr>
          <w:rFonts w:hint="eastAsia" w:ascii="宋体" w:hAnsi="宋体"/>
          <w:color w:val="auto"/>
          <w:spacing w:val="-20"/>
          <w:szCs w:val="21"/>
          <w:highlight w:val="none"/>
        </w:rPr>
        <w:t>采 购 计 划 号</w:t>
      </w:r>
      <w:r>
        <w:rPr>
          <w:rFonts w:hint="eastAsia" w:ascii="宋体" w:hAnsi="宋体"/>
          <w:color w:val="auto"/>
          <w:szCs w:val="21"/>
          <w:highlight w:val="none"/>
          <w:u w:val="single"/>
        </w:rPr>
        <w:t xml:space="preserve">                        </w:t>
      </w:r>
    </w:p>
    <w:p w14:paraId="6AC9E0AA">
      <w:pPr>
        <w:spacing w:line="360" w:lineRule="auto"/>
        <w:rPr>
          <w:rFonts w:hint="eastAsia" w:ascii="宋体" w:hAnsi="宋体"/>
          <w:color w:val="auto"/>
          <w:szCs w:val="21"/>
          <w:highlight w:val="none"/>
          <w:u w:val="single"/>
        </w:rPr>
      </w:pPr>
      <w:r>
        <w:rPr>
          <w:rFonts w:hint="eastAsia" w:ascii="宋体" w:hAnsi="宋体"/>
          <w:color w:val="auto"/>
          <w:szCs w:val="21"/>
          <w:highlight w:val="none"/>
        </w:rPr>
        <w:t>供 应 商（乙方）</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r>
        <w:rPr>
          <w:rFonts w:hint="eastAsia" w:ascii="宋体" w:hAnsi="宋体"/>
          <w:color w:val="auto"/>
          <w:spacing w:val="-20"/>
          <w:szCs w:val="21"/>
          <w:highlight w:val="none"/>
        </w:rPr>
        <w:t xml:space="preserve">采 </w:t>
      </w:r>
      <w:r>
        <w:rPr>
          <w:rFonts w:ascii="宋体" w:hAnsi="宋体"/>
          <w:color w:val="auto"/>
          <w:spacing w:val="-20"/>
          <w:szCs w:val="21"/>
          <w:highlight w:val="none"/>
        </w:rPr>
        <w:t xml:space="preserve"> </w:t>
      </w:r>
      <w:r>
        <w:rPr>
          <w:rFonts w:hint="eastAsia" w:ascii="宋体" w:hAnsi="宋体"/>
          <w:color w:val="auto"/>
          <w:spacing w:val="-20"/>
          <w:szCs w:val="21"/>
          <w:highlight w:val="none"/>
        </w:rPr>
        <w:t xml:space="preserve">购 </w:t>
      </w:r>
      <w:r>
        <w:rPr>
          <w:rFonts w:ascii="宋体" w:hAnsi="宋体"/>
          <w:color w:val="auto"/>
          <w:spacing w:val="-20"/>
          <w:szCs w:val="21"/>
          <w:highlight w:val="none"/>
        </w:rPr>
        <w:t xml:space="preserve"> </w:t>
      </w:r>
      <w:r>
        <w:rPr>
          <w:rFonts w:hint="eastAsia" w:ascii="宋体" w:hAnsi="宋体"/>
          <w:color w:val="auto"/>
          <w:spacing w:val="-20"/>
          <w:szCs w:val="21"/>
          <w:highlight w:val="none"/>
        </w:rPr>
        <w:t>编  号</w:t>
      </w:r>
      <w:r>
        <w:rPr>
          <w:rFonts w:hint="eastAsia" w:ascii="宋体" w:hAnsi="宋体"/>
          <w:color w:val="auto"/>
          <w:szCs w:val="21"/>
          <w:highlight w:val="none"/>
          <w:u w:val="single"/>
        </w:rPr>
        <w:t xml:space="preserve">                         </w:t>
      </w:r>
    </w:p>
    <w:p w14:paraId="292E0E52">
      <w:pPr>
        <w:spacing w:line="360" w:lineRule="auto"/>
        <w:rPr>
          <w:rFonts w:hint="eastAsia" w:ascii="宋体" w:hAnsi="宋体"/>
          <w:color w:val="auto"/>
          <w:szCs w:val="21"/>
          <w:highlight w:val="none"/>
          <w:u w:val="single"/>
        </w:rPr>
      </w:pPr>
      <w:r>
        <w:rPr>
          <w:rFonts w:hint="eastAsia" w:ascii="宋体" w:hAnsi="宋体"/>
          <w:color w:val="auto"/>
          <w:szCs w:val="21"/>
          <w:highlight w:val="none"/>
        </w:rPr>
        <w:t xml:space="preserve">签  订  地  点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签 订 时 间</w:t>
      </w:r>
      <w:r>
        <w:rPr>
          <w:rFonts w:hint="eastAsia" w:ascii="宋体" w:hAnsi="宋体"/>
          <w:color w:val="auto"/>
          <w:szCs w:val="21"/>
          <w:highlight w:val="none"/>
          <w:u w:val="single"/>
        </w:rPr>
        <w:t xml:space="preserve">                        </w:t>
      </w:r>
    </w:p>
    <w:p w14:paraId="13A05695">
      <w:pPr>
        <w:spacing w:line="360" w:lineRule="auto"/>
        <w:rPr>
          <w:rFonts w:hint="eastAsia" w:ascii="宋体" w:hAnsi="宋体"/>
          <w:color w:val="auto"/>
          <w:szCs w:val="21"/>
          <w:highlight w:val="none"/>
        </w:rPr>
      </w:pPr>
    </w:p>
    <w:p w14:paraId="550C9404">
      <w:pPr>
        <w:spacing w:line="360" w:lineRule="auto"/>
        <w:ind w:firstLine="420" w:firstLineChars="200"/>
        <w:rPr>
          <w:rFonts w:hint="eastAsia" w:ascii="宋体" w:hAnsi="宋体"/>
          <w:b/>
          <w:color w:val="auto"/>
          <w:szCs w:val="21"/>
          <w:highlight w:val="none"/>
        </w:rPr>
      </w:pPr>
      <w:r>
        <w:rPr>
          <w:rFonts w:hint="eastAsia" w:hAnsi="宋体"/>
          <w:color w:val="auto"/>
          <w:szCs w:val="21"/>
          <w:highlight w:val="none"/>
        </w:rPr>
        <w:t>根据《中华人民共和国政府采购法》、《中华人民共和国民法典》等法律、法规规定，按照竞争性磋商文件（以下简称“磋商文件”）规定条款和乙方竞争性磋商响应文件（以下简称“响应文件”）及其承诺，甲乙双方签订本合同</w:t>
      </w:r>
      <w:r>
        <w:rPr>
          <w:rFonts w:hint="eastAsia"/>
          <w:color w:val="auto"/>
          <w:szCs w:val="21"/>
          <w:highlight w:val="none"/>
        </w:rPr>
        <w:t>。</w:t>
      </w:r>
    </w:p>
    <w:p w14:paraId="3521A7E6">
      <w:pPr>
        <w:spacing w:line="360" w:lineRule="auto"/>
        <w:rPr>
          <w:rFonts w:hint="eastAsia" w:ascii="宋体" w:hAnsi="宋体"/>
          <w:b/>
          <w:color w:val="auto"/>
          <w:szCs w:val="21"/>
          <w:highlight w:val="none"/>
        </w:rPr>
      </w:pPr>
      <w:r>
        <w:rPr>
          <w:rFonts w:hint="eastAsia" w:ascii="宋体" w:hAnsi="宋体"/>
          <w:b/>
          <w:color w:val="auto"/>
          <w:szCs w:val="21"/>
          <w:highlight w:val="none"/>
        </w:rPr>
        <w:t>第一条　合同标的</w:t>
      </w:r>
    </w:p>
    <w:p w14:paraId="3D3BC1E6">
      <w:pPr>
        <w:spacing w:line="360" w:lineRule="auto"/>
        <w:rPr>
          <w:rFonts w:hint="eastAsia" w:ascii="宋体" w:hAnsi="宋体"/>
          <w:color w:val="auto"/>
          <w:szCs w:val="21"/>
          <w:highlight w:val="none"/>
        </w:rPr>
      </w:pPr>
      <w:r>
        <w:rPr>
          <w:rFonts w:hint="eastAsia" w:ascii="宋体" w:hAnsi="宋体"/>
          <w:color w:val="auto"/>
          <w:szCs w:val="21"/>
          <w:highlight w:val="none"/>
        </w:rPr>
        <w:t>1、项目一览表</w:t>
      </w:r>
    </w:p>
    <w:tbl>
      <w:tblPr>
        <w:tblStyle w:val="36"/>
        <w:tblW w:w="93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03"/>
        <w:gridCol w:w="2040"/>
        <w:gridCol w:w="914"/>
        <w:gridCol w:w="1083"/>
        <w:gridCol w:w="1440"/>
        <w:gridCol w:w="1260"/>
      </w:tblGrid>
      <w:tr w14:paraId="2EC4C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vAlign w:val="center"/>
          </w:tcPr>
          <w:p w14:paraId="6DE021EB">
            <w:pPr>
              <w:spacing w:line="360" w:lineRule="auto"/>
              <w:jc w:val="center"/>
              <w:rPr>
                <w:rFonts w:hint="eastAsia" w:ascii="宋体" w:hAnsi="宋体"/>
                <w:color w:val="auto"/>
                <w:szCs w:val="21"/>
                <w:highlight w:val="none"/>
              </w:rPr>
            </w:pPr>
            <w:r>
              <w:rPr>
                <w:rFonts w:hint="eastAsia" w:ascii="宋体" w:hAnsi="宋体"/>
                <w:color w:val="auto"/>
                <w:szCs w:val="21"/>
                <w:highlight w:val="none"/>
              </w:rPr>
              <w:t>序号</w:t>
            </w:r>
          </w:p>
        </w:tc>
        <w:tc>
          <w:tcPr>
            <w:tcW w:w="1903" w:type="dxa"/>
            <w:vAlign w:val="center"/>
          </w:tcPr>
          <w:p w14:paraId="78178C09">
            <w:pPr>
              <w:spacing w:line="360" w:lineRule="auto"/>
              <w:jc w:val="center"/>
              <w:rPr>
                <w:rFonts w:hint="eastAsia" w:ascii="宋体" w:hAnsi="宋体"/>
                <w:color w:val="auto"/>
                <w:szCs w:val="21"/>
                <w:highlight w:val="none"/>
              </w:rPr>
            </w:pPr>
            <w:r>
              <w:rPr>
                <w:rFonts w:hint="eastAsia" w:ascii="宋体" w:hAnsi="宋体"/>
                <w:color w:val="auto"/>
                <w:szCs w:val="21"/>
                <w:highlight w:val="none"/>
              </w:rPr>
              <w:t>服务内容</w:t>
            </w:r>
          </w:p>
        </w:tc>
        <w:tc>
          <w:tcPr>
            <w:tcW w:w="2040" w:type="dxa"/>
            <w:vAlign w:val="center"/>
          </w:tcPr>
          <w:p w14:paraId="4D526725">
            <w:pPr>
              <w:spacing w:line="360" w:lineRule="auto"/>
              <w:jc w:val="center"/>
              <w:rPr>
                <w:rFonts w:hint="eastAsia" w:ascii="宋体" w:hAnsi="宋体"/>
                <w:color w:val="auto"/>
                <w:szCs w:val="21"/>
                <w:highlight w:val="none"/>
              </w:rPr>
            </w:pPr>
            <w:r>
              <w:rPr>
                <w:rFonts w:hint="eastAsia" w:hAnsi="宋体"/>
                <w:color w:val="auto"/>
                <w:szCs w:val="21"/>
                <w:highlight w:val="none"/>
              </w:rPr>
              <w:t>服务项目要求(或技术参数需求)</w:t>
            </w:r>
          </w:p>
        </w:tc>
        <w:tc>
          <w:tcPr>
            <w:tcW w:w="914" w:type="dxa"/>
            <w:vAlign w:val="center"/>
          </w:tcPr>
          <w:p w14:paraId="07C710CD">
            <w:pPr>
              <w:spacing w:line="360" w:lineRule="auto"/>
              <w:jc w:val="center"/>
              <w:rPr>
                <w:rFonts w:hint="eastAsia" w:ascii="宋体" w:hAnsi="宋体"/>
                <w:color w:val="auto"/>
                <w:szCs w:val="21"/>
                <w:highlight w:val="none"/>
              </w:rPr>
            </w:pPr>
            <w:r>
              <w:rPr>
                <w:rFonts w:hint="eastAsia" w:ascii="宋体" w:hAnsi="宋体"/>
                <w:color w:val="auto"/>
                <w:szCs w:val="21"/>
                <w:highlight w:val="none"/>
              </w:rPr>
              <w:t>数量</w:t>
            </w:r>
          </w:p>
        </w:tc>
        <w:tc>
          <w:tcPr>
            <w:tcW w:w="1083" w:type="dxa"/>
            <w:vAlign w:val="center"/>
          </w:tcPr>
          <w:p w14:paraId="46368855">
            <w:pPr>
              <w:spacing w:line="360" w:lineRule="auto"/>
              <w:jc w:val="center"/>
              <w:rPr>
                <w:rFonts w:hint="eastAsia" w:ascii="宋体" w:hAnsi="宋体"/>
                <w:color w:val="auto"/>
                <w:szCs w:val="21"/>
                <w:highlight w:val="none"/>
              </w:rPr>
            </w:pPr>
            <w:r>
              <w:rPr>
                <w:rFonts w:hint="eastAsia" w:ascii="宋体" w:hAnsi="宋体"/>
                <w:color w:val="auto"/>
                <w:szCs w:val="21"/>
                <w:highlight w:val="none"/>
              </w:rPr>
              <w:t>单位</w:t>
            </w:r>
          </w:p>
        </w:tc>
        <w:tc>
          <w:tcPr>
            <w:tcW w:w="1440" w:type="dxa"/>
            <w:vAlign w:val="center"/>
          </w:tcPr>
          <w:p w14:paraId="73ED9983">
            <w:pPr>
              <w:spacing w:line="360" w:lineRule="auto"/>
              <w:jc w:val="center"/>
              <w:rPr>
                <w:rFonts w:hint="eastAsia" w:ascii="宋体" w:hAnsi="宋体"/>
                <w:color w:val="auto"/>
                <w:szCs w:val="21"/>
                <w:highlight w:val="none"/>
              </w:rPr>
            </w:pPr>
            <w:r>
              <w:rPr>
                <w:rFonts w:hint="eastAsia" w:ascii="宋体" w:hAnsi="宋体"/>
                <w:color w:val="auto"/>
                <w:szCs w:val="21"/>
                <w:highlight w:val="none"/>
              </w:rPr>
              <w:t>单  价</w:t>
            </w:r>
          </w:p>
          <w:p w14:paraId="5F6668D7">
            <w:pPr>
              <w:spacing w:line="360" w:lineRule="auto"/>
              <w:jc w:val="center"/>
              <w:rPr>
                <w:rFonts w:hint="eastAsia" w:ascii="宋体" w:hAnsi="宋体"/>
                <w:color w:val="auto"/>
                <w:szCs w:val="21"/>
                <w:highlight w:val="none"/>
              </w:rPr>
            </w:pPr>
            <w:r>
              <w:rPr>
                <w:rFonts w:hint="eastAsia" w:ascii="宋体" w:hAnsi="宋体"/>
                <w:color w:val="auto"/>
                <w:szCs w:val="21"/>
                <w:highlight w:val="none"/>
              </w:rPr>
              <w:t>（元）</w:t>
            </w:r>
          </w:p>
        </w:tc>
        <w:tc>
          <w:tcPr>
            <w:tcW w:w="1260" w:type="dxa"/>
            <w:vAlign w:val="center"/>
          </w:tcPr>
          <w:p w14:paraId="6B72D2BC">
            <w:pPr>
              <w:spacing w:line="360" w:lineRule="auto"/>
              <w:jc w:val="center"/>
              <w:rPr>
                <w:rFonts w:hint="eastAsia" w:ascii="宋体" w:hAnsi="宋体"/>
                <w:color w:val="auto"/>
                <w:szCs w:val="21"/>
                <w:highlight w:val="none"/>
              </w:rPr>
            </w:pPr>
            <w:r>
              <w:rPr>
                <w:rFonts w:hint="eastAsia" w:ascii="宋体" w:hAnsi="宋体"/>
                <w:color w:val="auto"/>
                <w:szCs w:val="21"/>
                <w:highlight w:val="none"/>
              </w:rPr>
              <w:t>金  额</w:t>
            </w:r>
          </w:p>
          <w:p w14:paraId="5BF46E77">
            <w:pPr>
              <w:spacing w:line="360" w:lineRule="auto"/>
              <w:jc w:val="center"/>
              <w:rPr>
                <w:rFonts w:hint="eastAsia" w:ascii="宋体" w:hAnsi="宋体"/>
                <w:color w:val="auto"/>
                <w:szCs w:val="21"/>
                <w:highlight w:val="none"/>
              </w:rPr>
            </w:pPr>
            <w:r>
              <w:rPr>
                <w:rFonts w:hint="eastAsia" w:ascii="宋体" w:hAnsi="宋体"/>
                <w:color w:val="auto"/>
                <w:szCs w:val="21"/>
                <w:highlight w:val="none"/>
              </w:rPr>
              <w:t>（元）</w:t>
            </w:r>
          </w:p>
        </w:tc>
      </w:tr>
      <w:tr w14:paraId="62F35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20" w:type="dxa"/>
            <w:vAlign w:val="center"/>
          </w:tcPr>
          <w:p w14:paraId="0C280548">
            <w:pPr>
              <w:spacing w:line="360" w:lineRule="auto"/>
              <w:jc w:val="center"/>
              <w:rPr>
                <w:rFonts w:hint="eastAsia" w:ascii="宋体" w:hAnsi="宋体"/>
                <w:color w:val="auto"/>
                <w:szCs w:val="21"/>
                <w:highlight w:val="none"/>
              </w:rPr>
            </w:pPr>
            <w:r>
              <w:rPr>
                <w:rFonts w:hint="eastAsia" w:ascii="宋体" w:hAnsi="宋体"/>
                <w:color w:val="auto"/>
                <w:szCs w:val="21"/>
                <w:highlight w:val="none"/>
              </w:rPr>
              <w:t>1</w:t>
            </w:r>
          </w:p>
        </w:tc>
        <w:tc>
          <w:tcPr>
            <w:tcW w:w="1903" w:type="dxa"/>
            <w:vAlign w:val="center"/>
          </w:tcPr>
          <w:p w14:paraId="5D808874">
            <w:pPr>
              <w:spacing w:line="360" w:lineRule="auto"/>
              <w:jc w:val="cente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服务重点群体就业系列招聘活动项目</w:t>
            </w:r>
          </w:p>
        </w:tc>
        <w:tc>
          <w:tcPr>
            <w:tcW w:w="2040" w:type="dxa"/>
            <w:vAlign w:val="center"/>
          </w:tcPr>
          <w:p w14:paraId="54EEFE1E">
            <w:pPr>
              <w:spacing w:line="360" w:lineRule="auto"/>
              <w:jc w:val="center"/>
              <w:rPr>
                <w:rFonts w:hint="eastAsia" w:ascii="宋体" w:hAnsi="宋体"/>
                <w:color w:val="auto"/>
                <w:szCs w:val="21"/>
                <w:highlight w:val="none"/>
              </w:rPr>
            </w:pPr>
            <w:r>
              <w:rPr>
                <w:rFonts w:hint="eastAsia" w:ascii="宋体" w:hAnsi="宋体"/>
                <w:color w:val="auto"/>
                <w:szCs w:val="21"/>
                <w:highlight w:val="none"/>
              </w:rPr>
              <w:t>详见磋商文件和响应文件，按磋商文件要求和响应文件内容实施服务。</w:t>
            </w:r>
          </w:p>
        </w:tc>
        <w:tc>
          <w:tcPr>
            <w:tcW w:w="914" w:type="dxa"/>
            <w:vAlign w:val="center"/>
          </w:tcPr>
          <w:p w14:paraId="4A438EB9">
            <w:pPr>
              <w:spacing w:line="360" w:lineRule="auto"/>
              <w:jc w:val="center"/>
              <w:rPr>
                <w:rFonts w:hint="eastAsia" w:ascii="宋体" w:hAnsi="宋体"/>
                <w:color w:val="auto"/>
                <w:szCs w:val="21"/>
                <w:highlight w:val="none"/>
              </w:rPr>
            </w:pPr>
            <w:r>
              <w:rPr>
                <w:rFonts w:hint="eastAsia" w:ascii="宋体" w:hAnsi="宋体"/>
                <w:color w:val="auto"/>
                <w:szCs w:val="21"/>
                <w:highlight w:val="none"/>
              </w:rPr>
              <w:t>1</w:t>
            </w:r>
          </w:p>
        </w:tc>
        <w:tc>
          <w:tcPr>
            <w:tcW w:w="1083" w:type="dxa"/>
            <w:vAlign w:val="center"/>
          </w:tcPr>
          <w:p w14:paraId="6CCFA6E1">
            <w:pPr>
              <w:spacing w:line="360" w:lineRule="auto"/>
              <w:jc w:val="center"/>
              <w:rPr>
                <w:rFonts w:hint="eastAsia" w:ascii="宋体" w:hAnsi="宋体"/>
                <w:color w:val="auto"/>
                <w:szCs w:val="21"/>
                <w:highlight w:val="none"/>
              </w:rPr>
            </w:pPr>
            <w:r>
              <w:rPr>
                <w:rFonts w:hint="eastAsia" w:ascii="宋体" w:hAnsi="宋体"/>
                <w:color w:val="auto"/>
                <w:szCs w:val="21"/>
                <w:highlight w:val="none"/>
              </w:rPr>
              <w:t>项</w:t>
            </w:r>
          </w:p>
        </w:tc>
        <w:tc>
          <w:tcPr>
            <w:tcW w:w="1440" w:type="dxa"/>
            <w:vAlign w:val="center"/>
          </w:tcPr>
          <w:p w14:paraId="2B58D42C">
            <w:pPr>
              <w:spacing w:line="360" w:lineRule="auto"/>
              <w:jc w:val="center"/>
              <w:rPr>
                <w:rFonts w:hint="eastAsia" w:ascii="宋体" w:hAnsi="宋体"/>
                <w:color w:val="auto"/>
                <w:szCs w:val="21"/>
                <w:highlight w:val="none"/>
              </w:rPr>
            </w:pPr>
          </w:p>
        </w:tc>
        <w:tc>
          <w:tcPr>
            <w:tcW w:w="1260" w:type="dxa"/>
            <w:vAlign w:val="center"/>
          </w:tcPr>
          <w:p w14:paraId="3D483028">
            <w:pPr>
              <w:spacing w:line="360" w:lineRule="auto"/>
              <w:jc w:val="center"/>
              <w:rPr>
                <w:rFonts w:hint="eastAsia" w:ascii="宋体" w:hAnsi="宋体"/>
                <w:color w:val="auto"/>
                <w:szCs w:val="21"/>
                <w:highlight w:val="none"/>
              </w:rPr>
            </w:pPr>
          </w:p>
        </w:tc>
      </w:tr>
      <w:tr w14:paraId="51B80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360" w:type="dxa"/>
            <w:gridSpan w:val="7"/>
            <w:vAlign w:val="center"/>
          </w:tcPr>
          <w:p w14:paraId="4AE69A03">
            <w:pPr>
              <w:spacing w:line="360" w:lineRule="auto"/>
              <w:rPr>
                <w:rFonts w:hint="eastAsia" w:ascii="宋体" w:hAnsi="宋体"/>
                <w:color w:val="auto"/>
                <w:szCs w:val="21"/>
                <w:highlight w:val="none"/>
              </w:rPr>
            </w:pPr>
            <w:r>
              <w:rPr>
                <w:rFonts w:hint="eastAsia" w:ascii="宋体" w:hAnsi="宋体"/>
                <w:color w:val="auto"/>
                <w:szCs w:val="21"/>
                <w:highlight w:val="none"/>
              </w:rPr>
              <w:t>人民币合计金额（大写）          （小写￥）</w:t>
            </w:r>
          </w:p>
        </w:tc>
      </w:tr>
    </w:tbl>
    <w:p w14:paraId="137F2E6C">
      <w:pPr>
        <w:spacing w:line="360" w:lineRule="auto"/>
        <w:ind w:firstLine="420" w:firstLineChars="200"/>
        <w:rPr>
          <w:rFonts w:hint="eastAsia" w:ascii="宋体" w:hAnsi="宋体"/>
          <w:b/>
          <w:color w:val="auto"/>
          <w:szCs w:val="21"/>
          <w:highlight w:val="none"/>
        </w:rPr>
      </w:pPr>
      <w:r>
        <w:rPr>
          <w:rFonts w:hint="eastAsia" w:ascii="宋体" w:hAnsi="宋体"/>
          <w:color w:val="auto"/>
          <w:szCs w:val="21"/>
          <w:highlight w:val="none"/>
        </w:rPr>
        <w:t>2、合同合计金额包括本项目服务实施全过程中所需的所有费用，包括但不限于服务价款，活动场地的规划设计及布置、搭建及撤场费用、设备租赁及保管费、运输装卸费、相关工作人员劳务费、物料设计及制作、配件及辅助材料费、活动相关文件及证书印制费、宣传费、公证费、安装调试、技术支持、培训、售后服务、保险费用和各项税金等全部费用，完成本项目所需的一切工作内容而发生的所有直接费用、间接费用、其它费用，执行本次服务所需的人工、设备、交通、劳保等一切相关费用。如磋商文件、响应文件对其另有规定的，从其规定。</w:t>
      </w:r>
    </w:p>
    <w:p w14:paraId="75CFC44F">
      <w:pPr>
        <w:spacing w:line="360" w:lineRule="auto"/>
        <w:rPr>
          <w:rFonts w:hint="eastAsia" w:ascii="宋体" w:hAnsi="宋体"/>
          <w:color w:val="auto"/>
          <w:szCs w:val="21"/>
          <w:highlight w:val="none"/>
        </w:rPr>
      </w:pPr>
      <w:r>
        <w:rPr>
          <w:rFonts w:hint="eastAsia" w:ascii="宋体" w:hAnsi="宋体"/>
          <w:b/>
          <w:color w:val="auto"/>
          <w:szCs w:val="21"/>
          <w:highlight w:val="none"/>
        </w:rPr>
        <w:t>第二条　质量保证</w:t>
      </w:r>
    </w:p>
    <w:p w14:paraId="564AB2D7">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1、乙方所提供的服务内容、技术规格、技术参数等质量必须与磋商文件和响应文件承诺相一致，有国家标准</w:t>
      </w:r>
      <w:r>
        <w:rPr>
          <w:rFonts w:ascii="宋体" w:hAnsi="宋体" w:cs="宋体"/>
          <w:color w:val="auto"/>
          <w:szCs w:val="21"/>
          <w:highlight w:val="none"/>
        </w:rPr>
        <w:t>的</w:t>
      </w:r>
      <w:r>
        <w:rPr>
          <w:rFonts w:hint="eastAsia" w:ascii="宋体" w:hAnsi="宋体" w:cs="宋体"/>
          <w:color w:val="auto"/>
          <w:szCs w:val="21"/>
          <w:highlight w:val="none"/>
        </w:rPr>
        <w:t>，还必须符合国家标准的规定，没有国家标准</w:t>
      </w:r>
      <w:r>
        <w:rPr>
          <w:rFonts w:ascii="宋体" w:hAnsi="宋体" w:cs="宋体"/>
          <w:color w:val="auto"/>
          <w:szCs w:val="21"/>
          <w:highlight w:val="none"/>
        </w:rPr>
        <w:t>的</w:t>
      </w:r>
      <w:r>
        <w:rPr>
          <w:rFonts w:hint="eastAsia" w:ascii="宋体" w:hAnsi="宋体" w:cs="宋体"/>
          <w:color w:val="auto"/>
          <w:szCs w:val="21"/>
          <w:highlight w:val="none"/>
        </w:rPr>
        <w:t>，有其他强制性标准的，必须符合其他强制性标准的规定。</w:t>
      </w:r>
    </w:p>
    <w:p w14:paraId="4A9E49D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2、乙方所提供服务及其成果</w:t>
      </w:r>
      <w:r>
        <w:rPr>
          <w:rFonts w:ascii="宋体" w:hAnsi="宋体" w:cs="宋体"/>
          <w:color w:val="auto"/>
          <w:szCs w:val="21"/>
          <w:highlight w:val="none"/>
        </w:rPr>
        <w:t>的</w:t>
      </w:r>
      <w:r>
        <w:rPr>
          <w:rFonts w:hint="eastAsia" w:ascii="宋体" w:hAnsi="宋体" w:cs="宋体"/>
          <w:color w:val="auto"/>
          <w:szCs w:val="21"/>
          <w:highlight w:val="none"/>
        </w:rPr>
        <w:t>质量应达到磋商文件要求和响应文件承诺的质量要求。</w:t>
      </w:r>
    </w:p>
    <w:p w14:paraId="26A3D6E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3、乙方提供不符合磋商文件和本合同规定的产品或服务内容，甲方有权拒绝接受。</w:t>
      </w:r>
    </w:p>
    <w:p w14:paraId="0400010A">
      <w:pPr>
        <w:spacing w:line="360" w:lineRule="auto"/>
        <w:rPr>
          <w:rFonts w:hint="eastAsia" w:ascii="宋体" w:hAnsi="宋体"/>
          <w:color w:val="auto"/>
          <w:szCs w:val="21"/>
          <w:highlight w:val="none"/>
        </w:rPr>
      </w:pPr>
      <w:r>
        <w:rPr>
          <w:rFonts w:hint="eastAsia" w:ascii="宋体" w:hAnsi="宋体"/>
          <w:b/>
          <w:color w:val="auto"/>
          <w:szCs w:val="21"/>
          <w:highlight w:val="none"/>
        </w:rPr>
        <w:t>第三条　权利保证</w:t>
      </w:r>
    </w:p>
    <w:p w14:paraId="2F092B76">
      <w:pPr>
        <w:snapToGrid w:val="0"/>
        <w:spacing w:line="360" w:lineRule="auto"/>
        <w:ind w:firstLine="420" w:firstLineChars="200"/>
        <w:rPr>
          <w:color w:val="auto"/>
          <w:szCs w:val="21"/>
          <w:highlight w:val="none"/>
        </w:rPr>
      </w:pPr>
      <w:r>
        <w:rPr>
          <w:rFonts w:ascii="宋体" w:hAnsi="宋体"/>
          <w:color w:val="auto"/>
          <w:szCs w:val="21"/>
          <w:highlight w:val="none"/>
        </w:rPr>
        <w:t>1</w:t>
      </w:r>
      <w:r>
        <w:rPr>
          <w:rFonts w:hint="eastAsia" w:ascii="宋体" w:hAnsi="宋体"/>
          <w:color w:val="auto"/>
          <w:szCs w:val="21"/>
          <w:highlight w:val="none"/>
        </w:rPr>
        <w:t>、乙方应按磋商采购文件、磋商响应文件的规定向甲方提供相应的服务。乙方应保证所提供服务在使用时不会侵犯任何第三方的专利权、商标权、著作权等知识产权及其他合法权利，且</w:t>
      </w:r>
      <w:r>
        <w:rPr>
          <w:rFonts w:hint="eastAsia"/>
          <w:color w:val="auto"/>
          <w:szCs w:val="21"/>
          <w:highlight w:val="none"/>
        </w:rPr>
        <w:t>乙方保证所交付服务及服务成果的所有权完全属于乙方且无任何抵押、查封等产权瑕疵。如合同履行过程中，乙方使用了自有或他人的专利、商标权、工业设计权、著作权等知识产权，所涉及的费用由乙方自行承担；如因乙方原因引起上述有关事项的争议及赔偿等，由乙方承担一切赔偿责任，与甲方无关。</w:t>
      </w:r>
    </w:p>
    <w:p w14:paraId="5440BD84">
      <w:pPr>
        <w:snapToGrid w:val="0"/>
        <w:spacing w:line="360" w:lineRule="auto"/>
        <w:ind w:firstLine="420" w:firstLineChars="200"/>
        <w:rPr>
          <w:rFonts w:hint="eastAsia" w:ascii="宋体" w:hAnsi="宋体"/>
          <w:b/>
          <w:color w:val="auto"/>
          <w:szCs w:val="21"/>
          <w:highlight w:val="none"/>
        </w:rPr>
      </w:pPr>
      <w:r>
        <w:rPr>
          <w:rFonts w:hint="eastAsia" w:ascii="宋体" w:hAnsi="宋体"/>
          <w:color w:val="auto"/>
          <w:szCs w:val="21"/>
          <w:highlight w:val="none"/>
        </w:rPr>
        <w:t>2、没有甲方事先书面同意，乙方不得将由甲方提供的有关合同或任何合同条文、规格、计划或资料提供给与履行本合同无关的任何其他人。即使向履行本合同有关的人员提供，也应注意保密并限于履行合同的必需范围。乙方的保密义务持续有效，不因为本合同履行终止、解除或无效、撤销而解除。</w:t>
      </w:r>
    </w:p>
    <w:p w14:paraId="7CFF8DE7">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除非另有规定或约定，因履行本合同工作而产生的服务成果、技术成果、数据、信息和相关知识产权归甲方所有。甲方有权许可第三方使用本合同项下的全部服务成果。甲方许可第三方使用该服务成果的，不需经乙方同意，亦不需支付费用。</w:t>
      </w:r>
    </w:p>
    <w:p w14:paraId="0DCE2AF4">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双方确定，甲方有权利用乙方按照本合同约定提供的服务成果（含全部阶段性成果和最终成果），进行后续改进、改编、创作等。由此产生的具有实质性或创造性技术进步特征的新的技术成果及其权利归属，全部由甲方享有。具体相关利益的分配办法如下：甲方100%。</w:t>
      </w:r>
    </w:p>
    <w:p w14:paraId="0C611986">
      <w:pPr>
        <w:spacing w:line="360" w:lineRule="auto"/>
        <w:rPr>
          <w:rFonts w:hint="eastAsia" w:ascii="宋体" w:hAnsi="宋体"/>
          <w:b/>
          <w:color w:val="auto"/>
          <w:szCs w:val="21"/>
          <w:highlight w:val="none"/>
        </w:rPr>
      </w:pPr>
      <w:r>
        <w:rPr>
          <w:rFonts w:hint="eastAsia" w:ascii="宋体" w:hAnsi="宋体"/>
          <w:b/>
          <w:color w:val="auto"/>
          <w:szCs w:val="21"/>
          <w:highlight w:val="none"/>
          <w:lang w:val="en-US" w:eastAsia="zh-CN"/>
        </w:rPr>
        <w:t xml:space="preserve">第四条 </w:t>
      </w:r>
      <w:r>
        <w:rPr>
          <w:rFonts w:hint="eastAsia" w:ascii="宋体" w:hAnsi="宋体"/>
          <w:b/>
          <w:color w:val="auto"/>
          <w:szCs w:val="21"/>
          <w:highlight w:val="none"/>
        </w:rPr>
        <w:t>双方的权利和义务</w:t>
      </w:r>
    </w:p>
    <w:p w14:paraId="2F02C53D">
      <w:pPr>
        <w:spacing w:line="360" w:lineRule="auto"/>
        <w:ind w:firstLine="420" w:firstLineChars="200"/>
        <w:rPr>
          <w:rFonts w:hint="eastAsia" w:ascii="宋体" w:hAnsi="宋体"/>
          <w:b w:val="0"/>
          <w:bCs/>
          <w:color w:val="auto"/>
          <w:szCs w:val="21"/>
          <w:highlight w:val="none"/>
        </w:rPr>
      </w:pPr>
      <w:r>
        <w:rPr>
          <w:rFonts w:hint="eastAsia" w:ascii="宋体" w:hAnsi="宋体"/>
          <w:b w:val="0"/>
          <w:bCs/>
          <w:color w:val="auto"/>
          <w:szCs w:val="21"/>
          <w:highlight w:val="none"/>
          <w:lang w:eastAsia="zh-CN"/>
        </w:rPr>
        <w:t>1、</w:t>
      </w:r>
      <w:r>
        <w:rPr>
          <w:rFonts w:hint="eastAsia" w:ascii="宋体" w:hAnsi="宋体"/>
          <w:b w:val="0"/>
          <w:bCs/>
          <w:color w:val="auto"/>
          <w:szCs w:val="21"/>
          <w:highlight w:val="none"/>
        </w:rPr>
        <w:t>甲方的权利和义务</w:t>
      </w:r>
    </w:p>
    <w:p w14:paraId="3C94D71F">
      <w:pPr>
        <w:spacing w:line="360" w:lineRule="auto"/>
        <w:ind w:firstLine="420" w:firstLineChars="200"/>
        <w:rPr>
          <w:rFonts w:hint="eastAsia" w:ascii="宋体" w:hAnsi="宋体"/>
          <w:b w:val="0"/>
          <w:bCs/>
          <w:color w:val="auto"/>
          <w:szCs w:val="21"/>
          <w:highlight w:val="none"/>
        </w:rPr>
      </w:pPr>
      <w:r>
        <w:rPr>
          <w:rFonts w:hint="eastAsia" w:ascii="宋体" w:hAnsi="宋体"/>
          <w:b w:val="0"/>
          <w:bCs/>
          <w:color w:val="auto"/>
          <w:szCs w:val="21"/>
          <w:highlight w:val="none"/>
        </w:rPr>
        <w:t>（1）甲方可联合相关专业部门，通过数据监控、日常抽查、建立投诉受理渠道等方式，对乙方进行监督检查，督促其及时做好受托工作。甲方有权对乙方开展的各项工作进行监督和检查，并对乙方提交的工作成果的质量进行审核。</w:t>
      </w:r>
    </w:p>
    <w:p w14:paraId="3CEE08DC">
      <w:pPr>
        <w:spacing w:line="360" w:lineRule="auto"/>
        <w:ind w:firstLine="420" w:firstLineChars="200"/>
        <w:rPr>
          <w:rFonts w:hint="eastAsia" w:ascii="宋体" w:hAnsi="宋体"/>
          <w:b w:val="0"/>
          <w:bCs/>
          <w:color w:val="auto"/>
          <w:szCs w:val="21"/>
          <w:highlight w:val="none"/>
        </w:rPr>
      </w:pPr>
      <w:r>
        <w:rPr>
          <w:rFonts w:hint="eastAsia" w:ascii="宋体" w:hAnsi="宋体"/>
          <w:b w:val="0"/>
          <w:bCs/>
          <w:color w:val="auto"/>
          <w:szCs w:val="21"/>
          <w:highlight w:val="none"/>
        </w:rPr>
        <w:t>（2）若乙方指派人员不按本合同履行其职责，甲方有权要求乙方更换不称职、不符合要求的工作人员。</w:t>
      </w:r>
    </w:p>
    <w:p w14:paraId="0E9630F8">
      <w:pPr>
        <w:spacing w:line="360" w:lineRule="auto"/>
        <w:ind w:firstLine="420" w:firstLineChars="200"/>
        <w:rPr>
          <w:rFonts w:hint="eastAsia" w:ascii="宋体" w:hAnsi="宋体"/>
          <w:b w:val="0"/>
          <w:bCs/>
          <w:color w:val="auto"/>
          <w:szCs w:val="21"/>
          <w:highlight w:val="none"/>
        </w:rPr>
      </w:pPr>
      <w:r>
        <w:rPr>
          <w:rFonts w:hint="eastAsia" w:ascii="宋体" w:hAnsi="宋体"/>
          <w:b w:val="0"/>
          <w:bCs/>
          <w:color w:val="auto"/>
          <w:szCs w:val="21"/>
          <w:highlight w:val="none"/>
        </w:rPr>
        <w:t>（3）合同期间，甲方可对乙方的服务内容提出新的需求，经双方协商认可后进行修改或补充。</w:t>
      </w:r>
    </w:p>
    <w:p w14:paraId="726DFD74">
      <w:pPr>
        <w:spacing w:line="360" w:lineRule="auto"/>
        <w:ind w:firstLine="420" w:firstLineChars="200"/>
        <w:rPr>
          <w:rFonts w:hint="eastAsia" w:ascii="宋体" w:hAnsi="宋体"/>
          <w:b w:val="0"/>
          <w:bCs/>
          <w:color w:val="auto"/>
          <w:szCs w:val="21"/>
          <w:highlight w:val="none"/>
        </w:rPr>
      </w:pPr>
      <w:r>
        <w:rPr>
          <w:rFonts w:hint="eastAsia" w:ascii="宋体" w:hAnsi="宋体"/>
          <w:b w:val="0"/>
          <w:bCs/>
          <w:color w:val="auto"/>
          <w:szCs w:val="21"/>
          <w:highlight w:val="none"/>
        </w:rPr>
        <w:t>（4）甲方发现乙方或其工作人员有违反合同或法律行为的，有权予以制止并做出合理处置。</w:t>
      </w:r>
    </w:p>
    <w:p w14:paraId="16F79928">
      <w:pPr>
        <w:spacing w:line="360" w:lineRule="auto"/>
        <w:ind w:firstLine="420" w:firstLineChars="200"/>
        <w:rPr>
          <w:rFonts w:hint="eastAsia" w:ascii="宋体" w:hAnsi="宋体"/>
          <w:b w:val="0"/>
          <w:bCs/>
          <w:color w:val="auto"/>
          <w:szCs w:val="21"/>
          <w:highlight w:val="none"/>
        </w:rPr>
      </w:pPr>
      <w:r>
        <w:rPr>
          <w:rFonts w:hint="eastAsia" w:ascii="宋体" w:hAnsi="宋体"/>
          <w:b w:val="0"/>
          <w:bCs/>
          <w:color w:val="auto"/>
          <w:szCs w:val="21"/>
          <w:highlight w:val="none"/>
        </w:rPr>
        <w:t>（5）甲方有权要求乙方全面履行合同。甲方不接受部分履行，如本合同项下部分服务成果未能按时交付则视为整体延误。</w:t>
      </w:r>
    </w:p>
    <w:p w14:paraId="5EF73456">
      <w:pPr>
        <w:spacing w:line="360" w:lineRule="auto"/>
        <w:ind w:firstLine="420" w:firstLineChars="200"/>
        <w:rPr>
          <w:rFonts w:hint="eastAsia" w:ascii="宋体" w:hAnsi="宋体"/>
          <w:b w:val="0"/>
          <w:bCs/>
          <w:color w:val="auto"/>
          <w:szCs w:val="21"/>
          <w:highlight w:val="none"/>
        </w:rPr>
      </w:pPr>
      <w:r>
        <w:rPr>
          <w:rFonts w:hint="eastAsia" w:ascii="宋体" w:hAnsi="宋体"/>
          <w:b w:val="0"/>
          <w:bCs/>
          <w:color w:val="auto"/>
          <w:szCs w:val="21"/>
          <w:highlight w:val="none"/>
        </w:rPr>
        <w:t>（6）如乙方提供服务的内容等存在不符合法律法规、国家、地方政策规定的内容，甲方有权要求乙方予以整改或拒绝确认、验收。</w:t>
      </w:r>
    </w:p>
    <w:p w14:paraId="2495C076">
      <w:pPr>
        <w:spacing w:line="360" w:lineRule="auto"/>
        <w:ind w:firstLine="420" w:firstLineChars="200"/>
        <w:rPr>
          <w:rFonts w:hint="eastAsia" w:ascii="宋体" w:hAnsi="宋体"/>
          <w:b w:val="0"/>
          <w:bCs/>
          <w:color w:val="auto"/>
          <w:szCs w:val="21"/>
          <w:highlight w:val="none"/>
        </w:rPr>
      </w:pPr>
      <w:r>
        <w:rPr>
          <w:rFonts w:hint="eastAsia" w:ascii="宋体" w:hAnsi="宋体"/>
          <w:b w:val="0"/>
          <w:bCs/>
          <w:color w:val="auto"/>
          <w:szCs w:val="21"/>
          <w:highlight w:val="none"/>
        </w:rPr>
        <w:t>（7）如乙方所提供的服务成果不符合</w:t>
      </w:r>
      <w:r>
        <w:rPr>
          <w:rFonts w:hint="eastAsia" w:ascii="宋体" w:hAnsi="宋体"/>
          <w:b w:val="0"/>
          <w:bCs/>
          <w:color w:val="auto"/>
          <w:szCs w:val="21"/>
          <w:highlight w:val="none"/>
          <w:lang w:val="en-US" w:eastAsia="zh-CN"/>
        </w:rPr>
        <w:t>磋商</w:t>
      </w:r>
      <w:r>
        <w:rPr>
          <w:rFonts w:hint="eastAsia" w:ascii="宋体" w:hAnsi="宋体"/>
          <w:b w:val="0"/>
          <w:bCs/>
          <w:color w:val="auto"/>
          <w:szCs w:val="21"/>
          <w:highlight w:val="none"/>
        </w:rPr>
        <w:t>文件、响应文件、本合同约定及甲方要求，甲方有权要求乙方重新执行相应的工作服务，由此产生的全部费用由乙方自行承担，同时，甲方的付款时间相应顺延。</w:t>
      </w:r>
    </w:p>
    <w:p w14:paraId="5C6F676A">
      <w:pPr>
        <w:spacing w:line="360" w:lineRule="auto"/>
        <w:ind w:firstLine="420" w:firstLineChars="200"/>
        <w:rPr>
          <w:rFonts w:hint="eastAsia" w:ascii="宋体" w:hAnsi="宋体"/>
          <w:b w:val="0"/>
          <w:bCs/>
          <w:color w:val="auto"/>
          <w:szCs w:val="21"/>
          <w:highlight w:val="none"/>
        </w:rPr>
      </w:pPr>
      <w:r>
        <w:rPr>
          <w:rFonts w:hint="eastAsia" w:ascii="宋体" w:hAnsi="宋体"/>
          <w:b w:val="0"/>
          <w:bCs/>
          <w:color w:val="auto"/>
          <w:szCs w:val="21"/>
          <w:highlight w:val="none"/>
          <w:lang w:eastAsia="zh-CN"/>
        </w:rPr>
        <w:t>2、</w:t>
      </w:r>
      <w:r>
        <w:rPr>
          <w:rFonts w:hint="eastAsia" w:ascii="宋体" w:hAnsi="宋体"/>
          <w:b w:val="0"/>
          <w:bCs/>
          <w:color w:val="auto"/>
          <w:szCs w:val="21"/>
          <w:highlight w:val="none"/>
        </w:rPr>
        <w:t>乙方的权利和义务</w:t>
      </w:r>
    </w:p>
    <w:p w14:paraId="06441065">
      <w:pPr>
        <w:spacing w:line="360" w:lineRule="auto"/>
        <w:ind w:firstLine="420" w:firstLineChars="200"/>
        <w:rPr>
          <w:rFonts w:hint="eastAsia" w:ascii="宋体" w:hAnsi="宋体"/>
          <w:b w:val="0"/>
          <w:bCs/>
          <w:color w:val="auto"/>
          <w:szCs w:val="21"/>
          <w:highlight w:val="none"/>
        </w:rPr>
      </w:pPr>
      <w:r>
        <w:rPr>
          <w:rFonts w:hint="eastAsia" w:ascii="宋体" w:hAnsi="宋体"/>
          <w:b w:val="0"/>
          <w:bCs/>
          <w:color w:val="auto"/>
          <w:szCs w:val="21"/>
          <w:highlight w:val="none"/>
        </w:rPr>
        <w:t>（1）服务期间，乙方执行本次业务必须做好组织分工和安排，制定详细实施方案，成立项目小组，明确该项目的总负责人及联络员各一名。总负责人需全程跟进项目，联络员在项目开展过程中做好日常事务的沟通协调。在合同服务期间，项目成员应当保持稳定，如根据实际工作需要对项目成员进行调整的，需经甲方同意；在接到甲方更换不称职、不符合要求的工作人员通知时，乙方应及时配合甲方更换调配符合要求的工作人员，保证项目的顺利进行。</w:t>
      </w:r>
    </w:p>
    <w:p w14:paraId="198EB890">
      <w:pPr>
        <w:spacing w:line="360" w:lineRule="auto"/>
        <w:ind w:firstLine="420" w:firstLineChars="200"/>
        <w:rPr>
          <w:rFonts w:hint="eastAsia" w:ascii="宋体" w:hAnsi="宋体"/>
          <w:b w:val="0"/>
          <w:bCs/>
          <w:color w:val="auto"/>
          <w:szCs w:val="21"/>
          <w:highlight w:val="none"/>
        </w:rPr>
      </w:pPr>
      <w:r>
        <w:rPr>
          <w:rFonts w:hint="eastAsia" w:ascii="宋体" w:hAnsi="宋体"/>
          <w:b w:val="0"/>
          <w:bCs/>
          <w:color w:val="auto"/>
          <w:szCs w:val="21"/>
          <w:highlight w:val="none"/>
        </w:rPr>
        <w:t>（2）按</w:t>
      </w:r>
      <w:r>
        <w:rPr>
          <w:rFonts w:hint="eastAsia" w:ascii="宋体" w:hAnsi="宋体"/>
          <w:b w:val="0"/>
          <w:bCs/>
          <w:color w:val="auto"/>
          <w:szCs w:val="21"/>
          <w:highlight w:val="none"/>
          <w:lang w:val="en-US" w:eastAsia="zh-CN"/>
        </w:rPr>
        <w:t>磋商</w:t>
      </w:r>
      <w:r>
        <w:rPr>
          <w:rFonts w:hint="eastAsia" w:ascii="宋体" w:hAnsi="宋体"/>
          <w:b w:val="0"/>
          <w:bCs/>
          <w:color w:val="auto"/>
          <w:szCs w:val="21"/>
          <w:highlight w:val="none"/>
        </w:rPr>
        <w:t>文件、响应文件、本合同服务内容及甲方要求按时按质按量提供服务，如实记录参加招聘会单位名称、线上线下参会人次</w:t>
      </w:r>
      <w:r>
        <w:rPr>
          <w:rFonts w:hint="eastAsia" w:ascii="宋体" w:hAnsi="宋体"/>
          <w:b w:val="0"/>
          <w:bCs/>
          <w:color w:val="auto"/>
          <w:szCs w:val="21"/>
          <w:highlight w:val="none"/>
          <w:lang w:eastAsia="zh-CN"/>
        </w:rPr>
        <w:t>、</w:t>
      </w:r>
      <w:r>
        <w:rPr>
          <w:rFonts w:hint="eastAsia" w:ascii="宋体" w:hAnsi="宋体"/>
          <w:b w:val="0"/>
          <w:bCs/>
          <w:color w:val="auto"/>
          <w:szCs w:val="21"/>
          <w:highlight w:val="none"/>
          <w:lang w:val="en-US" w:eastAsia="zh-CN"/>
        </w:rPr>
        <w:t>宣传推广</w:t>
      </w:r>
      <w:r>
        <w:rPr>
          <w:rFonts w:hint="eastAsia" w:ascii="宋体" w:hAnsi="宋体"/>
          <w:b w:val="0"/>
          <w:bCs/>
          <w:color w:val="auto"/>
          <w:szCs w:val="21"/>
          <w:highlight w:val="none"/>
        </w:rPr>
        <w:t>等情况，如实将项目的进展情况以及在项目进行中遇到的问题和取得的进展定期、及时向甲方报告，报告时应提供相应的报告材料。交付甲方的服务成品需满足甲方需求，如出现质量问题，由乙方承担全部责任，并采取相应补救措施且不收取任何费用。</w:t>
      </w:r>
    </w:p>
    <w:p w14:paraId="5143E47D">
      <w:pPr>
        <w:spacing w:line="360" w:lineRule="auto"/>
        <w:ind w:firstLine="420" w:firstLineChars="200"/>
        <w:rPr>
          <w:rFonts w:hint="eastAsia" w:ascii="宋体" w:hAnsi="宋体"/>
          <w:b w:val="0"/>
          <w:bCs/>
          <w:color w:val="auto"/>
          <w:szCs w:val="21"/>
          <w:highlight w:val="none"/>
        </w:rPr>
      </w:pPr>
      <w:r>
        <w:rPr>
          <w:rFonts w:hint="eastAsia" w:ascii="宋体" w:hAnsi="宋体"/>
          <w:b w:val="0"/>
          <w:bCs/>
          <w:color w:val="auto"/>
          <w:szCs w:val="21"/>
          <w:highlight w:val="none"/>
        </w:rPr>
        <w:t>（3）乙方未按本合同约定开具和送达增值税发票的，应按甲方要求采取重新开具发票等补救措施。乙方违反国家法律、法规、规章、政策等规定开具和提供发票的，乙方应自行承担相应法律责任。</w:t>
      </w:r>
    </w:p>
    <w:p w14:paraId="6CFB57C6">
      <w:pPr>
        <w:spacing w:line="360" w:lineRule="auto"/>
        <w:ind w:firstLine="420" w:firstLineChars="200"/>
        <w:rPr>
          <w:rFonts w:hint="eastAsia" w:ascii="宋体" w:hAnsi="宋体"/>
          <w:b w:val="0"/>
          <w:bCs/>
          <w:color w:val="auto"/>
          <w:szCs w:val="21"/>
          <w:highlight w:val="none"/>
        </w:rPr>
      </w:pPr>
      <w:r>
        <w:rPr>
          <w:rFonts w:hint="eastAsia" w:ascii="宋体" w:hAnsi="宋体"/>
          <w:b w:val="0"/>
          <w:bCs/>
          <w:color w:val="auto"/>
          <w:szCs w:val="21"/>
          <w:highlight w:val="none"/>
        </w:rPr>
        <w:t>（4）乙方必须保证独立完成本合同约定的服务成果，同时须保证服务过程中不侵犯第三方知识产权、肖像权或其他相关权利，如因乙方原因引起争议及赔偿等事项的，由乙方承担一切赔偿责任，与甲方无关，但因甲方内容原因导致的纠纷除外。</w:t>
      </w:r>
    </w:p>
    <w:p w14:paraId="0FFB82BB">
      <w:pPr>
        <w:spacing w:line="360" w:lineRule="auto"/>
        <w:ind w:firstLine="420" w:firstLineChars="200"/>
        <w:rPr>
          <w:rFonts w:hint="eastAsia" w:ascii="宋体" w:hAnsi="宋体"/>
          <w:b w:val="0"/>
          <w:bCs/>
          <w:color w:val="auto"/>
          <w:szCs w:val="21"/>
          <w:highlight w:val="none"/>
        </w:rPr>
      </w:pPr>
      <w:r>
        <w:rPr>
          <w:rFonts w:hint="eastAsia" w:ascii="宋体" w:hAnsi="宋体"/>
          <w:b w:val="0"/>
          <w:bCs/>
          <w:color w:val="auto"/>
          <w:szCs w:val="21"/>
          <w:highlight w:val="none"/>
        </w:rPr>
        <w:t>（5）未经甲方书面许可，乙方不得擅自转让或分包其应履行的合同义务给任何第三方。</w:t>
      </w:r>
    </w:p>
    <w:p w14:paraId="0E82C91F">
      <w:pPr>
        <w:spacing w:line="360" w:lineRule="auto"/>
        <w:ind w:firstLine="420" w:firstLineChars="200"/>
        <w:rPr>
          <w:rFonts w:hint="eastAsia" w:ascii="宋体" w:hAnsi="宋体"/>
          <w:b w:val="0"/>
          <w:bCs/>
          <w:color w:val="auto"/>
          <w:szCs w:val="21"/>
          <w:highlight w:val="none"/>
        </w:rPr>
      </w:pPr>
      <w:r>
        <w:rPr>
          <w:rFonts w:hint="eastAsia" w:ascii="宋体" w:hAnsi="宋体"/>
          <w:b w:val="0"/>
          <w:bCs/>
          <w:color w:val="auto"/>
          <w:szCs w:val="21"/>
          <w:highlight w:val="none"/>
        </w:rPr>
        <w:t>（6）乙方应自行对其参与本项目的服务人员进行管理，乙方与其服务人员发生的劳资纠纷或因履行本合同过程中的伤亡、责任或导致他人遭受人身、财产损失的，由乙方自行承担赔偿责任。</w:t>
      </w:r>
    </w:p>
    <w:p w14:paraId="1C9A8A2E">
      <w:pPr>
        <w:spacing w:line="360" w:lineRule="auto"/>
        <w:ind w:firstLine="420" w:firstLineChars="200"/>
        <w:rPr>
          <w:rFonts w:hint="eastAsia" w:ascii="宋体" w:hAnsi="宋体"/>
          <w:b w:val="0"/>
          <w:bCs/>
          <w:color w:val="auto"/>
          <w:szCs w:val="21"/>
          <w:highlight w:val="none"/>
        </w:rPr>
      </w:pPr>
      <w:r>
        <w:rPr>
          <w:rFonts w:hint="eastAsia" w:ascii="宋体" w:hAnsi="宋体"/>
          <w:b w:val="0"/>
          <w:bCs/>
          <w:color w:val="auto"/>
          <w:szCs w:val="21"/>
          <w:highlight w:val="none"/>
        </w:rPr>
        <w:t>（7）乙方应确保其在进行本合同项下的活动应合法合规以及在授权范围内进行，否则因此产生的全部责任由乙方自行承担。</w:t>
      </w:r>
    </w:p>
    <w:p w14:paraId="79514B82">
      <w:pPr>
        <w:spacing w:line="360" w:lineRule="auto"/>
        <w:ind w:firstLine="420" w:firstLineChars="200"/>
        <w:rPr>
          <w:rFonts w:hint="eastAsia" w:ascii="宋体" w:hAnsi="宋体"/>
          <w:b w:val="0"/>
          <w:bCs/>
          <w:color w:val="auto"/>
          <w:szCs w:val="21"/>
          <w:highlight w:val="none"/>
        </w:rPr>
      </w:pPr>
      <w:r>
        <w:rPr>
          <w:rFonts w:hint="eastAsia" w:ascii="宋体" w:hAnsi="宋体"/>
          <w:b w:val="0"/>
          <w:bCs/>
          <w:color w:val="auto"/>
          <w:szCs w:val="21"/>
          <w:highlight w:val="none"/>
        </w:rPr>
        <w:t>（8）乙方应积极接受甲方的监督和检查，对不符合要求的，乙方须根据甲方的要求在规定的时间内进行修改、完善。</w:t>
      </w:r>
    </w:p>
    <w:p w14:paraId="2C78D68A">
      <w:pPr>
        <w:spacing w:line="360" w:lineRule="auto"/>
        <w:ind w:firstLine="420" w:firstLineChars="200"/>
        <w:rPr>
          <w:rFonts w:hint="eastAsia" w:ascii="宋体" w:hAnsi="宋体"/>
          <w:b w:val="0"/>
          <w:bCs/>
          <w:color w:val="auto"/>
          <w:szCs w:val="21"/>
          <w:highlight w:val="none"/>
        </w:rPr>
      </w:pPr>
      <w:r>
        <w:rPr>
          <w:rFonts w:hint="eastAsia" w:ascii="宋体" w:hAnsi="宋体"/>
          <w:b w:val="0"/>
          <w:bCs/>
          <w:color w:val="auto"/>
          <w:szCs w:val="21"/>
          <w:highlight w:val="none"/>
        </w:rPr>
        <w:t>（9）乙方及其工作人员必须坚持正确的政治方向引导舆论，确保提供的服务内容意识形态正确，不得有违反国家法律法规、政策大政方针等言论及内容，内容符合宪法和中国共产党的相关规定。</w:t>
      </w:r>
    </w:p>
    <w:p w14:paraId="4D569DDE">
      <w:pPr>
        <w:spacing w:line="360" w:lineRule="auto"/>
        <w:ind w:firstLine="420" w:firstLineChars="200"/>
        <w:rPr>
          <w:rFonts w:hint="eastAsia" w:ascii="宋体" w:hAnsi="宋体"/>
          <w:b w:val="0"/>
          <w:bCs/>
          <w:color w:val="auto"/>
          <w:szCs w:val="21"/>
          <w:highlight w:val="none"/>
        </w:rPr>
      </w:pPr>
      <w:r>
        <w:rPr>
          <w:rFonts w:hint="eastAsia" w:ascii="宋体" w:hAnsi="宋体"/>
          <w:b w:val="0"/>
          <w:bCs/>
          <w:color w:val="auto"/>
          <w:szCs w:val="21"/>
          <w:highlight w:val="none"/>
        </w:rPr>
        <w:t>（10）乙方在服务过程中，不得向甲方或任何第三方索取、收受本合同约定以外的酬金或其他财物。</w:t>
      </w:r>
    </w:p>
    <w:p w14:paraId="3356C549">
      <w:pPr>
        <w:spacing w:line="360" w:lineRule="auto"/>
        <w:ind w:firstLine="420" w:firstLineChars="200"/>
        <w:rPr>
          <w:rFonts w:hint="eastAsia" w:ascii="宋体" w:hAnsi="宋体"/>
          <w:b w:val="0"/>
          <w:bCs/>
          <w:color w:val="auto"/>
          <w:szCs w:val="21"/>
          <w:highlight w:val="none"/>
        </w:rPr>
      </w:pPr>
      <w:r>
        <w:rPr>
          <w:rFonts w:hint="eastAsia" w:ascii="宋体" w:hAnsi="宋体"/>
          <w:b w:val="0"/>
          <w:bCs/>
          <w:color w:val="auto"/>
          <w:szCs w:val="21"/>
          <w:highlight w:val="none"/>
        </w:rPr>
        <w:t>（11）乙方应妥善保管甲方向其提供的有关资料文件，在本合同终止后5日内，将全部资料文件归还甲方，未经甲方许可，不得将上述文件、资料外传、复制、披露或留档。如材料有缺漏遗失或乙方私自留存的，乙方应承担相应的违约责任。合同终止后，如甲方根据业务需要向乙方调取有关数据、资料、信息的，乙方仍应配合及协助提供。</w:t>
      </w:r>
    </w:p>
    <w:p w14:paraId="2C882CFD">
      <w:pPr>
        <w:spacing w:line="360" w:lineRule="auto"/>
        <w:ind w:firstLine="420" w:firstLineChars="200"/>
        <w:rPr>
          <w:rFonts w:hint="eastAsia" w:ascii="宋体" w:hAnsi="宋体"/>
          <w:b w:val="0"/>
          <w:bCs/>
          <w:color w:val="auto"/>
          <w:szCs w:val="21"/>
          <w:highlight w:val="none"/>
        </w:rPr>
      </w:pPr>
      <w:r>
        <w:rPr>
          <w:rFonts w:hint="eastAsia" w:ascii="宋体" w:hAnsi="宋体"/>
          <w:b w:val="0"/>
          <w:bCs/>
          <w:color w:val="auto"/>
          <w:szCs w:val="21"/>
          <w:highlight w:val="none"/>
        </w:rPr>
        <w:t>（1</w:t>
      </w:r>
      <w:r>
        <w:rPr>
          <w:rFonts w:hint="eastAsia" w:ascii="宋体" w:hAnsi="宋体"/>
          <w:b w:val="0"/>
          <w:bCs/>
          <w:color w:val="auto"/>
          <w:szCs w:val="21"/>
          <w:highlight w:val="none"/>
          <w:lang w:val="en-US" w:eastAsia="zh-CN"/>
        </w:rPr>
        <w:t>2</w:t>
      </w:r>
      <w:r>
        <w:rPr>
          <w:rFonts w:hint="eastAsia" w:ascii="宋体" w:hAnsi="宋体"/>
          <w:b w:val="0"/>
          <w:bCs/>
          <w:color w:val="auto"/>
          <w:szCs w:val="21"/>
          <w:highlight w:val="none"/>
        </w:rPr>
        <w:t>）乙方必须按照《中华人民共和国保守国家秘密法》等文件的规定，严格保守国家和单位机密，做好保密工作，同时对甲方未向社会公开的信息、数据、资料等均负有保密义务，杜绝泄密。乙方应责成相关人员以及任何有可能接触到上述信息、数据、资料的人员保守秘密。未经甲方许可，乙方及其工作人员不得将上述信息、数据、资料等用于本合同之外的目的或向第三方透露和使用。乙方及其工作人员的保密义务持续有效，不因为本合同履行终止、解除或者无效而解除。</w:t>
      </w:r>
    </w:p>
    <w:p w14:paraId="665C2472">
      <w:pPr>
        <w:spacing w:line="360" w:lineRule="auto"/>
        <w:ind w:firstLine="420" w:firstLineChars="200"/>
        <w:rPr>
          <w:rFonts w:hint="eastAsia" w:ascii="宋体" w:hAnsi="宋体"/>
          <w:b w:val="0"/>
          <w:bCs/>
          <w:color w:val="auto"/>
          <w:szCs w:val="21"/>
          <w:highlight w:val="none"/>
        </w:rPr>
      </w:pPr>
      <w:r>
        <w:rPr>
          <w:rFonts w:hint="eastAsia" w:ascii="宋体" w:hAnsi="宋体"/>
          <w:b w:val="0"/>
          <w:bCs/>
          <w:color w:val="auto"/>
          <w:szCs w:val="21"/>
          <w:highlight w:val="none"/>
        </w:rPr>
        <w:t>（1</w:t>
      </w:r>
      <w:r>
        <w:rPr>
          <w:rFonts w:hint="eastAsia" w:ascii="宋体" w:hAnsi="宋体"/>
          <w:b w:val="0"/>
          <w:bCs/>
          <w:color w:val="auto"/>
          <w:szCs w:val="21"/>
          <w:highlight w:val="none"/>
          <w:lang w:eastAsia="zh-CN"/>
        </w:rPr>
        <w:t>3</w:t>
      </w:r>
      <w:r>
        <w:rPr>
          <w:rFonts w:hint="eastAsia" w:ascii="宋体" w:hAnsi="宋体"/>
          <w:b w:val="0"/>
          <w:bCs/>
          <w:color w:val="auto"/>
          <w:szCs w:val="21"/>
          <w:highlight w:val="none"/>
        </w:rPr>
        <w:t>）乙方应根据有关财务制度规定，对各项开支加强监督管理，拟定项目期间各项开支的相关台账，并对其准确性、真实性、完整性负责，根据甲方要求提交相关台帐给甲方查阅，保证专款专用。</w:t>
      </w:r>
    </w:p>
    <w:p w14:paraId="509C67DD">
      <w:pPr>
        <w:spacing w:line="360" w:lineRule="auto"/>
        <w:ind w:firstLine="420" w:firstLineChars="200"/>
        <w:rPr>
          <w:rFonts w:hint="eastAsia" w:ascii="宋体" w:hAnsi="宋体"/>
          <w:b w:val="0"/>
          <w:bCs/>
          <w:color w:val="auto"/>
          <w:szCs w:val="21"/>
          <w:highlight w:val="none"/>
        </w:rPr>
      </w:pPr>
      <w:r>
        <w:rPr>
          <w:rFonts w:hint="eastAsia" w:ascii="宋体" w:hAnsi="宋体"/>
          <w:b w:val="0"/>
          <w:bCs/>
          <w:color w:val="auto"/>
          <w:szCs w:val="21"/>
          <w:highlight w:val="none"/>
          <w:lang w:eastAsia="zh-CN"/>
        </w:rPr>
        <w:t>（</w:t>
      </w:r>
      <w:r>
        <w:rPr>
          <w:rFonts w:hint="eastAsia" w:ascii="宋体" w:hAnsi="宋体"/>
          <w:b w:val="0"/>
          <w:bCs/>
          <w:color w:val="auto"/>
          <w:szCs w:val="21"/>
          <w:highlight w:val="none"/>
          <w:lang w:val="en-US" w:eastAsia="zh-CN"/>
        </w:rPr>
        <w:t>14</w:t>
      </w:r>
      <w:r>
        <w:rPr>
          <w:rFonts w:hint="eastAsia" w:ascii="宋体" w:hAnsi="宋体"/>
          <w:b w:val="0"/>
          <w:bCs/>
          <w:color w:val="auto"/>
          <w:szCs w:val="21"/>
          <w:highlight w:val="none"/>
          <w:lang w:eastAsia="zh-CN"/>
        </w:rPr>
        <w:t>）</w:t>
      </w:r>
      <w:r>
        <w:rPr>
          <w:rFonts w:hint="eastAsia" w:ascii="宋体" w:hAnsi="宋体"/>
          <w:b w:val="0"/>
          <w:bCs/>
          <w:color w:val="auto"/>
          <w:szCs w:val="21"/>
          <w:highlight w:val="none"/>
        </w:rPr>
        <w:t>完成甲方交办的其他与本项目活动有关服务事宜。</w:t>
      </w:r>
    </w:p>
    <w:p w14:paraId="3B518422">
      <w:pPr>
        <w:spacing w:line="360" w:lineRule="auto"/>
        <w:rPr>
          <w:rFonts w:hint="eastAsia" w:ascii="宋体" w:hAnsi="宋体"/>
          <w:b/>
          <w:color w:val="auto"/>
          <w:szCs w:val="21"/>
          <w:highlight w:val="none"/>
        </w:rPr>
      </w:pPr>
      <w:r>
        <w:rPr>
          <w:rFonts w:hint="eastAsia" w:ascii="宋体" w:hAnsi="宋体"/>
          <w:b/>
          <w:color w:val="auto"/>
          <w:szCs w:val="21"/>
          <w:highlight w:val="none"/>
        </w:rPr>
        <w:t>第</w:t>
      </w:r>
      <w:r>
        <w:rPr>
          <w:rFonts w:hint="eastAsia" w:ascii="宋体" w:hAnsi="宋体"/>
          <w:b/>
          <w:color w:val="auto"/>
          <w:szCs w:val="21"/>
          <w:highlight w:val="none"/>
          <w:lang w:val="en-US" w:eastAsia="zh-CN"/>
        </w:rPr>
        <w:t>五</w:t>
      </w:r>
      <w:r>
        <w:rPr>
          <w:rFonts w:hint="eastAsia" w:ascii="宋体" w:hAnsi="宋体"/>
          <w:b/>
          <w:color w:val="auto"/>
          <w:szCs w:val="21"/>
          <w:highlight w:val="none"/>
        </w:rPr>
        <w:t>条　交付和验收</w:t>
      </w:r>
    </w:p>
    <w:p w14:paraId="15AD433E">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1、服务的时间或服务期限：</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，服务地点或交付地点：</w:t>
      </w:r>
      <w:r>
        <w:rPr>
          <w:rFonts w:hint="eastAsia" w:ascii="宋体" w:hAnsi="宋体"/>
          <w:color w:val="auto"/>
          <w:szCs w:val="21"/>
          <w:highlight w:val="none"/>
          <w:u w:val="single"/>
        </w:rPr>
        <w:t>甲方指定地点</w:t>
      </w:r>
      <w:r>
        <w:rPr>
          <w:rFonts w:hint="eastAsia" w:ascii="宋体" w:hAnsi="宋体"/>
          <w:color w:val="auto"/>
          <w:szCs w:val="21"/>
          <w:highlight w:val="none"/>
        </w:rPr>
        <w:t>。</w:t>
      </w:r>
    </w:p>
    <w:p w14:paraId="042A6EEB">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2、乙方应按</w:t>
      </w:r>
      <w:r>
        <w:rPr>
          <w:rFonts w:hint="eastAsia" w:ascii="宋体" w:hAnsi="宋体" w:cs="宋体"/>
          <w:color w:val="auto"/>
          <w:szCs w:val="21"/>
          <w:highlight w:val="none"/>
        </w:rPr>
        <w:t>磋商文件</w:t>
      </w:r>
      <w:r>
        <w:rPr>
          <w:rFonts w:hint="eastAsia" w:ascii="宋体" w:hAnsi="宋体"/>
          <w:color w:val="auto"/>
          <w:szCs w:val="21"/>
          <w:highlight w:val="none"/>
        </w:rPr>
        <w:t>、响应文件的规定向甲方提供相应的服务，并按响应文件的承诺向甲方提供所服务内容的相关技术资料。</w:t>
      </w:r>
    </w:p>
    <w:p w14:paraId="0DA052BE">
      <w:pPr>
        <w:pStyle w:val="35"/>
        <w:ind w:firstLineChars="200"/>
        <w:rPr>
          <w:color w:val="auto"/>
          <w:sz w:val="21"/>
          <w:szCs w:val="21"/>
          <w:highlight w:val="none"/>
        </w:rPr>
      </w:pPr>
      <w:r>
        <w:rPr>
          <w:rFonts w:hint="eastAsia"/>
          <w:color w:val="auto"/>
          <w:sz w:val="21"/>
          <w:szCs w:val="21"/>
          <w:highlight w:val="none"/>
        </w:rPr>
        <w:t>3、乙方应对提交的服务成果作出全面检查和整理，并列出清单，作为甲方验收和使用的技术条件依据，清单应随提交的服务成果交给甲方。</w:t>
      </w:r>
    </w:p>
    <w:p w14:paraId="109945D3">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4、乙方提供不符合</w:t>
      </w:r>
      <w:r>
        <w:rPr>
          <w:rFonts w:hint="eastAsia" w:ascii="宋体" w:hAnsi="宋体" w:cs="宋体"/>
          <w:color w:val="auto"/>
          <w:szCs w:val="21"/>
          <w:highlight w:val="none"/>
        </w:rPr>
        <w:t>磋商文件</w:t>
      </w:r>
      <w:r>
        <w:rPr>
          <w:rFonts w:hint="eastAsia" w:ascii="宋体" w:hAnsi="宋体"/>
          <w:color w:val="auto"/>
          <w:szCs w:val="21"/>
          <w:highlight w:val="none"/>
        </w:rPr>
        <w:t>、响应文件和本合同规定的服务成果，甲方有权拒绝接受。</w:t>
      </w:r>
    </w:p>
    <w:p w14:paraId="553D390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5、项目服务成果提交后，如有需要由甲方组织专家进行验收。</w:t>
      </w:r>
    </w:p>
    <w:p w14:paraId="1E7941BE">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6、乙方完成服务后应及时书面通知甲方进行验收，甲方应在收到通知后</w:t>
      </w:r>
      <w:r>
        <w:rPr>
          <w:rFonts w:hint="eastAsia" w:ascii="宋体" w:hAnsi="宋体" w:cs="宋体"/>
          <w:bCs/>
          <w:color w:val="auto"/>
          <w:szCs w:val="21"/>
          <w:highlight w:val="none"/>
        </w:rPr>
        <w:t>依据竞争性磋商文件的要求、响应文件的承诺和国家标准或行业标准在</w:t>
      </w:r>
      <w:r>
        <w:rPr>
          <w:rFonts w:hint="eastAsia" w:ascii="宋体" w:hAnsi="宋体"/>
          <w:color w:val="auto"/>
          <w:szCs w:val="21"/>
          <w:highlight w:val="none"/>
        </w:rPr>
        <w:t>七个工作日内</w:t>
      </w:r>
      <w:r>
        <w:rPr>
          <w:rFonts w:hint="eastAsia" w:ascii="宋体" w:hAnsi="宋体" w:cs="宋体"/>
          <w:bCs/>
          <w:color w:val="auto"/>
          <w:szCs w:val="21"/>
          <w:highlight w:val="none"/>
        </w:rPr>
        <w:t>进行验收，</w:t>
      </w:r>
      <w:r>
        <w:rPr>
          <w:rFonts w:hint="eastAsia" w:ascii="宋体" w:hAnsi="宋体"/>
          <w:color w:val="auto"/>
          <w:szCs w:val="21"/>
          <w:highlight w:val="none"/>
        </w:rPr>
        <w:t>验收合格后由甲乙双方签署验收单并加盖</w:t>
      </w:r>
      <w:r>
        <w:rPr>
          <w:rFonts w:hint="eastAsia" w:ascii="宋体" w:hAnsi="宋体"/>
          <w:color w:val="auto"/>
          <w:szCs w:val="21"/>
          <w:highlight w:val="none"/>
          <w:lang w:val="en-US" w:eastAsia="zh-CN"/>
        </w:rPr>
        <w:t>甲方</w:t>
      </w:r>
      <w:r>
        <w:rPr>
          <w:rFonts w:hint="eastAsia" w:ascii="宋体" w:hAnsi="宋体"/>
          <w:color w:val="auto"/>
          <w:szCs w:val="21"/>
          <w:highlight w:val="none"/>
        </w:rPr>
        <w:t>公章，甲乙双方各执一份。验收通过后，乙方应按甲方要求提供完整的服务成果以及相关素材。</w:t>
      </w:r>
    </w:p>
    <w:p w14:paraId="7BCD968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7、甲方委托有关单位或部门组织的验收项目成果，其验收时间以该项目验收方案确定的验收时间为准，验收结果以该项目验收报告结论为准。甲方在验收过程中发现乙方有违约问题，可暂缓资金结算，待违约问题解决后，方可办理资金结算事宜。</w:t>
      </w:r>
    </w:p>
    <w:p w14:paraId="17C733A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8、甲方在验收过程中，如发现乙方的服务成果不满足磋商文件、响应文件、本合同规定的，甲方不予签收并有权要求乙方返工整改并可暂缓向乙方付款，乙方应在甲方规定的时间内及时予以解决，不得拒绝和延误。乙方返工整改后的成果文件必须经甲方再次验收，验收合格后，方可办理付款。</w:t>
      </w:r>
    </w:p>
    <w:p w14:paraId="354E8603">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9、甲乙双方应按照《广西壮族自治区政府采购项目履约验收管理办法》、双方合同、响应文件验收。</w:t>
      </w:r>
    </w:p>
    <w:p w14:paraId="067D7BD4">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10、甲方对验收有异议的，在收到乙方关于验收的书面申请后5个工作日内以书面形式向乙方提出，乙方应自收到甲方书面异议后10日内及时予以解决。乙方必须无条件进行整改、修正，直至甲方验收通过，否则甲方有权不出具服务验收合格单并有权解除合同。</w:t>
      </w:r>
    </w:p>
    <w:p w14:paraId="7C068D9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11、本项目的一切验收费用由乙方承担。</w:t>
      </w:r>
    </w:p>
    <w:p w14:paraId="45A05243">
      <w:pPr>
        <w:spacing w:line="360" w:lineRule="auto"/>
        <w:rPr>
          <w:rFonts w:hint="eastAsia" w:ascii="宋体" w:hAnsi="宋体"/>
          <w:b/>
          <w:color w:val="auto"/>
          <w:szCs w:val="21"/>
          <w:highlight w:val="none"/>
        </w:rPr>
      </w:pPr>
      <w:r>
        <w:rPr>
          <w:rFonts w:hint="eastAsia" w:ascii="宋体" w:hAnsi="宋体"/>
          <w:b/>
          <w:color w:val="auto"/>
          <w:szCs w:val="21"/>
          <w:highlight w:val="none"/>
        </w:rPr>
        <w:t>第</w:t>
      </w:r>
      <w:r>
        <w:rPr>
          <w:rFonts w:hint="eastAsia" w:ascii="宋体" w:hAnsi="宋体"/>
          <w:b/>
          <w:color w:val="auto"/>
          <w:szCs w:val="21"/>
          <w:highlight w:val="none"/>
          <w:lang w:val="en-US" w:eastAsia="zh-CN"/>
        </w:rPr>
        <w:t>六</w:t>
      </w:r>
      <w:r>
        <w:rPr>
          <w:rFonts w:hint="eastAsia" w:ascii="宋体" w:hAnsi="宋体"/>
          <w:b/>
          <w:color w:val="auto"/>
          <w:szCs w:val="21"/>
          <w:highlight w:val="none"/>
        </w:rPr>
        <w:t>条  售后服务及培训</w:t>
      </w:r>
    </w:p>
    <w:p w14:paraId="4F980C65">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1、乙方应按照国家有关法律法规以及响应文件和本合同所附的《服务承诺》要求为甲方提供相应的售后服务。</w:t>
      </w:r>
    </w:p>
    <w:p w14:paraId="02F210D6">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2、乙方提供的服务承诺和售后服务责任等其它具体约定事项。（见合同附件）</w:t>
      </w:r>
    </w:p>
    <w:p w14:paraId="0628CA26">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、如在服务期内发生问题，需相应人员到达甲方现场的，乙方</w:t>
      </w:r>
      <w:r>
        <w:rPr>
          <w:rFonts w:hint="eastAsia" w:ascii="宋体" w:hAnsi="宋体"/>
          <w:color w:val="auto"/>
          <w:szCs w:val="21"/>
          <w:highlight w:val="none"/>
          <w:lang w:eastAsia="zh-CN"/>
        </w:rPr>
        <w:t>工作日接到甲方通知后须立即</w:t>
      </w:r>
      <w:r>
        <w:rPr>
          <w:rFonts w:hint="eastAsia" w:ascii="宋体" w:hAnsi="宋体"/>
          <w:color w:val="auto"/>
          <w:szCs w:val="21"/>
          <w:highlight w:val="none"/>
          <w:lang w:val="en-US" w:eastAsia="zh-CN"/>
        </w:rPr>
        <w:t>到达甲方现场，</w:t>
      </w:r>
      <w:r>
        <w:rPr>
          <w:rFonts w:hint="eastAsia" w:ascii="宋体" w:hAnsi="宋体"/>
          <w:color w:val="auto"/>
          <w:szCs w:val="21"/>
          <w:highlight w:val="none"/>
          <w:lang w:eastAsia="zh-CN"/>
        </w:rPr>
        <w:t>非工作日</w:t>
      </w:r>
      <w:r>
        <w:rPr>
          <w:rFonts w:hint="eastAsia" w:ascii="宋体" w:hAnsi="宋体"/>
          <w:color w:val="auto"/>
          <w:szCs w:val="21"/>
          <w:highlight w:val="none"/>
        </w:rPr>
        <w:t>接到甲方通知后在</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小时内到达甲方现场。</w:t>
      </w:r>
    </w:p>
    <w:p w14:paraId="79AF6304">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、在服务期内，乙方应对出现的产品及服务质量及其工作人员在工作中的安全问题负责处理解决并承担一切费用。</w:t>
      </w:r>
    </w:p>
    <w:p w14:paraId="04E661B6">
      <w:pPr>
        <w:spacing w:line="360" w:lineRule="auto"/>
        <w:rPr>
          <w:rFonts w:hint="eastAsia" w:ascii="宋体" w:hAnsi="宋体"/>
          <w:b/>
          <w:color w:val="auto"/>
          <w:szCs w:val="21"/>
          <w:highlight w:val="none"/>
        </w:rPr>
      </w:pPr>
      <w:r>
        <w:rPr>
          <w:rFonts w:hint="eastAsia" w:ascii="宋体" w:hAnsi="宋体"/>
          <w:b/>
          <w:color w:val="auto"/>
          <w:szCs w:val="21"/>
          <w:highlight w:val="none"/>
        </w:rPr>
        <w:t>第</w:t>
      </w:r>
      <w:r>
        <w:rPr>
          <w:rFonts w:hint="eastAsia" w:ascii="宋体" w:hAnsi="宋体"/>
          <w:b/>
          <w:color w:val="auto"/>
          <w:szCs w:val="21"/>
          <w:highlight w:val="none"/>
          <w:lang w:val="en-US" w:eastAsia="zh-CN"/>
        </w:rPr>
        <w:t>七</w:t>
      </w:r>
      <w:r>
        <w:rPr>
          <w:rFonts w:hint="eastAsia" w:ascii="宋体" w:hAnsi="宋体"/>
          <w:b/>
          <w:color w:val="auto"/>
          <w:szCs w:val="21"/>
          <w:highlight w:val="none"/>
        </w:rPr>
        <w:t>条　付款方式</w:t>
      </w:r>
    </w:p>
    <w:p w14:paraId="39FBD96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1、资金性质：财政资金。</w:t>
      </w:r>
    </w:p>
    <w:p w14:paraId="053D941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2、付款方式：（1）签订合同10个工作日内支付50%，</w:t>
      </w:r>
      <w:r>
        <w:rPr>
          <w:rFonts w:hint="eastAsia" w:ascii="宋体" w:hAnsi="宋体"/>
          <w:color w:val="auto"/>
          <w:szCs w:val="21"/>
          <w:highlight w:val="none"/>
          <w:lang w:val="en-US" w:eastAsia="zh-CN"/>
        </w:rPr>
        <w:t>乙方提交全部服务成果并经甲方</w:t>
      </w:r>
      <w:r>
        <w:rPr>
          <w:rFonts w:hint="eastAsia" w:ascii="宋体" w:hAnsi="宋体"/>
          <w:color w:val="auto"/>
          <w:szCs w:val="21"/>
          <w:highlight w:val="none"/>
        </w:rPr>
        <w:t>验收合格后20日</w:t>
      </w:r>
      <w:r>
        <w:rPr>
          <w:rFonts w:hint="eastAsia" w:ascii="宋体" w:hAnsi="宋体"/>
          <w:color w:val="auto"/>
          <w:szCs w:val="21"/>
          <w:highlight w:val="none"/>
          <w:lang w:val="en-US" w:eastAsia="zh-CN"/>
        </w:rPr>
        <w:t>内</w:t>
      </w:r>
      <w:r>
        <w:rPr>
          <w:rFonts w:hint="eastAsia" w:ascii="宋体" w:hAnsi="宋体"/>
          <w:color w:val="auto"/>
          <w:szCs w:val="21"/>
          <w:highlight w:val="none"/>
        </w:rPr>
        <w:t>支付剩余50%。乙方在甲方每次付款前应开具等额、合法有效且符合甲方要求的增值税发票，否则付款时间相应顺延，且甲方不必承担延迟付款的责任。</w:t>
      </w:r>
    </w:p>
    <w:p w14:paraId="4D77A02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（2）如因政策原因造成项目报批工作终止，合同进度款按上述进度比例支付完后，双方就实际产生的费用进行结算，对于超过实际费用的部分，乙方应当向甲方返还，剩余合同款甲方不再支付，视为合同终止</w:t>
      </w:r>
      <w:r>
        <w:rPr>
          <w:rFonts w:hint="eastAsia" w:ascii="宋体" w:hAnsi="宋体" w:cs="宋体"/>
          <w:color w:val="auto"/>
          <w:szCs w:val="21"/>
          <w:highlight w:val="none"/>
        </w:rPr>
        <w:t>。</w:t>
      </w:r>
    </w:p>
    <w:p w14:paraId="5965D8CF">
      <w:pPr>
        <w:pStyle w:val="35"/>
        <w:ind w:firstLineChars="200"/>
        <w:rPr>
          <w:color w:val="auto"/>
          <w:sz w:val="21"/>
          <w:szCs w:val="21"/>
          <w:highlight w:val="none"/>
        </w:rPr>
      </w:pPr>
      <w:r>
        <w:rPr>
          <w:rFonts w:hint="eastAsia" w:ascii="宋体" w:hAnsi="宋体"/>
          <w:color w:val="auto"/>
          <w:szCs w:val="21"/>
          <w:highlight w:val="none"/>
        </w:rPr>
        <w:t>3、</w:t>
      </w:r>
      <w:r>
        <w:rPr>
          <w:rFonts w:hint="eastAsia"/>
          <w:color w:val="auto"/>
          <w:sz w:val="21"/>
          <w:szCs w:val="21"/>
          <w:highlight w:val="none"/>
        </w:rPr>
        <w:t>政府采购监督管理部门在处理投诉事项期间，可以视具体情况书面通知暂停采购活动，并延期支付合同款金额，甲方延期支付合同金额的行为不视为违约。</w:t>
      </w:r>
    </w:p>
    <w:p w14:paraId="1E0754A1">
      <w:pPr>
        <w:snapToGrid w:val="0"/>
        <w:spacing w:line="360" w:lineRule="auto"/>
        <w:rPr>
          <w:rFonts w:hint="eastAsia" w:ascii="宋体" w:hAnsi="宋体"/>
          <w:b/>
          <w:color w:val="auto"/>
          <w:szCs w:val="21"/>
          <w:highlight w:val="none"/>
        </w:rPr>
      </w:pPr>
      <w:r>
        <w:rPr>
          <w:rFonts w:hint="eastAsia" w:ascii="宋体" w:hAnsi="宋体"/>
          <w:b/>
          <w:color w:val="auto"/>
          <w:szCs w:val="21"/>
          <w:highlight w:val="none"/>
        </w:rPr>
        <w:t>第八条  税费</w:t>
      </w:r>
    </w:p>
    <w:p w14:paraId="78272842">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本合同执行中依法产生的应由甲方或者乙方承担的一切税费均由乙方负担，合同另有约定的除外。</w:t>
      </w:r>
    </w:p>
    <w:p w14:paraId="20F7D255">
      <w:pPr>
        <w:spacing w:line="360" w:lineRule="auto"/>
        <w:rPr>
          <w:rFonts w:hint="eastAsia" w:ascii="宋体" w:hAnsi="宋体"/>
          <w:b/>
          <w:color w:val="auto"/>
          <w:szCs w:val="21"/>
          <w:highlight w:val="none"/>
        </w:rPr>
      </w:pPr>
      <w:r>
        <w:rPr>
          <w:rFonts w:hint="eastAsia" w:ascii="宋体" w:hAnsi="宋体"/>
          <w:b/>
          <w:color w:val="auto"/>
          <w:szCs w:val="21"/>
          <w:highlight w:val="none"/>
        </w:rPr>
        <w:t>第九条 违约责任</w:t>
      </w:r>
    </w:p>
    <w:p w14:paraId="01395980">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rPr>
        <w:t>除不可抗力原因外，乙方没有按照合同约定的时间提供服务的，甲方可要求乙方支付违约金。每推迟一天按合同总金额的3‰支付违约金，逾期超过10日的，甲方有权解除合同，并要求乙方支付合同总金额的20%作为违约金。</w:t>
      </w:r>
    </w:p>
    <w:p w14:paraId="4E65378D">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2、</w:t>
      </w:r>
      <w:r>
        <w:rPr>
          <w:rFonts w:hint="eastAsia" w:ascii="宋体" w:hAnsi="宋体"/>
          <w:color w:val="auto"/>
          <w:szCs w:val="21"/>
          <w:highlight w:val="none"/>
        </w:rPr>
        <w:t xml:space="preserve">乙方不完全履约或提供的服务不符合磋商文件、响应文件、合同约定或甲方要求的，甲方有权要求乙方整改，乙方应予以负责整改，由此造成逾期交付的，乙方根据本条第1款承担延迟履约的违约责任。如乙方整改后仍不符合上述文件约定或甲方要求，或已经无法整改的，甲方有权要求乙方支付合同总金额的20%作为违约金。 </w:t>
      </w:r>
    </w:p>
    <w:p w14:paraId="76BB8914">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3、</w:t>
      </w:r>
      <w:r>
        <w:rPr>
          <w:rFonts w:hint="eastAsia" w:ascii="宋体" w:hAnsi="宋体"/>
          <w:color w:val="auto"/>
          <w:szCs w:val="21"/>
          <w:highlight w:val="none"/>
        </w:rPr>
        <w:t xml:space="preserve">因乙方原因导致提供的服务或服务成果侵犯了第三方知识产权或其他合法权益，由乙方承担全部赔偿责任，造成甲方损失或涉诉（包括但不限于甲方对第三人承担赔偿、诉讼费、律师费、保全费、鉴定费、调查费、公证费、公告费、差旅费、诉讼财产保全责任保险费等），甲方有权解除合同并向乙方追偿，要求乙方赔偿全部损失及支付合同总金额10%的违约金。 </w:t>
      </w:r>
    </w:p>
    <w:p w14:paraId="28BFA527">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乙方必须坚持正确的政治方向引导舆论，促进甲方形象提升和开展工作。如因乙方任何违法违规行为或不利于甲方订立合同的目标实现或有损于甲方订立合同目标的，甲方有权解除合同，索回已支付的全部款项，要求乙方支付合同总金额的20%作为违约金，如还有其他损失的，甲方还有权向乙方追偿。</w:t>
      </w:r>
    </w:p>
    <w:p w14:paraId="700D99D1">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乙方及其工作人员违反本合同约定的保密义务的要立即组织人员消除泄密影响，甲方有权要求乙方支付合同总金额20%的违约金，如给甲方造成损失的，乙方应承担全部赔偿责任，同时，甲方有权单方解除本合同。</w:t>
      </w:r>
    </w:p>
    <w:p w14:paraId="37C454AA">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w:t>
      </w:r>
      <w:r>
        <w:rPr>
          <w:rFonts w:hint="eastAsia" w:ascii="宋体" w:hAnsi="宋体"/>
          <w:color w:val="auto"/>
          <w:szCs w:val="21"/>
          <w:highlight w:val="none"/>
          <w:lang w:eastAsia="zh-CN"/>
        </w:rPr>
        <w:t>、</w:t>
      </w:r>
      <w:r>
        <w:rPr>
          <w:rFonts w:hint="eastAsia" w:ascii="宋体" w:hAnsi="宋体"/>
          <w:color w:val="auto"/>
          <w:szCs w:val="21"/>
          <w:highlight w:val="none"/>
        </w:rPr>
        <w:t xml:space="preserve">乙方擅自转让或分包其应履行的合同义务给任何第三方的，甲方有权解除合同，索回已支付的全部款项，并要求乙方支付合同总金额的20%作为违约金。  </w:t>
      </w:r>
    </w:p>
    <w:p w14:paraId="236E8447">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7</w:t>
      </w:r>
      <w:r>
        <w:rPr>
          <w:rFonts w:hint="eastAsia" w:ascii="宋体" w:hAnsi="宋体"/>
          <w:color w:val="auto"/>
          <w:szCs w:val="21"/>
          <w:highlight w:val="none"/>
          <w:lang w:eastAsia="zh-CN"/>
        </w:rPr>
        <w:t>、</w:t>
      </w:r>
      <w:r>
        <w:rPr>
          <w:rFonts w:hint="eastAsia" w:ascii="宋体" w:hAnsi="宋体"/>
          <w:color w:val="auto"/>
          <w:szCs w:val="21"/>
          <w:highlight w:val="none"/>
        </w:rPr>
        <w:t>如乙方在提供服务过程未尽保管义务，损毁、遗失、丢失甲方提供的有关材料、文件的，甲方有权要求乙方支付合同总金额的10%作为违约金。如乙方逾期归还甲方材料、文件原件或私自留存文档的，应每日按合同总金额的万分之五支付违约金，直至乙方按甲方要求销毁或退回全部材料、文件为止。</w:t>
      </w:r>
    </w:p>
    <w:p w14:paraId="3EFC8932">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8</w:t>
      </w:r>
      <w:r>
        <w:rPr>
          <w:rFonts w:hint="eastAsia" w:ascii="宋体" w:hAnsi="宋体"/>
          <w:color w:val="auto"/>
          <w:szCs w:val="21"/>
          <w:highlight w:val="none"/>
          <w:lang w:eastAsia="zh-CN"/>
        </w:rPr>
        <w:t>、</w:t>
      </w:r>
      <w:r>
        <w:rPr>
          <w:rFonts w:hint="eastAsia" w:ascii="宋体" w:hAnsi="宋体"/>
          <w:color w:val="auto"/>
          <w:szCs w:val="21"/>
          <w:highlight w:val="none"/>
        </w:rPr>
        <w:t>如合同终止后，乙方未配合及协助甲方调取有关数据、资料、信息的，应每日按合同总金额的万分之五支付违约金，本条款不因为本合同履行终止、解除或者无效而解除。</w:t>
      </w:r>
    </w:p>
    <w:p w14:paraId="154F5B45">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9</w:t>
      </w:r>
      <w:r>
        <w:rPr>
          <w:rFonts w:hint="eastAsia" w:ascii="宋体" w:hAnsi="宋体"/>
          <w:color w:val="auto"/>
          <w:szCs w:val="21"/>
          <w:highlight w:val="none"/>
          <w:lang w:eastAsia="zh-CN"/>
        </w:rPr>
        <w:t>、</w:t>
      </w:r>
      <w:r>
        <w:rPr>
          <w:rFonts w:hint="eastAsia" w:ascii="宋体" w:hAnsi="宋体"/>
          <w:color w:val="auto"/>
          <w:szCs w:val="21"/>
          <w:highlight w:val="none"/>
        </w:rPr>
        <w:t>乙方为甲方服务期间，乙方与其具体履约工作人员的劳资纠纷或因本项目工作所发生的乙方人员事故及责任或导致他人遭受人身、财产损失的均由乙方承担，甲方概不负责，如造成甲方损失或涉诉（包括但不限于甲方对第三人承担赔偿、诉讼费、律师费、保全费、鉴定费、调查费、公证费、公告费、差旅费、诉讼财产保全责任保险费等）的，要求乙方赔偿全部损失及支付合同总金额20%作为违约金。</w:t>
      </w:r>
    </w:p>
    <w:p w14:paraId="33C193CA">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10</w:t>
      </w:r>
      <w:r>
        <w:rPr>
          <w:rFonts w:hint="eastAsia" w:ascii="宋体" w:hAnsi="宋体"/>
          <w:color w:val="auto"/>
          <w:szCs w:val="21"/>
          <w:highlight w:val="none"/>
          <w:lang w:eastAsia="zh-CN"/>
        </w:rPr>
        <w:t>、</w:t>
      </w:r>
      <w:r>
        <w:rPr>
          <w:rFonts w:hint="eastAsia" w:ascii="宋体" w:hAnsi="宋体"/>
          <w:color w:val="auto"/>
          <w:szCs w:val="21"/>
          <w:highlight w:val="none"/>
        </w:rPr>
        <w:t>如乙方未按甲方要求更换不称职、不符合要求的工作人员，每逾期一日按照合同总金额的千分之三向甲方支付违约金，并赔偿甲方因此所遭受的损失。如逾期超过10个工作日，甲方有权解除合同并要求乙方支付合同总金额的20%作为违约金。</w:t>
      </w:r>
    </w:p>
    <w:p w14:paraId="32AC9B19">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11</w:t>
      </w:r>
      <w:r>
        <w:rPr>
          <w:rFonts w:hint="eastAsia" w:ascii="宋体" w:hAnsi="宋体"/>
          <w:color w:val="auto"/>
          <w:szCs w:val="21"/>
          <w:highlight w:val="none"/>
          <w:lang w:eastAsia="zh-CN"/>
        </w:rPr>
        <w:t>、</w:t>
      </w:r>
      <w:r>
        <w:rPr>
          <w:rFonts w:hint="eastAsia" w:ascii="宋体" w:hAnsi="宋体"/>
          <w:color w:val="auto"/>
          <w:szCs w:val="21"/>
          <w:highlight w:val="none"/>
        </w:rPr>
        <w:t>乙方存在其他违约情形的，除本合同另有约定外，甲方有权要求乙方支付合同总金额的5%作为违约金。</w:t>
      </w:r>
    </w:p>
    <w:p w14:paraId="149B46DC">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12</w:t>
      </w:r>
      <w:r>
        <w:rPr>
          <w:rFonts w:hint="eastAsia" w:ascii="宋体" w:hAnsi="宋体"/>
          <w:color w:val="auto"/>
          <w:szCs w:val="21"/>
          <w:highlight w:val="none"/>
          <w:lang w:eastAsia="zh-CN"/>
        </w:rPr>
        <w:t>、</w:t>
      </w:r>
      <w:r>
        <w:rPr>
          <w:rFonts w:hint="eastAsia" w:ascii="宋体" w:hAnsi="宋体"/>
          <w:color w:val="auto"/>
          <w:szCs w:val="21"/>
          <w:highlight w:val="none"/>
        </w:rPr>
        <w:t>合同约定的违约金不足以弥补甲方全部损失的，乙方除支付合同约定的违约金外，还应承担全部赔偿责任。因乙方违约造成的甲方损失或应向甲方支付的违约金、赔偿金，甲方有权直接从未付款中扣除。</w:t>
      </w:r>
    </w:p>
    <w:p w14:paraId="496EA6E3">
      <w:pPr>
        <w:pStyle w:val="35"/>
        <w:ind w:firstLineChars="200"/>
        <w:rPr>
          <w:color w:val="auto"/>
          <w:sz w:val="21"/>
          <w:szCs w:val="21"/>
          <w:highlight w:val="none"/>
        </w:rPr>
      </w:pPr>
      <w:r>
        <w:rPr>
          <w:rFonts w:hint="eastAsia" w:ascii="宋体" w:hAnsi="宋体"/>
          <w:color w:val="auto"/>
          <w:szCs w:val="21"/>
          <w:highlight w:val="none"/>
        </w:rPr>
        <w:t>13</w:t>
      </w:r>
      <w:r>
        <w:rPr>
          <w:rFonts w:hint="eastAsia" w:ascii="宋体" w:hAnsi="宋体"/>
          <w:color w:val="auto"/>
          <w:szCs w:val="21"/>
          <w:highlight w:val="none"/>
          <w:lang w:eastAsia="zh-CN"/>
        </w:rPr>
        <w:t>、</w:t>
      </w:r>
      <w:r>
        <w:rPr>
          <w:rFonts w:hint="eastAsia" w:ascii="宋体" w:hAnsi="宋体"/>
          <w:color w:val="auto"/>
          <w:szCs w:val="21"/>
          <w:highlight w:val="none"/>
        </w:rPr>
        <w:t>因违约方违约行为，造成守约方支出的争议处理费用以及实现债权的费用（包括但不限于诉讼费、律师费、保全费、鉴定费、调查费、公证费、公告费、差旅费、诉讼财产保全责任保险费等）由违约方承担。</w:t>
      </w:r>
      <w:r>
        <w:rPr>
          <w:rFonts w:hint="eastAsia"/>
          <w:color w:val="auto"/>
          <w:sz w:val="21"/>
          <w:szCs w:val="21"/>
          <w:highlight w:val="none"/>
        </w:rPr>
        <w:t>。</w:t>
      </w:r>
    </w:p>
    <w:p w14:paraId="189E3E25">
      <w:pPr>
        <w:spacing w:line="360" w:lineRule="auto"/>
        <w:rPr>
          <w:rFonts w:hint="eastAsia" w:ascii="宋体" w:hAnsi="宋体"/>
          <w:b/>
          <w:color w:val="auto"/>
          <w:szCs w:val="21"/>
          <w:highlight w:val="none"/>
        </w:rPr>
      </w:pPr>
      <w:r>
        <w:rPr>
          <w:rFonts w:hint="eastAsia" w:ascii="宋体" w:hAnsi="宋体"/>
          <w:b/>
          <w:color w:val="auto"/>
          <w:szCs w:val="21"/>
          <w:highlight w:val="none"/>
        </w:rPr>
        <w:t>第十条  不可抗力事件处理</w:t>
      </w:r>
    </w:p>
    <w:p w14:paraId="291FACFB">
      <w:pPr>
        <w:snapToGrid w:val="0"/>
        <w:spacing w:line="360" w:lineRule="auto"/>
        <w:ind w:firstLine="408" w:firstLineChars="200"/>
        <w:rPr>
          <w:rFonts w:hint="eastAsia" w:ascii="宋体" w:hAnsi="宋体" w:cs="宋体"/>
          <w:color w:val="auto"/>
          <w:spacing w:val="-3"/>
          <w:szCs w:val="21"/>
          <w:highlight w:val="none"/>
        </w:rPr>
      </w:pPr>
      <w:r>
        <w:rPr>
          <w:rFonts w:hint="eastAsia" w:ascii="宋体" w:hAnsi="宋体" w:cs="宋体"/>
          <w:color w:val="auto"/>
          <w:spacing w:val="-3"/>
          <w:szCs w:val="21"/>
          <w:highlight w:val="none"/>
        </w:rPr>
        <w:t>1、由于不可抗力因素致合同无法履行时，双方应及时协商解决。</w:t>
      </w:r>
    </w:p>
    <w:p w14:paraId="321D283B">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2、在合同有效期内，任何一方因不可抗力事件导致不能履行合同，则合同履行期可延长，其延长期与不可抗力影响期相同。</w:t>
      </w:r>
    </w:p>
    <w:p w14:paraId="086578E1">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由于不可抗力事件不能全部或部分履行合同义务时，任何一方可中止履行其在本合同项下的义务（在不可抗力事件发生前已发生的应履行但未履行的义务除外）</w:t>
      </w:r>
      <w:r>
        <w:rPr>
          <w:rFonts w:hint="eastAsia" w:ascii="宋体" w:hAnsi="宋体"/>
          <w:color w:val="auto"/>
          <w:szCs w:val="21"/>
          <w:highlight w:val="none"/>
        </w:rPr>
        <w:t>。</w:t>
      </w:r>
    </w:p>
    <w:p w14:paraId="6DB8223E">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不可抗力事件发生后，应立即通知对方，并寄送有关权威机构出具的证明。声称不可抗力的一方应在任何时候采取合理的行动，以避免或尽量减少不可抗力事件的影响。因主观原因延误，未及时采取必要措施而导致损失扩大的，不能免除责任。</w:t>
      </w:r>
    </w:p>
    <w:p w14:paraId="033B619E">
      <w:pPr>
        <w:snapToGrid w:val="0"/>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5、不可抗力事件延续一百二十天以上，双方应通过友好协商，确定是否继续履行合同。</w:t>
      </w:r>
    </w:p>
    <w:p w14:paraId="3AD20479">
      <w:pPr>
        <w:spacing w:line="360" w:lineRule="auto"/>
        <w:rPr>
          <w:rFonts w:hint="eastAsia" w:ascii="宋体" w:hAnsi="宋体"/>
          <w:b/>
          <w:color w:val="auto"/>
          <w:szCs w:val="21"/>
          <w:highlight w:val="none"/>
        </w:rPr>
      </w:pPr>
      <w:r>
        <w:rPr>
          <w:rFonts w:hint="eastAsia" w:ascii="宋体" w:hAnsi="宋体"/>
          <w:b/>
          <w:color w:val="auto"/>
          <w:szCs w:val="21"/>
          <w:highlight w:val="none"/>
        </w:rPr>
        <w:t>第十一条  合同争议解决</w:t>
      </w:r>
    </w:p>
    <w:p w14:paraId="13954556">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1、因服务质量问题发生争议的，应邀请国家认可的质量检测机构进行鉴定。服务符合标准的，鉴定费由甲方承担；服务不符合标准的，鉴定费由乙方承担。</w:t>
      </w:r>
    </w:p>
    <w:p w14:paraId="23C46F91">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2、因履行本合同引起的或与本合同有关的争议，甲乙双方应首先通过友好协商解决，如果协商不能解决，可向甲方住所地有管辖权人民法院提起诉讼。</w:t>
      </w:r>
    </w:p>
    <w:p w14:paraId="3482C33F">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3、诉讼期间，本合同继续履行（解除合同除外）。</w:t>
      </w:r>
    </w:p>
    <w:p w14:paraId="7F87DD0E">
      <w:pPr>
        <w:spacing w:line="360" w:lineRule="auto"/>
        <w:rPr>
          <w:rFonts w:hint="eastAsia" w:ascii="宋体" w:hAnsi="宋体"/>
          <w:b/>
          <w:color w:val="auto"/>
          <w:szCs w:val="21"/>
          <w:highlight w:val="none"/>
        </w:rPr>
      </w:pPr>
      <w:r>
        <w:rPr>
          <w:rFonts w:hint="eastAsia" w:ascii="宋体" w:hAnsi="宋体"/>
          <w:b/>
          <w:color w:val="auto"/>
          <w:szCs w:val="21"/>
          <w:highlight w:val="none"/>
        </w:rPr>
        <w:t>第十二条  合同生效及其它</w:t>
      </w:r>
    </w:p>
    <w:p w14:paraId="71FE30F7">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1、合同经双方法定代表人或委托代理人签字并加盖单位公章后生效。</w:t>
      </w:r>
    </w:p>
    <w:p w14:paraId="69D76991">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2、本合同未尽事宜，双方可签订补充协议作为附件，补充协议与合同具有同等效力。</w:t>
      </w:r>
    </w:p>
    <w:p w14:paraId="4630983E">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双方确认的送达地址详见合同签署页，合同履行过程中需送达的协议、通知、函件、法律文书（包括但不限于起诉状、应诉通知、传票、裁定书、判决书、律师函）等文件资料一经寄送至送达地址即视为送达。各方的联系方式和送达地址需要变更时，应当自变更之日起三个工作日内以书面形式通知对方；未通知的，若对方邮寄送达的，与本合同相关的文件资料包括法律文书邮寄至送达地址即视为送达。</w:t>
      </w:r>
    </w:p>
    <w:p w14:paraId="6641F9D2">
      <w:pPr>
        <w:spacing w:line="360" w:lineRule="auto"/>
        <w:rPr>
          <w:rFonts w:hint="eastAsia" w:ascii="宋体" w:hAnsi="宋体"/>
          <w:b/>
          <w:color w:val="auto"/>
          <w:szCs w:val="21"/>
          <w:highlight w:val="none"/>
        </w:rPr>
      </w:pPr>
      <w:r>
        <w:rPr>
          <w:rFonts w:hint="eastAsia" w:ascii="宋体" w:hAnsi="宋体"/>
          <w:b/>
          <w:color w:val="auto"/>
          <w:szCs w:val="21"/>
          <w:highlight w:val="none"/>
        </w:rPr>
        <w:t>第十三条 合同的变更、终止与转让</w:t>
      </w:r>
    </w:p>
    <w:p w14:paraId="37EC0BEB">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1、除《中华人民共和国政府采购法》第五十条规定的情形外，本合同一经签订，甲乙双方不得擅自变更、中止或终止。</w:t>
      </w:r>
    </w:p>
    <w:p w14:paraId="629FC562">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2、乙方不得擅自转让其应履行的合同义务。</w:t>
      </w:r>
    </w:p>
    <w:p w14:paraId="4C1E7B23">
      <w:pPr>
        <w:spacing w:line="360" w:lineRule="auto"/>
        <w:rPr>
          <w:rFonts w:hint="eastAsia" w:ascii="宋体" w:hAnsi="宋体"/>
          <w:b/>
          <w:color w:val="auto"/>
          <w:szCs w:val="21"/>
          <w:highlight w:val="none"/>
        </w:rPr>
      </w:pPr>
      <w:r>
        <w:rPr>
          <w:rFonts w:hint="eastAsia" w:ascii="宋体" w:hAnsi="宋体"/>
          <w:b/>
          <w:color w:val="auto"/>
          <w:szCs w:val="21"/>
          <w:highlight w:val="none"/>
        </w:rPr>
        <w:t>第十四条 本合同附件</w:t>
      </w:r>
    </w:p>
    <w:p w14:paraId="55066819">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1、磋商文件；</w:t>
      </w:r>
    </w:p>
    <w:p w14:paraId="176C2EC5">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2、乙方提供的响应文件；</w:t>
      </w:r>
    </w:p>
    <w:p w14:paraId="1B3C7A6D">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3、响应函；</w:t>
      </w:r>
    </w:p>
    <w:p w14:paraId="7D028818">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4、成交通知书。</w:t>
      </w:r>
    </w:p>
    <w:p w14:paraId="71BE96DE">
      <w:pPr>
        <w:snapToGrid w:val="0"/>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5、其他</w:t>
      </w:r>
      <w:r>
        <w:rPr>
          <w:rFonts w:hint="eastAsia" w:ascii="宋体" w:hAnsi="宋体"/>
          <w:color w:val="auto"/>
          <w:szCs w:val="21"/>
          <w:highlight w:val="none"/>
        </w:rPr>
        <w:t>相关文件</w:t>
      </w:r>
      <w:r>
        <w:rPr>
          <w:rFonts w:hint="eastAsia" w:ascii="宋体" w:hAnsi="宋体"/>
          <w:color w:val="auto"/>
          <w:szCs w:val="21"/>
          <w:highlight w:val="none"/>
          <w:lang w:eastAsia="zh-CN"/>
        </w:rPr>
        <w:t>。</w:t>
      </w:r>
    </w:p>
    <w:p w14:paraId="4B151AE4">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上述合同文件互相补充和解释。如果合同文件之间存在矛盾或者不一致之处，以上述文件的排列顺序在先者为准。</w:t>
      </w:r>
    </w:p>
    <w:p w14:paraId="1585DC48">
      <w:pPr>
        <w:snapToGrid w:val="0"/>
        <w:spacing w:line="360" w:lineRule="auto"/>
        <w:rPr>
          <w:rFonts w:hint="eastAsia" w:ascii="宋体" w:hAnsi="宋体"/>
          <w:color w:val="auto"/>
          <w:szCs w:val="21"/>
          <w:highlight w:val="none"/>
        </w:rPr>
      </w:pPr>
      <w:r>
        <w:rPr>
          <w:rFonts w:hint="eastAsia" w:ascii="宋体" w:hAnsi="宋体"/>
          <w:b/>
          <w:color w:val="auto"/>
          <w:szCs w:val="21"/>
          <w:highlight w:val="none"/>
        </w:rPr>
        <w:t>第十五条</w:t>
      </w:r>
      <w:r>
        <w:rPr>
          <w:rFonts w:ascii="宋体" w:hAnsi="宋体"/>
          <w:color w:val="auto"/>
          <w:szCs w:val="21"/>
          <w:highlight w:val="none"/>
        </w:rPr>
        <w:t xml:space="preserve"> </w:t>
      </w:r>
      <w:r>
        <w:rPr>
          <w:rFonts w:hint="eastAsia" w:ascii="宋体" w:hAnsi="宋体"/>
          <w:color w:val="auto"/>
          <w:szCs w:val="21"/>
          <w:highlight w:val="none"/>
        </w:rPr>
        <w:t>本合同一式柒份，具有同等法律效力，采购代理机构壹份，甲方肆份，乙方贰份（可根据需要另增加）。</w:t>
      </w:r>
    </w:p>
    <w:p w14:paraId="2024CEB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本合同自签订之日起七个工作日内，甲方或采购代理机构应当将合同副本报同级采购监督部门备案。</w:t>
      </w:r>
    </w:p>
    <w:p w14:paraId="6120EB62">
      <w:pPr>
        <w:pStyle w:val="35"/>
        <w:ind w:firstLine="0" w:firstLineChars="0"/>
        <w:rPr>
          <w:rFonts w:hint="eastAsia" w:ascii="宋体" w:hAnsi="宋体"/>
          <w:color w:val="auto"/>
          <w:sz w:val="21"/>
          <w:szCs w:val="21"/>
          <w:highlight w:val="none"/>
        </w:rPr>
      </w:pP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8"/>
        <w:gridCol w:w="4680"/>
      </w:tblGrid>
      <w:tr w14:paraId="13FF4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788" w:type="dxa"/>
            <w:vAlign w:val="center"/>
          </w:tcPr>
          <w:p w14:paraId="411325F2">
            <w:pPr>
              <w:rPr>
                <w:rFonts w:hint="eastAsia" w:ascii="宋体" w:hAnsi="宋体"/>
                <w:color w:val="auto"/>
                <w:szCs w:val="21"/>
                <w:highlight w:val="none"/>
              </w:rPr>
            </w:pPr>
            <w:r>
              <w:rPr>
                <w:rFonts w:hint="eastAsia" w:ascii="宋体" w:hAnsi="宋体"/>
                <w:color w:val="auto"/>
                <w:szCs w:val="21"/>
                <w:highlight w:val="none"/>
              </w:rPr>
              <w:t>甲方（采购单位）（章）</w:t>
            </w:r>
            <w:r>
              <w:rPr>
                <w:rFonts w:hint="eastAsia" w:ascii="宋体" w:hAnsi="宋体"/>
                <w:color w:val="auto"/>
                <w:szCs w:val="21"/>
                <w:highlight w:val="none"/>
                <w:lang w:eastAsia="zh-CN"/>
              </w:rPr>
              <w:t>广西壮族自治区就业服务中心</w:t>
            </w:r>
            <w:r>
              <w:rPr>
                <w:rFonts w:hint="eastAsia" w:ascii="宋体" w:hAnsi="宋体"/>
                <w:color w:val="auto"/>
                <w:szCs w:val="21"/>
                <w:highlight w:val="none"/>
              </w:rPr>
              <w:t xml:space="preserve">           </w:t>
            </w:r>
          </w:p>
          <w:p w14:paraId="7344124F">
            <w:pPr>
              <w:rPr>
                <w:rFonts w:hint="eastAsia" w:ascii="宋体" w:hAnsi="宋体"/>
                <w:color w:val="auto"/>
                <w:szCs w:val="21"/>
                <w:highlight w:val="none"/>
              </w:rPr>
            </w:pPr>
          </w:p>
          <w:p w14:paraId="777F07A3">
            <w:pPr>
              <w:rPr>
                <w:rFonts w:hint="eastAsia" w:ascii="宋体" w:hAnsi="宋体"/>
                <w:color w:val="auto"/>
                <w:szCs w:val="21"/>
                <w:highlight w:val="none"/>
              </w:rPr>
            </w:pPr>
          </w:p>
          <w:p w14:paraId="4FD26262">
            <w:pPr>
              <w:rPr>
                <w:rFonts w:hint="eastAsia" w:ascii="宋体" w:hAnsi="宋体"/>
                <w:color w:val="auto"/>
                <w:szCs w:val="21"/>
                <w:highlight w:val="none"/>
              </w:rPr>
            </w:pPr>
            <w:r>
              <w:rPr>
                <w:rFonts w:hint="eastAsia" w:ascii="宋体" w:hAnsi="宋体"/>
                <w:color w:val="auto"/>
                <w:szCs w:val="21"/>
                <w:highlight w:val="none"/>
              </w:rPr>
              <w:t>年   月   日</w:t>
            </w:r>
          </w:p>
        </w:tc>
        <w:tc>
          <w:tcPr>
            <w:tcW w:w="4680" w:type="dxa"/>
            <w:vAlign w:val="center"/>
          </w:tcPr>
          <w:p w14:paraId="07297AFA">
            <w:pPr>
              <w:rPr>
                <w:rFonts w:hint="eastAsia" w:ascii="宋体" w:hAnsi="宋体"/>
                <w:color w:val="auto"/>
                <w:szCs w:val="21"/>
                <w:highlight w:val="none"/>
              </w:rPr>
            </w:pPr>
            <w:r>
              <w:rPr>
                <w:rFonts w:hint="eastAsia" w:ascii="宋体" w:hAnsi="宋体"/>
                <w:color w:val="auto"/>
                <w:szCs w:val="21"/>
                <w:highlight w:val="none"/>
              </w:rPr>
              <w:t xml:space="preserve">乙方（供应商）（章）              </w:t>
            </w:r>
          </w:p>
          <w:p w14:paraId="6D39A6B7">
            <w:pPr>
              <w:rPr>
                <w:rFonts w:hint="eastAsia" w:ascii="宋体" w:hAnsi="宋体"/>
                <w:color w:val="auto"/>
                <w:szCs w:val="21"/>
                <w:highlight w:val="none"/>
              </w:rPr>
            </w:pPr>
          </w:p>
          <w:p w14:paraId="73F7499C">
            <w:pPr>
              <w:rPr>
                <w:rFonts w:hint="eastAsia" w:ascii="宋体" w:hAnsi="宋体"/>
                <w:color w:val="auto"/>
                <w:szCs w:val="21"/>
                <w:highlight w:val="none"/>
              </w:rPr>
            </w:pPr>
          </w:p>
          <w:p w14:paraId="5D6D2BB6">
            <w:pPr>
              <w:rPr>
                <w:rFonts w:hint="eastAsia" w:ascii="宋体" w:hAnsi="宋体"/>
                <w:color w:val="auto"/>
                <w:szCs w:val="21"/>
                <w:highlight w:val="none"/>
              </w:rPr>
            </w:pPr>
            <w:r>
              <w:rPr>
                <w:rFonts w:hint="eastAsia" w:ascii="宋体" w:hAnsi="宋体"/>
                <w:color w:val="auto"/>
                <w:szCs w:val="21"/>
                <w:highlight w:val="none"/>
              </w:rPr>
              <w:t xml:space="preserve"> 年   月   日</w:t>
            </w:r>
          </w:p>
        </w:tc>
      </w:tr>
      <w:tr w14:paraId="44CF6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trPr>
        <w:tc>
          <w:tcPr>
            <w:tcW w:w="4788" w:type="dxa"/>
            <w:vAlign w:val="center"/>
          </w:tcPr>
          <w:p w14:paraId="0DDED73B">
            <w:pPr>
              <w:rPr>
                <w:rFonts w:hint="eastAsia" w:ascii="宋体" w:hAnsi="宋体" w:eastAsia="宋体"/>
                <w:color w:val="auto"/>
                <w:szCs w:val="21"/>
                <w:highlight w:val="none"/>
                <w:lang w:eastAsia="zh-CN"/>
              </w:rPr>
            </w:pPr>
            <w:r>
              <w:rPr>
                <w:rFonts w:hint="eastAsia" w:ascii="宋体" w:hAnsi="宋体"/>
                <w:color w:val="auto"/>
                <w:szCs w:val="21"/>
                <w:highlight w:val="none"/>
              </w:rPr>
              <w:t>单位地址：</w:t>
            </w:r>
            <w:r>
              <w:rPr>
                <w:rFonts w:hint="eastAsia" w:hAnsi="宋体"/>
                <w:color w:val="auto"/>
                <w:szCs w:val="21"/>
                <w:highlight w:val="none"/>
                <w:lang w:eastAsia="zh-CN"/>
              </w:rPr>
              <w:t>南宁市桂春路9号</w:t>
            </w:r>
          </w:p>
        </w:tc>
        <w:tc>
          <w:tcPr>
            <w:tcW w:w="4680" w:type="dxa"/>
            <w:vAlign w:val="center"/>
          </w:tcPr>
          <w:p w14:paraId="09F59089">
            <w:pPr>
              <w:rPr>
                <w:rFonts w:hint="eastAsia" w:ascii="宋体" w:hAnsi="宋体"/>
                <w:color w:val="auto"/>
                <w:szCs w:val="21"/>
                <w:highlight w:val="none"/>
              </w:rPr>
            </w:pPr>
            <w:r>
              <w:rPr>
                <w:rFonts w:hint="eastAsia" w:ascii="宋体" w:hAnsi="宋体"/>
                <w:color w:val="auto"/>
                <w:szCs w:val="21"/>
                <w:highlight w:val="none"/>
              </w:rPr>
              <w:t>单位地址：</w:t>
            </w:r>
          </w:p>
        </w:tc>
      </w:tr>
      <w:tr w14:paraId="1ED17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4788" w:type="dxa"/>
            <w:vAlign w:val="center"/>
          </w:tcPr>
          <w:p w14:paraId="7F0BED15">
            <w:pPr>
              <w:rPr>
                <w:rFonts w:hint="eastAsia" w:ascii="宋体" w:hAnsi="宋体"/>
                <w:color w:val="auto"/>
                <w:szCs w:val="21"/>
                <w:highlight w:val="none"/>
              </w:rPr>
            </w:pPr>
            <w:r>
              <w:rPr>
                <w:rFonts w:hint="eastAsia" w:ascii="宋体" w:hAnsi="宋体"/>
                <w:color w:val="auto"/>
                <w:szCs w:val="21"/>
                <w:highlight w:val="none"/>
              </w:rPr>
              <w:t>法定代表人：</w:t>
            </w:r>
          </w:p>
        </w:tc>
        <w:tc>
          <w:tcPr>
            <w:tcW w:w="4680" w:type="dxa"/>
            <w:vAlign w:val="center"/>
          </w:tcPr>
          <w:p w14:paraId="18AE8149">
            <w:pPr>
              <w:rPr>
                <w:rFonts w:hint="eastAsia" w:ascii="宋体" w:hAnsi="宋体"/>
                <w:color w:val="auto"/>
                <w:szCs w:val="21"/>
                <w:highlight w:val="none"/>
              </w:rPr>
            </w:pPr>
            <w:r>
              <w:rPr>
                <w:rFonts w:hint="eastAsia" w:ascii="宋体" w:hAnsi="宋体"/>
                <w:color w:val="auto"/>
                <w:szCs w:val="21"/>
                <w:highlight w:val="none"/>
              </w:rPr>
              <w:t>法定代表人：</w:t>
            </w:r>
          </w:p>
        </w:tc>
      </w:tr>
      <w:tr w14:paraId="2C7BD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788" w:type="dxa"/>
            <w:vAlign w:val="center"/>
          </w:tcPr>
          <w:p w14:paraId="418BD5D4">
            <w:pPr>
              <w:rPr>
                <w:rFonts w:hint="eastAsia" w:ascii="宋体" w:hAnsi="宋体"/>
                <w:color w:val="auto"/>
                <w:szCs w:val="21"/>
                <w:highlight w:val="none"/>
              </w:rPr>
            </w:pPr>
            <w:r>
              <w:rPr>
                <w:rFonts w:hint="eastAsia" w:ascii="宋体" w:hAnsi="宋体"/>
                <w:color w:val="auto"/>
                <w:szCs w:val="21"/>
                <w:highlight w:val="none"/>
              </w:rPr>
              <w:t>委托代理人：</w:t>
            </w:r>
          </w:p>
        </w:tc>
        <w:tc>
          <w:tcPr>
            <w:tcW w:w="4680" w:type="dxa"/>
            <w:vAlign w:val="center"/>
          </w:tcPr>
          <w:p w14:paraId="69304C2D">
            <w:pPr>
              <w:rPr>
                <w:rFonts w:hint="eastAsia" w:ascii="宋体" w:hAnsi="宋体"/>
                <w:color w:val="auto"/>
                <w:szCs w:val="21"/>
                <w:highlight w:val="none"/>
              </w:rPr>
            </w:pPr>
            <w:r>
              <w:rPr>
                <w:rFonts w:hint="eastAsia" w:ascii="宋体" w:hAnsi="宋体"/>
                <w:color w:val="auto"/>
                <w:szCs w:val="21"/>
                <w:highlight w:val="none"/>
              </w:rPr>
              <w:t>委托代理人：</w:t>
            </w:r>
          </w:p>
        </w:tc>
      </w:tr>
      <w:tr w14:paraId="44D92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trPr>
        <w:tc>
          <w:tcPr>
            <w:tcW w:w="4788" w:type="dxa"/>
            <w:vAlign w:val="center"/>
          </w:tcPr>
          <w:p w14:paraId="0E65E383">
            <w:pPr>
              <w:rPr>
                <w:rFonts w:hint="eastAsia" w:ascii="宋体" w:hAnsi="宋体"/>
                <w:color w:val="auto"/>
                <w:szCs w:val="21"/>
                <w:highlight w:val="none"/>
              </w:rPr>
            </w:pPr>
            <w:r>
              <w:rPr>
                <w:rFonts w:hint="eastAsia" w:ascii="宋体" w:hAnsi="宋体"/>
                <w:color w:val="auto"/>
                <w:szCs w:val="21"/>
                <w:highlight w:val="none"/>
              </w:rPr>
              <w:t>电话：</w:t>
            </w:r>
          </w:p>
        </w:tc>
        <w:tc>
          <w:tcPr>
            <w:tcW w:w="4680" w:type="dxa"/>
            <w:vAlign w:val="center"/>
          </w:tcPr>
          <w:p w14:paraId="73759D0D">
            <w:pPr>
              <w:rPr>
                <w:rFonts w:hint="eastAsia" w:ascii="宋体" w:hAnsi="宋体"/>
                <w:color w:val="auto"/>
                <w:szCs w:val="21"/>
                <w:highlight w:val="none"/>
              </w:rPr>
            </w:pPr>
            <w:r>
              <w:rPr>
                <w:rFonts w:hint="eastAsia" w:ascii="宋体" w:hAnsi="宋体"/>
                <w:color w:val="auto"/>
                <w:szCs w:val="21"/>
                <w:highlight w:val="none"/>
              </w:rPr>
              <w:t>电话：</w:t>
            </w:r>
          </w:p>
        </w:tc>
      </w:tr>
      <w:tr w14:paraId="60041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4788" w:type="dxa"/>
            <w:vAlign w:val="center"/>
          </w:tcPr>
          <w:p w14:paraId="78D44929">
            <w:pPr>
              <w:rPr>
                <w:rFonts w:hint="eastAsia" w:ascii="宋体" w:hAnsi="宋体"/>
                <w:color w:val="auto"/>
                <w:szCs w:val="21"/>
                <w:highlight w:val="none"/>
              </w:rPr>
            </w:pPr>
            <w:r>
              <w:rPr>
                <w:rFonts w:hint="eastAsia" w:ascii="宋体" w:hAnsi="宋体"/>
                <w:color w:val="auto"/>
                <w:szCs w:val="21"/>
                <w:highlight w:val="none"/>
              </w:rPr>
              <w:t>电子邮箱：</w:t>
            </w:r>
          </w:p>
        </w:tc>
        <w:tc>
          <w:tcPr>
            <w:tcW w:w="4680" w:type="dxa"/>
            <w:vAlign w:val="center"/>
          </w:tcPr>
          <w:p w14:paraId="04991C6F">
            <w:pPr>
              <w:rPr>
                <w:rFonts w:hint="eastAsia" w:ascii="宋体" w:hAnsi="宋体"/>
                <w:color w:val="auto"/>
                <w:szCs w:val="21"/>
                <w:highlight w:val="none"/>
              </w:rPr>
            </w:pPr>
            <w:r>
              <w:rPr>
                <w:rFonts w:hint="eastAsia" w:ascii="宋体" w:hAnsi="宋体"/>
                <w:color w:val="auto"/>
                <w:szCs w:val="21"/>
                <w:highlight w:val="none"/>
              </w:rPr>
              <w:t>电子邮箱：</w:t>
            </w:r>
          </w:p>
        </w:tc>
      </w:tr>
      <w:tr w14:paraId="6CC7F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788" w:type="dxa"/>
            <w:vAlign w:val="center"/>
          </w:tcPr>
          <w:p w14:paraId="6ED6C608">
            <w:pPr>
              <w:rPr>
                <w:rFonts w:hint="eastAsia" w:ascii="宋体" w:hAnsi="宋体"/>
                <w:color w:val="auto"/>
                <w:szCs w:val="21"/>
                <w:highlight w:val="none"/>
              </w:rPr>
            </w:pPr>
            <w:r>
              <w:rPr>
                <w:rFonts w:hint="eastAsia" w:ascii="宋体" w:hAnsi="宋体"/>
                <w:color w:val="auto"/>
                <w:szCs w:val="21"/>
                <w:highlight w:val="none"/>
              </w:rPr>
              <w:t>开户银行：</w:t>
            </w:r>
          </w:p>
        </w:tc>
        <w:tc>
          <w:tcPr>
            <w:tcW w:w="4680" w:type="dxa"/>
            <w:vAlign w:val="center"/>
          </w:tcPr>
          <w:p w14:paraId="698B6D92">
            <w:pPr>
              <w:rPr>
                <w:rFonts w:hint="eastAsia" w:ascii="宋体" w:hAnsi="宋体"/>
                <w:color w:val="auto"/>
                <w:szCs w:val="21"/>
                <w:highlight w:val="none"/>
              </w:rPr>
            </w:pPr>
            <w:r>
              <w:rPr>
                <w:rFonts w:hint="eastAsia" w:ascii="宋体" w:hAnsi="宋体"/>
                <w:color w:val="auto"/>
                <w:szCs w:val="21"/>
                <w:highlight w:val="none"/>
              </w:rPr>
              <w:t>开户银行：</w:t>
            </w:r>
          </w:p>
        </w:tc>
      </w:tr>
      <w:tr w14:paraId="31475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trPr>
        <w:tc>
          <w:tcPr>
            <w:tcW w:w="4788" w:type="dxa"/>
            <w:vAlign w:val="center"/>
          </w:tcPr>
          <w:p w14:paraId="10AD5ABD">
            <w:pPr>
              <w:rPr>
                <w:rFonts w:hint="eastAsia" w:ascii="宋体" w:hAnsi="宋体"/>
                <w:color w:val="auto"/>
                <w:szCs w:val="21"/>
                <w:highlight w:val="none"/>
              </w:rPr>
            </w:pPr>
            <w:r>
              <w:rPr>
                <w:rFonts w:hint="eastAsia" w:ascii="宋体" w:hAnsi="宋体"/>
                <w:color w:val="auto"/>
                <w:szCs w:val="21"/>
                <w:highlight w:val="none"/>
              </w:rPr>
              <w:t>账号：</w:t>
            </w:r>
          </w:p>
        </w:tc>
        <w:tc>
          <w:tcPr>
            <w:tcW w:w="4680" w:type="dxa"/>
            <w:vAlign w:val="center"/>
          </w:tcPr>
          <w:p w14:paraId="1CB96490">
            <w:pPr>
              <w:rPr>
                <w:rFonts w:hint="eastAsia" w:ascii="宋体" w:hAnsi="宋体"/>
                <w:color w:val="auto"/>
                <w:szCs w:val="21"/>
                <w:highlight w:val="none"/>
              </w:rPr>
            </w:pPr>
            <w:r>
              <w:rPr>
                <w:rFonts w:hint="eastAsia" w:ascii="宋体" w:hAnsi="宋体"/>
                <w:color w:val="auto"/>
                <w:szCs w:val="21"/>
                <w:highlight w:val="none"/>
              </w:rPr>
              <w:t>账号：</w:t>
            </w:r>
          </w:p>
        </w:tc>
      </w:tr>
      <w:tr w14:paraId="25327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788" w:type="dxa"/>
            <w:vAlign w:val="center"/>
          </w:tcPr>
          <w:p w14:paraId="51D6DF17">
            <w:pPr>
              <w:rPr>
                <w:rFonts w:hint="eastAsia" w:ascii="宋体" w:hAnsi="宋体"/>
                <w:color w:val="auto"/>
                <w:szCs w:val="21"/>
                <w:highlight w:val="none"/>
              </w:rPr>
            </w:pPr>
            <w:r>
              <w:rPr>
                <w:rFonts w:hint="eastAsia" w:ascii="宋体" w:hAnsi="宋体"/>
                <w:color w:val="auto"/>
                <w:szCs w:val="21"/>
                <w:highlight w:val="none"/>
              </w:rPr>
              <w:t>邮政编码：</w:t>
            </w:r>
          </w:p>
        </w:tc>
        <w:tc>
          <w:tcPr>
            <w:tcW w:w="4680" w:type="dxa"/>
            <w:vAlign w:val="center"/>
          </w:tcPr>
          <w:p w14:paraId="05F8FB8C">
            <w:pPr>
              <w:rPr>
                <w:rFonts w:hint="eastAsia" w:ascii="宋体" w:hAnsi="宋体"/>
                <w:color w:val="auto"/>
                <w:szCs w:val="21"/>
                <w:highlight w:val="none"/>
              </w:rPr>
            </w:pPr>
            <w:r>
              <w:rPr>
                <w:rFonts w:hint="eastAsia" w:ascii="宋体" w:hAnsi="宋体"/>
                <w:color w:val="auto"/>
                <w:szCs w:val="21"/>
                <w:highlight w:val="none"/>
              </w:rPr>
              <w:t>邮政编码：</w:t>
            </w:r>
          </w:p>
        </w:tc>
      </w:tr>
    </w:tbl>
    <w:p w14:paraId="52611CED">
      <w:pPr>
        <w:rPr>
          <w:color w:val="auto"/>
          <w:szCs w:val="21"/>
          <w:highlight w:val="none"/>
        </w:rPr>
      </w:pPr>
    </w:p>
    <w:p w14:paraId="340BE897">
      <w:pPr>
        <w:rPr>
          <w:color w:val="auto"/>
          <w:szCs w:val="21"/>
          <w:highlight w:val="none"/>
        </w:rPr>
      </w:pPr>
    </w:p>
    <w:p w14:paraId="73734B42">
      <w:pPr>
        <w:rPr>
          <w:color w:val="auto"/>
          <w:szCs w:val="21"/>
          <w:highlight w:val="none"/>
        </w:rPr>
      </w:pPr>
      <w:r>
        <w:rPr>
          <w:color w:val="auto"/>
          <w:szCs w:val="21"/>
          <w:highlight w:val="none"/>
        </w:rPr>
        <w:br w:type="page"/>
      </w:r>
    </w:p>
    <w:p w14:paraId="184D62AF">
      <w:pPr>
        <w:jc w:val="center"/>
        <w:rPr>
          <w:rFonts w:hint="eastAsia" w:ascii="宋体" w:hAnsi="宋体"/>
          <w:b/>
          <w:color w:val="auto"/>
          <w:szCs w:val="21"/>
          <w:highlight w:val="none"/>
        </w:rPr>
      </w:pPr>
      <w:r>
        <w:rPr>
          <w:rFonts w:hint="eastAsia" w:ascii="宋体" w:hAnsi="宋体"/>
          <w:b/>
          <w:color w:val="auto"/>
          <w:szCs w:val="21"/>
          <w:highlight w:val="none"/>
        </w:rPr>
        <w:t>合 同 附 件</w:t>
      </w:r>
    </w:p>
    <w:tbl>
      <w:tblPr>
        <w:tblStyle w:val="36"/>
        <w:tblW w:w="0" w:type="auto"/>
        <w:tblInd w:w="0" w:type="dxa"/>
        <w:tblLayout w:type="fixed"/>
        <w:tblCellMar>
          <w:top w:w="0" w:type="dxa"/>
          <w:left w:w="108" w:type="dxa"/>
          <w:bottom w:w="0" w:type="dxa"/>
          <w:right w:w="108" w:type="dxa"/>
        </w:tblCellMar>
      </w:tblPr>
      <w:tblGrid>
        <w:gridCol w:w="4788"/>
        <w:gridCol w:w="4680"/>
      </w:tblGrid>
      <w:tr w14:paraId="28D7C250">
        <w:tblPrEx>
          <w:tblCellMar>
            <w:top w:w="0" w:type="dxa"/>
            <w:left w:w="108" w:type="dxa"/>
            <w:bottom w:w="0" w:type="dxa"/>
            <w:right w:w="108" w:type="dxa"/>
          </w:tblCellMar>
        </w:tblPrEx>
        <w:trPr>
          <w:trHeight w:val="956" w:hRule="atLeast"/>
        </w:trPr>
        <w:tc>
          <w:tcPr>
            <w:tcW w:w="9468" w:type="dxa"/>
            <w:gridSpan w:val="2"/>
            <w:tcBorders>
              <w:top w:val="single" w:color="auto" w:sz="4" w:space="0"/>
              <w:left w:val="single" w:color="auto" w:sz="4" w:space="0"/>
              <w:bottom w:val="nil"/>
              <w:right w:val="single" w:color="auto" w:sz="4" w:space="0"/>
            </w:tcBorders>
          </w:tcPr>
          <w:p w14:paraId="51A3F042">
            <w:pPr>
              <w:rPr>
                <w:rFonts w:hint="eastAsia" w:ascii="宋体" w:hAnsi="宋体"/>
                <w:color w:val="auto"/>
                <w:szCs w:val="21"/>
                <w:highlight w:val="none"/>
              </w:rPr>
            </w:pPr>
            <w:r>
              <w:rPr>
                <w:rFonts w:hint="eastAsia" w:ascii="宋体" w:hAnsi="宋体"/>
                <w:color w:val="auto"/>
                <w:szCs w:val="21"/>
                <w:highlight w:val="none"/>
              </w:rPr>
              <w:t>1、供应商承诺具体事项：</w:t>
            </w:r>
          </w:p>
          <w:p w14:paraId="624C5FAA">
            <w:pPr>
              <w:rPr>
                <w:rFonts w:hint="eastAsia" w:ascii="宋体" w:hAnsi="宋体"/>
                <w:color w:val="auto"/>
                <w:szCs w:val="21"/>
                <w:highlight w:val="none"/>
              </w:rPr>
            </w:pPr>
            <w:r>
              <w:rPr>
                <w:rFonts w:hint="eastAsia" w:ascii="宋体" w:hAnsi="宋体"/>
                <w:color w:val="auto"/>
                <w:szCs w:val="21"/>
                <w:highlight w:val="none"/>
              </w:rPr>
              <w:t>详见《响应函》</w:t>
            </w:r>
          </w:p>
        </w:tc>
      </w:tr>
      <w:tr w14:paraId="72488239">
        <w:tblPrEx>
          <w:tblCellMar>
            <w:top w:w="0" w:type="dxa"/>
            <w:left w:w="108" w:type="dxa"/>
            <w:bottom w:w="0" w:type="dxa"/>
            <w:right w:w="108" w:type="dxa"/>
          </w:tblCellMar>
        </w:tblPrEx>
        <w:trPr>
          <w:trHeight w:val="756" w:hRule="atLeast"/>
        </w:trPr>
        <w:tc>
          <w:tcPr>
            <w:tcW w:w="9468" w:type="dxa"/>
            <w:gridSpan w:val="2"/>
            <w:tcBorders>
              <w:top w:val="single" w:color="auto" w:sz="4" w:space="0"/>
              <w:left w:val="single" w:color="auto" w:sz="4" w:space="0"/>
              <w:bottom w:val="nil"/>
              <w:right w:val="single" w:color="auto" w:sz="4" w:space="0"/>
            </w:tcBorders>
          </w:tcPr>
          <w:p w14:paraId="43CE8306">
            <w:pPr>
              <w:rPr>
                <w:rFonts w:hint="eastAsia" w:ascii="宋体" w:hAnsi="宋体"/>
                <w:color w:val="auto"/>
                <w:szCs w:val="21"/>
                <w:highlight w:val="none"/>
              </w:rPr>
            </w:pPr>
            <w:r>
              <w:rPr>
                <w:rFonts w:hint="eastAsia" w:ascii="宋体" w:hAnsi="宋体"/>
                <w:color w:val="auto"/>
                <w:szCs w:val="21"/>
                <w:highlight w:val="none"/>
              </w:rPr>
              <w:t>2、服务承诺具体事项：</w:t>
            </w:r>
          </w:p>
          <w:p w14:paraId="248A0BC3">
            <w:pPr>
              <w:rPr>
                <w:rFonts w:hint="eastAsia" w:ascii="宋体" w:hAnsi="宋体"/>
                <w:color w:val="auto"/>
                <w:szCs w:val="21"/>
                <w:highlight w:val="none"/>
              </w:rPr>
            </w:pPr>
            <w:r>
              <w:rPr>
                <w:rFonts w:hint="eastAsia" w:ascii="宋体" w:hAnsi="宋体"/>
                <w:color w:val="auto"/>
                <w:szCs w:val="21"/>
                <w:highlight w:val="none"/>
              </w:rPr>
              <w:t>详见《服务方案》</w:t>
            </w:r>
          </w:p>
        </w:tc>
      </w:tr>
      <w:tr w14:paraId="0531A92A">
        <w:tblPrEx>
          <w:tblCellMar>
            <w:top w:w="0" w:type="dxa"/>
            <w:left w:w="108" w:type="dxa"/>
            <w:bottom w:w="0" w:type="dxa"/>
            <w:right w:w="108" w:type="dxa"/>
          </w:tblCellMar>
        </w:tblPrEx>
        <w:trPr>
          <w:trHeight w:val="922" w:hRule="atLeast"/>
        </w:trPr>
        <w:tc>
          <w:tcPr>
            <w:tcW w:w="9468" w:type="dxa"/>
            <w:gridSpan w:val="2"/>
            <w:tcBorders>
              <w:top w:val="single" w:color="auto" w:sz="4" w:space="0"/>
              <w:left w:val="single" w:color="auto" w:sz="4" w:space="0"/>
              <w:bottom w:val="nil"/>
              <w:right w:val="single" w:color="auto" w:sz="4" w:space="0"/>
            </w:tcBorders>
          </w:tcPr>
          <w:p w14:paraId="496F8F4E">
            <w:pPr>
              <w:rPr>
                <w:rFonts w:hint="eastAsia" w:ascii="宋体" w:hAnsi="宋体"/>
                <w:color w:val="auto"/>
                <w:szCs w:val="21"/>
                <w:highlight w:val="none"/>
              </w:rPr>
            </w:pPr>
            <w:r>
              <w:rPr>
                <w:rFonts w:hint="eastAsia" w:ascii="宋体" w:hAnsi="宋体"/>
                <w:color w:val="auto"/>
                <w:szCs w:val="21"/>
                <w:highlight w:val="none"/>
              </w:rPr>
              <w:t xml:space="preserve">3、其他具体事项： </w:t>
            </w:r>
          </w:p>
          <w:p w14:paraId="18A83DD0">
            <w:pPr>
              <w:rPr>
                <w:rFonts w:hint="eastAsia" w:ascii="宋体" w:hAnsi="宋体"/>
                <w:color w:val="auto"/>
                <w:szCs w:val="21"/>
                <w:highlight w:val="none"/>
              </w:rPr>
            </w:pPr>
            <w:r>
              <w:rPr>
                <w:rFonts w:hint="eastAsia" w:ascii="宋体" w:hAnsi="宋体"/>
                <w:color w:val="auto"/>
                <w:szCs w:val="21"/>
                <w:highlight w:val="none"/>
              </w:rPr>
              <w:t>详见项目《采购需求》</w:t>
            </w:r>
          </w:p>
        </w:tc>
      </w:tr>
      <w:tr w14:paraId="6504B86F">
        <w:tblPrEx>
          <w:tblCellMar>
            <w:top w:w="0" w:type="dxa"/>
            <w:left w:w="108" w:type="dxa"/>
            <w:bottom w:w="0" w:type="dxa"/>
            <w:right w:w="108" w:type="dxa"/>
          </w:tblCellMar>
        </w:tblPrEx>
        <w:trPr>
          <w:trHeight w:val="1523" w:hRule="atLeast"/>
        </w:trPr>
        <w:tc>
          <w:tcPr>
            <w:tcW w:w="4788" w:type="dxa"/>
            <w:tcBorders>
              <w:top w:val="single" w:color="auto" w:sz="4" w:space="0"/>
              <w:left w:val="single" w:color="auto" w:sz="4" w:space="0"/>
              <w:bottom w:val="single" w:color="auto" w:sz="4" w:space="0"/>
              <w:right w:val="single" w:color="auto" w:sz="4" w:space="0"/>
            </w:tcBorders>
            <w:vAlign w:val="center"/>
          </w:tcPr>
          <w:p w14:paraId="20847696">
            <w:pPr>
              <w:rPr>
                <w:rFonts w:hint="eastAsia" w:ascii="宋体" w:hAnsi="宋体"/>
                <w:color w:val="auto"/>
                <w:szCs w:val="21"/>
                <w:highlight w:val="none"/>
              </w:rPr>
            </w:pPr>
            <w:r>
              <w:rPr>
                <w:rFonts w:hint="eastAsia" w:ascii="宋体" w:hAnsi="宋体"/>
                <w:color w:val="auto"/>
                <w:szCs w:val="21"/>
                <w:highlight w:val="none"/>
              </w:rPr>
              <w:t xml:space="preserve">甲方（采购单位）（章）           </w:t>
            </w:r>
          </w:p>
          <w:p w14:paraId="542ED1C1">
            <w:pPr>
              <w:rPr>
                <w:rFonts w:hint="eastAsia" w:ascii="宋体" w:hAnsi="宋体"/>
                <w:color w:val="auto"/>
                <w:szCs w:val="21"/>
                <w:highlight w:val="none"/>
              </w:rPr>
            </w:pPr>
          </w:p>
          <w:p w14:paraId="3A6661D1">
            <w:pPr>
              <w:rPr>
                <w:rFonts w:hint="eastAsia" w:ascii="宋体" w:hAnsi="宋体"/>
                <w:color w:val="auto"/>
                <w:szCs w:val="21"/>
                <w:highlight w:val="none"/>
              </w:rPr>
            </w:pPr>
          </w:p>
          <w:p w14:paraId="26A671C4">
            <w:pPr>
              <w:rPr>
                <w:rFonts w:hint="eastAsia" w:ascii="宋体" w:hAnsi="宋体"/>
                <w:color w:val="auto"/>
                <w:szCs w:val="21"/>
                <w:highlight w:val="none"/>
              </w:rPr>
            </w:pPr>
            <w:r>
              <w:rPr>
                <w:rFonts w:hint="eastAsia" w:ascii="宋体" w:hAnsi="宋体"/>
                <w:color w:val="auto"/>
                <w:szCs w:val="21"/>
                <w:highlight w:val="none"/>
              </w:rPr>
              <w:t>年   月   日</w:t>
            </w:r>
          </w:p>
        </w:tc>
        <w:tc>
          <w:tcPr>
            <w:tcW w:w="4680" w:type="dxa"/>
            <w:tcBorders>
              <w:top w:val="single" w:color="auto" w:sz="4" w:space="0"/>
              <w:left w:val="single" w:color="auto" w:sz="4" w:space="0"/>
              <w:bottom w:val="single" w:color="auto" w:sz="4" w:space="0"/>
              <w:right w:val="single" w:color="auto" w:sz="4" w:space="0"/>
            </w:tcBorders>
            <w:vAlign w:val="center"/>
          </w:tcPr>
          <w:p w14:paraId="393731C5">
            <w:pPr>
              <w:rPr>
                <w:rFonts w:hint="eastAsia" w:ascii="宋体" w:hAnsi="宋体"/>
                <w:color w:val="auto"/>
                <w:szCs w:val="21"/>
                <w:highlight w:val="none"/>
              </w:rPr>
            </w:pPr>
            <w:r>
              <w:rPr>
                <w:rFonts w:hint="eastAsia" w:ascii="宋体" w:hAnsi="宋体"/>
                <w:color w:val="auto"/>
                <w:szCs w:val="21"/>
                <w:highlight w:val="none"/>
              </w:rPr>
              <w:t xml:space="preserve">乙方（供应商）（章）              </w:t>
            </w:r>
          </w:p>
          <w:p w14:paraId="4E13B249">
            <w:pPr>
              <w:rPr>
                <w:rFonts w:hint="eastAsia" w:ascii="宋体" w:hAnsi="宋体"/>
                <w:color w:val="auto"/>
                <w:szCs w:val="21"/>
                <w:highlight w:val="none"/>
              </w:rPr>
            </w:pPr>
          </w:p>
          <w:p w14:paraId="2B3A08F1">
            <w:pPr>
              <w:rPr>
                <w:rFonts w:hint="eastAsia" w:ascii="宋体" w:hAnsi="宋体"/>
                <w:color w:val="auto"/>
                <w:szCs w:val="21"/>
                <w:highlight w:val="none"/>
              </w:rPr>
            </w:pPr>
          </w:p>
          <w:p w14:paraId="091CF5A9">
            <w:pPr>
              <w:rPr>
                <w:rFonts w:hint="eastAsia" w:ascii="宋体" w:hAnsi="宋体"/>
                <w:color w:val="auto"/>
                <w:szCs w:val="21"/>
                <w:highlight w:val="none"/>
              </w:rPr>
            </w:pPr>
            <w:r>
              <w:rPr>
                <w:rFonts w:hint="eastAsia" w:ascii="宋体" w:hAnsi="宋体"/>
                <w:color w:val="auto"/>
                <w:szCs w:val="21"/>
                <w:highlight w:val="none"/>
              </w:rPr>
              <w:t xml:space="preserve"> 年   月   日</w:t>
            </w:r>
          </w:p>
        </w:tc>
      </w:tr>
    </w:tbl>
    <w:p w14:paraId="7A1A8EFA">
      <w:pPr>
        <w:rPr>
          <w:rFonts w:hint="eastAsia" w:ascii="宋体" w:hAnsi="宋体"/>
          <w:color w:val="auto"/>
          <w:szCs w:val="21"/>
          <w:highlight w:val="none"/>
        </w:rPr>
      </w:pPr>
      <w:r>
        <w:rPr>
          <w:rFonts w:hint="eastAsia" w:ascii="宋体" w:hAnsi="宋体"/>
          <w:color w:val="auto"/>
          <w:szCs w:val="21"/>
          <w:highlight w:val="none"/>
        </w:rPr>
        <w:t>注：服务承诺事项填不下时可另加附页</w:t>
      </w:r>
    </w:p>
    <w:p w14:paraId="017FD241">
      <w:pPr>
        <w:pStyle w:val="122"/>
        <w:spacing w:before="115"/>
        <w:outlineLvl w:val="9"/>
        <w:rPr>
          <w:rFonts w:hint="eastAsia" w:hAnsi="宋体"/>
          <w:color w:val="auto"/>
          <w:highlight w:val="none"/>
        </w:rPr>
      </w:pPr>
      <w:r>
        <w:rPr>
          <w:rFonts w:ascii="宋体" w:hAnsi="宋体"/>
          <w:color w:val="auto"/>
          <w:highlight w:val="none"/>
        </w:rPr>
        <w:br w:type="page"/>
      </w:r>
      <w:r>
        <w:rPr>
          <w:rFonts w:hint="eastAsia" w:hAnsi="宋体"/>
          <w:color w:val="auto"/>
          <w:highlight w:val="none"/>
        </w:rPr>
        <w:t>附件3：</w:t>
      </w:r>
    </w:p>
    <w:p w14:paraId="49646932">
      <w:pPr>
        <w:widowControl/>
        <w:shd w:val="clear" w:color="auto"/>
        <w:spacing w:line="480" w:lineRule="atLeast"/>
        <w:jc w:val="center"/>
        <w:rPr>
          <w:rFonts w:hint="eastAsia" w:ascii="仿宋" w:hAnsi="仿宋" w:eastAsia="仿宋" w:cs="宋体"/>
          <w:color w:val="auto"/>
          <w:kern w:val="0"/>
          <w:sz w:val="32"/>
          <w:szCs w:val="32"/>
          <w:highlight w:val="none"/>
        </w:rPr>
      </w:pPr>
      <w:r>
        <w:rPr>
          <w:rFonts w:hint="eastAsia" w:ascii="宋体" w:hAnsi="宋体" w:cs="宋体"/>
          <w:b/>
          <w:bCs/>
          <w:color w:val="auto"/>
          <w:kern w:val="0"/>
          <w:sz w:val="32"/>
          <w:szCs w:val="32"/>
          <w:highlight w:val="none"/>
        </w:rPr>
        <w:t>广西壮族自治区政府采购项目合同验收书（格式）</w:t>
      </w:r>
    </w:p>
    <w:p w14:paraId="43647BD2">
      <w:pPr>
        <w:widowControl/>
        <w:shd w:val="clear" w:color="auto"/>
        <w:spacing w:line="480" w:lineRule="atLeast"/>
        <w:jc w:val="center"/>
        <w:rPr>
          <w:rFonts w:hint="eastAsia" w:ascii="仿宋" w:hAnsi="仿宋" w:eastAsia="仿宋" w:cs="宋体"/>
          <w:color w:val="auto"/>
          <w:kern w:val="0"/>
          <w:sz w:val="32"/>
          <w:szCs w:val="32"/>
          <w:highlight w:val="none"/>
        </w:rPr>
      </w:pPr>
    </w:p>
    <w:p w14:paraId="0263EF9C">
      <w:pPr>
        <w:widowControl/>
        <w:shd w:val="clear" w:color="auto"/>
        <w:snapToGrid w:val="0"/>
        <w:spacing w:line="320" w:lineRule="atLeast"/>
        <w:ind w:firstLine="480"/>
        <w:jc w:val="left"/>
        <w:rPr>
          <w:rFonts w:hint="eastAsia" w:ascii="仿宋" w:hAnsi="仿宋" w:eastAsia="仿宋" w:cs="宋体"/>
          <w:color w:val="auto"/>
          <w:kern w:val="0"/>
          <w:szCs w:val="21"/>
          <w:highlight w:val="none"/>
        </w:rPr>
      </w:pPr>
      <w:r>
        <w:rPr>
          <w:rFonts w:hint="eastAsia" w:ascii="仿宋" w:hAnsi="仿宋" w:eastAsia="仿宋" w:cs="宋体"/>
          <w:color w:val="auto"/>
          <w:kern w:val="0"/>
          <w:szCs w:val="21"/>
          <w:highlight w:val="none"/>
        </w:rPr>
        <w:t>根据政府采购项目（</w:t>
      </w:r>
      <w:r>
        <w:rPr>
          <w:rFonts w:hint="eastAsia" w:ascii="仿宋" w:hAnsi="仿宋" w:eastAsia="仿宋" w:cs="宋体"/>
          <w:color w:val="auto"/>
          <w:kern w:val="0"/>
          <w:szCs w:val="21"/>
          <w:highlight w:val="none"/>
          <w:u w:val="single"/>
        </w:rPr>
        <w:t>采购合同编号：</w:t>
      </w:r>
      <w:r>
        <w:rPr>
          <w:rFonts w:hint="eastAsia" w:ascii="仿宋" w:hAnsi="仿宋" w:eastAsia="仿宋" w:cs="宋体"/>
          <w:color w:val="auto"/>
          <w:kern w:val="0"/>
          <w:szCs w:val="21"/>
          <w:highlight w:val="none"/>
          <w:u w:val="single"/>
        </w:rPr>
        <w:softHyphen/>
      </w:r>
      <w:r>
        <w:rPr>
          <w:rFonts w:hint="eastAsia" w:ascii="仿宋" w:hAnsi="仿宋" w:eastAsia="仿宋" w:cs="宋体"/>
          <w:color w:val="auto"/>
          <w:kern w:val="0"/>
          <w:szCs w:val="21"/>
          <w:highlight w:val="none"/>
          <w:u w:val="single"/>
        </w:rPr>
        <w:t xml:space="preserve"> </w:t>
      </w:r>
      <w:r>
        <w:rPr>
          <w:rFonts w:hint="eastAsia" w:ascii="仿宋" w:hAnsi="仿宋" w:eastAsia="仿宋" w:cs="宋体"/>
          <w:color w:val="auto"/>
          <w:kern w:val="0"/>
          <w:szCs w:val="21"/>
          <w:highlight w:val="none"/>
        </w:rPr>
        <w:t>）的约定，我单位对（</w:t>
      </w:r>
      <w:r>
        <w:rPr>
          <w:rFonts w:hint="eastAsia" w:ascii="仿宋" w:hAnsi="仿宋" w:eastAsia="仿宋" w:cs="宋体"/>
          <w:color w:val="auto"/>
          <w:kern w:val="0"/>
          <w:szCs w:val="21"/>
          <w:highlight w:val="none"/>
          <w:u w:val="single"/>
        </w:rPr>
        <w:t xml:space="preserve"> 项目名称 </w:t>
      </w:r>
      <w:r>
        <w:rPr>
          <w:rFonts w:hint="eastAsia" w:ascii="仿宋" w:hAnsi="仿宋" w:eastAsia="仿宋" w:cs="宋体"/>
          <w:color w:val="auto"/>
          <w:kern w:val="0"/>
          <w:szCs w:val="21"/>
          <w:highlight w:val="none"/>
        </w:rPr>
        <w:t>） 政府采购项目成交供应商（</w:t>
      </w:r>
      <w:r>
        <w:rPr>
          <w:rFonts w:hint="eastAsia" w:ascii="仿宋" w:hAnsi="仿宋" w:eastAsia="仿宋" w:cs="宋体"/>
          <w:color w:val="auto"/>
          <w:kern w:val="0"/>
          <w:szCs w:val="21"/>
          <w:highlight w:val="none"/>
          <w:u w:val="single"/>
        </w:rPr>
        <w:t xml:space="preserve"> 公司名称 </w:t>
      </w:r>
      <w:r>
        <w:rPr>
          <w:rFonts w:hint="eastAsia" w:ascii="仿宋" w:hAnsi="仿宋" w:eastAsia="仿宋" w:cs="宋体"/>
          <w:color w:val="auto"/>
          <w:kern w:val="0"/>
          <w:szCs w:val="21"/>
          <w:highlight w:val="none"/>
        </w:rPr>
        <w:t>） 提供的货物（或者工程、服务）进行了验收，验收情况如下：</w:t>
      </w:r>
    </w:p>
    <w:tbl>
      <w:tblPr>
        <w:tblStyle w:val="36"/>
        <w:tblW w:w="0" w:type="auto"/>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182E7797">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vAlign w:val="center"/>
          </w:tcPr>
          <w:p w14:paraId="7D9E8FE5">
            <w:pPr>
              <w:widowControl/>
              <w:snapToGrid w:val="0"/>
              <w:spacing w:before="100" w:beforeAutospacing="1" w:after="100" w:afterAutospacing="1" w:line="320" w:lineRule="atLeast"/>
              <w:ind w:firstLine="5"/>
              <w:jc w:val="center"/>
              <w:rPr>
                <w:rFonts w:ascii="Verdana" w:hAnsi="Verdana" w:cs="宋体"/>
                <w:color w:val="auto"/>
                <w:kern w:val="0"/>
                <w:szCs w:val="21"/>
                <w:highlight w:val="none"/>
              </w:rPr>
            </w:pPr>
            <w:r>
              <w:rPr>
                <w:rFonts w:ascii="Verdana" w:hAnsi="Verdana" w:cs="宋体"/>
                <w:color w:val="auto"/>
                <w:kern w:val="0"/>
                <w:szCs w:val="21"/>
                <w:highlight w:val="none"/>
              </w:rPr>
              <w:t>验收方式：</w:t>
            </w:r>
          </w:p>
        </w:tc>
        <w:tc>
          <w:tcPr>
            <w:tcW w:w="5193" w:type="dxa"/>
            <w:gridSpan w:val="6"/>
            <w:tcBorders>
              <w:top w:val="single" w:color="auto" w:sz="8" w:space="0"/>
              <w:left w:val="nil"/>
              <w:bottom w:val="single" w:color="auto" w:sz="8" w:space="0"/>
              <w:right w:val="single" w:color="auto" w:sz="8" w:space="0"/>
            </w:tcBorders>
            <w:vAlign w:val="center"/>
          </w:tcPr>
          <w:p w14:paraId="69302EB8">
            <w:pPr>
              <w:widowControl/>
              <w:snapToGrid w:val="0"/>
              <w:spacing w:before="100" w:beforeAutospacing="1" w:after="100" w:afterAutospacing="1" w:line="320" w:lineRule="atLeast"/>
              <w:jc w:val="center"/>
              <w:rPr>
                <w:rFonts w:ascii="Verdana" w:hAnsi="Verdana" w:cs="宋体"/>
                <w:color w:val="auto"/>
                <w:kern w:val="0"/>
                <w:szCs w:val="21"/>
                <w:highlight w:val="none"/>
              </w:rPr>
            </w:pPr>
            <w:r>
              <w:rPr>
                <w:rFonts w:ascii="Verdana" w:hAnsi="Verdana" w:cs="宋体"/>
                <w:color w:val="auto"/>
                <w:kern w:val="0"/>
                <w:szCs w:val="21"/>
                <w:highlight w:val="none"/>
              </w:rPr>
              <w:sym w:font="Wingdings 2" w:char="00A3"/>
            </w:r>
            <w:r>
              <w:rPr>
                <w:rFonts w:ascii="Verdana" w:hAnsi="Verdana" w:cs="宋体"/>
                <w:color w:val="auto"/>
                <w:kern w:val="0"/>
                <w:szCs w:val="21"/>
                <w:highlight w:val="none"/>
              </w:rPr>
              <w:t xml:space="preserve">自行验收 </w:t>
            </w:r>
            <w:r>
              <w:rPr>
                <w:rFonts w:ascii="Verdana" w:hAnsi="Verdana" w:cs="宋体"/>
                <w:color w:val="auto"/>
                <w:kern w:val="0"/>
                <w:szCs w:val="21"/>
                <w:highlight w:val="none"/>
              </w:rPr>
              <w:sym w:font="Wingdings 2" w:char="00A3"/>
            </w:r>
            <w:r>
              <w:rPr>
                <w:rFonts w:ascii="Verdana" w:hAnsi="Verdana" w:cs="宋体"/>
                <w:color w:val="auto"/>
                <w:kern w:val="0"/>
                <w:szCs w:val="21"/>
                <w:highlight w:val="none"/>
              </w:rPr>
              <w:t>委托验收</w:t>
            </w:r>
          </w:p>
        </w:tc>
      </w:tr>
      <w:tr w14:paraId="76CF3CEB">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vAlign w:val="center"/>
          </w:tcPr>
          <w:p w14:paraId="55B2B431">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序号</w:t>
            </w:r>
          </w:p>
        </w:tc>
        <w:tc>
          <w:tcPr>
            <w:tcW w:w="2448" w:type="dxa"/>
            <w:gridSpan w:val="2"/>
            <w:tcBorders>
              <w:top w:val="nil"/>
              <w:left w:val="nil"/>
              <w:bottom w:val="single" w:color="auto" w:sz="8" w:space="0"/>
              <w:right w:val="single" w:color="auto" w:sz="8" w:space="0"/>
            </w:tcBorders>
            <w:vAlign w:val="center"/>
          </w:tcPr>
          <w:p w14:paraId="5FEBB6EF">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名称</w:t>
            </w:r>
          </w:p>
        </w:tc>
        <w:tc>
          <w:tcPr>
            <w:tcW w:w="2902" w:type="dxa"/>
            <w:gridSpan w:val="3"/>
            <w:tcBorders>
              <w:top w:val="nil"/>
              <w:left w:val="nil"/>
              <w:bottom w:val="single" w:color="auto" w:sz="8" w:space="0"/>
              <w:right w:val="single" w:color="auto" w:sz="8" w:space="0"/>
            </w:tcBorders>
            <w:vAlign w:val="center"/>
          </w:tcPr>
          <w:p w14:paraId="243387C0">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vAlign w:val="center"/>
          </w:tcPr>
          <w:p w14:paraId="564AE4E8">
            <w:pPr>
              <w:widowControl/>
              <w:snapToGrid w:val="0"/>
              <w:spacing w:before="100" w:beforeAutospacing="1" w:after="100" w:afterAutospacing="1" w:line="320" w:lineRule="atLeast"/>
              <w:jc w:val="center"/>
              <w:rPr>
                <w:rFonts w:ascii="Verdana" w:hAnsi="Verdana" w:cs="宋体"/>
                <w:color w:val="auto"/>
                <w:kern w:val="0"/>
                <w:szCs w:val="21"/>
                <w:highlight w:val="none"/>
              </w:rPr>
            </w:pPr>
            <w:r>
              <w:rPr>
                <w:rFonts w:ascii="Verdana" w:hAnsi="Verdana" w:cs="宋体"/>
                <w:color w:val="auto"/>
                <w:kern w:val="0"/>
                <w:szCs w:val="21"/>
                <w:highlight w:val="none"/>
              </w:rPr>
              <w:t>数量</w:t>
            </w:r>
          </w:p>
        </w:tc>
        <w:tc>
          <w:tcPr>
            <w:tcW w:w="1428" w:type="dxa"/>
            <w:tcBorders>
              <w:top w:val="nil"/>
              <w:left w:val="nil"/>
              <w:bottom w:val="single" w:color="auto" w:sz="8" w:space="0"/>
              <w:right w:val="single" w:color="auto" w:sz="8" w:space="0"/>
            </w:tcBorders>
            <w:vAlign w:val="center"/>
          </w:tcPr>
          <w:p w14:paraId="36CAFD67">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金额</w:t>
            </w:r>
          </w:p>
        </w:tc>
      </w:tr>
      <w:tr w14:paraId="5BB0A818">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7A168285">
            <w:pPr>
              <w:widowControl/>
              <w:spacing w:before="100" w:beforeAutospacing="1" w:after="100" w:afterAutospacing="1" w:line="240" w:lineRule="atLeast"/>
              <w:jc w:val="center"/>
              <w:rPr>
                <w:rFonts w:ascii="Verdana" w:hAnsi="Verdana"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7691D03F">
            <w:pPr>
              <w:widowControl/>
              <w:spacing w:before="100" w:beforeAutospacing="1" w:after="100" w:afterAutospacing="1" w:line="240" w:lineRule="atLeast"/>
              <w:jc w:val="center"/>
              <w:rPr>
                <w:rFonts w:ascii="Verdana" w:hAnsi="Verdana"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1C7DF0EF">
            <w:pPr>
              <w:widowControl/>
              <w:spacing w:before="100" w:beforeAutospacing="1" w:after="100" w:afterAutospacing="1" w:line="240" w:lineRule="atLeast"/>
              <w:jc w:val="center"/>
              <w:rPr>
                <w:rFonts w:ascii="Verdana" w:hAnsi="Verdana"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5C66FBA7">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0A4ABC83">
            <w:pPr>
              <w:widowControl/>
              <w:spacing w:before="100" w:beforeAutospacing="1" w:after="100" w:afterAutospacing="1" w:line="240" w:lineRule="atLeast"/>
              <w:jc w:val="center"/>
              <w:rPr>
                <w:rFonts w:ascii="Verdana" w:hAnsi="Verdana" w:cs="宋体"/>
                <w:color w:val="auto"/>
                <w:kern w:val="0"/>
                <w:szCs w:val="21"/>
                <w:highlight w:val="none"/>
              </w:rPr>
            </w:pPr>
          </w:p>
        </w:tc>
      </w:tr>
      <w:tr w14:paraId="3D2B6A11">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746B0007">
            <w:pPr>
              <w:widowControl/>
              <w:spacing w:before="100" w:beforeAutospacing="1" w:after="100" w:afterAutospacing="1" w:line="240" w:lineRule="atLeast"/>
              <w:jc w:val="center"/>
              <w:rPr>
                <w:rFonts w:ascii="Verdana" w:hAnsi="Verdana"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3112B08D">
            <w:pPr>
              <w:widowControl/>
              <w:spacing w:before="100" w:beforeAutospacing="1" w:after="100" w:afterAutospacing="1" w:line="240" w:lineRule="atLeast"/>
              <w:jc w:val="center"/>
              <w:rPr>
                <w:rFonts w:ascii="Verdana" w:hAnsi="Verdana"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051273CB">
            <w:pPr>
              <w:widowControl/>
              <w:spacing w:before="100" w:beforeAutospacing="1" w:after="100" w:afterAutospacing="1" w:line="240" w:lineRule="atLeast"/>
              <w:jc w:val="center"/>
              <w:rPr>
                <w:rFonts w:ascii="Verdana" w:hAnsi="Verdana"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4FD93DF2">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5EFB9FD1">
            <w:pPr>
              <w:widowControl/>
              <w:spacing w:before="100" w:beforeAutospacing="1" w:after="100" w:afterAutospacing="1" w:line="240" w:lineRule="atLeast"/>
              <w:jc w:val="center"/>
              <w:rPr>
                <w:rFonts w:ascii="Verdana" w:hAnsi="Verdana" w:cs="宋体"/>
                <w:color w:val="auto"/>
                <w:kern w:val="0"/>
                <w:szCs w:val="21"/>
                <w:highlight w:val="none"/>
              </w:rPr>
            </w:pPr>
          </w:p>
        </w:tc>
      </w:tr>
      <w:tr w14:paraId="4AE5F02F">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6637BF98">
            <w:pPr>
              <w:widowControl/>
              <w:spacing w:before="100" w:beforeAutospacing="1" w:after="100" w:afterAutospacing="1" w:line="240" w:lineRule="atLeast"/>
              <w:jc w:val="center"/>
              <w:rPr>
                <w:rFonts w:ascii="Verdana" w:hAnsi="Verdana"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1330E929">
            <w:pPr>
              <w:widowControl/>
              <w:spacing w:before="100" w:beforeAutospacing="1" w:after="100" w:afterAutospacing="1" w:line="240" w:lineRule="atLeast"/>
              <w:jc w:val="center"/>
              <w:rPr>
                <w:rFonts w:ascii="Verdana" w:hAnsi="Verdana"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3A039D2F">
            <w:pPr>
              <w:widowControl/>
              <w:spacing w:before="100" w:beforeAutospacing="1" w:after="100" w:afterAutospacing="1" w:line="240" w:lineRule="atLeast"/>
              <w:jc w:val="center"/>
              <w:rPr>
                <w:rFonts w:ascii="Verdana" w:hAnsi="Verdana"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73091F70">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5CB10E46">
            <w:pPr>
              <w:widowControl/>
              <w:spacing w:before="100" w:beforeAutospacing="1" w:after="100" w:afterAutospacing="1" w:line="240" w:lineRule="atLeast"/>
              <w:jc w:val="center"/>
              <w:rPr>
                <w:rFonts w:ascii="Verdana" w:hAnsi="Verdana" w:cs="宋体"/>
                <w:color w:val="auto"/>
                <w:kern w:val="0"/>
                <w:szCs w:val="21"/>
                <w:highlight w:val="none"/>
              </w:rPr>
            </w:pPr>
          </w:p>
        </w:tc>
      </w:tr>
      <w:tr w14:paraId="6DD6118E">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vAlign w:val="center"/>
          </w:tcPr>
          <w:p w14:paraId="00D634AD">
            <w:pPr>
              <w:widowControl/>
              <w:snapToGrid w:val="0"/>
              <w:spacing w:before="100" w:beforeAutospacing="1" w:after="100" w:afterAutospacing="1" w:line="320" w:lineRule="atLeast"/>
              <w:ind w:firstLine="5"/>
              <w:jc w:val="center"/>
              <w:rPr>
                <w:rFonts w:ascii="Verdana" w:hAnsi="Verdana" w:cs="宋体"/>
                <w:color w:val="auto"/>
                <w:kern w:val="0"/>
                <w:szCs w:val="21"/>
                <w:highlight w:val="none"/>
              </w:rPr>
            </w:pPr>
            <w:r>
              <w:rPr>
                <w:rFonts w:ascii="Verdana" w:hAnsi="Verdana" w:cs="宋体"/>
                <w:color w:val="auto"/>
                <w:kern w:val="0"/>
                <w:szCs w:val="21"/>
                <w:highlight w:val="none"/>
              </w:rPr>
              <w:t>合 计</w:t>
            </w:r>
          </w:p>
        </w:tc>
        <w:tc>
          <w:tcPr>
            <w:tcW w:w="863" w:type="dxa"/>
            <w:gridSpan w:val="2"/>
            <w:tcBorders>
              <w:top w:val="nil"/>
              <w:left w:val="nil"/>
              <w:bottom w:val="single" w:color="auto" w:sz="8" w:space="0"/>
              <w:right w:val="single" w:color="auto" w:sz="8" w:space="0"/>
            </w:tcBorders>
            <w:vAlign w:val="center"/>
          </w:tcPr>
          <w:p w14:paraId="767C1E04">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04A988D4">
            <w:pPr>
              <w:widowControl/>
              <w:spacing w:before="100" w:beforeAutospacing="1" w:after="100" w:afterAutospacing="1" w:line="240" w:lineRule="atLeast"/>
              <w:jc w:val="center"/>
              <w:rPr>
                <w:rFonts w:ascii="Verdana" w:hAnsi="Verdana" w:cs="宋体"/>
                <w:color w:val="auto"/>
                <w:kern w:val="0"/>
                <w:szCs w:val="21"/>
                <w:highlight w:val="none"/>
              </w:rPr>
            </w:pPr>
          </w:p>
        </w:tc>
      </w:tr>
      <w:tr w14:paraId="7C081857">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vAlign w:val="center"/>
          </w:tcPr>
          <w:p w14:paraId="661904AA">
            <w:pPr>
              <w:widowControl/>
              <w:snapToGrid w:val="0"/>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 xml:space="preserve">合计大写金额：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仟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佰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拾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万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仟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佰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拾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元</w:t>
            </w:r>
          </w:p>
        </w:tc>
      </w:tr>
      <w:tr w14:paraId="02C6B64D">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1F6BC036">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实际供货日期</w:t>
            </w:r>
          </w:p>
        </w:tc>
        <w:tc>
          <w:tcPr>
            <w:tcW w:w="2421" w:type="dxa"/>
            <w:gridSpan w:val="2"/>
            <w:tcBorders>
              <w:top w:val="nil"/>
              <w:left w:val="nil"/>
              <w:bottom w:val="single" w:color="auto" w:sz="8" w:space="0"/>
              <w:right w:val="single" w:color="auto" w:sz="8" w:space="0"/>
            </w:tcBorders>
            <w:vAlign w:val="center"/>
          </w:tcPr>
          <w:p w14:paraId="14E430CD">
            <w:pPr>
              <w:widowControl/>
              <w:spacing w:before="100" w:beforeAutospacing="1" w:after="100" w:afterAutospacing="1" w:line="240" w:lineRule="atLeast"/>
              <w:jc w:val="center"/>
              <w:rPr>
                <w:rFonts w:ascii="Verdana" w:hAnsi="Verdana"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28CEB846">
            <w:pPr>
              <w:widowControl/>
              <w:snapToGrid w:val="0"/>
              <w:spacing w:before="100" w:beforeAutospacing="1" w:after="100" w:afterAutospacing="1" w:line="320" w:lineRule="atLeast"/>
              <w:ind w:firstLine="46"/>
              <w:jc w:val="center"/>
              <w:rPr>
                <w:rFonts w:ascii="Verdana" w:hAnsi="Verdana" w:cs="宋体"/>
                <w:color w:val="auto"/>
                <w:kern w:val="0"/>
                <w:szCs w:val="21"/>
                <w:highlight w:val="none"/>
              </w:rPr>
            </w:pPr>
            <w:r>
              <w:rPr>
                <w:rFonts w:ascii="Verdana" w:hAnsi="Verdana" w:cs="宋体"/>
                <w:color w:val="auto"/>
                <w:kern w:val="0"/>
                <w:szCs w:val="21"/>
                <w:highlight w:val="none"/>
              </w:rPr>
              <w:t>合同交货验收日期</w:t>
            </w:r>
          </w:p>
        </w:tc>
        <w:tc>
          <w:tcPr>
            <w:tcW w:w="2113" w:type="dxa"/>
            <w:gridSpan w:val="2"/>
            <w:tcBorders>
              <w:top w:val="nil"/>
              <w:left w:val="nil"/>
              <w:bottom w:val="single" w:color="auto" w:sz="8" w:space="0"/>
              <w:right w:val="single" w:color="auto" w:sz="8" w:space="0"/>
            </w:tcBorders>
            <w:vAlign w:val="center"/>
          </w:tcPr>
          <w:p w14:paraId="20579A5C">
            <w:pPr>
              <w:widowControl/>
              <w:spacing w:before="100" w:beforeAutospacing="1" w:after="100" w:afterAutospacing="1" w:line="240" w:lineRule="atLeast"/>
              <w:jc w:val="center"/>
              <w:rPr>
                <w:rFonts w:ascii="Verdana" w:hAnsi="Verdana" w:cs="宋体"/>
                <w:color w:val="auto"/>
                <w:kern w:val="0"/>
                <w:szCs w:val="21"/>
                <w:highlight w:val="none"/>
              </w:rPr>
            </w:pPr>
          </w:p>
        </w:tc>
      </w:tr>
      <w:tr w14:paraId="40406424">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8A37EFB">
            <w:pPr>
              <w:widowControl/>
              <w:snapToGrid w:val="0"/>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验收具体内容</w:t>
            </w:r>
          </w:p>
        </w:tc>
        <w:tc>
          <w:tcPr>
            <w:tcW w:w="6816"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1F966F3C">
            <w:pPr>
              <w:widowControl/>
              <w:snapToGrid w:val="0"/>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应按采购合同、磋商文件、竞标响应文件及验收方案等进行验收；并核对成交供应商在安装调试等方面是否违反合同约定或者服务规范要求、提供的质量保证证明材料是否齐全、应有的配件及附件是否达到合同约定等。可附件)</w:t>
            </w:r>
          </w:p>
        </w:tc>
      </w:tr>
      <w:tr w14:paraId="03AD55DD">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F35D535">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验收小组意见</w:t>
            </w:r>
          </w:p>
        </w:tc>
        <w:tc>
          <w:tcPr>
            <w:tcW w:w="6816" w:type="dxa"/>
            <w:gridSpan w:val="7"/>
            <w:tcBorders>
              <w:top w:val="nil"/>
              <w:left w:val="nil"/>
              <w:bottom w:val="single" w:color="auto" w:sz="8" w:space="0"/>
              <w:right w:val="single" w:color="auto" w:sz="8" w:space="0"/>
            </w:tcBorders>
            <w:vAlign w:val="center"/>
          </w:tcPr>
          <w:p w14:paraId="7BF7E453">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验收结论性意见：</w:t>
            </w:r>
          </w:p>
        </w:tc>
      </w:tr>
      <w:tr w14:paraId="286EE402">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vAlign w:val="center"/>
          </w:tcPr>
          <w:p w14:paraId="2B3A9527">
            <w:pPr>
              <w:widowControl/>
              <w:jc w:val="left"/>
              <w:rPr>
                <w:rFonts w:ascii="Verdana" w:hAnsi="Verdana" w:cs="宋体"/>
                <w:color w:val="auto"/>
                <w:kern w:val="0"/>
                <w:szCs w:val="21"/>
                <w:highlight w:val="none"/>
              </w:rPr>
            </w:pPr>
          </w:p>
        </w:tc>
        <w:tc>
          <w:tcPr>
            <w:tcW w:w="6816" w:type="dxa"/>
            <w:gridSpan w:val="7"/>
            <w:tcBorders>
              <w:top w:val="nil"/>
              <w:left w:val="nil"/>
              <w:bottom w:val="single" w:color="auto" w:sz="8" w:space="0"/>
              <w:right w:val="single" w:color="auto" w:sz="8" w:space="0"/>
            </w:tcBorders>
            <w:vAlign w:val="center"/>
          </w:tcPr>
          <w:p w14:paraId="10D08D1A">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有异议的意见和说明理由：</w:t>
            </w:r>
          </w:p>
          <w:p w14:paraId="6C02BC3A">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签字：</w:t>
            </w:r>
          </w:p>
        </w:tc>
      </w:tr>
      <w:tr w14:paraId="2BBA12FF">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E48E279">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验收小组成员签字：</w:t>
            </w:r>
          </w:p>
        </w:tc>
      </w:tr>
      <w:tr w14:paraId="541DCF49">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404102D">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监督人员或者其他相关人员签字：</w:t>
            </w:r>
          </w:p>
          <w:p w14:paraId="03F5118B">
            <w:pPr>
              <w:widowControl/>
              <w:spacing w:before="100" w:beforeAutospacing="1" w:after="100" w:afterAutospacing="1" w:line="320" w:lineRule="atLeast"/>
              <w:ind w:firstLine="74"/>
              <w:jc w:val="left"/>
              <w:rPr>
                <w:rFonts w:ascii="Verdana" w:hAnsi="Verdana" w:cs="宋体"/>
                <w:color w:val="auto"/>
                <w:kern w:val="0"/>
                <w:szCs w:val="21"/>
                <w:highlight w:val="none"/>
              </w:rPr>
            </w:pPr>
            <w:r>
              <w:rPr>
                <w:rFonts w:ascii="Verdana" w:hAnsi="Verdana" w:cs="宋体"/>
                <w:color w:val="auto"/>
                <w:kern w:val="0"/>
                <w:szCs w:val="21"/>
                <w:highlight w:val="none"/>
              </w:rPr>
              <w:t>或者受邀机构的意见（盖章）：</w:t>
            </w:r>
          </w:p>
        </w:tc>
      </w:tr>
      <w:tr w14:paraId="6A208781">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nil"/>
            </w:tcBorders>
            <w:tcMar>
              <w:top w:w="0" w:type="dxa"/>
              <w:left w:w="108" w:type="dxa"/>
              <w:bottom w:w="0" w:type="dxa"/>
              <w:right w:w="108" w:type="dxa"/>
            </w:tcMar>
            <w:vAlign w:val="center"/>
          </w:tcPr>
          <w:p w14:paraId="6B7A3AE6">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成交供应商负责人签字或者盖章：</w:t>
            </w:r>
          </w:p>
          <w:p w14:paraId="648A06BF">
            <w:pPr>
              <w:widowControl/>
              <w:spacing w:before="100" w:beforeAutospacing="1" w:after="100" w:afterAutospacing="1" w:line="320" w:lineRule="atLeast"/>
              <w:jc w:val="left"/>
              <w:rPr>
                <w:rFonts w:ascii="Verdana" w:hAnsi="Verdana" w:cs="宋体"/>
                <w:color w:val="auto"/>
                <w:kern w:val="0"/>
                <w:szCs w:val="21"/>
                <w:highlight w:val="none"/>
              </w:rPr>
            </w:pPr>
          </w:p>
          <w:p w14:paraId="1DB7732D">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联系电话：</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年</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月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日</w:t>
            </w:r>
          </w:p>
        </w:tc>
        <w:tc>
          <w:tcPr>
            <w:tcW w:w="4293" w:type="dxa"/>
            <w:gridSpan w:val="4"/>
            <w:tcBorders>
              <w:top w:val="nil"/>
              <w:left w:val="nil"/>
              <w:bottom w:val="single" w:color="auto" w:sz="8" w:space="0"/>
              <w:right w:val="single" w:color="auto" w:sz="8" w:space="0"/>
            </w:tcBorders>
            <w:vAlign w:val="center"/>
          </w:tcPr>
          <w:p w14:paraId="53F20ED7">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采购人或者受托机构的意见（盖章）：</w:t>
            </w:r>
          </w:p>
          <w:p w14:paraId="16006316">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p>
          <w:p w14:paraId="5F7ECF66">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联系电话：</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年</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月</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日</w:t>
            </w:r>
          </w:p>
        </w:tc>
      </w:tr>
    </w:tbl>
    <w:p w14:paraId="4D7B0D18">
      <w:pPr>
        <w:pStyle w:val="17"/>
        <w:kinsoku w:val="0"/>
        <w:overflowPunct w:val="0"/>
        <w:ind w:left="444"/>
        <w:rPr>
          <w:rFonts w:hint="eastAsia" w:ascii="宋体" w:hAnsi="宋体" w:cs="宋体"/>
          <w:color w:val="auto"/>
          <w:sz w:val="6"/>
          <w:szCs w:val="6"/>
          <w:highlight w:val="none"/>
        </w:rPr>
      </w:pPr>
      <w:r>
        <w:rPr>
          <w:rFonts w:hint="eastAsia" w:hAnsi="宋体"/>
          <w:color w:val="auto"/>
          <w:szCs w:val="21"/>
          <w:highlight w:val="none"/>
        </w:rPr>
        <w:t>备注：本报告单一式三份（采购人</w:t>
      </w:r>
      <w:r>
        <w:rPr>
          <w:rFonts w:hAnsi="宋体"/>
          <w:color w:val="auto"/>
          <w:szCs w:val="21"/>
          <w:highlight w:val="none"/>
        </w:rPr>
        <w:t xml:space="preserve"> 1 </w:t>
      </w:r>
      <w:r>
        <w:rPr>
          <w:rFonts w:hint="eastAsia" w:hAnsi="宋体"/>
          <w:color w:val="auto"/>
          <w:szCs w:val="21"/>
          <w:highlight w:val="none"/>
        </w:rPr>
        <w:t>份、中标人</w:t>
      </w:r>
      <w:r>
        <w:rPr>
          <w:rFonts w:hAnsi="宋体"/>
          <w:color w:val="auto"/>
          <w:szCs w:val="21"/>
          <w:highlight w:val="none"/>
        </w:rPr>
        <w:t xml:space="preserve"> 1 </w:t>
      </w:r>
      <w:r>
        <w:rPr>
          <w:rFonts w:hint="eastAsia" w:hAnsi="宋体"/>
          <w:color w:val="auto"/>
          <w:szCs w:val="21"/>
          <w:highlight w:val="none"/>
        </w:rPr>
        <w:t>份、采购代理机构</w:t>
      </w:r>
      <w:r>
        <w:rPr>
          <w:rFonts w:hAnsi="宋体"/>
          <w:color w:val="auto"/>
          <w:szCs w:val="21"/>
          <w:highlight w:val="none"/>
        </w:rPr>
        <w:t xml:space="preserve"> 1 </w:t>
      </w:r>
      <w:r>
        <w:rPr>
          <w:rFonts w:hint="eastAsia" w:hAnsi="宋体"/>
          <w:color w:val="auto"/>
          <w:szCs w:val="21"/>
          <w:highlight w:val="none"/>
        </w:rPr>
        <w:t>份）。</w:t>
      </w:r>
      <w:bookmarkEnd w:id="99"/>
    </w:p>
    <w:sectPr>
      <w:footerReference r:id="rId8" w:type="first"/>
      <w:footerReference r:id="rId7" w:type="default"/>
      <w:pgSz w:w="11906" w:h="16838"/>
      <w:pgMar w:top="1440" w:right="1440" w:bottom="1440" w:left="158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A6BAD2F-1A0A-43D2-B2E0-A33CC5B3539B}"/>
  </w:font>
  <w:font w:name="黑体">
    <w:panose1 w:val="02010609060101010101"/>
    <w:charset w:val="86"/>
    <w:family w:val="auto"/>
    <w:pitch w:val="default"/>
    <w:sig w:usb0="800002BF" w:usb1="38CF7CFA" w:usb2="00000016" w:usb3="00000000" w:csb0="00040001" w:csb1="00000000"/>
    <w:embedRegular r:id="rId2" w:fontKey="{659CCFDF-EAFF-4B78-9609-505138075C17}"/>
  </w:font>
  <w:font w:name="Courier New">
    <w:panose1 w:val="02070309020205020404"/>
    <w:charset w:val="01"/>
    <w:family w:val="modern"/>
    <w:pitch w:val="default"/>
    <w:sig w:usb0="E0002EFF" w:usb1="C0007843" w:usb2="00000009" w:usb3="00000000" w:csb0="400001FF" w:csb1="FFFF0000"/>
    <w:embedRegular r:id="rId3" w:fontKey="{13D2AC07-6DCF-4D95-AD0E-69FC03906D6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embedRegular r:id="rId4" w:fontKey="{F2F4F8C3-41F3-4B17-BA54-D79604759759}"/>
  </w:font>
  <w:font w:name="仿宋">
    <w:panose1 w:val="02010609060101010101"/>
    <w:charset w:val="86"/>
    <w:family w:val="modern"/>
    <w:pitch w:val="default"/>
    <w:sig w:usb0="800002BF" w:usb1="38CF7CFA" w:usb2="00000016" w:usb3="00000000" w:csb0="00040001" w:csb1="00000000"/>
    <w:embedRegular r:id="rId5" w:fontKey="{5B74206F-6D45-4527-97BD-849E3FF63E97}"/>
  </w:font>
  <w:font w:name="方正小标宋简体">
    <w:panose1 w:val="03000509000000000000"/>
    <w:charset w:val="86"/>
    <w:family w:val="script"/>
    <w:pitch w:val="default"/>
    <w:sig w:usb0="00000001" w:usb1="080E0000" w:usb2="00000000" w:usb3="00000000" w:csb0="00040000" w:csb1="00000000"/>
    <w:embedRegular r:id="rId6" w:fontKey="{04FD7388-8CC5-4D8E-9D85-9DA6847987ED}"/>
  </w:font>
  <w:font w:name="Tahoma">
    <w:panose1 w:val="020B0604030504040204"/>
    <w:charset w:val="00"/>
    <w:family w:val="swiss"/>
    <w:pitch w:val="default"/>
    <w:sig w:usb0="E1002EFF" w:usb1="C000605B" w:usb2="00000029" w:usb3="00000000" w:csb0="200101FF" w:csb1="20280000"/>
  </w:font>
  <w:font w:name="Helvetica">
    <w:altName w:val="Arial"/>
    <w:panose1 w:val="00000000000000000000"/>
    <w:charset w:val="00"/>
    <w:family w:val="swiss"/>
    <w:pitch w:val="default"/>
    <w:sig w:usb0="00000000" w:usb1="00000000" w:usb2="00000000" w:usb3="00000000" w:csb0="2000019F" w:csb1="4F01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Segoe UI Symbol">
    <w:panose1 w:val="020B0502040204020203"/>
    <w:charset w:val="00"/>
    <w:family w:val="swiss"/>
    <w:pitch w:val="default"/>
    <w:sig w:usb0="800001E3" w:usb1="1200FFEF" w:usb2="00040000" w:usb3="04000000" w:csb0="00000001" w:csb1="40000000"/>
    <w:embedRegular r:id="rId7" w:fontKey="{A2E79827-61C9-4031-B131-83826920B9FC}"/>
  </w:font>
  <w:font w:name="Wingdings 2">
    <w:panose1 w:val="05020102010507070707"/>
    <w:charset w:val="02"/>
    <w:family w:val="roman"/>
    <w:pitch w:val="default"/>
    <w:sig w:usb0="00000000" w:usb1="00000000" w:usb2="00000000" w:usb3="00000000" w:csb0="80000000" w:csb1="00000000"/>
    <w:embedRegular r:id="rId8" w:fontKey="{85D805DB-BF08-4868-9847-A9ECE0F344E8}"/>
  </w:font>
  <w:font w:name="Verdana">
    <w:panose1 w:val="020B0604030504040204"/>
    <w:charset w:val="00"/>
    <w:family w:val="swiss"/>
    <w:pitch w:val="default"/>
    <w:sig w:usb0="A00006FF" w:usb1="4000205B" w:usb2="00000010" w:usb3="00000000" w:csb0="2000019F" w:csb1="00000000"/>
    <w:embedRegular r:id="rId9" w:fontKey="{C256E2DE-BA1A-41A0-B617-C610201A776B}"/>
  </w:font>
  <w:font w:name="WPSEMBED1">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70977">
    <w:pPr>
      <w:pStyle w:val="25"/>
      <w:tabs>
        <w:tab w:val="center" w:pos="4439"/>
        <w:tab w:val="clear" w:pos="4153"/>
      </w:tabs>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19A6186">
                          <w:pPr>
                            <w:pStyle w:val="25"/>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512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hb9cbIAQAAngMAAA4AAAAAAAAAAQAgAAAAHgEAAGRycy9lMm9Eb2Mu&#10;eG1sUEsFBgAAAAAGAAYAWQEAAFgFAAAAAA==&#10;">
              <v:fill on="f" focussize="0,0"/>
              <v:stroke on="f"/>
              <v:imagedata o:title=""/>
              <o:lock v:ext="edit" aspectratio="f"/>
              <v:textbox inset="0mm,0mm,0mm,0mm" style="mso-fit-shape-to-text:t;">
                <w:txbxContent>
                  <w:p w14:paraId="319A6186">
                    <w:pPr>
                      <w:pStyle w:val="25"/>
                    </w:pPr>
                    <w:r>
                      <w:fldChar w:fldCharType="begin"/>
                    </w:r>
                    <w:r>
                      <w:instrText xml:space="preserve"> PAGE  \* MERGEFORMAT </w:instrText>
                    </w:r>
                    <w:r>
                      <w:fldChar w:fldCharType="separate"/>
                    </w:r>
                    <w:r>
                      <w:t>1</w:t>
                    </w:r>
                    <w:r>
                      <w:fldChar w:fldCharType="end"/>
                    </w:r>
                  </w:p>
                </w:txbxContent>
              </v:textbox>
            </v:shape>
          </w:pict>
        </mc:Fallback>
      </mc:AlternateContent>
    </w:r>
  </w:p>
  <w:p w14:paraId="7485F691">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9A535">
    <w:pPr>
      <w:pStyle w:val="25"/>
      <w:tabs>
        <w:tab w:val="center" w:pos="4439"/>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2F8ED94"/>
                      </w:txbxContent>
                    </wps:txbx>
                    <wps:bodyPr wrap="none" lIns="0" tIns="0" rIns="0" bIns="0">
                      <a:spAutoFit/>
                    </wps:bodyPr>
                  </wps:wsp>
                </a:graphicData>
              </a:graphic>
            </wp:anchor>
          </w:drawing>
        </mc:Choice>
        <mc:Fallback>
          <w:pict>
            <v:shape id="文本框 512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FeU+vPIAQAAngMAAA4AAAAAAAAAAQAgAAAAHgEAAGRycy9lMm9Eb2Mu&#10;eG1sUEsFBgAAAAAGAAYAWQEAAFgFAAAAAA==&#10;">
              <v:fill on="f" focussize="0,0"/>
              <v:stroke on="f"/>
              <v:imagedata o:title=""/>
              <o:lock v:ext="edit" aspectratio="f"/>
              <v:textbox inset="0mm,0mm,0mm,0mm" style="mso-fit-shape-to-text:t;">
                <w:txbxContent>
                  <w:p w14:paraId="42F8ED94"/>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B4EE1">
    <w:pPr>
      <w:pStyle w:val="2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E7AB9B4">
                          <w:pPr>
                            <w:pStyle w:val="25"/>
                            <w:jc w:val="center"/>
                          </w:pPr>
                          <w:r>
                            <w:fldChar w:fldCharType="begin"/>
                          </w:r>
                          <w:r>
                            <w:instrText xml:space="preserve"> PAGE  \* MERGEFORMAT </w:instrText>
                          </w:r>
                          <w:r>
                            <w:fldChar w:fldCharType="separate"/>
                          </w:r>
                          <w:r>
                            <w:t>11</w:t>
                          </w:r>
                          <w:r>
                            <w:fldChar w:fldCharType="end"/>
                          </w:r>
                        </w:p>
                      </w:txbxContent>
                    </wps:txbx>
                    <wps:bodyPr wrap="none" lIns="0" tIns="0" rIns="0" bIns="0">
                      <a:spAutoFit/>
                    </wps:bodyPr>
                  </wps:wsp>
                </a:graphicData>
              </a:graphic>
            </wp:anchor>
          </w:drawing>
        </mc:Choice>
        <mc:Fallback>
          <w:pict>
            <v:shape id="文本框 512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8sLxZyQEAAJ4DAAAOAAAAAAAAAAEAIAAAAB4BAABkcnMvZTJvRG9j&#10;LnhtbFBLBQYAAAAABgAGAFkBAABZBQAAAAA=&#10;">
              <v:fill on="f" focussize="0,0"/>
              <v:stroke on="f"/>
              <v:imagedata o:title=""/>
              <o:lock v:ext="edit" aspectratio="f"/>
              <v:textbox inset="0mm,0mm,0mm,0mm" style="mso-fit-shape-to-text:t;">
                <w:txbxContent>
                  <w:p w14:paraId="1E7AB9B4">
                    <w:pPr>
                      <w:pStyle w:val="25"/>
                      <w:jc w:val="center"/>
                    </w:pPr>
                    <w:r>
                      <w:fldChar w:fldCharType="begin"/>
                    </w:r>
                    <w:r>
                      <w:instrText xml:space="preserve"> PAGE  \* MERGEFORMAT </w:instrText>
                    </w:r>
                    <w:r>
                      <w:fldChar w:fldCharType="separate"/>
                    </w:r>
                    <w:r>
                      <w:t>11</w:t>
                    </w:r>
                    <w:r>
                      <w:fldChar w:fldCharType="end"/>
                    </w:r>
                  </w:p>
                </w:txbxContent>
              </v:textbox>
            </v:shape>
          </w:pict>
        </mc:Fallback>
      </mc:AlternateContent>
    </w:r>
  </w:p>
  <w:p w14:paraId="67AB0E0E">
    <w:pPr>
      <w:pStyle w:val="2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4DAC5">
    <w:pPr>
      <w:pStyle w:val="2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F501238">
                          <w:pPr>
                            <w:pStyle w:val="25"/>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arlGJyQEAAJ4DAAAOAAAAAAAAAAEAIAAAAB4BAABkcnMvZTJvRG9j&#10;LnhtbFBLBQYAAAAABgAGAFkBAABZBQAAAAA=&#10;">
              <v:fill on="f" focussize="0,0"/>
              <v:stroke on="f"/>
              <v:imagedata o:title=""/>
              <o:lock v:ext="edit" aspectratio="f"/>
              <v:textbox inset="0mm,0mm,0mm,0mm" style="mso-fit-shape-to-text:t;">
                <w:txbxContent>
                  <w:p w14:paraId="5F501238">
                    <w:pPr>
                      <w:pStyle w:val="25"/>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E4D16">
    <w:pPr>
      <w:pStyle w:val="2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D63F2">
    <w:pPr>
      <w:pStyle w:val="2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232D5D"/>
    <w:multiLevelType w:val="multilevel"/>
    <w:tmpl w:val="2A232D5D"/>
    <w:lvl w:ilvl="0" w:tentative="0">
      <w:start w:val="1"/>
      <w:numFmt w:val="decimal"/>
      <w:pStyle w:val="111"/>
      <w:lvlText w:val="%1."/>
      <w:lvlJc w:val="left"/>
      <w:pPr>
        <w:ind w:left="0" w:firstLine="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339A5395"/>
    <w:multiLevelType w:val="multilevel"/>
    <w:tmpl w:val="339A5395"/>
    <w:lvl w:ilvl="0" w:tentative="0">
      <w:start w:val="1"/>
      <w:numFmt w:val="decimal"/>
      <w:pStyle w:val="110"/>
      <w:lvlText w:val="%1)"/>
      <w:lvlJc w:val="left"/>
      <w:pPr>
        <w:ind w:left="0" w:firstLine="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D5557BB"/>
    <w:multiLevelType w:val="multilevel"/>
    <w:tmpl w:val="5D5557BB"/>
    <w:lvl w:ilvl="0" w:tentative="0">
      <w:start w:val="1"/>
      <w:numFmt w:val="decimal"/>
      <w:pStyle w:val="108"/>
      <w:lvlText w:val="%1."/>
      <w:lvlJc w:val="left"/>
      <w:pPr>
        <w:ind w:left="0" w:firstLine="0"/>
      </w:pPr>
    </w:lvl>
    <w:lvl w:ilvl="1" w:tentative="0">
      <w:start w:val="1"/>
      <w:numFmt w:val="bullet"/>
      <w:lvlText w:val=""/>
      <w:lvlJc w:val="left"/>
      <w:pPr>
        <w:ind w:left="1040" w:hanging="420"/>
      </w:pPr>
      <w:rPr>
        <w:rFonts w:hint="default" w:ascii="Wingdings" w:hAnsi="Wingdings"/>
      </w:rPr>
    </w:lvl>
    <w:lvl w:ilvl="2" w:tentative="0">
      <w:start w:val="1"/>
      <w:numFmt w:val="bullet"/>
      <w:lvlText w:val=""/>
      <w:lvlJc w:val="left"/>
      <w:pPr>
        <w:ind w:left="1460" w:hanging="420"/>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3">
    <w:nsid w:val="69233C06"/>
    <w:multiLevelType w:val="multilevel"/>
    <w:tmpl w:val="69233C06"/>
    <w:lvl w:ilvl="0" w:tentative="0">
      <w:start w:val="1"/>
      <w:numFmt w:val="bullet"/>
      <w:pStyle w:val="109"/>
      <w:lvlText w:val=""/>
      <w:lvlJc w:val="left"/>
      <w:pPr>
        <w:ind w:left="0" w:firstLine="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6B3173AD"/>
    <w:multiLevelType w:val="multilevel"/>
    <w:tmpl w:val="6B3173AD"/>
    <w:lvl w:ilvl="0" w:tentative="0">
      <w:start w:val="1"/>
      <w:numFmt w:val="decimal"/>
      <w:pStyle w:val="112"/>
      <w:lvlText w:val="%1)"/>
      <w:lvlJc w:val="left"/>
      <w:pPr>
        <w:ind w:left="0" w:firstLine="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71EF22EB"/>
    <w:multiLevelType w:val="multilevel"/>
    <w:tmpl w:val="71EF22EB"/>
    <w:lvl w:ilvl="0" w:tentative="0">
      <w:start w:val="1"/>
      <w:numFmt w:val="bullet"/>
      <w:pStyle w:val="113"/>
      <w:lvlText w:val=""/>
      <w:lvlJc w:val="left"/>
      <w:pPr>
        <w:ind w:left="0" w:firstLine="0"/>
      </w:pPr>
      <w:rPr>
        <w:rFonts w:hint="default" w:ascii="Wingdings" w:hAnsi="Wingdings"/>
      </w:rPr>
    </w:lvl>
    <w:lvl w:ilvl="1" w:tentative="0">
      <w:start w:val="1"/>
      <w:numFmt w:val="bullet"/>
      <w:lvlText w:val=""/>
      <w:lvlJc w:val="left"/>
      <w:pPr>
        <w:ind w:left="1040" w:hanging="420"/>
      </w:pPr>
      <w:rPr>
        <w:rFonts w:hint="default" w:ascii="Wingdings" w:hAnsi="Wingdings"/>
      </w:rPr>
    </w:lvl>
    <w:lvl w:ilvl="2" w:tentative="0">
      <w:start w:val="1"/>
      <w:numFmt w:val="bullet"/>
      <w:lvlText w:val=""/>
      <w:lvlJc w:val="left"/>
      <w:pPr>
        <w:ind w:left="1460" w:hanging="420"/>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3MGYyMmRhY2U3YWQ3ZTU1MTJkYWJlNWNkZDJmYTQifQ=="/>
  </w:docVars>
  <w:rsids>
    <w:rsidRoot w:val="00F34B14"/>
    <w:rsid w:val="000002E0"/>
    <w:rsid w:val="00000672"/>
    <w:rsid w:val="00001013"/>
    <w:rsid w:val="00001799"/>
    <w:rsid w:val="00001AF2"/>
    <w:rsid w:val="00001ECA"/>
    <w:rsid w:val="00002D29"/>
    <w:rsid w:val="00003B93"/>
    <w:rsid w:val="0000474D"/>
    <w:rsid w:val="00005FDF"/>
    <w:rsid w:val="0000644A"/>
    <w:rsid w:val="000070B3"/>
    <w:rsid w:val="000076B8"/>
    <w:rsid w:val="000109DC"/>
    <w:rsid w:val="00010D39"/>
    <w:rsid w:val="0001172C"/>
    <w:rsid w:val="00011BC9"/>
    <w:rsid w:val="00012053"/>
    <w:rsid w:val="00012854"/>
    <w:rsid w:val="00012C21"/>
    <w:rsid w:val="00012EA6"/>
    <w:rsid w:val="00013359"/>
    <w:rsid w:val="000139CF"/>
    <w:rsid w:val="00013AA4"/>
    <w:rsid w:val="00013DFE"/>
    <w:rsid w:val="000141EA"/>
    <w:rsid w:val="0001469F"/>
    <w:rsid w:val="00016ABC"/>
    <w:rsid w:val="000177DB"/>
    <w:rsid w:val="000179C9"/>
    <w:rsid w:val="00017CCC"/>
    <w:rsid w:val="00020227"/>
    <w:rsid w:val="00020263"/>
    <w:rsid w:val="00020455"/>
    <w:rsid w:val="00020813"/>
    <w:rsid w:val="000215D0"/>
    <w:rsid w:val="000220B2"/>
    <w:rsid w:val="0002264C"/>
    <w:rsid w:val="00022731"/>
    <w:rsid w:val="00022792"/>
    <w:rsid w:val="00023E38"/>
    <w:rsid w:val="00024463"/>
    <w:rsid w:val="00025461"/>
    <w:rsid w:val="00025636"/>
    <w:rsid w:val="00025E36"/>
    <w:rsid w:val="00026855"/>
    <w:rsid w:val="00026886"/>
    <w:rsid w:val="0002785D"/>
    <w:rsid w:val="000307BE"/>
    <w:rsid w:val="000329E0"/>
    <w:rsid w:val="000352E9"/>
    <w:rsid w:val="00035494"/>
    <w:rsid w:val="00036125"/>
    <w:rsid w:val="00036A07"/>
    <w:rsid w:val="0003780B"/>
    <w:rsid w:val="00040571"/>
    <w:rsid w:val="00040973"/>
    <w:rsid w:val="0004156E"/>
    <w:rsid w:val="00041713"/>
    <w:rsid w:val="0004440C"/>
    <w:rsid w:val="00046B5E"/>
    <w:rsid w:val="000470CB"/>
    <w:rsid w:val="000509D9"/>
    <w:rsid w:val="000512AF"/>
    <w:rsid w:val="00051ACB"/>
    <w:rsid w:val="000533E7"/>
    <w:rsid w:val="00055D41"/>
    <w:rsid w:val="00056EF6"/>
    <w:rsid w:val="00057CD6"/>
    <w:rsid w:val="00060DCE"/>
    <w:rsid w:val="000610E3"/>
    <w:rsid w:val="000614F3"/>
    <w:rsid w:val="000623B4"/>
    <w:rsid w:val="00062405"/>
    <w:rsid w:val="000634A7"/>
    <w:rsid w:val="00063B0B"/>
    <w:rsid w:val="00063F81"/>
    <w:rsid w:val="00064847"/>
    <w:rsid w:val="00065E08"/>
    <w:rsid w:val="00066C2B"/>
    <w:rsid w:val="000673E2"/>
    <w:rsid w:val="000677E3"/>
    <w:rsid w:val="00067EF1"/>
    <w:rsid w:val="0007063F"/>
    <w:rsid w:val="000707FD"/>
    <w:rsid w:val="00070949"/>
    <w:rsid w:val="000711E4"/>
    <w:rsid w:val="00071E9B"/>
    <w:rsid w:val="000720A1"/>
    <w:rsid w:val="000724D9"/>
    <w:rsid w:val="00072AED"/>
    <w:rsid w:val="00073F47"/>
    <w:rsid w:val="0007492F"/>
    <w:rsid w:val="00074ED8"/>
    <w:rsid w:val="00075B7E"/>
    <w:rsid w:val="00077ACA"/>
    <w:rsid w:val="00077C70"/>
    <w:rsid w:val="00080468"/>
    <w:rsid w:val="000813B5"/>
    <w:rsid w:val="0008191E"/>
    <w:rsid w:val="00081AFA"/>
    <w:rsid w:val="00081BA3"/>
    <w:rsid w:val="00081D2E"/>
    <w:rsid w:val="00081F89"/>
    <w:rsid w:val="00082619"/>
    <w:rsid w:val="00082D02"/>
    <w:rsid w:val="0008381A"/>
    <w:rsid w:val="00083871"/>
    <w:rsid w:val="00083B91"/>
    <w:rsid w:val="0008473C"/>
    <w:rsid w:val="0008520B"/>
    <w:rsid w:val="000857DE"/>
    <w:rsid w:val="000860BD"/>
    <w:rsid w:val="000871B8"/>
    <w:rsid w:val="00087B0A"/>
    <w:rsid w:val="000916DA"/>
    <w:rsid w:val="00091AAB"/>
    <w:rsid w:val="00092442"/>
    <w:rsid w:val="000929EF"/>
    <w:rsid w:val="00092C26"/>
    <w:rsid w:val="000933BE"/>
    <w:rsid w:val="00093B37"/>
    <w:rsid w:val="0009560F"/>
    <w:rsid w:val="0009588E"/>
    <w:rsid w:val="000959EE"/>
    <w:rsid w:val="00096DB9"/>
    <w:rsid w:val="00097183"/>
    <w:rsid w:val="000972CB"/>
    <w:rsid w:val="00097608"/>
    <w:rsid w:val="000A0F35"/>
    <w:rsid w:val="000A1175"/>
    <w:rsid w:val="000A13F3"/>
    <w:rsid w:val="000A23B1"/>
    <w:rsid w:val="000A2B0E"/>
    <w:rsid w:val="000A398F"/>
    <w:rsid w:val="000A448C"/>
    <w:rsid w:val="000A509C"/>
    <w:rsid w:val="000A54A7"/>
    <w:rsid w:val="000A5A17"/>
    <w:rsid w:val="000A5DF3"/>
    <w:rsid w:val="000A6007"/>
    <w:rsid w:val="000A65A6"/>
    <w:rsid w:val="000A70E3"/>
    <w:rsid w:val="000A7275"/>
    <w:rsid w:val="000A7A12"/>
    <w:rsid w:val="000A7A72"/>
    <w:rsid w:val="000A7F5C"/>
    <w:rsid w:val="000B1202"/>
    <w:rsid w:val="000B1801"/>
    <w:rsid w:val="000B1D0C"/>
    <w:rsid w:val="000B2273"/>
    <w:rsid w:val="000B2BC6"/>
    <w:rsid w:val="000B2D03"/>
    <w:rsid w:val="000B37F2"/>
    <w:rsid w:val="000B3815"/>
    <w:rsid w:val="000B3C7B"/>
    <w:rsid w:val="000B3E68"/>
    <w:rsid w:val="000B4321"/>
    <w:rsid w:val="000B6A6B"/>
    <w:rsid w:val="000B6C95"/>
    <w:rsid w:val="000B79FC"/>
    <w:rsid w:val="000C1679"/>
    <w:rsid w:val="000C1EE3"/>
    <w:rsid w:val="000C3AE7"/>
    <w:rsid w:val="000C3CC9"/>
    <w:rsid w:val="000C59C6"/>
    <w:rsid w:val="000C6DE4"/>
    <w:rsid w:val="000C7202"/>
    <w:rsid w:val="000D0A89"/>
    <w:rsid w:val="000D1389"/>
    <w:rsid w:val="000D1798"/>
    <w:rsid w:val="000D2626"/>
    <w:rsid w:val="000D411D"/>
    <w:rsid w:val="000D4589"/>
    <w:rsid w:val="000D4809"/>
    <w:rsid w:val="000D7013"/>
    <w:rsid w:val="000D7313"/>
    <w:rsid w:val="000D73DD"/>
    <w:rsid w:val="000E1C51"/>
    <w:rsid w:val="000E28AB"/>
    <w:rsid w:val="000E2E3E"/>
    <w:rsid w:val="000E3583"/>
    <w:rsid w:val="000E3AF0"/>
    <w:rsid w:val="000E4E04"/>
    <w:rsid w:val="000E5C8B"/>
    <w:rsid w:val="000E693B"/>
    <w:rsid w:val="000E6D5C"/>
    <w:rsid w:val="000E6EC9"/>
    <w:rsid w:val="000E70B4"/>
    <w:rsid w:val="000E725F"/>
    <w:rsid w:val="000E7B62"/>
    <w:rsid w:val="000F0E1E"/>
    <w:rsid w:val="000F1A1B"/>
    <w:rsid w:val="000F2A95"/>
    <w:rsid w:val="000F3281"/>
    <w:rsid w:val="000F32FD"/>
    <w:rsid w:val="000F3733"/>
    <w:rsid w:val="000F5F8B"/>
    <w:rsid w:val="000F6153"/>
    <w:rsid w:val="000F64AA"/>
    <w:rsid w:val="000F7AF4"/>
    <w:rsid w:val="000F7C33"/>
    <w:rsid w:val="000F7F0C"/>
    <w:rsid w:val="001004D6"/>
    <w:rsid w:val="00101AE9"/>
    <w:rsid w:val="00101D1B"/>
    <w:rsid w:val="00102676"/>
    <w:rsid w:val="00103646"/>
    <w:rsid w:val="00103918"/>
    <w:rsid w:val="00104897"/>
    <w:rsid w:val="00104EDE"/>
    <w:rsid w:val="00104F54"/>
    <w:rsid w:val="00105CDA"/>
    <w:rsid w:val="00106BEE"/>
    <w:rsid w:val="0010711C"/>
    <w:rsid w:val="00107368"/>
    <w:rsid w:val="00107BDF"/>
    <w:rsid w:val="00107C74"/>
    <w:rsid w:val="0011091C"/>
    <w:rsid w:val="00111266"/>
    <w:rsid w:val="001112EB"/>
    <w:rsid w:val="0011247D"/>
    <w:rsid w:val="00113678"/>
    <w:rsid w:val="00113A7D"/>
    <w:rsid w:val="00113C3E"/>
    <w:rsid w:val="0011465D"/>
    <w:rsid w:val="00115E11"/>
    <w:rsid w:val="00115EEE"/>
    <w:rsid w:val="00115F56"/>
    <w:rsid w:val="00116CA9"/>
    <w:rsid w:val="00116F38"/>
    <w:rsid w:val="001170A4"/>
    <w:rsid w:val="00117AE7"/>
    <w:rsid w:val="00117B85"/>
    <w:rsid w:val="00117CBD"/>
    <w:rsid w:val="0012006A"/>
    <w:rsid w:val="00121979"/>
    <w:rsid w:val="00122064"/>
    <w:rsid w:val="00123CCB"/>
    <w:rsid w:val="00124341"/>
    <w:rsid w:val="00124492"/>
    <w:rsid w:val="00124B12"/>
    <w:rsid w:val="001250A0"/>
    <w:rsid w:val="001263B8"/>
    <w:rsid w:val="001268D1"/>
    <w:rsid w:val="00127F8A"/>
    <w:rsid w:val="00130217"/>
    <w:rsid w:val="00130783"/>
    <w:rsid w:val="00130A47"/>
    <w:rsid w:val="00130FB0"/>
    <w:rsid w:val="00132B47"/>
    <w:rsid w:val="001337F8"/>
    <w:rsid w:val="001348B4"/>
    <w:rsid w:val="00135135"/>
    <w:rsid w:val="001351CB"/>
    <w:rsid w:val="00135530"/>
    <w:rsid w:val="00135947"/>
    <w:rsid w:val="001359A2"/>
    <w:rsid w:val="00135F92"/>
    <w:rsid w:val="00136020"/>
    <w:rsid w:val="00136445"/>
    <w:rsid w:val="00136A9C"/>
    <w:rsid w:val="00137389"/>
    <w:rsid w:val="00140132"/>
    <w:rsid w:val="00141C9C"/>
    <w:rsid w:val="00142344"/>
    <w:rsid w:val="0014277F"/>
    <w:rsid w:val="001434BE"/>
    <w:rsid w:val="00143AAD"/>
    <w:rsid w:val="00144050"/>
    <w:rsid w:val="00144369"/>
    <w:rsid w:val="0014479F"/>
    <w:rsid w:val="001452B4"/>
    <w:rsid w:val="00145320"/>
    <w:rsid w:val="001476D3"/>
    <w:rsid w:val="001509CF"/>
    <w:rsid w:val="00150D1D"/>
    <w:rsid w:val="001525AA"/>
    <w:rsid w:val="00152A87"/>
    <w:rsid w:val="00152AC1"/>
    <w:rsid w:val="00153BB5"/>
    <w:rsid w:val="00154396"/>
    <w:rsid w:val="00154518"/>
    <w:rsid w:val="00156359"/>
    <w:rsid w:val="00156DD6"/>
    <w:rsid w:val="0016086E"/>
    <w:rsid w:val="001609B9"/>
    <w:rsid w:val="00160D0C"/>
    <w:rsid w:val="00160DD1"/>
    <w:rsid w:val="00161172"/>
    <w:rsid w:val="00161998"/>
    <w:rsid w:val="00161E65"/>
    <w:rsid w:val="00162597"/>
    <w:rsid w:val="001629AF"/>
    <w:rsid w:val="001629FD"/>
    <w:rsid w:val="0016428A"/>
    <w:rsid w:val="001647C9"/>
    <w:rsid w:val="00165627"/>
    <w:rsid w:val="00166033"/>
    <w:rsid w:val="001661A3"/>
    <w:rsid w:val="001669D4"/>
    <w:rsid w:val="00166F19"/>
    <w:rsid w:val="00167226"/>
    <w:rsid w:val="0016782B"/>
    <w:rsid w:val="0016784D"/>
    <w:rsid w:val="00167853"/>
    <w:rsid w:val="00167887"/>
    <w:rsid w:val="001723AD"/>
    <w:rsid w:val="00172CA8"/>
    <w:rsid w:val="00173256"/>
    <w:rsid w:val="001737B9"/>
    <w:rsid w:val="00173B0E"/>
    <w:rsid w:val="00173E03"/>
    <w:rsid w:val="0017512C"/>
    <w:rsid w:val="001756AF"/>
    <w:rsid w:val="0017586A"/>
    <w:rsid w:val="00175BA6"/>
    <w:rsid w:val="00176CA7"/>
    <w:rsid w:val="00176D0C"/>
    <w:rsid w:val="00176F8E"/>
    <w:rsid w:val="001778C5"/>
    <w:rsid w:val="00177E56"/>
    <w:rsid w:val="00177F0A"/>
    <w:rsid w:val="00180DA0"/>
    <w:rsid w:val="00181EAD"/>
    <w:rsid w:val="00182862"/>
    <w:rsid w:val="00184F57"/>
    <w:rsid w:val="00185091"/>
    <w:rsid w:val="00185544"/>
    <w:rsid w:val="00185617"/>
    <w:rsid w:val="00186FE1"/>
    <w:rsid w:val="00187A14"/>
    <w:rsid w:val="0019171E"/>
    <w:rsid w:val="00192368"/>
    <w:rsid w:val="001923A0"/>
    <w:rsid w:val="001928B1"/>
    <w:rsid w:val="00193537"/>
    <w:rsid w:val="00193846"/>
    <w:rsid w:val="00195379"/>
    <w:rsid w:val="00195424"/>
    <w:rsid w:val="001955FF"/>
    <w:rsid w:val="00197EDD"/>
    <w:rsid w:val="001A02B3"/>
    <w:rsid w:val="001A04BB"/>
    <w:rsid w:val="001A08D0"/>
    <w:rsid w:val="001A1B39"/>
    <w:rsid w:val="001A2120"/>
    <w:rsid w:val="001A28C6"/>
    <w:rsid w:val="001A2E69"/>
    <w:rsid w:val="001A3C34"/>
    <w:rsid w:val="001A3EDE"/>
    <w:rsid w:val="001A4222"/>
    <w:rsid w:val="001A50EA"/>
    <w:rsid w:val="001A5E24"/>
    <w:rsid w:val="001A661D"/>
    <w:rsid w:val="001A6795"/>
    <w:rsid w:val="001A6B27"/>
    <w:rsid w:val="001A6D8B"/>
    <w:rsid w:val="001A6DAA"/>
    <w:rsid w:val="001A7717"/>
    <w:rsid w:val="001A793A"/>
    <w:rsid w:val="001B125A"/>
    <w:rsid w:val="001B1EBA"/>
    <w:rsid w:val="001B2142"/>
    <w:rsid w:val="001B2F2B"/>
    <w:rsid w:val="001B327A"/>
    <w:rsid w:val="001B35DE"/>
    <w:rsid w:val="001B3A13"/>
    <w:rsid w:val="001B3F5C"/>
    <w:rsid w:val="001B57C9"/>
    <w:rsid w:val="001B59FF"/>
    <w:rsid w:val="001B6512"/>
    <w:rsid w:val="001B65D7"/>
    <w:rsid w:val="001B6752"/>
    <w:rsid w:val="001B6768"/>
    <w:rsid w:val="001B6F1F"/>
    <w:rsid w:val="001B7339"/>
    <w:rsid w:val="001B7ECC"/>
    <w:rsid w:val="001C025B"/>
    <w:rsid w:val="001C115F"/>
    <w:rsid w:val="001C1EAB"/>
    <w:rsid w:val="001C25A7"/>
    <w:rsid w:val="001C2775"/>
    <w:rsid w:val="001C318C"/>
    <w:rsid w:val="001C35C4"/>
    <w:rsid w:val="001C4287"/>
    <w:rsid w:val="001C4479"/>
    <w:rsid w:val="001C5190"/>
    <w:rsid w:val="001C6081"/>
    <w:rsid w:val="001C73EB"/>
    <w:rsid w:val="001C7B48"/>
    <w:rsid w:val="001D0CFB"/>
    <w:rsid w:val="001D1A0D"/>
    <w:rsid w:val="001D343C"/>
    <w:rsid w:val="001D56E2"/>
    <w:rsid w:val="001D58A1"/>
    <w:rsid w:val="001D58C2"/>
    <w:rsid w:val="001D5A8A"/>
    <w:rsid w:val="001D61CA"/>
    <w:rsid w:val="001D6E87"/>
    <w:rsid w:val="001D735E"/>
    <w:rsid w:val="001D73C8"/>
    <w:rsid w:val="001D7BC6"/>
    <w:rsid w:val="001E129E"/>
    <w:rsid w:val="001E175C"/>
    <w:rsid w:val="001E1B0E"/>
    <w:rsid w:val="001E1C7C"/>
    <w:rsid w:val="001E3B63"/>
    <w:rsid w:val="001E55ED"/>
    <w:rsid w:val="001E5A94"/>
    <w:rsid w:val="001E7D7E"/>
    <w:rsid w:val="001F13FD"/>
    <w:rsid w:val="001F18F9"/>
    <w:rsid w:val="001F2A2E"/>
    <w:rsid w:val="001F3356"/>
    <w:rsid w:val="001F3C63"/>
    <w:rsid w:val="001F4460"/>
    <w:rsid w:val="001F6C96"/>
    <w:rsid w:val="001F711A"/>
    <w:rsid w:val="001F75B0"/>
    <w:rsid w:val="0020057C"/>
    <w:rsid w:val="0020083C"/>
    <w:rsid w:val="00200CE5"/>
    <w:rsid w:val="00200F7C"/>
    <w:rsid w:val="002014DB"/>
    <w:rsid w:val="0020150B"/>
    <w:rsid w:val="00201E12"/>
    <w:rsid w:val="00202295"/>
    <w:rsid w:val="002033B5"/>
    <w:rsid w:val="0020382C"/>
    <w:rsid w:val="0020437A"/>
    <w:rsid w:val="0020454C"/>
    <w:rsid w:val="00204740"/>
    <w:rsid w:val="00205129"/>
    <w:rsid w:val="0020521F"/>
    <w:rsid w:val="0020532C"/>
    <w:rsid w:val="002114C7"/>
    <w:rsid w:val="00212EF5"/>
    <w:rsid w:val="0021302C"/>
    <w:rsid w:val="00213B1C"/>
    <w:rsid w:val="00213F1E"/>
    <w:rsid w:val="00214202"/>
    <w:rsid w:val="002148E3"/>
    <w:rsid w:val="0021552D"/>
    <w:rsid w:val="002156AE"/>
    <w:rsid w:val="00215E99"/>
    <w:rsid w:val="002175BD"/>
    <w:rsid w:val="0022054D"/>
    <w:rsid w:val="0022107B"/>
    <w:rsid w:val="00223DDB"/>
    <w:rsid w:val="00223FA4"/>
    <w:rsid w:val="00223FB0"/>
    <w:rsid w:val="0022405A"/>
    <w:rsid w:val="00224067"/>
    <w:rsid w:val="0022421C"/>
    <w:rsid w:val="00224C4A"/>
    <w:rsid w:val="00224E83"/>
    <w:rsid w:val="00225664"/>
    <w:rsid w:val="002261E9"/>
    <w:rsid w:val="0022663D"/>
    <w:rsid w:val="00226A46"/>
    <w:rsid w:val="00227C56"/>
    <w:rsid w:val="00227F2D"/>
    <w:rsid w:val="00231851"/>
    <w:rsid w:val="0023186A"/>
    <w:rsid w:val="002319FB"/>
    <w:rsid w:val="00231B89"/>
    <w:rsid w:val="00231F11"/>
    <w:rsid w:val="00231F5E"/>
    <w:rsid w:val="002346B4"/>
    <w:rsid w:val="00234F6E"/>
    <w:rsid w:val="002355BE"/>
    <w:rsid w:val="002358EA"/>
    <w:rsid w:val="00236578"/>
    <w:rsid w:val="00236DE9"/>
    <w:rsid w:val="00237342"/>
    <w:rsid w:val="00237810"/>
    <w:rsid w:val="00237D5A"/>
    <w:rsid w:val="00240D75"/>
    <w:rsid w:val="002415AE"/>
    <w:rsid w:val="00241D3C"/>
    <w:rsid w:val="00242109"/>
    <w:rsid w:val="00243189"/>
    <w:rsid w:val="002439AB"/>
    <w:rsid w:val="00243C19"/>
    <w:rsid w:val="00244AE8"/>
    <w:rsid w:val="00244DC9"/>
    <w:rsid w:val="00245587"/>
    <w:rsid w:val="00245F2B"/>
    <w:rsid w:val="002466CD"/>
    <w:rsid w:val="00247F3A"/>
    <w:rsid w:val="00250122"/>
    <w:rsid w:val="0025024D"/>
    <w:rsid w:val="00250755"/>
    <w:rsid w:val="00250E5A"/>
    <w:rsid w:val="00251043"/>
    <w:rsid w:val="00251C4A"/>
    <w:rsid w:val="0025204E"/>
    <w:rsid w:val="0025271C"/>
    <w:rsid w:val="0025277A"/>
    <w:rsid w:val="002533CD"/>
    <w:rsid w:val="002535EA"/>
    <w:rsid w:val="00254EAB"/>
    <w:rsid w:val="002557AF"/>
    <w:rsid w:val="0025589C"/>
    <w:rsid w:val="00255B62"/>
    <w:rsid w:val="002566B1"/>
    <w:rsid w:val="002575E3"/>
    <w:rsid w:val="00257A74"/>
    <w:rsid w:val="00257C5D"/>
    <w:rsid w:val="002603C1"/>
    <w:rsid w:val="002609A1"/>
    <w:rsid w:val="002612B1"/>
    <w:rsid w:val="00265A12"/>
    <w:rsid w:val="00266165"/>
    <w:rsid w:val="00266F2C"/>
    <w:rsid w:val="0027125E"/>
    <w:rsid w:val="00271767"/>
    <w:rsid w:val="00271FA8"/>
    <w:rsid w:val="00272293"/>
    <w:rsid w:val="002723C8"/>
    <w:rsid w:val="00273C2A"/>
    <w:rsid w:val="00273CBE"/>
    <w:rsid w:val="002746B1"/>
    <w:rsid w:val="00274BAD"/>
    <w:rsid w:val="002807B0"/>
    <w:rsid w:val="00282D56"/>
    <w:rsid w:val="002835B0"/>
    <w:rsid w:val="00283C74"/>
    <w:rsid w:val="0028407E"/>
    <w:rsid w:val="0028410F"/>
    <w:rsid w:val="00284572"/>
    <w:rsid w:val="002850AA"/>
    <w:rsid w:val="00285221"/>
    <w:rsid w:val="00286FB5"/>
    <w:rsid w:val="00287763"/>
    <w:rsid w:val="00290606"/>
    <w:rsid w:val="002909B2"/>
    <w:rsid w:val="00291D6D"/>
    <w:rsid w:val="00291FF1"/>
    <w:rsid w:val="00292AA2"/>
    <w:rsid w:val="00293361"/>
    <w:rsid w:val="00294F10"/>
    <w:rsid w:val="002952B1"/>
    <w:rsid w:val="00295D11"/>
    <w:rsid w:val="00296FB6"/>
    <w:rsid w:val="002A0001"/>
    <w:rsid w:val="002A0BD9"/>
    <w:rsid w:val="002A0C3A"/>
    <w:rsid w:val="002A0DF8"/>
    <w:rsid w:val="002A0F1C"/>
    <w:rsid w:val="002A1130"/>
    <w:rsid w:val="002A1880"/>
    <w:rsid w:val="002A23B7"/>
    <w:rsid w:val="002A2763"/>
    <w:rsid w:val="002A3A57"/>
    <w:rsid w:val="002A4B4F"/>
    <w:rsid w:val="002A57A8"/>
    <w:rsid w:val="002A6DEF"/>
    <w:rsid w:val="002A770B"/>
    <w:rsid w:val="002A7F9C"/>
    <w:rsid w:val="002B013E"/>
    <w:rsid w:val="002B058D"/>
    <w:rsid w:val="002B0C16"/>
    <w:rsid w:val="002B2456"/>
    <w:rsid w:val="002B2891"/>
    <w:rsid w:val="002B2AC5"/>
    <w:rsid w:val="002B32ED"/>
    <w:rsid w:val="002B3528"/>
    <w:rsid w:val="002B3539"/>
    <w:rsid w:val="002B4395"/>
    <w:rsid w:val="002B4532"/>
    <w:rsid w:val="002B4DD9"/>
    <w:rsid w:val="002B5042"/>
    <w:rsid w:val="002B69CC"/>
    <w:rsid w:val="002B6D71"/>
    <w:rsid w:val="002C03AE"/>
    <w:rsid w:val="002C0C1C"/>
    <w:rsid w:val="002C16AE"/>
    <w:rsid w:val="002C362C"/>
    <w:rsid w:val="002C41BF"/>
    <w:rsid w:val="002C54C2"/>
    <w:rsid w:val="002C5D34"/>
    <w:rsid w:val="002C60BB"/>
    <w:rsid w:val="002C6131"/>
    <w:rsid w:val="002C661A"/>
    <w:rsid w:val="002D0D6F"/>
    <w:rsid w:val="002D14BF"/>
    <w:rsid w:val="002D1796"/>
    <w:rsid w:val="002D25FC"/>
    <w:rsid w:val="002D4AC6"/>
    <w:rsid w:val="002D59BF"/>
    <w:rsid w:val="002D5BF5"/>
    <w:rsid w:val="002D5EE8"/>
    <w:rsid w:val="002D600A"/>
    <w:rsid w:val="002D7360"/>
    <w:rsid w:val="002D7648"/>
    <w:rsid w:val="002D7C80"/>
    <w:rsid w:val="002E109C"/>
    <w:rsid w:val="002E193E"/>
    <w:rsid w:val="002E1A94"/>
    <w:rsid w:val="002E1D55"/>
    <w:rsid w:val="002E26C4"/>
    <w:rsid w:val="002E2734"/>
    <w:rsid w:val="002E30A5"/>
    <w:rsid w:val="002E47E4"/>
    <w:rsid w:val="002E4BF9"/>
    <w:rsid w:val="002E4D61"/>
    <w:rsid w:val="002E50B9"/>
    <w:rsid w:val="002E68A7"/>
    <w:rsid w:val="002E6E6C"/>
    <w:rsid w:val="002E6E76"/>
    <w:rsid w:val="002F016E"/>
    <w:rsid w:val="002F051C"/>
    <w:rsid w:val="002F0522"/>
    <w:rsid w:val="002F16DD"/>
    <w:rsid w:val="002F199D"/>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2AFC"/>
    <w:rsid w:val="00302EFC"/>
    <w:rsid w:val="00303243"/>
    <w:rsid w:val="00303BCC"/>
    <w:rsid w:val="00303F2B"/>
    <w:rsid w:val="00303F8D"/>
    <w:rsid w:val="0030572D"/>
    <w:rsid w:val="0030586A"/>
    <w:rsid w:val="0030622D"/>
    <w:rsid w:val="00306811"/>
    <w:rsid w:val="00306F32"/>
    <w:rsid w:val="003074C5"/>
    <w:rsid w:val="00307A3C"/>
    <w:rsid w:val="00307FA4"/>
    <w:rsid w:val="00310290"/>
    <w:rsid w:val="00310CC1"/>
    <w:rsid w:val="00312504"/>
    <w:rsid w:val="00312B89"/>
    <w:rsid w:val="00313026"/>
    <w:rsid w:val="00313913"/>
    <w:rsid w:val="0031421F"/>
    <w:rsid w:val="00314B31"/>
    <w:rsid w:val="00315A65"/>
    <w:rsid w:val="003165D7"/>
    <w:rsid w:val="0031666B"/>
    <w:rsid w:val="00316ABE"/>
    <w:rsid w:val="00317BA7"/>
    <w:rsid w:val="00320BE2"/>
    <w:rsid w:val="00321886"/>
    <w:rsid w:val="00321EDC"/>
    <w:rsid w:val="00323694"/>
    <w:rsid w:val="00323BE7"/>
    <w:rsid w:val="00324C3A"/>
    <w:rsid w:val="00324D63"/>
    <w:rsid w:val="003255AF"/>
    <w:rsid w:val="003256EB"/>
    <w:rsid w:val="003259DB"/>
    <w:rsid w:val="0032795B"/>
    <w:rsid w:val="003303CD"/>
    <w:rsid w:val="003314D9"/>
    <w:rsid w:val="00331653"/>
    <w:rsid w:val="00331939"/>
    <w:rsid w:val="00331A48"/>
    <w:rsid w:val="00331BCC"/>
    <w:rsid w:val="003330C9"/>
    <w:rsid w:val="0033364C"/>
    <w:rsid w:val="00334415"/>
    <w:rsid w:val="00335EA1"/>
    <w:rsid w:val="0033691E"/>
    <w:rsid w:val="00336A6A"/>
    <w:rsid w:val="00336CCB"/>
    <w:rsid w:val="003411D1"/>
    <w:rsid w:val="003416BA"/>
    <w:rsid w:val="00342148"/>
    <w:rsid w:val="00342F99"/>
    <w:rsid w:val="0034575A"/>
    <w:rsid w:val="00345F57"/>
    <w:rsid w:val="00350458"/>
    <w:rsid w:val="00350E6C"/>
    <w:rsid w:val="003518A6"/>
    <w:rsid w:val="00351E7F"/>
    <w:rsid w:val="00352953"/>
    <w:rsid w:val="00354062"/>
    <w:rsid w:val="0035459E"/>
    <w:rsid w:val="00354AE9"/>
    <w:rsid w:val="00355C0D"/>
    <w:rsid w:val="003566A9"/>
    <w:rsid w:val="00356988"/>
    <w:rsid w:val="003569D3"/>
    <w:rsid w:val="00356CE9"/>
    <w:rsid w:val="003570BB"/>
    <w:rsid w:val="00357128"/>
    <w:rsid w:val="0035755E"/>
    <w:rsid w:val="00357A80"/>
    <w:rsid w:val="00361441"/>
    <w:rsid w:val="00361B8B"/>
    <w:rsid w:val="00363F39"/>
    <w:rsid w:val="003640FC"/>
    <w:rsid w:val="0036445C"/>
    <w:rsid w:val="00364627"/>
    <w:rsid w:val="00364AB0"/>
    <w:rsid w:val="00364D71"/>
    <w:rsid w:val="003667B0"/>
    <w:rsid w:val="003667DD"/>
    <w:rsid w:val="00366B48"/>
    <w:rsid w:val="0036766E"/>
    <w:rsid w:val="00367764"/>
    <w:rsid w:val="00370316"/>
    <w:rsid w:val="00370DC7"/>
    <w:rsid w:val="00371CBD"/>
    <w:rsid w:val="00371F20"/>
    <w:rsid w:val="003721E3"/>
    <w:rsid w:val="00372B98"/>
    <w:rsid w:val="003737B7"/>
    <w:rsid w:val="003740CC"/>
    <w:rsid w:val="00374163"/>
    <w:rsid w:val="003745F4"/>
    <w:rsid w:val="0037491A"/>
    <w:rsid w:val="00374E79"/>
    <w:rsid w:val="0037529A"/>
    <w:rsid w:val="00375388"/>
    <w:rsid w:val="00375559"/>
    <w:rsid w:val="00375FB9"/>
    <w:rsid w:val="00376170"/>
    <w:rsid w:val="003761B2"/>
    <w:rsid w:val="00376851"/>
    <w:rsid w:val="00376FA2"/>
    <w:rsid w:val="00377133"/>
    <w:rsid w:val="00377A3B"/>
    <w:rsid w:val="00377E3C"/>
    <w:rsid w:val="00380874"/>
    <w:rsid w:val="00380BBE"/>
    <w:rsid w:val="00381BF4"/>
    <w:rsid w:val="00381D70"/>
    <w:rsid w:val="0038235E"/>
    <w:rsid w:val="003829D0"/>
    <w:rsid w:val="0038326A"/>
    <w:rsid w:val="00383D5E"/>
    <w:rsid w:val="0038444F"/>
    <w:rsid w:val="003861F0"/>
    <w:rsid w:val="00387051"/>
    <w:rsid w:val="00387ECF"/>
    <w:rsid w:val="00390133"/>
    <w:rsid w:val="0039021B"/>
    <w:rsid w:val="00390429"/>
    <w:rsid w:val="003906A0"/>
    <w:rsid w:val="00391A66"/>
    <w:rsid w:val="003923D5"/>
    <w:rsid w:val="003931AF"/>
    <w:rsid w:val="0039366C"/>
    <w:rsid w:val="00393EC8"/>
    <w:rsid w:val="003943CC"/>
    <w:rsid w:val="00395AB1"/>
    <w:rsid w:val="00395E42"/>
    <w:rsid w:val="0039621E"/>
    <w:rsid w:val="00396409"/>
    <w:rsid w:val="00396A2D"/>
    <w:rsid w:val="00396FC3"/>
    <w:rsid w:val="003A1431"/>
    <w:rsid w:val="003A1A94"/>
    <w:rsid w:val="003A204E"/>
    <w:rsid w:val="003A2D25"/>
    <w:rsid w:val="003A5101"/>
    <w:rsid w:val="003A5728"/>
    <w:rsid w:val="003A60E7"/>
    <w:rsid w:val="003A66A3"/>
    <w:rsid w:val="003A7092"/>
    <w:rsid w:val="003A72A1"/>
    <w:rsid w:val="003A7611"/>
    <w:rsid w:val="003A7D1F"/>
    <w:rsid w:val="003B0B6A"/>
    <w:rsid w:val="003B22F7"/>
    <w:rsid w:val="003B29CF"/>
    <w:rsid w:val="003B3A90"/>
    <w:rsid w:val="003B3D01"/>
    <w:rsid w:val="003B534F"/>
    <w:rsid w:val="003B7A79"/>
    <w:rsid w:val="003B7D00"/>
    <w:rsid w:val="003C0FE1"/>
    <w:rsid w:val="003C151A"/>
    <w:rsid w:val="003C350C"/>
    <w:rsid w:val="003C3733"/>
    <w:rsid w:val="003C3903"/>
    <w:rsid w:val="003C3BA0"/>
    <w:rsid w:val="003C4580"/>
    <w:rsid w:val="003C5C5E"/>
    <w:rsid w:val="003C6746"/>
    <w:rsid w:val="003C7555"/>
    <w:rsid w:val="003C7898"/>
    <w:rsid w:val="003D0FF5"/>
    <w:rsid w:val="003D11A3"/>
    <w:rsid w:val="003D1537"/>
    <w:rsid w:val="003D183C"/>
    <w:rsid w:val="003D2D1B"/>
    <w:rsid w:val="003D48C7"/>
    <w:rsid w:val="003D4C27"/>
    <w:rsid w:val="003D7109"/>
    <w:rsid w:val="003D7CE8"/>
    <w:rsid w:val="003E0514"/>
    <w:rsid w:val="003E1032"/>
    <w:rsid w:val="003E1904"/>
    <w:rsid w:val="003E285E"/>
    <w:rsid w:val="003E3124"/>
    <w:rsid w:val="003E3300"/>
    <w:rsid w:val="003E43D3"/>
    <w:rsid w:val="003E48E1"/>
    <w:rsid w:val="003E50F4"/>
    <w:rsid w:val="003E59BB"/>
    <w:rsid w:val="003E6225"/>
    <w:rsid w:val="003E65AC"/>
    <w:rsid w:val="003E66AE"/>
    <w:rsid w:val="003E72B9"/>
    <w:rsid w:val="003E7612"/>
    <w:rsid w:val="003E7ED4"/>
    <w:rsid w:val="003F0E52"/>
    <w:rsid w:val="003F0F6B"/>
    <w:rsid w:val="003F1FC6"/>
    <w:rsid w:val="003F1FE3"/>
    <w:rsid w:val="003F2359"/>
    <w:rsid w:val="003F3232"/>
    <w:rsid w:val="003F3865"/>
    <w:rsid w:val="003F38AC"/>
    <w:rsid w:val="003F3D55"/>
    <w:rsid w:val="003F44E2"/>
    <w:rsid w:val="003F4632"/>
    <w:rsid w:val="003F47BA"/>
    <w:rsid w:val="003F4FE6"/>
    <w:rsid w:val="003F5638"/>
    <w:rsid w:val="003F6617"/>
    <w:rsid w:val="003F7F03"/>
    <w:rsid w:val="00402332"/>
    <w:rsid w:val="004025C2"/>
    <w:rsid w:val="00403195"/>
    <w:rsid w:val="004033A9"/>
    <w:rsid w:val="00403E55"/>
    <w:rsid w:val="0040407C"/>
    <w:rsid w:val="0040416C"/>
    <w:rsid w:val="004041CA"/>
    <w:rsid w:val="00404681"/>
    <w:rsid w:val="00405445"/>
    <w:rsid w:val="00405AC1"/>
    <w:rsid w:val="00406923"/>
    <w:rsid w:val="0040763D"/>
    <w:rsid w:val="00410D17"/>
    <w:rsid w:val="00412AA9"/>
    <w:rsid w:val="00413442"/>
    <w:rsid w:val="00413821"/>
    <w:rsid w:val="00413BA5"/>
    <w:rsid w:val="004141A3"/>
    <w:rsid w:val="00414909"/>
    <w:rsid w:val="0041582F"/>
    <w:rsid w:val="00416112"/>
    <w:rsid w:val="00417A18"/>
    <w:rsid w:val="00417AE0"/>
    <w:rsid w:val="00417BAA"/>
    <w:rsid w:val="0042042B"/>
    <w:rsid w:val="00420B45"/>
    <w:rsid w:val="00420D7A"/>
    <w:rsid w:val="00421257"/>
    <w:rsid w:val="00422193"/>
    <w:rsid w:val="004223DE"/>
    <w:rsid w:val="00422A10"/>
    <w:rsid w:val="00424D17"/>
    <w:rsid w:val="00425DFD"/>
    <w:rsid w:val="004263A3"/>
    <w:rsid w:val="00427713"/>
    <w:rsid w:val="00427CCC"/>
    <w:rsid w:val="0043013A"/>
    <w:rsid w:val="00430421"/>
    <w:rsid w:val="00430A36"/>
    <w:rsid w:val="00430B4F"/>
    <w:rsid w:val="00431084"/>
    <w:rsid w:val="004310D7"/>
    <w:rsid w:val="004322D6"/>
    <w:rsid w:val="00432589"/>
    <w:rsid w:val="00432882"/>
    <w:rsid w:val="00432A94"/>
    <w:rsid w:val="00432C95"/>
    <w:rsid w:val="00433827"/>
    <w:rsid w:val="00433A40"/>
    <w:rsid w:val="00434B70"/>
    <w:rsid w:val="004360C8"/>
    <w:rsid w:val="00436823"/>
    <w:rsid w:val="004371D5"/>
    <w:rsid w:val="0044006B"/>
    <w:rsid w:val="0044033F"/>
    <w:rsid w:val="00440630"/>
    <w:rsid w:val="00441F0F"/>
    <w:rsid w:val="00442965"/>
    <w:rsid w:val="004432B6"/>
    <w:rsid w:val="00444157"/>
    <w:rsid w:val="0044417C"/>
    <w:rsid w:val="00444DB3"/>
    <w:rsid w:val="00445617"/>
    <w:rsid w:val="00445A2F"/>
    <w:rsid w:val="0044684E"/>
    <w:rsid w:val="00446F22"/>
    <w:rsid w:val="0045019F"/>
    <w:rsid w:val="004503A4"/>
    <w:rsid w:val="00450555"/>
    <w:rsid w:val="004506FA"/>
    <w:rsid w:val="00450B54"/>
    <w:rsid w:val="00450DC6"/>
    <w:rsid w:val="004516A5"/>
    <w:rsid w:val="00451E9C"/>
    <w:rsid w:val="0045280F"/>
    <w:rsid w:val="004535AE"/>
    <w:rsid w:val="0045444D"/>
    <w:rsid w:val="0045463A"/>
    <w:rsid w:val="00454AC9"/>
    <w:rsid w:val="00455050"/>
    <w:rsid w:val="004554A3"/>
    <w:rsid w:val="00455A6E"/>
    <w:rsid w:val="00455EAD"/>
    <w:rsid w:val="004578EB"/>
    <w:rsid w:val="004604D5"/>
    <w:rsid w:val="00460697"/>
    <w:rsid w:val="0046117B"/>
    <w:rsid w:val="00461FC2"/>
    <w:rsid w:val="00464AB7"/>
    <w:rsid w:val="00464EA0"/>
    <w:rsid w:val="00465DE5"/>
    <w:rsid w:val="00467EF8"/>
    <w:rsid w:val="00471AC3"/>
    <w:rsid w:val="00472429"/>
    <w:rsid w:val="004725E5"/>
    <w:rsid w:val="00472751"/>
    <w:rsid w:val="00473128"/>
    <w:rsid w:val="00475078"/>
    <w:rsid w:val="00475767"/>
    <w:rsid w:val="004779A0"/>
    <w:rsid w:val="004808E3"/>
    <w:rsid w:val="00481016"/>
    <w:rsid w:val="0048204C"/>
    <w:rsid w:val="004821BB"/>
    <w:rsid w:val="0048237A"/>
    <w:rsid w:val="004826FE"/>
    <w:rsid w:val="004827D5"/>
    <w:rsid w:val="00482AF2"/>
    <w:rsid w:val="004830C9"/>
    <w:rsid w:val="00483347"/>
    <w:rsid w:val="00483E2E"/>
    <w:rsid w:val="00484B69"/>
    <w:rsid w:val="00485406"/>
    <w:rsid w:val="0048590F"/>
    <w:rsid w:val="0048649B"/>
    <w:rsid w:val="00486D60"/>
    <w:rsid w:val="00491FA1"/>
    <w:rsid w:val="00492A25"/>
    <w:rsid w:val="004938A3"/>
    <w:rsid w:val="0049558B"/>
    <w:rsid w:val="00496350"/>
    <w:rsid w:val="0049797C"/>
    <w:rsid w:val="004A0D52"/>
    <w:rsid w:val="004A1171"/>
    <w:rsid w:val="004A1405"/>
    <w:rsid w:val="004A15BD"/>
    <w:rsid w:val="004A1E28"/>
    <w:rsid w:val="004A1FC6"/>
    <w:rsid w:val="004A2E5F"/>
    <w:rsid w:val="004A38C2"/>
    <w:rsid w:val="004A3C03"/>
    <w:rsid w:val="004A3DB7"/>
    <w:rsid w:val="004A463B"/>
    <w:rsid w:val="004A5088"/>
    <w:rsid w:val="004A5255"/>
    <w:rsid w:val="004A6B28"/>
    <w:rsid w:val="004A6CB0"/>
    <w:rsid w:val="004A70FF"/>
    <w:rsid w:val="004A7EDE"/>
    <w:rsid w:val="004B0D93"/>
    <w:rsid w:val="004B1FA4"/>
    <w:rsid w:val="004B29AC"/>
    <w:rsid w:val="004B35DF"/>
    <w:rsid w:val="004B3627"/>
    <w:rsid w:val="004B4922"/>
    <w:rsid w:val="004B4BFE"/>
    <w:rsid w:val="004B57DF"/>
    <w:rsid w:val="004B5976"/>
    <w:rsid w:val="004B722E"/>
    <w:rsid w:val="004B72E8"/>
    <w:rsid w:val="004B7E4F"/>
    <w:rsid w:val="004C01A5"/>
    <w:rsid w:val="004C0412"/>
    <w:rsid w:val="004C2138"/>
    <w:rsid w:val="004C3940"/>
    <w:rsid w:val="004C51FD"/>
    <w:rsid w:val="004C65A8"/>
    <w:rsid w:val="004C6689"/>
    <w:rsid w:val="004D0196"/>
    <w:rsid w:val="004D139A"/>
    <w:rsid w:val="004D14DC"/>
    <w:rsid w:val="004D17C6"/>
    <w:rsid w:val="004D2858"/>
    <w:rsid w:val="004D2E49"/>
    <w:rsid w:val="004D35BA"/>
    <w:rsid w:val="004D38E5"/>
    <w:rsid w:val="004D3C5A"/>
    <w:rsid w:val="004D449A"/>
    <w:rsid w:val="004D4701"/>
    <w:rsid w:val="004D47C7"/>
    <w:rsid w:val="004D4B2B"/>
    <w:rsid w:val="004D4F35"/>
    <w:rsid w:val="004D51EE"/>
    <w:rsid w:val="004D5D45"/>
    <w:rsid w:val="004D618D"/>
    <w:rsid w:val="004D62A9"/>
    <w:rsid w:val="004D6696"/>
    <w:rsid w:val="004D6D52"/>
    <w:rsid w:val="004D6FC3"/>
    <w:rsid w:val="004D7476"/>
    <w:rsid w:val="004D7716"/>
    <w:rsid w:val="004E0306"/>
    <w:rsid w:val="004E0572"/>
    <w:rsid w:val="004E1641"/>
    <w:rsid w:val="004E1818"/>
    <w:rsid w:val="004E1990"/>
    <w:rsid w:val="004E25A8"/>
    <w:rsid w:val="004E3930"/>
    <w:rsid w:val="004E3ED9"/>
    <w:rsid w:val="004E5866"/>
    <w:rsid w:val="004E6097"/>
    <w:rsid w:val="004E61EF"/>
    <w:rsid w:val="004E63C6"/>
    <w:rsid w:val="004E76A7"/>
    <w:rsid w:val="004E7B03"/>
    <w:rsid w:val="004F0064"/>
    <w:rsid w:val="004F06AC"/>
    <w:rsid w:val="004F0E50"/>
    <w:rsid w:val="004F1D2A"/>
    <w:rsid w:val="004F243F"/>
    <w:rsid w:val="004F252C"/>
    <w:rsid w:val="004F36A3"/>
    <w:rsid w:val="004F3E0C"/>
    <w:rsid w:val="004F4308"/>
    <w:rsid w:val="004F7160"/>
    <w:rsid w:val="004F7DD0"/>
    <w:rsid w:val="00500258"/>
    <w:rsid w:val="00500B2D"/>
    <w:rsid w:val="00501A99"/>
    <w:rsid w:val="00503180"/>
    <w:rsid w:val="005038A4"/>
    <w:rsid w:val="00504CD4"/>
    <w:rsid w:val="0050524B"/>
    <w:rsid w:val="00505450"/>
    <w:rsid w:val="00505FC6"/>
    <w:rsid w:val="00506449"/>
    <w:rsid w:val="00506C5E"/>
    <w:rsid w:val="005100B7"/>
    <w:rsid w:val="005105DE"/>
    <w:rsid w:val="005113C9"/>
    <w:rsid w:val="00511D0F"/>
    <w:rsid w:val="00512050"/>
    <w:rsid w:val="00512055"/>
    <w:rsid w:val="0051280C"/>
    <w:rsid w:val="00512842"/>
    <w:rsid w:val="005128BE"/>
    <w:rsid w:val="0051356F"/>
    <w:rsid w:val="00513E7C"/>
    <w:rsid w:val="005140BB"/>
    <w:rsid w:val="00514FBE"/>
    <w:rsid w:val="00514FD9"/>
    <w:rsid w:val="0051550A"/>
    <w:rsid w:val="0051608F"/>
    <w:rsid w:val="00516480"/>
    <w:rsid w:val="00520EF8"/>
    <w:rsid w:val="005210F7"/>
    <w:rsid w:val="00521753"/>
    <w:rsid w:val="0052239D"/>
    <w:rsid w:val="005224EE"/>
    <w:rsid w:val="00522879"/>
    <w:rsid w:val="00523BB1"/>
    <w:rsid w:val="00524B23"/>
    <w:rsid w:val="0052570E"/>
    <w:rsid w:val="005260CD"/>
    <w:rsid w:val="00526265"/>
    <w:rsid w:val="0052655D"/>
    <w:rsid w:val="005265E0"/>
    <w:rsid w:val="00526BC3"/>
    <w:rsid w:val="00526FA3"/>
    <w:rsid w:val="00530064"/>
    <w:rsid w:val="00531761"/>
    <w:rsid w:val="0053248F"/>
    <w:rsid w:val="005327AB"/>
    <w:rsid w:val="0053332A"/>
    <w:rsid w:val="0053358A"/>
    <w:rsid w:val="00534668"/>
    <w:rsid w:val="00534DDD"/>
    <w:rsid w:val="00535291"/>
    <w:rsid w:val="00535A94"/>
    <w:rsid w:val="00537874"/>
    <w:rsid w:val="0053795F"/>
    <w:rsid w:val="00537D3D"/>
    <w:rsid w:val="00540511"/>
    <w:rsid w:val="00540578"/>
    <w:rsid w:val="00540808"/>
    <w:rsid w:val="0054080E"/>
    <w:rsid w:val="00540D1A"/>
    <w:rsid w:val="00540DE5"/>
    <w:rsid w:val="00540EA1"/>
    <w:rsid w:val="00541E5A"/>
    <w:rsid w:val="0054358E"/>
    <w:rsid w:val="00543AF4"/>
    <w:rsid w:val="00543F53"/>
    <w:rsid w:val="00544191"/>
    <w:rsid w:val="0054440C"/>
    <w:rsid w:val="005448EC"/>
    <w:rsid w:val="00544C0A"/>
    <w:rsid w:val="00544F39"/>
    <w:rsid w:val="005457FB"/>
    <w:rsid w:val="00546A43"/>
    <w:rsid w:val="00546B96"/>
    <w:rsid w:val="00546F90"/>
    <w:rsid w:val="00547EFB"/>
    <w:rsid w:val="00550192"/>
    <w:rsid w:val="005522F2"/>
    <w:rsid w:val="005531DF"/>
    <w:rsid w:val="00553874"/>
    <w:rsid w:val="00553DCE"/>
    <w:rsid w:val="00554577"/>
    <w:rsid w:val="00554AD8"/>
    <w:rsid w:val="00554F78"/>
    <w:rsid w:val="00555DA1"/>
    <w:rsid w:val="00556BF7"/>
    <w:rsid w:val="00556E53"/>
    <w:rsid w:val="00557F60"/>
    <w:rsid w:val="00561730"/>
    <w:rsid w:val="00561B97"/>
    <w:rsid w:val="00562149"/>
    <w:rsid w:val="005640EB"/>
    <w:rsid w:val="005666A4"/>
    <w:rsid w:val="00567B5D"/>
    <w:rsid w:val="00570757"/>
    <w:rsid w:val="00573733"/>
    <w:rsid w:val="00573C78"/>
    <w:rsid w:val="00573F8B"/>
    <w:rsid w:val="00574554"/>
    <w:rsid w:val="00574E06"/>
    <w:rsid w:val="005751BB"/>
    <w:rsid w:val="00576089"/>
    <w:rsid w:val="005764B1"/>
    <w:rsid w:val="00576852"/>
    <w:rsid w:val="00576D06"/>
    <w:rsid w:val="005779E4"/>
    <w:rsid w:val="00580EC7"/>
    <w:rsid w:val="0058289C"/>
    <w:rsid w:val="005836C7"/>
    <w:rsid w:val="0058408E"/>
    <w:rsid w:val="005844C3"/>
    <w:rsid w:val="00585374"/>
    <w:rsid w:val="005854CA"/>
    <w:rsid w:val="00585FAB"/>
    <w:rsid w:val="00590B77"/>
    <w:rsid w:val="00590D9A"/>
    <w:rsid w:val="00590ED3"/>
    <w:rsid w:val="005913A3"/>
    <w:rsid w:val="00591A5A"/>
    <w:rsid w:val="005935A2"/>
    <w:rsid w:val="005940D4"/>
    <w:rsid w:val="00594A7B"/>
    <w:rsid w:val="0059580E"/>
    <w:rsid w:val="00595D90"/>
    <w:rsid w:val="00596A6F"/>
    <w:rsid w:val="00596FCE"/>
    <w:rsid w:val="005A11BC"/>
    <w:rsid w:val="005A1525"/>
    <w:rsid w:val="005A1E17"/>
    <w:rsid w:val="005A2254"/>
    <w:rsid w:val="005A252B"/>
    <w:rsid w:val="005A2A8F"/>
    <w:rsid w:val="005A3008"/>
    <w:rsid w:val="005A3204"/>
    <w:rsid w:val="005A3341"/>
    <w:rsid w:val="005A3C3D"/>
    <w:rsid w:val="005A46EC"/>
    <w:rsid w:val="005A5EAE"/>
    <w:rsid w:val="005A6407"/>
    <w:rsid w:val="005A726C"/>
    <w:rsid w:val="005B017A"/>
    <w:rsid w:val="005B07EC"/>
    <w:rsid w:val="005B2B11"/>
    <w:rsid w:val="005B32A4"/>
    <w:rsid w:val="005B3371"/>
    <w:rsid w:val="005B338D"/>
    <w:rsid w:val="005B33A1"/>
    <w:rsid w:val="005B3852"/>
    <w:rsid w:val="005B3BAF"/>
    <w:rsid w:val="005B4DA3"/>
    <w:rsid w:val="005B5BEE"/>
    <w:rsid w:val="005B77D2"/>
    <w:rsid w:val="005C0195"/>
    <w:rsid w:val="005C019B"/>
    <w:rsid w:val="005C08D0"/>
    <w:rsid w:val="005C1AED"/>
    <w:rsid w:val="005C2136"/>
    <w:rsid w:val="005C2C12"/>
    <w:rsid w:val="005C30F5"/>
    <w:rsid w:val="005C3840"/>
    <w:rsid w:val="005C4D2E"/>
    <w:rsid w:val="005C51A5"/>
    <w:rsid w:val="005C557A"/>
    <w:rsid w:val="005C566F"/>
    <w:rsid w:val="005C5C47"/>
    <w:rsid w:val="005C61DD"/>
    <w:rsid w:val="005C6438"/>
    <w:rsid w:val="005C6B8B"/>
    <w:rsid w:val="005C727F"/>
    <w:rsid w:val="005D02E3"/>
    <w:rsid w:val="005D1F34"/>
    <w:rsid w:val="005D2C1F"/>
    <w:rsid w:val="005D34B2"/>
    <w:rsid w:val="005D3B54"/>
    <w:rsid w:val="005D40CD"/>
    <w:rsid w:val="005D6B59"/>
    <w:rsid w:val="005D784B"/>
    <w:rsid w:val="005E03E4"/>
    <w:rsid w:val="005E0454"/>
    <w:rsid w:val="005E05F6"/>
    <w:rsid w:val="005E1B9D"/>
    <w:rsid w:val="005E1BDA"/>
    <w:rsid w:val="005E2442"/>
    <w:rsid w:val="005E3111"/>
    <w:rsid w:val="005E3CA0"/>
    <w:rsid w:val="005E3F85"/>
    <w:rsid w:val="005E4A5F"/>
    <w:rsid w:val="005E516A"/>
    <w:rsid w:val="005E57B0"/>
    <w:rsid w:val="005E5B01"/>
    <w:rsid w:val="005E6D3B"/>
    <w:rsid w:val="005F009E"/>
    <w:rsid w:val="005F0DF1"/>
    <w:rsid w:val="005F1516"/>
    <w:rsid w:val="005F1A6F"/>
    <w:rsid w:val="005F229E"/>
    <w:rsid w:val="005F2564"/>
    <w:rsid w:val="005F2CDC"/>
    <w:rsid w:val="005F3822"/>
    <w:rsid w:val="005F4635"/>
    <w:rsid w:val="005F4900"/>
    <w:rsid w:val="005F4E52"/>
    <w:rsid w:val="005F6D58"/>
    <w:rsid w:val="005F7383"/>
    <w:rsid w:val="0060058E"/>
    <w:rsid w:val="006009F6"/>
    <w:rsid w:val="00602A3C"/>
    <w:rsid w:val="00603EFD"/>
    <w:rsid w:val="0060475B"/>
    <w:rsid w:val="00604BED"/>
    <w:rsid w:val="00604FB6"/>
    <w:rsid w:val="00605387"/>
    <w:rsid w:val="00606302"/>
    <w:rsid w:val="006076FD"/>
    <w:rsid w:val="0061077B"/>
    <w:rsid w:val="00610811"/>
    <w:rsid w:val="006113FD"/>
    <w:rsid w:val="0061143F"/>
    <w:rsid w:val="006114D8"/>
    <w:rsid w:val="00613553"/>
    <w:rsid w:val="00613601"/>
    <w:rsid w:val="00613791"/>
    <w:rsid w:val="006150D6"/>
    <w:rsid w:val="00615245"/>
    <w:rsid w:val="0061590D"/>
    <w:rsid w:val="00615AAB"/>
    <w:rsid w:val="00617EEE"/>
    <w:rsid w:val="00620A1F"/>
    <w:rsid w:val="0062114B"/>
    <w:rsid w:val="0062169D"/>
    <w:rsid w:val="0062181E"/>
    <w:rsid w:val="00621C19"/>
    <w:rsid w:val="0062211B"/>
    <w:rsid w:val="00622BB7"/>
    <w:rsid w:val="00622C1E"/>
    <w:rsid w:val="00623268"/>
    <w:rsid w:val="00623389"/>
    <w:rsid w:val="00623DAA"/>
    <w:rsid w:val="00623FAF"/>
    <w:rsid w:val="006265C4"/>
    <w:rsid w:val="0062678A"/>
    <w:rsid w:val="006270AF"/>
    <w:rsid w:val="00632950"/>
    <w:rsid w:val="00634367"/>
    <w:rsid w:val="00636CE3"/>
    <w:rsid w:val="00640082"/>
    <w:rsid w:val="00640291"/>
    <w:rsid w:val="00640EFE"/>
    <w:rsid w:val="00641D6D"/>
    <w:rsid w:val="00641FAC"/>
    <w:rsid w:val="00642B2C"/>
    <w:rsid w:val="00643664"/>
    <w:rsid w:val="00643CAA"/>
    <w:rsid w:val="00644F16"/>
    <w:rsid w:val="006455EB"/>
    <w:rsid w:val="006456C2"/>
    <w:rsid w:val="00645A65"/>
    <w:rsid w:val="00646959"/>
    <w:rsid w:val="00646A71"/>
    <w:rsid w:val="006477F0"/>
    <w:rsid w:val="006478E4"/>
    <w:rsid w:val="00650475"/>
    <w:rsid w:val="0065171A"/>
    <w:rsid w:val="00652680"/>
    <w:rsid w:val="00653CDE"/>
    <w:rsid w:val="00654585"/>
    <w:rsid w:val="0065566E"/>
    <w:rsid w:val="00655A89"/>
    <w:rsid w:val="00655AB6"/>
    <w:rsid w:val="00655EFA"/>
    <w:rsid w:val="00656061"/>
    <w:rsid w:val="00656281"/>
    <w:rsid w:val="0065636A"/>
    <w:rsid w:val="00657003"/>
    <w:rsid w:val="00660238"/>
    <w:rsid w:val="006602EF"/>
    <w:rsid w:val="00660B0C"/>
    <w:rsid w:val="00661277"/>
    <w:rsid w:val="006619E0"/>
    <w:rsid w:val="00663FEA"/>
    <w:rsid w:val="00664803"/>
    <w:rsid w:val="006657C5"/>
    <w:rsid w:val="006661A4"/>
    <w:rsid w:val="00666AC0"/>
    <w:rsid w:val="006670E0"/>
    <w:rsid w:val="006671B8"/>
    <w:rsid w:val="00667275"/>
    <w:rsid w:val="00667532"/>
    <w:rsid w:val="0066783E"/>
    <w:rsid w:val="00667E53"/>
    <w:rsid w:val="006706C3"/>
    <w:rsid w:val="006711C4"/>
    <w:rsid w:val="006713AB"/>
    <w:rsid w:val="00672CA5"/>
    <w:rsid w:val="00673711"/>
    <w:rsid w:val="00673F82"/>
    <w:rsid w:val="00674F74"/>
    <w:rsid w:val="0067508F"/>
    <w:rsid w:val="00677576"/>
    <w:rsid w:val="0068051E"/>
    <w:rsid w:val="00680B9D"/>
    <w:rsid w:val="00681F13"/>
    <w:rsid w:val="0068231C"/>
    <w:rsid w:val="00682332"/>
    <w:rsid w:val="00682344"/>
    <w:rsid w:val="00682F28"/>
    <w:rsid w:val="00683515"/>
    <w:rsid w:val="00683804"/>
    <w:rsid w:val="00684842"/>
    <w:rsid w:val="006859AA"/>
    <w:rsid w:val="00685BD6"/>
    <w:rsid w:val="00687116"/>
    <w:rsid w:val="006878A6"/>
    <w:rsid w:val="00687D5F"/>
    <w:rsid w:val="00690437"/>
    <w:rsid w:val="00690830"/>
    <w:rsid w:val="00690DC3"/>
    <w:rsid w:val="00690E65"/>
    <w:rsid w:val="006911B7"/>
    <w:rsid w:val="00691387"/>
    <w:rsid w:val="0069188E"/>
    <w:rsid w:val="00691974"/>
    <w:rsid w:val="00692BF6"/>
    <w:rsid w:val="00692CE6"/>
    <w:rsid w:val="00693186"/>
    <w:rsid w:val="00693381"/>
    <w:rsid w:val="00693B6C"/>
    <w:rsid w:val="006942AE"/>
    <w:rsid w:val="00695421"/>
    <w:rsid w:val="00697626"/>
    <w:rsid w:val="00697BD3"/>
    <w:rsid w:val="00697DFA"/>
    <w:rsid w:val="006A16D5"/>
    <w:rsid w:val="006A1772"/>
    <w:rsid w:val="006A1780"/>
    <w:rsid w:val="006A21DD"/>
    <w:rsid w:val="006A26C6"/>
    <w:rsid w:val="006A3302"/>
    <w:rsid w:val="006A3B28"/>
    <w:rsid w:val="006A4FEE"/>
    <w:rsid w:val="006A5549"/>
    <w:rsid w:val="006A703E"/>
    <w:rsid w:val="006A7721"/>
    <w:rsid w:val="006A7BE3"/>
    <w:rsid w:val="006A7D32"/>
    <w:rsid w:val="006B01D1"/>
    <w:rsid w:val="006B0DF4"/>
    <w:rsid w:val="006B16EA"/>
    <w:rsid w:val="006B1780"/>
    <w:rsid w:val="006B21DC"/>
    <w:rsid w:val="006B224E"/>
    <w:rsid w:val="006B376E"/>
    <w:rsid w:val="006B4589"/>
    <w:rsid w:val="006B5157"/>
    <w:rsid w:val="006B610E"/>
    <w:rsid w:val="006B6805"/>
    <w:rsid w:val="006B6C07"/>
    <w:rsid w:val="006B6DE0"/>
    <w:rsid w:val="006C16C3"/>
    <w:rsid w:val="006C2187"/>
    <w:rsid w:val="006C27D9"/>
    <w:rsid w:val="006C32F4"/>
    <w:rsid w:val="006C3C54"/>
    <w:rsid w:val="006C4B6B"/>
    <w:rsid w:val="006C4CE1"/>
    <w:rsid w:val="006C4F9F"/>
    <w:rsid w:val="006C71A2"/>
    <w:rsid w:val="006C73EC"/>
    <w:rsid w:val="006D089A"/>
    <w:rsid w:val="006D0AF7"/>
    <w:rsid w:val="006D0C1D"/>
    <w:rsid w:val="006D28F3"/>
    <w:rsid w:val="006D2E9D"/>
    <w:rsid w:val="006D4A4E"/>
    <w:rsid w:val="006D4C42"/>
    <w:rsid w:val="006D5389"/>
    <w:rsid w:val="006D53A2"/>
    <w:rsid w:val="006D5809"/>
    <w:rsid w:val="006D607E"/>
    <w:rsid w:val="006D6E12"/>
    <w:rsid w:val="006D70CB"/>
    <w:rsid w:val="006D715C"/>
    <w:rsid w:val="006D7363"/>
    <w:rsid w:val="006D774E"/>
    <w:rsid w:val="006E0754"/>
    <w:rsid w:val="006E2668"/>
    <w:rsid w:val="006E2D39"/>
    <w:rsid w:val="006E2FE9"/>
    <w:rsid w:val="006E32B0"/>
    <w:rsid w:val="006E348E"/>
    <w:rsid w:val="006E396A"/>
    <w:rsid w:val="006E3D63"/>
    <w:rsid w:val="006E58BF"/>
    <w:rsid w:val="006E5DD8"/>
    <w:rsid w:val="006E5EA1"/>
    <w:rsid w:val="006E6DEE"/>
    <w:rsid w:val="006E7D4B"/>
    <w:rsid w:val="006F018A"/>
    <w:rsid w:val="006F0404"/>
    <w:rsid w:val="006F0760"/>
    <w:rsid w:val="006F11E2"/>
    <w:rsid w:val="006F2574"/>
    <w:rsid w:val="006F3231"/>
    <w:rsid w:val="006F3DE3"/>
    <w:rsid w:val="006F4787"/>
    <w:rsid w:val="006F61D8"/>
    <w:rsid w:val="006F62B7"/>
    <w:rsid w:val="006F70BC"/>
    <w:rsid w:val="006F726C"/>
    <w:rsid w:val="006F7E7C"/>
    <w:rsid w:val="0070174E"/>
    <w:rsid w:val="007018DB"/>
    <w:rsid w:val="00701DE6"/>
    <w:rsid w:val="00702740"/>
    <w:rsid w:val="0070381B"/>
    <w:rsid w:val="0070796C"/>
    <w:rsid w:val="007109BB"/>
    <w:rsid w:val="00710EBF"/>
    <w:rsid w:val="007110B8"/>
    <w:rsid w:val="0071209F"/>
    <w:rsid w:val="007125A2"/>
    <w:rsid w:val="00713DD9"/>
    <w:rsid w:val="00713F79"/>
    <w:rsid w:val="007148A8"/>
    <w:rsid w:val="00716AC8"/>
    <w:rsid w:val="00716E54"/>
    <w:rsid w:val="0072033C"/>
    <w:rsid w:val="00720B1B"/>
    <w:rsid w:val="00721062"/>
    <w:rsid w:val="00721E5D"/>
    <w:rsid w:val="007229D4"/>
    <w:rsid w:val="007230F8"/>
    <w:rsid w:val="007233F4"/>
    <w:rsid w:val="00724044"/>
    <w:rsid w:val="007248D3"/>
    <w:rsid w:val="00724DF8"/>
    <w:rsid w:val="00725137"/>
    <w:rsid w:val="007252DA"/>
    <w:rsid w:val="00725378"/>
    <w:rsid w:val="007260FC"/>
    <w:rsid w:val="00726300"/>
    <w:rsid w:val="00727A43"/>
    <w:rsid w:val="00727FF2"/>
    <w:rsid w:val="00730550"/>
    <w:rsid w:val="00730C2A"/>
    <w:rsid w:val="00731434"/>
    <w:rsid w:val="00731E59"/>
    <w:rsid w:val="00732022"/>
    <w:rsid w:val="00732337"/>
    <w:rsid w:val="007323E0"/>
    <w:rsid w:val="00732911"/>
    <w:rsid w:val="00733721"/>
    <w:rsid w:val="00733DE2"/>
    <w:rsid w:val="00734142"/>
    <w:rsid w:val="007352EA"/>
    <w:rsid w:val="00737267"/>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89C"/>
    <w:rsid w:val="00747DE2"/>
    <w:rsid w:val="007502D0"/>
    <w:rsid w:val="007504BF"/>
    <w:rsid w:val="007506CD"/>
    <w:rsid w:val="0075267F"/>
    <w:rsid w:val="007526EC"/>
    <w:rsid w:val="00753C48"/>
    <w:rsid w:val="00754250"/>
    <w:rsid w:val="00754FE4"/>
    <w:rsid w:val="00755216"/>
    <w:rsid w:val="00756236"/>
    <w:rsid w:val="00756271"/>
    <w:rsid w:val="00756348"/>
    <w:rsid w:val="00756521"/>
    <w:rsid w:val="00756AB7"/>
    <w:rsid w:val="0076106D"/>
    <w:rsid w:val="00761D1F"/>
    <w:rsid w:val="007623FB"/>
    <w:rsid w:val="00762517"/>
    <w:rsid w:val="00763240"/>
    <w:rsid w:val="0076376A"/>
    <w:rsid w:val="007648AD"/>
    <w:rsid w:val="0076504E"/>
    <w:rsid w:val="00765437"/>
    <w:rsid w:val="00767BFD"/>
    <w:rsid w:val="00767EA0"/>
    <w:rsid w:val="0077068F"/>
    <w:rsid w:val="00771EDF"/>
    <w:rsid w:val="00772A90"/>
    <w:rsid w:val="00772F8D"/>
    <w:rsid w:val="0077408D"/>
    <w:rsid w:val="00774270"/>
    <w:rsid w:val="007743F6"/>
    <w:rsid w:val="00775679"/>
    <w:rsid w:val="0077574F"/>
    <w:rsid w:val="00775823"/>
    <w:rsid w:val="00777153"/>
    <w:rsid w:val="007777CC"/>
    <w:rsid w:val="00777B32"/>
    <w:rsid w:val="0078051E"/>
    <w:rsid w:val="00781089"/>
    <w:rsid w:val="007838F3"/>
    <w:rsid w:val="007856FE"/>
    <w:rsid w:val="00785F46"/>
    <w:rsid w:val="007865F4"/>
    <w:rsid w:val="00786D5C"/>
    <w:rsid w:val="00786E96"/>
    <w:rsid w:val="00787BB6"/>
    <w:rsid w:val="00787DFF"/>
    <w:rsid w:val="00787F93"/>
    <w:rsid w:val="00791E6D"/>
    <w:rsid w:val="00791EB5"/>
    <w:rsid w:val="0079343F"/>
    <w:rsid w:val="00793696"/>
    <w:rsid w:val="007955DA"/>
    <w:rsid w:val="00796CDD"/>
    <w:rsid w:val="00796DDF"/>
    <w:rsid w:val="00796F65"/>
    <w:rsid w:val="007A11C2"/>
    <w:rsid w:val="007A18BB"/>
    <w:rsid w:val="007A2714"/>
    <w:rsid w:val="007A27DD"/>
    <w:rsid w:val="007A338C"/>
    <w:rsid w:val="007A41BF"/>
    <w:rsid w:val="007A490A"/>
    <w:rsid w:val="007A7B95"/>
    <w:rsid w:val="007B0297"/>
    <w:rsid w:val="007B02FA"/>
    <w:rsid w:val="007B0F53"/>
    <w:rsid w:val="007B21AE"/>
    <w:rsid w:val="007B2570"/>
    <w:rsid w:val="007B3113"/>
    <w:rsid w:val="007B3304"/>
    <w:rsid w:val="007B3BF0"/>
    <w:rsid w:val="007B5FE6"/>
    <w:rsid w:val="007B7490"/>
    <w:rsid w:val="007C03B6"/>
    <w:rsid w:val="007C0525"/>
    <w:rsid w:val="007C13F7"/>
    <w:rsid w:val="007C1D77"/>
    <w:rsid w:val="007C218D"/>
    <w:rsid w:val="007C2D28"/>
    <w:rsid w:val="007C3E22"/>
    <w:rsid w:val="007C4801"/>
    <w:rsid w:val="007C58C1"/>
    <w:rsid w:val="007C6218"/>
    <w:rsid w:val="007C6484"/>
    <w:rsid w:val="007C67C6"/>
    <w:rsid w:val="007C76F4"/>
    <w:rsid w:val="007C78BE"/>
    <w:rsid w:val="007C7A5D"/>
    <w:rsid w:val="007C7E59"/>
    <w:rsid w:val="007D0476"/>
    <w:rsid w:val="007D0B91"/>
    <w:rsid w:val="007D0FE7"/>
    <w:rsid w:val="007D1452"/>
    <w:rsid w:val="007D1563"/>
    <w:rsid w:val="007D3DCB"/>
    <w:rsid w:val="007D460C"/>
    <w:rsid w:val="007D4996"/>
    <w:rsid w:val="007D4AD3"/>
    <w:rsid w:val="007D5D19"/>
    <w:rsid w:val="007D5FDC"/>
    <w:rsid w:val="007D6176"/>
    <w:rsid w:val="007D69CD"/>
    <w:rsid w:val="007D6C3F"/>
    <w:rsid w:val="007D6D68"/>
    <w:rsid w:val="007E194F"/>
    <w:rsid w:val="007E32DA"/>
    <w:rsid w:val="007E4998"/>
    <w:rsid w:val="007E4A9C"/>
    <w:rsid w:val="007E6914"/>
    <w:rsid w:val="007E7A0F"/>
    <w:rsid w:val="007E7F78"/>
    <w:rsid w:val="007F0179"/>
    <w:rsid w:val="007F01BC"/>
    <w:rsid w:val="007F17AF"/>
    <w:rsid w:val="007F27CB"/>
    <w:rsid w:val="007F2C13"/>
    <w:rsid w:val="007F2CEC"/>
    <w:rsid w:val="007F2ED1"/>
    <w:rsid w:val="007F3435"/>
    <w:rsid w:val="007F505D"/>
    <w:rsid w:val="007F531B"/>
    <w:rsid w:val="007F55DE"/>
    <w:rsid w:val="007F762D"/>
    <w:rsid w:val="007F78F0"/>
    <w:rsid w:val="007F78FF"/>
    <w:rsid w:val="008001C5"/>
    <w:rsid w:val="00800F6C"/>
    <w:rsid w:val="00801065"/>
    <w:rsid w:val="00802C0B"/>
    <w:rsid w:val="00805040"/>
    <w:rsid w:val="008051FC"/>
    <w:rsid w:val="008055A9"/>
    <w:rsid w:val="008056C4"/>
    <w:rsid w:val="008057FD"/>
    <w:rsid w:val="00805D8B"/>
    <w:rsid w:val="0081010F"/>
    <w:rsid w:val="00810472"/>
    <w:rsid w:val="00810BB6"/>
    <w:rsid w:val="00810E8E"/>
    <w:rsid w:val="00812C44"/>
    <w:rsid w:val="008135E1"/>
    <w:rsid w:val="00813779"/>
    <w:rsid w:val="00813E26"/>
    <w:rsid w:val="0081481D"/>
    <w:rsid w:val="00814BE8"/>
    <w:rsid w:val="00814F6E"/>
    <w:rsid w:val="00815B84"/>
    <w:rsid w:val="00816342"/>
    <w:rsid w:val="008166F6"/>
    <w:rsid w:val="00816BE9"/>
    <w:rsid w:val="00817D10"/>
    <w:rsid w:val="00822518"/>
    <w:rsid w:val="008226F5"/>
    <w:rsid w:val="00823FC6"/>
    <w:rsid w:val="00824306"/>
    <w:rsid w:val="00825C74"/>
    <w:rsid w:val="00825CFA"/>
    <w:rsid w:val="00826AB9"/>
    <w:rsid w:val="00826E0E"/>
    <w:rsid w:val="00827D11"/>
    <w:rsid w:val="00827E0F"/>
    <w:rsid w:val="00827F6E"/>
    <w:rsid w:val="00831758"/>
    <w:rsid w:val="008317D9"/>
    <w:rsid w:val="00831AEC"/>
    <w:rsid w:val="0083279F"/>
    <w:rsid w:val="00832CE9"/>
    <w:rsid w:val="008334DB"/>
    <w:rsid w:val="00833B7F"/>
    <w:rsid w:val="00833E8E"/>
    <w:rsid w:val="00834906"/>
    <w:rsid w:val="00836075"/>
    <w:rsid w:val="00836417"/>
    <w:rsid w:val="00837526"/>
    <w:rsid w:val="008407A7"/>
    <w:rsid w:val="0084322B"/>
    <w:rsid w:val="00843F81"/>
    <w:rsid w:val="00844087"/>
    <w:rsid w:val="008444DE"/>
    <w:rsid w:val="008448F1"/>
    <w:rsid w:val="0084519E"/>
    <w:rsid w:val="00845CAE"/>
    <w:rsid w:val="008462C5"/>
    <w:rsid w:val="008462FA"/>
    <w:rsid w:val="00846370"/>
    <w:rsid w:val="00846873"/>
    <w:rsid w:val="008477E7"/>
    <w:rsid w:val="00847C2B"/>
    <w:rsid w:val="00850272"/>
    <w:rsid w:val="008506B9"/>
    <w:rsid w:val="0085086F"/>
    <w:rsid w:val="00851822"/>
    <w:rsid w:val="00851C16"/>
    <w:rsid w:val="008532BF"/>
    <w:rsid w:val="008539B2"/>
    <w:rsid w:val="00853BF4"/>
    <w:rsid w:val="00854294"/>
    <w:rsid w:val="00854295"/>
    <w:rsid w:val="0085572E"/>
    <w:rsid w:val="0085788B"/>
    <w:rsid w:val="00857A9E"/>
    <w:rsid w:val="00857DE2"/>
    <w:rsid w:val="0086003D"/>
    <w:rsid w:val="008631A2"/>
    <w:rsid w:val="00863A8E"/>
    <w:rsid w:val="0086407F"/>
    <w:rsid w:val="008645E3"/>
    <w:rsid w:val="00864E79"/>
    <w:rsid w:val="0086572B"/>
    <w:rsid w:val="00866615"/>
    <w:rsid w:val="0086661F"/>
    <w:rsid w:val="00866A0D"/>
    <w:rsid w:val="00866DB5"/>
    <w:rsid w:val="0086701D"/>
    <w:rsid w:val="0086702B"/>
    <w:rsid w:val="008672E2"/>
    <w:rsid w:val="0086784E"/>
    <w:rsid w:val="008709D1"/>
    <w:rsid w:val="0087121C"/>
    <w:rsid w:val="00871FD2"/>
    <w:rsid w:val="00872084"/>
    <w:rsid w:val="00872827"/>
    <w:rsid w:val="00872A32"/>
    <w:rsid w:val="0087377C"/>
    <w:rsid w:val="008743E3"/>
    <w:rsid w:val="00874911"/>
    <w:rsid w:val="008754E4"/>
    <w:rsid w:val="00876EAE"/>
    <w:rsid w:val="00880106"/>
    <w:rsid w:val="00880F95"/>
    <w:rsid w:val="00882B44"/>
    <w:rsid w:val="008838AD"/>
    <w:rsid w:val="00885BC9"/>
    <w:rsid w:val="008864B3"/>
    <w:rsid w:val="008865E5"/>
    <w:rsid w:val="008871B0"/>
    <w:rsid w:val="00890B57"/>
    <w:rsid w:val="008916BA"/>
    <w:rsid w:val="00891A93"/>
    <w:rsid w:val="0089217C"/>
    <w:rsid w:val="00892286"/>
    <w:rsid w:val="00892790"/>
    <w:rsid w:val="00893261"/>
    <w:rsid w:val="00893671"/>
    <w:rsid w:val="00895838"/>
    <w:rsid w:val="00895A1E"/>
    <w:rsid w:val="00895A72"/>
    <w:rsid w:val="00895CDF"/>
    <w:rsid w:val="00896679"/>
    <w:rsid w:val="00896D8C"/>
    <w:rsid w:val="008A0FC9"/>
    <w:rsid w:val="008A1956"/>
    <w:rsid w:val="008A1A7C"/>
    <w:rsid w:val="008A248A"/>
    <w:rsid w:val="008A2CE2"/>
    <w:rsid w:val="008A40D3"/>
    <w:rsid w:val="008A469C"/>
    <w:rsid w:val="008A50FB"/>
    <w:rsid w:val="008A51D1"/>
    <w:rsid w:val="008A5DCE"/>
    <w:rsid w:val="008A75D3"/>
    <w:rsid w:val="008B05DD"/>
    <w:rsid w:val="008B07B8"/>
    <w:rsid w:val="008B17E8"/>
    <w:rsid w:val="008B2C45"/>
    <w:rsid w:val="008B2E7C"/>
    <w:rsid w:val="008B399A"/>
    <w:rsid w:val="008B45F0"/>
    <w:rsid w:val="008B4A70"/>
    <w:rsid w:val="008B502F"/>
    <w:rsid w:val="008B6DFC"/>
    <w:rsid w:val="008B7227"/>
    <w:rsid w:val="008C02FB"/>
    <w:rsid w:val="008C04E0"/>
    <w:rsid w:val="008C191C"/>
    <w:rsid w:val="008C1DA4"/>
    <w:rsid w:val="008C2138"/>
    <w:rsid w:val="008C29B0"/>
    <w:rsid w:val="008C2CD5"/>
    <w:rsid w:val="008C3618"/>
    <w:rsid w:val="008C39E7"/>
    <w:rsid w:val="008C43AD"/>
    <w:rsid w:val="008C6118"/>
    <w:rsid w:val="008C6341"/>
    <w:rsid w:val="008C653D"/>
    <w:rsid w:val="008C731F"/>
    <w:rsid w:val="008C74D9"/>
    <w:rsid w:val="008D2050"/>
    <w:rsid w:val="008D3B2D"/>
    <w:rsid w:val="008D4819"/>
    <w:rsid w:val="008D58D9"/>
    <w:rsid w:val="008D5AD4"/>
    <w:rsid w:val="008D5E24"/>
    <w:rsid w:val="008D695E"/>
    <w:rsid w:val="008D6DD5"/>
    <w:rsid w:val="008D6E59"/>
    <w:rsid w:val="008D7155"/>
    <w:rsid w:val="008D76E0"/>
    <w:rsid w:val="008E0B29"/>
    <w:rsid w:val="008E141A"/>
    <w:rsid w:val="008E1A44"/>
    <w:rsid w:val="008E28E6"/>
    <w:rsid w:val="008E2A0E"/>
    <w:rsid w:val="008E3232"/>
    <w:rsid w:val="008E3674"/>
    <w:rsid w:val="008E3B6C"/>
    <w:rsid w:val="008E3DE7"/>
    <w:rsid w:val="008E5227"/>
    <w:rsid w:val="008E562C"/>
    <w:rsid w:val="008E6540"/>
    <w:rsid w:val="008E77D4"/>
    <w:rsid w:val="008E7ADD"/>
    <w:rsid w:val="008F091F"/>
    <w:rsid w:val="008F17B2"/>
    <w:rsid w:val="008F22B3"/>
    <w:rsid w:val="008F357B"/>
    <w:rsid w:val="008F44CA"/>
    <w:rsid w:val="008F49D3"/>
    <w:rsid w:val="008F4A81"/>
    <w:rsid w:val="008F6519"/>
    <w:rsid w:val="008F7012"/>
    <w:rsid w:val="008F7ADA"/>
    <w:rsid w:val="008F7B17"/>
    <w:rsid w:val="00900042"/>
    <w:rsid w:val="0090034B"/>
    <w:rsid w:val="0090087C"/>
    <w:rsid w:val="00901121"/>
    <w:rsid w:val="00902623"/>
    <w:rsid w:val="00902A67"/>
    <w:rsid w:val="00902C2A"/>
    <w:rsid w:val="00902C5E"/>
    <w:rsid w:val="00904BE4"/>
    <w:rsid w:val="0090504A"/>
    <w:rsid w:val="009051F5"/>
    <w:rsid w:val="00905221"/>
    <w:rsid w:val="00905664"/>
    <w:rsid w:val="00905A7C"/>
    <w:rsid w:val="00905D7E"/>
    <w:rsid w:val="00907037"/>
    <w:rsid w:val="00907259"/>
    <w:rsid w:val="00910C5D"/>
    <w:rsid w:val="0091112C"/>
    <w:rsid w:val="0091160A"/>
    <w:rsid w:val="00912E04"/>
    <w:rsid w:val="00913258"/>
    <w:rsid w:val="00913851"/>
    <w:rsid w:val="00913BB0"/>
    <w:rsid w:val="0091456C"/>
    <w:rsid w:val="00914C58"/>
    <w:rsid w:val="00914D78"/>
    <w:rsid w:val="0091564D"/>
    <w:rsid w:val="009156DA"/>
    <w:rsid w:val="00915774"/>
    <w:rsid w:val="00916BC5"/>
    <w:rsid w:val="0091726A"/>
    <w:rsid w:val="00917C01"/>
    <w:rsid w:val="00920184"/>
    <w:rsid w:val="00920EA4"/>
    <w:rsid w:val="00921792"/>
    <w:rsid w:val="00921BEA"/>
    <w:rsid w:val="009224FE"/>
    <w:rsid w:val="009227BE"/>
    <w:rsid w:val="009238FD"/>
    <w:rsid w:val="00923998"/>
    <w:rsid w:val="00923DB4"/>
    <w:rsid w:val="0092420B"/>
    <w:rsid w:val="0092430E"/>
    <w:rsid w:val="00925C02"/>
    <w:rsid w:val="00926112"/>
    <w:rsid w:val="0092625F"/>
    <w:rsid w:val="00926B28"/>
    <w:rsid w:val="00926D9C"/>
    <w:rsid w:val="00926E66"/>
    <w:rsid w:val="00927028"/>
    <w:rsid w:val="00927763"/>
    <w:rsid w:val="00927A2D"/>
    <w:rsid w:val="00927B37"/>
    <w:rsid w:val="00931CA9"/>
    <w:rsid w:val="009321B1"/>
    <w:rsid w:val="009327F0"/>
    <w:rsid w:val="00932ED7"/>
    <w:rsid w:val="0093422D"/>
    <w:rsid w:val="0093483B"/>
    <w:rsid w:val="00934CF9"/>
    <w:rsid w:val="00934DD7"/>
    <w:rsid w:val="00935CB2"/>
    <w:rsid w:val="009369A9"/>
    <w:rsid w:val="00936CF7"/>
    <w:rsid w:val="00937783"/>
    <w:rsid w:val="00937EAD"/>
    <w:rsid w:val="00937F28"/>
    <w:rsid w:val="00940FE1"/>
    <w:rsid w:val="00941474"/>
    <w:rsid w:val="00942306"/>
    <w:rsid w:val="009424B8"/>
    <w:rsid w:val="009432E2"/>
    <w:rsid w:val="00944668"/>
    <w:rsid w:val="00944DC6"/>
    <w:rsid w:val="009458B0"/>
    <w:rsid w:val="00945B52"/>
    <w:rsid w:val="00945B7A"/>
    <w:rsid w:val="00945F05"/>
    <w:rsid w:val="00946348"/>
    <w:rsid w:val="00947224"/>
    <w:rsid w:val="00947797"/>
    <w:rsid w:val="009478A2"/>
    <w:rsid w:val="009533BD"/>
    <w:rsid w:val="009536FB"/>
    <w:rsid w:val="00953808"/>
    <w:rsid w:val="009539A6"/>
    <w:rsid w:val="00954032"/>
    <w:rsid w:val="009541FD"/>
    <w:rsid w:val="00954537"/>
    <w:rsid w:val="0095472D"/>
    <w:rsid w:val="00955342"/>
    <w:rsid w:val="00955FBB"/>
    <w:rsid w:val="0095694B"/>
    <w:rsid w:val="00956BD5"/>
    <w:rsid w:val="00956D84"/>
    <w:rsid w:val="009577B5"/>
    <w:rsid w:val="009608E6"/>
    <w:rsid w:val="00960F57"/>
    <w:rsid w:val="00961C90"/>
    <w:rsid w:val="00963C96"/>
    <w:rsid w:val="00965443"/>
    <w:rsid w:val="00965954"/>
    <w:rsid w:val="00965A21"/>
    <w:rsid w:val="00965E55"/>
    <w:rsid w:val="0096608E"/>
    <w:rsid w:val="00966522"/>
    <w:rsid w:val="00966C33"/>
    <w:rsid w:val="00970F18"/>
    <w:rsid w:val="00971CF1"/>
    <w:rsid w:val="00971F5D"/>
    <w:rsid w:val="0097206B"/>
    <w:rsid w:val="009721E9"/>
    <w:rsid w:val="00973772"/>
    <w:rsid w:val="00974C8A"/>
    <w:rsid w:val="0097560A"/>
    <w:rsid w:val="00975E1E"/>
    <w:rsid w:val="00975E70"/>
    <w:rsid w:val="009761DE"/>
    <w:rsid w:val="009766FA"/>
    <w:rsid w:val="00977CD6"/>
    <w:rsid w:val="0098048B"/>
    <w:rsid w:val="00980908"/>
    <w:rsid w:val="00980DF9"/>
    <w:rsid w:val="00981CD8"/>
    <w:rsid w:val="0098243D"/>
    <w:rsid w:val="00982D26"/>
    <w:rsid w:val="00983B6E"/>
    <w:rsid w:val="00983FE5"/>
    <w:rsid w:val="009849E9"/>
    <w:rsid w:val="00984AFF"/>
    <w:rsid w:val="009859E4"/>
    <w:rsid w:val="00985D7F"/>
    <w:rsid w:val="00987812"/>
    <w:rsid w:val="00990225"/>
    <w:rsid w:val="00991307"/>
    <w:rsid w:val="00991FAA"/>
    <w:rsid w:val="00992A13"/>
    <w:rsid w:val="00994AAD"/>
    <w:rsid w:val="00995150"/>
    <w:rsid w:val="009951A4"/>
    <w:rsid w:val="00995D67"/>
    <w:rsid w:val="00997613"/>
    <w:rsid w:val="009A013B"/>
    <w:rsid w:val="009A02F4"/>
    <w:rsid w:val="009A06BF"/>
    <w:rsid w:val="009A0D17"/>
    <w:rsid w:val="009A2494"/>
    <w:rsid w:val="009A32B1"/>
    <w:rsid w:val="009A33A3"/>
    <w:rsid w:val="009A36F2"/>
    <w:rsid w:val="009A383D"/>
    <w:rsid w:val="009A3C81"/>
    <w:rsid w:val="009A40C3"/>
    <w:rsid w:val="009A40D5"/>
    <w:rsid w:val="009A5268"/>
    <w:rsid w:val="009A56B1"/>
    <w:rsid w:val="009A57D0"/>
    <w:rsid w:val="009A6559"/>
    <w:rsid w:val="009A68FC"/>
    <w:rsid w:val="009A6CE4"/>
    <w:rsid w:val="009A7514"/>
    <w:rsid w:val="009A7E7A"/>
    <w:rsid w:val="009B0925"/>
    <w:rsid w:val="009B1584"/>
    <w:rsid w:val="009B18F0"/>
    <w:rsid w:val="009B1F4C"/>
    <w:rsid w:val="009B2471"/>
    <w:rsid w:val="009B2515"/>
    <w:rsid w:val="009B2A25"/>
    <w:rsid w:val="009B314F"/>
    <w:rsid w:val="009B439C"/>
    <w:rsid w:val="009B49A1"/>
    <w:rsid w:val="009B4A6C"/>
    <w:rsid w:val="009B4B06"/>
    <w:rsid w:val="009B4DA8"/>
    <w:rsid w:val="009B519A"/>
    <w:rsid w:val="009B620C"/>
    <w:rsid w:val="009B6753"/>
    <w:rsid w:val="009B676C"/>
    <w:rsid w:val="009B6A26"/>
    <w:rsid w:val="009B6BD0"/>
    <w:rsid w:val="009C079D"/>
    <w:rsid w:val="009C0D70"/>
    <w:rsid w:val="009C13D1"/>
    <w:rsid w:val="009C2913"/>
    <w:rsid w:val="009C2BD4"/>
    <w:rsid w:val="009C5AFE"/>
    <w:rsid w:val="009C6606"/>
    <w:rsid w:val="009C6CE5"/>
    <w:rsid w:val="009C6D50"/>
    <w:rsid w:val="009C7547"/>
    <w:rsid w:val="009D05EC"/>
    <w:rsid w:val="009D18D4"/>
    <w:rsid w:val="009D1FCF"/>
    <w:rsid w:val="009D2F60"/>
    <w:rsid w:val="009D3485"/>
    <w:rsid w:val="009D3A2E"/>
    <w:rsid w:val="009D5ADE"/>
    <w:rsid w:val="009D5BAC"/>
    <w:rsid w:val="009D5C56"/>
    <w:rsid w:val="009D6265"/>
    <w:rsid w:val="009D64BD"/>
    <w:rsid w:val="009D6CB1"/>
    <w:rsid w:val="009E0286"/>
    <w:rsid w:val="009E153F"/>
    <w:rsid w:val="009E167C"/>
    <w:rsid w:val="009E18C5"/>
    <w:rsid w:val="009E322A"/>
    <w:rsid w:val="009E393E"/>
    <w:rsid w:val="009E444E"/>
    <w:rsid w:val="009E4968"/>
    <w:rsid w:val="009E663C"/>
    <w:rsid w:val="009E684A"/>
    <w:rsid w:val="009E6BB1"/>
    <w:rsid w:val="009E6E14"/>
    <w:rsid w:val="009E794A"/>
    <w:rsid w:val="009E7C14"/>
    <w:rsid w:val="009F0494"/>
    <w:rsid w:val="009F0CD9"/>
    <w:rsid w:val="009F1A79"/>
    <w:rsid w:val="009F1F57"/>
    <w:rsid w:val="009F2DDD"/>
    <w:rsid w:val="009F2F84"/>
    <w:rsid w:val="009F3447"/>
    <w:rsid w:val="009F4D20"/>
    <w:rsid w:val="009F65F4"/>
    <w:rsid w:val="009F676B"/>
    <w:rsid w:val="009F6D2D"/>
    <w:rsid w:val="009F6D54"/>
    <w:rsid w:val="009F7F7D"/>
    <w:rsid w:val="00A004DF"/>
    <w:rsid w:val="00A00FD5"/>
    <w:rsid w:val="00A012C0"/>
    <w:rsid w:val="00A019A8"/>
    <w:rsid w:val="00A01B03"/>
    <w:rsid w:val="00A01B89"/>
    <w:rsid w:val="00A02C66"/>
    <w:rsid w:val="00A02C84"/>
    <w:rsid w:val="00A0464C"/>
    <w:rsid w:val="00A050BB"/>
    <w:rsid w:val="00A0521B"/>
    <w:rsid w:val="00A054E0"/>
    <w:rsid w:val="00A05D91"/>
    <w:rsid w:val="00A0740B"/>
    <w:rsid w:val="00A07ED3"/>
    <w:rsid w:val="00A10CA8"/>
    <w:rsid w:val="00A11042"/>
    <w:rsid w:val="00A12260"/>
    <w:rsid w:val="00A12579"/>
    <w:rsid w:val="00A12CDC"/>
    <w:rsid w:val="00A133D8"/>
    <w:rsid w:val="00A15655"/>
    <w:rsid w:val="00A160B0"/>
    <w:rsid w:val="00A1740C"/>
    <w:rsid w:val="00A17893"/>
    <w:rsid w:val="00A17904"/>
    <w:rsid w:val="00A20069"/>
    <w:rsid w:val="00A21787"/>
    <w:rsid w:val="00A2244D"/>
    <w:rsid w:val="00A2253D"/>
    <w:rsid w:val="00A2267F"/>
    <w:rsid w:val="00A22CDB"/>
    <w:rsid w:val="00A247B8"/>
    <w:rsid w:val="00A2495A"/>
    <w:rsid w:val="00A24C7A"/>
    <w:rsid w:val="00A24D85"/>
    <w:rsid w:val="00A24D8F"/>
    <w:rsid w:val="00A25B8B"/>
    <w:rsid w:val="00A2689F"/>
    <w:rsid w:val="00A26ECA"/>
    <w:rsid w:val="00A27461"/>
    <w:rsid w:val="00A27D67"/>
    <w:rsid w:val="00A30ABC"/>
    <w:rsid w:val="00A33B74"/>
    <w:rsid w:val="00A3467F"/>
    <w:rsid w:val="00A34B4C"/>
    <w:rsid w:val="00A35030"/>
    <w:rsid w:val="00A3551A"/>
    <w:rsid w:val="00A366A0"/>
    <w:rsid w:val="00A37209"/>
    <w:rsid w:val="00A37584"/>
    <w:rsid w:val="00A376E8"/>
    <w:rsid w:val="00A37F8E"/>
    <w:rsid w:val="00A41537"/>
    <w:rsid w:val="00A41737"/>
    <w:rsid w:val="00A4209B"/>
    <w:rsid w:val="00A42B8F"/>
    <w:rsid w:val="00A42D8E"/>
    <w:rsid w:val="00A43254"/>
    <w:rsid w:val="00A43896"/>
    <w:rsid w:val="00A43951"/>
    <w:rsid w:val="00A43A26"/>
    <w:rsid w:val="00A447A0"/>
    <w:rsid w:val="00A459F5"/>
    <w:rsid w:val="00A45FC0"/>
    <w:rsid w:val="00A46B74"/>
    <w:rsid w:val="00A47BF7"/>
    <w:rsid w:val="00A47ECC"/>
    <w:rsid w:val="00A50171"/>
    <w:rsid w:val="00A50444"/>
    <w:rsid w:val="00A504FA"/>
    <w:rsid w:val="00A5102E"/>
    <w:rsid w:val="00A5132E"/>
    <w:rsid w:val="00A51375"/>
    <w:rsid w:val="00A51533"/>
    <w:rsid w:val="00A531D4"/>
    <w:rsid w:val="00A54572"/>
    <w:rsid w:val="00A575B8"/>
    <w:rsid w:val="00A619BB"/>
    <w:rsid w:val="00A61BC6"/>
    <w:rsid w:val="00A61C60"/>
    <w:rsid w:val="00A61ECB"/>
    <w:rsid w:val="00A6410C"/>
    <w:rsid w:val="00A647B1"/>
    <w:rsid w:val="00A64DEF"/>
    <w:rsid w:val="00A654D2"/>
    <w:rsid w:val="00A665DF"/>
    <w:rsid w:val="00A67FCC"/>
    <w:rsid w:val="00A70AA5"/>
    <w:rsid w:val="00A70C03"/>
    <w:rsid w:val="00A71256"/>
    <w:rsid w:val="00A7217B"/>
    <w:rsid w:val="00A722D7"/>
    <w:rsid w:val="00A723A3"/>
    <w:rsid w:val="00A73861"/>
    <w:rsid w:val="00A739A6"/>
    <w:rsid w:val="00A740ED"/>
    <w:rsid w:val="00A74C29"/>
    <w:rsid w:val="00A74C62"/>
    <w:rsid w:val="00A75EF9"/>
    <w:rsid w:val="00A7657C"/>
    <w:rsid w:val="00A8311C"/>
    <w:rsid w:val="00A835D0"/>
    <w:rsid w:val="00A83754"/>
    <w:rsid w:val="00A84C5F"/>
    <w:rsid w:val="00A85930"/>
    <w:rsid w:val="00A863F7"/>
    <w:rsid w:val="00A86604"/>
    <w:rsid w:val="00A87519"/>
    <w:rsid w:val="00A87F74"/>
    <w:rsid w:val="00A9246D"/>
    <w:rsid w:val="00A92CCA"/>
    <w:rsid w:val="00A93BD0"/>
    <w:rsid w:val="00A93CC2"/>
    <w:rsid w:val="00A9469D"/>
    <w:rsid w:val="00A94D4B"/>
    <w:rsid w:val="00A9509F"/>
    <w:rsid w:val="00A95F11"/>
    <w:rsid w:val="00A974CC"/>
    <w:rsid w:val="00AA2001"/>
    <w:rsid w:val="00AA2B5C"/>
    <w:rsid w:val="00AA32D2"/>
    <w:rsid w:val="00AA3B8B"/>
    <w:rsid w:val="00AA4016"/>
    <w:rsid w:val="00AA4C1F"/>
    <w:rsid w:val="00AA5328"/>
    <w:rsid w:val="00AA5393"/>
    <w:rsid w:val="00AA63D4"/>
    <w:rsid w:val="00AB03FD"/>
    <w:rsid w:val="00AB2000"/>
    <w:rsid w:val="00AB38CB"/>
    <w:rsid w:val="00AB3BEC"/>
    <w:rsid w:val="00AB44E4"/>
    <w:rsid w:val="00AB4AEB"/>
    <w:rsid w:val="00AB4E5F"/>
    <w:rsid w:val="00AB5352"/>
    <w:rsid w:val="00AB56AE"/>
    <w:rsid w:val="00AB62D5"/>
    <w:rsid w:val="00AB65B5"/>
    <w:rsid w:val="00AB6DCD"/>
    <w:rsid w:val="00AB6EE0"/>
    <w:rsid w:val="00AC166D"/>
    <w:rsid w:val="00AC17A2"/>
    <w:rsid w:val="00AC272D"/>
    <w:rsid w:val="00AC40B7"/>
    <w:rsid w:val="00AC531F"/>
    <w:rsid w:val="00AC5B36"/>
    <w:rsid w:val="00AC6377"/>
    <w:rsid w:val="00AC66A4"/>
    <w:rsid w:val="00AC6CB1"/>
    <w:rsid w:val="00AC75E9"/>
    <w:rsid w:val="00AC7D6D"/>
    <w:rsid w:val="00AD0091"/>
    <w:rsid w:val="00AD23EF"/>
    <w:rsid w:val="00AD2662"/>
    <w:rsid w:val="00AD307B"/>
    <w:rsid w:val="00AD4014"/>
    <w:rsid w:val="00AD41B3"/>
    <w:rsid w:val="00AD5721"/>
    <w:rsid w:val="00AD69F0"/>
    <w:rsid w:val="00AD7127"/>
    <w:rsid w:val="00AD730C"/>
    <w:rsid w:val="00AE123A"/>
    <w:rsid w:val="00AE1539"/>
    <w:rsid w:val="00AE28A7"/>
    <w:rsid w:val="00AE2A98"/>
    <w:rsid w:val="00AE2CF2"/>
    <w:rsid w:val="00AE3012"/>
    <w:rsid w:val="00AE3297"/>
    <w:rsid w:val="00AE33A6"/>
    <w:rsid w:val="00AE3513"/>
    <w:rsid w:val="00AE3729"/>
    <w:rsid w:val="00AE4A3E"/>
    <w:rsid w:val="00AE4CCE"/>
    <w:rsid w:val="00AE5C6A"/>
    <w:rsid w:val="00AE7280"/>
    <w:rsid w:val="00AE732E"/>
    <w:rsid w:val="00AF01FA"/>
    <w:rsid w:val="00AF033A"/>
    <w:rsid w:val="00AF1658"/>
    <w:rsid w:val="00AF1699"/>
    <w:rsid w:val="00AF1FD3"/>
    <w:rsid w:val="00AF2910"/>
    <w:rsid w:val="00AF34B8"/>
    <w:rsid w:val="00AF3896"/>
    <w:rsid w:val="00AF39C9"/>
    <w:rsid w:val="00AF3FC2"/>
    <w:rsid w:val="00AF4DEC"/>
    <w:rsid w:val="00B003FF"/>
    <w:rsid w:val="00B0098A"/>
    <w:rsid w:val="00B00A5F"/>
    <w:rsid w:val="00B029B8"/>
    <w:rsid w:val="00B02F60"/>
    <w:rsid w:val="00B02F94"/>
    <w:rsid w:val="00B032B8"/>
    <w:rsid w:val="00B03B58"/>
    <w:rsid w:val="00B04721"/>
    <w:rsid w:val="00B04935"/>
    <w:rsid w:val="00B04A24"/>
    <w:rsid w:val="00B04B15"/>
    <w:rsid w:val="00B04B46"/>
    <w:rsid w:val="00B0534D"/>
    <w:rsid w:val="00B05685"/>
    <w:rsid w:val="00B05F9F"/>
    <w:rsid w:val="00B06368"/>
    <w:rsid w:val="00B068DA"/>
    <w:rsid w:val="00B06A00"/>
    <w:rsid w:val="00B06FC6"/>
    <w:rsid w:val="00B074C9"/>
    <w:rsid w:val="00B07D9D"/>
    <w:rsid w:val="00B11AE5"/>
    <w:rsid w:val="00B12FE6"/>
    <w:rsid w:val="00B1303F"/>
    <w:rsid w:val="00B1364A"/>
    <w:rsid w:val="00B13859"/>
    <w:rsid w:val="00B13EC9"/>
    <w:rsid w:val="00B14319"/>
    <w:rsid w:val="00B14A06"/>
    <w:rsid w:val="00B158E1"/>
    <w:rsid w:val="00B16715"/>
    <w:rsid w:val="00B1768E"/>
    <w:rsid w:val="00B17910"/>
    <w:rsid w:val="00B20014"/>
    <w:rsid w:val="00B20F18"/>
    <w:rsid w:val="00B21516"/>
    <w:rsid w:val="00B21A37"/>
    <w:rsid w:val="00B21D23"/>
    <w:rsid w:val="00B21F62"/>
    <w:rsid w:val="00B22CE0"/>
    <w:rsid w:val="00B23738"/>
    <w:rsid w:val="00B23BEF"/>
    <w:rsid w:val="00B247BB"/>
    <w:rsid w:val="00B2504A"/>
    <w:rsid w:val="00B25EE6"/>
    <w:rsid w:val="00B3115A"/>
    <w:rsid w:val="00B3178B"/>
    <w:rsid w:val="00B31825"/>
    <w:rsid w:val="00B31A5C"/>
    <w:rsid w:val="00B32265"/>
    <w:rsid w:val="00B3276D"/>
    <w:rsid w:val="00B33B06"/>
    <w:rsid w:val="00B33C19"/>
    <w:rsid w:val="00B34608"/>
    <w:rsid w:val="00B35A15"/>
    <w:rsid w:val="00B35B45"/>
    <w:rsid w:val="00B36165"/>
    <w:rsid w:val="00B36A99"/>
    <w:rsid w:val="00B42264"/>
    <w:rsid w:val="00B434B2"/>
    <w:rsid w:val="00B43D45"/>
    <w:rsid w:val="00B459AF"/>
    <w:rsid w:val="00B468F2"/>
    <w:rsid w:val="00B469DE"/>
    <w:rsid w:val="00B47286"/>
    <w:rsid w:val="00B47EB4"/>
    <w:rsid w:val="00B50234"/>
    <w:rsid w:val="00B51567"/>
    <w:rsid w:val="00B51BF4"/>
    <w:rsid w:val="00B52C68"/>
    <w:rsid w:val="00B5372B"/>
    <w:rsid w:val="00B5384B"/>
    <w:rsid w:val="00B542FE"/>
    <w:rsid w:val="00B55A1B"/>
    <w:rsid w:val="00B561DB"/>
    <w:rsid w:val="00B56DF9"/>
    <w:rsid w:val="00B56E80"/>
    <w:rsid w:val="00B571F1"/>
    <w:rsid w:val="00B600BD"/>
    <w:rsid w:val="00B60E4E"/>
    <w:rsid w:val="00B61274"/>
    <w:rsid w:val="00B61DCE"/>
    <w:rsid w:val="00B62188"/>
    <w:rsid w:val="00B62F79"/>
    <w:rsid w:val="00B62F82"/>
    <w:rsid w:val="00B6306A"/>
    <w:rsid w:val="00B635E3"/>
    <w:rsid w:val="00B662FF"/>
    <w:rsid w:val="00B66679"/>
    <w:rsid w:val="00B70145"/>
    <w:rsid w:val="00B701D1"/>
    <w:rsid w:val="00B71A92"/>
    <w:rsid w:val="00B721D8"/>
    <w:rsid w:val="00B730CA"/>
    <w:rsid w:val="00B732EA"/>
    <w:rsid w:val="00B73747"/>
    <w:rsid w:val="00B747C5"/>
    <w:rsid w:val="00B74F2F"/>
    <w:rsid w:val="00B753ED"/>
    <w:rsid w:val="00B758E7"/>
    <w:rsid w:val="00B7665F"/>
    <w:rsid w:val="00B769BC"/>
    <w:rsid w:val="00B770F7"/>
    <w:rsid w:val="00B77349"/>
    <w:rsid w:val="00B7761E"/>
    <w:rsid w:val="00B80A3D"/>
    <w:rsid w:val="00B80B04"/>
    <w:rsid w:val="00B821E4"/>
    <w:rsid w:val="00B823E0"/>
    <w:rsid w:val="00B8260D"/>
    <w:rsid w:val="00B82B78"/>
    <w:rsid w:val="00B82DE9"/>
    <w:rsid w:val="00B838FD"/>
    <w:rsid w:val="00B845B4"/>
    <w:rsid w:val="00B84662"/>
    <w:rsid w:val="00B84C74"/>
    <w:rsid w:val="00B84CE9"/>
    <w:rsid w:val="00B85191"/>
    <w:rsid w:val="00B858A1"/>
    <w:rsid w:val="00B85FEC"/>
    <w:rsid w:val="00B864A3"/>
    <w:rsid w:val="00B86C2A"/>
    <w:rsid w:val="00B8759A"/>
    <w:rsid w:val="00B902A5"/>
    <w:rsid w:val="00B90420"/>
    <w:rsid w:val="00B90848"/>
    <w:rsid w:val="00B91146"/>
    <w:rsid w:val="00B913E4"/>
    <w:rsid w:val="00B91DB9"/>
    <w:rsid w:val="00B91FF3"/>
    <w:rsid w:val="00B925F8"/>
    <w:rsid w:val="00B93EFE"/>
    <w:rsid w:val="00B944B9"/>
    <w:rsid w:val="00B94956"/>
    <w:rsid w:val="00B949EB"/>
    <w:rsid w:val="00B94C7F"/>
    <w:rsid w:val="00B94E93"/>
    <w:rsid w:val="00B956B5"/>
    <w:rsid w:val="00B95956"/>
    <w:rsid w:val="00B96DF2"/>
    <w:rsid w:val="00B96E18"/>
    <w:rsid w:val="00B96F5A"/>
    <w:rsid w:val="00B970CA"/>
    <w:rsid w:val="00BA0B39"/>
    <w:rsid w:val="00BA0CB2"/>
    <w:rsid w:val="00BA0E26"/>
    <w:rsid w:val="00BA138B"/>
    <w:rsid w:val="00BA305B"/>
    <w:rsid w:val="00BA31BF"/>
    <w:rsid w:val="00BA3C0F"/>
    <w:rsid w:val="00BA3FC7"/>
    <w:rsid w:val="00BA478B"/>
    <w:rsid w:val="00BA4BB4"/>
    <w:rsid w:val="00BA5224"/>
    <w:rsid w:val="00BA575E"/>
    <w:rsid w:val="00BA76B7"/>
    <w:rsid w:val="00BA7E3B"/>
    <w:rsid w:val="00BB078D"/>
    <w:rsid w:val="00BB079C"/>
    <w:rsid w:val="00BB0D7A"/>
    <w:rsid w:val="00BB10E1"/>
    <w:rsid w:val="00BB2471"/>
    <w:rsid w:val="00BB3035"/>
    <w:rsid w:val="00BB366E"/>
    <w:rsid w:val="00BB39C1"/>
    <w:rsid w:val="00BB3DF5"/>
    <w:rsid w:val="00BB3EA7"/>
    <w:rsid w:val="00BB5D16"/>
    <w:rsid w:val="00BB6180"/>
    <w:rsid w:val="00BB64CA"/>
    <w:rsid w:val="00BB69E6"/>
    <w:rsid w:val="00BB7323"/>
    <w:rsid w:val="00BB7BE5"/>
    <w:rsid w:val="00BC07C8"/>
    <w:rsid w:val="00BC08BD"/>
    <w:rsid w:val="00BC11E8"/>
    <w:rsid w:val="00BC1B7A"/>
    <w:rsid w:val="00BC2C17"/>
    <w:rsid w:val="00BC3ACD"/>
    <w:rsid w:val="00BC3B20"/>
    <w:rsid w:val="00BC3EE4"/>
    <w:rsid w:val="00BC45D5"/>
    <w:rsid w:val="00BC588C"/>
    <w:rsid w:val="00BC6E73"/>
    <w:rsid w:val="00BC74D3"/>
    <w:rsid w:val="00BD0014"/>
    <w:rsid w:val="00BD01D8"/>
    <w:rsid w:val="00BD255F"/>
    <w:rsid w:val="00BD2895"/>
    <w:rsid w:val="00BD4236"/>
    <w:rsid w:val="00BD483B"/>
    <w:rsid w:val="00BD51F9"/>
    <w:rsid w:val="00BD5CD4"/>
    <w:rsid w:val="00BD65D9"/>
    <w:rsid w:val="00BD6DF3"/>
    <w:rsid w:val="00BD6E09"/>
    <w:rsid w:val="00BD6EF9"/>
    <w:rsid w:val="00BE0ACB"/>
    <w:rsid w:val="00BE1545"/>
    <w:rsid w:val="00BE1C07"/>
    <w:rsid w:val="00BE2260"/>
    <w:rsid w:val="00BE3917"/>
    <w:rsid w:val="00BE50FD"/>
    <w:rsid w:val="00BE51CA"/>
    <w:rsid w:val="00BE537F"/>
    <w:rsid w:val="00BE5D77"/>
    <w:rsid w:val="00BE5FD1"/>
    <w:rsid w:val="00BE6D47"/>
    <w:rsid w:val="00BE7032"/>
    <w:rsid w:val="00BE7330"/>
    <w:rsid w:val="00BF01C5"/>
    <w:rsid w:val="00BF061A"/>
    <w:rsid w:val="00BF066A"/>
    <w:rsid w:val="00BF14CC"/>
    <w:rsid w:val="00BF1821"/>
    <w:rsid w:val="00BF22E9"/>
    <w:rsid w:val="00BF4342"/>
    <w:rsid w:val="00BF4704"/>
    <w:rsid w:val="00BF4FFC"/>
    <w:rsid w:val="00BF5050"/>
    <w:rsid w:val="00BF50D1"/>
    <w:rsid w:val="00BF5422"/>
    <w:rsid w:val="00BF59B1"/>
    <w:rsid w:val="00BF606A"/>
    <w:rsid w:val="00BF6625"/>
    <w:rsid w:val="00BF6A78"/>
    <w:rsid w:val="00BF7695"/>
    <w:rsid w:val="00BF79B4"/>
    <w:rsid w:val="00BF7C61"/>
    <w:rsid w:val="00C01427"/>
    <w:rsid w:val="00C014C7"/>
    <w:rsid w:val="00C02A61"/>
    <w:rsid w:val="00C031CF"/>
    <w:rsid w:val="00C047AB"/>
    <w:rsid w:val="00C058AF"/>
    <w:rsid w:val="00C075B6"/>
    <w:rsid w:val="00C1066D"/>
    <w:rsid w:val="00C124C1"/>
    <w:rsid w:val="00C128AE"/>
    <w:rsid w:val="00C12BA8"/>
    <w:rsid w:val="00C13094"/>
    <w:rsid w:val="00C136D6"/>
    <w:rsid w:val="00C13D5B"/>
    <w:rsid w:val="00C141D7"/>
    <w:rsid w:val="00C1711B"/>
    <w:rsid w:val="00C17AE2"/>
    <w:rsid w:val="00C20140"/>
    <w:rsid w:val="00C20F27"/>
    <w:rsid w:val="00C215CF"/>
    <w:rsid w:val="00C2195E"/>
    <w:rsid w:val="00C2244B"/>
    <w:rsid w:val="00C22711"/>
    <w:rsid w:val="00C2280A"/>
    <w:rsid w:val="00C22B0D"/>
    <w:rsid w:val="00C22BFF"/>
    <w:rsid w:val="00C23522"/>
    <w:rsid w:val="00C240C1"/>
    <w:rsid w:val="00C244A1"/>
    <w:rsid w:val="00C24AED"/>
    <w:rsid w:val="00C250D0"/>
    <w:rsid w:val="00C252AC"/>
    <w:rsid w:val="00C25C0F"/>
    <w:rsid w:val="00C26047"/>
    <w:rsid w:val="00C26567"/>
    <w:rsid w:val="00C26923"/>
    <w:rsid w:val="00C27214"/>
    <w:rsid w:val="00C27597"/>
    <w:rsid w:val="00C27E5E"/>
    <w:rsid w:val="00C30382"/>
    <w:rsid w:val="00C30772"/>
    <w:rsid w:val="00C30D6F"/>
    <w:rsid w:val="00C31063"/>
    <w:rsid w:val="00C31B7E"/>
    <w:rsid w:val="00C32024"/>
    <w:rsid w:val="00C322D1"/>
    <w:rsid w:val="00C3242A"/>
    <w:rsid w:val="00C33201"/>
    <w:rsid w:val="00C33A39"/>
    <w:rsid w:val="00C341D1"/>
    <w:rsid w:val="00C34619"/>
    <w:rsid w:val="00C348D9"/>
    <w:rsid w:val="00C35D01"/>
    <w:rsid w:val="00C360B3"/>
    <w:rsid w:val="00C37027"/>
    <w:rsid w:val="00C373BF"/>
    <w:rsid w:val="00C37B19"/>
    <w:rsid w:val="00C41349"/>
    <w:rsid w:val="00C413CB"/>
    <w:rsid w:val="00C42752"/>
    <w:rsid w:val="00C42973"/>
    <w:rsid w:val="00C46B95"/>
    <w:rsid w:val="00C4712A"/>
    <w:rsid w:val="00C5034F"/>
    <w:rsid w:val="00C50830"/>
    <w:rsid w:val="00C52479"/>
    <w:rsid w:val="00C5266E"/>
    <w:rsid w:val="00C52C59"/>
    <w:rsid w:val="00C533F8"/>
    <w:rsid w:val="00C5349E"/>
    <w:rsid w:val="00C539FF"/>
    <w:rsid w:val="00C544BD"/>
    <w:rsid w:val="00C54D3D"/>
    <w:rsid w:val="00C55A30"/>
    <w:rsid w:val="00C56384"/>
    <w:rsid w:val="00C60F8C"/>
    <w:rsid w:val="00C61424"/>
    <w:rsid w:val="00C61794"/>
    <w:rsid w:val="00C62A48"/>
    <w:rsid w:val="00C62AC4"/>
    <w:rsid w:val="00C62B59"/>
    <w:rsid w:val="00C62F96"/>
    <w:rsid w:val="00C631E1"/>
    <w:rsid w:val="00C638D8"/>
    <w:rsid w:val="00C63A43"/>
    <w:rsid w:val="00C63AE7"/>
    <w:rsid w:val="00C63D26"/>
    <w:rsid w:val="00C6540A"/>
    <w:rsid w:val="00C668A1"/>
    <w:rsid w:val="00C67223"/>
    <w:rsid w:val="00C707B8"/>
    <w:rsid w:val="00C712AC"/>
    <w:rsid w:val="00C71C15"/>
    <w:rsid w:val="00C71F3D"/>
    <w:rsid w:val="00C72F53"/>
    <w:rsid w:val="00C74035"/>
    <w:rsid w:val="00C748EA"/>
    <w:rsid w:val="00C763C5"/>
    <w:rsid w:val="00C77818"/>
    <w:rsid w:val="00C778A2"/>
    <w:rsid w:val="00C8063F"/>
    <w:rsid w:val="00C81282"/>
    <w:rsid w:val="00C827B4"/>
    <w:rsid w:val="00C83214"/>
    <w:rsid w:val="00C8329F"/>
    <w:rsid w:val="00C84F8A"/>
    <w:rsid w:val="00C85BA4"/>
    <w:rsid w:val="00C8618F"/>
    <w:rsid w:val="00C8625D"/>
    <w:rsid w:val="00C90372"/>
    <w:rsid w:val="00C9041F"/>
    <w:rsid w:val="00C9166B"/>
    <w:rsid w:val="00C91945"/>
    <w:rsid w:val="00C91A45"/>
    <w:rsid w:val="00C91FB4"/>
    <w:rsid w:val="00C92150"/>
    <w:rsid w:val="00C92328"/>
    <w:rsid w:val="00C92D42"/>
    <w:rsid w:val="00C938C2"/>
    <w:rsid w:val="00C93F8A"/>
    <w:rsid w:val="00C94EA1"/>
    <w:rsid w:val="00C95745"/>
    <w:rsid w:val="00C95902"/>
    <w:rsid w:val="00C962E3"/>
    <w:rsid w:val="00C978E2"/>
    <w:rsid w:val="00C97997"/>
    <w:rsid w:val="00CA10A2"/>
    <w:rsid w:val="00CA1D83"/>
    <w:rsid w:val="00CA25C0"/>
    <w:rsid w:val="00CA3451"/>
    <w:rsid w:val="00CA35C6"/>
    <w:rsid w:val="00CA3FA4"/>
    <w:rsid w:val="00CA4948"/>
    <w:rsid w:val="00CA52F9"/>
    <w:rsid w:val="00CA5368"/>
    <w:rsid w:val="00CA568B"/>
    <w:rsid w:val="00CA573A"/>
    <w:rsid w:val="00CA5C58"/>
    <w:rsid w:val="00CB19D7"/>
    <w:rsid w:val="00CB19FE"/>
    <w:rsid w:val="00CB1C3F"/>
    <w:rsid w:val="00CB1EB4"/>
    <w:rsid w:val="00CB2364"/>
    <w:rsid w:val="00CB304C"/>
    <w:rsid w:val="00CB3933"/>
    <w:rsid w:val="00CB5010"/>
    <w:rsid w:val="00CB53E8"/>
    <w:rsid w:val="00CB594A"/>
    <w:rsid w:val="00CB5CB2"/>
    <w:rsid w:val="00CB6979"/>
    <w:rsid w:val="00CB7DDE"/>
    <w:rsid w:val="00CC0A3D"/>
    <w:rsid w:val="00CC15EE"/>
    <w:rsid w:val="00CC1F5E"/>
    <w:rsid w:val="00CC2ABE"/>
    <w:rsid w:val="00CC2FF0"/>
    <w:rsid w:val="00CC3C53"/>
    <w:rsid w:val="00CC3D24"/>
    <w:rsid w:val="00CC3F91"/>
    <w:rsid w:val="00CC47EE"/>
    <w:rsid w:val="00CC4ACD"/>
    <w:rsid w:val="00CC4B0A"/>
    <w:rsid w:val="00CC4ED8"/>
    <w:rsid w:val="00CC544A"/>
    <w:rsid w:val="00CC57EA"/>
    <w:rsid w:val="00CC5954"/>
    <w:rsid w:val="00CC629B"/>
    <w:rsid w:val="00CC6C4E"/>
    <w:rsid w:val="00CD009D"/>
    <w:rsid w:val="00CD05A2"/>
    <w:rsid w:val="00CD29D4"/>
    <w:rsid w:val="00CD2B5C"/>
    <w:rsid w:val="00CD2FF3"/>
    <w:rsid w:val="00CD3323"/>
    <w:rsid w:val="00CD38F5"/>
    <w:rsid w:val="00CD3BF2"/>
    <w:rsid w:val="00CD437E"/>
    <w:rsid w:val="00CD5DAD"/>
    <w:rsid w:val="00CD72C5"/>
    <w:rsid w:val="00CD79A7"/>
    <w:rsid w:val="00CD7FAD"/>
    <w:rsid w:val="00CE0789"/>
    <w:rsid w:val="00CE0E8D"/>
    <w:rsid w:val="00CE1A03"/>
    <w:rsid w:val="00CE2346"/>
    <w:rsid w:val="00CE25B2"/>
    <w:rsid w:val="00CE3529"/>
    <w:rsid w:val="00CE35C8"/>
    <w:rsid w:val="00CE3962"/>
    <w:rsid w:val="00CE3C3D"/>
    <w:rsid w:val="00CE4D0A"/>
    <w:rsid w:val="00CE4D1A"/>
    <w:rsid w:val="00CE4E8A"/>
    <w:rsid w:val="00CE5105"/>
    <w:rsid w:val="00CE56BD"/>
    <w:rsid w:val="00CE5EC0"/>
    <w:rsid w:val="00CE6267"/>
    <w:rsid w:val="00CE68AD"/>
    <w:rsid w:val="00CE6F9F"/>
    <w:rsid w:val="00CE781A"/>
    <w:rsid w:val="00CE7B08"/>
    <w:rsid w:val="00CE7D52"/>
    <w:rsid w:val="00CF0AB7"/>
    <w:rsid w:val="00CF1D74"/>
    <w:rsid w:val="00CF2BE2"/>
    <w:rsid w:val="00CF3DEB"/>
    <w:rsid w:val="00CF55F9"/>
    <w:rsid w:val="00CF7074"/>
    <w:rsid w:val="00CF7495"/>
    <w:rsid w:val="00D01CF9"/>
    <w:rsid w:val="00D0334D"/>
    <w:rsid w:val="00D0374D"/>
    <w:rsid w:val="00D06D7B"/>
    <w:rsid w:val="00D06DA5"/>
    <w:rsid w:val="00D07191"/>
    <w:rsid w:val="00D07F1D"/>
    <w:rsid w:val="00D10558"/>
    <w:rsid w:val="00D11D4D"/>
    <w:rsid w:val="00D11DB1"/>
    <w:rsid w:val="00D126DC"/>
    <w:rsid w:val="00D12B03"/>
    <w:rsid w:val="00D13E70"/>
    <w:rsid w:val="00D13EE7"/>
    <w:rsid w:val="00D15FCD"/>
    <w:rsid w:val="00D16C58"/>
    <w:rsid w:val="00D17019"/>
    <w:rsid w:val="00D17FC8"/>
    <w:rsid w:val="00D2015B"/>
    <w:rsid w:val="00D20B44"/>
    <w:rsid w:val="00D21168"/>
    <w:rsid w:val="00D2438C"/>
    <w:rsid w:val="00D2585A"/>
    <w:rsid w:val="00D259B0"/>
    <w:rsid w:val="00D259C2"/>
    <w:rsid w:val="00D26C3F"/>
    <w:rsid w:val="00D27185"/>
    <w:rsid w:val="00D3028A"/>
    <w:rsid w:val="00D304F3"/>
    <w:rsid w:val="00D30AC5"/>
    <w:rsid w:val="00D31618"/>
    <w:rsid w:val="00D33488"/>
    <w:rsid w:val="00D33AB3"/>
    <w:rsid w:val="00D33F24"/>
    <w:rsid w:val="00D34160"/>
    <w:rsid w:val="00D346B8"/>
    <w:rsid w:val="00D34DCA"/>
    <w:rsid w:val="00D35AC8"/>
    <w:rsid w:val="00D35E80"/>
    <w:rsid w:val="00D36F87"/>
    <w:rsid w:val="00D37E4E"/>
    <w:rsid w:val="00D411EC"/>
    <w:rsid w:val="00D417D8"/>
    <w:rsid w:val="00D41F78"/>
    <w:rsid w:val="00D42E6C"/>
    <w:rsid w:val="00D4351C"/>
    <w:rsid w:val="00D43B80"/>
    <w:rsid w:val="00D44988"/>
    <w:rsid w:val="00D45B4C"/>
    <w:rsid w:val="00D45BA4"/>
    <w:rsid w:val="00D471AF"/>
    <w:rsid w:val="00D471E2"/>
    <w:rsid w:val="00D4724F"/>
    <w:rsid w:val="00D50519"/>
    <w:rsid w:val="00D50779"/>
    <w:rsid w:val="00D51601"/>
    <w:rsid w:val="00D51ECB"/>
    <w:rsid w:val="00D5264C"/>
    <w:rsid w:val="00D52BBC"/>
    <w:rsid w:val="00D537FE"/>
    <w:rsid w:val="00D53BE5"/>
    <w:rsid w:val="00D53CC9"/>
    <w:rsid w:val="00D54A6A"/>
    <w:rsid w:val="00D54B8F"/>
    <w:rsid w:val="00D55848"/>
    <w:rsid w:val="00D55951"/>
    <w:rsid w:val="00D559F0"/>
    <w:rsid w:val="00D5650F"/>
    <w:rsid w:val="00D57EB6"/>
    <w:rsid w:val="00D608C0"/>
    <w:rsid w:val="00D60D6D"/>
    <w:rsid w:val="00D6128C"/>
    <w:rsid w:val="00D63B22"/>
    <w:rsid w:val="00D63C98"/>
    <w:rsid w:val="00D63EA5"/>
    <w:rsid w:val="00D66D8B"/>
    <w:rsid w:val="00D70849"/>
    <w:rsid w:val="00D72297"/>
    <w:rsid w:val="00D72A1C"/>
    <w:rsid w:val="00D7308F"/>
    <w:rsid w:val="00D7313E"/>
    <w:rsid w:val="00D73580"/>
    <w:rsid w:val="00D73802"/>
    <w:rsid w:val="00D73C2C"/>
    <w:rsid w:val="00D73D52"/>
    <w:rsid w:val="00D743B5"/>
    <w:rsid w:val="00D745E7"/>
    <w:rsid w:val="00D75F72"/>
    <w:rsid w:val="00D75FDA"/>
    <w:rsid w:val="00D774ED"/>
    <w:rsid w:val="00D777C3"/>
    <w:rsid w:val="00D7797C"/>
    <w:rsid w:val="00D77C44"/>
    <w:rsid w:val="00D77F88"/>
    <w:rsid w:val="00D81349"/>
    <w:rsid w:val="00D81AFA"/>
    <w:rsid w:val="00D81EAA"/>
    <w:rsid w:val="00D81FE2"/>
    <w:rsid w:val="00D8259F"/>
    <w:rsid w:val="00D825F2"/>
    <w:rsid w:val="00D8285C"/>
    <w:rsid w:val="00D828B1"/>
    <w:rsid w:val="00D82A55"/>
    <w:rsid w:val="00D830F8"/>
    <w:rsid w:val="00D83D49"/>
    <w:rsid w:val="00D84181"/>
    <w:rsid w:val="00D846AD"/>
    <w:rsid w:val="00D84754"/>
    <w:rsid w:val="00D84F27"/>
    <w:rsid w:val="00D853F0"/>
    <w:rsid w:val="00D85862"/>
    <w:rsid w:val="00D86870"/>
    <w:rsid w:val="00D86C88"/>
    <w:rsid w:val="00D86D47"/>
    <w:rsid w:val="00D8710C"/>
    <w:rsid w:val="00D873C6"/>
    <w:rsid w:val="00D9074A"/>
    <w:rsid w:val="00D9099E"/>
    <w:rsid w:val="00D9193A"/>
    <w:rsid w:val="00D91DFC"/>
    <w:rsid w:val="00D923B2"/>
    <w:rsid w:val="00D92463"/>
    <w:rsid w:val="00D93E64"/>
    <w:rsid w:val="00D93F64"/>
    <w:rsid w:val="00D94CA4"/>
    <w:rsid w:val="00D95E99"/>
    <w:rsid w:val="00D965D5"/>
    <w:rsid w:val="00D97DA2"/>
    <w:rsid w:val="00DA0485"/>
    <w:rsid w:val="00DA1A3A"/>
    <w:rsid w:val="00DA2351"/>
    <w:rsid w:val="00DA249E"/>
    <w:rsid w:val="00DA2D3D"/>
    <w:rsid w:val="00DA3855"/>
    <w:rsid w:val="00DA39BA"/>
    <w:rsid w:val="00DA4C30"/>
    <w:rsid w:val="00DA641B"/>
    <w:rsid w:val="00DA6A44"/>
    <w:rsid w:val="00DA6EF0"/>
    <w:rsid w:val="00DA7A3C"/>
    <w:rsid w:val="00DB069C"/>
    <w:rsid w:val="00DB145E"/>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C1056"/>
    <w:rsid w:val="00DC1442"/>
    <w:rsid w:val="00DC21D8"/>
    <w:rsid w:val="00DC282A"/>
    <w:rsid w:val="00DC2DE8"/>
    <w:rsid w:val="00DC34DC"/>
    <w:rsid w:val="00DC3780"/>
    <w:rsid w:val="00DC3ADA"/>
    <w:rsid w:val="00DC3C01"/>
    <w:rsid w:val="00DC3CC6"/>
    <w:rsid w:val="00DC3F55"/>
    <w:rsid w:val="00DC4782"/>
    <w:rsid w:val="00DC514A"/>
    <w:rsid w:val="00DC67B1"/>
    <w:rsid w:val="00DC7FBC"/>
    <w:rsid w:val="00DD0019"/>
    <w:rsid w:val="00DD132B"/>
    <w:rsid w:val="00DD1725"/>
    <w:rsid w:val="00DD1F4E"/>
    <w:rsid w:val="00DD2159"/>
    <w:rsid w:val="00DD218B"/>
    <w:rsid w:val="00DD2A18"/>
    <w:rsid w:val="00DD3044"/>
    <w:rsid w:val="00DD3985"/>
    <w:rsid w:val="00DD61E8"/>
    <w:rsid w:val="00DD62C0"/>
    <w:rsid w:val="00DD64DE"/>
    <w:rsid w:val="00DD66DE"/>
    <w:rsid w:val="00DD7859"/>
    <w:rsid w:val="00DD7B41"/>
    <w:rsid w:val="00DE0784"/>
    <w:rsid w:val="00DE0A1D"/>
    <w:rsid w:val="00DE15B2"/>
    <w:rsid w:val="00DE1A9A"/>
    <w:rsid w:val="00DE2108"/>
    <w:rsid w:val="00DE3D2C"/>
    <w:rsid w:val="00DE5E82"/>
    <w:rsid w:val="00DE5FA6"/>
    <w:rsid w:val="00DE6792"/>
    <w:rsid w:val="00DE6AA1"/>
    <w:rsid w:val="00DE7EF7"/>
    <w:rsid w:val="00DF015B"/>
    <w:rsid w:val="00DF02EC"/>
    <w:rsid w:val="00DF10FC"/>
    <w:rsid w:val="00DF1185"/>
    <w:rsid w:val="00DF1299"/>
    <w:rsid w:val="00DF1A70"/>
    <w:rsid w:val="00DF1E5F"/>
    <w:rsid w:val="00DF23A8"/>
    <w:rsid w:val="00DF2F27"/>
    <w:rsid w:val="00DF3269"/>
    <w:rsid w:val="00DF36B6"/>
    <w:rsid w:val="00DF4296"/>
    <w:rsid w:val="00DF5267"/>
    <w:rsid w:val="00DF53F0"/>
    <w:rsid w:val="00DF5F38"/>
    <w:rsid w:val="00DF6608"/>
    <w:rsid w:val="00DF6CCC"/>
    <w:rsid w:val="00DF6D0C"/>
    <w:rsid w:val="00DF6F64"/>
    <w:rsid w:val="00DF721E"/>
    <w:rsid w:val="00DF7549"/>
    <w:rsid w:val="00DF7B8A"/>
    <w:rsid w:val="00DF7C87"/>
    <w:rsid w:val="00E009B0"/>
    <w:rsid w:val="00E00A12"/>
    <w:rsid w:val="00E00B39"/>
    <w:rsid w:val="00E00C49"/>
    <w:rsid w:val="00E01C9C"/>
    <w:rsid w:val="00E0219D"/>
    <w:rsid w:val="00E03662"/>
    <w:rsid w:val="00E04C0F"/>
    <w:rsid w:val="00E0570B"/>
    <w:rsid w:val="00E069C5"/>
    <w:rsid w:val="00E10913"/>
    <w:rsid w:val="00E10B87"/>
    <w:rsid w:val="00E121CE"/>
    <w:rsid w:val="00E12209"/>
    <w:rsid w:val="00E1478B"/>
    <w:rsid w:val="00E14FAC"/>
    <w:rsid w:val="00E15007"/>
    <w:rsid w:val="00E16277"/>
    <w:rsid w:val="00E16EC7"/>
    <w:rsid w:val="00E17DCC"/>
    <w:rsid w:val="00E219CE"/>
    <w:rsid w:val="00E21D93"/>
    <w:rsid w:val="00E22D2A"/>
    <w:rsid w:val="00E24071"/>
    <w:rsid w:val="00E24DCA"/>
    <w:rsid w:val="00E24EBC"/>
    <w:rsid w:val="00E2522C"/>
    <w:rsid w:val="00E2552F"/>
    <w:rsid w:val="00E2599B"/>
    <w:rsid w:val="00E2710C"/>
    <w:rsid w:val="00E272BD"/>
    <w:rsid w:val="00E27428"/>
    <w:rsid w:val="00E305B4"/>
    <w:rsid w:val="00E31AFA"/>
    <w:rsid w:val="00E31CB7"/>
    <w:rsid w:val="00E324EE"/>
    <w:rsid w:val="00E34DB1"/>
    <w:rsid w:val="00E35931"/>
    <w:rsid w:val="00E359FF"/>
    <w:rsid w:val="00E3699A"/>
    <w:rsid w:val="00E37614"/>
    <w:rsid w:val="00E402C5"/>
    <w:rsid w:val="00E402F4"/>
    <w:rsid w:val="00E405F1"/>
    <w:rsid w:val="00E417DB"/>
    <w:rsid w:val="00E43054"/>
    <w:rsid w:val="00E43655"/>
    <w:rsid w:val="00E44440"/>
    <w:rsid w:val="00E46013"/>
    <w:rsid w:val="00E47099"/>
    <w:rsid w:val="00E47284"/>
    <w:rsid w:val="00E477C3"/>
    <w:rsid w:val="00E51E16"/>
    <w:rsid w:val="00E52DED"/>
    <w:rsid w:val="00E53730"/>
    <w:rsid w:val="00E5438D"/>
    <w:rsid w:val="00E54511"/>
    <w:rsid w:val="00E54E50"/>
    <w:rsid w:val="00E55288"/>
    <w:rsid w:val="00E57577"/>
    <w:rsid w:val="00E619AA"/>
    <w:rsid w:val="00E62043"/>
    <w:rsid w:val="00E626B9"/>
    <w:rsid w:val="00E627C9"/>
    <w:rsid w:val="00E62DB4"/>
    <w:rsid w:val="00E62EB6"/>
    <w:rsid w:val="00E630F3"/>
    <w:rsid w:val="00E6332F"/>
    <w:rsid w:val="00E637C9"/>
    <w:rsid w:val="00E6402D"/>
    <w:rsid w:val="00E6680A"/>
    <w:rsid w:val="00E66F0D"/>
    <w:rsid w:val="00E70615"/>
    <w:rsid w:val="00E7161E"/>
    <w:rsid w:val="00E7207B"/>
    <w:rsid w:val="00E721A3"/>
    <w:rsid w:val="00E7347A"/>
    <w:rsid w:val="00E75A47"/>
    <w:rsid w:val="00E75BB6"/>
    <w:rsid w:val="00E75D8C"/>
    <w:rsid w:val="00E777F2"/>
    <w:rsid w:val="00E802C9"/>
    <w:rsid w:val="00E80BFB"/>
    <w:rsid w:val="00E80EC2"/>
    <w:rsid w:val="00E80F0A"/>
    <w:rsid w:val="00E814F9"/>
    <w:rsid w:val="00E815D4"/>
    <w:rsid w:val="00E8291B"/>
    <w:rsid w:val="00E82E70"/>
    <w:rsid w:val="00E82F92"/>
    <w:rsid w:val="00E830C6"/>
    <w:rsid w:val="00E8395F"/>
    <w:rsid w:val="00E8410F"/>
    <w:rsid w:val="00E849D7"/>
    <w:rsid w:val="00E85E41"/>
    <w:rsid w:val="00E85E95"/>
    <w:rsid w:val="00E85EA1"/>
    <w:rsid w:val="00E86703"/>
    <w:rsid w:val="00E900DA"/>
    <w:rsid w:val="00E91044"/>
    <w:rsid w:val="00E910D3"/>
    <w:rsid w:val="00E92097"/>
    <w:rsid w:val="00E92154"/>
    <w:rsid w:val="00E923CF"/>
    <w:rsid w:val="00E93685"/>
    <w:rsid w:val="00E93B65"/>
    <w:rsid w:val="00E93C8C"/>
    <w:rsid w:val="00E95111"/>
    <w:rsid w:val="00E95FDF"/>
    <w:rsid w:val="00E96ED8"/>
    <w:rsid w:val="00E97B69"/>
    <w:rsid w:val="00EA14C8"/>
    <w:rsid w:val="00EA2110"/>
    <w:rsid w:val="00EA283A"/>
    <w:rsid w:val="00EA2930"/>
    <w:rsid w:val="00EA2C90"/>
    <w:rsid w:val="00EA2E07"/>
    <w:rsid w:val="00EA383B"/>
    <w:rsid w:val="00EA3B6B"/>
    <w:rsid w:val="00EA48F3"/>
    <w:rsid w:val="00EA60BF"/>
    <w:rsid w:val="00EA7365"/>
    <w:rsid w:val="00EA763F"/>
    <w:rsid w:val="00EA77E9"/>
    <w:rsid w:val="00EB05D0"/>
    <w:rsid w:val="00EB1151"/>
    <w:rsid w:val="00EB11DF"/>
    <w:rsid w:val="00EB1D49"/>
    <w:rsid w:val="00EB23D9"/>
    <w:rsid w:val="00EB39A0"/>
    <w:rsid w:val="00EB430A"/>
    <w:rsid w:val="00EB5447"/>
    <w:rsid w:val="00EB559F"/>
    <w:rsid w:val="00EB566C"/>
    <w:rsid w:val="00EB5A18"/>
    <w:rsid w:val="00EB5DDB"/>
    <w:rsid w:val="00EB5F3D"/>
    <w:rsid w:val="00EB6C97"/>
    <w:rsid w:val="00EC1CEB"/>
    <w:rsid w:val="00EC1DC0"/>
    <w:rsid w:val="00EC1DC2"/>
    <w:rsid w:val="00EC1E09"/>
    <w:rsid w:val="00EC210E"/>
    <w:rsid w:val="00EC21EC"/>
    <w:rsid w:val="00EC24B8"/>
    <w:rsid w:val="00EC268C"/>
    <w:rsid w:val="00EC3753"/>
    <w:rsid w:val="00EC4E71"/>
    <w:rsid w:val="00EC5F1C"/>
    <w:rsid w:val="00EC740C"/>
    <w:rsid w:val="00ED0365"/>
    <w:rsid w:val="00ED0865"/>
    <w:rsid w:val="00ED0C1C"/>
    <w:rsid w:val="00ED1C60"/>
    <w:rsid w:val="00ED2EB9"/>
    <w:rsid w:val="00ED3722"/>
    <w:rsid w:val="00ED3A31"/>
    <w:rsid w:val="00ED4469"/>
    <w:rsid w:val="00ED5424"/>
    <w:rsid w:val="00ED5F23"/>
    <w:rsid w:val="00ED6A17"/>
    <w:rsid w:val="00ED6DC0"/>
    <w:rsid w:val="00ED7A7A"/>
    <w:rsid w:val="00EE0327"/>
    <w:rsid w:val="00EE038C"/>
    <w:rsid w:val="00EE10A9"/>
    <w:rsid w:val="00EE28C5"/>
    <w:rsid w:val="00EE2F09"/>
    <w:rsid w:val="00EE47C5"/>
    <w:rsid w:val="00EE490C"/>
    <w:rsid w:val="00EE4E57"/>
    <w:rsid w:val="00EE5738"/>
    <w:rsid w:val="00EE58BD"/>
    <w:rsid w:val="00EE5E59"/>
    <w:rsid w:val="00EE73D0"/>
    <w:rsid w:val="00EE76AC"/>
    <w:rsid w:val="00EE7CB0"/>
    <w:rsid w:val="00EF08A8"/>
    <w:rsid w:val="00EF167B"/>
    <w:rsid w:val="00EF2496"/>
    <w:rsid w:val="00EF41A8"/>
    <w:rsid w:val="00EF44FB"/>
    <w:rsid w:val="00EF5122"/>
    <w:rsid w:val="00EF5554"/>
    <w:rsid w:val="00EF5AD8"/>
    <w:rsid w:val="00EF6B90"/>
    <w:rsid w:val="00EF7807"/>
    <w:rsid w:val="00EF79F7"/>
    <w:rsid w:val="00F006C0"/>
    <w:rsid w:val="00F0125F"/>
    <w:rsid w:val="00F019AA"/>
    <w:rsid w:val="00F0267E"/>
    <w:rsid w:val="00F02686"/>
    <w:rsid w:val="00F030C0"/>
    <w:rsid w:val="00F03291"/>
    <w:rsid w:val="00F03A85"/>
    <w:rsid w:val="00F0459B"/>
    <w:rsid w:val="00F04E15"/>
    <w:rsid w:val="00F05DF3"/>
    <w:rsid w:val="00F06829"/>
    <w:rsid w:val="00F069EA"/>
    <w:rsid w:val="00F070E5"/>
    <w:rsid w:val="00F07DDE"/>
    <w:rsid w:val="00F11675"/>
    <w:rsid w:val="00F123DA"/>
    <w:rsid w:val="00F12557"/>
    <w:rsid w:val="00F13599"/>
    <w:rsid w:val="00F13B28"/>
    <w:rsid w:val="00F1490D"/>
    <w:rsid w:val="00F14C13"/>
    <w:rsid w:val="00F156A0"/>
    <w:rsid w:val="00F15730"/>
    <w:rsid w:val="00F176A6"/>
    <w:rsid w:val="00F202C2"/>
    <w:rsid w:val="00F212F6"/>
    <w:rsid w:val="00F22756"/>
    <w:rsid w:val="00F23248"/>
    <w:rsid w:val="00F23890"/>
    <w:rsid w:val="00F2504D"/>
    <w:rsid w:val="00F2637F"/>
    <w:rsid w:val="00F268F7"/>
    <w:rsid w:val="00F30B83"/>
    <w:rsid w:val="00F30BDB"/>
    <w:rsid w:val="00F30CF8"/>
    <w:rsid w:val="00F31EDF"/>
    <w:rsid w:val="00F32CDE"/>
    <w:rsid w:val="00F32D4C"/>
    <w:rsid w:val="00F3327E"/>
    <w:rsid w:val="00F338C3"/>
    <w:rsid w:val="00F34B14"/>
    <w:rsid w:val="00F34F58"/>
    <w:rsid w:val="00F35DA7"/>
    <w:rsid w:val="00F36A6A"/>
    <w:rsid w:val="00F40101"/>
    <w:rsid w:val="00F404F7"/>
    <w:rsid w:val="00F40CCA"/>
    <w:rsid w:val="00F42D97"/>
    <w:rsid w:val="00F42FCF"/>
    <w:rsid w:val="00F436B2"/>
    <w:rsid w:val="00F43813"/>
    <w:rsid w:val="00F43FEE"/>
    <w:rsid w:val="00F4492F"/>
    <w:rsid w:val="00F44DFD"/>
    <w:rsid w:val="00F45A72"/>
    <w:rsid w:val="00F46723"/>
    <w:rsid w:val="00F4706D"/>
    <w:rsid w:val="00F476E1"/>
    <w:rsid w:val="00F47D1D"/>
    <w:rsid w:val="00F47F29"/>
    <w:rsid w:val="00F50016"/>
    <w:rsid w:val="00F506E0"/>
    <w:rsid w:val="00F5118A"/>
    <w:rsid w:val="00F51A21"/>
    <w:rsid w:val="00F52614"/>
    <w:rsid w:val="00F5276E"/>
    <w:rsid w:val="00F52E9F"/>
    <w:rsid w:val="00F53304"/>
    <w:rsid w:val="00F53B81"/>
    <w:rsid w:val="00F540FE"/>
    <w:rsid w:val="00F5459A"/>
    <w:rsid w:val="00F556FF"/>
    <w:rsid w:val="00F55D12"/>
    <w:rsid w:val="00F5687F"/>
    <w:rsid w:val="00F56D3F"/>
    <w:rsid w:val="00F575C7"/>
    <w:rsid w:val="00F57FD0"/>
    <w:rsid w:val="00F60305"/>
    <w:rsid w:val="00F61B12"/>
    <w:rsid w:val="00F61C70"/>
    <w:rsid w:val="00F63264"/>
    <w:rsid w:val="00F634E4"/>
    <w:rsid w:val="00F6379E"/>
    <w:rsid w:val="00F64047"/>
    <w:rsid w:val="00F64ECE"/>
    <w:rsid w:val="00F65171"/>
    <w:rsid w:val="00F6560D"/>
    <w:rsid w:val="00F67844"/>
    <w:rsid w:val="00F70799"/>
    <w:rsid w:val="00F70A8B"/>
    <w:rsid w:val="00F70B8D"/>
    <w:rsid w:val="00F71936"/>
    <w:rsid w:val="00F724FB"/>
    <w:rsid w:val="00F726B8"/>
    <w:rsid w:val="00F72A26"/>
    <w:rsid w:val="00F733C3"/>
    <w:rsid w:val="00F746A1"/>
    <w:rsid w:val="00F74820"/>
    <w:rsid w:val="00F756DD"/>
    <w:rsid w:val="00F774E3"/>
    <w:rsid w:val="00F77F4E"/>
    <w:rsid w:val="00F80047"/>
    <w:rsid w:val="00F800C7"/>
    <w:rsid w:val="00F8104D"/>
    <w:rsid w:val="00F8153F"/>
    <w:rsid w:val="00F81587"/>
    <w:rsid w:val="00F8288F"/>
    <w:rsid w:val="00F8376E"/>
    <w:rsid w:val="00F83C52"/>
    <w:rsid w:val="00F84802"/>
    <w:rsid w:val="00F85B72"/>
    <w:rsid w:val="00F86540"/>
    <w:rsid w:val="00F865CE"/>
    <w:rsid w:val="00F8766F"/>
    <w:rsid w:val="00F87D5C"/>
    <w:rsid w:val="00F90282"/>
    <w:rsid w:val="00F91082"/>
    <w:rsid w:val="00F9116D"/>
    <w:rsid w:val="00F91342"/>
    <w:rsid w:val="00F91A9A"/>
    <w:rsid w:val="00F92634"/>
    <w:rsid w:val="00F926D6"/>
    <w:rsid w:val="00F933F3"/>
    <w:rsid w:val="00F93ABB"/>
    <w:rsid w:val="00F94D79"/>
    <w:rsid w:val="00F9658C"/>
    <w:rsid w:val="00F96EEB"/>
    <w:rsid w:val="00F97A7F"/>
    <w:rsid w:val="00F97CD0"/>
    <w:rsid w:val="00FA0889"/>
    <w:rsid w:val="00FA16E7"/>
    <w:rsid w:val="00FA31C7"/>
    <w:rsid w:val="00FA472D"/>
    <w:rsid w:val="00FA681F"/>
    <w:rsid w:val="00FB0CBF"/>
    <w:rsid w:val="00FB18F6"/>
    <w:rsid w:val="00FB2A52"/>
    <w:rsid w:val="00FB3F92"/>
    <w:rsid w:val="00FB52C7"/>
    <w:rsid w:val="00FB57DC"/>
    <w:rsid w:val="00FB6E19"/>
    <w:rsid w:val="00FB71F6"/>
    <w:rsid w:val="00FC07AF"/>
    <w:rsid w:val="00FC0AF8"/>
    <w:rsid w:val="00FC0B69"/>
    <w:rsid w:val="00FC1483"/>
    <w:rsid w:val="00FC1C47"/>
    <w:rsid w:val="00FC3102"/>
    <w:rsid w:val="00FC39ED"/>
    <w:rsid w:val="00FC4195"/>
    <w:rsid w:val="00FC4419"/>
    <w:rsid w:val="00FC47E2"/>
    <w:rsid w:val="00FC4AA5"/>
    <w:rsid w:val="00FC4B88"/>
    <w:rsid w:val="00FC4BB8"/>
    <w:rsid w:val="00FC5148"/>
    <w:rsid w:val="00FC6524"/>
    <w:rsid w:val="00FC6B58"/>
    <w:rsid w:val="00FC75AC"/>
    <w:rsid w:val="00FC7984"/>
    <w:rsid w:val="00FD01BF"/>
    <w:rsid w:val="00FD0525"/>
    <w:rsid w:val="00FD0AB7"/>
    <w:rsid w:val="00FD297D"/>
    <w:rsid w:val="00FD2D13"/>
    <w:rsid w:val="00FD374D"/>
    <w:rsid w:val="00FD3B00"/>
    <w:rsid w:val="00FD6071"/>
    <w:rsid w:val="00FD633B"/>
    <w:rsid w:val="00FE0794"/>
    <w:rsid w:val="00FE1041"/>
    <w:rsid w:val="00FE24CB"/>
    <w:rsid w:val="00FE323F"/>
    <w:rsid w:val="00FE3473"/>
    <w:rsid w:val="00FE4049"/>
    <w:rsid w:val="00FE4794"/>
    <w:rsid w:val="00FE480F"/>
    <w:rsid w:val="00FE4998"/>
    <w:rsid w:val="00FE57DE"/>
    <w:rsid w:val="00FE7A68"/>
    <w:rsid w:val="00FF0231"/>
    <w:rsid w:val="00FF19D2"/>
    <w:rsid w:val="00FF1C9B"/>
    <w:rsid w:val="00FF1D49"/>
    <w:rsid w:val="00FF203B"/>
    <w:rsid w:val="00FF2562"/>
    <w:rsid w:val="00FF3A41"/>
    <w:rsid w:val="00FF3D4C"/>
    <w:rsid w:val="00FF3E5B"/>
    <w:rsid w:val="00FF56BA"/>
    <w:rsid w:val="00FF57E4"/>
    <w:rsid w:val="00FF78E5"/>
    <w:rsid w:val="010827C0"/>
    <w:rsid w:val="010A6538"/>
    <w:rsid w:val="0116312F"/>
    <w:rsid w:val="0126160D"/>
    <w:rsid w:val="012C5FAF"/>
    <w:rsid w:val="01341807"/>
    <w:rsid w:val="01343C35"/>
    <w:rsid w:val="014001AC"/>
    <w:rsid w:val="0156352C"/>
    <w:rsid w:val="01704094"/>
    <w:rsid w:val="01891B53"/>
    <w:rsid w:val="01AF3D99"/>
    <w:rsid w:val="01B72B02"/>
    <w:rsid w:val="01C0309B"/>
    <w:rsid w:val="01E07299"/>
    <w:rsid w:val="01EE7C08"/>
    <w:rsid w:val="01F65E07"/>
    <w:rsid w:val="02223D56"/>
    <w:rsid w:val="022278B2"/>
    <w:rsid w:val="022E6257"/>
    <w:rsid w:val="0238683E"/>
    <w:rsid w:val="024A0BB7"/>
    <w:rsid w:val="024A1251"/>
    <w:rsid w:val="02511F9D"/>
    <w:rsid w:val="026B74AB"/>
    <w:rsid w:val="02783976"/>
    <w:rsid w:val="02987B74"/>
    <w:rsid w:val="02A36C44"/>
    <w:rsid w:val="02AE1145"/>
    <w:rsid w:val="02E1776D"/>
    <w:rsid w:val="02FA438B"/>
    <w:rsid w:val="03174F3D"/>
    <w:rsid w:val="033B3011"/>
    <w:rsid w:val="033C49A3"/>
    <w:rsid w:val="03404493"/>
    <w:rsid w:val="03537505"/>
    <w:rsid w:val="035E0DBD"/>
    <w:rsid w:val="03836A76"/>
    <w:rsid w:val="03922815"/>
    <w:rsid w:val="039D18E6"/>
    <w:rsid w:val="03A314B8"/>
    <w:rsid w:val="03CF75C5"/>
    <w:rsid w:val="03D35307"/>
    <w:rsid w:val="03D60954"/>
    <w:rsid w:val="03D82B98"/>
    <w:rsid w:val="03EA2651"/>
    <w:rsid w:val="03F83E8B"/>
    <w:rsid w:val="03FE7EAB"/>
    <w:rsid w:val="040E4592"/>
    <w:rsid w:val="041E6BD6"/>
    <w:rsid w:val="04326E46"/>
    <w:rsid w:val="04335DA6"/>
    <w:rsid w:val="04702B56"/>
    <w:rsid w:val="048E3EF2"/>
    <w:rsid w:val="04910D1F"/>
    <w:rsid w:val="04C410F4"/>
    <w:rsid w:val="04CD61FB"/>
    <w:rsid w:val="04D70E27"/>
    <w:rsid w:val="04ED064B"/>
    <w:rsid w:val="04FC088E"/>
    <w:rsid w:val="05433692"/>
    <w:rsid w:val="054A784B"/>
    <w:rsid w:val="054D733B"/>
    <w:rsid w:val="057F6DC9"/>
    <w:rsid w:val="05B64EE1"/>
    <w:rsid w:val="05C56868"/>
    <w:rsid w:val="05C869C2"/>
    <w:rsid w:val="05DB2A34"/>
    <w:rsid w:val="05EA06E6"/>
    <w:rsid w:val="05ED46BB"/>
    <w:rsid w:val="05F15F19"/>
    <w:rsid w:val="05F872A7"/>
    <w:rsid w:val="05F9301F"/>
    <w:rsid w:val="0623546E"/>
    <w:rsid w:val="063127B9"/>
    <w:rsid w:val="063B3638"/>
    <w:rsid w:val="06400C4E"/>
    <w:rsid w:val="06451DC1"/>
    <w:rsid w:val="06565D7C"/>
    <w:rsid w:val="067A7CBC"/>
    <w:rsid w:val="067D77AC"/>
    <w:rsid w:val="068943A3"/>
    <w:rsid w:val="06A05249"/>
    <w:rsid w:val="06AE5BB8"/>
    <w:rsid w:val="06B036DE"/>
    <w:rsid w:val="06B37672"/>
    <w:rsid w:val="06C6469A"/>
    <w:rsid w:val="06E93094"/>
    <w:rsid w:val="06ED4932"/>
    <w:rsid w:val="06F35CC1"/>
    <w:rsid w:val="07032E98"/>
    <w:rsid w:val="07117EF5"/>
    <w:rsid w:val="07293490"/>
    <w:rsid w:val="0744651C"/>
    <w:rsid w:val="07480E14"/>
    <w:rsid w:val="07816602"/>
    <w:rsid w:val="07A539BD"/>
    <w:rsid w:val="07B72767"/>
    <w:rsid w:val="07FF44D4"/>
    <w:rsid w:val="08077E72"/>
    <w:rsid w:val="080D690E"/>
    <w:rsid w:val="081173C0"/>
    <w:rsid w:val="081859DF"/>
    <w:rsid w:val="082C148A"/>
    <w:rsid w:val="0845254C"/>
    <w:rsid w:val="088272FC"/>
    <w:rsid w:val="088378AE"/>
    <w:rsid w:val="08852948"/>
    <w:rsid w:val="08882DD0"/>
    <w:rsid w:val="08A70B11"/>
    <w:rsid w:val="08B33959"/>
    <w:rsid w:val="08C23B9D"/>
    <w:rsid w:val="08E104C7"/>
    <w:rsid w:val="08FC7C34"/>
    <w:rsid w:val="09063A89"/>
    <w:rsid w:val="090B10A0"/>
    <w:rsid w:val="090E293E"/>
    <w:rsid w:val="093323A4"/>
    <w:rsid w:val="09410F65"/>
    <w:rsid w:val="094E5430"/>
    <w:rsid w:val="095073FA"/>
    <w:rsid w:val="09524F20"/>
    <w:rsid w:val="09630EDC"/>
    <w:rsid w:val="097C01EF"/>
    <w:rsid w:val="097C1F9D"/>
    <w:rsid w:val="09B039F5"/>
    <w:rsid w:val="09B72FD5"/>
    <w:rsid w:val="09BC6DB6"/>
    <w:rsid w:val="09CC2AAC"/>
    <w:rsid w:val="09EA6F07"/>
    <w:rsid w:val="0A1C3CB4"/>
    <w:rsid w:val="0A2A19F9"/>
    <w:rsid w:val="0A397E8E"/>
    <w:rsid w:val="0A652D3E"/>
    <w:rsid w:val="0AAB0D8C"/>
    <w:rsid w:val="0AB80DB3"/>
    <w:rsid w:val="0AC56B69"/>
    <w:rsid w:val="0AF12517"/>
    <w:rsid w:val="0B195DEC"/>
    <w:rsid w:val="0B326F2A"/>
    <w:rsid w:val="0B473852"/>
    <w:rsid w:val="0B487D2F"/>
    <w:rsid w:val="0B84338B"/>
    <w:rsid w:val="0B860EB1"/>
    <w:rsid w:val="0BC01BF6"/>
    <w:rsid w:val="0BC11EE9"/>
    <w:rsid w:val="0BCA5242"/>
    <w:rsid w:val="0BCF238D"/>
    <w:rsid w:val="0BE36304"/>
    <w:rsid w:val="0BEEA903"/>
    <w:rsid w:val="0BF00A21"/>
    <w:rsid w:val="0BFC6504"/>
    <w:rsid w:val="0BFE4EEC"/>
    <w:rsid w:val="0C0759D0"/>
    <w:rsid w:val="0C1E2888"/>
    <w:rsid w:val="0C2A3F33"/>
    <w:rsid w:val="0C3E79DE"/>
    <w:rsid w:val="0C404922"/>
    <w:rsid w:val="0C564D28"/>
    <w:rsid w:val="0C85560D"/>
    <w:rsid w:val="0C873133"/>
    <w:rsid w:val="0C92213C"/>
    <w:rsid w:val="0C9D2956"/>
    <w:rsid w:val="0CAA6E21"/>
    <w:rsid w:val="0CC2027E"/>
    <w:rsid w:val="0CC2416B"/>
    <w:rsid w:val="0CD81BE1"/>
    <w:rsid w:val="0CDD2D53"/>
    <w:rsid w:val="0D0429D6"/>
    <w:rsid w:val="0D076022"/>
    <w:rsid w:val="0D3B3F1D"/>
    <w:rsid w:val="0D447276"/>
    <w:rsid w:val="0D51729D"/>
    <w:rsid w:val="0D5F5E5E"/>
    <w:rsid w:val="0D60647B"/>
    <w:rsid w:val="0D84032B"/>
    <w:rsid w:val="0D8E6743"/>
    <w:rsid w:val="0D9F44AC"/>
    <w:rsid w:val="0DF31802"/>
    <w:rsid w:val="0E075BA3"/>
    <w:rsid w:val="0E3A79DD"/>
    <w:rsid w:val="0E4B1F1E"/>
    <w:rsid w:val="0E59465B"/>
    <w:rsid w:val="0E5C414B"/>
    <w:rsid w:val="0EAD2F32"/>
    <w:rsid w:val="0EAF4BC3"/>
    <w:rsid w:val="0EB75826"/>
    <w:rsid w:val="0EBB3568"/>
    <w:rsid w:val="0EC56195"/>
    <w:rsid w:val="0ED97690"/>
    <w:rsid w:val="0F184516"/>
    <w:rsid w:val="0F20161D"/>
    <w:rsid w:val="0F2A74C4"/>
    <w:rsid w:val="0F3F09ED"/>
    <w:rsid w:val="0F401BB1"/>
    <w:rsid w:val="0F74627D"/>
    <w:rsid w:val="0F751969"/>
    <w:rsid w:val="0F78156E"/>
    <w:rsid w:val="0F7B4AA5"/>
    <w:rsid w:val="0F827BE2"/>
    <w:rsid w:val="0F841BAC"/>
    <w:rsid w:val="0F933B9D"/>
    <w:rsid w:val="0FB04764"/>
    <w:rsid w:val="0FB12275"/>
    <w:rsid w:val="0FB83603"/>
    <w:rsid w:val="0FBA55CD"/>
    <w:rsid w:val="0FCB77DB"/>
    <w:rsid w:val="0FD146C5"/>
    <w:rsid w:val="0FD26785"/>
    <w:rsid w:val="0FDB7BD9"/>
    <w:rsid w:val="0FF860F6"/>
    <w:rsid w:val="10060813"/>
    <w:rsid w:val="101A606C"/>
    <w:rsid w:val="101C3B92"/>
    <w:rsid w:val="10377635"/>
    <w:rsid w:val="105A46BB"/>
    <w:rsid w:val="105E064F"/>
    <w:rsid w:val="10636AB3"/>
    <w:rsid w:val="1088747A"/>
    <w:rsid w:val="10A27F31"/>
    <w:rsid w:val="10B730DD"/>
    <w:rsid w:val="10F90377"/>
    <w:rsid w:val="10FB5E9E"/>
    <w:rsid w:val="11160F29"/>
    <w:rsid w:val="111D4066"/>
    <w:rsid w:val="118C4D48"/>
    <w:rsid w:val="11927058"/>
    <w:rsid w:val="11943BFC"/>
    <w:rsid w:val="11AA3420"/>
    <w:rsid w:val="11F272A1"/>
    <w:rsid w:val="1205572C"/>
    <w:rsid w:val="120E171E"/>
    <w:rsid w:val="12156D14"/>
    <w:rsid w:val="1231056F"/>
    <w:rsid w:val="123B3FE9"/>
    <w:rsid w:val="123C051C"/>
    <w:rsid w:val="126F6B43"/>
    <w:rsid w:val="127C6B6A"/>
    <w:rsid w:val="129A4C28"/>
    <w:rsid w:val="12A87B78"/>
    <w:rsid w:val="12AC38F3"/>
    <w:rsid w:val="12B90406"/>
    <w:rsid w:val="12DA1AE3"/>
    <w:rsid w:val="12FE3528"/>
    <w:rsid w:val="13021765"/>
    <w:rsid w:val="131A711B"/>
    <w:rsid w:val="13463548"/>
    <w:rsid w:val="136A10B9"/>
    <w:rsid w:val="139D4FEA"/>
    <w:rsid w:val="13A66595"/>
    <w:rsid w:val="13AF4F03"/>
    <w:rsid w:val="13FB16BF"/>
    <w:rsid w:val="142B6A9A"/>
    <w:rsid w:val="143B211D"/>
    <w:rsid w:val="145E0C1D"/>
    <w:rsid w:val="14661880"/>
    <w:rsid w:val="146E6986"/>
    <w:rsid w:val="14736E66"/>
    <w:rsid w:val="147F458F"/>
    <w:rsid w:val="14830684"/>
    <w:rsid w:val="149208C7"/>
    <w:rsid w:val="14A30D26"/>
    <w:rsid w:val="14B60A59"/>
    <w:rsid w:val="14DE1D5E"/>
    <w:rsid w:val="14E153AA"/>
    <w:rsid w:val="14E8498B"/>
    <w:rsid w:val="14F11A91"/>
    <w:rsid w:val="14F759E9"/>
    <w:rsid w:val="15121A08"/>
    <w:rsid w:val="151E03AD"/>
    <w:rsid w:val="15223DDE"/>
    <w:rsid w:val="1534169A"/>
    <w:rsid w:val="154020D1"/>
    <w:rsid w:val="15793835"/>
    <w:rsid w:val="157B75AD"/>
    <w:rsid w:val="15845F24"/>
    <w:rsid w:val="159D39C7"/>
    <w:rsid w:val="15B42ABF"/>
    <w:rsid w:val="15C03E03"/>
    <w:rsid w:val="15C26F8A"/>
    <w:rsid w:val="162A25EB"/>
    <w:rsid w:val="16414353"/>
    <w:rsid w:val="1647748F"/>
    <w:rsid w:val="16503754"/>
    <w:rsid w:val="165E3157"/>
    <w:rsid w:val="16735895"/>
    <w:rsid w:val="16B005F3"/>
    <w:rsid w:val="16B84583"/>
    <w:rsid w:val="16CF7F8F"/>
    <w:rsid w:val="16D1671C"/>
    <w:rsid w:val="16DE6045"/>
    <w:rsid w:val="16F91E48"/>
    <w:rsid w:val="16FD2A55"/>
    <w:rsid w:val="17067C1A"/>
    <w:rsid w:val="170F61FF"/>
    <w:rsid w:val="17135062"/>
    <w:rsid w:val="171B1048"/>
    <w:rsid w:val="172577D0"/>
    <w:rsid w:val="17320967"/>
    <w:rsid w:val="17366761"/>
    <w:rsid w:val="17562080"/>
    <w:rsid w:val="177C01F0"/>
    <w:rsid w:val="17940C3E"/>
    <w:rsid w:val="17940C7F"/>
    <w:rsid w:val="179E3A27"/>
    <w:rsid w:val="179E3EFA"/>
    <w:rsid w:val="17AF79E2"/>
    <w:rsid w:val="17B46DA6"/>
    <w:rsid w:val="17CE6630"/>
    <w:rsid w:val="17D17655"/>
    <w:rsid w:val="17F453F5"/>
    <w:rsid w:val="183879D7"/>
    <w:rsid w:val="184D6DCC"/>
    <w:rsid w:val="18581E27"/>
    <w:rsid w:val="18585984"/>
    <w:rsid w:val="186C142F"/>
    <w:rsid w:val="1881137E"/>
    <w:rsid w:val="188624F1"/>
    <w:rsid w:val="188B7ABB"/>
    <w:rsid w:val="188C387F"/>
    <w:rsid w:val="18BA663E"/>
    <w:rsid w:val="18C179CD"/>
    <w:rsid w:val="18C9062F"/>
    <w:rsid w:val="18CB084B"/>
    <w:rsid w:val="19361EF2"/>
    <w:rsid w:val="193C52A5"/>
    <w:rsid w:val="1986296F"/>
    <w:rsid w:val="198934F9"/>
    <w:rsid w:val="19A846E9"/>
    <w:rsid w:val="19AC41D9"/>
    <w:rsid w:val="19CE3505"/>
    <w:rsid w:val="19DA2FC8"/>
    <w:rsid w:val="19E219A9"/>
    <w:rsid w:val="19E716B5"/>
    <w:rsid w:val="19E92A76"/>
    <w:rsid w:val="1A02029D"/>
    <w:rsid w:val="1A023DF9"/>
    <w:rsid w:val="1A153EDB"/>
    <w:rsid w:val="1A187AC0"/>
    <w:rsid w:val="1A2C4ADE"/>
    <w:rsid w:val="1A603436"/>
    <w:rsid w:val="1A7141E9"/>
    <w:rsid w:val="1A7867B1"/>
    <w:rsid w:val="1A82318C"/>
    <w:rsid w:val="1AA23FA8"/>
    <w:rsid w:val="1AA50C28"/>
    <w:rsid w:val="1ABC044C"/>
    <w:rsid w:val="1AC76DF0"/>
    <w:rsid w:val="1AC94917"/>
    <w:rsid w:val="1ADC6D40"/>
    <w:rsid w:val="1AF220BF"/>
    <w:rsid w:val="1AFF0AFE"/>
    <w:rsid w:val="1B0B3181"/>
    <w:rsid w:val="1B1262BE"/>
    <w:rsid w:val="1B32070E"/>
    <w:rsid w:val="1B4F19F8"/>
    <w:rsid w:val="1B770817"/>
    <w:rsid w:val="1BA3785E"/>
    <w:rsid w:val="1BAB0CA3"/>
    <w:rsid w:val="1BAC6FEE"/>
    <w:rsid w:val="1BC03F6C"/>
    <w:rsid w:val="1BC36A31"/>
    <w:rsid w:val="1BF71712"/>
    <w:rsid w:val="1C053EF0"/>
    <w:rsid w:val="1C127404"/>
    <w:rsid w:val="1C4032FE"/>
    <w:rsid w:val="1C6C7C4F"/>
    <w:rsid w:val="1CB11B06"/>
    <w:rsid w:val="1CB87339"/>
    <w:rsid w:val="1CC565A5"/>
    <w:rsid w:val="1CC950A2"/>
    <w:rsid w:val="1CDA2E0B"/>
    <w:rsid w:val="1CE65C54"/>
    <w:rsid w:val="1CF0262F"/>
    <w:rsid w:val="1CF1208B"/>
    <w:rsid w:val="1CFA16FF"/>
    <w:rsid w:val="1CFF0AC4"/>
    <w:rsid w:val="1D0600A4"/>
    <w:rsid w:val="1D2247B2"/>
    <w:rsid w:val="1D3E96D7"/>
    <w:rsid w:val="1D5523BC"/>
    <w:rsid w:val="1D596426"/>
    <w:rsid w:val="1D5A03F0"/>
    <w:rsid w:val="1D5C4168"/>
    <w:rsid w:val="1D807E56"/>
    <w:rsid w:val="1DA13929"/>
    <w:rsid w:val="1DA17DCD"/>
    <w:rsid w:val="1DE507D7"/>
    <w:rsid w:val="1DED920F"/>
    <w:rsid w:val="1DF919B7"/>
    <w:rsid w:val="1E047661"/>
    <w:rsid w:val="1E25455A"/>
    <w:rsid w:val="1E3A254E"/>
    <w:rsid w:val="1E3D5D47"/>
    <w:rsid w:val="1E524B92"/>
    <w:rsid w:val="1E6034EF"/>
    <w:rsid w:val="1E682698"/>
    <w:rsid w:val="1E6E5F01"/>
    <w:rsid w:val="1E8F5E77"/>
    <w:rsid w:val="1E8FFBC4"/>
    <w:rsid w:val="1E927400"/>
    <w:rsid w:val="1E9E4F3E"/>
    <w:rsid w:val="1E9F255E"/>
    <w:rsid w:val="1EAC4A53"/>
    <w:rsid w:val="1EB678A8"/>
    <w:rsid w:val="1EC21DA9"/>
    <w:rsid w:val="1EC62CBF"/>
    <w:rsid w:val="1ECC44FA"/>
    <w:rsid w:val="1EE8763B"/>
    <w:rsid w:val="1EFD4561"/>
    <w:rsid w:val="1F063325"/>
    <w:rsid w:val="1F095C2A"/>
    <w:rsid w:val="1F182311"/>
    <w:rsid w:val="1F214D11"/>
    <w:rsid w:val="1F242A63"/>
    <w:rsid w:val="1F392A60"/>
    <w:rsid w:val="1F5E41C7"/>
    <w:rsid w:val="1F721A21"/>
    <w:rsid w:val="1F872CA4"/>
    <w:rsid w:val="1F90634B"/>
    <w:rsid w:val="1F9279CD"/>
    <w:rsid w:val="1FA85442"/>
    <w:rsid w:val="1FB57B5F"/>
    <w:rsid w:val="1FB74DC5"/>
    <w:rsid w:val="1FB913FE"/>
    <w:rsid w:val="1FBC5DF5"/>
    <w:rsid w:val="1FE67D19"/>
    <w:rsid w:val="1FF90588"/>
    <w:rsid w:val="1FFE1506"/>
    <w:rsid w:val="20032679"/>
    <w:rsid w:val="20044AC4"/>
    <w:rsid w:val="203F7B19"/>
    <w:rsid w:val="205B427C"/>
    <w:rsid w:val="207B0D59"/>
    <w:rsid w:val="2096173F"/>
    <w:rsid w:val="20A756FA"/>
    <w:rsid w:val="20BD4741"/>
    <w:rsid w:val="20C3623F"/>
    <w:rsid w:val="20D14525"/>
    <w:rsid w:val="20F446A0"/>
    <w:rsid w:val="211375EA"/>
    <w:rsid w:val="211865F8"/>
    <w:rsid w:val="215238B8"/>
    <w:rsid w:val="21635AC5"/>
    <w:rsid w:val="21667363"/>
    <w:rsid w:val="216B2BCB"/>
    <w:rsid w:val="216C7072"/>
    <w:rsid w:val="21781212"/>
    <w:rsid w:val="21A97250"/>
    <w:rsid w:val="21B83F86"/>
    <w:rsid w:val="21BA2407"/>
    <w:rsid w:val="221178A8"/>
    <w:rsid w:val="221213CF"/>
    <w:rsid w:val="22327A92"/>
    <w:rsid w:val="2237485C"/>
    <w:rsid w:val="22390290"/>
    <w:rsid w:val="2241392C"/>
    <w:rsid w:val="224625BA"/>
    <w:rsid w:val="22484CBB"/>
    <w:rsid w:val="22682C67"/>
    <w:rsid w:val="228F6446"/>
    <w:rsid w:val="229E48DB"/>
    <w:rsid w:val="22A04AF7"/>
    <w:rsid w:val="22A75E85"/>
    <w:rsid w:val="23026872"/>
    <w:rsid w:val="23151041"/>
    <w:rsid w:val="2318468D"/>
    <w:rsid w:val="23184960"/>
    <w:rsid w:val="231B23CF"/>
    <w:rsid w:val="231B417D"/>
    <w:rsid w:val="231D53A2"/>
    <w:rsid w:val="23250B58"/>
    <w:rsid w:val="2329689A"/>
    <w:rsid w:val="23571659"/>
    <w:rsid w:val="236D5383"/>
    <w:rsid w:val="23751ADF"/>
    <w:rsid w:val="237D4678"/>
    <w:rsid w:val="23865A9B"/>
    <w:rsid w:val="239161EE"/>
    <w:rsid w:val="23A75A11"/>
    <w:rsid w:val="23B7504C"/>
    <w:rsid w:val="23BE3486"/>
    <w:rsid w:val="23E847F0"/>
    <w:rsid w:val="23FF6010"/>
    <w:rsid w:val="242D0C1E"/>
    <w:rsid w:val="24305D97"/>
    <w:rsid w:val="24480FA2"/>
    <w:rsid w:val="24571307"/>
    <w:rsid w:val="24704055"/>
    <w:rsid w:val="2472601F"/>
    <w:rsid w:val="247578BD"/>
    <w:rsid w:val="24831FDA"/>
    <w:rsid w:val="24863878"/>
    <w:rsid w:val="24885842"/>
    <w:rsid w:val="249C5520"/>
    <w:rsid w:val="24D97E4C"/>
    <w:rsid w:val="250F1AC0"/>
    <w:rsid w:val="25110A2A"/>
    <w:rsid w:val="251946ED"/>
    <w:rsid w:val="2519649B"/>
    <w:rsid w:val="25270BB7"/>
    <w:rsid w:val="252800C5"/>
    <w:rsid w:val="256C0944"/>
    <w:rsid w:val="25BA7C7E"/>
    <w:rsid w:val="25BC57A4"/>
    <w:rsid w:val="25C861CE"/>
    <w:rsid w:val="25CB59E7"/>
    <w:rsid w:val="25D32D3D"/>
    <w:rsid w:val="25FF201F"/>
    <w:rsid w:val="26170C2C"/>
    <w:rsid w:val="262477ED"/>
    <w:rsid w:val="26355556"/>
    <w:rsid w:val="26446DE3"/>
    <w:rsid w:val="264A7253"/>
    <w:rsid w:val="264C14C8"/>
    <w:rsid w:val="265754CC"/>
    <w:rsid w:val="266100F9"/>
    <w:rsid w:val="266A0D63"/>
    <w:rsid w:val="266F0A68"/>
    <w:rsid w:val="26877DFE"/>
    <w:rsid w:val="269669E7"/>
    <w:rsid w:val="26A270C1"/>
    <w:rsid w:val="26D7699F"/>
    <w:rsid w:val="270E19AE"/>
    <w:rsid w:val="27A6495D"/>
    <w:rsid w:val="27A97FAA"/>
    <w:rsid w:val="27BC5F2F"/>
    <w:rsid w:val="281C29CB"/>
    <w:rsid w:val="28553C8E"/>
    <w:rsid w:val="285C14C0"/>
    <w:rsid w:val="287A1946"/>
    <w:rsid w:val="287F6F5C"/>
    <w:rsid w:val="288D78CB"/>
    <w:rsid w:val="28A45D52"/>
    <w:rsid w:val="28AB7D51"/>
    <w:rsid w:val="28BC1F5F"/>
    <w:rsid w:val="28C3509B"/>
    <w:rsid w:val="28C77750"/>
    <w:rsid w:val="28DF17A9"/>
    <w:rsid w:val="28F363AB"/>
    <w:rsid w:val="290A3B84"/>
    <w:rsid w:val="292673D8"/>
    <w:rsid w:val="292E4C0A"/>
    <w:rsid w:val="297F5466"/>
    <w:rsid w:val="29915199"/>
    <w:rsid w:val="299D3B3E"/>
    <w:rsid w:val="29BF5862"/>
    <w:rsid w:val="29C63095"/>
    <w:rsid w:val="29CC6106"/>
    <w:rsid w:val="29CC61D1"/>
    <w:rsid w:val="29D75F7F"/>
    <w:rsid w:val="29E84B30"/>
    <w:rsid w:val="29E90B31"/>
    <w:rsid w:val="29FD638B"/>
    <w:rsid w:val="2A027E45"/>
    <w:rsid w:val="2A104310"/>
    <w:rsid w:val="2A2F64DD"/>
    <w:rsid w:val="2A481CFC"/>
    <w:rsid w:val="2A556289"/>
    <w:rsid w:val="2A5E32CD"/>
    <w:rsid w:val="2A7F1496"/>
    <w:rsid w:val="2A830F86"/>
    <w:rsid w:val="2AB0164F"/>
    <w:rsid w:val="2ABC40B1"/>
    <w:rsid w:val="2AC5334C"/>
    <w:rsid w:val="2AD73080"/>
    <w:rsid w:val="2B116592"/>
    <w:rsid w:val="2B1258CE"/>
    <w:rsid w:val="2B3ECBC9"/>
    <w:rsid w:val="2B732DA8"/>
    <w:rsid w:val="2B774624"/>
    <w:rsid w:val="2B920D55"/>
    <w:rsid w:val="2B966A97"/>
    <w:rsid w:val="2BA90E99"/>
    <w:rsid w:val="2BB37649"/>
    <w:rsid w:val="2BD12A3B"/>
    <w:rsid w:val="2BDD46C6"/>
    <w:rsid w:val="2BF0264B"/>
    <w:rsid w:val="2C0F7428"/>
    <w:rsid w:val="2C1A76C8"/>
    <w:rsid w:val="2C41535E"/>
    <w:rsid w:val="2C5F50DB"/>
    <w:rsid w:val="2C7A72BE"/>
    <w:rsid w:val="2C815051"/>
    <w:rsid w:val="2C82701B"/>
    <w:rsid w:val="2C8C39F6"/>
    <w:rsid w:val="2C941296"/>
    <w:rsid w:val="2C9A7D75"/>
    <w:rsid w:val="2CC17412"/>
    <w:rsid w:val="2CEF0443"/>
    <w:rsid w:val="2CF77A09"/>
    <w:rsid w:val="2D0143E4"/>
    <w:rsid w:val="2D1C2FCC"/>
    <w:rsid w:val="2D2325AC"/>
    <w:rsid w:val="2D276EA7"/>
    <w:rsid w:val="2D656721"/>
    <w:rsid w:val="2D6D7CCB"/>
    <w:rsid w:val="2D7352E2"/>
    <w:rsid w:val="2D796670"/>
    <w:rsid w:val="2D7C1E99"/>
    <w:rsid w:val="2D863FA0"/>
    <w:rsid w:val="2D8C77E2"/>
    <w:rsid w:val="2D9139BA"/>
    <w:rsid w:val="2DB66FA1"/>
    <w:rsid w:val="2DBD655D"/>
    <w:rsid w:val="2DC21DC5"/>
    <w:rsid w:val="2DE30981"/>
    <w:rsid w:val="2DFB7085"/>
    <w:rsid w:val="2E045F3A"/>
    <w:rsid w:val="2E0A72C8"/>
    <w:rsid w:val="2E3507E9"/>
    <w:rsid w:val="2E352597"/>
    <w:rsid w:val="2E424CB4"/>
    <w:rsid w:val="2E4F2F2D"/>
    <w:rsid w:val="2E617D80"/>
    <w:rsid w:val="2E7C01C6"/>
    <w:rsid w:val="2E9372BE"/>
    <w:rsid w:val="2E9976CE"/>
    <w:rsid w:val="2E9F2106"/>
    <w:rsid w:val="2EDC2A13"/>
    <w:rsid w:val="2EF01DEE"/>
    <w:rsid w:val="2F0F2DE8"/>
    <w:rsid w:val="2F25085E"/>
    <w:rsid w:val="2F3351BB"/>
    <w:rsid w:val="2F3740ED"/>
    <w:rsid w:val="2F401D3C"/>
    <w:rsid w:val="2F5B24E1"/>
    <w:rsid w:val="2F5D0354"/>
    <w:rsid w:val="2F702F51"/>
    <w:rsid w:val="2F81180C"/>
    <w:rsid w:val="2F8F5CD7"/>
    <w:rsid w:val="2FA95C88"/>
    <w:rsid w:val="2FB4573E"/>
    <w:rsid w:val="2FB74E71"/>
    <w:rsid w:val="2FC05867"/>
    <w:rsid w:val="2FC42CE2"/>
    <w:rsid w:val="2FC70985"/>
    <w:rsid w:val="2FD73C90"/>
    <w:rsid w:val="2FE27372"/>
    <w:rsid w:val="2FF67B04"/>
    <w:rsid w:val="3041370F"/>
    <w:rsid w:val="3079528D"/>
    <w:rsid w:val="308415B4"/>
    <w:rsid w:val="30B87FED"/>
    <w:rsid w:val="30C714A1"/>
    <w:rsid w:val="30F229C1"/>
    <w:rsid w:val="3115220C"/>
    <w:rsid w:val="312132A7"/>
    <w:rsid w:val="312B50A3"/>
    <w:rsid w:val="31894FD2"/>
    <w:rsid w:val="31AE7611"/>
    <w:rsid w:val="31FB3AF8"/>
    <w:rsid w:val="322841C1"/>
    <w:rsid w:val="32335040"/>
    <w:rsid w:val="32390A32"/>
    <w:rsid w:val="32453A27"/>
    <w:rsid w:val="324A3BCA"/>
    <w:rsid w:val="324C7EAF"/>
    <w:rsid w:val="325B00F2"/>
    <w:rsid w:val="325F5E35"/>
    <w:rsid w:val="3263064A"/>
    <w:rsid w:val="32630816"/>
    <w:rsid w:val="327229FD"/>
    <w:rsid w:val="327C2D11"/>
    <w:rsid w:val="32867865"/>
    <w:rsid w:val="3293788C"/>
    <w:rsid w:val="32A43132"/>
    <w:rsid w:val="32A73338"/>
    <w:rsid w:val="32AC0C06"/>
    <w:rsid w:val="32AF4C35"/>
    <w:rsid w:val="32BB5035"/>
    <w:rsid w:val="3309693A"/>
    <w:rsid w:val="333252F7"/>
    <w:rsid w:val="33344EF5"/>
    <w:rsid w:val="33495366"/>
    <w:rsid w:val="336254B1"/>
    <w:rsid w:val="33714CC5"/>
    <w:rsid w:val="337376BE"/>
    <w:rsid w:val="33770F5C"/>
    <w:rsid w:val="337C29D9"/>
    <w:rsid w:val="337E41D8"/>
    <w:rsid w:val="33A06705"/>
    <w:rsid w:val="33AD7074"/>
    <w:rsid w:val="33D17615"/>
    <w:rsid w:val="33F151B2"/>
    <w:rsid w:val="33FB7DDF"/>
    <w:rsid w:val="34056568"/>
    <w:rsid w:val="34285A89"/>
    <w:rsid w:val="342A4220"/>
    <w:rsid w:val="343D21A6"/>
    <w:rsid w:val="34AB35B3"/>
    <w:rsid w:val="34AE30A3"/>
    <w:rsid w:val="34C957E7"/>
    <w:rsid w:val="34EB1C02"/>
    <w:rsid w:val="34F32864"/>
    <w:rsid w:val="34FB08BF"/>
    <w:rsid w:val="34FB9023"/>
    <w:rsid w:val="35347ACA"/>
    <w:rsid w:val="3537750C"/>
    <w:rsid w:val="3537798C"/>
    <w:rsid w:val="3550415A"/>
    <w:rsid w:val="35584DBD"/>
    <w:rsid w:val="35683252"/>
    <w:rsid w:val="3569521C"/>
    <w:rsid w:val="357D65D2"/>
    <w:rsid w:val="35A95619"/>
    <w:rsid w:val="35B04BF9"/>
    <w:rsid w:val="35B90109"/>
    <w:rsid w:val="35BC359E"/>
    <w:rsid w:val="35C13FC9"/>
    <w:rsid w:val="35C67542"/>
    <w:rsid w:val="35F0270F"/>
    <w:rsid w:val="35FFCFBB"/>
    <w:rsid w:val="3608233F"/>
    <w:rsid w:val="360F7B72"/>
    <w:rsid w:val="36372B05"/>
    <w:rsid w:val="364257B6"/>
    <w:rsid w:val="36910096"/>
    <w:rsid w:val="369FB275"/>
    <w:rsid w:val="36A041D7"/>
    <w:rsid w:val="36A06C35"/>
    <w:rsid w:val="36C02C1A"/>
    <w:rsid w:val="36C95F72"/>
    <w:rsid w:val="37074CED"/>
    <w:rsid w:val="3713199C"/>
    <w:rsid w:val="37203823"/>
    <w:rsid w:val="37226443"/>
    <w:rsid w:val="373158C6"/>
    <w:rsid w:val="37387627"/>
    <w:rsid w:val="374455F9"/>
    <w:rsid w:val="37596763"/>
    <w:rsid w:val="37682747"/>
    <w:rsid w:val="376E7669"/>
    <w:rsid w:val="3786388E"/>
    <w:rsid w:val="37864A29"/>
    <w:rsid w:val="37922808"/>
    <w:rsid w:val="379F0A81"/>
    <w:rsid w:val="37A147F9"/>
    <w:rsid w:val="37B564F7"/>
    <w:rsid w:val="37C8447C"/>
    <w:rsid w:val="37CB1876"/>
    <w:rsid w:val="37D22C05"/>
    <w:rsid w:val="37D261A1"/>
    <w:rsid w:val="37EA5922"/>
    <w:rsid w:val="380B4369"/>
    <w:rsid w:val="38276B93"/>
    <w:rsid w:val="382E58B8"/>
    <w:rsid w:val="38327B47"/>
    <w:rsid w:val="38431D54"/>
    <w:rsid w:val="384F459A"/>
    <w:rsid w:val="38613F89"/>
    <w:rsid w:val="38686D8A"/>
    <w:rsid w:val="387A65A4"/>
    <w:rsid w:val="38A42B41"/>
    <w:rsid w:val="38AC2B2B"/>
    <w:rsid w:val="38AC3431"/>
    <w:rsid w:val="38B62526"/>
    <w:rsid w:val="38DB3D3B"/>
    <w:rsid w:val="38F94373"/>
    <w:rsid w:val="39225E0E"/>
    <w:rsid w:val="392F2E16"/>
    <w:rsid w:val="393D49F6"/>
    <w:rsid w:val="39461AFC"/>
    <w:rsid w:val="39537D75"/>
    <w:rsid w:val="395D53E2"/>
    <w:rsid w:val="397C156F"/>
    <w:rsid w:val="39842625"/>
    <w:rsid w:val="39C71B7A"/>
    <w:rsid w:val="39D06842"/>
    <w:rsid w:val="39DE32B6"/>
    <w:rsid w:val="39E00529"/>
    <w:rsid w:val="39F33306"/>
    <w:rsid w:val="39FC040D"/>
    <w:rsid w:val="3A0B64A7"/>
    <w:rsid w:val="3A18602E"/>
    <w:rsid w:val="3A2B2B31"/>
    <w:rsid w:val="3A371445"/>
    <w:rsid w:val="3A3A0F35"/>
    <w:rsid w:val="3A4F2C33"/>
    <w:rsid w:val="3A541D49"/>
    <w:rsid w:val="3A574DDA"/>
    <w:rsid w:val="3A647D60"/>
    <w:rsid w:val="3A8D375B"/>
    <w:rsid w:val="3A922B1F"/>
    <w:rsid w:val="3AB321BA"/>
    <w:rsid w:val="3AC52EF5"/>
    <w:rsid w:val="3AD3075A"/>
    <w:rsid w:val="3AF410E4"/>
    <w:rsid w:val="3AF74C02"/>
    <w:rsid w:val="3B0E1700"/>
    <w:rsid w:val="3B1672AC"/>
    <w:rsid w:val="3B1E61DE"/>
    <w:rsid w:val="3B47390A"/>
    <w:rsid w:val="3B6C511E"/>
    <w:rsid w:val="3BA26D92"/>
    <w:rsid w:val="3BAE3989"/>
    <w:rsid w:val="3BB80364"/>
    <w:rsid w:val="3BBD597A"/>
    <w:rsid w:val="3BFA6BCE"/>
    <w:rsid w:val="3C0059A5"/>
    <w:rsid w:val="3C08753D"/>
    <w:rsid w:val="3C0953F9"/>
    <w:rsid w:val="3C096E11"/>
    <w:rsid w:val="3C0C69CA"/>
    <w:rsid w:val="3C134E78"/>
    <w:rsid w:val="3C241E9D"/>
    <w:rsid w:val="3C252C3E"/>
    <w:rsid w:val="3C300842"/>
    <w:rsid w:val="3C7544A7"/>
    <w:rsid w:val="3C8A7F52"/>
    <w:rsid w:val="3C9A4C24"/>
    <w:rsid w:val="3C9E1C4F"/>
    <w:rsid w:val="3CAA23A2"/>
    <w:rsid w:val="3CAD2822"/>
    <w:rsid w:val="3CB50A3C"/>
    <w:rsid w:val="3CFC24D2"/>
    <w:rsid w:val="3D0870C9"/>
    <w:rsid w:val="3D145A6E"/>
    <w:rsid w:val="3D263E9D"/>
    <w:rsid w:val="3D3B2FFA"/>
    <w:rsid w:val="3D436353"/>
    <w:rsid w:val="3D483969"/>
    <w:rsid w:val="3D762284"/>
    <w:rsid w:val="3D77836C"/>
    <w:rsid w:val="3DA9265A"/>
    <w:rsid w:val="3DAE7C70"/>
    <w:rsid w:val="3DC76F84"/>
    <w:rsid w:val="3DC94AAA"/>
    <w:rsid w:val="3DDD67A7"/>
    <w:rsid w:val="3DDF607B"/>
    <w:rsid w:val="3DE43060"/>
    <w:rsid w:val="3DF6345D"/>
    <w:rsid w:val="3DFAAA53"/>
    <w:rsid w:val="3DFC6C2D"/>
    <w:rsid w:val="3E10092B"/>
    <w:rsid w:val="3E2B12C1"/>
    <w:rsid w:val="3E2B5515"/>
    <w:rsid w:val="3E382184"/>
    <w:rsid w:val="3E4D4F28"/>
    <w:rsid w:val="3E8E24F6"/>
    <w:rsid w:val="3E9E5F37"/>
    <w:rsid w:val="3EA66B99"/>
    <w:rsid w:val="3EC06506"/>
    <w:rsid w:val="3ED23E32"/>
    <w:rsid w:val="3ED92EC4"/>
    <w:rsid w:val="3EE13701"/>
    <w:rsid w:val="3EEB5755"/>
    <w:rsid w:val="3EF75647"/>
    <w:rsid w:val="3EF773F5"/>
    <w:rsid w:val="3F165215"/>
    <w:rsid w:val="3F1A4BB3"/>
    <w:rsid w:val="3F312907"/>
    <w:rsid w:val="3F340649"/>
    <w:rsid w:val="3F47212A"/>
    <w:rsid w:val="3F732F1F"/>
    <w:rsid w:val="3F95733A"/>
    <w:rsid w:val="3FA0183A"/>
    <w:rsid w:val="3FA07A8C"/>
    <w:rsid w:val="3FA617BF"/>
    <w:rsid w:val="3FAF1A7E"/>
    <w:rsid w:val="3FCD2003"/>
    <w:rsid w:val="3FE47979"/>
    <w:rsid w:val="3FE71217"/>
    <w:rsid w:val="400022D9"/>
    <w:rsid w:val="401364B0"/>
    <w:rsid w:val="40192BA6"/>
    <w:rsid w:val="40271F5C"/>
    <w:rsid w:val="402B0A17"/>
    <w:rsid w:val="40325513"/>
    <w:rsid w:val="40387A05"/>
    <w:rsid w:val="40436D96"/>
    <w:rsid w:val="40866C82"/>
    <w:rsid w:val="40B27A77"/>
    <w:rsid w:val="40D93256"/>
    <w:rsid w:val="40DF6392"/>
    <w:rsid w:val="40E52C26"/>
    <w:rsid w:val="40F55BB6"/>
    <w:rsid w:val="412D5350"/>
    <w:rsid w:val="41395AA3"/>
    <w:rsid w:val="413E2814"/>
    <w:rsid w:val="416C57BC"/>
    <w:rsid w:val="416F5968"/>
    <w:rsid w:val="41744D2D"/>
    <w:rsid w:val="41766EA9"/>
    <w:rsid w:val="41792343"/>
    <w:rsid w:val="41B466C1"/>
    <w:rsid w:val="41BD1DD3"/>
    <w:rsid w:val="41DA7286"/>
    <w:rsid w:val="41F627DC"/>
    <w:rsid w:val="42024A2E"/>
    <w:rsid w:val="421502BE"/>
    <w:rsid w:val="42271614"/>
    <w:rsid w:val="42394E1F"/>
    <w:rsid w:val="423A5F76"/>
    <w:rsid w:val="42550A18"/>
    <w:rsid w:val="425D7EB7"/>
    <w:rsid w:val="4292152A"/>
    <w:rsid w:val="429A4C67"/>
    <w:rsid w:val="429D496A"/>
    <w:rsid w:val="42B555FD"/>
    <w:rsid w:val="42DE0FF8"/>
    <w:rsid w:val="42DF267A"/>
    <w:rsid w:val="42F473A1"/>
    <w:rsid w:val="42FC322C"/>
    <w:rsid w:val="43217136"/>
    <w:rsid w:val="43256A8C"/>
    <w:rsid w:val="433429C6"/>
    <w:rsid w:val="43355679"/>
    <w:rsid w:val="433A3C4A"/>
    <w:rsid w:val="433E3844"/>
    <w:rsid w:val="435C3CCA"/>
    <w:rsid w:val="437217EA"/>
    <w:rsid w:val="43AB7156"/>
    <w:rsid w:val="43AF64F0"/>
    <w:rsid w:val="4413072B"/>
    <w:rsid w:val="441E62C0"/>
    <w:rsid w:val="4427077C"/>
    <w:rsid w:val="44464B80"/>
    <w:rsid w:val="445B21D4"/>
    <w:rsid w:val="44686F7B"/>
    <w:rsid w:val="44695BC4"/>
    <w:rsid w:val="44803B69"/>
    <w:rsid w:val="4484172B"/>
    <w:rsid w:val="448D78C3"/>
    <w:rsid w:val="44C77869"/>
    <w:rsid w:val="44D37FBC"/>
    <w:rsid w:val="44E95A32"/>
    <w:rsid w:val="44F00693"/>
    <w:rsid w:val="44FA0798"/>
    <w:rsid w:val="4511417E"/>
    <w:rsid w:val="45325D14"/>
    <w:rsid w:val="453C2005"/>
    <w:rsid w:val="457818C2"/>
    <w:rsid w:val="45811C7C"/>
    <w:rsid w:val="45877724"/>
    <w:rsid w:val="45906116"/>
    <w:rsid w:val="45931B8C"/>
    <w:rsid w:val="459603EE"/>
    <w:rsid w:val="45AD6A5F"/>
    <w:rsid w:val="45C142B9"/>
    <w:rsid w:val="45C344D5"/>
    <w:rsid w:val="45D4223E"/>
    <w:rsid w:val="45D466E2"/>
    <w:rsid w:val="45DB537A"/>
    <w:rsid w:val="45EF2552"/>
    <w:rsid w:val="45EF258B"/>
    <w:rsid w:val="45F12DF0"/>
    <w:rsid w:val="45F91CA4"/>
    <w:rsid w:val="46274A64"/>
    <w:rsid w:val="462A6302"/>
    <w:rsid w:val="463E3B5B"/>
    <w:rsid w:val="464C44CA"/>
    <w:rsid w:val="465515D1"/>
    <w:rsid w:val="468B3EFB"/>
    <w:rsid w:val="46B53E1D"/>
    <w:rsid w:val="46C71DA3"/>
    <w:rsid w:val="46EF01DE"/>
    <w:rsid w:val="46FE3A16"/>
    <w:rsid w:val="47035D6E"/>
    <w:rsid w:val="470A6193"/>
    <w:rsid w:val="471F573B"/>
    <w:rsid w:val="47385210"/>
    <w:rsid w:val="475510F8"/>
    <w:rsid w:val="47690841"/>
    <w:rsid w:val="47A345BE"/>
    <w:rsid w:val="47A81BD4"/>
    <w:rsid w:val="47AEA16E"/>
    <w:rsid w:val="47B265AF"/>
    <w:rsid w:val="47B73BC5"/>
    <w:rsid w:val="47D2004C"/>
    <w:rsid w:val="47DC4F5C"/>
    <w:rsid w:val="47E003BF"/>
    <w:rsid w:val="47E56984"/>
    <w:rsid w:val="48171365"/>
    <w:rsid w:val="482A083B"/>
    <w:rsid w:val="48304961"/>
    <w:rsid w:val="48313978"/>
    <w:rsid w:val="483B2A48"/>
    <w:rsid w:val="483B65A4"/>
    <w:rsid w:val="484A67E7"/>
    <w:rsid w:val="487233B0"/>
    <w:rsid w:val="48755B39"/>
    <w:rsid w:val="48877A3B"/>
    <w:rsid w:val="48943F06"/>
    <w:rsid w:val="489E0E12"/>
    <w:rsid w:val="48B40671"/>
    <w:rsid w:val="48C648A3"/>
    <w:rsid w:val="48CF364E"/>
    <w:rsid w:val="48F50E49"/>
    <w:rsid w:val="48F54724"/>
    <w:rsid w:val="49081696"/>
    <w:rsid w:val="491312CF"/>
    <w:rsid w:val="49247038"/>
    <w:rsid w:val="492D73F6"/>
    <w:rsid w:val="49301E81"/>
    <w:rsid w:val="49425710"/>
    <w:rsid w:val="494E1B47"/>
    <w:rsid w:val="49627B61"/>
    <w:rsid w:val="499B5738"/>
    <w:rsid w:val="499F244D"/>
    <w:rsid w:val="49C34AA3"/>
    <w:rsid w:val="49CC7DFC"/>
    <w:rsid w:val="49D46CB0"/>
    <w:rsid w:val="49E22A33"/>
    <w:rsid w:val="49E62540"/>
    <w:rsid w:val="49F607CB"/>
    <w:rsid w:val="49F96717"/>
    <w:rsid w:val="49FC1D63"/>
    <w:rsid w:val="4A062019"/>
    <w:rsid w:val="4A203CA4"/>
    <w:rsid w:val="4A253068"/>
    <w:rsid w:val="4A2C089A"/>
    <w:rsid w:val="4A301A0D"/>
    <w:rsid w:val="4A4F27DB"/>
    <w:rsid w:val="4A5B1180"/>
    <w:rsid w:val="4A6718D3"/>
    <w:rsid w:val="4A7F4E6E"/>
    <w:rsid w:val="4A913556"/>
    <w:rsid w:val="4A930919"/>
    <w:rsid w:val="4A973F3F"/>
    <w:rsid w:val="4AAE5753"/>
    <w:rsid w:val="4AAF6DD6"/>
    <w:rsid w:val="4AB3318A"/>
    <w:rsid w:val="4ABB64BE"/>
    <w:rsid w:val="4AC5484B"/>
    <w:rsid w:val="4AC565F9"/>
    <w:rsid w:val="4AC705C3"/>
    <w:rsid w:val="4AE271AB"/>
    <w:rsid w:val="4AE72A13"/>
    <w:rsid w:val="4AEC1DD8"/>
    <w:rsid w:val="4AF96BC7"/>
    <w:rsid w:val="4B11183E"/>
    <w:rsid w:val="4B26353C"/>
    <w:rsid w:val="4B287458"/>
    <w:rsid w:val="4B493B26"/>
    <w:rsid w:val="4B5C0D0B"/>
    <w:rsid w:val="4B5C51AF"/>
    <w:rsid w:val="4B5E27BB"/>
    <w:rsid w:val="4B6117B3"/>
    <w:rsid w:val="4B862A85"/>
    <w:rsid w:val="4B9F509C"/>
    <w:rsid w:val="4BC13264"/>
    <w:rsid w:val="4BE96317"/>
    <w:rsid w:val="4BFBE42D"/>
    <w:rsid w:val="4C001FDF"/>
    <w:rsid w:val="4C162A89"/>
    <w:rsid w:val="4C607AE6"/>
    <w:rsid w:val="4C6D519A"/>
    <w:rsid w:val="4C871DB8"/>
    <w:rsid w:val="4C8A18A8"/>
    <w:rsid w:val="4C8A603C"/>
    <w:rsid w:val="4CAE1A3B"/>
    <w:rsid w:val="4CB15087"/>
    <w:rsid w:val="4CBE0387"/>
    <w:rsid w:val="4CCE3E8B"/>
    <w:rsid w:val="4CD57AC8"/>
    <w:rsid w:val="4CD90F5A"/>
    <w:rsid w:val="4CEF36E2"/>
    <w:rsid w:val="4CEF4DC5"/>
    <w:rsid w:val="4CF17B79"/>
    <w:rsid w:val="4D115B26"/>
    <w:rsid w:val="4D2E66D8"/>
    <w:rsid w:val="4D5679DC"/>
    <w:rsid w:val="4DAE5A6A"/>
    <w:rsid w:val="4DBA00C3"/>
    <w:rsid w:val="4DC31516"/>
    <w:rsid w:val="4DE10ED6"/>
    <w:rsid w:val="4DF15EB4"/>
    <w:rsid w:val="4DF571F5"/>
    <w:rsid w:val="4E046B0C"/>
    <w:rsid w:val="4E0A223A"/>
    <w:rsid w:val="4E217FEA"/>
    <w:rsid w:val="4E257655"/>
    <w:rsid w:val="4E296E9F"/>
    <w:rsid w:val="4E2A3343"/>
    <w:rsid w:val="4E4423C1"/>
    <w:rsid w:val="4E5C7274"/>
    <w:rsid w:val="4E872543"/>
    <w:rsid w:val="4E915170"/>
    <w:rsid w:val="4EC81323"/>
    <w:rsid w:val="4ECF5C98"/>
    <w:rsid w:val="4EE51018"/>
    <w:rsid w:val="4F0A4F22"/>
    <w:rsid w:val="4F372380"/>
    <w:rsid w:val="4F372FFB"/>
    <w:rsid w:val="4F3B50DC"/>
    <w:rsid w:val="4F7725B8"/>
    <w:rsid w:val="4F894099"/>
    <w:rsid w:val="4FD33566"/>
    <w:rsid w:val="4FD51FF0"/>
    <w:rsid w:val="4FFA4F97"/>
    <w:rsid w:val="500100D3"/>
    <w:rsid w:val="500B71A4"/>
    <w:rsid w:val="501222E0"/>
    <w:rsid w:val="50166555"/>
    <w:rsid w:val="5025116D"/>
    <w:rsid w:val="503E0E60"/>
    <w:rsid w:val="505748CA"/>
    <w:rsid w:val="50595F65"/>
    <w:rsid w:val="505F4DFA"/>
    <w:rsid w:val="5060304C"/>
    <w:rsid w:val="507C775A"/>
    <w:rsid w:val="50C555A5"/>
    <w:rsid w:val="50D457E8"/>
    <w:rsid w:val="50DC644B"/>
    <w:rsid w:val="50FE0AB7"/>
    <w:rsid w:val="511C2DB0"/>
    <w:rsid w:val="511E4CB5"/>
    <w:rsid w:val="511F05A6"/>
    <w:rsid w:val="513444D8"/>
    <w:rsid w:val="51357465"/>
    <w:rsid w:val="5144471C"/>
    <w:rsid w:val="51586419"/>
    <w:rsid w:val="515D67C0"/>
    <w:rsid w:val="5167040A"/>
    <w:rsid w:val="5167665C"/>
    <w:rsid w:val="51825244"/>
    <w:rsid w:val="519B00B4"/>
    <w:rsid w:val="519D207E"/>
    <w:rsid w:val="51A76A58"/>
    <w:rsid w:val="51C42FA2"/>
    <w:rsid w:val="51DD247A"/>
    <w:rsid w:val="51E90E1F"/>
    <w:rsid w:val="51FC6DA4"/>
    <w:rsid w:val="521C79CE"/>
    <w:rsid w:val="522D51B0"/>
    <w:rsid w:val="52395ECD"/>
    <w:rsid w:val="52444636"/>
    <w:rsid w:val="52524C16"/>
    <w:rsid w:val="52552958"/>
    <w:rsid w:val="52741030"/>
    <w:rsid w:val="52A63A6F"/>
    <w:rsid w:val="52C10D75"/>
    <w:rsid w:val="52CA29FF"/>
    <w:rsid w:val="52DBD511"/>
    <w:rsid w:val="52DD4E28"/>
    <w:rsid w:val="52E52E74"/>
    <w:rsid w:val="52E837CD"/>
    <w:rsid w:val="532A7941"/>
    <w:rsid w:val="53364538"/>
    <w:rsid w:val="533C74C2"/>
    <w:rsid w:val="534053B7"/>
    <w:rsid w:val="53422EDD"/>
    <w:rsid w:val="534E1882"/>
    <w:rsid w:val="536C1D08"/>
    <w:rsid w:val="537806AC"/>
    <w:rsid w:val="53784A6D"/>
    <w:rsid w:val="537A08C9"/>
    <w:rsid w:val="5382152B"/>
    <w:rsid w:val="538708F0"/>
    <w:rsid w:val="538A03E0"/>
    <w:rsid w:val="53964FD7"/>
    <w:rsid w:val="53B4545D"/>
    <w:rsid w:val="53BD07B5"/>
    <w:rsid w:val="53C27FF8"/>
    <w:rsid w:val="53F65A75"/>
    <w:rsid w:val="53F9092C"/>
    <w:rsid w:val="542E16B3"/>
    <w:rsid w:val="545C7FCE"/>
    <w:rsid w:val="54806794"/>
    <w:rsid w:val="548E5CAE"/>
    <w:rsid w:val="549E1A80"/>
    <w:rsid w:val="54B020C8"/>
    <w:rsid w:val="54B971CF"/>
    <w:rsid w:val="54C30C68"/>
    <w:rsid w:val="54C658F4"/>
    <w:rsid w:val="54EF0E42"/>
    <w:rsid w:val="550C4BD7"/>
    <w:rsid w:val="55147D72"/>
    <w:rsid w:val="551E155C"/>
    <w:rsid w:val="552A3C28"/>
    <w:rsid w:val="55405F30"/>
    <w:rsid w:val="554C1D56"/>
    <w:rsid w:val="554E3DBB"/>
    <w:rsid w:val="554F7B33"/>
    <w:rsid w:val="55572986"/>
    <w:rsid w:val="5560589C"/>
    <w:rsid w:val="55741347"/>
    <w:rsid w:val="55774994"/>
    <w:rsid w:val="557B0928"/>
    <w:rsid w:val="55906468"/>
    <w:rsid w:val="559B0682"/>
    <w:rsid w:val="559E37BE"/>
    <w:rsid w:val="55BC32AF"/>
    <w:rsid w:val="55E400F4"/>
    <w:rsid w:val="55E62245"/>
    <w:rsid w:val="55F04E72"/>
    <w:rsid w:val="55F34962"/>
    <w:rsid w:val="55F52488"/>
    <w:rsid w:val="55F61D5C"/>
    <w:rsid w:val="55FB2989"/>
    <w:rsid w:val="560501F2"/>
    <w:rsid w:val="56051FA0"/>
    <w:rsid w:val="5621327D"/>
    <w:rsid w:val="56373E09"/>
    <w:rsid w:val="56384123"/>
    <w:rsid w:val="564451BE"/>
    <w:rsid w:val="565340FA"/>
    <w:rsid w:val="565D799E"/>
    <w:rsid w:val="5665084A"/>
    <w:rsid w:val="566B44F9"/>
    <w:rsid w:val="567A298E"/>
    <w:rsid w:val="567F61F6"/>
    <w:rsid w:val="56802E64"/>
    <w:rsid w:val="569D042A"/>
    <w:rsid w:val="56AD5F59"/>
    <w:rsid w:val="56B25162"/>
    <w:rsid w:val="56B460E4"/>
    <w:rsid w:val="56BE6D1E"/>
    <w:rsid w:val="56C60774"/>
    <w:rsid w:val="56DE4C90"/>
    <w:rsid w:val="56FC33A3"/>
    <w:rsid w:val="57007337"/>
    <w:rsid w:val="57160908"/>
    <w:rsid w:val="571A1A7B"/>
    <w:rsid w:val="57233025"/>
    <w:rsid w:val="573B036F"/>
    <w:rsid w:val="573E1A49"/>
    <w:rsid w:val="574216FD"/>
    <w:rsid w:val="57454D4A"/>
    <w:rsid w:val="574C257C"/>
    <w:rsid w:val="57610106"/>
    <w:rsid w:val="57631674"/>
    <w:rsid w:val="576553EC"/>
    <w:rsid w:val="57703433"/>
    <w:rsid w:val="57713D91"/>
    <w:rsid w:val="57951174"/>
    <w:rsid w:val="579DE688"/>
    <w:rsid w:val="57AF2B0B"/>
    <w:rsid w:val="57B12A52"/>
    <w:rsid w:val="57C9767E"/>
    <w:rsid w:val="57F95B34"/>
    <w:rsid w:val="5818420C"/>
    <w:rsid w:val="585039A6"/>
    <w:rsid w:val="58550FBC"/>
    <w:rsid w:val="585A4825"/>
    <w:rsid w:val="585A65D3"/>
    <w:rsid w:val="587D0513"/>
    <w:rsid w:val="58913FBE"/>
    <w:rsid w:val="58B55EFF"/>
    <w:rsid w:val="58B8779D"/>
    <w:rsid w:val="58C15F70"/>
    <w:rsid w:val="58D07FB1"/>
    <w:rsid w:val="58F46334"/>
    <w:rsid w:val="58F9403E"/>
    <w:rsid w:val="59101387"/>
    <w:rsid w:val="593B28A8"/>
    <w:rsid w:val="5954396A"/>
    <w:rsid w:val="597731B4"/>
    <w:rsid w:val="5987789B"/>
    <w:rsid w:val="59934492"/>
    <w:rsid w:val="59973856"/>
    <w:rsid w:val="59995821"/>
    <w:rsid w:val="59AF0BA0"/>
    <w:rsid w:val="59B12B6A"/>
    <w:rsid w:val="59C81C62"/>
    <w:rsid w:val="59F14D15"/>
    <w:rsid w:val="59F667CF"/>
    <w:rsid w:val="5A186745"/>
    <w:rsid w:val="5A201A9E"/>
    <w:rsid w:val="5A2F2CC8"/>
    <w:rsid w:val="5A7476F4"/>
    <w:rsid w:val="5A7D2A4C"/>
    <w:rsid w:val="5AA20705"/>
    <w:rsid w:val="5AA31307"/>
    <w:rsid w:val="5ABA15AB"/>
    <w:rsid w:val="5ABA3CA0"/>
    <w:rsid w:val="5AE64A95"/>
    <w:rsid w:val="5AEF8387"/>
    <w:rsid w:val="5B0942E0"/>
    <w:rsid w:val="5B143D77"/>
    <w:rsid w:val="5B182775"/>
    <w:rsid w:val="5B33135D"/>
    <w:rsid w:val="5B9462A0"/>
    <w:rsid w:val="5B962018"/>
    <w:rsid w:val="5BA02E96"/>
    <w:rsid w:val="5BAD110F"/>
    <w:rsid w:val="5BFB8CFD"/>
    <w:rsid w:val="5C076A71"/>
    <w:rsid w:val="5C0D1BAE"/>
    <w:rsid w:val="5C10702D"/>
    <w:rsid w:val="5C152601"/>
    <w:rsid w:val="5C591F03"/>
    <w:rsid w:val="5C5F68AD"/>
    <w:rsid w:val="5C8A1B2F"/>
    <w:rsid w:val="5CC500DB"/>
    <w:rsid w:val="5CCE3A33"/>
    <w:rsid w:val="5CF21808"/>
    <w:rsid w:val="5D2418A5"/>
    <w:rsid w:val="5D284EF1"/>
    <w:rsid w:val="5D2F32EF"/>
    <w:rsid w:val="5D550132"/>
    <w:rsid w:val="5D63417B"/>
    <w:rsid w:val="5D735571"/>
    <w:rsid w:val="5DA447BC"/>
    <w:rsid w:val="5DAD189A"/>
    <w:rsid w:val="5DB95E7E"/>
    <w:rsid w:val="5DCF4178"/>
    <w:rsid w:val="5DD17FD8"/>
    <w:rsid w:val="5DF66D9E"/>
    <w:rsid w:val="5DF84DD3"/>
    <w:rsid w:val="5DFD637E"/>
    <w:rsid w:val="5DFFDED7"/>
    <w:rsid w:val="5E0B036F"/>
    <w:rsid w:val="5E1E4F41"/>
    <w:rsid w:val="5E2EB203"/>
    <w:rsid w:val="5E583CFE"/>
    <w:rsid w:val="5E59557E"/>
    <w:rsid w:val="5E6F6B50"/>
    <w:rsid w:val="5E710B1A"/>
    <w:rsid w:val="5E850121"/>
    <w:rsid w:val="5EA37071"/>
    <w:rsid w:val="5ED02900"/>
    <w:rsid w:val="5EEE5CC7"/>
    <w:rsid w:val="5EF7101F"/>
    <w:rsid w:val="5F090D52"/>
    <w:rsid w:val="5F0E01C8"/>
    <w:rsid w:val="5F1A2F60"/>
    <w:rsid w:val="5F2DCD25"/>
    <w:rsid w:val="5F30008D"/>
    <w:rsid w:val="5F3758C0"/>
    <w:rsid w:val="5F5244A8"/>
    <w:rsid w:val="5F561B72"/>
    <w:rsid w:val="5F671A1C"/>
    <w:rsid w:val="5FA36AB1"/>
    <w:rsid w:val="5FAD16DE"/>
    <w:rsid w:val="5FC058B5"/>
    <w:rsid w:val="5FC87113"/>
    <w:rsid w:val="5FC92290"/>
    <w:rsid w:val="5FDE21DF"/>
    <w:rsid w:val="5FE13A7D"/>
    <w:rsid w:val="5FF9DFD0"/>
    <w:rsid w:val="5FFE7904"/>
    <w:rsid w:val="600663D7"/>
    <w:rsid w:val="60193217"/>
    <w:rsid w:val="606007BB"/>
    <w:rsid w:val="60695F4D"/>
    <w:rsid w:val="606D5311"/>
    <w:rsid w:val="607C7302"/>
    <w:rsid w:val="607D37A6"/>
    <w:rsid w:val="607D5554"/>
    <w:rsid w:val="608531D9"/>
    <w:rsid w:val="608E2417"/>
    <w:rsid w:val="60931C06"/>
    <w:rsid w:val="60AC50EE"/>
    <w:rsid w:val="60AC7F66"/>
    <w:rsid w:val="60B13450"/>
    <w:rsid w:val="60BA0556"/>
    <w:rsid w:val="60BB607C"/>
    <w:rsid w:val="60C2740B"/>
    <w:rsid w:val="60D86C2E"/>
    <w:rsid w:val="60DA0545"/>
    <w:rsid w:val="60F577E0"/>
    <w:rsid w:val="60F670B5"/>
    <w:rsid w:val="60FF065F"/>
    <w:rsid w:val="610C68D8"/>
    <w:rsid w:val="61170BD6"/>
    <w:rsid w:val="61587D6F"/>
    <w:rsid w:val="615C785F"/>
    <w:rsid w:val="61695AD8"/>
    <w:rsid w:val="6170330B"/>
    <w:rsid w:val="6183303E"/>
    <w:rsid w:val="619863BE"/>
    <w:rsid w:val="61BF10D9"/>
    <w:rsid w:val="61DC274E"/>
    <w:rsid w:val="61FA4982"/>
    <w:rsid w:val="623C31ED"/>
    <w:rsid w:val="623D5D14"/>
    <w:rsid w:val="623D6CC3"/>
    <w:rsid w:val="625A75FB"/>
    <w:rsid w:val="62620EA5"/>
    <w:rsid w:val="626544F2"/>
    <w:rsid w:val="62AC22DC"/>
    <w:rsid w:val="62D90A3C"/>
    <w:rsid w:val="62E0001C"/>
    <w:rsid w:val="62E21FE6"/>
    <w:rsid w:val="63041F5D"/>
    <w:rsid w:val="632048BD"/>
    <w:rsid w:val="632F68AE"/>
    <w:rsid w:val="63343EC4"/>
    <w:rsid w:val="63500CFE"/>
    <w:rsid w:val="63520F1A"/>
    <w:rsid w:val="63626C83"/>
    <w:rsid w:val="63780255"/>
    <w:rsid w:val="637D1D0F"/>
    <w:rsid w:val="63806C74"/>
    <w:rsid w:val="6381740B"/>
    <w:rsid w:val="639D7CBB"/>
    <w:rsid w:val="63A22BFD"/>
    <w:rsid w:val="63A23524"/>
    <w:rsid w:val="63BF7C32"/>
    <w:rsid w:val="63C97D13"/>
    <w:rsid w:val="63FAA7E7"/>
    <w:rsid w:val="64343358"/>
    <w:rsid w:val="64356780"/>
    <w:rsid w:val="64436AB5"/>
    <w:rsid w:val="6454481E"/>
    <w:rsid w:val="64590086"/>
    <w:rsid w:val="64835103"/>
    <w:rsid w:val="64A04644"/>
    <w:rsid w:val="64AA2690"/>
    <w:rsid w:val="64AF7CA6"/>
    <w:rsid w:val="64E45EF7"/>
    <w:rsid w:val="65002CD7"/>
    <w:rsid w:val="65136487"/>
    <w:rsid w:val="65271F32"/>
    <w:rsid w:val="652D52EA"/>
    <w:rsid w:val="65312ABC"/>
    <w:rsid w:val="653308D7"/>
    <w:rsid w:val="65442AE4"/>
    <w:rsid w:val="654E65C9"/>
    <w:rsid w:val="657C227E"/>
    <w:rsid w:val="65815AE7"/>
    <w:rsid w:val="65905D2A"/>
    <w:rsid w:val="659770B8"/>
    <w:rsid w:val="659F41BF"/>
    <w:rsid w:val="65C94D98"/>
    <w:rsid w:val="65E409CD"/>
    <w:rsid w:val="65F22540"/>
    <w:rsid w:val="664A237C"/>
    <w:rsid w:val="66501015"/>
    <w:rsid w:val="665A00E6"/>
    <w:rsid w:val="667C4500"/>
    <w:rsid w:val="6691014E"/>
    <w:rsid w:val="6692162D"/>
    <w:rsid w:val="669951ED"/>
    <w:rsid w:val="66AC6B93"/>
    <w:rsid w:val="66B21CD0"/>
    <w:rsid w:val="66BB0B84"/>
    <w:rsid w:val="66C4441B"/>
    <w:rsid w:val="66C87CCE"/>
    <w:rsid w:val="66D659BE"/>
    <w:rsid w:val="66D65F5B"/>
    <w:rsid w:val="66D94053"/>
    <w:rsid w:val="673152EA"/>
    <w:rsid w:val="674E5099"/>
    <w:rsid w:val="677435B2"/>
    <w:rsid w:val="67746F85"/>
    <w:rsid w:val="677C469D"/>
    <w:rsid w:val="677D0530"/>
    <w:rsid w:val="678371C8"/>
    <w:rsid w:val="679A4C3E"/>
    <w:rsid w:val="67A32C53"/>
    <w:rsid w:val="67AE6BE5"/>
    <w:rsid w:val="67AF7FBD"/>
    <w:rsid w:val="67C65A33"/>
    <w:rsid w:val="67DD0864"/>
    <w:rsid w:val="67E1286C"/>
    <w:rsid w:val="67E6F649"/>
    <w:rsid w:val="67EE0AE5"/>
    <w:rsid w:val="67EE6D37"/>
    <w:rsid w:val="67EF75F1"/>
    <w:rsid w:val="67FBDC4D"/>
    <w:rsid w:val="67FD341E"/>
    <w:rsid w:val="67FEE0FE"/>
    <w:rsid w:val="684F4F11"/>
    <w:rsid w:val="68680898"/>
    <w:rsid w:val="686C0F2F"/>
    <w:rsid w:val="68890C1D"/>
    <w:rsid w:val="68B00491"/>
    <w:rsid w:val="68CF4DBB"/>
    <w:rsid w:val="68E00D76"/>
    <w:rsid w:val="68E503D7"/>
    <w:rsid w:val="69026F3E"/>
    <w:rsid w:val="69124F16"/>
    <w:rsid w:val="69126A56"/>
    <w:rsid w:val="69194288"/>
    <w:rsid w:val="691E364C"/>
    <w:rsid w:val="69216C99"/>
    <w:rsid w:val="69407A67"/>
    <w:rsid w:val="697274F4"/>
    <w:rsid w:val="69842CB6"/>
    <w:rsid w:val="69A2465A"/>
    <w:rsid w:val="69A753F0"/>
    <w:rsid w:val="69A91168"/>
    <w:rsid w:val="69BA0023"/>
    <w:rsid w:val="69CD5C14"/>
    <w:rsid w:val="69CE6E20"/>
    <w:rsid w:val="69CF0D33"/>
    <w:rsid w:val="6A114F5F"/>
    <w:rsid w:val="6A116D0D"/>
    <w:rsid w:val="6A2627B9"/>
    <w:rsid w:val="6A3D7B02"/>
    <w:rsid w:val="6A553058"/>
    <w:rsid w:val="6A6257BB"/>
    <w:rsid w:val="6A70612A"/>
    <w:rsid w:val="6A745C1A"/>
    <w:rsid w:val="6A8E65B0"/>
    <w:rsid w:val="6AC8086C"/>
    <w:rsid w:val="6AE54422"/>
    <w:rsid w:val="6AEF52A0"/>
    <w:rsid w:val="6B1B7E43"/>
    <w:rsid w:val="6B2313EE"/>
    <w:rsid w:val="6B252A70"/>
    <w:rsid w:val="6B2A0087"/>
    <w:rsid w:val="6B2E2873"/>
    <w:rsid w:val="6B5F2E05"/>
    <w:rsid w:val="6B607F4C"/>
    <w:rsid w:val="6B7B14D4"/>
    <w:rsid w:val="6B923E7E"/>
    <w:rsid w:val="6B9946B3"/>
    <w:rsid w:val="6BA35B0F"/>
    <w:rsid w:val="6BBDEE8D"/>
    <w:rsid w:val="6BCD6249"/>
    <w:rsid w:val="6BE0108D"/>
    <w:rsid w:val="6BE443C3"/>
    <w:rsid w:val="6BE518DA"/>
    <w:rsid w:val="6C006F1D"/>
    <w:rsid w:val="6C276F3A"/>
    <w:rsid w:val="6C327B3B"/>
    <w:rsid w:val="6C34412E"/>
    <w:rsid w:val="6C3C4515"/>
    <w:rsid w:val="6C577666"/>
    <w:rsid w:val="6C68355C"/>
    <w:rsid w:val="6C6B0957"/>
    <w:rsid w:val="6C7007C7"/>
    <w:rsid w:val="6C755C79"/>
    <w:rsid w:val="6C896FE9"/>
    <w:rsid w:val="6C8D4D71"/>
    <w:rsid w:val="6C9A7BBB"/>
    <w:rsid w:val="6CC22541"/>
    <w:rsid w:val="6CCBBA70"/>
    <w:rsid w:val="6CE16E6B"/>
    <w:rsid w:val="6CEB7CE9"/>
    <w:rsid w:val="6CFC5A53"/>
    <w:rsid w:val="6CFE5C6F"/>
    <w:rsid w:val="6D4A4A10"/>
    <w:rsid w:val="6D6E65AD"/>
    <w:rsid w:val="6DA34120"/>
    <w:rsid w:val="6DA87988"/>
    <w:rsid w:val="6DAA75C3"/>
    <w:rsid w:val="6DB30807"/>
    <w:rsid w:val="6DCA742A"/>
    <w:rsid w:val="6DE76850"/>
    <w:rsid w:val="6DFB304A"/>
    <w:rsid w:val="6DFB3F5C"/>
    <w:rsid w:val="6DFF8410"/>
    <w:rsid w:val="6E02353D"/>
    <w:rsid w:val="6E364F94"/>
    <w:rsid w:val="6E3F02ED"/>
    <w:rsid w:val="6E453429"/>
    <w:rsid w:val="6E5A5127"/>
    <w:rsid w:val="6E661D1D"/>
    <w:rsid w:val="6E7837FF"/>
    <w:rsid w:val="6E7DDC68"/>
    <w:rsid w:val="6E8757F0"/>
    <w:rsid w:val="6E8D72AA"/>
    <w:rsid w:val="6E9B324F"/>
    <w:rsid w:val="6EA7D3D9"/>
    <w:rsid w:val="6EB0095A"/>
    <w:rsid w:val="6EBD2B8A"/>
    <w:rsid w:val="6ECA7759"/>
    <w:rsid w:val="6ECEA2D5"/>
    <w:rsid w:val="6ED00F45"/>
    <w:rsid w:val="6ED722D3"/>
    <w:rsid w:val="6ED76777"/>
    <w:rsid w:val="6EDA1DC4"/>
    <w:rsid w:val="6EDD3662"/>
    <w:rsid w:val="6EE82732"/>
    <w:rsid w:val="6F062BB9"/>
    <w:rsid w:val="6F0B6421"/>
    <w:rsid w:val="6F172A61"/>
    <w:rsid w:val="6F307C36"/>
    <w:rsid w:val="6F3C65DA"/>
    <w:rsid w:val="6F49087B"/>
    <w:rsid w:val="6F614293"/>
    <w:rsid w:val="6F9E302F"/>
    <w:rsid w:val="6FB20BD4"/>
    <w:rsid w:val="6FBA59BE"/>
    <w:rsid w:val="6FBFA607"/>
    <w:rsid w:val="6FC767EC"/>
    <w:rsid w:val="6FC7781B"/>
    <w:rsid w:val="6FE63E60"/>
    <w:rsid w:val="6FEDD1C6"/>
    <w:rsid w:val="6FF75221"/>
    <w:rsid w:val="6FFF1D1D"/>
    <w:rsid w:val="6FFF3AE0"/>
    <w:rsid w:val="6FFFE1B9"/>
    <w:rsid w:val="7016507D"/>
    <w:rsid w:val="70205EFC"/>
    <w:rsid w:val="70253B64"/>
    <w:rsid w:val="70291255"/>
    <w:rsid w:val="70296B3E"/>
    <w:rsid w:val="704F058F"/>
    <w:rsid w:val="70611204"/>
    <w:rsid w:val="708A15C7"/>
    <w:rsid w:val="708D218D"/>
    <w:rsid w:val="709A5CAE"/>
    <w:rsid w:val="709C1A26"/>
    <w:rsid w:val="70AD70EB"/>
    <w:rsid w:val="70B54896"/>
    <w:rsid w:val="70BB79D3"/>
    <w:rsid w:val="70CA5694"/>
    <w:rsid w:val="70DD3DED"/>
    <w:rsid w:val="70ED703B"/>
    <w:rsid w:val="70F96E79"/>
    <w:rsid w:val="70FC4273"/>
    <w:rsid w:val="711B5FFE"/>
    <w:rsid w:val="7130216F"/>
    <w:rsid w:val="7137174F"/>
    <w:rsid w:val="713E2ADE"/>
    <w:rsid w:val="714D3777"/>
    <w:rsid w:val="715440AF"/>
    <w:rsid w:val="715B6882"/>
    <w:rsid w:val="7165620F"/>
    <w:rsid w:val="71662034"/>
    <w:rsid w:val="717039F8"/>
    <w:rsid w:val="717E2EDA"/>
    <w:rsid w:val="71844A7B"/>
    <w:rsid w:val="718524BB"/>
    <w:rsid w:val="71A30B93"/>
    <w:rsid w:val="71AC7090"/>
    <w:rsid w:val="71AFE9A0"/>
    <w:rsid w:val="71B417C3"/>
    <w:rsid w:val="71BB5EDC"/>
    <w:rsid w:val="71BE50D0"/>
    <w:rsid w:val="71CC1122"/>
    <w:rsid w:val="71CD3E62"/>
    <w:rsid w:val="71CD5C10"/>
    <w:rsid w:val="71D945B4"/>
    <w:rsid w:val="71E52457"/>
    <w:rsid w:val="71F784EA"/>
    <w:rsid w:val="71F821A3"/>
    <w:rsid w:val="7205184D"/>
    <w:rsid w:val="72220758"/>
    <w:rsid w:val="724E4FA2"/>
    <w:rsid w:val="726F6CC7"/>
    <w:rsid w:val="72920575"/>
    <w:rsid w:val="729C5939"/>
    <w:rsid w:val="72AF5690"/>
    <w:rsid w:val="72B312A9"/>
    <w:rsid w:val="72CC4119"/>
    <w:rsid w:val="72CE7E91"/>
    <w:rsid w:val="72DFFB67"/>
    <w:rsid w:val="72E17BC5"/>
    <w:rsid w:val="72FF004B"/>
    <w:rsid w:val="731178E3"/>
    <w:rsid w:val="73155AC0"/>
    <w:rsid w:val="731E2BC7"/>
    <w:rsid w:val="733A72D5"/>
    <w:rsid w:val="737541F2"/>
    <w:rsid w:val="73770529"/>
    <w:rsid w:val="7383162E"/>
    <w:rsid w:val="738F7621"/>
    <w:rsid w:val="73C44DF0"/>
    <w:rsid w:val="73C92407"/>
    <w:rsid w:val="73E64870"/>
    <w:rsid w:val="73FC0A2E"/>
    <w:rsid w:val="73FC1FD2"/>
    <w:rsid w:val="73FF6D13"/>
    <w:rsid w:val="740611E4"/>
    <w:rsid w:val="740C0C71"/>
    <w:rsid w:val="74312B05"/>
    <w:rsid w:val="744C72C0"/>
    <w:rsid w:val="744E5768"/>
    <w:rsid w:val="74595238"/>
    <w:rsid w:val="746B330F"/>
    <w:rsid w:val="74AE7F7A"/>
    <w:rsid w:val="74BA06CD"/>
    <w:rsid w:val="74C0380A"/>
    <w:rsid w:val="74C27582"/>
    <w:rsid w:val="74C4154C"/>
    <w:rsid w:val="74D13AD5"/>
    <w:rsid w:val="74EC45FF"/>
    <w:rsid w:val="74FA2C30"/>
    <w:rsid w:val="750758DC"/>
    <w:rsid w:val="75265D63"/>
    <w:rsid w:val="752E2E69"/>
    <w:rsid w:val="754D5C4B"/>
    <w:rsid w:val="755C3532"/>
    <w:rsid w:val="7583593C"/>
    <w:rsid w:val="759F5688"/>
    <w:rsid w:val="75AB44BA"/>
    <w:rsid w:val="75B3511C"/>
    <w:rsid w:val="75E66401"/>
    <w:rsid w:val="75FE0A8D"/>
    <w:rsid w:val="76071B0E"/>
    <w:rsid w:val="76116A13"/>
    <w:rsid w:val="76261D92"/>
    <w:rsid w:val="76495307"/>
    <w:rsid w:val="766905FD"/>
    <w:rsid w:val="76937428"/>
    <w:rsid w:val="76962A74"/>
    <w:rsid w:val="769B008A"/>
    <w:rsid w:val="76A318F5"/>
    <w:rsid w:val="76AB3688"/>
    <w:rsid w:val="76C240A7"/>
    <w:rsid w:val="76D637B8"/>
    <w:rsid w:val="76DA416A"/>
    <w:rsid w:val="76DF34E8"/>
    <w:rsid w:val="76FD4BBC"/>
    <w:rsid w:val="770519A8"/>
    <w:rsid w:val="77065E4C"/>
    <w:rsid w:val="77075720"/>
    <w:rsid w:val="77170059"/>
    <w:rsid w:val="771A36A5"/>
    <w:rsid w:val="772207AC"/>
    <w:rsid w:val="773D521D"/>
    <w:rsid w:val="775246B7"/>
    <w:rsid w:val="775B5A6C"/>
    <w:rsid w:val="776655D7"/>
    <w:rsid w:val="77A6318B"/>
    <w:rsid w:val="77A954CC"/>
    <w:rsid w:val="77B04009"/>
    <w:rsid w:val="77B92EBE"/>
    <w:rsid w:val="77BA6C36"/>
    <w:rsid w:val="77BE899B"/>
    <w:rsid w:val="77D16D5B"/>
    <w:rsid w:val="77D5C893"/>
    <w:rsid w:val="77DF237E"/>
    <w:rsid w:val="77EA751B"/>
    <w:rsid w:val="77F722D3"/>
    <w:rsid w:val="77F9775E"/>
    <w:rsid w:val="77FB502F"/>
    <w:rsid w:val="77FF0587"/>
    <w:rsid w:val="77FF477E"/>
    <w:rsid w:val="77FF8BDF"/>
    <w:rsid w:val="78174088"/>
    <w:rsid w:val="781E69D1"/>
    <w:rsid w:val="78201591"/>
    <w:rsid w:val="78454EDD"/>
    <w:rsid w:val="786B1CDE"/>
    <w:rsid w:val="789B25C4"/>
    <w:rsid w:val="78A05E2C"/>
    <w:rsid w:val="78AF2513"/>
    <w:rsid w:val="78CE223E"/>
    <w:rsid w:val="78EC1071"/>
    <w:rsid w:val="79002D6F"/>
    <w:rsid w:val="7901747F"/>
    <w:rsid w:val="791B1956"/>
    <w:rsid w:val="79224A93"/>
    <w:rsid w:val="7927426D"/>
    <w:rsid w:val="792C5912"/>
    <w:rsid w:val="792E3438"/>
    <w:rsid w:val="79314CD6"/>
    <w:rsid w:val="793741EC"/>
    <w:rsid w:val="79494B54"/>
    <w:rsid w:val="796B643A"/>
    <w:rsid w:val="798550CF"/>
    <w:rsid w:val="799A5E1C"/>
    <w:rsid w:val="79AFCCA7"/>
    <w:rsid w:val="79BA2F1D"/>
    <w:rsid w:val="79D02741"/>
    <w:rsid w:val="79E82189"/>
    <w:rsid w:val="7A010B4C"/>
    <w:rsid w:val="7A067586"/>
    <w:rsid w:val="7A173ECC"/>
    <w:rsid w:val="7A263B6B"/>
    <w:rsid w:val="7A552C46"/>
    <w:rsid w:val="7A570AB8"/>
    <w:rsid w:val="7A574C10"/>
    <w:rsid w:val="7A634FA4"/>
    <w:rsid w:val="7A6A4943"/>
    <w:rsid w:val="7A6C06BC"/>
    <w:rsid w:val="7A7430CC"/>
    <w:rsid w:val="7A7C01D3"/>
    <w:rsid w:val="7AB20098"/>
    <w:rsid w:val="7AC83418"/>
    <w:rsid w:val="7ACE33E5"/>
    <w:rsid w:val="7AD17F12"/>
    <w:rsid w:val="7AD24297"/>
    <w:rsid w:val="7AE5221C"/>
    <w:rsid w:val="7AED2397"/>
    <w:rsid w:val="7AF46346"/>
    <w:rsid w:val="7AFE508C"/>
    <w:rsid w:val="7B0F5EBF"/>
    <w:rsid w:val="7B130FB9"/>
    <w:rsid w:val="7B340AAD"/>
    <w:rsid w:val="7B5D2016"/>
    <w:rsid w:val="7B5D6256"/>
    <w:rsid w:val="7B7B492E"/>
    <w:rsid w:val="7B7FC376"/>
    <w:rsid w:val="7BC720F8"/>
    <w:rsid w:val="7BD007D6"/>
    <w:rsid w:val="7BD06A28"/>
    <w:rsid w:val="7BD209F2"/>
    <w:rsid w:val="7BD71E38"/>
    <w:rsid w:val="7BF32717"/>
    <w:rsid w:val="7BF64EDE"/>
    <w:rsid w:val="7BFC6BE4"/>
    <w:rsid w:val="7C0466D2"/>
    <w:rsid w:val="7C400C1E"/>
    <w:rsid w:val="7C526994"/>
    <w:rsid w:val="7C55517F"/>
    <w:rsid w:val="7C831CEC"/>
    <w:rsid w:val="7CCA3477"/>
    <w:rsid w:val="7CEF7382"/>
    <w:rsid w:val="7CF6D1FD"/>
    <w:rsid w:val="7CF90615"/>
    <w:rsid w:val="7CF9CDB9"/>
    <w:rsid w:val="7D1F28F5"/>
    <w:rsid w:val="7D256900"/>
    <w:rsid w:val="7D657644"/>
    <w:rsid w:val="7D7C3C2F"/>
    <w:rsid w:val="7D8C697F"/>
    <w:rsid w:val="7D9ADD24"/>
    <w:rsid w:val="7D9D293A"/>
    <w:rsid w:val="7DA261A2"/>
    <w:rsid w:val="7DAF388C"/>
    <w:rsid w:val="7DB3215D"/>
    <w:rsid w:val="7DD11708"/>
    <w:rsid w:val="7DD8715D"/>
    <w:rsid w:val="7DDF98B3"/>
    <w:rsid w:val="7DEB434B"/>
    <w:rsid w:val="7DEB57C9"/>
    <w:rsid w:val="7DEE4A4F"/>
    <w:rsid w:val="7DF7CACD"/>
    <w:rsid w:val="7DF9F5F8"/>
    <w:rsid w:val="7DFD0A6D"/>
    <w:rsid w:val="7DFFB501"/>
    <w:rsid w:val="7E0E1A8A"/>
    <w:rsid w:val="7E327526"/>
    <w:rsid w:val="7E3F0652"/>
    <w:rsid w:val="7E5FD4AB"/>
    <w:rsid w:val="7E6B47E6"/>
    <w:rsid w:val="7E786F03"/>
    <w:rsid w:val="7E7C4C45"/>
    <w:rsid w:val="7E9006F1"/>
    <w:rsid w:val="7E9725F9"/>
    <w:rsid w:val="7E9F0934"/>
    <w:rsid w:val="7EAB552B"/>
    <w:rsid w:val="7EAE6230"/>
    <w:rsid w:val="7EAEDAE6"/>
    <w:rsid w:val="7EB048EF"/>
    <w:rsid w:val="7EB73ECF"/>
    <w:rsid w:val="7EBD579E"/>
    <w:rsid w:val="7EC167BD"/>
    <w:rsid w:val="7ED93F01"/>
    <w:rsid w:val="7EDEBEB1"/>
    <w:rsid w:val="7EEF4B84"/>
    <w:rsid w:val="7EF35613"/>
    <w:rsid w:val="7EF70770"/>
    <w:rsid w:val="7EFC1191"/>
    <w:rsid w:val="7EFF96EC"/>
    <w:rsid w:val="7F17496E"/>
    <w:rsid w:val="7F1B26B0"/>
    <w:rsid w:val="7F272D9E"/>
    <w:rsid w:val="7F3B240A"/>
    <w:rsid w:val="7F473090"/>
    <w:rsid w:val="7F4E0869"/>
    <w:rsid w:val="7F574275"/>
    <w:rsid w:val="7F671451"/>
    <w:rsid w:val="7F6B4EC1"/>
    <w:rsid w:val="7F710522"/>
    <w:rsid w:val="7F737DF6"/>
    <w:rsid w:val="7F7D2B85"/>
    <w:rsid w:val="7F7EC489"/>
    <w:rsid w:val="7F7FC382"/>
    <w:rsid w:val="7F9782D9"/>
    <w:rsid w:val="7FAFA6F2"/>
    <w:rsid w:val="7FC56178"/>
    <w:rsid w:val="7FC71408"/>
    <w:rsid w:val="7FC71532"/>
    <w:rsid w:val="7FC71EF0"/>
    <w:rsid w:val="7FE64A6C"/>
    <w:rsid w:val="7FEA0CB7"/>
    <w:rsid w:val="7FF902E4"/>
    <w:rsid w:val="7FFA22C6"/>
    <w:rsid w:val="7FFB338C"/>
    <w:rsid w:val="7FFE0FC8"/>
    <w:rsid w:val="7FFF22F6"/>
    <w:rsid w:val="7FFF8F00"/>
    <w:rsid w:val="8B4FE6E8"/>
    <w:rsid w:val="8F539752"/>
    <w:rsid w:val="9CEB3ECF"/>
    <w:rsid w:val="9EB1242B"/>
    <w:rsid w:val="9EF6662F"/>
    <w:rsid w:val="9F4C59E4"/>
    <w:rsid w:val="9F528647"/>
    <w:rsid w:val="9FEF9B1D"/>
    <w:rsid w:val="A8B7E050"/>
    <w:rsid w:val="ADAB37E9"/>
    <w:rsid w:val="AEE685A7"/>
    <w:rsid w:val="BA7B23C6"/>
    <w:rsid w:val="BAF78318"/>
    <w:rsid w:val="BAFE33D7"/>
    <w:rsid w:val="BB1BEF83"/>
    <w:rsid w:val="BC3FC7AB"/>
    <w:rsid w:val="BCDE9CA3"/>
    <w:rsid w:val="BCFF81F4"/>
    <w:rsid w:val="BF57525A"/>
    <w:rsid w:val="BF978E27"/>
    <w:rsid w:val="C3D723F0"/>
    <w:rsid w:val="C41F833F"/>
    <w:rsid w:val="CE17A187"/>
    <w:rsid w:val="D1BF1699"/>
    <w:rsid w:val="D3FD575C"/>
    <w:rsid w:val="D7DC3B2C"/>
    <w:rsid w:val="D8EB65A2"/>
    <w:rsid w:val="DB59DB6D"/>
    <w:rsid w:val="DBFF9A7E"/>
    <w:rsid w:val="DBFFE960"/>
    <w:rsid w:val="DC7C8C81"/>
    <w:rsid w:val="DDFFEAFA"/>
    <w:rsid w:val="DE7A92B9"/>
    <w:rsid w:val="DEDDE0C4"/>
    <w:rsid w:val="DEDF831F"/>
    <w:rsid w:val="DF59511F"/>
    <w:rsid w:val="DFE92FA3"/>
    <w:rsid w:val="E3F7209C"/>
    <w:rsid w:val="E67FDEFD"/>
    <w:rsid w:val="E6CFF7DE"/>
    <w:rsid w:val="E7BFDC72"/>
    <w:rsid w:val="E7EF7CA2"/>
    <w:rsid w:val="E7FB7781"/>
    <w:rsid w:val="E7FE57C3"/>
    <w:rsid w:val="EA3D0449"/>
    <w:rsid w:val="EA7E5C2C"/>
    <w:rsid w:val="EAF8989D"/>
    <w:rsid w:val="EBDFFDD9"/>
    <w:rsid w:val="EBEFB16E"/>
    <w:rsid w:val="EBFF0B7A"/>
    <w:rsid w:val="EDD2AFFC"/>
    <w:rsid w:val="EDFB2873"/>
    <w:rsid w:val="EE7D61B2"/>
    <w:rsid w:val="EEBD096B"/>
    <w:rsid w:val="EEEB7D08"/>
    <w:rsid w:val="EEF6FE2B"/>
    <w:rsid w:val="EFDD103F"/>
    <w:rsid w:val="EFFCF1AD"/>
    <w:rsid w:val="EFFE652E"/>
    <w:rsid w:val="F0E9193F"/>
    <w:rsid w:val="F4AD0D53"/>
    <w:rsid w:val="F5FC8942"/>
    <w:rsid w:val="F623E307"/>
    <w:rsid w:val="F6634813"/>
    <w:rsid w:val="F6AD4A9A"/>
    <w:rsid w:val="F6DE1081"/>
    <w:rsid w:val="F72FE3EC"/>
    <w:rsid w:val="F7DF55A0"/>
    <w:rsid w:val="F7FBE465"/>
    <w:rsid w:val="F7FFE3D9"/>
    <w:rsid w:val="F9ABFCB9"/>
    <w:rsid w:val="FAFF57B6"/>
    <w:rsid w:val="FBACF8BE"/>
    <w:rsid w:val="FBAD644C"/>
    <w:rsid w:val="FBB70F36"/>
    <w:rsid w:val="FCB7D2C2"/>
    <w:rsid w:val="FCDD0247"/>
    <w:rsid w:val="FD69E651"/>
    <w:rsid w:val="FDB7F5AA"/>
    <w:rsid w:val="FDEB465E"/>
    <w:rsid w:val="FE3B1E53"/>
    <w:rsid w:val="FEDB963E"/>
    <w:rsid w:val="FEEF2FCE"/>
    <w:rsid w:val="FEFBA020"/>
    <w:rsid w:val="FEFFDB83"/>
    <w:rsid w:val="FF3A355A"/>
    <w:rsid w:val="FF5D3DCA"/>
    <w:rsid w:val="FF7791C8"/>
    <w:rsid w:val="FF7F8764"/>
    <w:rsid w:val="FFA20025"/>
    <w:rsid w:val="FFCEA3EF"/>
    <w:rsid w:val="FFEDA4EA"/>
    <w:rsid w:val="FFFBE99B"/>
    <w:rsid w:val="FFFC38E3"/>
    <w:rsid w:val="FFFD53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semiHidden="0"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iPriority="99"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0" w:name="Body Text First Indent"/>
    <w:lsdException w:uiPriority="99" w:name="Body Text First Indent 2"/>
    <w:lsdException w:uiPriority="99" w:name="Note Heading"/>
    <w:lsdException w:qFormat="1" w:uiPriority="0" w:name="Body Text 2"/>
    <w:lsdException w:qFormat="1" w:uiPriority="99" w:semiHidden="0"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51"/>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85"/>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86"/>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7"/>
    <w:link w:val="52"/>
    <w:qFormat/>
    <w:uiPriority w:val="9"/>
    <w:pPr>
      <w:keepNext/>
      <w:keepLines/>
      <w:spacing w:before="280" w:after="290" w:line="376" w:lineRule="auto"/>
      <w:outlineLvl w:val="4"/>
    </w:pPr>
    <w:rPr>
      <w:b/>
      <w:bCs/>
      <w:sz w:val="28"/>
      <w:szCs w:val="28"/>
    </w:rPr>
  </w:style>
  <w:style w:type="paragraph" w:styleId="8">
    <w:name w:val="heading 6"/>
    <w:basedOn w:val="1"/>
    <w:next w:val="1"/>
    <w:link w:val="93"/>
    <w:semiHidden/>
    <w:unhideWhenUsed/>
    <w:qFormat/>
    <w:uiPriority w:val="9"/>
    <w:pPr>
      <w:keepNext/>
      <w:keepLines/>
      <w:spacing w:before="240" w:after="64" w:line="316" w:lineRule="auto"/>
      <w:ind w:left="1151"/>
      <w:outlineLvl w:val="5"/>
    </w:pPr>
    <w:rPr>
      <w:rFonts w:ascii="Arial" w:hAnsi="Arial" w:eastAsia="黑体" w:cstheme="minorBidi"/>
      <w:b/>
      <w:sz w:val="24"/>
    </w:rPr>
  </w:style>
  <w:style w:type="paragraph" w:styleId="9">
    <w:name w:val="heading 7"/>
    <w:basedOn w:val="1"/>
    <w:next w:val="1"/>
    <w:link w:val="94"/>
    <w:semiHidden/>
    <w:unhideWhenUsed/>
    <w:qFormat/>
    <w:uiPriority w:val="9"/>
    <w:pPr>
      <w:keepNext/>
      <w:keepLines/>
      <w:spacing w:before="240" w:after="64" w:line="316" w:lineRule="auto"/>
      <w:ind w:left="1296"/>
      <w:outlineLvl w:val="6"/>
    </w:pPr>
    <w:rPr>
      <w:rFonts w:cstheme="minorBidi"/>
      <w:b/>
      <w:sz w:val="24"/>
    </w:rPr>
  </w:style>
  <w:style w:type="paragraph" w:styleId="10">
    <w:name w:val="heading 8"/>
    <w:basedOn w:val="1"/>
    <w:next w:val="1"/>
    <w:link w:val="53"/>
    <w:qFormat/>
    <w:uiPriority w:val="9"/>
    <w:pPr>
      <w:keepNext/>
      <w:keepLines/>
      <w:spacing w:before="240" w:after="64" w:line="320" w:lineRule="auto"/>
      <w:outlineLvl w:val="7"/>
    </w:pPr>
    <w:rPr>
      <w:rFonts w:ascii="等线 Light" w:hAnsi="等线 Light" w:eastAsia="等线 Light"/>
      <w:sz w:val="24"/>
    </w:rPr>
  </w:style>
  <w:style w:type="paragraph" w:styleId="11">
    <w:name w:val="heading 9"/>
    <w:basedOn w:val="1"/>
    <w:next w:val="1"/>
    <w:link w:val="95"/>
    <w:semiHidden/>
    <w:unhideWhenUsed/>
    <w:qFormat/>
    <w:uiPriority w:val="9"/>
    <w:pPr>
      <w:keepNext/>
      <w:keepLines/>
      <w:spacing w:before="240" w:after="64" w:line="316" w:lineRule="auto"/>
      <w:ind w:left="1583"/>
      <w:outlineLvl w:val="8"/>
    </w:pPr>
    <w:rPr>
      <w:rFonts w:ascii="Arial" w:hAnsi="Arial" w:eastAsia="黑体" w:cstheme="minorBidi"/>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index 8"/>
    <w:basedOn w:val="1"/>
    <w:next w:val="1"/>
    <w:qFormat/>
    <w:uiPriority w:val="0"/>
    <w:pPr>
      <w:ind w:left="2940"/>
    </w:pPr>
  </w:style>
  <w:style w:type="paragraph" w:styleId="13">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4">
    <w:name w:val="caption"/>
    <w:basedOn w:val="1"/>
    <w:next w:val="1"/>
    <w:semiHidden/>
    <w:unhideWhenUsed/>
    <w:qFormat/>
    <w:uiPriority w:val="35"/>
    <w:pPr>
      <w:spacing w:line="360" w:lineRule="auto"/>
      <w:jc w:val="center"/>
    </w:pPr>
    <w:rPr>
      <w:rFonts w:eastAsia="黑体" w:asciiTheme="majorHAnsi" w:hAnsiTheme="majorHAnsi" w:cstheme="majorBidi"/>
      <w:sz w:val="20"/>
      <w:szCs w:val="20"/>
    </w:rPr>
  </w:style>
  <w:style w:type="paragraph" w:styleId="15">
    <w:name w:val="annotation text"/>
    <w:basedOn w:val="1"/>
    <w:link w:val="54"/>
    <w:qFormat/>
    <w:uiPriority w:val="0"/>
    <w:pPr>
      <w:jc w:val="left"/>
    </w:pPr>
  </w:style>
  <w:style w:type="paragraph" w:styleId="16">
    <w:name w:val="Body Text 3"/>
    <w:basedOn w:val="1"/>
    <w:link w:val="55"/>
    <w:unhideWhenUsed/>
    <w:qFormat/>
    <w:uiPriority w:val="99"/>
    <w:pPr>
      <w:spacing w:after="120"/>
    </w:pPr>
    <w:rPr>
      <w:sz w:val="16"/>
      <w:szCs w:val="16"/>
    </w:rPr>
  </w:style>
  <w:style w:type="paragraph" w:styleId="17">
    <w:name w:val="Body Text"/>
    <w:basedOn w:val="1"/>
    <w:next w:val="18"/>
    <w:link w:val="56"/>
    <w:unhideWhenUsed/>
    <w:qFormat/>
    <w:uiPriority w:val="0"/>
    <w:pPr>
      <w:spacing w:after="120"/>
    </w:pPr>
  </w:style>
  <w:style w:type="paragraph" w:customStyle="1" w:styleId="18">
    <w:name w:val="Default"/>
    <w:unhideWhenUsed/>
    <w:qFormat/>
    <w:uiPriority w:val="99"/>
    <w:pPr>
      <w:widowControl w:val="0"/>
      <w:autoSpaceDE w:val="0"/>
      <w:autoSpaceDN w:val="0"/>
      <w:adjustRightInd w:val="0"/>
    </w:pPr>
    <w:rPr>
      <w:rFonts w:ascii="宋体" w:hAnsi="宋体" w:eastAsia="宋体" w:cs="Times New Roman"/>
      <w:color w:val="000000"/>
      <w:sz w:val="24"/>
      <w:lang w:val="en-US" w:eastAsia="zh-CN" w:bidi="ar-SA"/>
    </w:rPr>
  </w:style>
  <w:style w:type="paragraph" w:styleId="19">
    <w:name w:val="Body Text Indent"/>
    <w:basedOn w:val="1"/>
    <w:link w:val="57"/>
    <w:qFormat/>
    <w:uiPriority w:val="0"/>
    <w:pPr>
      <w:ind w:firstLine="830" w:firstLineChars="352"/>
    </w:pPr>
    <w:rPr>
      <w:rFonts w:ascii="仿宋_GB2312" w:eastAsia="仿宋_GB2312"/>
      <w:kern w:val="0"/>
      <w:sz w:val="32"/>
      <w:szCs w:val="20"/>
    </w:rPr>
  </w:style>
  <w:style w:type="paragraph" w:styleId="20">
    <w:name w:val="List 2"/>
    <w:basedOn w:val="1"/>
    <w:unhideWhenUsed/>
    <w:qFormat/>
    <w:uiPriority w:val="99"/>
    <w:pPr>
      <w:ind w:left="100" w:leftChars="200" w:hanging="200" w:hangingChars="200"/>
      <w:contextualSpacing/>
    </w:pPr>
  </w:style>
  <w:style w:type="paragraph" w:styleId="21">
    <w:name w:val="toc 3"/>
    <w:basedOn w:val="1"/>
    <w:next w:val="1"/>
    <w:semiHidden/>
    <w:unhideWhenUsed/>
    <w:qFormat/>
    <w:uiPriority w:val="39"/>
    <w:pPr>
      <w:spacing w:line="360" w:lineRule="auto"/>
      <w:ind w:left="400" w:leftChars="400" w:firstLine="560" w:firstLineChars="200"/>
    </w:pPr>
    <w:rPr>
      <w:rFonts w:eastAsia="黑体" w:cstheme="minorBidi"/>
      <w:sz w:val="28"/>
    </w:rPr>
  </w:style>
  <w:style w:type="paragraph" w:styleId="22">
    <w:name w:val="Plain Text"/>
    <w:basedOn w:val="1"/>
    <w:next w:val="1"/>
    <w:link w:val="58"/>
    <w:qFormat/>
    <w:uiPriority w:val="99"/>
    <w:rPr>
      <w:rFonts w:ascii="宋体" w:hAnsi="Courier New"/>
      <w:kern w:val="0"/>
      <w:sz w:val="20"/>
      <w:szCs w:val="21"/>
    </w:rPr>
  </w:style>
  <w:style w:type="paragraph" w:styleId="23">
    <w:name w:val="Date"/>
    <w:basedOn w:val="1"/>
    <w:next w:val="1"/>
    <w:link w:val="59"/>
    <w:unhideWhenUsed/>
    <w:qFormat/>
    <w:uiPriority w:val="99"/>
    <w:pPr>
      <w:ind w:left="100" w:leftChars="2500"/>
    </w:pPr>
  </w:style>
  <w:style w:type="paragraph" w:styleId="24">
    <w:name w:val="Balloon Text"/>
    <w:basedOn w:val="1"/>
    <w:link w:val="99"/>
    <w:semiHidden/>
    <w:qFormat/>
    <w:uiPriority w:val="99"/>
    <w:rPr>
      <w:sz w:val="18"/>
      <w:szCs w:val="18"/>
    </w:rPr>
  </w:style>
  <w:style w:type="paragraph" w:styleId="25">
    <w:name w:val="footer"/>
    <w:basedOn w:val="1"/>
    <w:next w:val="1"/>
    <w:link w:val="60"/>
    <w:unhideWhenUsed/>
    <w:qFormat/>
    <w:uiPriority w:val="99"/>
    <w:pPr>
      <w:tabs>
        <w:tab w:val="center" w:pos="4153"/>
        <w:tab w:val="right" w:pos="8306"/>
      </w:tabs>
      <w:snapToGrid w:val="0"/>
      <w:jc w:val="left"/>
    </w:pPr>
    <w:rPr>
      <w:kern w:val="0"/>
      <w:sz w:val="18"/>
      <w:szCs w:val="18"/>
    </w:rPr>
  </w:style>
  <w:style w:type="paragraph" w:styleId="26">
    <w:name w:val="header"/>
    <w:basedOn w:val="1"/>
    <w:link w:val="6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7">
    <w:name w:val="toc 1"/>
    <w:basedOn w:val="28"/>
    <w:next w:val="1"/>
    <w:unhideWhenUsed/>
    <w:qFormat/>
    <w:uiPriority w:val="39"/>
  </w:style>
  <w:style w:type="paragraph" w:styleId="28">
    <w:name w:val="index 1"/>
    <w:basedOn w:val="1"/>
    <w:next w:val="1"/>
    <w:qFormat/>
    <w:uiPriority w:val="0"/>
    <w:pPr>
      <w:spacing w:line="240" w:lineRule="exact"/>
      <w:ind w:firstLine="420" w:firstLineChars="200"/>
    </w:pPr>
    <w:rPr>
      <w:rFonts w:ascii="宋体" w:hAnsi="宋体"/>
      <w:bCs/>
    </w:rPr>
  </w:style>
  <w:style w:type="paragraph" w:styleId="29">
    <w:name w:val="Body Text Indent 3"/>
    <w:basedOn w:val="1"/>
    <w:qFormat/>
    <w:uiPriority w:val="0"/>
    <w:pPr>
      <w:spacing w:after="156" w:afterLines="50" w:line="300" w:lineRule="auto"/>
      <w:ind w:firstLine="600" w:firstLineChars="200"/>
    </w:pPr>
    <w:rPr>
      <w:rFonts w:ascii="宋体" w:hAnsi="宋体"/>
      <w:sz w:val="30"/>
      <w:szCs w:val="20"/>
    </w:rPr>
  </w:style>
  <w:style w:type="paragraph" w:styleId="30">
    <w:name w:val="toc 2"/>
    <w:basedOn w:val="1"/>
    <w:next w:val="1"/>
    <w:unhideWhenUsed/>
    <w:qFormat/>
    <w:uiPriority w:val="39"/>
    <w:pPr>
      <w:tabs>
        <w:tab w:val="right" w:leader="dot" w:pos="8296"/>
      </w:tabs>
      <w:ind w:left="420" w:leftChars="200"/>
    </w:pPr>
  </w:style>
  <w:style w:type="paragraph" w:styleId="31">
    <w:name w:val="Body Text 2"/>
    <w:basedOn w:val="1"/>
    <w:link w:val="98"/>
    <w:semiHidden/>
    <w:unhideWhenUsed/>
    <w:qFormat/>
    <w:uiPriority w:val="0"/>
    <w:pPr>
      <w:spacing w:after="120" w:line="480" w:lineRule="auto"/>
      <w:ind w:firstLine="560" w:firstLineChars="200"/>
    </w:pPr>
    <w:rPr>
      <w:rFonts w:cstheme="minorBidi"/>
      <w:sz w:val="28"/>
    </w:rPr>
  </w:style>
  <w:style w:type="paragraph" w:styleId="32">
    <w:name w:val="Normal (Web)"/>
    <w:basedOn w:val="1"/>
    <w:unhideWhenUsed/>
    <w:qFormat/>
    <w:uiPriority w:val="99"/>
    <w:rPr>
      <w:rFonts w:ascii="Calibri" w:hAnsi="Calibri"/>
      <w:kern w:val="0"/>
      <w:sz w:val="24"/>
    </w:rPr>
  </w:style>
  <w:style w:type="paragraph" w:styleId="33">
    <w:name w:val="Title"/>
    <w:basedOn w:val="1"/>
    <w:next w:val="1"/>
    <w:qFormat/>
    <w:uiPriority w:val="0"/>
    <w:pPr>
      <w:spacing w:before="240" w:beforeLines="0" w:beforeAutospacing="0" w:after="60" w:afterLines="0" w:afterAutospacing="0"/>
      <w:ind w:firstLine="0" w:firstLineChars="0"/>
      <w:jc w:val="center"/>
      <w:outlineLvl w:val="0"/>
    </w:pPr>
    <w:rPr>
      <w:rFonts w:ascii="Times New Roman" w:hAnsi="Times New Roman" w:eastAsia="方正小标宋简体"/>
      <w:sz w:val="44"/>
    </w:rPr>
  </w:style>
  <w:style w:type="paragraph" w:styleId="34">
    <w:name w:val="annotation subject"/>
    <w:basedOn w:val="15"/>
    <w:next w:val="15"/>
    <w:link w:val="62"/>
    <w:qFormat/>
    <w:uiPriority w:val="99"/>
    <w:rPr>
      <w:b/>
      <w:bCs/>
    </w:rPr>
  </w:style>
  <w:style w:type="paragraph" w:styleId="35">
    <w:name w:val="Body Text First Indent"/>
    <w:basedOn w:val="17"/>
    <w:link w:val="97"/>
    <w:semiHidden/>
    <w:unhideWhenUsed/>
    <w:qFormat/>
    <w:uiPriority w:val="0"/>
    <w:pPr>
      <w:spacing w:line="360" w:lineRule="auto"/>
      <w:ind w:firstLine="420" w:firstLineChars="100"/>
    </w:pPr>
    <w:rPr>
      <w:rFonts w:cstheme="minorBidi"/>
      <w:sz w:val="28"/>
    </w:rPr>
  </w:style>
  <w:style w:type="table" w:styleId="37">
    <w:name w:val="Table Grid"/>
    <w:basedOn w:val="36"/>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9">
    <w:name w:val="Strong"/>
    <w:basedOn w:val="38"/>
    <w:qFormat/>
    <w:uiPriority w:val="22"/>
    <w:rPr>
      <w:b/>
    </w:rPr>
  </w:style>
  <w:style w:type="character" w:styleId="40">
    <w:name w:val="endnote reference"/>
    <w:unhideWhenUsed/>
    <w:qFormat/>
    <w:uiPriority w:val="99"/>
    <w:rPr>
      <w:vertAlign w:val="superscript"/>
    </w:rPr>
  </w:style>
  <w:style w:type="character" w:styleId="41">
    <w:name w:val="page number"/>
    <w:basedOn w:val="38"/>
    <w:semiHidden/>
    <w:unhideWhenUsed/>
    <w:qFormat/>
    <w:uiPriority w:val="99"/>
    <w:rPr>
      <w:rFonts w:hint="default" w:ascii="Times New Roman" w:hAnsi="Times New Roman" w:eastAsia="宋体" w:cs="Times New Roman"/>
      <w:color w:val="auto"/>
      <w:sz w:val="21"/>
    </w:rPr>
  </w:style>
  <w:style w:type="character" w:styleId="42">
    <w:name w:val="FollowedHyperlink"/>
    <w:basedOn w:val="38"/>
    <w:semiHidden/>
    <w:unhideWhenUsed/>
    <w:qFormat/>
    <w:uiPriority w:val="99"/>
    <w:rPr>
      <w:color w:val="800080" w:themeColor="followedHyperlink"/>
      <w:u w:val="single"/>
      <w14:textFill>
        <w14:solidFill>
          <w14:schemeClr w14:val="folHlink"/>
        </w14:solidFill>
      </w14:textFill>
    </w:rPr>
  </w:style>
  <w:style w:type="character" w:styleId="43">
    <w:name w:val="Hyperlink"/>
    <w:unhideWhenUsed/>
    <w:qFormat/>
    <w:uiPriority w:val="99"/>
    <w:rPr>
      <w:color w:val="0000FF"/>
      <w:u w:val="single"/>
    </w:rPr>
  </w:style>
  <w:style w:type="character" w:styleId="44">
    <w:name w:val="annotation reference"/>
    <w:qFormat/>
    <w:uiPriority w:val="0"/>
    <w:rPr>
      <w:sz w:val="21"/>
      <w:szCs w:val="21"/>
    </w:rPr>
  </w:style>
  <w:style w:type="paragraph" w:customStyle="1" w:styleId="45">
    <w:name w:val="表格文字"/>
    <w:basedOn w:val="1"/>
    <w:qFormat/>
    <w:uiPriority w:val="99"/>
    <w:pPr>
      <w:spacing w:before="25" w:after="25"/>
      <w:jc w:val="left"/>
    </w:pPr>
    <w:rPr>
      <w:bCs/>
      <w:spacing w:val="10"/>
      <w:kern w:val="0"/>
      <w:sz w:val="24"/>
    </w:rPr>
  </w:style>
  <w:style w:type="paragraph" w:customStyle="1" w:styleId="46">
    <w:name w:val="样式 标题 2 + 宋体"/>
    <w:basedOn w:val="3"/>
    <w:qFormat/>
    <w:uiPriority w:val="99"/>
    <w:rPr>
      <w:rFonts w:ascii="宋体" w:hAnsi="宋体"/>
      <w:sz w:val="30"/>
    </w:rPr>
  </w:style>
  <w:style w:type="paragraph" w:customStyle="1" w:styleId="47">
    <w:name w:val="Heading2"/>
    <w:basedOn w:val="1"/>
    <w:next w:val="1"/>
    <w:qFormat/>
    <w:uiPriority w:val="0"/>
    <w:pPr>
      <w:keepNext/>
      <w:keepLines/>
      <w:spacing w:before="260" w:after="260" w:line="416" w:lineRule="auto"/>
    </w:pPr>
    <w:rPr>
      <w:rFonts w:eastAsia="黑体"/>
      <w:b/>
      <w:bCs/>
      <w:sz w:val="32"/>
      <w:szCs w:val="32"/>
    </w:rPr>
  </w:style>
  <w:style w:type="paragraph" w:customStyle="1" w:styleId="48">
    <w:name w:val="段"/>
    <w:next w:val="1"/>
    <w:qFormat/>
    <w:uiPriority w:val="99"/>
    <w:pPr>
      <w:autoSpaceDE w:val="0"/>
      <w:autoSpaceDN w:val="0"/>
      <w:adjustRightInd w:val="0"/>
      <w:snapToGrid w:val="0"/>
      <w:spacing w:line="360" w:lineRule="auto"/>
      <w:ind w:firstLine="200" w:firstLineChars="200"/>
      <w:jc w:val="both"/>
    </w:pPr>
    <w:rPr>
      <w:rFonts w:ascii="宋体" w:hAnsiTheme="minorHAnsi" w:eastAsiaTheme="minorEastAsia" w:cstheme="minorBidi"/>
      <w:sz w:val="24"/>
      <w:szCs w:val="22"/>
      <w:lang w:val="en-US" w:eastAsia="zh-CN" w:bidi="ar-SA"/>
    </w:rPr>
  </w:style>
  <w:style w:type="character" w:customStyle="1" w:styleId="49">
    <w:name w:val="标题 2 Char"/>
    <w:qFormat/>
    <w:uiPriority w:val="9"/>
    <w:rPr>
      <w:rFonts w:ascii="Cambria" w:hAnsi="Cambria" w:eastAsia="宋体" w:cs="Times New Roman"/>
      <w:b/>
      <w:bCs/>
      <w:kern w:val="2"/>
      <w:sz w:val="32"/>
      <w:szCs w:val="32"/>
    </w:rPr>
  </w:style>
  <w:style w:type="character" w:customStyle="1" w:styleId="50">
    <w:name w:val="标题 1 字符"/>
    <w:link w:val="2"/>
    <w:qFormat/>
    <w:uiPriority w:val="9"/>
    <w:rPr>
      <w:b/>
      <w:bCs/>
      <w:kern w:val="44"/>
      <w:sz w:val="44"/>
      <w:szCs w:val="44"/>
    </w:rPr>
  </w:style>
  <w:style w:type="character" w:customStyle="1" w:styleId="51">
    <w:name w:val="标题 2 字符"/>
    <w:link w:val="3"/>
    <w:qFormat/>
    <w:uiPriority w:val="9"/>
    <w:rPr>
      <w:rFonts w:ascii="Cambria" w:hAnsi="Cambria" w:eastAsia="宋体" w:cs="Times New Roman"/>
      <w:b/>
      <w:bCs/>
      <w:kern w:val="2"/>
      <w:sz w:val="32"/>
      <w:szCs w:val="32"/>
    </w:rPr>
  </w:style>
  <w:style w:type="character" w:customStyle="1" w:styleId="52">
    <w:name w:val="标题 5 字符"/>
    <w:link w:val="6"/>
    <w:semiHidden/>
    <w:qFormat/>
    <w:uiPriority w:val="9"/>
    <w:rPr>
      <w:rFonts w:ascii="Times New Roman" w:hAnsi="Times New Roman"/>
      <w:b/>
      <w:bCs/>
      <w:kern w:val="2"/>
      <w:sz w:val="28"/>
      <w:szCs w:val="28"/>
    </w:rPr>
  </w:style>
  <w:style w:type="character" w:customStyle="1" w:styleId="53">
    <w:name w:val="标题 8 字符"/>
    <w:link w:val="10"/>
    <w:semiHidden/>
    <w:qFormat/>
    <w:uiPriority w:val="9"/>
    <w:rPr>
      <w:rFonts w:ascii="等线 Light" w:hAnsi="等线 Light" w:eastAsia="等线 Light" w:cs="Times New Roman"/>
      <w:kern w:val="2"/>
      <w:sz w:val="24"/>
      <w:szCs w:val="24"/>
    </w:rPr>
  </w:style>
  <w:style w:type="character" w:customStyle="1" w:styleId="54">
    <w:name w:val="批注文字 字符2"/>
    <w:link w:val="15"/>
    <w:qFormat/>
    <w:uiPriority w:val="0"/>
    <w:rPr>
      <w:rFonts w:ascii="Times New Roman" w:hAnsi="Times New Roman"/>
      <w:kern w:val="2"/>
      <w:sz w:val="21"/>
      <w:szCs w:val="24"/>
    </w:rPr>
  </w:style>
  <w:style w:type="character" w:customStyle="1" w:styleId="55">
    <w:name w:val="正文文本 3 字符"/>
    <w:link w:val="16"/>
    <w:semiHidden/>
    <w:qFormat/>
    <w:uiPriority w:val="99"/>
    <w:rPr>
      <w:kern w:val="2"/>
      <w:sz w:val="16"/>
      <w:szCs w:val="16"/>
    </w:rPr>
  </w:style>
  <w:style w:type="character" w:customStyle="1" w:styleId="56">
    <w:name w:val="正文文本 字符1"/>
    <w:link w:val="17"/>
    <w:qFormat/>
    <w:uiPriority w:val="0"/>
    <w:rPr>
      <w:rFonts w:ascii="Times New Roman" w:hAnsi="Times New Roman"/>
      <w:kern w:val="2"/>
      <w:sz w:val="21"/>
      <w:szCs w:val="24"/>
    </w:rPr>
  </w:style>
  <w:style w:type="character" w:customStyle="1" w:styleId="57">
    <w:name w:val="正文文本缩进 字符"/>
    <w:link w:val="19"/>
    <w:qFormat/>
    <w:uiPriority w:val="0"/>
    <w:rPr>
      <w:rFonts w:ascii="仿宋_GB2312" w:hAnsi="Times New Roman" w:eastAsia="仿宋_GB2312" w:cs="Times New Roman"/>
      <w:sz w:val="32"/>
      <w:szCs w:val="20"/>
    </w:rPr>
  </w:style>
  <w:style w:type="character" w:customStyle="1" w:styleId="58">
    <w:name w:val="纯文本 字符3"/>
    <w:link w:val="22"/>
    <w:qFormat/>
    <w:uiPriority w:val="0"/>
    <w:rPr>
      <w:rFonts w:ascii="宋体" w:hAnsi="Courier New" w:eastAsia="宋体" w:cs="Courier New"/>
      <w:szCs w:val="21"/>
    </w:rPr>
  </w:style>
  <w:style w:type="character" w:customStyle="1" w:styleId="59">
    <w:name w:val="日期 字符"/>
    <w:link w:val="23"/>
    <w:semiHidden/>
    <w:qFormat/>
    <w:uiPriority w:val="99"/>
    <w:rPr>
      <w:rFonts w:ascii="Times New Roman" w:hAnsi="Times New Roman"/>
      <w:kern w:val="2"/>
      <w:sz w:val="21"/>
      <w:szCs w:val="24"/>
    </w:rPr>
  </w:style>
  <w:style w:type="character" w:customStyle="1" w:styleId="60">
    <w:name w:val="页脚 字符"/>
    <w:link w:val="25"/>
    <w:qFormat/>
    <w:uiPriority w:val="99"/>
    <w:rPr>
      <w:sz w:val="18"/>
      <w:szCs w:val="18"/>
    </w:rPr>
  </w:style>
  <w:style w:type="character" w:customStyle="1" w:styleId="61">
    <w:name w:val="页眉 字符"/>
    <w:link w:val="26"/>
    <w:qFormat/>
    <w:uiPriority w:val="99"/>
    <w:rPr>
      <w:sz w:val="18"/>
      <w:szCs w:val="18"/>
    </w:rPr>
  </w:style>
  <w:style w:type="character" w:customStyle="1" w:styleId="62">
    <w:name w:val="批注主题 字符"/>
    <w:link w:val="34"/>
    <w:qFormat/>
    <w:uiPriority w:val="99"/>
    <w:rPr>
      <w:rFonts w:ascii="Times New Roman" w:hAnsi="Times New Roman"/>
      <w:b/>
      <w:bCs/>
      <w:kern w:val="2"/>
      <w:sz w:val="21"/>
      <w:szCs w:val="24"/>
    </w:rPr>
  </w:style>
  <w:style w:type="character" w:customStyle="1" w:styleId="63">
    <w:name w:val="纯文本 字符2"/>
    <w:qFormat/>
    <w:uiPriority w:val="0"/>
    <w:rPr>
      <w:rFonts w:ascii="宋体" w:hAnsi="Courier New" w:eastAsia="宋体" w:cs="Courier New"/>
      <w:szCs w:val="21"/>
    </w:rPr>
  </w:style>
  <w:style w:type="character" w:customStyle="1" w:styleId="64">
    <w:name w:val="标题 1 字符1"/>
    <w:qFormat/>
    <w:uiPriority w:val="0"/>
    <w:rPr>
      <w:b/>
      <w:bCs/>
      <w:kern w:val="44"/>
      <w:sz w:val="44"/>
      <w:szCs w:val="44"/>
    </w:rPr>
  </w:style>
  <w:style w:type="character" w:customStyle="1" w:styleId="65">
    <w:name w:val="正文2 Char Char"/>
    <w:link w:val="66"/>
    <w:qFormat/>
    <w:uiPriority w:val="0"/>
    <w:rPr>
      <w:kern w:val="2"/>
      <w:sz w:val="24"/>
    </w:rPr>
  </w:style>
  <w:style w:type="paragraph" w:customStyle="1" w:styleId="66">
    <w:name w:val="正文2"/>
    <w:basedOn w:val="1"/>
    <w:link w:val="65"/>
    <w:qFormat/>
    <w:uiPriority w:val="0"/>
    <w:pPr>
      <w:adjustRightInd w:val="0"/>
      <w:spacing w:before="156" w:line="360" w:lineRule="auto"/>
      <w:ind w:firstLine="510" w:firstLineChars="200"/>
    </w:pPr>
    <w:rPr>
      <w:sz w:val="24"/>
      <w:szCs w:val="20"/>
    </w:rPr>
  </w:style>
  <w:style w:type="character" w:customStyle="1" w:styleId="67">
    <w:name w:val="纯文本 字符1"/>
    <w:qFormat/>
    <w:uiPriority w:val="99"/>
    <w:rPr>
      <w:rFonts w:ascii="宋体" w:hAnsi="Courier New"/>
    </w:rPr>
  </w:style>
  <w:style w:type="character" w:customStyle="1" w:styleId="68">
    <w:name w:val="批注文字 Char2"/>
    <w:qFormat/>
    <w:uiPriority w:val="0"/>
    <w:rPr>
      <w:rFonts w:ascii="Times New Roman" w:hAnsi="Times New Roman"/>
      <w:kern w:val="2"/>
      <w:sz w:val="21"/>
      <w:szCs w:val="24"/>
    </w:rPr>
  </w:style>
  <w:style w:type="character" w:customStyle="1" w:styleId="69">
    <w:name w:val="纯文本 字符"/>
    <w:qFormat/>
    <w:uiPriority w:val="99"/>
    <w:rPr>
      <w:rFonts w:ascii="宋体" w:hAnsi="Courier New" w:eastAsia="宋体" w:cs="Courier New"/>
      <w:szCs w:val="21"/>
    </w:rPr>
  </w:style>
  <w:style w:type="character" w:customStyle="1" w:styleId="70">
    <w:name w:val="textcontents"/>
    <w:qFormat/>
    <w:uiPriority w:val="0"/>
  </w:style>
  <w:style w:type="character" w:customStyle="1" w:styleId="71">
    <w:name w:val="apple-style-span"/>
    <w:qFormat/>
    <w:uiPriority w:val="0"/>
  </w:style>
  <w:style w:type="character" w:customStyle="1" w:styleId="72">
    <w:name w:val="批注文字 Char"/>
    <w:qFormat/>
    <w:uiPriority w:val="0"/>
    <w:rPr>
      <w:rFonts w:ascii="Times New Roman" w:hAnsi="Times New Roman"/>
      <w:kern w:val="2"/>
      <w:sz w:val="21"/>
      <w:szCs w:val="24"/>
    </w:rPr>
  </w:style>
  <w:style w:type="character" w:customStyle="1" w:styleId="73">
    <w:name w:val="正文文本 字符"/>
    <w:qFormat/>
    <w:uiPriority w:val="0"/>
    <w:rPr>
      <w:rFonts w:ascii="Times New Roman" w:hAnsi="Times New Roman"/>
      <w:kern w:val="2"/>
      <w:sz w:val="21"/>
      <w:szCs w:val="24"/>
    </w:rPr>
  </w:style>
  <w:style w:type="character" w:customStyle="1" w:styleId="74">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75">
    <w:name w:val="纯文本 Char"/>
    <w:qFormat/>
    <w:uiPriority w:val="0"/>
    <w:rPr>
      <w:rFonts w:ascii="宋体" w:hAnsi="Courier New" w:eastAsia="宋体" w:cs="Courier New"/>
      <w:szCs w:val="21"/>
    </w:rPr>
  </w:style>
  <w:style w:type="character" w:customStyle="1" w:styleId="76">
    <w:name w:val="标题 8 Char"/>
    <w:qFormat/>
    <w:uiPriority w:val="0"/>
    <w:rPr>
      <w:rFonts w:ascii="Arial" w:hAnsi="Arial" w:eastAsia="黑体"/>
      <w:kern w:val="2"/>
      <w:sz w:val="24"/>
      <w:szCs w:val="24"/>
    </w:rPr>
  </w:style>
  <w:style w:type="character" w:customStyle="1" w:styleId="77">
    <w:name w:val="批注文字 字符"/>
    <w:qFormat/>
    <w:uiPriority w:val="99"/>
    <w:rPr>
      <w:rFonts w:ascii="Times New Roman" w:hAnsi="Times New Roman"/>
      <w:kern w:val="2"/>
      <w:sz w:val="21"/>
      <w:szCs w:val="24"/>
    </w:rPr>
  </w:style>
  <w:style w:type="character" w:customStyle="1" w:styleId="78">
    <w:name w:val="批注文字 字符1"/>
    <w:qFormat/>
    <w:uiPriority w:val="0"/>
    <w:rPr>
      <w:rFonts w:ascii="Times New Roman" w:hAnsi="Times New Roman"/>
      <w:kern w:val="2"/>
      <w:sz w:val="21"/>
      <w:szCs w:val="24"/>
    </w:rPr>
  </w:style>
  <w:style w:type="character" w:customStyle="1" w:styleId="79">
    <w:name w:val="正文文本 Char"/>
    <w:qFormat/>
    <w:uiPriority w:val="0"/>
    <w:rPr>
      <w:rFonts w:ascii="Times New Roman" w:hAnsi="Times New Roman"/>
      <w:kern w:val="2"/>
      <w:sz w:val="21"/>
      <w:szCs w:val="24"/>
    </w:rPr>
  </w:style>
  <w:style w:type="paragraph" w:customStyle="1" w:styleId="80">
    <w:name w:val="默认段落字体 Para Char Char Char Char Char Char Char Char Char1 Char Char Char Char"/>
    <w:basedOn w:val="1"/>
    <w:qFormat/>
    <w:uiPriority w:val="0"/>
    <w:rPr>
      <w:rFonts w:ascii="Tahoma" w:hAnsi="Tahoma"/>
      <w:sz w:val="24"/>
      <w:szCs w:val="20"/>
    </w:rPr>
  </w:style>
  <w:style w:type="paragraph" w:customStyle="1" w:styleId="81">
    <w:name w:val="Table Paragraph"/>
    <w:basedOn w:val="1"/>
    <w:qFormat/>
    <w:uiPriority w:val="1"/>
    <w:pPr>
      <w:jc w:val="left"/>
    </w:pPr>
    <w:rPr>
      <w:rFonts w:ascii="Calibri" w:hAnsi="Calibri"/>
      <w:kern w:val="0"/>
      <w:sz w:val="22"/>
      <w:szCs w:val="22"/>
      <w:lang w:eastAsia="en-US"/>
    </w:rPr>
  </w:style>
  <w:style w:type="paragraph" w:customStyle="1" w:styleId="82">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83">
    <w:name w:val="列出段落1"/>
    <w:basedOn w:val="1"/>
    <w:qFormat/>
    <w:uiPriority w:val="34"/>
    <w:pPr>
      <w:ind w:firstLine="420" w:firstLineChars="200"/>
    </w:pPr>
  </w:style>
  <w:style w:type="paragraph" w:customStyle="1" w:styleId="84">
    <w:name w:val="列出段落2"/>
    <w:basedOn w:val="1"/>
    <w:qFormat/>
    <w:uiPriority w:val="34"/>
    <w:pPr>
      <w:ind w:firstLine="420" w:firstLineChars="200"/>
    </w:pPr>
    <w:rPr>
      <w:rFonts w:ascii="Calibri" w:hAnsi="Calibri"/>
    </w:rPr>
  </w:style>
  <w:style w:type="character" w:customStyle="1" w:styleId="85">
    <w:name w:val="标题 3 字符"/>
    <w:basedOn w:val="38"/>
    <w:link w:val="4"/>
    <w:semiHidden/>
    <w:qFormat/>
    <w:uiPriority w:val="9"/>
    <w:rPr>
      <w:b/>
      <w:bCs/>
      <w:kern w:val="2"/>
      <w:sz w:val="32"/>
      <w:szCs w:val="32"/>
    </w:rPr>
  </w:style>
  <w:style w:type="character" w:customStyle="1" w:styleId="86">
    <w:name w:val="标题 4 字符"/>
    <w:basedOn w:val="38"/>
    <w:link w:val="5"/>
    <w:semiHidden/>
    <w:qFormat/>
    <w:uiPriority w:val="9"/>
    <w:rPr>
      <w:rFonts w:asciiTheme="majorHAnsi" w:hAnsiTheme="majorHAnsi" w:eastAsiaTheme="majorEastAsia" w:cstheme="majorBidi"/>
      <w:b/>
      <w:bCs/>
      <w:kern w:val="2"/>
      <w:sz w:val="28"/>
      <w:szCs w:val="28"/>
    </w:rPr>
  </w:style>
  <w:style w:type="character" w:customStyle="1" w:styleId="87">
    <w:name w:val="*正文 Char Char"/>
    <w:link w:val="88"/>
    <w:qFormat/>
    <w:locked/>
    <w:uiPriority w:val="0"/>
    <w:rPr>
      <w:rFonts w:ascii="宋体" w:hAnsi="宋体" w:eastAsia="仿宋_GB2312"/>
      <w:sz w:val="28"/>
      <w:szCs w:val="24"/>
    </w:rPr>
  </w:style>
  <w:style w:type="paragraph" w:customStyle="1" w:styleId="88">
    <w:name w:val="*正文"/>
    <w:basedOn w:val="1"/>
    <w:link w:val="87"/>
    <w:qFormat/>
    <w:uiPriority w:val="0"/>
    <w:pPr>
      <w:widowControl/>
      <w:spacing w:line="360" w:lineRule="auto"/>
      <w:ind w:firstLine="200" w:firstLineChars="200"/>
      <w:jc w:val="left"/>
    </w:pPr>
    <w:rPr>
      <w:rFonts w:ascii="宋体" w:hAnsi="宋体" w:eastAsia="仿宋_GB2312"/>
      <w:kern w:val="0"/>
      <w:sz w:val="28"/>
    </w:rPr>
  </w:style>
  <w:style w:type="character" w:customStyle="1" w:styleId="89">
    <w:name w:val="正正正文 Char"/>
    <w:link w:val="90"/>
    <w:qFormat/>
    <w:locked/>
    <w:uiPriority w:val="0"/>
    <w:rPr>
      <w:rFonts w:ascii="仿宋" w:hAnsi="仿宋" w:eastAsia="仿宋"/>
      <w:sz w:val="28"/>
      <w:szCs w:val="28"/>
    </w:rPr>
  </w:style>
  <w:style w:type="paragraph" w:customStyle="1" w:styleId="90">
    <w:name w:val="正正正文"/>
    <w:basedOn w:val="1"/>
    <w:link w:val="89"/>
    <w:qFormat/>
    <w:uiPriority w:val="0"/>
    <w:pPr>
      <w:spacing w:line="560" w:lineRule="exact"/>
      <w:ind w:firstLine="200" w:firstLineChars="200"/>
    </w:pPr>
    <w:rPr>
      <w:rFonts w:ascii="仿宋" w:hAnsi="仿宋" w:eastAsia="仿宋"/>
      <w:kern w:val="0"/>
      <w:sz w:val="28"/>
      <w:szCs w:val="28"/>
    </w:rPr>
  </w:style>
  <w:style w:type="character" w:customStyle="1" w:styleId="91">
    <w:name w:val="列表段落 字符2"/>
    <w:link w:val="92"/>
    <w:qFormat/>
    <w:locked/>
    <w:uiPriority w:val="0"/>
    <w:rPr>
      <w:rFonts w:ascii="Calibri" w:hAnsi="Calibri" w:cs="Calibri"/>
      <w:kern w:val="2"/>
      <w:sz w:val="21"/>
      <w:szCs w:val="22"/>
    </w:rPr>
  </w:style>
  <w:style w:type="paragraph" w:customStyle="1" w:styleId="92">
    <w:name w:val="列表段落1"/>
    <w:basedOn w:val="1"/>
    <w:link w:val="91"/>
    <w:qFormat/>
    <w:uiPriority w:val="34"/>
    <w:pPr>
      <w:widowControl/>
      <w:ind w:firstLine="420" w:firstLineChars="200"/>
      <w:jc w:val="left"/>
    </w:pPr>
    <w:rPr>
      <w:rFonts w:ascii="Calibri" w:hAnsi="Calibri" w:cs="Calibri"/>
      <w:szCs w:val="22"/>
    </w:rPr>
  </w:style>
  <w:style w:type="character" w:customStyle="1" w:styleId="93">
    <w:name w:val="标题 6 字符"/>
    <w:basedOn w:val="38"/>
    <w:link w:val="8"/>
    <w:semiHidden/>
    <w:qFormat/>
    <w:uiPriority w:val="9"/>
    <w:rPr>
      <w:rFonts w:ascii="Arial" w:hAnsi="Arial" w:eastAsia="黑体" w:cstheme="minorBidi"/>
      <w:b/>
      <w:kern w:val="2"/>
      <w:sz w:val="24"/>
      <w:szCs w:val="24"/>
    </w:rPr>
  </w:style>
  <w:style w:type="character" w:customStyle="1" w:styleId="94">
    <w:name w:val="标题 7 字符"/>
    <w:basedOn w:val="38"/>
    <w:link w:val="9"/>
    <w:semiHidden/>
    <w:qFormat/>
    <w:uiPriority w:val="9"/>
    <w:rPr>
      <w:rFonts w:cstheme="minorBidi"/>
      <w:b/>
      <w:kern w:val="2"/>
      <w:sz w:val="24"/>
      <w:szCs w:val="24"/>
    </w:rPr>
  </w:style>
  <w:style w:type="character" w:customStyle="1" w:styleId="95">
    <w:name w:val="标题 9 字符"/>
    <w:basedOn w:val="38"/>
    <w:link w:val="11"/>
    <w:semiHidden/>
    <w:qFormat/>
    <w:uiPriority w:val="9"/>
    <w:rPr>
      <w:rFonts w:ascii="Arial" w:hAnsi="Arial" w:eastAsia="黑体" w:cstheme="minorBidi"/>
      <w:kern w:val="2"/>
      <w:sz w:val="21"/>
      <w:szCs w:val="24"/>
    </w:rPr>
  </w:style>
  <w:style w:type="paragraph" w:customStyle="1" w:styleId="96">
    <w:name w:val="msonormal"/>
    <w:basedOn w:val="1"/>
    <w:qFormat/>
    <w:uiPriority w:val="0"/>
    <w:pPr>
      <w:widowControl/>
      <w:spacing w:before="100" w:beforeAutospacing="1" w:after="100" w:afterAutospacing="1"/>
      <w:jc w:val="left"/>
    </w:pPr>
    <w:rPr>
      <w:rFonts w:ascii="宋体" w:hAnsi="宋体" w:cs="宋体"/>
      <w:kern w:val="0"/>
      <w:sz w:val="24"/>
    </w:rPr>
  </w:style>
  <w:style w:type="character" w:customStyle="1" w:styleId="97">
    <w:name w:val="正文文本首行缩进 字符"/>
    <w:basedOn w:val="56"/>
    <w:link w:val="35"/>
    <w:semiHidden/>
    <w:qFormat/>
    <w:uiPriority w:val="0"/>
    <w:rPr>
      <w:rFonts w:ascii="Times New Roman" w:hAnsi="Times New Roman" w:cstheme="minorBidi"/>
      <w:kern w:val="2"/>
      <w:sz w:val="28"/>
      <w:szCs w:val="24"/>
    </w:rPr>
  </w:style>
  <w:style w:type="character" w:customStyle="1" w:styleId="98">
    <w:name w:val="正文文本 2 字符"/>
    <w:basedOn w:val="38"/>
    <w:link w:val="31"/>
    <w:semiHidden/>
    <w:qFormat/>
    <w:uiPriority w:val="0"/>
    <w:rPr>
      <w:rFonts w:cstheme="minorBidi"/>
      <w:kern w:val="2"/>
      <w:sz w:val="28"/>
      <w:szCs w:val="24"/>
    </w:rPr>
  </w:style>
  <w:style w:type="character" w:customStyle="1" w:styleId="99">
    <w:name w:val="批注框文本 字符"/>
    <w:basedOn w:val="38"/>
    <w:link w:val="24"/>
    <w:semiHidden/>
    <w:qFormat/>
    <w:uiPriority w:val="99"/>
    <w:rPr>
      <w:kern w:val="2"/>
      <w:sz w:val="18"/>
      <w:szCs w:val="18"/>
    </w:rPr>
  </w:style>
  <w:style w:type="paragraph" w:customStyle="1" w:styleId="100">
    <w:name w:val="01-项目名称"/>
    <w:basedOn w:val="1"/>
    <w:next w:val="1"/>
    <w:qFormat/>
    <w:uiPriority w:val="0"/>
    <w:pPr>
      <w:snapToGrid w:val="0"/>
      <w:spacing w:line="360" w:lineRule="auto"/>
      <w:ind w:firstLine="560" w:firstLineChars="200"/>
      <w:jc w:val="center"/>
    </w:pPr>
    <w:rPr>
      <w:rFonts w:cstheme="minorBidi"/>
      <w:b/>
      <w:sz w:val="44"/>
    </w:rPr>
  </w:style>
  <w:style w:type="paragraph" w:customStyle="1" w:styleId="101">
    <w:name w:val="02-公司名称时间"/>
    <w:basedOn w:val="1"/>
    <w:next w:val="1"/>
    <w:qFormat/>
    <w:uiPriority w:val="0"/>
    <w:pPr>
      <w:snapToGrid w:val="0"/>
      <w:spacing w:line="360" w:lineRule="auto"/>
      <w:ind w:firstLine="560" w:firstLineChars="200"/>
      <w:jc w:val="center"/>
    </w:pPr>
    <w:rPr>
      <w:rFonts w:cstheme="minorBidi"/>
      <w:b/>
      <w:sz w:val="32"/>
    </w:rPr>
  </w:style>
  <w:style w:type="paragraph" w:customStyle="1" w:styleId="102">
    <w:name w:val="03-目录两字"/>
    <w:basedOn w:val="1"/>
    <w:next w:val="1"/>
    <w:qFormat/>
    <w:uiPriority w:val="0"/>
    <w:pPr>
      <w:snapToGrid w:val="0"/>
      <w:spacing w:line="360" w:lineRule="auto"/>
      <w:ind w:firstLine="560" w:firstLineChars="200"/>
      <w:jc w:val="center"/>
    </w:pPr>
    <w:rPr>
      <w:rFonts w:cstheme="minorBidi"/>
      <w:b/>
      <w:sz w:val="28"/>
    </w:rPr>
  </w:style>
  <w:style w:type="paragraph" w:customStyle="1" w:styleId="103">
    <w:name w:val="12-图片"/>
    <w:basedOn w:val="1"/>
    <w:next w:val="1"/>
    <w:qFormat/>
    <w:uiPriority w:val="0"/>
    <w:pPr>
      <w:snapToGrid w:val="0"/>
      <w:spacing w:beforeLines="50" w:afterLines="50" w:line="360" w:lineRule="auto"/>
      <w:ind w:firstLine="560" w:firstLineChars="200"/>
      <w:jc w:val="center"/>
    </w:pPr>
    <w:rPr>
      <w:rFonts w:cstheme="minorBidi"/>
      <w:sz w:val="28"/>
    </w:rPr>
  </w:style>
  <w:style w:type="paragraph" w:customStyle="1" w:styleId="104">
    <w:name w:val="13-表格整体"/>
    <w:basedOn w:val="1"/>
    <w:qFormat/>
    <w:uiPriority w:val="0"/>
    <w:pPr>
      <w:snapToGrid w:val="0"/>
      <w:spacing w:beforeLines="50" w:afterLines="50" w:line="360" w:lineRule="auto"/>
      <w:ind w:firstLine="560" w:firstLineChars="200"/>
    </w:pPr>
    <w:rPr>
      <w:rFonts w:cstheme="minorBidi"/>
      <w:sz w:val="28"/>
    </w:rPr>
  </w:style>
  <w:style w:type="paragraph" w:customStyle="1" w:styleId="105">
    <w:name w:val="15-图片题注"/>
    <w:basedOn w:val="1"/>
    <w:next w:val="1"/>
    <w:qFormat/>
    <w:uiPriority w:val="0"/>
    <w:pPr>
      <w:snapToGrid w:val="0"/>
      <w:spacing w:beforeLines="50" w:afterLines="50" w:line="360" w:lineRule="auto"/>
      <w:ind w:firstLine="560" w:firstLineChars="200"/>
      <w:jc w:val="center"/>
    </w:pPr>
    <w:rPr>
      <w:rFonts w:cstheme="minorBidi"/>
      <w:sz w:val="28"/>
    </w:rPr>
  </w:style>
  <w:style w:type="paragraph" w:customStyle="1" w:styleId="106">
    <w:name w:val="14-表格首行"/>
    <w:basedOn w:val="104"/>
    <w:next w:val="104"/>
    <w:qFormat/>
    <w:uiPriority w:val="0"/>
    <w:pPr>
      <w:jc w:val="center"/>
    </w:pPr>
    <w:rPr>
      <w:b/>
    </w:rPr>
  </w:style>
  <w:style w:type="paragraph" w:customStyle="1" w:styleId="107">
    <w:name w:val="05-正文加粗"/>
    <w:basedOn w:val="1"/>
    <w:next w:val="1"/>
    <w:qFormat/>
    <w:uiPriority w:val="0"/>
    <w:pPr>
      <w:snapToGrid w:val="0"/>
      <w:spacing w:line="360" w:lineRule="auto"/>
      <w:ind w:firstLine="200" w:firstLineChars="200"/>
    </w:pPr>
    <w:rPr>
      <w:rFonts w:cstheme="minorBidi"/>
      <w:b/>
      <w:sz w:val="24"/>
    </w:rPr>
  </w:style>
  <w:style w:type="paragraph" w:customStyle="1" w:styleId="108">
    <w:name w:val="06-编号"/>
    <w:basedOn w:val="1"/>
    <w:next w:val="1"/>
    <w:qFormat/>
    <w:uiPriority w:val="0"/>
    <w:pPr>
      <w:numPr>
        <w:ilvl w:val="0"/>
        <w:numId w:val="1"/>
      </w:numPr>
      <w:snapToGrid w:val="0"/>
      <w:spacing w:line="360" w:lineRule="auto"/>
      <w:ind w:firstLine="200" w:firstLineChars="200"/>
    </w:pPr>
    <w:rPr>
      <w:rFonts w:cstheme="minorBidi"/>
      <w:sz w:val="24"/>
    </w:rPr>
  </w:style>
  <w:style w:type="paragraph" w:customStyle="1" w:styleId="109">
    <w:name w:val="10-列表-圆点"/>
    <w:basedOn w:val="1"/>
    <w:next w:val="1"/>
    <w:qFormat/>
    <w:uiPriority w:val="0"/>
    <w:pPr>
      <w:numPr>
        <w:ilvl w:val="0"/>
        <w:numId w:val="2"/>
      </w:numPr>
      <w:snapToGrid w:val="0"/>
      <w:spacing w:line="360" w:lineRule="auto"/>
      <w:ind w:left="400" w:leftChars="200" w:hanging="200" w:hangingChars="200"/>
    </w:pPr>
    <w:rPr>
      <w:rFonts w:cstheme="minorBidi"/>
      <w:sz w:val="24"/>
    </w:rPr>
  </w:style>
  <w:style w:type="paragraph" w:customStyle="1" w:styleId="110">
    <w:name w:val="08-编号-括号"/>
    <w:basedOn w:val="1"/>
    <w:next w:val="1"/>
    <w:qFormat/>
    <w:uiPriority w:val="0"/>
    <w:pPr>
      <w:numPr>
        <w:ilvl w:val="0"/>
        <w:numId w:val="3"/>
      </w:numPr>
      <w:snapToGrid w:val="0"/>
      <w:spacing w:line="360" w:lineRule="auto"/>
      <w:ind w:firstLine="200" w:firstLineChars="200"/>
    </w:pPr>
    <w:rPr>
      <w:rFonts w:cstheme="minorBidi"/>
      <w:sz w:val="24"/>
    </w:rPr>
  </w:style>
  <w:style w:type="paragraph" w:customStyle="1" w:styleId="111">
    <w:name w:val="07-编号加粗"/>
    <w:basedOn w:val="1"/>
    <w:next w:val="1"/>
    <w:qFormat/>
    <w:uiPriority w:val="0"/>
    <w:pPr>
      <w:numPr>
        <w:ilvl w:val="0"/>
        <w:numId w:val="4"/>
      </w:numPr>
      <w:snapToGrid w:val="0"/>
      <w:spacing w:line="360" w:lineRule="auto"/>
      <w:ind w:firstLine="200" w:firstLineChars="200"/>
    </w:pPr>
    <w:rPr>
      <w:rFonts w:cstheme="minorBidi"/>
      <w:b/>
      <w:sz w:val="24"/>
    </w:rPr>
  </w:style>
  <w:style w:type="paragraph" w:customStyle="1" w:styleId="112">
    <w:name w:val="09-编号加粗-括号"/>
    <w:basedOn w:val="1"/>
    <w:next w:val="1"/>
    <w:qFormat/>
    <w:uiPriority w:val="0"/>
    <w:pPr>
      <w:numPr>
        <w:ilvl w:val="0"/>
        <w:numId w:val="5"/>
      </w:numPr>
      <w:snapToGrid w:val="0"/>
      <w:spacing w:line="360" w:lineRule="auto"/>
      <w:ind w:firstLine="200" w:firstLineChars="200"/>
    </w:pPr>
    <w:rPr>
      <w:rFonts w:cstheme="minorBidi"/>
      <w:b/>
      <w:sz w:val="24"/>
    </w:rPr>
  </w:style>
  <w:style w:type="paragraph" w:customStyle="1" w:styleId="113">
    <w:name w:val="11-列表-箭头"/>
    <w:basedOn w:val="1"/>
    <w:next w:val="1"/>
    <w:qFormat/>
    <w:uiPriority w:val="0"/>
    <w:pPr>
      <w:numPr>
        <w:ilvl w:val="0"/>
        <w:numId w:val="6"/>
      </w:numPr>
      <w:snapToGrid w:val="0"/>
      <w:spacing w:line="360" w:lineRule="auto"/>
      <w:ind w:left="400" w:leftChars="200" w:hanging="200" w:hangingChars="200"/>
    </w:pPr>
    <w:rPr>
      <w:rFonts w:cstheme="minorBidi"/>
      <w:sz w:val="24"/>
    </w:rPr>
  </w:style>
  <w:style w:type="paragraph" w:customStyle="1" w:styleId="114">
    <w:name w:val="16-表格题注"/>
    <w:basedOn w:val="1"/>
    <w:next w:val="1"/>
    <w:qFormat/>
    <w:uiPriority w:val="0"/>
    <w:pPr>
      <w:snapToGrid w:val="0"/>
      <w:spacing w:beforeLines="50" w:afterLines="50" w:line="360" w:lineRule="auto"/>
      <w:ind w:firstLine="560" w:firstLineChars="200"/>
      <w:jc w:val="center"/>
    </w:pPr>
    <w:rPr>
      <w:rFonts w:cstheme="minorBidi"/>
      <w:b/>
      <w:sz w:val="28"/>
    </w:rPr>
  </w:style>
  <w:style w:type="character" w:customStyle="1" w:styleId="115">
    <w:name w:val="00文档名称 Char"/>
    <w:basedOn w:val="38"/>
    <w:link w:val="116"/>
    <w:qFormat/>
    <w:locked/>
    <w:uiPriority w:val="0"/>
    <w:rPr>
      <w:rFonts w:ascii="黑体" w:hAnsi="黑体" w:eastAsia="黑体" w:cstheme="minorBidi"/>
      <w:b/>
      <w:kern w:val="2"/>
      <w:sz w:val="52"/>
      <w:szCs w:val="24"/>
    </w:rPr>
  </w:style>
  <w:style w:type="paragraph" w:customStyle="1" w:styleId="116">
    <w:name w:val="00文档名称"/>
    <w:basedOn w:val="1"/>
    <w:link w:val="115"/>
    <w:qFormat/>
    <w:uiPriority w:val="0"/>
    <w:pPr>
      <w:snapToGrid w:val="0"/>
      <w:spacing w:line="360" w:lineRule="auto"/>
      <w:ind w:firstLine="560" w:firstLineChars="200"/>
      <w:jc w:val="center"/>
    </w:pPr>
    <w:rPr>
      <w:rFonts w:ascii="黑体" w:hAnsi="黑体" w:eastAsia="黑体" w:cstheme="minorBidi"/>
      <w:b/>
      <w:sz w:val="52"/>
    </w:rPr>
  </w:style>
  <w:style w:type="paragraph" w:customStyle="1" w:styleId="117">
    <w:name w:val="04-正文"/>
    <w:basedOn w:val="1"/>
    <w:qFormat/>
    <w:uiPriority w:val="0"/>
    <w:pPr>
      <w:snapToGrid w:val="0"/>
      <w:spacing w:line="360" w:lineRule="auto"/>
      <w:ind w:firstLine="200" w:firstLineChars="200"/>
    </w:pPr>
    <w:rPr>
      <w:rFonts w:cstheme="minorBidi"/>
      <w:sz w:val="28"/>
    </w:rPr>
  </w:style>
  <w:style w:type="character" w:customStyle="1" w:styleId="118">
    <w:name w:val="font81"/>
    <w:basedOn w:val="38"/>
    <w:qFormat/>
    <w:uiPriority w:val="0"/>
    <w:rPr>
      <w:rFonts w:hint="eastAsia" w:ascii="宋体" w:hAnsi="宋体" w:eastAsia="宋体" w:cs="宋体"/>
      <w:b/>
      <w:bCs/>
      <w:color w:val="1D1D1F"/>
      <w:sz w:val="24"/>
      <w:szCs w:val="24"/>
      <w:u w:val="none"/>
    </w:rPr>
  </w:style>
  <w:style w:type="character" w:customStyle="1" w:styleId="119">
    <w:name w:val="font21"/>
    <w:basedOn w:val="38"/>
    <w:qFormat/>
    <w:uiPriority w:val="0"/>
    <w:rPr>
      <w:rFonts w:hint="default" w:ascii="Helvetica" w:hAnsi="Helvetica" w:eastAsia="Helvetica" w:cs="Helvetica"/>
      <w:b/>
      <w:bCs/>
      <w:color w:val="1D1D1F"/>
      <w:sz w:val="24"/>
      <w:szCs w:val="24"/>
      <w:u w:val="none"/>
    </w:rPr>
  </w:style>
  <w:style w:type="character" w:customStyle="1" w:styleId="120">
    <w:name w:val="font11"/>
    <w:basedOn w:val="38"/>
    <w:qFormat/>
    <w:uiPriority w:val="0"/>
    <w:rPr>
      <w:rFonts w:hint="eastAsia" w:ascii="宋体" w:hAnsi="宋体" w:eastAsia="宋体" w:cs="宋体"/>
      <w:color w:val="000000"/>
      <w:sz w:val="22"/>
      <w:szCs w:val="22"/>
      <w:u w:val="none"/>
    </w:rPr>
  </w:style>
  <w:style w:type="paragraph" w:styleId="121">
    <w:name w:val="List Paragraph"/>
    <w:basedOn w:val="1"/>
    <w:qFormat/>
    <w:uiPriority w:val="34"/>
    <w:pPr>
      <w:ind w:firstLine="420" w:firstLineChars="200"/>
    </w:pPr>
  </w:style>
  <w:style w:type="paragraph" w:customStyle="1" w:styleId="122">
    <w:name w:val="标题 41"/>
    <w:basedOn w:val="1"/>
    <w:qFormat/>
    <w:uiPriority w:val="1"/>
    <w:pPr>
      <w:ind w:left="232"/>
      <w:outlineLvl w:val="3"/>
    </w:pPr>
    <w:rPr>
      <w:b/>
      <w:bCs/>
      <w:szCs w:val="21"/>
    </w:rPr>
  </w:style>
  <w:style w:type="paragraph" w:customStyle="1" w:styleId="123">
    <w:name w:val="正文文本2"/>
    <w:basedOn w:val="1"/>
    <w:qFormat/>
    <w:uiPriority w:val="0"/>
    <w:pPr>
      <w:shd w:val="clear" w:color="auto" w:fill="FFFFFF"/>
      <w:spacing w:after="300" w:line="0" w:lineRule="atLeast"/>
    </w:pPr>
    <w:rPr>
      <w:rFonts w:ascii="MingLiU" w:hAnsi="MingLiU" w:eastAsia="MingLiU"/>
      <w:color w:val="000000"/>
      <w:kern w:val="0"/>
      <w:sz w:val="22"/>
      <w:szCs w:val="22"/>
      <w:shd w:val="clear" w:color="auto" w:fill="FFFFFF"/>
      <w:lang w:val="zh-TW"/>
    </w:rPr>
  </w:style>
  <w:style w:type="paragraph" w:customStyle="1" w:styleId="124">
    <w:name w:val="样式 首行缩进:  2 字符"/>
    <w:basedOn w:val="1"/>
    <w:qFormat/>
    <w:uiPriority w:val="0"/>
    <w:pPr>
      <w:spacing w:line="360" w:lineRule="auto"/>
      <w:ind w:firstLine="480" w:firstLineChars="200"/>
    </w:pPr>
    <w:rPr>
      <w:sz w:val="24"/>
      <w:szCs w:val="20"/>
    </w:rPr>
  </w:style>
  <w:style w:type="paragraph" w:customStyle="1" w:styleId="125">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126">
    <w:name w:val="Style 2"/>
    <w:basedOn w:val="1"/>
    <w:link w:val="127"/>
    <w:qFormat/>
    <w:uiPriority w:val="0"/>
    <w:pPr>
      <w:spacing w:after="590"/>
      <w:ind w:firstLine="883"/>
      <w:jc w:val="center"/>
    </w:pPr>
    <w:rPr>
      <w:rFonts w:ascii="宋体" w:hAnsi="宋体" w:eastAsia="宋体" w:cs="宋体"/>
      <w:b/>
      <w:sz w:val="44"/>
      <w:szCs w:val="44"/>
      <w:lang w:val="zh-CN" w:bidi="zh-CN"/>
    </w:rPr>
  </w:style>
  <w:style w:type="character" w:customStyle="1" w:styleId="127">
    <w:name w:val="Char Style 3"/>
    <w:basedOn w:val="38"/>
    <w:link w:val="126"/>
    <w:qFormat/>
    <w:uiPriority w:val="0"/>
    <w:rPr>
      <w:rFonts w:ascii="宋体" w:hAnsi="宋体" w:eastAsia="宋体" w:cs="宋体"/>
      <w:b/>
      <w:sz w:val="44"/>
      <w:szCs w:val="44"/>
      <w:lang w:val="zh-CN" w:bidi="zh-CN"/>
    </w:rPr>
  </w:style>
  <w:style w:type="character" w:customStyle="1" w:styleId="128">
    <w:name w:val="font41"/>
    <w:basedOn w:val="38"/>
    <w:qFormat/>
    <w:uiPriority w:val="0"/>
    <w:rPr>
      <w:rFonts w:hint="default" w:ascii="Times New Roman" w:hAnsi="Times New Roman" w:cs="Times New Roman"/>
      <w:color w:val="000000"/>
      <w:sz w:val="22"/>
      <w:szCs w:val="22"/>
      <w:u w:val="none"/>
    </w:rPr>
  </w:style>
  <w:style w:type="character" w:customStyle="1" w:styleId="129">
    <w:name w:val="font31"/>
    <w:basedOn w:val="3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广西云龙招标有限公司</Company>
  <Pages>81</Pages>
  <Words>3515</Words>
  <Characters>4149</Characters>
  <Lines>1673</Lines>
  <Paragraphs>1562</Paragraphs>
  <TotalTime>5</TotalTime>
  <ScaleCrop>false</ScaleCrop>
  <LinksUpToDate>false</LinksUpToDate>
  <CharactersWithSpaces>4242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2022-05-18T18:10:00Z</dcterms:created>
  <dc:creator>唐冰</dc:creator>
  <cp:lastModifiedBy>liang</cp:lastModifiedBy>
  <cp:lastPrinted>2020-04-07T08:20:00Z</cp:lastPrinted>
  <dcterms:modified xsi:type="dcterms:W3CDTF">2025-11-05T07:39:11Z</dcterms:modified>
  <dc:title>竞争性谈判文件规范</dc:title>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1A91BBCAC8DE44BDB2612987CB023BB2_13</vt:lpwstr>
  </property>
  <property fmtid="{D5CDD505-2E9C-101B-9397-08002B2CF9AE}" pid="4" name="KSOTemplateDocerSaveRecord">
    <vt:lpwstr>eyJoZGlkIjoiOGI4NjI5OTBmMDM1ODFlMDkzNDFlZTFiMWNhZWU5ZTMiLCJ1c2VySWQiOiI4NDE0MDQxMTQifQ==</vt:lpwstr>
  </property>
</Properties>
</file>