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F08D9">
      <w:pPr>
        <w:spacing w:before="165" w:beforeLines="50"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南宁市政府采购</w:t>
      </w:r>
    </w:p>
    <w:p w14:paraId="5F2D3C10">
      <w:pPr>
        <w:spacing w:before="165" w:beforeLines="50"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公开招标文件（</w:t>
      </w:r>
      <w:r>
        <w:rPr>
          <w:rFonts w:hint="eastAsia" w:ascii="宋体" w:hAnsi="宋体" w:cs="宋体"/>
          <w:color w:val="auto"/>
          <w:sz w:val="52"/>
          <w:szCs w:val="52"/>
          <w:highlight w:val="none"/>
          <w:lang w:val="en-US" w:eastAsia="zh-CN"/>
        </w:rPr>
        <w:t>工程</w:t>
      </w:r>
      <w:r>
        <w:rPr>
          <w:rFonts w:hint="eastAsia" w:ascii="宋体" w:hAnsi="宋体" w:eastAsia="宋体" w:cs="宋体"/>
          <w:color w:val="auto"/>
          <w:sz w:val="52"/>
          <w:szCs w:val="52"/>
          <w:highlight w:val="none"/>
        </w:rPr>
        <w:t>类）</w:t>
      </w:r>
      <w:bookmarkStart w:id="1621" w:name="_GoBack"/>
      <w:bookmarkEnd w:id="1621"/>
    </w:p>
    <w:p w14:paraId="74428657">
      <w:pPr>
        <w:spacing w:before="165" w:beforeLines="50" w:line="360" w:lineRule="auto"/>
        <w:jc w:val="center"/>
        <w:rPr>
          <w:rFonts w:hint="eastAsia" w:ascii="宋体" w:hAnsi="宋体" w:eastAsia="宋体" w:cs="宋体"/>
          <w:b/>
          <w:color w:val="auto"/>
          <w:sz w:val="48"/>
          <w:szCs w:val="48"/>
          <w:highlight w:val="none"/>
        </w:rPr>
      </w:pPr>
    </w:p>
    <w:p w14:paraId="2BBA85DE">
      <w:pPr>
        <w:spacing w:before="165" w:beforeLines="50" w:line="360" w:lineRule="auto"/>
        <w:jc w:val="center"/>
        <w:rPr>
          <w:rFonts w:hint="eastAsia" w:ascii="宋体" w:hAnsi="宋体" w:eastAsia="宋体" w:cs="宋体"/>
          <w:b/>
          <w:color w:val="auto"/>
          <w:sz w:val="48"/>
          <w:szCs w:val="48"/>
          <w:highlight w:val="none"/>
        </w:rPr>
      </w:pPr>
    </w:p>
    <w:p w14:paraId="6C776616">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招 标 文 件</w:t>
      </w:r>
    </w:p>
    <w:p w14:paraId="0D0ABB7C">
      <w:pPr>
        <w:snapToGrid w:val="0"/>
        <w:spacing w:before="165" w:beforeLines="50" w:line="360" w:lineRule="auto"/>
        <w:jc w:val="center"/>
        <w:outlineLvl w:val="0"/>
        <w:rPr>
          <w:rFonts w:hint="eastAsia" w:ascii="宋体" w:hAnsi="宋体" w:eastAsia="宋体" w:cs="宋体"/>
          <w:color w:val="auto"/>
          <w:sz w:val="30"/>
          <w:szCs w:val="72"/>
          <w:highlight w:val="none"/>
        </w:rPr>
      </w:pPr>
      <w:bookmarkStart w:id="0" w:name="_Toc3023"/>
      <w:bookmarkStart w:id="1" w:name="_Toc5320"/>
      <w:r>
        <w:rPr>
          <w:rFonts w:hint="eastAsia" w:ascii="宋体" w:hAnsi="宋体" w:eastAsia="宋体" w:cs="宋体"/>
          <w:color w:val="auto"/>
          <w:sz w:val="30"/>
          <w:szCs w:val="72"/>
          <w:highlight w:val="none"/>
        </w:rPr>
        <w:t>（全流程电子化评标）</w:t>
      </w:r>
      <w:bookmarkEnd w:id="0"/>
      <w:bookmarkEnd w:id="1"/>
    </w:p>
    <w:p w14:paraId="43465E76">
      <w:pPr>
        <w:snapToGrid w:val="0"/>
        <w:spacing w:before="165" w:beforeLines="50" w:line="360" w:lineRule="auto"/>
        <w:rPr>
          <w:rFonts w:hint="eastAsia" w:ascii="宋体" w:hAnsi="宋体" w:eastAsia="宋体" w:cs="宋体"/>
          <w:color w:val="auto"/>
          <w:sz w:val="30"/>
          <w:szCs w:val="72"/>
          <w:highlight w:val="none"/>
        </w:rPr>
      </w:pPr>
    </w:p>
    <w:p w14:paraId="3ACA8EA3">
      <w:pPr>
        <w:snapToGrid w:val="0"/>
        <w:spacing w:before="165" w:beforeLines="50" w:line="360" w:lineRule="auto"/>
        <w:rPr>
          <w:rFonts w:hint="eastAsia" w:ascii="宋体" w:hAnsi="宋体" w:eastAsia="宋体" w:cs="宋体"/>
          <w:color w:val="auto"/>
          <w:sz w:val="30"/>
          <w:szCs w:val="72"/>
          <w:highlight w:val="none"/>
        </w:rPr>
      </w:pPr>
    </w:p>
    <w:p w14:paraId="7B954D74">
      <w:pPr>
        <w:pStyle w:val="11"/>
        <w:snapToGrid w:val="0"/>
        <w:spacing w:before="50" w:after="120" w:line="360" w:lineRule="auto"/>
        <w:ind w:left="3295" w:leftChars="852" w:hanging="1506" w:hangingChars="500"/>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项目名称</w:t>
      </w:r>
      <w:r>
        <w:rPr>
          <w:rFonts w:hint="eastAsia" w:ascii="宋体" w:hAnsi="宋体" w:eastAsia="宋体" w:cs="宋体"/>
          <w:b/>
          <w:bCs/>
          <w:color w:val="auto"/>
          <w:sz w:val="30"/>
          <w:szCs w:val="30"/>
          <w:highlight w:val="none"/>
          <w:lang w:eastAsia="zh-CN"/>
        </w:rPr>
        <w:t>：</w:t>
      </w:r>
      <w:r>
        <w:rPr>
          <w:rFonts w:hint="eastAsia" w:hAnsi="宋体" w:cs="宋体"/>
          <w:b/>
          <w:bCs/>
          <w:color w:val="auto"/>
          <w:sz w:val="30"/>
          <w:szCs w:val="30"/>
          <w:highlight w:val="none"/>
          <w:lang w:eastAsia="zh-CN"/>
        </w:rPr>
        <w:t>布泉河乡村振兴特色带建设项目（布泉乡龙会村农文旅产业配套项目）</w:t>
      </w:r>
    </w:p>
    <w:p w14:paraId="3CC10F43">
      <w:pPr>
        <w:pStyle w:val="11"/>
        <w:snapToGrid w:val="0"/>
        <w:spacing w:before="50" w:after="120" w:line="360" w:lineRule="auto"/>
        <w:ind w:firstLine="1783" w:firstLineChars="592"/>
        <w:outlineLvl w:val="0"/>
        <w:rPr>
          <w:rFonts w:hint="eastAsia" w:ascii="宋体" w:hAnsi="宋体" w:eastAsia="宋体" w:cs="宋体"/>
          <w:b/>
          <w:bCs/>
          <w:color w:val="auto"/>
          <w:sz w:val="30"/>
          <w:szCs w:val="30"/>
          <w:highlight w:val="none"/>
          <w:lang w:eastAsia="zh-CN"/>
        </w:rPr>
      </w:pPr>
      <w:bookmarkStart w:id="2" w:name="_Toc4108"/>
      <w:bookmarkStart w:id="3" w:name="_Toc7308"/>
      <w:r>
        <w:rPr>
          <w:rFonts w:hint="eastAsia" w:ascii="宋体" w:hAnsi="宋体" w:eastAsia="宋体" w:cs="宋体"/>
          <w:b/>
          <w:bCs/>
          <w:color w:val="auto"/>
          <w:sz w:val="30"/>
          <w:szCs w:val="30"/>
          <w:highlight w:val="none"/>
        </w:rPr>
        <w:t>项目</w:t>
      </w:r>
      <w:r>
        <w:rPr>
          <w:rFonts w:hint="eastAsia" w:ascii="宋体" w:hAnsi="宋体" w:eastAsia="宋体" w:cs="宋体"/>
          <w:b/>
          <w:bCs/>
          <w:color w:val="auto"/>
          <w:sz w:val="30"/>
          <w:szCs w:val="30"/>
          <w:highlight w:val="none"/>
        </w:rPr>
        <w:t>编号：</w:t>
      </w:r>
      <w:bookmarkEnd w:id="2"/>
      <w:bookmarkEnd w:id="3"/>
      <w:r>
        <w:rPr>
          <w:rFonts w:hint="eastAsia" w:hAnsi="宋体" w:cs="宋体"/>
          <w:b/>
          <w:bCs/>
          <w:color w:val="auto"/>
          <w:sz w:val="30"/>
          <w:szCs w:val="30"/>
          <w:highlight w:val="none"/>
          <w:lang w:eastAsia="zh-CN"/>
        </w:rPr>
        <w:t>NNZC2025-G2-230110-GDZB</w:t>
      </w:r>
    </w:p>
    <w:p w14:paraId="4D96B32A">
      <w:pPr>
        <w:pStyle w:val="11"/>
        <w:snapToGrid w:val="0"/>
        <w:spacing w:before="50" w:after="120" w:line="360" w:lineRule="auto"/>
        <w:ind w:firstLine="1783" w:firstLineChars="592"/>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项目所属区划：</w:t>
      </w:r>
      <w:r>
        <w:rPr>
          <w:rFonts w:hint="eastAsia" w:hAnsi="宋体" w:cs="宋体"/>
          <w:b/>
          <w:bCs/>
          <w:color w:val="auto"/>
          <w:sz w:val="30"/>
          <w:szCs w:val="30"/>
          <w:highlight w:val="none"/>
          <w:u w:val="single"/>
          <w:lang w:val="en-US" w:eastAsia="zh-CN"/>
        </w:rPr>
        <w:t>南宁市隆安县项目</w:t>
      </w:r>
    </w:p>
    <w:p w14:paraId="489B561E">
      <w:pPr>
        <w:pStyle w:val="11"/>
        <w:snapToGrid w:val="0"/>
        <w:spacing w:before="50" w:after="120" w:line="360" w:lineRule="auto"/>
        <w:ind w:firstLine="1783" w:firstLineChars="592"/>
        <w:outlineLvl w:val="0"/>
        <w:rPr>
          <w:rFonts w:hint="eastAsia" w:ascii="宋体" w:hAnsi="宋体" w:eastAsia="宋体" w:cs="宋体"/>
          <w:b/>
          <w:bCs/>
          <w:color w:val="auto"/>
          <w:sz w:val="30"/>
          <w:szCs w:val="30"/>
          <w:highlight w:val="none"/>
          <w:lang w:eastAsia="zh-CN"/>
        </w:rPr>
      </w:pPr>
      <w:bookmarkStart w:id="4" w:name="_Toc26813"/>
      <w:bookmarkStart w:id="5" w:name="_Toc370"/>
      <w:r>
        <w:rPr>
          <w:rFonts w:hint="eastAsia" w:ascii="宋体" w:hAnsi="宋体" w:eastAsia="宋体" w:cs="宋体"/>
          <w:b/>
          <w:bCs/>
          <w:color w:val="auto"/>
          <w:sz w:val="30"/>
          <w:szCs w:val="30"/>
          <w:highlight w:val="none"/>
          <w:lang w:eastAsia="zh-CN"/>
        </w:rPr>
        <w:t>采 购 人：</w:t>
      </w:r>
      <w:bookmarkEnd w:id="4"/>
      <w:bookmarkEnd w:id="5"/>
      <w:bookmarkStart w:id="6" w:name="_Toc6082"/>
      <w:r>
        <w:rPr>
          <w:rFonts w:hint="eastAsia" w:hAnsi="宋体" w:cs="宋体"/>
          <w:b/>
          <w:bCs/>
          <w:color w:val="auto"/>
          <w:sz w:val="30"/>
          <w:szCs w:val="30"/>
          <w:highlight w:val="none"/>
          <w:lang w:eastAsia="zh-CN"/>
        </w:rPr>
        <w:t>隆安县布泉乡人民政府</w:t>
      </w:r>
    </w:p>
    <w:p w14:paraId="506802B4">
      <w:pPr>
        <w:pStyle w:val="11"/>
        <w:snapToGrid w:val="0"/>
        <w:spacing w:before="50" w:after="120" w:line="360" w:lineRule="auto"/>
        <w:ind w:firstLine="1783" w:firstLineChars="592"/>
        <w:outlineLvl w:val="0"/>
        <w:rPr>
          <w:rFonts w:hint="eastAsia" w:ascii="宋体" w:hAnsi="宋体" w:eastAsia="宋体" w:cs="宋体"/>
          <w:b/>
          <w:bCs/>
          <w:color w:val="auto"/>
          <w:w w:val="95"/>
          <w:sz w:val="30"/>
          <w:szCs w:val="30"/>
          <w:highlight w:val="none"/>
          <w:lang w:eastAsia="zh-CN"/>
        </w:rPr>
      </w:pPr>
      <w:bookmarkStart w:id="7" w:name="_Toc2481"/>
      <w:r>
        <w:rPr>
          <w:rFonts w:hint="eastAsia" w:ascii="宋体" w:hAnsi="宋体" w:eastAsia="宋体" w:cs="宋体"/>
          <w:b/>
          <w:bCs/>
          <w:color w:val="auto"/>
          <w:sz w:val="30"/>
          <w:szCs w:val="30"/>
          <w:highlight w:val="none"/>
        </w:rPr>
        <w:t>采购代理机构：</w:t>
      </w:r>
      <w:bookmarkEnd w:id="6"/>
      <w:bookmarkEnd w:id="7"/>
      <w:r>
        <w:rPr>
          <w:rFonts w:hint="eastAsia" w:hAnsi="宋体" w:cs="宋体"/>
          <w:b/>
          <w:bCs/>
          <w:color w:val="auto"/>
          <w:sz w:val="30"/>
          <w:szCs w:val="30"/>
          <w:highlight w:val="none"/>
          <w:lang w:eastAsia="zh-CN"/>
        </w:rPr>
        <w:t>广西国栋招标有限公司</w:t>
      </w:r>
    </w:p>
    <w:p w14:paraId="2F885F18">
      <w:pPr>
        <w:pStyle w:val="11"/>
        <w:snapToGrid w:val="0"/>
        <w:spacing w:before="50" w:after="120" w:line="360" w:lineRule="auto"/>
        <w:jc w:val="center"/>
        <w:rPr>
          <w:rFonts w:hint="eastAsia" w:ascii="宋体" w:hAnsi="宋体" w:eastAsia="宋体" w:cs="宋体"/>
          <w:b/>
          <w:bCs/>
          <w:color w:val="auto"/>
          <w:w w:val="95"/>
          <w:sz w:val="30"/>
          <w:szCs w:val="30"/>
          <w:highlight w:val="none"/>
          <w:lang w:val="en-US" w:eastAsia="zh-CN"/>
        </w:rPr>
      </w:pPr>
      <w:r>
        <w:rPr>
          <w:rFonts w:hint="eastAsia" w:hAnsi="宋体" w:cs="宋体"/>
          <w:b/>
          <w:bCs/>
          <w:color w:val="auto"/>
          <w:w w:val="95"/>
          <w:sz w:val="30"/>
          <w:szCs w:val="30"/>
          <w:highlight w:val="none"/>
          <w:lang w:val="en-US" w:eastAsia="zh-CN"/>
        </w:rPr>
        <w:t>2025年11月</w:t>
      </w:r>
      <w:r>
        <w:rPr>
          <w:rFonts w:hint="eastAsia" w:hAnsi="宋体" w:cs="宋体"/>
          <w:b/>
          <w:bCs/>
          <w:color w:val="auto"/>
          <w:w w:val="95"/>
          <w:sz w:val="30"/>
          <w:szCs w:val="30"/>
          <w:highlight w:val="none"/>
          <w:lang w:val="en-US" w:eastAsia="zh-CN"/>
        </w:rPr>
        <w:t>4</w:t>
      </w:r>
      <w:r>
        <w:rPr>
          <w:rFonts w:hint="eastAsia" w:hAnsi="宋体" w:cs="宋体"/>
          <w:b/>
          <w:bCs/>
          <w:color w:val="auto"/>
          <w:w w:val="95"/>
          <w:sz w:val="30"/>
          <w:szCs w:val="30"/>
          <w:highlight w:val="none"/>
          <w:lang w:val="en-US" w:eastAsia="zh-CN"/>
        </w:rPr>
        <w:t>日</w:t>
      </w:r>
    </w:p>
    <w:p w14:paraId="191D5317">
      <w:pPr>
        <w:pStyle w:val="11"/>
        <w:snapToGrid w:val="0"/>
        <w:spacing w:before="50" w:after="120" w:line="360" w:lineRule="auto"/>
        <w:jc w:val="center"/>
        <w:rPr>
          <w:rFonts w:hint="eastAsia" w:ascii="宋体" w:hAnsi="宋体" w:eastAsia="宋体" w:cs="宋体"/>
          <w:b/>
          <w:bCs/>
          <w:color w:val="auto"/>
          <w:w w:val="95"/>
          <w:sz w:val="30"/>
          <w:szCs w:val="30"/>
          <w:highlight w:val="none"/>
          <w:lang w:val="en-US" w:eastAsia="zh-CN"/>
        </w:rPr>
        <w:sectPr>
          <w:headerReference r:id="rId3" w:type="default"/>
          <w:pgSz w:w="11906" w:h="16838"/>
          <w:pgMar w:top="1134" w:right="1134" w:bottom="1134" w:left="1134" w:header="720" w:footer="720" w:gutter="0"/>
          <w:pgNumType w:start="1"/>
          <w:cols w:space="720" w:num="1"/>
          <w:docGrid w:type="lines" w:linePitch="331" w:charSpace="0"/>
        </w:sectPr>
      </w:pPr>
    </w:p>
    <w:p w14:paraId="579AF2A3">
      <w:pPr>
        <w:pStyle w:val="11"/>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
    <w:p w14:paraId="62CB5859">
      <w:pPr>
        <w:pStyle w:val="14"/>
        <w:tabs>
          <w:tab w:val="right" w:leader="dot" w:pos="9638"/>
        </w:tabs>
        <w:rPr>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p>
    <w:p w14:paraId="4E1BFC7D">
      <w:pPr>
        <w:pStyle w:val="14"/>
        <w:tabs>
          <w:tab w:val="right" w:leader="dot" w:pos="9638"/>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_Toc8813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_Toc8813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szCs w:val="24"/>
          <w:highlight w:val="none"/>
        </w:rPr>
        <w:fldChar w:fldCharType="end"/>
      </w:r>
    </w:p>
    <w:p w14:paraId="303E291B">
      <w:pPr>
        <w:pStyle w:val="14"/>
        <w:tabs>
          <w:tab w:val="right" w:leader="dot" w:pos="9638"/>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_Toc6670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_Toc6670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color w:val="auto"/>
          <w:szCs w:val="24"/>
          <w:highlight w:val="none"/>
        </w:rPr>
        <w:fldChar w:fldCharType="end"/>
      </w:r>
    </w:p>
    <w:p w14:paraId="4F3042F5">
      <w:pPr>
        <w:pStyle w:val="14"/>
        <w:tabs>
          <w:tab w:val="right" w:leader="dot" w:pos="9638"/>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_Toc6549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_Toc6549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szCs w:val="24"/>
          <w:highlight w:val="none"/>
        </w:rPr>
        <w:fldChar w:fldCharType="end"/>
      </w:r>
    </w:p>
    <w:p w14:paraId="7C4B965E">
      <w:pPr>
        <w:pStyle w:val="16"/>
        <w:tabs>
          <w:tab w:val="right" w:leader="dot" w:pos="9638"/>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_Toc12768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30"/>
          <w:highlight w:val="none"/>
        </w:rPr>
        <w:t>第一节 投标人须知前附表</w:t>
      </w:r>
      <w:r>
        <w:rPr>
          <w:color w:val="auto"/>
          <w:highlight w:val="none"/>
        </w:rPr>
        <w:tab/>
      </w:r>
      <w:r>
        <w:rPr>
          <w:color w:val="auto"/>
          <w:highlight w:val="none"/>
        </w:rPr>
        <w:fldChar w:fldCharType="begin"/>
      </w:r>
      <w:r>
        <w:rPr>
          <w:color w:val="auto"/>
          <w:highlight w:val="none"/>
        </w:rPr>
        <w:instrText xml:space="preserve"> PAGEREF _Toc12768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szCs w:val="24"/>
          <w:highlight w:val="none"/>
        </w:rPr>
        <w:fldChar w:fldCharType="end"/>
      </w:r>
    </w:p>
    <w:p w14:paraId="466111CB">
      <w:pPr>
        <w:pStyle w:val="16"/>
        <w:tabs>
          <w:tab w:val="right" w:leader="dot" w:pos="9638"/>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_Toc8631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第二节 投标人须知正文</w:t>
      </w:r>
      <w:r>
        <w:rPr>
          <w:color w:val="auto"/>
          <w:highlight w:val="none"/>
        </w:rPr>
        <w:tab/>
      </w:r>
      <w:r>
        <w:rPr>
          <w:color w:val="auto"/>
          <w:highlight w:val="none"/>
        </w:rPr>
        <w:fldChar w:fldCharType="begin"/>
      </w:r>
      <w:r>
        <w:rPr>
          <w:color w:val="auto"/>
          <w:highlight w:val="none"/>
        </w:rPr>
        <w:instrText xml:space="preserve"> PAGEREF _Toc8631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szCs w:val="24"/>
          <w:highlight w:val="none"/>
        </w:rPr>
        <w:fldChar w:fldCharType="end"/>
      </w:r>
    </w:p>
    <w:p w14:paraId="21127945">
      <w:pPr>
        <w:pStyle w:val="14"/>
        <w:tabs>
          <w:tab w:val="right" w:leader="dot" w:pos="9638"/>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_Toc18019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第四章  评标方法及评分标准</w:t>
      </w:r>
      <w:r>
        <w:rPr>
          <w:color w:val="auto"/>
          <w:highlight w:val="none"/>
        </w:rPr>
        <w:tab/>
      </w:r>
      <w:r>
        <w:rPr>
          <w:color w:val="auto"/>
          <w:highlight w:val="none"/>
        </w:rPr>
        <w:fldChar w:fldCharType="begin"/>
      </w:r>
      <w:r>
        <w:rPr>
          <w:color w:val="auto"/>
          <w:highlight w:val="none"/>
        </w:rPr>
        <w:instrText xml:space="preserve"> PAGEREF _Toc18019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szCs w:val="24"/>
          <w:highlight w:val="none"/>
        </w:rPr>
        <w:fldChar w:fldCharType="end"/>
      </w:r>
    </w:p>
    <w:p w14:paraId="1023CE02">
      <w:pPr>
        <w:pStyle w:val="16"/>
        <w:tabs>
          <w:tab w:val="right" w:leader="dot" w:pos="9638"/>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_Toc28840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32"/>
          <w:highlight w:val="none"/>
        </w:rPr>
        <w:t>第一节 评标方法</w:t>
      </w:r>
      <w:r>
        <w:rPr>
          <w:color w:val="auto"/>
          <w:highlight w:val="none"/>
        </w:rPr>
        <w:tab/>
      </w:r>
      <w:r>
        <w:rPr>
          <w:color w:val="auto"/>
          <w:highlight w:val="none"/>
        </w:rPr>
        <w:fldChar w:fldCharType="begin"/>
      </w:r>
      <w:r>
        <w:rPr>
          <w:color w:val="auto"/>
          <w:highlight w:val="none"/>
        </w:rPr>
        <w:instrText xml:space="preserve"> PAGEREF _Toc28840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szCs w:val="24"/>
          <w:highlight w:val="none"/>
        </w:rPr>
        <w:fldChar w:fldCharType="end"/>
      </w:r>
    </w:p>
    <w:p w14:paraId="1982026C">
      <w:pPr>
        <w:pStyle w:val="16"/>
        <w:tabs>
          <w:tab w:val="right" w:leader="dot" w:pos="9638"/>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_Toc30120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32"/>
          <w:highlight w:val="none"/>
        </w:rPr>
        <w:t>第二节 评标程序</w:t>
      </w:r>
      <w:r>
        <w:rPr>
          <w:color w:val="auto"/>
          <w:highlight w:val="none"/>
        </w:rPr>
        <w:tab/>
      </w:r>
      <w:r>
        <w:rPr>
          <w:color w:val="auto"/>
          <w:highlight w:val="none"/>
        </w:rPr>
        <w:fldChar w:fldCharType="begin"/>
      </w:r>
      <w:r>
        <w:rPr>
          <w:color w:val="auto"/>
          <w:highlight w:val="none"/>
        </w:rPr>
        <w:instrText xml:space="preserve"> PAGEREF _Toc30120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szCs w:val="24"/>
          <w:highlight w:val="none"/>
        </w:rPr>
        <w:fldChar w:fldCharType="end"/>
      </w:r>
    </w:p>
    <w:p w14:paraId="6123B143">
      <w:pPr>
        <w:pStyle w:val="16"/>
        <w:tabs>
          <w:tab w:val="right" w:leader="dot" w:pos="9638"/>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_Toc13616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30"/>
          <w:highlight w:val="none"/>
        </w:rPr>
        <w:t>第三节 评分标准</w:t>
      </w:r>
      <w:r>
        <w:rPr>
          <w:color w:val="auto"/>
          <w:highlight w:val="none"/>
        </w:rPr>
        <w:tab/>
      </w:r>
      <w:r>
        <w:rPr>
          <w:color w:val="auto"/>
          <w:highlight w:val="none"/>
        </w:rPr>
        <w:fldChar w:fldCharType="begin"/>
      </w:r>
      <w:r>
        <w:rPr>
          <w:color w:val="auto"/>
          <w:highlight w:val="none"/>
        </w:rPr>
        <w:instrText xml:space="preserve"> PAGEREF _Toc13616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eastAsia="宋体" w:cs="宋体"/>
          <w:color w:val="auto"/>
          <w:szCs w:val="24"/>
          <w:highlight w:val="none"/>
        </w:rPr>
        <w:fldChar w:fldCharType="end"/>
      </w:r>
    </w:p>
    <w:p w14:paraId="52563F86">
      <w:pPr>
        <w:pStyle w:val="16"/>
        <w:tabs>
          <w:tab w:val="right" w:leader="dot" w:pos="9638"/>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_Toc15667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30"/>
          <w:highlight w:val="none"/>
        </w:rPr>
        <w:t>第四节 中标候选人推荐原则</w:t>
      </w:r>
      <w:r>
        <w:rPr>
          <w:color w:val="auto"/>
          <w:highlight w:val="none"/>
        </w:rPr>
        <w:tab/>
      </w:r>
      <w:r>
        <w:rPr>
          <w:color w:val="auto"/>
          <w:highlight w:val="none"/>
        </w:rPr>
        <w:fldChar w:fldCharType="begin"/>
      </w:r>
      <w:r>
        <w:rPr>
          <w:color w:val="auto"/>
          <w:highlight w:val="none"/>
        </w:rPr>
        <w:instrText xml:space="preserve"> PAGEREF _Toc15667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24"/>
          <w:highlight w:val="none"/>
        </w:rPr>
        <w:fldChar w:fldCharType="end"/>
      </w:r>
    </w:p>
    <w:p w14:paraId="795328BE">
      <w:pPr>
        <w:pStyle w:val="16"/>
        <w:tabs>
          <w:tab w:val="right" w:leader="dot" w:pos="9638"/>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_Toc31432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30"/>
          <w:highlight w:val="none"/>
        </w:rPr>
        <w:t>第五节 评标报告</w:t>
      </w:r>
      <w:r>
        <w:rPr>
          <w:color w:val="auto"/>
          <w:highlight w:val="none"/>
        </w:rPr>
        <w:tab/>
      </w:r>
      <w:r>
        <w:rPr>
          <w:color w:val="auto"/>
          <w:highlight w:val="none"/>
        </w:rPr>
        <w:fldChar w:fldCharType="begin"/>
      </w:r>
      <w:r>
        <w:rPr>
          <w:color w:val="auto"/>
          <w:highlight w:val="none"/>
        </w:rPr>
        <w:instrText xml:space="preserve"> PAGEREF _Toc31432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24"/>
          <w:highlight w:val="none"/>
        </w:rPr>
        <w:fldChar w:fldCharType="end"/>
      </w:r>
    </w:p>
    <w:p w14:paraId="175FC91A">
      <w:pPr>
        <w:pStyle w:val="14"/>
        <w:tabs>
          <w:tab w:val="right" w:leader="dot" w:pos="9638"/>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_Toc1248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第五章 拟签订的合同文本</w:t>
      </w:r>
      <w:r>
        <w:rPr>
          <w:color w:val="auto"/>
          <w:highlight w:val="none"/>
        </w:rPr>
        <w:tab/>
      </w:r>
      <w:r>
        <w:rPr>
          <w:color w:val="auto"/>
          <w:highlight w:val="none"/>
        </w:rPr>
        <w:fldChar w:fldCharType="begin"/>
      </w:r>
      <w:r>
        <w:rPr>
          <w:color w:val="auto"/>
          <w:highlight w:val="none"/>
        </w:rPr>
        <w:instrText xml:space="preserve"> PAGEREF _Toc1248 \h </w:instrText>
      </w:r>
      <w:r>
        <w:rPr>
          <w:color w:val="auto"/>
          <w:highlight w:val="none"/>
        </w:rPr>
        <w:fldChar w:fldCharType="separate"/>
      </w:r>
      <w:r>
        <w:rPr>
          <w:color w:val="auto"/>
          <w:highlight w:val="none"/>
        </w:rPr>
        <w:t>45</w:t>
      </w:r>
      <w:r>
        <w:rPr>
          <w:color w:val="auto"/>
          <w:highlight w:val="none"/>
        </w:rPr>
        <w:fldChar w:fldCharType="end"/>
      </w:r>
      <w:r>
        <w:rPr>
          <w:rFonts w:hint="eastAsia" w:ascii="宋体" w:hAnsi="宋体" w:eastAsia="宋体" w:cs="宋体"/>
          <w:color w:val="auto"/>
          <w:szCs w:val="24"/>
          <w:highlight w:val="none"/>
        </w:rPr>
        <w:fldChar w:fldCharType="end"/>
      </w:r>
    </w:p>
    <w:p w14:paraId="27A19CC5">
      <w:pPr>
        <w:pStyle w:val="14"/>
        <w:tabs>
          <w:tab w:val="right" w:leader="dot" w:pos="9638"/>
        </w:tabs>
        <w:ind w:firstLine="420" w:firstLineChars="200"/>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_Toc17567 </w:instrText>
      </w:r>
      <w:r>
        <w:rPr>
          <w:rFonts w:hint="eastAsia" w:ascii="宋体" w:hAnsi="宋体" w:eastAsia="宋体" w:cs="宋体"/>
          <w:color w:val="auto"/>
          <w:szCs w:val="24"/>
          <w:highlight w:val="none"/>
        </w:rPr>
        <w:fldChar w:fldCharType="separate"/>
      </w:r>
      <w:r>
        <w:rPr>
          <w:rFonts w:hint="eastAsia" w:cs="黑体"/>
          <w:color w:val="auto"/>
          <w:highlight w:val="none"/>
        </w:rPr>
        <w:t>第一部分</w:t>
      </w:r>
      <w:r>
        <w:rPr>
          <w:color w:val="auto"/>
          <w:highlight w:val="none"/>
        </w:rPr>
        <w:t xml:space="preserve"> </w:t>
      </w:r>
      <w:r>
        <w:rPr>
          <w:rFonts w:hint="eastAsia" w:cs="黑体"/>
          <w:color w:val="auto"/>
          <w:highlight w:val="none"/>
        </w:rPr>
        <w:t>合同协议书</w:t>
      </w:r>
      <w:r>
        <w:rPr>
          <w:color w:val="auto"/>
          <w:highlight w:val="none"/>
        </w:rPr>
        <w:tab/>
      </w:r>
      <w:r>
        <w:rPr>
          <w:color w:val="auto"/>
          <w:highlight w:val="none"/>
        </w:rPr>
        <w:fldChar w:fldCharType="begin"/>
      </w:r>
      <w:r>
        <w:rPr>
          <w:color w:val="auto"/>
          <w:highlight w:val="none"/>
        </w:rPr>
        <w:instrText xml:space="preserve"> PAGEREF _Toc17567 \h </w:instrText>
      </w:r>
      <w:r>
        <w:rPr>
          <w:color w:val="auto"/>
          <w:highlight w:val="none"/>
        </w:rPr>
        <w:fldChar w:fldCharType="separate"/>
      </w:r>
      <w:r>
        <w:rPr>
          <w:color w:val="auto"/>
          <w:highlight w:val="none"/>
        </w:rPr>
        <w:t>47</w:t>
      </w:r>
      <w:r>
        <w:rPr>
          <w:color w:val="auto"/>
          <w:highlight w:val="none"/>
        </w:rPr>
        <w:fldChar w:fldCharType="end"/>
      </w:r>
      <w:r>
        <w:rPr>
          <w:rFonts w:hint="eastAsia" w:ascii="宋体" w:hAnsi="宋体" w:eastAsia="宋体" w:cs="宋体"/>
          <w:color w:val="auto"/>
          <w:szCs w:val="24"/>
          <w:highlight w:val="none"/>
        </w:rPr>
        <w:fldChar w:fldCharType="end"/>
      </w:r>
    </w:p>
    <w:p w14:paraId="61A4BB59">
      <w:pPr>
        <w:pStyle w:val="14"/>
        <w:tabs>
          <w:tab w:val="right" w:leader="dot" w:pos="9638"/>
        </w:tabs>
        <w:ind w:firstLine="420" w:firstLineChars="200"/>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_Toc19940 </w:instrText>
      </w:r>
      <w:r>
        <w:rPr>
          <w:rFonts w:hint="eastAsia" w:ascii="宋体" w:hAnsi="宋体" w:eastAsia="宋体" w:cs="宋体"/>
          <w:color w:val="auto"/>
          <w:szCs w:val="24"/>
          <w:highlight w:val="none"/>
        </w:rPr>
        <w:fldChar w:fldCharType="separate"/>
      </w:r>
      <w:r>
        <w:rPr>
          <w:rFonts w:hint="eastAsia" w:cs="黑体"/>
          <w:color w:val="auto"/>
          <w:highlight w:val="none"/>
        </w:rPr>
        <w:t>第二部分</w:t>
      </w:r>
      <w:r>
        <w:rPr>
          <w:color w:val="auto"/>
          <w:highlight w:val="none"/>
        </w:rPr>
        <w:t xml:space="preserve"> </w:t>
      </w:r>
      <w:r>
        <w:rPr>
          <w:rFonts w:hint="eastAsia" w:cs="黑体"/>
          <w:color w:val="auto"/>
          <w:highlight w:val="none"/>
        </w:rPr>
        <w:t>通用合同条款</w:t>
      </w:r>
      <w:r>
        <w:rPr>
          <w:color w:val="auto"/>
          <w:highlight w:val="none"/>
        </w:rPr>
        <w:tab/>
      </w:r>
      <w:r>
        <w:rPr>
          <w:color w:val="auto"/>
          <w:highlight w:val="none"/>
        </w:rPr>
        <w:fldChar w:fldCharType="begin"/>
      </w:r>
      <w:r>
        <w:rPr>
          <w:color w:val="auto"/>
          <w:highlight w:val="none"/>
        </w:rPr>
        <w:instrText xml:space="preserve"> PAGEREF _Toc19940 \h </w:instrText>
      </w:r>
      <w:r>
        <w:rPr>
          <w:color w:val="auto"/>
          <w:highlight w:val="none"/>
        </w:rPr>
        <w:fldChar w:fldCharType="separate"/>
      </w:r>
      <w:r>
        <w:rPr>
          <w:color w:val="auto"/>
          <w:highlight w:val="none"/>
        </w:rPr>
        <w:t>49</w:t>
      </w:r>
      <w:r>
        <w:rPr>
          <w:color w:val="auto"/>
          <w:highlight w:val="none"/>
        </w:rPr>
        <w:fldChar w:fldCharType="end"/>
      </w:r>
      <w:r>
        <w:rPr>
          <w:rFonts w:hint="eastAsia" w:ascii="宋体" w:hAnsi="宋体" w:eastAsia="宋体" w:cs="宋体"/>
          <w:color w:val="auto"/>
          <w:szCs w:val="24"/>
          <w:highlight w:val="none"/>
        </w:rPr>
        <w:fldChar w:fldCharType="end"/>
      </w:r>
    </w:p>
    <w:p w14:paraId="5ED4756F">
      <w:pPr>
        <w:pStyle w:val="14"/>
        <w:tabs>
          <w:tab w:val="right" w:leader="dot" w:pos="9638"/>
        </w:tabs>
        <w:ind w:firstLine="420" w:firstLineChars="200"/>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_Toc17501 </w:instrText>
      </w:r>
      <w:r>
        <w:rPr>
          <w:rFonts w:hint="eastAsia" w:ascii="宋体" w:hAnsi="宋体" w:eastAsia="宋体" w:cs="宋体"/>
          <w:color w:val="auto"/>
          <w:szCs w:val="24"/>
          <w:highlight w:val="none"/>
        </w:rPr>
        <w:fldChar w:fldCharType="separate"/>
      </w:r>
      <w:r>
        <w:rPr>
          <w:rFonts w:hint="eastAsia" w:hAnsi="宋体" w:cs="黑体"/>
          <w:color w:val="auto"/>
          <w:szCs w:val="30"/>
          <w:highlight w:val="none"/>
        </w:rPr>
        <w:t>第三部分</w:t>
      </w:r>
      <w:r>
        <w:rPr>
          <w:color w:val="auto"/>
          <w:szCs w:val="30"/>
          <w:highlight w:val="none"/>
        </w:rPr>
        <w:t xml:space="preserve"> </w:t>
      </w:r>
      <w:r>
        <w:rPr>
          <w:rFonts w:hint="eastAsia" w:hAnsi="宋体" w:cs="黑体"/>
          <w:color w:val="auto"/>
          <w:szCs w:val="30"/>
          <w:highlight w:val="none"/>
        </w:rPr>
        <w:t>专用合同条款</w:t>
      </w:r>
      <w:r>
        <w:rPr>
          <w:color w:val="auto"/>
          <w:highlight w:val="none"/>
        </w:rPr>
        <w:tab/>
      </w:r>
      <w:r>
        <w:rPr>
          <w:color w:val="auto"/>
          <w:highlight w:val="none"/>
        </w:rPr>
        <w:fldChar w:fldCharType="begin"/>
      </w:r>
      <w:r>
        <w:rPr>
          <w:color w:val="auto"/>
          <w:highlight w:val="none"/>
        </w:rPr>
        <w:instrText xml:space="preserve"> PAGEREF _Toc17501 \h </w:instrText>
      </w:r>
      <w:r>
        <w:rPr>
          <w:color w:val="auto"/>
          <w:highlight w:val="none"/>
        </w:rPr>
        <w:fldChar w:fldCharType="separate"/>
      </w:r>
      <w:r>
        <w:rPr>
          <w:color w:val="auto"/>
          <w:highlight w:val="none"/>
        </w:rPr>
        <w:t>50</w:t>
      </w:r>
      <w:r>
        <w:rPr>
          <w:color w:val="auto"/>
          <w:highlight w:val="none"/>
        </w:rPr>
        <w:fldChar w:fldCharType="end"/>
      </w:r>
      <w:r>
        <w:rPr>
          <w:rFonts w:hint="eastAsia" w:ascii="宋体" w:hAnsi="宋体" w:eastAsia="宋体" w:cs="宋体"/>
          <w:color w:val="auto"/>
          <w:szCs w:val="24"/>
          <w:highlight w:val="none"/>
        </w:rPr>
        <w:fldChar w:fldCharType="end"/>
      </w:r>
    </w:p>
    <w:p w14:paraId="0357056D">
      <w:pPr>
        <w:pStyle w:val="14"/>
        <w:tabs>
          <w:tab w:val="right" w:leader="dot" w:pos="9638"/>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_Toc23994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_Toc23994 \h </w:instrText>
      </w:r>
      <w:r>
        <w:rPr>
          <w:color w:val="auto"/>
          <w:highlight w:val="none"/>
        </w:rPr>
        <w:fldChar w:fldCharType="separate"/>
      </w:r>
      <w:r>
        <w:rPr>
          <w:color w:val="auto"/>
          <w:highlight w:val="none"/>
        </w:rPr>
        <w:t>87</w:t>
      </w:r>
      <w:r>
        <w:rPr>
          <w:color w:val="auto"/>
          <w:highlight w:val="none"/>
        </w:rPr>
        <w:fldChar w:fldCharType="end"/>
      </w:r>
      <w:r>
        <w:rPr>
          <w:rFonts w:hint="eastAsia" w:ascii="宋体" w:hAnsi="宋体" w:eastAsia="宋体" w:cs="宋体"/>
          <w:color w:val="auto"/>
          <w:szCs w:val="24"/>
          <w:highlight w:val="none"/>
        </w:rPr>
        <w:fldChar w:fldCharType="end"/>
      </w:r>
    </w:p>
    <w:p w14:paraId="2AE97FE0">
      <w:pPr>
        <w:pStyle w:val="16"/>
        <w:tabs>
          <w:tab w:val="right" w:leader="dot" w:pos="9638"/>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_Toc6317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28"/>
          <w:highlight w:val="none"/>
        </w:rPr>
        <w:t>第一节 投标文件外层包装封面</w:t>
      </w:r>
      <w:r>
        <w:rPr>
          <w:color w:val="auto"/>
          <w:highlight w:val="none"/>
        </w:rPr>
        <w:tab/>
      </w:r>
      <w:r>
        <w:rPr>
          <w:color w:val="auto"/>
          <w:highlight w:val="none"/>
        </w:rPr>
        <w:fldChar w:fldCharType="begin"/>
      </w:r>
      <w:r>
        <w:rPr>
          <w:color w:val="auto"/>
          <w:highlight w:val="none"/>
        </w:rPr>
        <w:instrText xml:space="preserve"> PAGEREF _Toc6317 \h </w:instrText>
      </w:r>
      <w:r>
        <w:rPr>
          <w:color w:val="auto"/>
          <w:highlight w:val="none"/>
        </w:rPr>
        <w:fldChar w:fldCharType="separate"/>
      </w:r>
      <w:r>
        <w:rPr>
          <w:color w:val="auto"/>
          <w:highlight w:val="none"/>
        </w:rPr>
        <w:t>88</w:t>
      </w:r>
      <w:r>
        <w:rPr>
          <w:color w:val="auto"/>
          <w:highlight w:val="none"/>
        </w:rPr>
        <w:fldChar w:fldCharType="end"/>
      </w:r>
      <w:r>
        <w:rPr>
          <w:rFonts w:hint="eastAsia" w:ascii="宋体" w:hAnsi="宋体" w:eastAsia="宋体" w:cs="宋体"/>
          <w:color w:val="auto"/>
          <w:szCs w:val="24"/>
          <w:highlight w:val="none"/>
        </w:rPr>
        <w:fldChar w:fldCharType="end"/>
      </w:r>
    </w:p>
    <w:p w14:paraId="74B4607E">
      <w:pPr>
        <w:pStyle w:val="16"/>
        <w:tabs>
          <w:tab w:val="right" w:leader="dot" w:pos="9638"/>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_Toc7317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28"/>
          <w:highlight w:val="none"/>
        </w:rPr>
        <w:t>第二节 资格证明文件格式</w:t>
      </w:r>
      <w:r>
        <w:rPr>
          <w:color w:val="auto"/>
          <w:highlight w:val="none"/>
        </w:rPr>
        <w:tab/>
      </w:r>
      <w:r>
        <w:rPr>
          <w:color w:val="auto"/>
          <w:highlight w:val="none"/>
        </w:rPr>
        <w:fldChar w:fldCharType="begin"/>
      </w:r>
      <w:r>
        <w:rPr>
          <w:color w:val="auto"/>
          <w:highlight w:val="none"/>
        </w:rPr>
        <w:instrText xml:space="preserve"> PAGEREF _Toc7317 \h </w:instrText>
      </w:r>
      <w:r>
        <w:rPr>
          <w:color w:val="auto"/>
          <w:highlight w:val="none"/>
        </w:rPr>
        <w:fldChar w:fldCharType="separate"/>
      </w:r>
      <w:r>
        <w:rPr>
          <w:color w:val="auto"/>
          <w:highlight w:val="none"/>
        </w:rPr>
        <w:t>89</w:t>
      </w:r>
      <w:r>
        <w:rPr>
          <w:color w:val="auto"/>
          <w:highlight w:val="none"/>
        </w:rPr>
        <w:fldChar w:fldCharType="end"/>
      </w:r>
      <w:r>
        <w:rPr>
          <w:rFonts w:hint="eastAsia" w:ascii="宋体" w:hAnsi="宋体" w:eastAsia="宋体" w:cs="宋体"/>
          <w:color w:val="auto"/>
          <w:szCs w:val="24"/>
          <w:highlight w:val="none"/>
        </w:rPr>
        <w:fldChar w:fldCharType="end"/>
      </w:r>
    </w:p>
    <w:p w14:paraId="4C1BC32F">
      <w:pPr>
        <w:pStyle w:val="16"/>
        <w:tabs>
          <w:tab w:val="right" w:leader="dot" w:pos="9638"/>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_Toc26695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28"/>
          <w:highlight w:val="none"/>
        </w:rPr>
        <w:t>第三节 商务文件格式</w:t>
      </w:r>
      <w:r>
        <w:rPr>
          <w:color w:val="auto"/>
          <w:highlight w:val="none"/>
        </w:rPr>
        <w:tab/>
      </w:r>
      <w:r>
        <w:rPr>
          <w:color w:val="auto"/>
          <w:highlight w:val="none"/>
        </w:rPr>
        <w:fldChar w:fldCharType="begin"/>
      </w:r>
      <w:r>
        <w:rPr>
          <w:color w:val="auto"/>
          <w:highlight w:val="none"/>
        </w:rPr>
        <w:instrText xml:space="preserve"> PAGEREF _Toc26695 \h </w:instrText>
      </w:r>
      <w:r>
        <w:rPr>
          <w:color w:val="auto"/>
          <w:highlight w:val="none"/>
        </w:rPr>
        <w:fldChar w:fldCharType="separate"/>
      </w:r>
      <w:r>
        <w:rPr>
          <w:color w:val="auto"/>
          <w:highlight w:val="none"/>
        </w:rPr>
        <w:t>102</w:t>
      </w:r>
      <w:r>
        <w:rPr>
          <w:color w:val="auto"/>
          <w:highlight w:val="none"/>
        </w:rPr>
        <w:fldChar w:fldCharType="end"/>
      </w:r>
      <w:r>
        <w:rPr>
          <w:rFonts w:hint="eastAsia" w:ascii="宋体" w:hAnsi="宋体" w:eastAsia="宋体" w:cs="宋体"/>
          <w:color w:val="auto"/>
          <w:szCs w:val="24"/>
          <w:highlight w:val="none"/>
        </w:rPr>
        <w:fldChar w:fldCharType="end"/>
      </w:r>
    </w:p>
    <w:p w14:paraId="04FBB607">
      <w:pPr>
        <w:pStyle w:val="16"/>
        <w:tabs>
          <w:tab w:val="right" w:leader="dot" w:pos="9638"/>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_Toc24033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28"/>
          <w:highlight w:val="none"/>
        </w:rPr>
        <w:t>第四节 技术文件格式</w:t>
      </w:r>
      <w:r>
        <w:rPr>
          <w:color w:val="auto"/>
          <w:highlight w:val="none"/>
        </w:rPr>
        <w:tab/>
      </w:r>
      <w:r>
        <w:rPr>
          <w:color w:val="auto"/>
          <w:highlight w:val="none"/>
        </w:rPr>
        <w:fldChar w:fldCharType="begin"/>
      </w:r>
      <w:r>
        <w:rPr>
          <w:color w:val="auto"/>
          <w:highlight w:val="none"/>
        </w:rPr>
        <w:instrText xml:space="preserve"> PAGEREF _Toc24033 \h </w:instrText>
      </w:r>
      <w:r>
        <w:rPr>
          <w:color w:val="auto"/>
          <w:highlight w:val="none"/>
        </w:rPr>
        <w:fldChar w:fldCharType="separate"/>
      </w:r>
      <w:r>
        <w:rPr>
          <w:color w:val="auto"/>
          <w:highlight w:val="none"/>
        </w:rPr>
        <w:t>113</w:t>
      </w:r>
      <w:r>
        <w:rPr>
          <w:color w:val="auto"/>
          <w:highlight w:val="none"/>
        </w:rPr>
        <w:fldChar w:fldCharType="end"/>
      </w:r>
      <w:r>
        <w:rPr>
          <w:rFonts w:hint="eastAsia" w:ascii="宋体" w:hAnsi="宋体" w:eastAsia="宋体" w:cs="宋体"/>
          <w:color w:val="auto"/>
          <w:szCs w:val="24"/>
          <w:highlight w:val="none"/>
        </w:rPr>
        <w:fldChar w:fldCharType="end"/>
      </w:r>
    </w:p>
    <w:p w14:paraId="3FC9A678">
      <w:pPr>
        <w:pStyle w:val="16"/>
        <w:tabs>
          <w:tab w:val="right" w:leader="dot" w:pos="9638"/>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_Toc30788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28"/>
          <w:highlight w:val="none"/>
        </w:rPr>
        <w:t>第五节 报价文件格式</w:t>
      </w:r>
      <w:r>
        <w:rPr>
          <w:color w:val="auto"/>
          <w:highlight w:val="none"/>
        </w:rPr>
        <w:tab/>
      </w:r>
      <w:r>
        <w:rPr>
          <w:color w:val="auto"/>
          <w:highlight w:val="none"/>
        </w:rPr>
        <w:fldChar w:fldCharType="begin"/>
      </w:r>
      <w:r>
        <w:rPr>
          <w:color w:val="auto"/>
          <w:highlight w:val="none"/>
        </w:rPr>
        <w:instrText xml:space="preserve"> PAGEREF _Toc30788 \h </w:instrText>
      </w:r>
      <w:r>
        <w:rPr>
          <w:color w:val="auto"/>
          <w:highlight w:val="none"/>
        </w:rPr>
        <w:fldChar w:fldCharType="separate"/>
      </w:r>
      <w:r>
        <w:rPr>
          <w:color w:val="auto"/>
          <w:highlight w:val="none"/>
        </w:rPr>
        <w:t>124</w:t>
      </w:r>
      <w:r>
        <w:rPr>
          <w:color w:val="auto"/>
          <w:highlight w:val="none"/>
        </w:rPr>
        <w:fldChar w:fldCharType="end"/>
      </w:r>
      <w:r>
        <w:rPr>
          <w:rFonts w:hint="eastAsia" w:ascii="宋体" w:hAnsi="宋体" w:eastAsia="宋体" w:cs="宋体"/>
          <w:color w:val="auto"/>
          <w:szCs w:val="24"/>
          <w:highlight w:val="none"/>
        </w:rPr>
        <w:fldChar w:fldCharType="end"/>
      </w:r>
    </w:p>
    <w:p w14:paraId="353057C3">
      <w:pPr>
        <w:pStyle w:val="16"/>
        <w:tabs>
          <w:tab w:val="right" w:leader="dot" w:pos="9638"/>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_Toc28077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28"/>
          <w:highlight w:val="none"/>
        </w:rPr>
        <w:t>第六节 其他文书、文件格式</w:t>
      </w:r>
      <w:r>
        <w:rPr>
          <w:color w:val="auto"/>
          <w:highlight w:val="none"/>
        </w:rPr>
        <w:tab/>
      </w:r>
      <w:r>
        <w:rPr>
          <w:color w:val="auto"/>
          <w:highlight w:val="none"/>
        </w:rPr>
        <w:fldChar w:fldCharType="begin"/>
      </w:r>
      <w:r>
        <w:rPr>
          <w:color w:val="auto"/>
          <w:highlight w:val="none"/>
        </w:rPr>
        <w:instrText xml:space="preserve"> PAGEREF _Toc28077 \h </w:instrText>
      </w:r>
      <w:r>
        <w:rPr>
          <w:color w:val="auto"/>
          <w:highlight w:val="none"/>
        </w:rPr>
        <w:fldChar w:fldCharType="separate"/>
      </w:r>
      <w:r>
        <w:rPr>
          <w:color w:val="auto"/>
          <w:highlight w:val="none"/>
        </w:rPr>
        <w:t>129</w:t>
      </w:r>
      <w:r>
        <w:rPr>
          <w:color w:val="auto"/>
          <w:highlight w:val="none"/>
        </w:rPr>
        <w:fldChar w:fldCharType="end"/>
      </w:r>
      <w:r>
        <w:rPr>
          <w:rFonts w:hint="eastAsia" w:ascii="宋体" w:hAnsi="宋体" w:eastAsia="宋体" w:cs="宋体"/>
          <w:color w:val="auto"/>
          <w:szCs w:val="24"/>
          <w:highlight w:val="none"/>
        </w:rPr>
        <w:fldChar w:fldCharType="end"/>
      </w:r>
    </w:p>
    <w:p w14:paraId="19CB793B">
      <w:pPr>
        <w:pStyle w:val="14"/>
        <w:tabs>
          <w:tab w:val="right" w:leader="dot" w:pos="9638"/>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_Toc17557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第七章 工程量清单、图纸</w:t>
      </w:r>
      <w:r>
        <w:rPr>
          <w:color w:val="auto"/>
          <w:highlight w:val="none"/>
        </w:rPr>
        <w:tab/>
      </w:r>
      <w:r>
        <w:rPr>
          <w:color w:val="auto"/>
          <w:highlight w:val="none"/>
        </w:rPr>
        <w:fldChar w:fldCharType="begin"/>
      </w:r>
      <w:r>
        <w:rPr>
          <w:color w:val="auto"/>
          <w:highlight w:val="none"/>
        </w:rPr>
        <w:instrText xml:space="preserve"> PAGEREF _Toc17557 \h </w:instrText>
      </w:r>
      <w:r>
        <w:rPr>
          <w:color w:val="auto"/>
          <w:highlight w:val="none"/>
        </w:rPr>
        <w:fldChar w:fldCharType="separate"/>
      </w:r>
      <w:r>
        <w:rPr>
          <w:color w:val="auto"/>
          <w:highlight w:val="none"/>
        </w:rPr>
        <w:t>131</w:t>
      </w:r>
      <w:r>
        <w:rPr>
          <w:color w:val="auto"/>
          <w:highlight w:val="none"/>
        </w:rPr>
        <w:fldChar w:fldCharType="end"/>
      </w:r>
      <w:r>
        <w:rPr>
          <w:rFonts w:hint="eastAsia" w:ascii="宋体" w:hAnsi="宋体" w:eastAsia="宋体" w:cs="宋体"/>
          <w:color w:val="auto"/>
          <w:szCs w:val="24"/>
          <w:highlight w:val="none"/>
        </w:rPr>
        <w:fldChar w:fldCharType="end"/>
      </w:r>
    </w:p>
    <w:p w14:paraId="55C2206F">
      <w:pPr>
        <w:pStyle w:val="14"/>
        <w:tabs>
          <w:tab w:val="right" w:leader="dot" w:pos="9638"/>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_Toc2564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w:t>
      </w:r>
      <w:r>
        <w:rPr>
          <w:rFonts w:hint="eastAsia" w:hAnsi="宋体" w:cs="宋体"/>
          <w:color w:val="auto"/>
          <w:highlight w:val="none"/>
          <w:lang w:val="en-US" w:eastAsia="zh-CN"/>
        </w:rPr>
        <w:t>八</w:t>
      </w:r>
      <w:r>
        <w:rPr>
          <w:rFonts w:hint="eastAsia" w:ascii="宋体" w:hAnsi="宋体" w:eastAsia="宋体" w:cs="宋体"/>
          <w:color w:val="auto"/>
          <w:highlight w:val="none"/>
        </w:rPr>
        <w:t>章 质疑、投诉证明材料格式</w:t>
      </w:r>
      <w:r>
        <w:rPr>
          <w:color w:val="auto"/>
          <w:highlight w:val="none"/>
        </w:rPr>
        <w:tab/>
      </w:r>
      <w:r>
        <w:rPr>
          <w:color w:val="auto"/>
          <w:highlight w:val="none"/>
        </w:rPr>
        <w:fldChar w:fldCharType="begin"/>
      </w:r>
      <w:r>
        <w:rPr>
          <w:color w:val="auto"/>
          <w:highlight w:val="none"/>
        </w:rPr>
        <w:instrText xml:space="preserve"> PAGEREF _Toc2564 \h </w:instrText>
      </w:r>
      <w:r>
        <w:rPr>
          <w:color w:val="auto"/>
          <w:highlight w:val="none"/>
        </w:rPr>
        <w:fldChar w:fldCharType="separate"/>
      </w:r>
      <w:r>
        <w:rPr>
          <w:color w:val="auto"/>
          <w:highlight w:val="none"/>
        </w:rPr>
        <w:t>132</w:t>
      </w:r>
      <w:r>
        <w:rPr>
          <w:color w:val="auto"/>
          <w:highlight w:val="none"/>
        </w:rPr>
        <w:fldChar w:fldCharType="end"/>
      </w:r>
      <w:r>
        <w:rPr>
          <w:rFonts w:hint="eastAsia" w:ascii="宋体" w:hAnsi="宋体" w:eastAsia="宋体" w:cs="宋体"/>
          <w:color w:val="auto"/>
          <w:szCs w:val="24"/>
          <w:highlight w:val="none"/>
        </w:rPr>
        <w:fldChar w:fldCharType="end"/>
      </w:r>
    </w:p>
    <w:p w14:paraId="5B535879">
      <w:pPr>
        <w:pStyle w:val="16"/>
        <w:tabs>
          <w:tab w:val="right" w:leader="dot" w:pos="9638"/>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_Toc8064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第一节 质疑函（格式）</w:t>
      </w:r>
      <w:r>
        <w:rPr>
          <w:color w:val="auto"/>
          <w:highlight w:val="none"/>
        </w:rPr>
        <w:tab/>
      </w:r>
      <w:r>
        <w:rPr>
          <w:color w:val="auto"/>
          <w:highlight w:val="none"/>
        </w:rPr>
        <w:fldChar w:fldCharType="begin"/>
      </w:r>
      <w:r>
        <w:rPr>
          <w:color w:val="auto"/>
          <w:highlight w:val="none"/>
        </w:rPr>
        <w:instrText xml:space="preserve"> PAGEREF _Toc8064 \h </w:instrText>
      </w:r>
      <w:r>
        <w:rPr>
          <w:color w:val="auto"/>
          <w:highlight w:val="none"/>
        </w:rPr>
        <w:fldChar w:fldCharType="separate"/>
      </w:r>
      <w:r>
        <w:rPr>
          <w:color w:val="auto"/>
          <w:highlight w:val="none"/>
        </w:rPr>
        <w:t>133</w:t>
      </w:r>
      <w:r>
        <w:rPr>
          <w:color w:val="auto"/>
          <w:highlight w:val="none"/>
        </w:rPr>
        <w:fldChar w:fldCharType="end"/>
      </w:r>
      <w:r>
        <w:rPr>
          <w:rFonts w:hint="eastAsia" w:ascii="宋体" w:hAnsi="宋体" w:eastAsia="宋体" w:cs="宋体"/>
          <w:color w:val="auto"/>
          <w:szCs w:val="24"/>
          <w:highlight w:val="none"/>
        </w:rPr>
        <w:fldChar w:fldCharType="end"/>
      </w:r>
    </w:p>
    <w:p w14:paraId="4973B3ED">
      <w:pPr>
        <w:pStyle w:val="16"/>
        <w:tabs>
          <w:tab w:val="right" w:leader="dot" w:pos="9638"/>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_Toc27587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第二节 投诉书（格式）</w:t>
      </w:r>
      <w:r>
        <w:rPr>
          <w:color w:val="auto"/>
          <w:highlight w:val="none"/>
        </w:rPr>
        <w:tab/>
      </w:r>
      <w:r>
        <w:rPr>
          <w:color w:val="auto"/>
          <w:highlight w:val="none"/>
        </w:rPr>
        <w:fldChar w:fldCharType="begin"/>
      </w:r>
      <w:r>
        <w:rPr>
          <w:color w:val="auto"/>
          <w:highlight w:val="none"/>
        </w:rPr>
        <w:instrText xml:space="preserve"> PAGEREF _Toc27587 \h </w:instrText>
      </w:r>
      <w:r>
        <w:rPr>
          <w:color w:val="auto"/>
          <w:highlight w:val="none"/>
        </w:rPr>
        <w:fldChar w:fldCharType="separate"/>
      </w:r>
      <w:r>
        <w:rPr>
          <w:color w:val="auto"/>
          <w:highlight w:val="none"/>
        </w:rPr>
        <w:t>135</w:t>
      </w:r>
      <w:r>
        <w:rPr>
          <w:color w:val="auto"/>
          <w:highlight w:val="none"/>
        </w:rPr>
        <w:fldChar w:fldCharType="end"/>
      </w:r>
      <w:r>
        <w:rPr>
          <w:rFonts w:hint="eastAsia" w:ascii="宋体" w:hAnsi="宋体" w:eastAsia="宋体" w:cs="宋体"/>
          <w:color w:val="auto"/>
          <w:szCs w:val="24"/>
          <w:highlight w:val="none"/>
        </w:rPr>
        <w:fldChar w:fldCharType="end"/>
      </w:r>
    </w:p>
    <w:p w14:paraId="77069039">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end"/>
      </w:r>
    </w:p>
    <w:p w14:paraId="574D495F">
      <w:pPr>
        <w:pStyle w:val="11"/>
        <w:jc w:val="center"/>
        <w:rPr>
          <w:rFonts w:hint="eastAsia" w:ascii="宋体" w:hAnsi="宋体" w:eastAsia="宋体" w:cs="宋体"/>
          <w:color w:val="auto"/>
          <w:highlight w:val="none"/>
        </w:rPr>
      </w:pPr>
    </w:p>
    <w:p w14:paraId="00AE7D36">
      <w:pPr>
        <w:pStyle w:val="11"/>
        <w:jc w:val="center"/>
        <w:outlineLvl w:val="0"/>
        <w:rPr>
          <w:rFonts w:hint="eastAsia" w:ascii="宋体" w:hAnsi="宋体" w:eastAsia="宋体" w:cs="宋体"/>
          <w:color w:val="auto"/>
          <w:highlight w:val="none"/>
        </w:rPr>
      </w:pPr>
      <w:r>
        <w:rPr>
          <w:rFonts w:hint="eastAsia" w:ascii="宋体" w:hAnsi="宋体" w:eastAsia="宋体" w:cs="宋体"/>
          <w:color w:val="auto"/>
          <w:highlight w:val="none"/>
        </w:rPr>
        <w:tab/>
      </w:r>
      <w:bookmarkStart w:id="8" w:name="_Toc532545041"/>
      <w:bookmarkStart w:id="9" w:name="_Toc8813"/>
    </w:p>
    <w:p w14:paraId="0B35AA25">
      <w:pPr>
        <w:pStyle w:val="11"/>
        <w:jc w:val="center"/>
        <w:outlineLvl w:val="0"/>
        <w:rPr>
          <w:rFonts w:hint="eastAsia" w:ascii="宋体" w:hAnsi="宋体" w:eastAsia="宋体" w:cs="宋体"/>
          <w:color w:val="auto"/>
          <w:highlight w:val="none"/>
        </w:rPr>
      </w:pPr>
    </w:p>
    <w:p w14:paraId="0F4BBA25">
      <w:pPr>
        <w:pStyle w:val="11"/>
        <w:jc w:val="center"/>
        <w:outlineLvl w:val="0"/>
        <w:rPr>
          <w:rFonts w:hint="eastAsia" w:ascii="宋体" w:hAnsi="宋体" w:eastAsia="宋体" w:cs="宋体"/>
          <w:color w:val="auto"/>
          <w:highlight w:val="none"/>
        </w:rPr>
      </w:pPr>
    </w:p>
    <w:p w14:paraId="31925CE8">
      <w:pPr>
        <w:pStyle w:val="11"/>
        <w:jc w:val="center"/>
        <w:outlineLvl w:val="0"/>
        <w:rPr>
          <w:rFonts w:hint="eastAsia" w:ascii="宋体" w:hAnsi="宋体" w:eastAsia="宋体" w:cs="宋体"/>
          <w:color w:val="auto"/>
          <w:highlight w:val="none"/>
        </w:rPr>
      </w:pPr>
    </w:p>
    <w:p w14:paraId="1D0FA42E">
      <w:pPr>
        <w:pStyle w:val="11"/>
        <w:jc w:val="center"/>
        <w:outlineLvl w:val="0"/>
        <w:rPr>
          <w:rFonts w:hint="eastAsia" w:ascii="宋体" w:hAnsi="宋体" w:eastAsia="宋体" w:cs="宋体"/>
          <w:b/>
          <w:color w:val="auto"/>
          <w:sz w:val="36"/>
          <w:highlight w:val="none"/>
        </w:rPr>
      </w:pPr>
    </w:p>
    <w:p w14:paraId="09E79876">
      <w:pPr>
        <w:pStyle w:val="11"/>
        <w:jc w:val="center"/>
        <w:outlineLvl w:val="0"/>
        <w:rPr>
          <w:rFonts w:hint="eastAsia" w:ascii="宋体" w:hAnsi="宋体" w:eastAsia="宋体" w:cs="宋体"/>
          <w:b/>
          <w:color w:val="auto"/>
          <w:sz w:val="36"/>
          <w:highlight w:val="none"/>
        </w:rPr>
      </w:pPr>
    </w:p>
    <w:p w14:paraId="7E02BE90">
      <w:pPr>
        <w:pStyle w:val="11"/>
        <w:jc w:val="center"/>
        <w:outlineLvl w:val="0"/>
        <w:rPr>
          <w:rFonts w:hint="eastAsia" w:ascii="宋体" w:hAnsi="宋体" w:eastAsia="宋体" w:cs="宋体"/>
          <w:b/>
          <w:color w:val="auto"/>
          <w:sz w:val="36"/>
          <w:highlight w:val="none"/>
        </w:rPr>
      </w:pPr>
    </w:p>
    <w:p w14:paraId="7AF74D4C">
      <w:pPr>
        <w:pStyle w:val="11"/>
        <w:jc w:val="center"/>
        <w:outlineLvl w:val="0"/>
        <w:rPr>
          <w:rFonts w:hint="eastAsia" w:ascii="宋体" w:hAnsi="宋体" w:eastAsia="宋体" w:cs="宋体"/>
          <w:b/>
          <w:color w:val="auto"/>
          <w:sz w:val="36"/>
          <w:highlight w:val="none"/>
        </w:rPr>
      </w:pPr>
    </w:p>
    <w:p w14:paraId="2653A9E9">
      <w:pPr>
        <w:pStyle w:val="11"/>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highlight w:val="none"/>
        </w:rPr>
        <w:t>第一章  招标公告</w:t>
      </w:r>
      <w:bookmarkEnd w:id="8"/>
      <w:bookmarkEnd w:id="9"/>
    </w:p>
    <w:p w14:paraId="55FB0E15">
      <w:pPr>
        <w:pStyle w:val="11"/>
        <w:jc w:val="center"/>
        <w:outlineLvl w:val="1"/>
        <w:rPr>
          <w:rFonts w:hint="eastAsia" w:ascii="宋体" w:hAnsi="宋体" w:eastAsia="宋体" w:cs="宋体"/>
          <w:b/>
          <w:color w:val="auto"/>
          <w:sz w:val="30"/>
          <w:szCs w:val="30"/>
          <w:highlight w:val="none"/>
        </w:rPr>
      </w:pPr>
      <w:bookmarkStart w:id="10" w:name="_Toc13897"/>
      <w:bookmarkStart w:id="11" w:name="_Toc9525"/>
      <w:r>
        <w:rPr>
          <w:rFonts w:hint="eastAsia" w:ascii="宋体" w:hAnsi="宋体" w:eastAsia="宋体" w:cs="宋体"/>
          <w:b/>
          <w:color w:val="auto"/>
          <w:sz w:val="30"/>
          <w:szCs w:val="30"/>
          <w:highlight w:val="none"/>
        </w:rPr>
        <w:t>公开招标公告</w:t>
      </w:r>
      <w:bookmarkEnd w:id="10"/>
      <w:bookmarkEnd w:id="11"/>
    </w:p>
    <w:tbl>
      <w:tblPr>
        <w:tblStyle w:val="21"/>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2"/>
      </w:tblGrid>
      <w:tr w14:paraId="1559D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2" w:type="dxa"/>
            <w:vAlign w:val="top"/>
          </w:tcPr>
          <w:p w14:paraId="1C2E82C1">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2"/>
                <w:szCs w:val="22"/>
                <w:highlight w:val="none"/>
              </w:rPr>
            </w:pPr>
            <w:bookmarkStart w:id="12" w:name="_Toc28359079"/>
            <w:bookmarkStart w:id="13" w:name="_Toc35393621"/>
            <w:bookmarkStart w:id="14" w:name="_Toc28359002"/>
            <w:bookmarkStart w:id="15" w:name="_Toc35393790"/>
            <w:bookmarkStart w:id="16" w:name="_Hlk24379207"/>
            <w:r>
              <w:rPr>
                <w:rFonts w:hint="eastAsia" w:ascii="宋体" w:hAnsi="宋体" w:eastAsia="宋体" w:cs="宋体"/>
                <w:color w:val="auto"/>
                <w:sz w:val="22"/>
                <w:szCs w:val="22"/>
                <w:highlight w:val="none"/>
              </w:rPr>
              <w:t>项目概况</w:t>
            </w:r>
          </w:p>
          <w:p w14:paraId="47BA2B3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bCs/>
                <w:color w:val="auto"/>
                <w:sz w:val="24"/>
                <w:highlight w:val="none"/>
                <w:vertAlign w:val="baseline"/>
              </w:rPr>
            </w:pP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布泉河乡村振兴特色带建设项目（布泉乡龙会村农文旅产业配套项目）</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招标项目的潜在投标人应在</w:t>
            </w:r>
            <w:r>
              <w:rPr>
                <w:rFonts w:hint="eastAsia" w:ascii="宋体" w:hAnsi="宋体" w:cs="宋体"/>
                <w:color w:val="auto"/>
                <w:szCs w:val="21"/>
                <w:highlight w:val="none"/>
                <w:u w:val="single"/>
                <w:lang w:eastAsia="zh-CN"/>
              </w:rPr>
              <w:t>广西政府采购云平台</w:t>
            </w:r>
            <w:r>
              <w:rPr>
                <w:rFonts w:hint="eastAsia" w:ascii="宋体" w:hAnsi="宋体" w:eastAsia="宋体" w:cs="宋体"/>
                <w:color w:val="auto"/>
                <w:szCs w:val="21"/>
                <w:highlight w:val="none"/>
                <w:u w:val="single"/>
                <w:lang w:eastAsia="zh-CN"/>
              </w:rPr>
              <w:t>（</w:t>
            </w:r>
            <w:r>
              <w:rPr>
                <w:rFonts w:hint="eastAsia" w:ascii="宋体" w:hAnsi="宋体" w:cs="宋体"/>
                <w:color w:val="auto"/>
                <w:szCs w:val="21"/>
                <w:highlight w:val="none"/>
                <w:u w:val="single"/>
                <w:lang w:eastAsia="zh-CN"/>
              </w:rPr>
              <w:t>https://www.gcy.zfcg.gxzf.gov.cn</w:t>
            </w:r>
            <w:r>
              <w:rPr>
                <w:rFonts w:hint="eastAsia" w:ascii="宋体" w:hAnsi="宋体" w:eastAsia="宋体" w:cs="宋体"/>
                <w:color w:val="auto"/>
                <w:szCs w:val="21"/>
                <w:highlight w:val="none"/>
                <w:u w:val="single"/>
                <w:lang w:eastAsia="zh-CN"/>
              </w:rPr>
              <w:t>）获取（下载）招标文件，并于</w:t>
            </w:r>
            <w:r>
              <w:rPr>
                <w:rFonts w:hint="eastAsia" w:ascii="宋体" w:hAnsi="宋体" w:cs="宋体"/>
                <w:color w:val="auto"/>
                <w:szCs w:val="21"/>
                <w:highlight w:val="none"/>
                <w:u w:val="single"/>
                <w:lang w:eastAsia="zh-CN"/>
              </w:rPr>
              <w:t>2025年11月</w:t>
            </w:r>
            <w:r>
              <w:rPr>
                <w:rFonts w:hint="eastAsia" w:ascii="宋体" w:hAnsi="宋体" w:cs="宋体"/>
                <w:color w:val="auto"/>
                <w:szCs w:val="21"/>
                <w:highlight w:val="none"/>
                <w:u w:val="single"/>
                <w:lang w:val="en-US" w:eastAsia="zh-CN"/>
              </w:rPr>
              <w:t>25</w:t>
            </w:r>
            <w:r>
              <w:rPr>
                <w:rFonts w:hint="eastAsia" w:ascii="宋体" w:hAnsi="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9点30分</w:t>
            </w:r>
            <w:r>
              <w:rPr>
                <w:rFonts w:hint="eastAsia" w:ascii="宋体" w:hAnsi="宋体" w:eastAsia="宋体" w:cs="宋体"/>
                <w:color w:val="auto"/>
                <w:szCs w:val="21"/>
                <w:highlight w:val="none"/>
              </w:rPr>
              <w:t>（北京时间）前递交（上传）投标文件。</w:t>
            </w:r>
          </w:p>
        </w:tc>
      </w:tr>
    </w:tbl>
    <w:p w14:paraId="555C9A8E">
      <w:pPr>
        <w:spacing w:line="360" w:lineRule="auto"/>
        <w:outlineLvl w:val="1"/>
        <w:rPr>
          <w:rFonts w:hint="eastAsia" w:ascii="宋体" w:hAnsi="宋体" w:eastAsia="宋体" w:cs="宋体"/>
          <w:b/>
          <w:bCs/>
          <w:color w:val="auto"/>
          <w:sz w:val="24"/>
          <w:highlight w:val="none"/>
        </w:rPr>
      </w:pPr>
      <w:bookmarkStart w:id="17" w:name="_Toc12377"/>
      <w:bookmarkStart w:id="18" w:name="_Toc21595"/>
      <w:r>
        <w:rPr>
          <w:rFonts w:hint="eastAsia" w:ascii="宋体" w:hAnsi="宋体" w:eastAsia="宋体" w:cs="宋体"/>
          <w:b/>
          <w:bCs/>
          <w:color w:val="auto"/>
          <w:sz w:val="24"/>
          <w:highlight w:val="none"/>
        </w:rPr>
        <w:t>一、项目基本情况</w:t>
      </w:r>
      <w:bookmarkEnd w:id="12"/>
      <w:bookmarkEnd w:id="13"/>
      <w:bookmarkEnd w:id="14"/>
      <w:bookmarkEnd w:id="15"/>
      <w:bookmarkEnd w:id="17"/>
      <w:bookmarkEnd w:id="18"/>
    </w:p>
    <w:p w14:paraId="1A8E9C68">
      <w:pPr>
        <w:spacing w:line="360" w:lineRule="auto"/>
        <w:ind w:firstLine="420" w:firstLineChars="200"/>
        <w:rPr>
          <w:rFonts w:hint="eastAsia" w:ascii="宋体" w:hAnsi="宋体" w:eastAsia="宋体" w:cs="宋体"/>
          <w:color w:val="auto"/>
          <w:szCs w:val="21"/>
          <w:highlight w:val="none"/>
          <w:u w:val="none"/>
          <w:lang w:val="en-US"/>
        </w:rPr>
      </w:pPr>
      <w:r>
        <w:rPr>
          <w:rFonts w:hint="eastAsia" w:ascii="宋体" w:hAnsi="宋体" w:eastAsia="宋体" w:cs="宋体"/>
          <w:color w:val="auto"/>
          <w:szCs w:val="21"/>
          <w:highlight w:val="none"/>
          <w:u w:val="none"/>
        </w:rPr>
        <w:t>项目编号：</w:t>
      </w:r>
      <w:r>
        <w:rPr>
          <w:rFonts w:hint="eastAsia" w:ascii="宋体" w:hAnsi="宋体" w:cs="宋体"/>
          <w:color w:val="auto"/>
          <w:szCs w:val="21"/>
          <w:highlight w:val="none"/>
          <w:u w:val="none"/>
          <w:lang w:val="en-US" w:eastAsia="zh-CN"/>
        </w:rPr>
        <w:t>NNZC2025-G2-230110-GDZB</w:t>
      </w:r>
    </w:p>
    <w:p w14:paraId="0BCCFEA5">
      <w:pPr>
        <w:spacing w:line="360" w:lineRule="auto"/>
        <w:ind w:firstLine="420" w:firstLineChars="200"/>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lang w:eastAsia="zh-CN"/>
        </w:rPr>
        <w:t>项目名称：</w:t>
      </w:r>
      <w:r>
        <w:rPr>
          <w:rFonts w:hint="eastAsia" w:ascii="宋体" w:hAnsi="宋体" w:cs="宋体"/>
          <w:color w:val="auto"/>
          <w:szCs w:val="21"/>
          <w:highlight w:val="none"/>
          <w:u w:val="none"/>
          <w:lang w:eastAsia="zh-CN"/>
        </w:rPr>
        <w:t>布泉河乡村振兴特色带建设项目（布泉乡龙会村农文旅产业配套项目）</w:t>
      </w:r>
    </w:p>
    <w:bookmarkEnd w:id="16"/>
    <w:p w14:paraId="58DB7722">
      <w:pPr>
        <w:spacing w:line="360" w:lineRule="auto"/>
        <w:ind w:firstLine="420" w:firstLineChars="200"/>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rPr>
        <w:t>预算金额：</w:t>
      </w:r>
      <w:r>
        <w:rPr>
          <w:rFonts w:hint="eastAsia" w:ascii="宋体" w:hAnsi="宋体" w:cs="宋体"/>
          <w:color w:val="auto"/>
          <w:szCs w:val="21"/>
          <w:highlight w:val="none"/>
          <w:u w:val="none"/>
          <w:lang w:eastAsia="zh-CN"/>
        </w:rPr>
        <w:t>人民币叁佰肆拾万零肆仟玖佰捌拾壹元捌角伍分（3404981.85元）</w:t>
      </w:r>
    </w:p>
    <w:p w14:paraId="0CB5E753">
      <w:pPr>
        <w:spacing w:line="360" w:lineRule="auto"/>
        <w:ind w:firstLine="420" w:firstLineChars="200"/>
        <w:rPr>
          <w:rFonts w:hint="eastAsia" w:ascii="宋体" w:hAnsi="宋体" w:eastAsia="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最高限价：</w:t>
      </w:r>
      <w:r>
        <w:rPr>
          <w:rFonts w:hint="eastAsia" w:ascii="宋体" w:hAnsi="宋体" w:cs="宋体"/>
          <w:color w:val="auto"/>
          <w:szCs w:val="21"/>
          <w:highlight w:val="none"/>
          <w:u w:val="none"/>
          <w:lang w:eastAsia="zh-CN"/>
        </w:rPr>
        <w:t>人民币叁佰肆拾万零肆仟玖佰捌拾壹元捌角伍分（3404981.85元）</w:t>
      </w:r>
    </w:p>
    <w:p w14:paraId="017DA4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采购需求：</w:t>
      </w:r>
    </w:p>
    <w:tbl>
      <w:tblPr>
        <w:tblStyle w:val="20"/>
        <w:tblW w:w="96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9"/>
        <w:gridCol w:w="1946"/>
        <w:gridCol w:w="777"/>
        <w:gridCol w:w="832"/>
        <w:gridCol w:w="5355"/>
      </w:tblGrid>
      <w:tr w14:paraId="39AA13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49" w:type="dxa"/>
            <w:tcBorders>
              <w:top w:val="single" w:color="auto" w:sz="4" w:space="0"/>
              <w:left w:val="single" w:color="auto" w:sz="4" w:space="0"/>
              <w:bottom w:val="single" w:color="auto" w:sz="4" w:space="0"/>
              <w:right w:val="single" w:color="auto" w:sz="4" w:space="0"/>
            </w:tcBorders>
            <w:vAlign w:val="center"/>
          </w:tcPr>
          <w:p w14:paraId="146E9353">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946" w:type="dxa"/>
            <w:tcBorders>
              <w:top w:val="single" w:color="auto" w:sz="4" w:space="0"/>
              <w:left w:val="single" w:color="auto" w:sz="4" w:space="0"/>
              <w:bottom w:val="single" w:color="auto" w:sz="4" w:space="0"/>
              <w:right w:val="single" w:color="auto" w:sz="4" w:space="0"/>
            </w:tcBorders>
            <w:vAlign w:val="center"/>
          </w:tcPr>
          <w:p w14:paraId="73D3D7F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标的的名称</w:t>
            </w:r>
          </w:p>
        </w:tc>
        <w:tc>
          <w:tcPr>
            <w:tcW w:w="777" w:type="dxa"/>
            <w:tcBorders>
              <w:top w:val="single" w:color="auto" w:sz="4" w:space="0"/>
              <w:left w:val="single" w:color="auto" w:sz="4" w:space="0"/>
              <w:bottom w:val="single" w:color="auto" w:sz="4" w:space="0"/>
              <w:right w:val="single" w:color="auto" w:sz="4" w:space="0"/>
            </w:tcBorders>
            <w:vAlign w:val="center"/>
          </w:tcPr>
          <w:p w14:paraId="4EBB0B6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832" w:type="dxa"/>
            <w:tcBorders>
              <w:top w:val="single" w:color="auto" w:sz="4" w:space="0"/>
              <w:left w:val="single" w:color="auto" w:sz="4" w:space="0"/>
              <w:bottom w:val="single" w:color="auto" w:sz="4" w:space="0"/>
              <w:right w:val="single" w:color="auto" w:sz="4" w:space="0"/>
            </w:tcBorders>
            <w:vAlign w:val="center"/>
          </w:tcPr>
          <w:p w14:paraId="4D465F2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5355" w:type="dxa"/>
            <w:tcBorders>
              <w:top w:val="single" w:color="auto" w:sz="4" w:space="0"/>
              <w:left w:val="single" w:color="auto" w:sz="4" w:space="0"/>
              <w:bottom w:val="single" w:color="auto" w:sz="4" w:space="0"/>
              <w:right w:val="single" w:color="auto" w:sz="4" w:space="0"/>
            </w:tcBorders>
            <w:vAlign w:val="center"/>
          </w:tcPr>
          <w:p w14:paraId="5C0D825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简要技术需求</w:t>
            </w:r>
          </w:p>
        </w:tc>
      </w:tr>
      <w:tr w14:paraId="68A73D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49" w:type="dxa"/>
            <w:tcBorders>
              <w:top w:val="single" w:color="auto" w:sz="4" w:space="0"/>
              <w:left w:val="single" w:color="auto" w:sz="4" w:space="0"/>
              <w:bottom w:val="single" w:color="auto" w:sz="4" w:space="0"/>
              <w:right w:val="single" w:color="auto" w:sz="4" w:space="0"/>
            </w:tcBorders>
            <w:vAlign w:val="center"/>
          </w:tcPr>
          <w:p w14:paraId="2E8EFBC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1946" w:type="dxa"/>
            <w:tcBorders>
              <w:top w:val="single" w:color="auto" w:sz="4" w:space="0"/>
              <w:left w:val="single" w:color="auto" w:sz="4" w:space="0"/>
              <w:bottom w:val="single" w:color="auto" w:sz="4" w:space="0"/>
              <w:right w:val="single" w:color="auto" w:sz="4" w:space="0"/>
            </w:tcBorders>
            <w:vAlign w:val="center"/>
          </w:tcPr>
          <w:p w14:paraId="51EFB255">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布泉河乡村振兴特色带建设项目（布泉乡龙会村农文旅产业配套项目）</w:t>
            </w:r>
          </w:p>
        </w:tc>
        <w:tc>
          <w:tcPr>
            <w:tcW w:w="777" w:type="dxa"/>
            <w:tcBorders>
              <w:top w:val="single" w:color="auto" w:sz="4" w:space="0"/>
              <w:left w:val="single" w:color="auto" w:sz="4" w:space="0"/>
              <w:bottom w:val="single" w:color="auto" w:sz="4" w:space="0"/>
              <w:right w:val="single" w:color="auto" w:sz="4" w:space="0"/>
            </w:tcBorders>
            <w:vAlign w:val="center"/>
          </w:tcPr>
          <w:p w14:paraId="41E9B4F2">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项</w:t>
            </w:r>
          </w:p>
        </w:tc>
        <w:tc>
          <w:tcPr>
            <w:tcW w:w="832" w:type="dxa"/>
            <w:tcBorders>
              <w:top w:val="single" w:color="auto" w:sz="4" w:space="0"/>
              <w:left w:val="single" w:color="auto" w:sz="4" w:space="0"/>
              <w:bottom w:val="single" w:color="auto" w:sz="4" w:space="0"/>
              <w:right w:val="single" w:color="auto" w:sz="4" w:space="0"/>
            </w:tcBorders>
            <w:vAlign w:val="center"/>
          </w:tcPr>
          <w:p w14:paraId="26C5FAC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5355" w:type="dxa"/>
            <w:tcBorders>
              <w:top w:val="single" w:color="auto" w:sz="4" w:space="0"/>
              <w:left w:val="single" w:color="auto" w:sz="4" w:space="0"/>
              <w:bottom w:val="single" w:color="auto" w:sz="4" w:space="0"/>
              <w:right w:val="single" w:color="auto" w:sz="4" w:space="0"/>
            </w:tcBorders>
            <w:vAlign w:val="center"/>
          </w:tcPr>
          <w:p w14:paraId="45A75F7C">
            <w:pPr>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采购范围</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建设内容包含：1.布泉河源头景观改造，包括建设布泉河景区游客中心、茶咖小屋、亲水平台、彩绘长廊、浆板码头、园林绿化、景观电气给排水等；2.建设桃花岛码头、溯泉听布营地服务中心、钓鱼平台、景观电气给排水等；3.龙会村中木平台、室外景观、园林绿化改造等</w:t>
            </w:r>
            <w:r>
              <w:rPr>
                <w:rFonts w:hint="eastAsia" w:ascii="宋体" w:hAnsi="宋体" w:eastAsia="宋体" w:cs="宋体"/>
                <w:color w:val="auto"/>
                <w:szCs w:val="21"/>
                <w:highlight w:val="none"/>
                <w:lang w:val="en-US" w:eastAsia="zh-CN"/>
              </w:rPr>
              <w:t>；具体内容以图纸及工程量清单为准</w:t>
            </w:r>
            <w:r>
              <w:rPr>
                <w:rFonts w:hint="eastAsia" w:ascii="宋体" w:hAnsi="宋体" w:eastAsia="宋体" w:cs="宋体"/>
                <w:color w:val="auto"/>
                <w:szCs w:val="21"/>
                <w:highlight w:val="none"/>
              </w:rPr>
              <w:t>。</w:t>
            </w:r>
          </w:p>
          <w:p w14:paraId="05DF9597">
            <w:pPr>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质量要求：满足国家、行业、控制标准和验收规范，在质量管理过程中达到或超过质量标准，通过各级验收合格。</w:t>
            </w:r>
          </w:p>
          <w:p w14:paraId="43288255">
            <w:pPr>
              <w:spacing w:line="34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......具体内容详见工程量清单及图纸。</w:t>
            </w:r>
          </w:p>
        </w:tc>
      </w:tr>
    </w:tbl>
    <w:p w14:paraId="2B556218">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合同履行期限：具体详见采购文件“第二章采购需求”商务条款。</w:t>
      </w:r>
    </w:p>
    <w:p w14:paraId="003D145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本项目是否接受联合体投标：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否。</w:t>
      </w:r>
    </w:p>
    <w:p w14:paraId="1C8386F9">
      <w:pPr>
        <w:spacing w:line="360" w:lineRule="auto"/>
        <w:outlineLvl w:val="1"/>
        <w:rPr>
          <w:rFonts w:hint="eastAsia" w:ascii="宋体" w:hAnsi="宋体" w:eastAsia="宋体" w:cs="宋体"/>
          <w:b/>
          <w:bCs/>
          <w:color w:val="auto"/>
          <w:sz w:val="24"/>
          <w:highlight w:val="none"/>
        </w:rPr>
      </w:pPr>
      <w:bookmarkStart w:id="19" w:name="_Toc19828"/>
      <w:bookmarkStart w:id="20" w:name="_Toc9510"/>
      <w:bookmarkStart w:id="21" w:name="_Toc35393791"/>
      <w:bookmarkStart w:id="22" w:name="_Toc35393622"/>
      <w:bookmarkStart w:id="23" w:name="_Toc28359003"/>
      <w:bookmarkStart w:id="24" w:name="_Toc28359080"/>
      <w:r>
        <w:rPr>
          <w:rFonts w:hint="eastAsia" w:ascii="宋体" w:hAnsi="宋体" w:eastAsia="宋体" w:cs="宋体"/>
          <w:b/>
          <w:bCs/>
          <w:color w:val="auto"/>
          <w:sz w:val="24"/>
          <w:highlight w:val="none"/>
        </w:rPr>
        <w:t>二、投标人的资格要求：</w:t>
      </w:r>
      <w:bookmarkEnd w:id="19"/>
      <w:bookmarkEnd w:id="20"/>
      <w:bookmarkEnd w:id="21"/>
      <w:bookmarkEnd w:id="22"/>
      <w:bookmarkEnd w:id="23"/>
      <w:bookmarkEnd w:id="24"/>
    </w:p>
    <w:p w14:paraId="10768E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0BF98034">
      <w:pPr>
        <w:spacing w:line="360" w:lineRule="auto"/>
        <w:ind w:firstLine="420" w:firstLineChars="200"/>
        <w:rPr>
          <w:rFonts w:hint="eastAsia" w:ascii="宋体" w:hAnsi="宋体" w:eastAsia="宋体" w:cs="宋体"/>
          <w:color w:val="auto"/>
          <w:szCs w:val="21"/>
          <w:highlight w:val="none"/>
          <w:lang w:eastAsia="zh-CN"/>
        </w:rPr>
      </w:pPr>
      <w:bookmarkStart w:id="25" w:name="_Toc28359004"/>
      <w:bookmarkStart w:id="26" w:name="_Toc28359081"/>
      <w:r>
        <w:rPr>
          <w:rFonts w:hint="eastAsia" w:ascii="宋体" w:hAnsi="宋体" w:eastAsia="宋体" w:cs="宋体"/>
          <w:color w:val="auto"/>
          <w:szCs w:val="21"/>
          <w:highlight w:val="none"/>
        </w:rPr>
        <w:t>2.落实政府采购政策需满足的资格要求：</w:t>
      </w:r>
      <w:r>
        <w:rPr>
          <w:rFonts w:hint="eastAsia" w:ascii="宋体" w:hAnsi="宋体" w:cs="宋体"/>
          <w:color w:val="auto"/>
          <w:szCs w:val="21"/>
          <w:highlight w:val="none"/>
        </w:rPr>
        <w:t>专门面向</w:t>
      </w:r>
      <w:r>
        <w:rPr>
          <w:rFonts w:hint="eastAsia" w:ascii="宋体" w:hAnsi="宋体" w:cs="宋体"/>
          <w:color w:val="auto"/>
          <w:szCs w:val="21"/>
          <w:highlight w:val="none"/>
          <w:lang w:val="en-US" w:eastAsia="zh-CN"/>
        </w:rPr>
        <w:t>中小</w:t>
      </w:r>
      <w:r>
        <w:rPr>
          <w:rFonts w:hint="eastAsia" w:ascii="宋体" w:hAnsi="宋体" w:cs="宋体"/>
          <w:color w:val="auto"/>
          <w:szCs w:val="21"/>
          <w:highlight w:val="none"/>
          <w:lang w:eastAsia="zh-CN"/>
        </w:rPr>
        <w:t>企业</w:t>
      </w:r>
      <w:r>
        <w:rPr>
          <w:rFonts w:hint="eastAsia" w:ascii="宋体" w:hAnsi="宋体" w:cs="宋体"/>
          <w:color w:val="auto"/>
          <w:szCs w:val="21"/>
          <w:highlight w:val="none"/>
        </w:rPr>
        <w:t>采购的项目（供应商应为</w:t>
      </w:r>
      <w:r>
        <w:rPr>
          <w:rFonts w:hint="eastAsia" w:ascii="宋体" w:hAnsi="宋体" w:cs="宋体"/>
          <w:color w:val="auto"/>
          <w:szCs w:val="21"/>
          <w:highlight w:val="none"/>
          <w:lang w:val="en-US" w:eastAsia="zh-CN"/>
        </w:rPr>
        <w:t>中</w:t>
      </w:r>
      <w:r>
        <w:rPr>
          <w:rFonts w:hint="eastAsia" w:ascii="宋体" w:hAnsi="宋体" w:cs="宋体"/>
          <w:color w:val="auto"/>
          <w:szCs w:val="21"/>
          <w:highlight w:val="none"/>
        </w:rPr>
        <w:t>小微企业或监狱企业或残疾人福利性单位</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w:t>
      </w:r>
    </w:p>
    <w:p w14:paraId="702F55CF">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3.本项目的特定资格要求：</w:t>
      </w:r>
      <w:r>
        <w:rPr>
          <w:rFonts w:hint="eastAsia" w:ascii="宋体" w:hAnsi="宋体" w:cs="宋体"/>
          <w:color w:val="auto"/>
          <w:szCs w:val="21"/>
          <w:highlight w:val="none"/>
        </w:rPr>
        <w:t>供应商须具备</w:t>
      </w:r>
      <w:r>
        <w:rPr>
          <w:rFonts w:hint="eastAsia" w:ascii="宋体" w:hAnsi="宋体" w:cs="宋体"/>
          <w:color w:val="auto"/>
          <w:szCs w:val="21"/>
          <w:highlight w:val="none"/>
          <w:lang w:eastAsia="zh-CN"/>
        </w:rPr>
        <w:t>建筑工程施工总承包贰级以上（含贰级）或建筑装修装饰工程专业承包</w:t>
      </w:r>
      <w:r>
        <w:rPr>
          <w:rFonts w:hint="eastAsia" w:ascii="宋体" w:hAnsi="宋体" w:cs="宋体"/>
          <w:color w:val="auto"/>
          <w:szCs w:val="21"/>
          <w:highlight w:val="none"/>
          <w:lang w:val="en-US" w:eastAsia="zh-CN"/>
        </w:rPr>
        <w:t>贰</w:t>
      </w:r>
      <w:r>
        <w:rPr>
          <w:rFonts w:hint="eastAsia" w:ascii="宋体" w:hAnsi="宋体" w:cs="宋体"/>
          <w:color w:val="auto"/>
          <w:szCs w:val="21"/>
          <w:highlight w:val="none"/>
          <w:lang w:eastAsia="zh-CN"/>
        </w:rPr>
        <w:t>级以上</w:t>
      </w:r>
      <w:r>
        <w:rPr>
          <w:rFonts w:hint="eastAsia" w:ascii="宋体" w:hAnsi="宋体" w:cs="宋体"/>
          <w:color w:val="auto"/>
          <w:szCs w:val="21"/>
          <w:highlight w:val="none"/>
          <w:lang w:eastAsia="zh-CN"/>
        </w:rPr>
        <w:t>（含贰级）</w:t>
      </w:r>
      <w:r>
        <w:rPr>
          <w:rFonts w:hint="eastAsia" w:ascii="宋体" w:hAnsi="宋体" w:cs="宋体"/>
          <w:color w:val="auto"/>
          <w:szCs w:val="21"/>
          <w:highlight w:val="none"/>
        </w:rPr>
        <w:t>资质，</w:t>
      </w:r>
      <w:r>
        <w:rPr>
          <w:rFonts w:hint="eastAsia" w:ascii="宋体" w:hAnsi="宋体" w:cs="宋体"/>
          <w:color w:val="auto"/>
          <w:szCs w:val="21"/>
          <w:highlight w:val="none"/>
          <w:lang w:val="en-US" w:eastAsia="zh-CN"/>
        </w:rPr>
        <w:t>同时</w:t>
      </w:r>
      <w:r>
        <w:rPr>
          <w:rFonts w:hint="eastAsia" w:ascii="宋体" w:hAnsi="宋体" w:cs="宋体"/>
          <w:color w:val="auto"/>
          <w:szCs w:val="21"/>
          <w:highlight w:val="none"/>
        </w:rPr>
        <w:t>持有省级及以上建设行政主管部门颁发的安全生产许可证，并在人员、设备、资金等方面具备相应的施工能力</w:t>
      </w:r>
      <w:r>
        <w:rPr>
          <w:rFonts w:hint="eastAsia" w:ascii="宋体" w:hAnsi="宋体" w:eastAsia="宋体" w:cs="宋体"/>
          <w:color w:val="auto"/>
          <w:szCs w:val="21"/>
          <w:highlight w:val="none"/>
        </w:rPr>
        <w:t>；</w:t>
      </w:r>
    </w:p>
    <w:p w14:paraId="43B6AD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4.本项目的特定条件：</w:t>
      </w:r>
      <w:r>
        <w:rPr>
          <w:rFonts w:hint="eastAsia" w:ascii="宋体" w:hAnsi="宋体" w:cs="宋体"/>
          <w:color w:val="auto"/>
          <w:szCs w:val="21"/>
          <w:highlight w:val="none"/>
          <w:lang w:val="en-US" w:eastAsia="zh-CN"/>
        </w:rPr>
        <w:t>拟投入本项目的</w:t>
      </w:r>
      <w:r>
        <w:rPr>
          <w:rFonts w:hint="eastAsia" w:ascii="宋体" w:hAnsi="宋体" w:cs="宋体"/>
          <w:color w:val="auto"/>
          <w:szCs w:val="21"/>
          <w:highlight w:val="none"/>
        </w:rPr>
        <w:t>项目经理须</w:t>
      </w:r>
      <w:r>
        <w:rPr>
          <w:rFonts w:hint="eastAsia" w:ascii="宋体" w:hAnsi="宋体" w:cs="宋体"/>
          <w:color w:val="auto"/>
          <w:szCs w:val="21"/>
          <w:highlight w:val="none"/>
          <w:lang w:val="en-US" w:eastAsia="zh-CN"/>
        </w:rPr>
        <w:t>具备</w:t>
      </w:r>
      <w:r>
        <w:rPr>
          <w:rFonts w:hint="eastAsia" w:ascii="宋体" w:hAnsi="宋体" w:cs="宋体"/>
          <w:color w:val="auto"/>
          <w:szCs w:val="21"/>
          <w:highlight w:val="none"/>
        </w:rPr>
        <w:t>建筑工程专业</w:t>
      </w:r>
      <w:r>
        <w:rPr>
          <w:rFonts w:hint="eastAsia" w:ascii="宋体" w:hAnsi="宋体" w:cs="宋体"/>
          <w:color w:val="auto"/>
          <w:szCs w:val="21"/>
          <w:highlight w:val="none"/>
          <w:lang w:val="en-US" w:eastAsia="zh-CN"/>
        </w:rPr>
        <w:t>贰</w:t>
      </w:r>
      <w:r>
        <w:rPr>
          <w:rFonts w:hint="eastAsia" w:ascii="宋体" w:hAnsi="宋体" w:cs="宋体"/>
          <w:color w:val="auto"/>
          <w:szCs w:val="21"/>
          <w:highlight w:val="none"/>
        </w:rPr>
        <w:t>级以上</w:t>
      </w:r>
      <w:r>
        <w:rPr>
          <w:rFonts w:hint="eastAsia" w:ascii="宋体" w:hAnsi="宋体" w:cs="宋体"/>
          <w:color w:val="auto"/>
          <w:szCs w:val="21"/>
          <w:highlight w:val="none"/>
          <w:lang w:eastAsia="zh-CN"/>
        </w:rPr>
        <w:t>（</w:t>
      </w:r>
      <w:r>
        <w:rPr>
          <w:rFonts w:hint="eastAsia" w:ascii="宋体" w:hAnsi="宋体" w:cs="宋体"/>
          <w:color w:val="auto"/>
          <w:szCs w:val="21"/>
          <w:highlight w:val="none"/>
        </w:rPr>
        <w:t>含</w:t>
      </w:r>
      <w:r>
        <w:rPr>
          <w:rFonts w:hint="eastAsia" w:ascii="宋体" w:hAnsi="宋体" w:cs="宋体"/>
          <w:color w:val="auto"/>
          <w:szCs w:val="21"/>
          <w:highlight w:val="none"/>
          <w:lang w:val="en-US" w:eastAsia="zh-CN"/>
        </w:rPr>
        <w:t>贰级</w:t>
      </w:r>
      <w:r>
        <w:rPr>
          <w:rFonts w:hint="eastAsia" w:ascii="宋体" w:hAnsi="宋体" w:cs="宋体"/>
          <w:color w:val="auto"/>
          <w:szCs w:val="21"/>
          <w:highlight w:val="none"/>
          <w:lang w:eastAsia="zh-CN"/>
        </w:rPr>
        <w:t>）</w:t>
      </w:r>
      <w:r>
        <w:rPr>
          <w:rFonts w:hint="eastAsia" w:ascii="宋体" w:hAnsi="宋体" w:cs="宋体"/>
          <w:color w:val="auto"/>
          <w:szCs w:val="21"/>
          <w:highlight w:val="none"/>
        </w:rPr>
        <w:t>注册建造师资格，并持有省级或省级以上行政主管部门或其授权部门（机构）颁发的B类安全生产考核合格证书。本项目不接受有在建、已中标（成交）未开工或已列为其他项目中标（成交）候选人第一名的建造师作为项目经理（符合桂建管﹝2013﹞17号文除外）</w:t>
      </w:r>
      <w:r>
        <w:rPr>
          <w:rFonts w:hint="eastAsia" w:ascii="宋体" w:hAnsi="宋体" w:cs="宋体"/>
          <w:color w:val="auto"/>
          <w:szCs w:val="21"/>
          <w:highlight w:val="none"/>
          <w:lang w:eastAsia="zh-CN"/>
        </w:rPr>
        <w:t>；拟投入本项目的专职安全员须具备有效的安全生产考核合格证书（C类）</w:t>
      </w:r>
      <w:r>
        <w:rPr>
          <w:rFonts w:hint="eastAsia" w:ascii="宋体" w:hAnsi="宋体" w:eastAsia="宋体" w:cs="宋体"/>
          <w:color w:val="auto"/>
          <w:szCs w:val="21"/>
          <w:highlight w:val="none"/>
          <w:lang w:eastAsia="zh-CN"/>
        </w:rPr>
        <w:t>；</w:t>
      </w:r>
    </w:p>
    <w:p w14:paraId="42481A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以外的其他采购活动。</w:t>
      </w:r>
    </w:p>
    <w:p w14:paraId="1F5875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6.对在“信用中国”网站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、中国政府采购网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4CCB3014">
      <w:pPr>
        <w:spacing w:line="360" w:lineRule="auto"/>
        <w:outlineLvl w:val="1"/>
        <w:rPr>
          <w:rFonts w:hint="eastAsia" w:ascii="宋体" w:hAnsi="宋体" w:eastAsia="宋体" w:cs="宋体"/>
          <w:b/>
          <w:bCs/>
          <w:color w:val="auto"/>
          <w:sz w:val="24"/>
          <w:highlight w:val="none"/>
        </w:rPr>
      </w:pPr>
      <w:bookmarkStart w:id="27" w:name="_Toc20990"/>
      <w:bookmarkStart w:id="28" w:name="_Toc35393792"/>
      <w:bookmarkStart w:id="29" w:name="_Toc35393623"/>
      <w:bookmarkStart w:id="30" w:name="_Toc3566"/>
      <w:r>
        <w:rPr>
          <w:rFonts w:hint="eastAsia" w:ascii="宋体" w:hAnsi="宋体" w:eastAsia="宋体" w:cs="宋体"/>
          <w:b/>
          <w:bCs/>
          <w:color w:val="auto"/>
          <w:sz w:val="24"/>
          <w:highlight w:val="none"/>
        </w:rPr>
        <w:t>三、获取招标文件</w:t>
      </w:r>
      <w:bookmarkEnd w:id="25"/>
      <w:bookmarkEnd w:id="26"/>
      <w:bookmarkEnd w:id="27"/>
      <w:bookmarkEnd w:id="28"/>
      <w:bookmarkEnd w:id="29"/>
      <w:bookmarkEnd w:id="30"/>
    </w:p>
    <w:p w14:paraId="103BE67B">
      <w:pPr>
        <w:snapToGrid w:val="0"/>
        <w:spacing w:line="360" w:lineRule="auto"/>
        <w:ind w:firstLine="472" w:firstLineChars="225"/>
        <w:rPr>
          <w:rFonts w:hint="eastAsia" w:ascii="宋体" w:hAnsi="宋体" w:eastAsia="宋体" w:cs="宋体"/>
          <w:color w:val="auto"/>
          <w:szCs w:val="21"/>
          <w:highlight w:val="none"/>
        </w:rPr>
      </w:pPr>
      <w:bookmarkStart w:id="31" w:name="_Toc28359082"/>
      <w:bookmarkStart w:id="32" w:name="_Toc28359005"/>
      <w:bookmarkStart w:id="33" w:name="_Toc35393793"/>
      <w:bookmarkStart w:id="34" w:name="_Toc35393624"/>
      <w:r>
        <w:rPr>
          <w:rFonts w:hint="eastAsia" w:ascii="宋体" w:hAnsi="宋体" w:eastAsia="宋体" w:cs="宋体"/>
          <w:color w:val="auto"/>
          <w:szCs w:val="21"/>
          <w:highlight w:val="none"/>
        </w:rPr>
        <w:t>时间：自公告发布之日起</w:t>
      </w:r>
      <w:r>
        <w:rPr>
          <w:rFonts w:hint="eastAsia" w:ascii="宋体" w:hAnsi="宋体" w:eastAsia="宋体" w:cs="宋体"/>
          <w:color w:val="auto"/>
          <w:highlight w:val="none"/>
        </w:rPr>
        <w:t>至</w:t>
      </w:r>
      <w:r>
        <w:rPr>
          <w:rFonts w:hint="eastAsia" w:ascii="宋体" w:hAnsi="宋体" w:cs="宋体"/>
          <w:color w:val="auto"/>
          <w:szCs w:val="21"/>
          <w:highlight w:val="none"/>
          <w:u w:val="single"/>
          <w:lang w:eastAsia="zh-CN"/>
        </w:rPr>
        <w:t>2025年11月</w:t>
      </w:r>
      <w:r>
        <w:rPr>
          <w:rFonts w:hint="eastAsia" w:ascii="宋体" w:hAnsi="宋体" w:cs="宋体"/>
          <w:color w:val="auto"/>
          <w:szCs w:val="21"/>
          <w:highlight w:val="none"/>
          <w:u w:val="single"/>
          <w:lang w:val="en-US" w:eastAsia="zh-CN"/>
        </w:rPr>
        <w:t>25</w:t>
      </w:r>
      <w:r>
        <w:rPr>
          <w:rFonts w:hint="eastAsia" w:ascii="宋体" w:hAnsi="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9点30分</w:t>
      </w:r>
      <w:r>
        <w:rPr>
          <w:rFonts w:hint="eastAsia" w:ascii="宋体" w:hAnsi="宋体" w:eastAsia="宋体" w:cs="宋体"/>
          <w:bCs/>
          <w:color w:val="auto"/>
          <w:szCs w:val="21"/>
          <w:highlight w:val="none"/>
        </w:rPr>
        <w:t>（北京时间）</w:t>
      </w:r>
      <w:r>
        <w:rPr>
          <w:rFonts w:hint="eastAsia" w:ascii="宋体" w:hAnsi="宋体" w:eastAsia="宋体" w:cs="宋体"/>
          <w:color w:val="auto"/>
          <w:szCs w:val="21"/>
          <w:highlight w:val="none"/>
        </w:rPr>
        <w:t>。</w:t>
      </w:r>
    </w:p>
    <w:p w14:paraId="58337B18">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获取方式:网上下载。本项目不发放纸质文件，供应商可自行在</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fldChar w:fldCharType="end"/>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https://www.gcy.zfcg.gxzf.gov.cn</w:t>
      </w:r>
      <w:r>
        <w:rPr>
          <w:rFonts w:hint="eastAsia" w:ascii="宋体" w:hAnsi="宋体" w:eastAsia="宋体" w:cs="宋体"/>
          <w:color w:val="auto"/>
          <w:szCs w:val="21"/>
          <w:highlight w:val="none"/>
        </w:rPr>
        <w:t>）下载招标文件（操作路径：登录</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-项目采购-获取采购文件-找到本项目-点击“申请获取采购文件”），电子投标文件制作需要基于</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获取的招标文件编制。</w:t>
      </w:r>
    </w:p>
    <w:p w14:paraId="524AD6E7">
      <w:pPr>
        <w:snapToGrid w:val="0"/>
        <w:spacing w:line="360" w:lineRule="auto"/>
        <w:ind w:firstLine="472" w:firstLineChars="225"/>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31C8D1FD">
      <w:pPr>
        <w:spacing w:line="360" w:lineRule="auto"/>
        <w:outlineLvl w:val="1"/>
        <w:rPr>
          <w:rFonts w:hint="eastAsia" w:ascii="宋体" w:hAnsi="宋体" w:eastAsia="宋体" w:cs="宋体"/>
          <w:b/>
          <w:bCs/>
          <w:color w:val="auto"/>
          <w:sz w:val="24"/>
          <w:highlight w:val="none"/>
        </w:rPr>
      </w:pPr>
      <w:bookmarkStart w:id="35" w:name="_Toc6173"/>
      <w:bookmarkStart w:id="36" w:name="_Toc32743"/>
      <w:r>
        <w:rPr>
          <w:rFonts w:hint="eastAsia" w:ascii="宋体" w:hAnsi="宋体" w:eastAsia="宋体" w:cs="宋体"/>
          <w:b/>
          <w:bCs/>
          <w:color w:val="auto"/>
          <w:sz w:val="24"/>
          <w:highlight w:val="none"/>
        </w:rPr>
        <w:t>四、提交投标文件</w:t>
      </w:r>
      <w:bookmarkEnd w:id="31"/>
      <w:bookmarkEnd w:id="32"/>
      <w:r>
        <w:rPr>
          <w:rFonts w:hint="eastAsia" w:ascii="宋体" w:hAnsi="宋体" w:eastAsia="宋体" w:cs="宋体"/>
          <w:b/>
          <w:bCs/>
          <w:color w:val="auto"/>
          <w:sz w:val="24"/>
          <w:highlight w:val="none"/>
        </w:rPr>
        <w:t>截止时间、开标时间和地点</w:t>
      </w:r>
      <w:bookmarkEnd w:id="33"/>
      <w:bookmarkEnd w:id="34"/>
      <w:bookmarkEnd w:id="35"/>
      <w:bookmarkEnd w:id="36"/>
    </w:p>
    <w:p w14:paraId="3A6E8D58">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1、提交投标文件截止时间和开标时间：</w:t>
      </w:r>
      <w:r>
        <w:rPr>
          <w:rFonts w:hint="eastAsia" w:ascii="宋体" w:hAnsi="宋体" w:cs="宋体"/>
          <w:color w:val="auto"/>
          <w:szCs w:val="21"/>
          <w:highlight w:val="none"/>
          <w:u w:val="single"/>
          <w:lang w:eastAsia="zh-CN"/>
        </w:rPr>
        <w:t>2025年11月</w:t>
      </w:r>
      <w:r>
        <w:rPr>
          <w:rFonts w:hint="eastAsia" w:ascii="宋体" w:hAnsi="宋体" w:cs="宋体"/>
          <w:color w:val="auto"/>
          <w:szCs w:val="21"/>
          <w:highlight w:val="none"/>
          <w:u w:val="single"/>
          <w:lang w:val="en-US" w:eastAsia="zh-CN"/>
        </w:rPr>
        <w:t>25</w:t>
      </w:r>
      <w:r>
        <w:rPr>
          <w:rFonts w:hint="eastAsia" w:ascii="宋体" w:hAnsi="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9点30分</w:t>
      </w:r>
      <w:r>
        <w:rPr>
          <w:rFonts w:hint="eastAsia" w:ascii="宋体" w:hAnsi="宋体" w:eastAsia="宋体" w:cs="宋体"/>
          <w:bCs/>
          <w:color w:val="auto"/>
          <w:szCs w:val="21"/>
          <w:highlight w:val="none"/>
        </w:rPr>
        <w:t>（北京时间）</w:t>
      </w:r>
    </w:p>
    <w:p w14:paraId="764939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2、投标和开标地点：</w:t>
      </w:r>
    </w:p>
    <w:p w14:paraId="1213394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（1）投标文件提交方式：本项目为南宁市全流程电子化项目，通过</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https://www.gcy.zfcg.gxzf.gov.cn</w:t>
      </w:r>
      <w:r>
        <w:rPr>
          <w:rFonts w:hint="eastAsia" w:ascii="宋体" w:hAnsi="宋体" w:eastAsia="宋体" w:cs="宋体"/>
          <w:color w:val="auto"/>
          <w:szCs w:val="21"/>
          <w:highlight w:val="none"/>
        </w:rPr>
        <w:t>）实行在线电子投标，供应商应先安装“广西政府采购云平台电子交易客户端”（请自行前往</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进行下载），并按照本项目招标文件和</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的要求编制、加密后在投标截止时间前通过网络上传至南宁市</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供应商在</w:t>
      </w:r>
      <w:r>
        <w:rPr>
          <w:rFonts w:hint="eastAsia" w:ascii="宋体" w:hAnsi="宋体" w:cs="宋体"/>
          <w:b/>
          <w:color w:val="auto"/>
          <w:szCs w:val="21"/>
          <w:highlight w:val="none"/>
          <w:lang w:eastAsia="zh-CN"/>
        </w:rPr>
        <w:t>广西政府采购云平台</w:t>
      </w:r>
      <w:r>
        <w:rPr>
          <w:rFonts w:hint="eastAsia" w:ascii="宋体" w:hAnsi="宋体" w:eastAsia="宋体" w:cs="宋体"/>
          <w:b/>
          <w:color w:val="auto"/>
          <w:szCs w:val="21"/>
          <w:highlight w:val="none"/>
        </w:rPr>
        <w:t>提交电子版投标文件时，请填写参加远程开标活动经办人联系方式</w:t>
      </w:r>
      <w:r>
        <w:rPr>
          <w:rFonts w:hint="eastAsia" w:ascii="宋体" w:hAnsi="宋体" w:eastAsia="宋体" w:cs="宋体"/>
          <w:color w:val="auto"/>
          <w:szCs w:val="21"/>
          <w:highlight w:val="none"/>
        </w:rPr>
        <w:t>。</w:t>
      </w:r>
    </w:p>
    <w:p w14:paraId="1E23D7F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w:t>
      </w:r>
      <w:r>
        <w:rPr>
          <w:rFonts w:hint="eastAsia" w:ascii="宋体" w:hAnsi="宋体" w:eastAsia="宋体" w:cs="宋体"/>
          <w:color w:val="auto"/>
          <w:szCs w:val="21"/>
          <w:highlight w:val="none"/>
        </w:rPr>
        <w:t>（CA认证）的供应商将无法参与本项目政府采购活动，潜在供应商应当在投标截止时间前，完成电子交易平台上的CA数字证书办理（申领流程见本公告附件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）及投标文件的提交。完成CA数字证书办理预计7日左右，投标人只需办理其中一家CA数字证书及签章，建议各投标人抓紧时间办理。</w:t>
      </w:r>
    </w:p>
    <w:p w14:paraId="0DFA13A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（3）为确保网上操作合法、有效和安全，请投标供应商确保在电子投标过程中能够对相关数据电文进行加密和使用电子签章，妥善保管CA数字证书</w:t>
      </w:r>
      <w:r>
        <w:rPr>
          <w:rFonts w:hint="eastAsia" w:ascii="宋体" w:hAnsi="宋体" w:eastAsia="宋体" w:cs="宋体"/>
          <w:color w:val="auto"/>
          <w:szCs w:val="21"/>
          <w:highlight w:val="none"/>
        </w:rPr>
        <w:t>并使用有效的CA数字证书参与整个招标活动。</w:t>
      </w:r>
    </w:p>
    <w:p w14:paraId="6DDF3789">
      <w:pPr>
        <w:spacing w:line="360" w:lineRule="auto"/>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cs="宋体"/>
          <w:bCs/>
          <w:color w:val="auto"/>
          <w:szCs w:val="21"/>
          <w:highlight w:val="none"/>
          <w:u w:val="single"/>
          <w:lang w:eastAsia="zh-CN"/>
        </w:rPr>
        <w:t>广西政府采购云平台</w:t>
      </w:r>
      <w:r>
        <w:rPr>
          <w:rFonts w:hint="eastAsia" w:ascii="宋体" w:hAnsi="宋体" w:eastAsia="宋体" w:cs="宋体"/>
          <w:bCs/>
          <w:color w:val="auto"/>
          <w:szCs w:val="21"/>
          <w:highlight w:val="none"/>
          <w:u w:val="single"/>
        </w:rPr>
        <w:t>将予以拒收。</w:t>
      </w:r>
    </w:p>
    <w:p w14:paraId="19E3E9E7">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（4）开标地点：本次招标将</w:t>
      </w:r>
      <w:r>
        <w:rPr>
          <w:rFonts w:hint="eastAsia" w:ascii="宋体" w:hAnsi="宋体" w:eastAsia="宋体" w:cs="宋体"/>
          <w:color w:val="auto"/>
          <w:szCs w:val="21"/>
          <w:highlight w:val="none"/>
          <w:u w:val="none"/>
        </w:rPr>
        <w:t>于</w:t>
      </w:r>
      <w:r>
        <w:rPr>
          <w:rFonts w:hint="eastAsia" w:ascii="宋体" w:hAnsi="宋体" w:cs="宋体"/>
          <w:color w:val="auto"/>
          <w:szCs w:val="21"/>
          <w:highlight w:val="none"/>
          <w:u w:val="single"/>
          <w:lang w:eastAsia="zh-CN"/>
        </w:rPr>
        <w:t>2025年11月</w:t>
      </w:r>
      <w:r>
        <w:rPr>
          <w:rFonts w:hint="eastAsia" w:ascii="宋体" w:hAnsi="宋体" w:cs="宋体"/>
          <w:color w:val="auto"/>
          <w:szCs w:val="21"/>
          <w:highlight w:val="none"/>
          <w:u w:val="single"/>
          <w:lang w:val="en-US" w:eastAsia="zh-CN"/>
        </w:rPr>
        <w:t>25</w:t>
      </w:r>
      <w:r>
        <w:rPr>
          <w:rFonts w:hint="eastAsia" w:ascii="宋体" w:hAnsi="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9点30分</w:t>
      </w:r>
      <w:r>
        <w:rPr>
          <w:rFonts w:hint="eastAsia" w:ascii="宋体" w:hAnsi="宋体" w:eastAsia="宋体" w:cs="宋体"/>
          <w:color w:val="auto"/>
          <w:szCs w:val="21"/>
          <w:highlight w:val="none"/>
        </w:rPr>
        <w:t>在</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电子开标大厅开标。</w:t>
      </w:r>
    </w:p>
    <w:p w14:paraId="60D0CB45">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（5）CA证书在线解密：供应商投标时，需携带制作投标文件时用来加密的有效数字证书（CA认证）登录</w:t>
      </w:r>
      <w:r>
        <w:rPr>
          <w:rFonts w:hint="eastAsia" w:ascii="宋体" w:hAnsi="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电子开标大厅现场按规定时间对加密的投标文件进行解密，否则后果自负。</w:t>
      </w:r>
    </w:p>
    <w:p w14:paraId="0A2BF122">
      <w:pPr>
        <w:spacing w:line="360" w:lineRule="auto"/>
        <w:outlineLvl w:val="1"/>
        <w:rPr>
          <w:rFonts w:hint="eastAsia" w:ascii="宋体" w:hAnsi="宋体" w:eastAsia="宋体" w:cs="宋体"/>
          <w:b/>
          <w:bCs/>
          <w:color w:val="auto"/>
          <w:sz w:val="24"/>
          <w:highlight w:val="none"/>
        </w:rPr>
      </w:pPr>
      <w:bookmarkStart w:id="37" w:name="_Toc35393625"/>
      <w:bookmarkStart w:id="38" w:name="_Toc5706"/>
      <w:bookmarkStart w:id="39" w:name="_Toc28359084"/>
      <w:bookmarkStart w:id="40" w:name="_Toc35393794"/>
      <w:bookmarkStart w:id="41" w:name="_Toc28359007"/>
      <w:bookmarkStart w:id="42" w:name="_Toc27118"/>
      <w:r>
        <w:rPr>
          <w:rFonts w:hint="eastAsia" w:ascii="宋体" w:hAnsi="宋体" w:eastAsia="宋体" w:cs="宋体"/>
          <w:b/>
          <w:bCs/>
          <w:color w:val="auto"/>
          <w:sz w:val="24"/>
          <w:highlight w:val="none"/>
        </w:rPr>
        <w:t>五、公告期限</w:t>
      </w:r>
      <w:bookmarkEnd w:id="37"/>
      <w:bookmarkEnd w:id="38"/>
      <w:bookmarkEnd w:id="39"/>
      <w:bookmarkEnd w:id="40"/>
      <w:bookmarkEnd w:id="41"/>
      <w:bookmarkEnd w:id="42"/>
    </w:p>
    <w:p w14:paraId="71732880">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0B1CA8AD">
      <w:pPr>
        <w:spacing w:line="360" w:lineRule="auto"/>
        <w:outlineLvl w:val="1"/>
        <w:rPr>
          <w:rFonts w:hint="eastAsia" w:ascii="宋体" w:hAnsi="宋体" w:eastAsia="宋体" w:cs="宋体"/>
          <w:b/>
          <w:bCs/>
          <w:color w:val="auto"/>
          <w:sz w:val="24"/>
          <w:highlight w:val="none"/>
        </w:rPr>
      </w:pPr>
      <w:bookmarkStart w:id="43" w:name="_Toc35393626"/>
      <w:bookmarkStart w:id="44" w:name="_Toc35393795"/>
      <w:bookmarkStart w:id="45" w:name="_Toc27087"/>
      <w:bookmarkStart w:id="46" w:name="_Toc31352"/>
      <w:r>
        <w:rPr>
          <w:rFonts w:hint="eastAsia" w:ascii="宋体" w:hAnsi="宋体" w:eastAsia="宋体" w:cs="宋体"/>
          <w:b/>
          <w:bCs/>
          <w:color w:val="auto"/>
          <w:sz w:val="24"/>
          <w:highlight w:val="none"/>
        </w:rPr>
        <w:t>六、其他补充事宜</w:t>
      </w:r>
      <w:bookmarkEnd w:id="43"/>
      <w:bookmarkEnd w:id="44"/>
      <w:bookmarkEnd w:id="45"/>
      <w:bookmarkEnd w:id="46"/>
    </w:p>
    <w:p w14:paraId="49E455CE">
      <w:pPr>
        <w:spacing w:line="360" w:lineRule="auto"/>
        <w:ind w:firstLine="315" w:firstLine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1.投标保证金：本项目不收取投标保证金</w:t>
      </w:r>
    </w:p>
    <w:p w14:paraId="1CEA64D6">
      <w:pPr>
        <w:spacing w:line="360" w:lineRule="auto"/>
        <w:ind w:firstLine="315" w:firstLineChars="150"/>
        <w:jc w:val="left"/>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rPr>
        <w:t>2.采购意向公开链接：</w:t>
      </w:r>
      <w:r>
        <w:rPr>
          <w:rFonts w:hint="eastAsia" w:ascii="宋体" w:hAnsi="宋体" w:cs="宋体"/>
          <w:color w:val="auto"/>
          <w:kern w:val="0"/>
          <w:szCs w:val="21"/>
          <w:highlight w:val="none"/>
          <w:lang w:eastAsia="zh-CN"/>
        </w:rPr>
        <w:t>http://www.ccgp-guangxi.gov.cn/site/detail?categoryCode=ZcyAnnouncement&amp;parentId=66485&amp;articleId=TVBlfLoxIHEoyMHIYcRUBw==</w:t>
      </w:r>
    </w:p>
    <w:p w14:paraId="5824B84C">
      <w:pPr>
        <w:spacing w:line="360" w:lineRule="auto"/>
        <w:ind w:firstLine="315" w:firstLineChars="150"/>
        <w:rPr>
          <w:rFonts w:hint="eastAsia" w:ascii="宋体" w:hAnsi="宋体" w:eastAsia="宋体" w:cs="宋体"/>
          <w:color w:val="auto"/>
          <w:kern w:val="0"/>
          <w:szCs w:val="21"/>
          <w:highlight w:val="none"/>
        </w:rPr>
      </w:pPr>
      <w:bookmarkStart w:id="47" w:name="_Hlk37429585"/>
      <w:r>
        <w:rPr>
          <w:rFonts w:hint="eastAsia" w:ascii="宋体" w:hAnsi="宋体" w:eastAsia="宋体" w:cs="宋体"/>
          <w:color w:val="auto"/>
          <w:kern w:val="0"/>
          <w:szCs w:val="21"/>
          <w:highlight w:val="none"/>
        </w:rPr>
        <w:t>3.</w:t>
      </w:r>
      <w:bookmarkStart w:id="48" w:name="_Hlk37429595"/>
      <w:r>
        <w:rPr>
          <w:rFonts w:hint="eastAsia" w:ascii="宋体" w:hAnsi="宋体" w:eastAsia="宋体" w:cs="宋体"/>
          <w:color w:val="auto"/>
          <w:kern w:val="0"/>
          <w:szCs w:val="21"/>
          <w:highlight w:val="none"/>
        </w:rPr>
        <w:t>网上查询地址</w:t>
      </w:r>
    </w:p>
    <w:bookmarkEnd w:id="47"/>
    <w:bookmarkEnd w:id="48"/>
    <w:p w14:paraId="062F397E">
      <w:pPr>
        <w:spacing w:line="360" w:lineRule="auto"/>
        <w:ind w:firstLine="420" w:firstLineChars="200"/>
        <w:rPr>
          <w:rFonts w:hint="eastAsia" w:ascii="宋体" w:hAnsi="宋体" w:eastAsia="宋体" w:cs="宋体"/>
          <w:color w:val="auto"/>
          <w:kern w:val="0"/>
          <w:szCs w:val="21"/>
          <w:highlight w:val="none"/>
          <w:lang w:eastAsia="zh-CN"/>
        </w:rPr>
      </w:pPr>
      <w:bookmarkStart w:id="49" w:name="_Hlk37429674"/>
      <w:r>
        <w:rPr>
          <w:rFonts w:hint="eastAsia" w:ascii="宋体" w:hAnsi="宋体" w:eastAsia="宋体" w:cs="宋体"/>
          <w:color w:val="auto"/>
          <w:kern w:val="0"/>
          <w:szCs w:val="21"/>
          <w:highlight w:val="none"/>
        </w:rPr>
        <w:t>中国政府采购网（www.ccgp.gov.cn）、广西壮族自治区政府采购网（http://zfcg.gxzf.gov.cn/）、</w:t>
      </w:r>
      <w:r>
        <w:rPr>
          <w:rFonts w:hint="eastAsia" w:ascii="宋体" w:hAnsi="宋体" w:eastAsia="宋体" w:cs="宋体"/>
          <w:color w:val="auto"/>
          <w:kern w:val="0"/>
          <w:szCs w:val="21"/>
          <w:highlight w:val="none"/>
          <w:lang w:eastAsia="zh-CN"/>
        </w:rPr>
        <w:t>全国公共资源交易平台（广西·南宁）（http://ggzy.jgswj.gxzf.gov.cn/nnggzy/）</w:t>
      </w:r>
    </w:p>
    <w:p w14:paraId="35EB2C88">
      <w:pPr>
        <w:spacing w:line="360" w:lineRule="auto"/>
        <w:ind w:firstLine="315" w:firstLineChars="15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 xml:space="preserve">4. </w:t>
      </w:r>
      <w:r>
        <w:rPr>
          <w:rFonts w:hint="eastAsia" w:ascii="宋体" w:hAnsi="宋体" w:eastAsia="宋体" w:cs="宋体"/>
          <w:color w:val="auto"/>
          <w:kern w:val="0"/>
          <w:szCs w:val="21"/>
          <w:highlight w:val="none"/>
        </w:rPr>
        <w:t>本项目需要落实的政府采购政策：</w:t>
      </w:r>
    </w:p>
    <w:p w14:paraId="68DB1C1E">
      <w:pPr>
        <w:spacing w:line="360" w:lineRule="auto"/>
        <w:ind w:firstLine="315" w:firstLine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14:paraId="757027FE">
      <w:pPr>
        <w:spacing w:line="360" w:lineRule="auto"/>
        <w:ind w:firstLine="315" w:firstLine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（2）政府采购支持采用本国产品的政策。</w:t>
      </w:r>
    </w:p>
    <w:p w14:paraId="0D3C2680">
      <w:pPr>
        <w:spacing w:line="360" w:lineRule="auto"/>
        <w:ind w:firstLine="315" w:firstLine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（3）政府采购促进残疾人就业政策。</w:t>
      </w:r>
    </w:p>
    <w:p w14:paraId="7C55D9E8">
      <w:pPr>
        <w:spacing w:line="360" w:lineRule="auto"/>
        <w:ind w:firstLine="315" w:firstLine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（4）政府采购支持监狱企业发展。</w:t>
      </w:r>
    </w:p>
    <w:bookmarkEnd w:id="49"/>
    <w:p w14:paraId="1B86DD1A">
      <w:pPr>
        <w:spacing w:line="360" w:lineRule="auto"/>
        <w:ind w:firstLine="315" w:firstLine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21909DD4">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 若对项目采购电子交易系统操作有疑问，可登录</w:t>
      </w:r>
      <w:r>
        <w:rPr>
          <w:rFonts w:hint="eastAsia" w:ascii="宋体" w:hAnsi="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eastAsia="zh-CN"/>
        </w:rPr>
        <w:t>https://www.gcy.zfcg.gxzf.gov.cn</w:t>
      </w:r>
      <w:r>
        <w:rPr>
          <w:rFonts w:hint="eastAsia" w:ascii="宋体" w:hAnsi="宋体" w:eastAsia="宋体" w:cs="宋体"/>
          <w:color w:val="auto"/>
          <w:kern w:val="0"/>
          <w:szCs w:val="21"/>
          <w:highlight w:val="none"/>
        </w:rPr>
        <w:t>），点击右侧咨询小采，获取采小蜜智能服务管家帮助，或拨打广西政府采购云平台服务热线</w:t>
      </w:r>
      <w:r>
        <w:rPr>
          <w:rFonts w:hint="eastAsia" w:ascii="宋体" w:hAnsi="宋体" w:cs="宋体"/>
          <w:color w:val="auto"/>
          <w:kern w:val="0"/>
          <w:szCs w:val="21"/>
          <w:highlight w:val="none"/>
          <w:lang w:eastAsia="zh-CN"/>
        </w:rPr>
        <w:t>95763</w:t>
      </w:r>
      <w:r>
        <w:rPr>
          <w:rFonts w:hint="eastAsia" w:ascii="宋体" w:hAnsi="宋体" w:eastAsia="宋体" w:cs="宋体"/>
          <w:color w:val="auto"/>
          <w:kern w:val="0"/>
          <w:szCs w:val="21"/>
          <w:highlight w:val="none"/>
        </w:rPr>
        <w:t>获取热线服务帮助。</w:t>
      </w:r>
    </w:p>
    <w:p w14:paraId="32D47CFF">
      <w:pPr>
        <w:spacing w:line="360" w:lineRule="auto"/>
        <w:outlineLvl w:val="1"/>
        <w:rPr>
          <w:rFonts w:hint="eastAsia" w:ascii="宋体" w:hAnsi="宋体" w:eastAsia="宋体" w:cs="宋体"/>
          <w:b/>
          <w:bCs/>
          <w:color w:val="auto"/>
          <w:sz w:val="24"/>
          <w:highlight w:val="none"/>
        </w:rPr>
      </w:pPr>
      <w:bookmarkStart w:id="50" w:name="_Toc35393796"/>
      <w:bookmarkStart w:id="51" w:name="_Toc222"/>
      <w:bookmarkStart w:id="52" w:name="_Toc30432"/>
      <w:bookmarkStart w:id="53" w:name="_Toc28359085"/>
      <w:bookmarkStart w:id="54" w:name="_Toc35393627"/>
      <w:bookmarkStart w:id="55" w:name="_Toc28359008"/>
      <w:r>
        <w:rPr>
          <w:rFonts w:hint="eastAsia" w:ascii="宋体" w:hAnsi="宋体" w:eastAsia="宋体" w:cs="宋体"/>
          <w:b/>
          <w:bCs/>
          <w:color w:val="auto"/>
          <w:sz w:val="24"/>
          <w:highlight w:val="none"/>
        </w:rPr>
        <w:t>七、对本次招标提出询问，请按以下方式联系。</w:t>
      </w:r>
      <w:bookmarkEnd w:id="50"/>
      <w:bookmarkEnd w:id="51"/>
      <w:bookmarkEnd w:id="52"/>
      <w:bookmarkEnd w:id="53"/>
      <w:bookmarkEnd w:id="54"/>
      <w:bookmarkEnd w:id="55"/>
    </w:p>
    <w:p w14:paraId="52EC0276">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1.采购人信息</w:t>
      </w:r>
    </w:p>
    <w:p w14:paraId="3AF96FE0">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名称：</w:t>
      </w:r>
      <w:r>
        <w:rPr>
          <w:rFonts w:hint="eastAsia" w:ascii="宋体" w:hAnsi="宋体" w:cs="宋体"/>
          <w:color w:val="auto"/>
          <w:szCs w:val="21"/>
          <w:highlight w:val="none"/>
          <w:lang w:eastAsia="zh-CN"/>
        </w:rPr>
        <w:t>隆安县布泉乡人民政府</w:t>
      </w:r>
    </w:p>
    <w:p w14:paraId="6FC1FFF2">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w:t>
      </w:r>
      <w:r>
        <w:rPr>
          <w:rFonts w:hint="eastAsia" w:ascii="宋体" w:hAnsi="宋体" w:eastAsia="宋体" w:cs="宋体"/>
          <w:color w:val="auto"/>
          <w:szCs w:val="21"/>
          <w:highlight w:val="none"/>
        </w:rPr>
        <w:t>址：</w:t>
      </w:r>
      <w:r>
        <w:rPr>
          <w:rFonts w:hint="eastAsia" w:ascii="宋体" w:hAnsi="宋体" w:cs="宋体"/>
          <w:color w:val="auto"/>
          <w:szCs w:val="21"/>
          <w:highlight w:val="none"/>
          <w:lang w:eastAsia="zh-CN"/>
        </w:rPr>
        <w:t>隆安县布泉乡正街128号</w:t>
      </w:r>
    </w:p>
    <w:p w14:paraId="0E23E7B7">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项目联系人：潘吕莎</w:t>
      </w:r>
    </w:p>
    <w:p w14:paraId="3916E4F9">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eastAsia="zh-CN"/>
        </w:rPr>
        <w:t>0771-6580022</w:t>
      </w:r>
    </w:p>
    <w:p w14:paraId="595E586E">
      <w:pPr>
        <w:spacing w:line="360" w:lineRule="auto"/>
        <w:ind w:firstLine="630" w:firstLineChars="3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14:paraId="19871887">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名称：</w:t>
      </w:r>
      <w:r>
        <w:rPr>
          <w:rFonts w:hint="eastAsia" w:ascii="宋体" w:hAnsi="宋体" w:cs="宋体"/>
          <w:color w:val="auto"/>
          <w:szCs w:val="21"/>
          <w:highlight w:val="none"/>
          <w:lang w:eastAsia="zh-CN"/>
        </w:rPr>
        <w:t>广西国栋招标有限公司</w:t>
      </w:r>
    </w:p>
    <w:p w14:paraId="0507CF72">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cs="宋体"/>
          <w:color w:val="auto"/>
          <w:szCs w:val="21"/>
          <w:highlight w:val="none"/>
          <w:lang w:eastAsia="zh-CN"/>
        </w:rPr>
        <w:t>南宁市青秀区双拥路40-1号东方明珠花园1栋1单元9层</w:t>
      </w:r>
    </w:p>
    <w:p w14:paraId="2929456C">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项目联系人：</w:t>
      </w:r>
      <w:r>
        <w:rPr>
          <w:rFonts w:hint="eastAsia" w:ascii="宋体" w:hAnsi="宋体" w:cs="宋体"/>
          <w:color w:val="auto"/>
          <w:szCs w:val="21"/>
          <w:highlight w:val="none"/>
          <w:lang w:eastAsia="zh-CN"/>
        </w:rPr>
        <w:t>陈凯媛</w:t>
      </w:r>
    </w:p>
    <w:p w14:paraId="367F2578">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eastAsia="zh-CN"/>
        </w:rPr>
        <w:t>0771-5894688</w:t>
      </w:r>
    </w:p>
    <w:p w14:paraId="2A442066">
      <w:pPr>
        <w:spacing w:line="360" w:lineRule="auto"/>
        <w:ind w:firstLine="630" w:firstLineChars="3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3.项目联系方式</w:t>
      </w:r>
    </w:p>
    <w:p w14:paraId="762DBC79">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项目联系人：</w:t>
      </w:r>
      <w:r>
        <w:rPr>
          <w:rFonts w:hint="eastAsia" w:ascii="宋体" w:hAnsi="宋体" w:cs="宋体"/>
          <w:color w:val="auto"/>
          <w:szCs w:val="21"/>
          <w:highlight w:val="none"/>
          <w:lang w:eastAsia="zh-CN"/>
        </w:rPr>
        <w:t>陈凯媛</w:t>
      </w:r>
    </w:p>
    <w:p w14:paraId="7F51F037">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电话：</w:t>
      </w:r>
      <w:r>
        <w:rPr>
          <w:rFonts w:hint="eastAsia" w:ascii="宋体" w:hAnsi="宋体" w:cs="宋体"/>
          <w:color w:val="auto"/>
          <w:szCs w:val="21"/>
          <w:highlight w:val="none"/>
          <w:lang w:eastAsia="zh-CN"/>
        </w:rPr>
        <w:t>0771-5894688</w:t>
      </w:r>
    </w:p>
    <w:p w14:paraId="7B56B159">
      <w:pPr>
        <w:rPr>
          <w:rFonts w:hint="eastAsia" w:ascii="宋体" w:hAnsi="宋体" w:eastAsia="宋体" w:cs="宋体"/>
          <w:color w:val="auto"/>
          <w:szCs w:val="21"/>
          <w:highlight w:val="none"/>
        </w:rPr>
      </w:pPr>
    </w:p>
    <w:p w14:paraId="6CB76F62">
      <w:pPr>
        <w:pStyle w:val="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附件： 1.CA证书申请方式及操作指南下载地址（现场申请方式见网址：</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"http://www.ccgp-guangxi.gov.cn/OfficeService/DownloadArea/8354055.html?utm=a0003.39a112b4.cmp001.d0002.f0464b20ff2a11eb873141bf9e381949" </w:instrText>
      </w:r>
      <w:r>
        <w:rPr>
          <w:rFonts w:hint="eastAsia" w:ascii="宋体" w:hAnsi="宋体" w:eastAsia="宋体" w:cs="宋体"/>
          <w:color w:val="auto"/>
          <w:highlight w:val="none"/>
        </w:rPr>
        <w:fldChar w:fldCharType="separate"/>
      </w:r>
      <w:r>
        <w:rPr>
          <w:rStyle w:val="25"/>
          <w:rFonts w:hint="eastAsia" w:ascii="宋体" w:hAnsi="宋体" w:eastAsia="宋体" w:cs="宋体"/>
          <w:color w:val="auto"/>
          <w:highlight w:val="none"/>
        </w:rPr>
        <w:t>http://www.ccgp-guangxi.gov.cn/OfficeService/DownloadArea/8354055.html?utm=a0003.39a112b4.cmp001.d0002.f0464b20ff2a11eb873141bf9e381949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 xml:space="preserve">（广西政府采购网）/网上申请方式见网址： </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"http://nncz.nanning.gov.cn/" </w:instrText>
      </w:r>
      <w:r>
        <w:rPr>
          <w:rFonts w:hint="eastAsia" w:ascii="宋体" w:hAnsi="宋体" w:eastAsia="宋体" w:cs="宋体"/>
          <w:color w:val="auto"/>
          <w:highlight w:val="none"/>
        </w:rPr>
        <w:fldChar w:fldCharType="separate"/>
      </w:r>
      <w:r>
        <w:rPr>
          <w:rStyle w:val="25"/>
          <w:rFonts w:hint="eastAsia" w:ascii="宋体" w:hAnsi="宋体" w:eastAsia="宋体" w:cs="宋体"/>
          <w:color w:val="auto"/>
          <w:highlight w:val="none"/>
        </w:rPr>
        <w:t>http://nncz.nanning.gov.cn/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（南宁市财政局官网）-下载专区-“广西政府采购云平台西部CA办理方式”或“南宁市广西政府采购云平台CA证书办理操作指南”</w:t>
      </w:r>
      <w:r>
        <w:rPr>
          <w:rFonts w:hint="eastAsia" w:ascii="宋体" w:hAnsi="宋体" w:eastAsia="宋体" w:cs="宋体"/>
          <w:color w:val="auto"/>
          <w:szCs w:val="21"/>
          <w:highlight w:val="none"/>
        </w:rPr>
        <w:t>）</w:t>
      </w:r>
    </w:p>
    <w:p w14:paraId="04B69282">
      <w:pPr>
        <w:pStyle w:val="9"/>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2.电子投标文件制作与投送教程（在此网址下载：</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"http://nncz.nanning.gov.cn/" </w:instrText>
      </w:r>
      <w:r>
        <w:rPr>
          <w:rFonts w:hint="eastAsia" w:ascii="宋体" w:hAnsi="宋体" w:eastAsia="宋体" w:cs="宋体"/>
          <w:color w:val="auto"/>
          <w:highlight w:val="none"/>
        </w:rPr>
        <w:fldChar w:fldCharType="separate"/>
      </w:r>
      <w:r>
        <w:rPr>
          <w:rStyle w:val="25"/>
          <w:rFonts w:hint="eastAsia" w:ascii="宋体" w:hAnsi="宋体" w:eastAsia="宋体" w:cs="宋体"/>
          <w:color w:val="auto"/>
          <w:highlight w:val="none"/>
        </w:rPr>
        <w:t>http://nncz.nanning.gov.cn/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（南宁市财政局官网）-下载专区</w:t>
      </w:r>
      <w:r>
        <w:rPr>
          <w:rFonts w:hint="eastAsia" w:ascii="宋体" w:hAnsi="宋体" w:eastAsia="宋体" w:cs="宋体"/>
          <w:color w:val="auto"/>
          <w:szCs w:val="21"/>
          <w:highlight w:val="none"/>
        </w:rPr>
        <w:t>）</w:t>
      </w:r>
    </w:p>
    <w:p w14:paraId="642F1129">
      <w:pPr>
        <w:spacing w:line="360" w:lineRule="auto"/>
        <w:jc w:val="righ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广西国栋招标有限公司</w:t>
      </w:r>
    </w:p>
    <w:p w14:paraId="0E8DBF15">
      <w:pPr>
        <w:spacing w:line="360" w:lineRule="auto"/>
        <w:ind w:firstLine="210" w:firstLineChars="100"/>
        <w:jc w:val="right"/>
        <w:rPr>
          <w:rFonts w:hint="eastAsia" w:ascii="宋体" w:hAnsi="宋体" w:eastAsia="宋体" w:cs="宋体"/>
          <w:color w:val="auto"/>
          <w:highlight w:val="none"/>
          <w:u w:val="none"/>
        </w:rPr>
      </w:pPr>
      <w:r>
        <w:rPr>
          <w:rFonts w:hint="eastAsia" w:ascii="宋体" w:hAnsi="宋体" w:cs="宋体"/>
          <w:color w:val="auto"/>
          <w:szCs w:val="21"/>
          <w:highlight w:val="none"/>
          <w:u w:val="none"/>
          <w:lang w:val="en-US" w:eastAsia="zh-CN"/>
        </w:rPr>
        <w:t>2025年11月4日</w:t>
      </w:r>
    </w:p>
    <w:p w14:paraId="040A54B5">
      <w:pPr>
        <w:widowControl/>
        <w:spacing w:line="360" w:lineRule="auto"/>
        <w:jc w:val="left"/>
        <w:rPr>
          <w:rFonts w:hint="eastAsia" w:ascii="宋体" w:hAnsi="宋体" w:eastAsia="宋体" w:cs="宋体"/>
          <w:color w:val="auto"/>
          <w:sz w:val="24"/>
          <w:highlight w:val="none"/>
          <w:u w:val="none"/>
          <w:lang w:val="zh-CN"/>
        </w:rPr>
        <w:sectPr>
          <w:footerReference r:id="rId4" w:type="default"/>
          <w:pgSz w:w="11906" w:h="16838"/>
          <w:pgMar w:top="1134" w:right="1134" w:bottom="1134" w:left="1134" w:header="720" w:footer="720" w:gutter="0"/>
          <w:pgNumType w:start="1"/>
          <w:cols w:space="720" w:num="1"/>
          <w:docGrid w:type="lines" w:linePitch="331" w:charSpace="0"/>
        </w:sectPr>
      </w:pPr>
    </w:p>
    <w:p w14:paraId="126993B1">
      <w:pPr>
        <w:pStyle w:val="11"/>
        <w:jc w:val="center"/>
        <w:outlineLvl w:val="0"/>
        <w:rPr>
          <w:rFonts w:hint="eastAsia" w:ascii="宋体" w:hAnsi="宋体" w:eastAsia="宋体" w:cs="宋体"/>
          <w:b/>
          <w:color w:val="auto"/>
          <w:sz w:val="36"/>
          <w:highlight w:val="none"/>
        </w:rPr>
      </w:pPr>
      <w:bookmarkStart w:id="56" w:name="_Toc532545042"/>
      <w:bookmarkStart w:id="57" w:name="_Toc6670"/>
      <w:bookmarkStart w:id="58" w:name="_Toc28689"/>
      <w:r>
        <w:rPr>
          <w:rFonts w:hint="eastAsia" w:ascii="宋体" w:hAnsi="宋体" w:eastAsia="宋体" w:cs="宋体"/>
          <w:b/>
          <w:color w:val="auto"/>
          <w:sz w:val="36"/>
          <w:highlight w:val="none"/>
        </w:rPr>
        <w:t xml:space="preserve">第二章  </w:t>
      </w:r>
      <w:bookmarkEnd w:id="56"/>
      <w:r>
        <w:rPr>
          <w:rFonts w:hint="eastAsia" w:ascii="宋体" w:hAnsi="宋体" w:eastAsia="宋体" w:cs="宋体"/>
          <w:b/>
          <w:color w:val="auto"/>
          <w:sz w:val="36"/>
          <w:highlight w:val="none"/>
        </w:rPr>
        <w:t>采购需求</w:t>
      </w:r>
      <w:bookmarkEnd w:id="57"/>
      <w:bookmarkEnd w:id="58"/>
    </w:p>
    <w:p w14:paraId="42FBB5D1">
      <w:pPr>
        <w:adjustRightInd w:val="0"/>
        <w:spacing w:line="340" w:lineRule="exact"/>
        <w:rPr>
          <w:rFonts w:hint="eastAsia" w:ascii="宋体" w:hAnsi="宋体" w:eastAsia="宋体" w:cs="宋体"/>
          <w:b/>
          <w:color w:val="auto"/>
          <w:szCs w:val="21"/>
          <w:highlight w:val="none"/>
        </w:rPr>
      </w:pPr>
    </w:p>
    <w:p w14:paraId="5828C62C">
      <w:pPr>
        <w:adjustRightInd w:val="0"/>
        <w:spacing w:line="3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p w14:paraId="618BAE43">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 为落实政府采购政策需满足的要求（根据项目实际情况填写内容）</w:t>
      </w:r>
    </w:p>
    <w:p w14:paraId="076B54E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（1）本招标文件所称</w:t>
      </w:r>
      <w:r>
        <w:rPr>
          <w:rFonts w:hint="eastAsia" w:ascii="宋体" w:hAnsi="宋体" w:eastAsia="宋体" w:cs="宋体"/>
          <w:color w:val="auto"/>
          <w:szCs w:val="21"/>
          <w:highlight w:val="none"/>
          <w:lang w:eastAsia="zh-CN"/>
        </w:rPr>
        <w:t>中小</w:t>
      </w:r>
      <w:r>
        <w:rPr>
          <w:rFonts w:hint="eastAsia" w:ascii="宋体" w:hAnsi="宋体" w:eastAsia="宋体" w:cs="宋体"/>
          <w:color w:val="auto"/>
          <w:szCs w:val="21"/>
          <w:highlight w:val="none"/>
        </w:rPr>
        <w:t>企业必须符合《政府采购促进中小企业发展管理办法》（财库〔2020〕46号）的规定。</w:t>
      </w:r>
    </w:p>
    <w:p w14:paraId="3AE7DB56">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rPr>
        <w:t>根据《财政部 发展改革委 生态环境部 市场监管总局关于调整优化节能产品、环境标志产品政府采购执行机制的通知》（财库〔2019〕9号）和《关于印发节能产品政府采购品目清单的通知》</w:t>
      </w:r>
      <w:r>
        <w:rPr>
          <w:rFonts w:hint="eastAsia" w:ascii="宋体" w:hAnsi="宋体" w:eastAsia="宋体" w:cs="宋体"/>
          <w:color w:val="auto"/>
          <w:szCs w:val="21"/>
          <w:highlight w:val="none"/>
        </w:rPr>
        <w:t>（财库〔2019〕19号）的规定，采购需求中的产品属于节能产品政府采购品目清单内标注“★”的（详见本章附件1），投标人的投标货物必须使用政府强制采购的节能产品，投标人必须在投标文件中提供所投标产品的节能产品认证证书复印件（加盖投标人电子公章），否则投标文件作无效处理。如本项目包含的货物属于品目清单内非标注“★”的产品时，应优先采购，具体详见“第四章 评标方法和评标标准”。</w:t>
      </w:r>
    </w:p>
    <w:p w14:paraId="44B1D962">
      <w:pPr>
        <w:spacing w:line="360" w:lineRule="auto"/>
        <w:ind w:firstLine="424" w:firstLineChars="202"/>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rPr>
        <w:t>项目中伴随的货物包含列入《网络关键设备和网络安全专用产品目录》的网络安全专</w:t>
      </w:r>
      <w:r>
        <w:rPr>
          <w:rFonts w:hint="eastAsia" w:ascii="宋体" w:hAnsi="宋体" w:cs="宋体"/>
          <w:color w:val="auto"/>
          <w:szCs w:val="21"/>
          <w:highlight w:val="none"/>
          <w:lang w:val="en-US" w:eastAsia="zh-CN"/>
        </w:rPr>
        <w:t>产</w:t>
      </w:r>
      <w:r>
        <w:rPr>
          <w:rFonts w:hint="eastAsia" w:ascii="宋体" w:hAnsi="宋体" w:cs="宋体"/>
          <w:color w:val="auto"/>
          <w:szCs w:val="21"/>
          <w:highlight w:val="none"/>
        </w:rPr>
        <w:t>品，应当按照《信息安全技术网络安全专用产品安全技术要求》等相关国家标准的强制性要求，提供具备资格的机构安全认证合格或者安全检测证明材料《加盖投标人公章)</w:t>
      </w:r>
      <w:r>
        <w:rPr>
          <w:rFonts w:hint="eastAsia" w:ascii="宋体" w:hAnsi="宋体" w:cs="宋体"/>
          <w:b/>
          <w:bCs/>
          <w:color w:val="auto"/>
          <w:szCs w:val="21"/>
          <w:highlight w:val="none"/>
        </w:rPr>
        <w:t>，否则投标文件作无效处理</w:t>
      </w:r>
      <w:r>
        <w:rPr>
          <w:rFonts w:hint="eastAsia" w:ascii="宋体" w:hAnsi="宋体" w:eastAsia="宋体" w:cs="宋体"/>
          <w:b/>
          <w:color w:val="auto"/>
          <w:szCs w:val="21"/>
          <w:highlight w:val="none"/>
        </w:rPr>
        <w:t>。</w:t>
      </w:r>
    </w:p>
    <w:p w14:paraId="11C124B1">
      <w:pPr>
        <w:numPr>
          <w:ilvl w:val="0"/>
          <w:numId w:val="1"/>
        </w:num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“实质性要求”是指招标文件中已经指</w:t>
      </w:r>
      <w:r>
        <w:rPr>
          <w:rFonts w:hint="eastAsia" w:ascii="宋体" w:hAnsi="宋体" w:eastAsia="宋体" w:cs="宋体"/>
          <w:color w:val="auto"/>
          <w:szCs w:val="21"/>
          <w:highlight w:val="none"/>
        </w:rPr>
        <w:t>明不满足则投标无效的条款，或者不能负偏离的条款，或者采购需求中带“▲”的条款。</w:t>
      </w:r>
    </w:p>
    <w:p w14:paraId="34C91F40">
      <w:pPr>
        <w:numPr>
          <w:ilvl w:val="0"/>
          <w:numId w:val="1"/>
        </w:numPr>
        <w:spacing w:line="360" w:lineRule="auto"/>
        <w:ind w:left="0" w:leftChars="0"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不需要投标人对采购需求响应为具体数值的，此采购需求的数值后将以◆号标注。</w:t>
      </w:r>
    </w:p>
    <w:p w14:paraId="4C311A0D">
      <w:pPr>
        <w:numPr>
          <w:ilvl w:val="0"/>
          <w:numId w:val="1"/>
        </w:numPr>
        <w:spacing w:line="360" w:lineRule="auto"/>
        <w:ind w:left="0" w:leftChars="0"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招标</w:t>
      </w:r>
      <w:r>
        <w:rPr>
          <w:rFonts w:hint="eastAsia" w:ascii="宋体" w:hAnsi="宋体" w:cs="宋体"/>
          <w:color w:val="auto"/>
          <w:szCs w:val="21"/>
          <w:highlight w:val="none"/>
          <w:lang w:val="en-US" w:eastAsia="zh-CN"/>
        </w:rPr>
        <w:t>文件、</w:t>
      </w:r>
      <w:r>
        <w:rPr>
          <w:rFonts w:hint="eastAsia" w:ascii="宋体" w:hAnsi="宋体" w:eastAsia="宋体" w:cs="宋体"/>
          <w:color w:val="auto"/>
          <w:szCs w:val="21"/>
          <w:highlight w:val="none"/>
          <w:lang w:val="en-US" w:eastAsia="zh-CN"/>
        </w:rPr>
        <w:t>工程量清单和招标控制价中述的品牌和型号均为参考品牌和型号，投标时参照或相当于参</w:t>
      </w:r>
      <w:r>
        <w:rPr>
          <w:rFonts w:hint="eastAsia" w:ascii="宋体" w:hAnsi="宋体" w:eastAsia="宋体" w:cs="宋体"/>
          <w:color w:val="auto"/>
          <w:szCs w:val="21"/>
          <w:highlight w:val="none"/>
          <w:lang w:val="en-US" w:eastAsia="zh-CN"/>
        </w:rPr>
        <w:t>考品牌或同档次及以上品牌。</w:t>
      </w:r>
    </w:p>
    <w:p w14:paraId="4CD1D2D2">
      <w:pPr>
        <w:numPr>
          <w:ilvl w:val="0"/>
          <w:numId w:val="1"/>
        </w:numPr>
        <w:spacing w:line="360" w:lineRule="auto"/>
        <w:ind w:left="0" w:leftChars="0" w:firstLine="424" w:firstLineChars="202"/>
        <w:jc w:val="left"/>
        <w:rPr>
          <w:rFonts w:hint="eastAsia" w:ascii="宋体" w:hAnsi="宋体" w:eastAsia="宋体" w:cs="宋体"/>
          <w:color w:val="auto"/>
          <w:highlight w:val="none"/>
        </w:rPr>
      </w:pPr>
      <w:r>
        <w:rPr>
          <w:rFonts w:hint="eastAsia" w:ascii="宋体" w:hAnsi="宋体" w:eastAsia="宋体" w:cs="宋体"/>
          <w:color w:val="auto"/>
          <w:highlight w:val="none"/>
        </w:rPr>
        <w:t>如投标人投标产品存在侵犯他人的知识产权或者专利成果行为的，</w:t>
      </w:r>
      <w:r>
        <w:rPr>
          <w:rFonts w:hint="eastAsia" w:ascii="宋体" w:hAnsi="宋体" w:eastAsia="宋体" w:cs="宋体"/>
          <w:color w:val="auto"/>
          <w:highlight w:val="none"/>
        </w:rPr>
        <w:t>应承担相应法律责任。</w:t>
      </w:r>
    </w:p>
    <w:tbl>
      <w:tblPr>
        <w:tblStyle w:val="20"/>
        <w:tblW w:w="106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1"/>
        <w:gridCol w:w="540"/>
        <w:gridCol w:w="855"/>
        <w:gridCol w:w="570"/>
        <w:gridCol w:w="525"/>
        <w:gridCol w:w="5640"/>
        <w:gridCol w:w="923"/>
        <w:gridCol w:w="1145"/>
      </w:tblGrid>
      <w:tr w14:paraId="07B25E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679" w:type="dxa"/>
            <w:gridSpan w:val="8"/>
            <w:tcBorders>
              <w:top w:val="single" w:color="auto" w:sz="4" w:space="0"/>
            </w:tcBorders>
            <w:vAlign w:val="center"/>
          </w:tcPr>
          <w:p w14:paraId="12C5CCFA">
            <w:pPr>
              <w:spacing w:line="320" w:lineRule="exact"/>
              <w:jc w:val="center"/>
              <w:rPr>
                <w:rFonts w:hint="eastAsia" w:ascii="宋体" w:hAnsi="宋体" w:eastAsia="宋体" w:cs="宋体"/>
                <w:b/>
                <w:color w:val="auto"/>
                <w:sz w:val="24"/>
                <w:highlight w:val="none"/>
                <w:lang w:eastAsia="zh-CN"/>
              </w:rPr>
            </w:pPr>
            <w:r>
              <w:rPr>
                <w:rFonts w:hint="eastAsia" w:ascii="宋体" w:hAnsi="宋体" w:cs="宋体"/>
                <w:b/>
                <w:color w:val="auto"/>
                <w:sz w:val="32"/>
                <w:szCs w:val="32"/>
                <w:highlight w:val="none"/>
                <w:lang w:eastAsia="zh-CN"/>
              </w:rPr>
              <w:t>技术需求一览表</w:t>
            </w:r>
          </w:p>
        </w:tc>
      </w:tr>
      <w:tr w14:paraId="005E68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81" w:type="dxa"/>
            <w:vMerge w:val="restart"/>
            <w:tcBorders>
              <w:top w:val="single" w:color="auto" w:sz="4" w:space="0"/>
              <w:right w:val="single" w:color="auto" w:sz="4" w:space="0"/>
            </w:tcBorders>
            <w:vAlign w:val="center"/>
          </w:tcPr>
          <w:p w14:paraId="517F01D5">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采购清单及技术参数</w:t>
            </w:r>
          </w:p>
        </w:tc>
        <w:tc>
          <w:tcPr>
            <w:tcW w:w="5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9DBB32D">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855" w:type="dxa"/>
            <w:tcBorders>
              <w:top w:val="single" w:color="auto" w:sz="4" w:space="0"/>
              <w:left w:val="single" w:color="auto" w:sz="4" w:space="0"/>
              <w:bottom w:val="single" w:color="auto" w:sz="4" w:space="0"/>
              <w:right w:val="single" w:color="auto" w:sz="4" w:space="0"/>
            </w:tcBorders>
            <w:vAlign w:val="center"/>
          </w:tcPr>
          <w:p w14:paraId="6DECC202">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标的的名称</w:t>
            </w:r>
          </w:p>
        </w:tc>
        <w:tc>
          <w:tcPr>
            <w:tcW w:w="570" w:type="dxa"/>
            <w:tcBorders>
              <w:top w:val="single" w:color="auto" w:sz="4" w:space="0"/>
              <w:left w:val="single" w:color="auto" w:sz="4" w:space="0"/>
              <w:bottom w:val="single" w:color="auto" w:sz="4" w:space="0"/>
              <w:right w:val="single" w:color="auto" w:sz="4" w:space="0"/>
            </w:tcBorders>
            <w:vAlign w:val="center"/>
          </w:tcPr>
          <w:p w14:paraId="7A6E8E81">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525" w:type="dxa"/>
            <w:tcBorders>
              <w:top w:val="single" w:color="auto" w:sz="4" w:space="0"/>
              <w:left w:val="single" w:color="auto" w:sz="4" w:space="0"/>
              <w:bottom w:val="single" w:color="auto" w:sz="4" w:space="0"/>
              <w:right w:val="single" w:color="auto" w:sz="4" w:space="0"/>
            </w:tcBorders>
            <w:vAlign w:val="center"/>
          </w:tcPr>
          <w:p w14:paraId="58748A33">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5640" w:type="dxa"/>
            <w:tcBorders>
              <w:top w:val="single" w:color="auto" w:sz="4" w:space="0"/>
              <w:left w:val="single" w:color="auto" w:sz="4" w:space="0"/>
              <w:bottom w:val="single" w:color="auto" w:sz="4" w:space="0"/>
              <w:right w:val="single" w:color="auto" w:sz="4" w:space="0"/>
            </w:tcBorders>
            <w:vAlign w:val="center"/>
          </w:tcPr>
          <w:p w14:paraId="3B7ECEF7">
            <w:pPr>
              <w:spacing w:line="32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技术</w:t>
            </w:r>
            <w:r>
              <w:rPr>
                <w:rFonts w:hint="eastAsia" w:ascii="宋体" w:hAnsi="宋体" w:eastAsia="宋体" w:cs="宋体"/>
                <w:color w:val="auto"/>
                <w:szCs w:val="21"/>
                <w:highlight w:val="none"/>
              </w:rPr>
              <w:t>参数</w:t>
            </w:r>
          </w:p>
        </w:tc>
        <w:tc>
          <w:tcPr>
            <w:tcW w:w="923" w:type="dxa"/>
            <w:tcBorders>
              <w:top w:val="single" w:color="auto" w:sz="4" w:space="0"/>
              <w:left w:val="single" w:color="auto" w:sz="4" w:space="0"/>
              <w:bottom w:val="single" w:color="auto" w:sz="4" w:space="0"/>
              <w:right w:val="single" w:color="auto" w:sz="4" w:space="0"/>
            </w:tcBorders>
            <w:vAlign w:val="center"/>
          </w:tcPr>
          <w:p w14:paraId="0A6090D8">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分项预算合计（元）</w:t>
            </w:r>
          </w:p>
        </w:tc>
        <w:tc>
          <w:tcPr>
            <w:tcW w:w="1145" w:type="dxa"/>
            <w:tcBorders>
              <w:top w:val="single" w:color="auto" w:sz="4" w:space="0"/>
              <w:left w:val="single" w:color="auto" w:sz="4" w:space="0"/>
              <w:bottom w:val="single" w:color="auto" w:sz="4" w:space="0"/>
            </w:tcBorders>
            <w:vAlign w:val="center"/>
          </w:tcPr>
          <w:p w14:paraId="78971287">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2AEAEB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6" w:hRule="atLeast"/>
          <w:jc w:val="center"/>
        </w:trPr>
        <w:tc>
          <w:tcPr>
            <w:tcW w:w="481" w:type="dxa"/>
            <w:vMerge w:val="continue"/>
            <w:tcBorders>
              <w:right w:val="single" w:color="auto" w:sz="4" w:space="0"/>
            </w:tcBorders>
            <w:vAlign w:val="top"/>
          </w:tcPr>
          <w:p w14:paraId="21770315">
            <w:pPr>
              <w:spacing w:line="320" w:lineRule="exact"/>
              <w:jc w:val="center"/>
              <w:rPr>
                <w:rFonts w:hint="eastAsia" w:ascii="宋体" w:hAnsi="宋体" w:eastAsia="宋体" w:cs="宋体"/>
                <w:b/>
                <w:bCs/>
                <w:color w:val="auto"/>
                <w:highlight w:val="none"/>
              </w:rPr>
            </w:pPr>
          </w:p>
        </w:tc>
        <w:tc>
          <w:tcPr>
            <w:tcW w:w="540" w:type="dxa"/>
            <w:tcBorders>
              <w:top w:val="single" w:color="auto" w:sz="4" w:space="0"/>
              <w:left w:val="single" w:color="auto" w:sz="4" w:space="0"/>
              <w:right w:val="single" w:color="auto" w:sz="4" w:space="0"/>
            </w:tcBorders>
            <w:vAlign w:val="center"/>
          </w:tcPr>
          <w:p w14:paraId="44684F2C">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55" w:type="dxa"/>
            <w:tcBorders>
              <w:top w:val="single" w:color="auto" w:sz="4" w:space="0"/>
              <w:left w:val="single" w:color="auto" w:sz="4" w:space="0"/>
              <w:right w:val="single" w:color="auto" w:sz="4" w:space="0"/>
            </w:tcBorders>
            <w:vAlign w:val="center"/>
          </w:tcPr>
          <w:p w14:paraId="7B04123C">
            <w:pPr>
              <w:spacing w:line="3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布泉河乡村振兴特色带建设项目（布泉乡龙会村农文旅产业配套项目）</w:t>
            </w:r>
          </w:p>
        </w:tc>
        <w:tc>
          <w:tcPr>
            <w:tcW w:w="570" w:type="dxa"/>
            <w:tcBorders>
              <w:top w:val="single" w:color="auto" w:sz="4" w:space="0"/>
              <w:left w:val="single" w:color="auto" w:sz="4" w:space="0"/>
              <w:right w:val="single" w:color="auto" w:sz="4" w:space="0"/>
            </w:tcBorders>
            <w:vAlign w:val="center"/>
          </w:tcPr>
          <w:p w14:paraId="175B8345">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525" w:type="dxa"/>
            <w:tcBorders>
              <w:top w:val="single" w:color="auto" w:sz="4" w:space="0"/>
              <w:left w:val="single" w:color="auto" w:sz="4" w:space="0"/>
              <w:right w:val="single" w:color="auto" w:sz="4" w:space="0"/>
            </w:tcBorders>
            <w:vAlign w:val="center"/>
          </w:tcPr>
          <w:p w14:paraId="0122386D">
            <w:pPr>
              <w:spacing w:line="320" w:lineRule="exact"/>
              <w:jc w:val="center"/>
              <w:rPr>
                <w:rFonts w:hint="eastAsia" w:ascii="宋体" w:hAnsi="宋体" w:eastAsia="宋体" w:cs="宋体"/>
                <w:color w:val="auto"/>
                <w:szCs w:val="21"/>
                <w:highlight w:val="none"/>
                <w:lang w:eastAsia="zh-CN"/>
              </w:rPr>
            </w:pPr>
            <w:r>
              <w:rPr>
                <w:rFonts w:hint="eastAsia" w:ascii="宋体" w:hAnsi="宋体" w:cs="宋体"/>
                <w:color w:val="auto"/>
                <w:highlight w:val="none"/>
                <w:lang w:val="en-US" w:eastAsia="zh-CN"/>
              </w:rPr>
              <w:t>项</w:t>
            </w:r>
          </w:p>
        </w:tc>
        <w:tc>
          <w:tcPr>
            <w:tcW w:w="5640" w:type="dxa"/>
            <w:tcBorders>
              <w:top w:val="single" w:color="auto" w:sz="4" w:space="0"/>
              <w:left w:val="single" w:color="auto" w:sz="4" w:space="0"/>
              <w:right w:val="single" w:color="auto" w:sz="4" w:space="0"/>
            </w:tcBorders>
            <w:vAlign w:val="center"/>
          </w:tcPr>
          <w:p w14:paraId="7E3501E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lang w:val="en-US" w:eastAsia="zh-CN"/>
              </w:rPr>
              <w:t>1</w:t>
            </w:r>
            <w:r>
              <w:rPr>
                <w:rFonts w:hint="eastAsia" w:ascii="宋体" w:hAnsi="宋体"/>
                <w:b w:val="0"/>
                <w:bCs w:val="0"/>
                <w:color w:val="auto"/>
                <w:szCs w:val="21"/>
                <w:highlight w:val="none"/>
                <w:lang w:eastAsia="zh-CN"/>
              </w:rPr>
              <w:t>、</w:t>
            </w:r>
            <w:r>
              <w:rPr>
                <w:rFonts w:hint="eastAsia" w:ascii="宋体" w:hAnsi="宋体"/>
                <w:b w:val="0"/>
                <w:bCs w:val="0"/>
                <w:color w:val="auto"/>
                <w:szCs w:val="21"/>
                <w:highlight w:val="none"/>
                <w:lang w:val="en-US" w:eastAsia="zh-CN"/>
              </w:rPr>
              <w:t>采购范围</w:t>
            </w:r>
            <w:r>
              <w:rPr>
                <w:rFonts w:hint="eastAsia" w:ascii="宋体" w:hAnsi="宋体"/>
                <w:b w:val="0"/>
                <w:bCs w:val="0"/>
                <w:color w:val="auto"/>
                <w:szCs w:val="21"/>
                <w:highlight w:val="none"/>
              </w:rPr>
              <w:t>：</w:t>
            </w:r>
            <w:r>
              <w:rPr>
                <w:rFonts w:hint="eastAsia" w:ascii="宋体" w:hAnsi="宋体"/>
                <w:b w:val="0"/>
                <w:bCs w:val="0"/>
                <w:color w:val="auto"/>
                <w:szCs w:val="21"/>
                <w:highlight w:val="none"/>
                <w:lang w:eastAsia="zh-CN"/>
              </w:rPr>
              <w:t>建设内容包含：1.布泉河源头景观改造，包括建设布泉河景区游客中心、茶咖小屋、亲水平台、彩绘长廊、浆板码头、园林绿化、景观电气给排水等；2.建设桃花岛码头、溯泉听布营地服务中心、钓鱼平台、景观电气给排水等；3.龙会村中木平台、室外景观、园林绿化改造等</w:t>
            </w:r>
            <w:r>
              <w:rPr>
                <w:rFonts w:hint="eastAsia" w:ascii="宋体" w:hAnsi="宋体"/>
                <w:b w:val="0"/>
                <w:bCs w:val="0"/>
                <w:color w:val="auto"/>
                <w:szCs w:val="21"/>
                <w:highlight w:val="none"/>
                <w:lang w:val="en-US" w:eastAsia="zh-CN"/>
              </w:rPr>
              <w:t>；具体内容以图纸及工程量清单为准</w:t>
            </w:r>
            <w:r>
              <w:rPr>
                <w:rFonts w:hint="eastAsia" w:ascii="宋体" w:hAnsi="宋体"/>
                <w:b w:val="0"/>
                <w:bCs w:val="0"/>
                <w:color w:val="auto"/>
                <w:szCs w:val="21"/>
                <w:highlight w:val="none"/>
              </w:rPr>
              <w:t>。</w:t>
            </w:r>
          </w:p>
          <w:p w14:paraId="05B29DD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b w:val="0"/>
                <w:bCs w:val="0"/>
                <w:color w:val="auto"/>
                <w:szCs w:val="21"/>
                <w:highlight w:val="none"/>
              </w:rPr>
            </w:pPr>
            <w:r>
              <w:rPr>
                <w:rFonts w:hint="eastAsia" w:ascii="宋体" w:hAnsi="宋体" w:cs="宋体"/>
                <w:color w:val="auto"/>
                <w:highlight w:val="none"/>
              </w:rPr>
              <w:t>▲</w:t>
            </w:r>
            <w:r>
              <w:rPr>
                <w:rFonts w:hint="eastAsia" w:ascii="宋体" w:hAnsi="宋体"/>
                <w:b w:val="0"/>
                <w:bCs w:val="0"/>
                <w:color w:val="auto"/>
                <w:szCs w:val="21"/>
                <w:highlight w:val="none"/>
              </w:rPr>
              <w:t>2</w:t>
            </w:r>
            <w:r>
              <w:rPr>
                <w:rFonts w:hint="eastAsia" w:ascii="宋体" w:hAnsi="宋体"/>
                <w:b w:val="0"/>
                <w:bCs w:val="0"/>
                <w:color w:val="auto"/>
                <w:szCs w:val="21"/>
                <w:highlight w:val="none"/>
                <w:lang w:eastAsia="zh-CN"/>
              </w:rPr>
              <w:t>、</w:t>
            </w:r>
            <w:r>
              <w:rPr>
                <w:rFonts w:hint="eastAsia" w:ascii="宋体" w:hAnsi="宋体"/>
                <w:b w:val="0"/>
                <w:bCs w:val="0"/>
                <w:color w:val="auto"/>
                <w:szCs w:val="21"/>
                <w:highlight w:val="none"/>
              </w:rPr>
              <w:t>质量要求：满足国家、行业、控制标准和验收规范，在质量管理过程中达到或超过质量标准，通过各级验收合格。</w:t>
            </w:r>
          </w:p>
          <w:p w14:paraId="3A677CF7">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b w:val="0"/>
                <w:bCs w:val="0"/>
                <w:color w:val="auto"/>
                <w:szCs w:val="21"/>
                <w:highlight w:val="none"/>
                <w:lang w:eastAsia="zh-CN"/>
              </w:rPr>
            </w:pPr>
            <w:r>
              <w:rPr>
                <w:rFonts w:hint="eastAsia" w:ascii="宋体" w:hAnsi="宋体" w:cs="宋体"/>
                <w:color w:val="auto"/>
                <w:highlight w:val="none"/>
              </w:rPr>
              <w:t>▲</w:t>
            </w:r>
            <w:r>
              <w:rPr>
                <w:rFonts w:hint="eastAsia" w:ascii="宋体" w:hAnsi="宋体"/>
                <w:b w:val="0"/>
                <w:bCs w:val="0"/>
                <w:color w:val="auto"/>
                <w:szCs w:val="21"/>
                <w:highlight w:val="none"/>
                <w:lang w:val="en-US" w:eastAsia="zh-CN"/>
              </w:rPr>
              <w:t>3、</w:t>
            </w:r>
            <w:r>
              <w:rPr>
                <w:rFonts w:hint="eastAsia" w:ascii="宋体" w:hAnsi="宋体"/>
                <w:b w:val="0"/>
                <w:bCs w:val="0"/>
                <w:color w:val="auto"/>
                <w:szCs w:val="21"/>
                <w:highlight w:val="none"/>
              </w:rPr>
              <w:t>其他拟投入人员要求：拟投入本项目的项目经理必须具有</w:t>
            </w:r>
            <w:r>
              <w:rPr>
                <w:rFonts w:hint="eastAsia" w:ascii="宋体" w:hAnsi="宋体"/>
                <w:b w:val="0"/>
                <w:bCs w:val="0"/>
                <w:color w:val="auto"/>
                <w:szCs w:val="21"/>
                <w:highlight w:val="none"/>
                <w:lang w:val="en-US" w:eastAsia="zh-CN"/>
              </w:rPr>
              <w:t>建筑</w:t>
            </w:r>
            <w:r>
              <w:rPr>
                <w:rFonts w:hint="eastAsia" w:ascii="宋体" w:hAnsi="宋体"/>
                <w:b w:val="0"/>
                <w:bCs w:val="0"/>
                <w:color w:val="auto"/>
                <w:szCs w:val="21"/>
                <w:highlight w:val="none"/>
              </w:rPr>
              <w:t>工程专业贰级以上（含贰级）注册建造师资格且获得有效的安全生产考核合格证B证，并为本单位员工；本项目不接受有在建、已中标未开工或已列为其他项目中标候选人第一名的建造师作为项目经理</w:t>
            </w:r>
            <w:r>
              <w:rPr>
                <w:rFonts w:hint="eastAsia" w:ascii="宋体" w:hAnsi="宋体"/>
                <w:b w:val="0"/>
                <w:bCs w:val="0"/>
                <w:color w:val="auto"/>
                <w:szCs w:val="21"/>
                <w:highlight w:val="none"/>
                <w:lang w:eastAsia="zh-CN"/>
              </w:rPr>
              <w:t>；</w:t>
            </w:r>
          </w:p>
          <w:p w14:paraId="61E4C47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b w:val="0"/>
                <w:bCs w:val="0"/>
                <w:color w:val="auto"/>
                <w:szCs w:val="21"/>
                <w:highlight w:val="none"/>
                <w:lang w:val="en-US" w:eastAsia="zh-CN"/>
              </w:rPr>
            </w:pPr>
            <w:r>
              <w:rPr>
                <w:rFonts w:hint="eastAsia" w:ascii="宋体" w:hAnsi="宋体"/>
                <w:b w:val="0"/>
                <w:bCs w:val="0"/>
                <w:color w:val="auto"/>
                <w:szCs w:val="21"/>
                <w:highlight w:val="none"/>
              </w:rPr>
              <w:t>拟投入技术负责人须具备</w:t>
            </w:r>
            <w:r>
              <w:rPr>
                <w:rFonts w:hint="eastAsia" w:ascii="宋体" w:hAnsi="宋体"/>
                <w:b w:val="0"/>
                <w:bCs w:val="0"/>
                <w:color w:val="auto"/>
                <w:szCs w:val="21"/>
                <w:highlight w:val="none"/>
                <w:lang w:val="en-US" w:eastAsia="zh-CN"/>
              </w:rPr>
              <w:t>工程</w:t>
            </w:r>
            <w:r>
              <w:rPr>
                <w:rFonts w:hint="eastAsia" w:ascii="宋体" w:hAnsi="宋体"/>
                <w:b w:val="0"/>
                <w:bCs w:val="0"/>
                <w:color w:val="auto"/>
                <w:szCs w:val="21"/>
                <w:highlight w:val="none"/>
                <w:lang w:eastAsia="zh-CN"/>
              </w:rPr>
              <w:t>类</w:t>
            </w:r>
            <w:r>
              <w:rPr>
                <w:rFonts w:hint="eastAsia" w:ascii="宋体" w:hAnsi="宋体"/>
                <w:b w:val="0"/>
                <w:bCs w:val="0"/>
                <w:color w:val="auto"/>
                <w:szCs w:val="21"/>
                <w:highlight w:val="none"/>
              </w:rPr>
              <w:t>专业中级（含中级）及以上职称资格；专职安全生产管理人员具备有效的安全生产考核合格证</w:t>
            </w:r>
            <w:r>
              <w:rPr>
                <w:rFonts w:hint="eastAsia" w:ascii="宋体" w:hAnsi="宋体"/>
                <w:b w:val="0"/>
                <w:bCs w:val="0"/>
                <w:color w:val="auto"/>
                <w:szCs w:val="21"/>
                <w:highlight w:val="none"/>
                <w:lang w:val="en-US" w:eastAsia="zh-CN"/>
              </w:rPr>
              <w:t>C证，</w:t>
            </w:r>
            <w:r>
              <w:rPr>
                <w:rFonts w:hint="eastAsia" w:ascii="宋体" w:hAnsi="宋体"/>
                <w:b w:val="0"/>
                <w:bCs w:val="0"/>
                <w:color w:val="auto"/>
                <w:szCs w:val="21"/>
                <w:highlight w:val="none"/>
              </w:rPr>
              <w:t>人数符合住房和城乡建设部《建筑施工企业安全生产管理机构设置及专职安全生产管理人员配备办法》（建质〔2008〕91号）的规定不少于1人</w:t>
            </w:r>
            <w:r>
              <w:rPr>
                <w:rFonts w:hint="eastAsia" w:ascii="宋体" w:hAnsi="宋体"/>
                <w:b w:val="0"/>
                <w:bCs w:val="0"/>
                <w:color w:val="auto"/>
                <w:szCs w:val="21"/>
                <w:highlight w:val="none"/>
                <w:lang w:eastAsia="zh-CN"/>
              </w:rPr>
              <w:t>；施工员、质量员、安全员、材料员</w:t>
            </w:r>
            <w:r>
              <w:rPr>
                <w:rFonts w:hint="eastAsia" w:ascii="宋体" w:hAnsi="宋体"/>
                <w:b w:val="0"/>
                <w:bCs w:val="0"/>
                <w:color w:val="auto"/>
                <w:szCs w:val="21"/>
                <w:highlight w:val="none"/>
                <w:lang w:val="en-US" w:eastAsia="zh-CN"/>
              </w:rPr>
              <w:t>配备</w:t>
            </w:r>
            <w:r>
              <w:rPr>
                <w:rFonts w:hint="eastAsia" w:ascii="宋体" w:hAnsi="宋体"/>
                <w:b w:val="0"/>
                <w:bCs w:val="0"/>
                <w:color w:val="auto"/>
                <w:szCs w:val="21"/>
                <w:highlight w:val="none"/>
                <w:lang w:eastAsia="zh-CN"/>
              </w:rPr>
              <w:t>齐全，</w:t>
            </w:r>
            <w:r>
              <w:rPr>
                <w:rFonts w:hint="eastAsia" w:ascii="宋体" w:hAnsi="宋体"/>
                <w:b w:val="0"/>
                <w:bCs w:val="0"/>
                <w:color w:val="auto"/>
                <w:szCs w:val="21"/>
                <w:highlight w:val="none"/>
              </w:rPr>
              <w:t>具备有效的执业证或上岗证</w:t>
            </w:r>
            <w:r>
              <w:rPr>
                <w:rFonts w:hint="eastAsia" w:ascii="宋体" w:hAnsi="宋体"/>
                <w:b w:val="0"/>
                <w:bCs w:val="0"/>
                <w:color w:val="auto"/>
                <w:szCs w:val="21"/>
                <w:highlight w:val="none"/>
                <w:lang w:eastAsia="zh-CN"/>
              </w:rPr>
              <w:t>。</w:t>
            </w:r>
          </w:p>
          <w:p w14:paraId="2CF747C2">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center"/>
              <w:textAlignment w:val="auto"/>
              <w:rPr>
                <w:rFonts w:hint="eastAsia" w:ascii="宋体" w:hAnsi="宋体" w:eastAsia="宋体" w:cs="宋体"/>
                <w:color w:val="auto"/>
                <w:szCs w:val="21"/>
                <w:highlight w:val="none"/>
              </w:rPr>
            </w:pPr>
            <w:r>
              <w:rPr>
                <w:rFonts w:hint="eastAsia" w:ascii="宋体" w:hAnsi="宋体"/>
                <w:b/>
                <w:bCs/>
                <w:color w:val="auto"/>
                <w:szCs w:val="21"/>
                <w:highlight w:val="none"/>
                <w:lang w:val="en-US" w:eastAsia="zh-CN"/>
              </w:rPr>
              <w:t>4、其他要求：</w:t>
            </w:r>
            <w:r>
              <w:rPr>
                <w:rFonts w:hint="eastAsia" w:ascii="宋体" w:hAnsi="宋体"/>
                <w:b/>
                <w:bCs/>
                <w:color w:val="auto"/>
                <w:szCs w:val="21"/>
                <w:highlight w:val="none"/>
              </w:rPr>
              <w:t>具体详见工程量清单及图纸（另册提供）。</w:t>
            </w:r>
          </w:p>
        </w:tc>
        <w:tc>
          <w:tcPr>
            <w:tcW w:w="923" w:type="dxa"/>
            <w:tcBorders>
              <w:top w:val="single" w:color="auto" w:sz="4" w:space="0"/>
              <w:left w:val="single" w:color="auto" w:sz="4" w:space="0"/>
              <w:right w:val="single" w:color="auto" w:sz="4" w:space="0"/>
            </w:tcBorders>
            <w:vAlign w:val="center"/>
          </w:tcPr>
          <w:p w14:paraId="3B3BCBD4">
            <w:pPr>
              <w:spacing w:line="3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3404981.85</w:t>
            </w:r>
          </w:p>
        </w:tc>
        <w:tc>
          <w:tcPr>
            <w:tcW w:w="1145" w:type="dxa"/>
            <w:tcBorders>
              <w:top w:val="single" w:color="auto" w:sz="4" w:space="0"/>
              <w:left w:val="single" w:color="auto" w:sz="4" w:space="0"/>
              <w:bottom w:val="single" w:color="auto" w:sz="4" w:space="0"/>
            </w:tcBorders>
            <w:vAlign w:val="center"/>
          </w:tcPr>
          <w:p w14:paraId="0907EE23">
            <w:pPr>
              <w:spacing w:line="32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建筑业</w:t>
            </w:r>
          </w:p>
        </w:tc>
      </w:tr>
      <w:tr w14:paraId="754C9E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1876" w:type="dxa"/>
            <w:gridSpan w:val="3"/>
            <w:tcBorders>
              <w:top w:val="single" w:color="auto" w:sz="4" w:space="0"/>
              <w:bottom w:val="single" w:color="auto" w:sz="4" w:space="0"/>
              <w:right w:val="single" w:color="auto" w:sz="4" w:space="0"/>
            </w:tcBorders>
            <w:vAlign w:val="center"/>
          </w:tcPr>
          <w:p w14:paraId="64B81B85">
            <w:pPr>
              <w:spacing w:line="320" w:lineRule="exact"/>
              <w:jc w:val="center"/>
              <w:rPr>
                <w:rFonts w:hint="eastAsia" w:ascii="宋体" w:hAnsi="宋体" w:eastAsia="宋体" w:cs="宋体"/>
                <w:color w:val="auto"/>
                <w:highlight w:val="none"/>
              </w:rPr>
            </w:pPr>
          </w:p>
          <w:p w14:paraId="5FCF70C3">
            <w:pPr>
              <w:spacing w:line="320" w:lineRule="exact"/>
              <w:jc w:val="center"/>
              <w:rPr>
                <w:rFonts w:hint="eastAsia" w:ascii="宋体" w:hAnsi="宋体" w:eastAsia="宋体" w:cs="宋体"/>
                <w:color w:val="auto"/>
                <w:highlight w:val="none"/>
              </w:rPr>
            </w:pPr>
          </w:p>
          <w:p w14:paraId="59D993FA">
            <w:pPr>
              <w:spacing w:line="3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8803" w:type="dxa"/>
            <w:gridSpan w:val="5"/>
            <w:tcBorders>
              <w:top w:val="single" w:color="auto" w:sz="4" w:space="0"/>
              <w:left w:val="single" w:color="auto" w:sz="4" w:space="0"/>
              <w:bottom w:val="single" w:color="auto" w:sz="4" w:space="0"/>
            </w:tcBorders>
            <w:vAlign w:val="top"/>
          </w:tcPr>
          <w:p w14:paraId="32D60416">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一、合同签订期：</w:t>
            </w:r>
            <w:r>
              <w:rPr>
                <w:rFonts w:hint="eastAsia" w:ascii="宋体" w:hAnsi="宋体" w:eastAsia="宋体" w:cs="宋体"/>
                <w:color w:val="auto"/>
                <w:highlight w:val="none"/>
                <w:lang w:val="en-US" w:eastAsia="zh-CN"/>
              </w:rPr>
              <w:t>自中标通知书发出之日起</w:t>
            </w:r>
            <w:r>
              <w:rPr>
                <w:rFonts w:hint="eastAsia" w:ascii="宋体" w:hAnsi="宋体" w:cs="宋体"/>
                <w:color w:val="auto"/>
                <w:highlight w:val="none"/>
              </w:rPr>
              <w:t xml:space="preserve"> 25 日内</w:t>
            </w:r>
            <w:r>
              <w:rPr>
                <w:rFonts w:hint="eastAsia" w:ascii="宋体" w:hAnsi="宋体" w:cs="宋体"/>
                <w:color w:val="auto"/>
                <w:highlight w:val="none"/>
                <w:lang w:val="en-US" w:eastAsia="zh-CN"/>
              </w:rPr>
              <w:t>。</w:t>
            </w:r>
          </w:p>
          <w:p w14:paraId="53BE14C2">
            <w:pPr>
              <w:keepNext w:val="0"/>
              <w:keepLines w:val="0"/>
              <w:pageBreakBefore w:val="0"/>
              <w:widowControl/>
              <w:shd w:val="clear" w:color="auto" w:fill="FFFFFF"/>
              <w:kinsoku/>
              <w:wordWrap/>
              <w:overflowPunct/>
              <w:topLinePunct w:val="0"/>
              <w:autoSpaceDE/>
              <w:autoSpaceDN/>
              <w:bidi w:val="0"/>
              <w:adjustRightInd/>
              <w:spacing w:line="360" w:lineRule="exact"/>
              <w:textAlignment w:val="auto"/>
              <w:rPr>
                <w:rFonts w:ascii="宋体" w:hAnsi="宋体" w:cs="宋体"/>
                <w:color w:val="auto"/>
                <w:highlight w:val="none"/>
              </w:rPr>
            </w:pPr>
            <w:r>
              <w:rPr>
                <w:rFonts w:hint="eastAsia" w:ascii="宋体" w:hAnsi="宋体" w:cs="宋体"/>
                <w:color w:val="auto"/>
                <w:highlight w:val="none"/>
              </w:rPr>
              <w:t>▲</w:t>
            </w:r>
            <w:r>
              <w:rPr>
                <w:rFonts w:hint="eastAsia" w:ascii="宋体" w:hAnsi="宋体" w:cs="宋体"/>
                <w:b/>
                <w:bCs/>
                <w:color w:val="auto"/>
                <w:szCs w:val="21"/>
                <w:highlight w:val="none"/>
              </w:rPr>
              <w:t>二、</w:t>
            </w:r>
            <w:r>
              <w:rPr>
                <w:rFonts w:hint="eastAsia" w:ascii="宋体" w:hAnsi="宋体" w:cs="宋体"/>
                <w:b/>
                <w:bCs/>
                <w:color w:val="auto"/>
                <w:szCs w:val="21"/>
                <w:highlight w:val="none"/>
                <w:lang w:val="en-US" w:eastAsia="zh-CN"/>
              </w:rPr>
              <w:t>工期</w:t>
            </w:r>
            <w:r>
              <w:rPr>
                <w:rFonts w:hint="eastAsia" w:ascii="宋体" w:hAnsi="宋体" w:cs="宋体"/>
                <w:b/>
                <w:bCs/>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lang w:val="en-US" w:eastAsia="zh-CN"/>
              </w:rPr>
              <w:t>0日历天</w:t>
            </w:r>
            <w:r>
              <w:rPr>
                <w:rFonts w:hint="eastAsia" w:ascii="宋体" w:hAnsi="宋体" w:cs="宋体"/>
                <w:color w:val="auto"/>
                <w:szCs w:val="21"/>
                <w:highlight w:val="none"/>
              </w:rPr>
              <w:t>。</w:t>
            </w:r>
          </w:p>
          <w:p w14:paraId="1FB84028">
            <w:pPr>
              <w:keepNext w:val="0"/>
              <w:keepLines w:val="0"/>
              <w:pageBreakBefore w:val="0"/>
              <w:widowControl/>
              <w:shd w:val="clear" w:color="auto" w:fill="FFFFFF"/>
              <w:kinsoku/>
              <w:wordWrap/>
              <w:overflowPunct/>
              <w:topLinePunct w:val="0"/>
              <w:autoSpaceDE/>
              <w:autoSpaceDN/>
              <w:bidi w:val="0"/>
              <w:adjustRightInd/>
              <w:spacing w:line="360" w:lineRule="exact"/>
              <w:textAlignment w:val="auto"/>
              <w:rPr>
                <w:rFonts w:hint="eastAsia" w:ascii="宋体" w:hAnsi="宋体" w:eastAsia="宋体" w:cs="宋体"/>
                <w:color w:val="auto"/>
                <w:highlight w:val="none"/>
                <w:lang w:eastAsia="zh-CN"/>
              </w:rPr>
            </w:pPr>
            <w:r>
              <w:rPr>
                <w:rFonts w:hint="eastAsia" w:ascii="宋体" w:hAnsi="宋体" w:cs="宋体"/>
                <w:color w:val="auto"/>
                <w:highlight w:val="none"/>
              </w:rPr>
              <w:t>▲</w:t>
            </w:r>
            <w:r>
              <w:rPr>
                <w:rFonts w:hint="eastAsia" w:ascii="宋体" w:hAnsi="宋体" w:cs="宋体"/>
                <w:b/>
                <w:bCs/>
                <w:color w:val="auto"/>
                <w:highlight w:val="none"/>
                <w:lang w:val="en-US" w:eastAsia="zh-CN"/>
              </w:rPr>
              <w:t>三</w:t>
            </w:r>
            <w:r>
              <w:rPr>
                <w:rFonts w:hint="eastAsia" w:ascii="宋体" w:hAnsi="宋体" w:cs="宋体"/>
                <w:b/>
                <w:bCs/>
                <w:color w:val="auto"/>
                <w:highlight w:val="none"/>
              </w:rPr>
              <w:t>、</w:t>
            </w:r>
            <w:r>
              <w:rPr>
                <w:rFonts w:hint="eastAsia" w:ascii="宋体" w:hAnsi="宋体" w:cs="宋体"/>
                <w:b/>
                <w:bCs/>
                <w:color w:val="auto"/>
                <w:szCs w:val="21"/>
                <w:highlight w:val="none"/>
              </w:rPr>
              <w:t>建设地点：</w:t>
            </w:r>
            <w:r>
              <w:rPr>
                <w:rFonts w:hint="eastAsia" w:ascii="宋体" w:hAnsi="宋体" w:cs="宋体"/>
                <w:b w:val="0"/>
                <w:bCs w:val="0"/>
                <w:color w:val="auto"/>
                <w:szCs w:val="21"/>
                <w:highlight w:val="none"/>
                <w:lang w:eastAsia="zh-CN"/>
              </w:rPr>
              <w:t>南宁市隆安县布泉乡</w:t>
            </w:r>
            <w:r>
              <w:rPr>
                <w:rFonts w:hint="eastAsia" w:ascii="宋体" w:hAnsi="宋体" w:cs="宋体"/>
                <w:b w:val="0"/>
                <w:bCs w:val="0"/>
                <w:color w:val="auto"/>
                <w:highlight w:val="none"/>
                <w:lang w:eastAsia="zh-CN"/>
              </w:rPr>
              <w:t>。</w:t>
            </w:r>
          </w:p>
          <w:p w14:paraId="7763806D">
            <w:pPr>
              <w:keepNext w:val="0"/>
              <w:keepLines w:val="0"/>
              <w:pageBreakBefore w:val="0"/>
              <w:widowControl/>
              <w:shd w:val="clear" w:color="auto" w:fill="FFFFFF"/>
              <w:kinsoku/>
              <w:wordWrap/>
              <w:overflowPunct/>
              <w:topLinePunct w:val="0"/>
              <w:autoSpaceDE/>
              <w:autoSpaceDN/>
              <w:bidi w:val="0"/>
              <w:adjustRightInd/>
              <w:spacing w:line="360" w:lineRule="exact"/>
              <w:textAlignment w:val="auto"/>
              <w:rPr>
                <w:rFonts w:ascii="宋体" w:hAnsi="宋体" w:cs="宋体"/>
                <w:b/>
                <w:bCs/>
                <w:color w:val="auto"/>
                <w:highlight w:val="none"/>
              </w:rPr>
            </w:pPr>
            <w:r>
              <w:rPr>
                <w:rFonts w:hint="eastAsia" w:ascii="宋体" w:hAnsi="宋体" w:cs="宋体"/>
                <w:color w:val="auto"/>
                <w:highlight w:val="none"/>
              </w:rPr>
              <w:t>▲</w:t>
            </w:r>
            <w:r>
              <w:rPr>
                <w:rFonts w:hint="eastAsia" w:ascii="宋体" w:hAnsi="宋体" w:cs="宋体"/>
                <w:b/>
                <w:bCs/>
                <w:color w:val="auto"/>
                <w:highlight w:val="none"/>
                <w:lang w:val="en-US" w:eastAsia="zh-CN"/>
              </w:rPr>
              <w:t>四</w:t>
            </w:r>
            <w:r>
              <w:rPr>
                <w:rFonts w:hint="eastAsia" w:ascii="宋体" w:hAnsi="宋体" w:cs="宋体"/>
                <w:b/>
                <w:bCs/>
                <w:color w:val="auto"/>
                <w:highlight w:val="none"/>
              </w:rPr>
              <w:t>、其他要求：</w:t>
            </w:r>
          </w:p>
          <w:p w14:paraId="1DB4750F">
            <w:pPr>
              <w:keepNext w:val="0"/>
              <w:keepLines w:val="0"/>
              <w:pageBreakBefore w:val="0"/>
              <w:widowControl/>
              <w:shd w:val="clear" w:color="auto" w:fill="FFFFFF"/>
              <w:kinsoku/>
              <w:wordWrap/>
              <w:overflowPunct/>
              <w:topLinePunct w:val="0"/>
              <w:autoSpaceDE/>
              <w:autoSpaceDN/>
              <w:bidi w:val="0"/>
              <w:adjustRightInd/>
              <w:spacing w:line="360" w:lineRule="exact"/>
              <w:ind w:firstLine="210" w:firstLineChars="100"/>
              <w:textAlignment w:val="auto"/>
              <w:rPr>
                <w:rFonts w:hint="eastAsia" w:ascii="宋体" w:hAnsi="宋体" w:eastAsia="宋体" w:cs="宋体"/>
                <w:color w:val="auto"/>
                <w:highlight w:val="none"/>
                <w:lang w:eastAsia="zh-CN"/>
              </w:rPr>
            </w:pPr>
            <w:r>
              <w:rPr>
                <w:rFonts w:hint="eastAsia" w:ascii="宋体" w:hAnsi="宋体" w:cs="宋体"/>
                <w:color w:val="auto"/>
                <w:highlight w:val="none"/>
              </w:rPr>
              <w:t>▲1、本项目采用工程量清单报价。供应商应结合自身因素进行工程量清单报价，但不得超出</w:t>
            </w:r>
            <w:r>
              <w:rPr>
                <w:rFonts w:hint="eastAsia" w:ascii="宋体" w:hAnsi="宋体" w:cs="宋体"/>
                <w:color w:val="auto"/>
                <w:highlight w:val="none"/>
                <w:lang w:val="en-US" w:eastAsia="zh-CN"/>
              </w:rPr>
              <w:t>采购预算价或最高限价</w:t>
            </w:r>
            <w:r>
              <w:rPr>
                <w:rFonts w:hint="eastAsia" w:ascii="宋体" w:hAnsi="宋体" w:cs="宋体"/>
                <w:color w:val="auto"/>
                <w:highlight w:val="none"/>
              </w:rPr>
              <w:t>，否则</w:t>
            </w:r>
            <w:r>
              <w:rPr>
                <w:rFonts w:hint="eastAsia" w:ascii="宋体" w:hAnsi="宋体" w:cs="宋体"/>
                <w:color w:val="auto"/>
                <w:highlight w:val="none"/>
                <w:lang w:val="en-US" w:eastAsia="zh-CN"/>
              </w:rPr>
              <w:t>投标</w:t>
            </w:r>
            <w:r>
              <w:rPr>
                <w:rFonts w:hint="eastAsia" w:ascii="宋体" w:hAnsi="宋体" w:cs="宋体"/>
                <w:color w:val="auto"/>
                <w:highlight w:val="none"/>
              </w:rPr>
              <w:t>无效。供应商必须就所投工程的全部内容作完整唯一报价，漏项报价的或有选择的或有条件的报价，其</w:t>
            </w:r>
            <w:r>
              <w:rPr>
                <w:rFonts w:hint="eastAsia" w:ascii="宋体" w:hAnsi="宋体" w:cs="宋体"/>
                <w:color w:val="auto"/>
                <w:highlight w:val="none"/>
                <w:lang w:val="en-US" w:eastAsia="zh-CN"/>
              </w:rPr>
              <w:t>投标</w:t>
            </w:r>
            <w:r>
              <w:rPr>
                <w:rFonts w:hint="eastAsia" w:ascii="宋体" w:hAnsi="宋体" w:cs="宋体"/>
                <w:color w:val="auto"/>
                <w:highlight w:val="none"/>
              </w:rPr>
              <w:t>无效</w:t>
            </w:r>
            <w:r>
              <w:rPr>
                <w:rFonts w:hint="eastAsia" w:ascii="宋体" w:hAnsi="宋体" w:cs="宋体"/>
                <w:color w:val="auto"/>
                <w:highlight w:val="none"/>
                <w:lang w:eastAsia="zh-CN"/>
              </w:rPr>
              <w:t>。</w:t>
            </w:r>
          </w:p>
          <w:p w14:paraId="2E6C657D">
            <w:pPr>
              <w:keepNext w:val="0"/>
              <w:keepLines w:val="0"/>
              <w:pageBreakBefore w:val="0"/>
              <w:widowControl/>
              <w:shd w:val="clear" w:color="auto" w:fill="FFFFFF"/>
              <w:kinsoku/>
              <w:wordWrap/>
              <w:overflowPunct/>
              <w:topLinePunct w:val="0"/>
              <w:autoSpaceDE/>
              <w:autoSpaceDN/>
              <w:bidi w:val="0"/>
              <w:adjustRightInd/>
              <w:spacing w:line="360" w:lineRule="exact"/>
              <w:ind w:firstLine="210" w:firstLineChars="100"/>
              <w:textAlignment w:val="auto"/>
              <w:rPr>
                <w:rFonts w:ascii="宋体" w:hAnsi="宋体" w:cs="宋体"/>
                <w:color w:val="auto"/>
                <w:highlight w:val="none"/>
              </w:rPr>
            </w:pPr>
            <w:r>
              <w:rPr>
                <w:rFonts w:hint="eastAsia" w:ascii="宋体" w:hAnsi="宋体" w:cs="宋体"/>
                <w:color w:val="auto"/>
                <w:highlight w:val="none"/>
              </w:rPr>
              <w:t>▲2、报价必须含以下部分，包括：</w:t>
            </w:r>
          </w:p>
          <w:p w14:paraId="57099F04">
            <w:pPr>
              <w:keepNext w:val="0"/>
              <w:keepLines w:val="0"/>
              <w:pageBreakBefore w:val="0"/>
              <w:widowControl/>
              <w:shd w:val="clear" w:color="auto" w:fill="FFFFFF"/>
              <w:kinsoku/>
              <w:wordWrap/>
              <w:overflowPunct/>
              <w:topLinePunct w:val="0"/>
              <w:autoSpaceDE/>
              <w:autoSpaceDN/>
              <w:bidi w:val="0"/>
              <w:adjustRightInd/>
              <w:spacing w:line="3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s="宋体"/>
                <w:color w:val="auto"/>
                <w:highlight w:val="none"/>
              </w:rPr>
              <w:t>工程量清单中的每一子目须填入单价或价格，且只允许有一个报价。</w:t>
            </w:r>
          </w:p>
          <w:p w14:paraId="624A7AFB">
            <w:pPr>
              <w:keepNext w:val="0"/>
              <w:keepLines w:val="0"/>
              <w:pageBreakBefore w:val="0"/>
              <w:widowControl/>
              <w:shd w:val="clear" w:color="auto" w:fill="FFFFFF"/>
              <w:kinsoku/>
              <w:wordWrap/>
              <w:overflowPunct/>
              <w:topLinePunct w:val="0"/>
              <w:autoSpaceDE/>
              <w:autoSpaceDN/>
              <w:bidi w:val="0"/>
              <w:adjustRightInd/>
              <w:spacing w:line="3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cs="宋体"/>
                <w:color w:val="auto"/>
                <w:highlight w:val="none"/>
              </w:rPr>
              <w:t>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077A1A13">
            <w:pPr>
              <w:keepNext w:val="0"/>
              <w:keepLines w:val="0"/>
              <w:pageBreakBefore w:val="0"/>
              <w:widowControl/>
              <w:shd w:val="clear" w:color="auto" w:fill="FFFFFF"/>
              <w:kinsoku/>
              <w:wordWrap/>
              <w:overflowPunct/>
              <w:topLinePunct w:val="0"/>
              <w:autoSpaceDE/>
              <w:autoSpaceDN/>
              <w:bidi w:val="0"/>
              <w:adjustRightInd/>
              <w:spacing w:line="3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highlight w:val="none"/>
              </w:rPr>
              <w:t>工程量清单中供应商没有填入单价或价格的子目，其费用视为己分摊在工程量清单中其他相关子目的单价或价格之中。承包人必须按监理人</w:t>
            </w:r>
            <w:r>
              <w:rPr>
                <w:rFonts w:hint="eastAsia" w:ascii="宋体" w:hAnsi="宋体" w:cs="宋体"/>
                <w:color w:val="auto"/>
                <w:highlight w:val="none"/>
                <w:lang w:val="en-US" w:eastAsia="zh-CN"/>
              </w:rPr>
              <w:t>或采购人</w:t>
            </w:r>
            <w:r>
              <w:rPr>
                <w:rFonts w:hint="eastAsia" w:ascii="宋体" w:hAnsi="宋体" w:cs="宋体"/>
                <w:color w:val="auto"/>
                <w:highlight w:val="none"/>
              </w:rPr>
              <w:t>指令完成工程量清单中未填入单价或价格的子目，但不能得到结算与支付。</w:t>
            </w:r>
          </w:p>
          <w:p w14:paraId="781EF605">
            <w:pPr>
              <w:keepNext w:val="0"/>
              <w:keepLines w:val="0"/>
              <w:pageBreakBefore w:val="0"/>
              <w:widowControl/>
              <w:shd w:val="clear" w:color="auto" w:fill="FFFFFF"/>
              <w:kinsoku/>
              <w:wordWrap/>
              <w:overflowPunct/>
              <w:topLinePunct w:val="0"/>
              <w:autoSpaceDE/>
              <w:autoSpaceDN/>
              <w:bidi w:val="0"/>
              <w:adjustRightInd/>
              <w:spacing w:line="3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4</w:t>
            </w:r>
            <w:r>
              <w:rPr>
                <w:rFonts w:hint="eastAsia" w:ascii="宋体" w:hAnsi="宋体" w:cs="宋体"/>
                <w:color w:val="auto"/>
                <w:highlight w:val="none"/>
                <w:lang w:eastAsia="zh-CN"/>
              </w:rPr>
              <w:t>）</w:t>
            </w:r>
            <w:r>
              <w:rPr>
                <w:rFonts w:hint="eastAsia" w:ascii="宋体" w:hAnsi="宋体" w:cs="宋体"/>
                <w:color w:val="auto"/>
                <w:highlight w:val="none"/>
              </w:rPr>
              <w:t>符合合同条款规定的全部费用应认为已被计入有标价的工程量清单所列各子目之中，未列子目不予计量的工作，其费用应视为已分摊在本合同工程的有关子目的单价或总额价之中。</w:t>
            </w:r>
          </w:p>
          <w:p w14:paraId="6975EA87">
            <w:pPr>
              <w:keepNext w:val="0"/>
              <w:keepLines w:val="0"/>
              <w:pageBreakBefore w:val="0"/>
              <w:widowControl/>
              <w:shd w:val="clear" w:color="auto" w:fill="FFFFFF"/>
              <w:kinsoku/>
              <w:wordWrap/>
              <w:overflowPunct/>
              <w:topLinePunct w:val="0"/>
              <w:autoSpaceDE/>
              <w:autoSpaceDN/>
              <w:bidi w:val="0"/>
              <w:adjustRightInd/>
              <w:spacing w:line="3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5</w:t>
            </w:r>
            <w:r>
              <w:rPr>
                <w:rFonts w:hint="eastAsia" w:ascii="宋体" w:hAnsi="宋体" w:cs="宋体"/>
                <w:color w:val="auto"/>
                <w:highlight w:val="none"/>
                <w:lang w:eastAsia="zh-CN"/>
              </w:rPr>
              <w:t>）</w:t>
            </w:r>
            <w:r>
              <w:rPr>
                <w:rFonts w:hint="eastAsia" w:ascii="宋体" w:hAnsi="宋体" w:cs="宋体"/>
                <w:color w:val="auto"/>
                <w:highlight w:val="none"/>
              </w:rPr>
              <w:t>承包人用于本合同工程的各类装备的提供、运输、维护、拆卸、拼装等支付的费用，已包括在工程量清单的单价与总额价之中。</w:t>
            </w:r>
          </w:p>
          <w:p w14:paraId="067533BA">
            <w:pPr>
              <w:keepNext w:val="0"/>
              <w:keepLines w:val="0"/>
              <w:pageBreakBefore w:val="0"/>
              <w:widowControl/>
              <w:shd w:val="clear" w:color="auto" w:fill="FFFFFF"/>
              <w:kinsoku/>
              <w:wordWrap/>
              <w:overflowPunct/>
              <w:topLinePunct w:val="0"/>
              <w:autoSpaceDE/>
              <w:autoSpaceDN/>
              <w:bidi w:val="0"/>
              <w:adjustRightInd/>
              <w:spacing w:line="3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工程量清单中各项金额均以人民币（元）结算。</w:t>
            </w:r>
          </w:p>
          <w:p w14:paraId="07D4E4E2">
            <w:pPr>
              <w:keepNext w:val="0"/>
              <w:keepLines w:val="0"/>
              <w:pageBreakBefore w:val="0"/>
              <w:widowControl/>
              <w:shd w:val="clear" w:color="auto" w:fill="FFFFFF"/>
              <w:kinsoku/>
              <w:wordWrap/>
              <w:overflowPunct/>
              <w:topLinePunct w:val="0"/>
              <w:autoSpaceDE/>
              <w:autoSpaceDN/>
              <w:bidi w:val="0"/>
              <w:adjustRightInd/>
              <w:spacing w:line="3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暂列金额（不含计日工总额）的数量及拟用子目的说明：详见工程量清单。</w:t>
            </w:r>
          </w:p>
          <w:p w14:paraId="3ED3FBB8">
            <w:pPr>
              <w:keepNext w:val="0"/>
              <w:keepLines w:val="0"/>
              <w:pageBreakBefore w:val="0"/>
              <w:widowControl/>
              <w:shd w:val="clear" w:color="auto" w:fill="FFFFFF"/>
              <w:kinsoku/>
              <w:wordWrap/>
              <w:overflowPunct/>
              <w:topLinePunct w:val="0"/>
              <w:autoSpaceDE/>
              <w:autoSpaceDN/>
              <w:bidi w:val="0"/>
              <w:adjustRightInd/>
              <w:spacing w:line="3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暂估价的数量及拟用子目的说明：详见工程量清单。</w:t>
            </w:r>
          </w:p>
          <w:p w14:paraId="2525DA28">
            <w:pPr>
              <w:keepNext w:val="0"/>
              <w:keepLines w:val="0"/>
              <w:pageBreakBefore w:val="0"/>
              <w:widowControl/>
              <w:shd w:val="clear" w:color="auto" w:fill="FFFFFF"/>
              <w:kinsoku/>
              <w:wordWrap/>
              <w:overflowPunct/>
              <w:topLinePunct w:val="0"/>
              <w:autoSpaceDE/>
              <w:autoSpaceDN/>
              <w:bidi w:val="0"/>
              <w:adjustRightInd/>
              <w:spacing w:line="360" w:lineRule="exact"/>
              <w:ind w:firstLine="420" w:firstLineChars="200"/>
              <w:textAlignment w:val="auto"/>
              <w:rPr>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供应商必须按照采购人提供的工程量清单格式填写，不可擅自修改工程量清单，</w:t>
            </w:r>
            <w:r>
              <w:rPr>
                <w:rFonts w:hint="eastAsia" w:ascii="宋体" w:hAnsi="宋体" w:cs="宋体"/>
                <w:color w:val="auto"/>
                <w:highlight w:val="none"/>
                <w:lang w:val="en-US" w:eastAsia="zh-CN"/>
              </w:rPr>
              <w:t>投标</w:t>
            </w:r>
            <w:r>
              <w:rPr>
                <w:rFonts w:hint="eastAsia" w:ascii="宋体" w:hAnsi="宋体" w:cs="宋体"/>
                <w:color w:val="auto"/>
                <w:highlight w:val="none"/>
              </w:rPr>
              <w:t>报价清单（已标价工程量清单）与采购人提供的工程量清单有任何不一致的，将做无效</w:t>
            </w:r>
            <w:r>
              <w:rPr>
                <w:rFonts w:hint="eastAsia" w:ascii="宋体" w:hAnsi="宋体" w:cs="宋体"/>
                <w:color w:val="auto"/>
                <w:highlight w:val="none"/>
                <w:lang w:val="en-US" w:eastAsia="zh-CN"/>
              </w:rPr>
              <w:t>投标</w:t>
            </w:r>
            <w:r>
              <w:rPr>
                <w:rFonts w:hint="eastAsia" w:ascii="宋体" w:hAnsi="宋体" w:cs="宋体"/>
                <w:color w:val="auto"/>
                <w:highlight w:val="none"/>
              </w:rPr>
              <w:t>处理。</w:t>
            </w:r>
          </w:p>
          <w:p w14:paraId="6341B465">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Cs/>
                <w:color w:val="auto"/>
                <w:szCs w:val="21"/>
                <w:highlight w:val="none"/>
                <w:lang w:val="en-US" w:eastAsia="zh-CN"/>
              </w:rPr>
            </w:pPr>
            <w:r>
              <w:rPr>
                <w:rFonts w:hint="eastAsia" w:ascii="宋体" w:hAnsi="宋体" w:cs="宋体"/>
                <w:b/>
                <w:bCs/>
                <w:color w:val="auto"/>
                <w:highlight w:val="none"/>
                <w:lang w:val="en-US" w:eastAsia="zh-CN"/>
              </w:rPr>
              <w:t>七</w:t>
            </w:r>
            <w:r>
              <w:rPr>
                <w:rFonts w:hint="eastAsia" w:ascii="宋体" w:hAnsi="宋体" w:cs="宋体"/>
                <w:b/>
                <w:bCs/>
                <w:color w:val="auto"/>
                <w:highlight w:val="none"/>
              </w:rPr>
              <w:t>、付款方式：</w:t>
            </w:r>
            <w:r>
              <w:rPr>
                <w:rFonts w:hint="eastAsia" w:ascii="宋体" w:hAnsi="宋体" w:cs="宋体"/>
                <w:color w:val="auto"/>
                <w:highlight w:val="none"/>
                <w:lang w:val="en-US" w:eastAsia="zh-CN"/>
              </w:rPr>
              <w:t>详见合同</w:t>
            </w:r>
            <w:r>
              <w:rPr>
                <w:rFonts w:hint="eastAsia" w:ascii="宋体" w:hAnsi="宋体" w:cs="宋体"/>
                <w:bCs/>
                <w:color w:val="auto"/>
                <w:szCs w:val="21"/>
                <w:highlight w:val="none"/>
                <w:lang w:val="en-US" w:eastAsia="zh-CN"/>
              </w:rPr>
              <w:t>。</w:t>
            </w:r>
          </w:p>
        </w:tc>
      </w:tr>
    </w:tbl>
    <w:p w14:paraId="5E12A0B1">
      <w:pPr>
        <w:pStyle w:val="27"/>
        <w:outlineLvl w:val="9"/>
        <w:rPr>
          <w:rFonts w:hint="eastAsia" w:ascii="宋体" w:hAnsi="宋体" w:eastAsia="宋体" w:cs="宋体"/>
          <w:color w:val="auto"/>
          <w:highlight w:val="none"/>
        </w:rPr>
      </w:pPr>
    </w:p>
    <w:p w14:paraId="4B44C522">
      <w:pPr>
        <w:spacing w:line="428" w:lineRule="exact"/>
        <w:ind w:left="119"/>
        <w:rPr>
          <w:rFonts w:hint="eastAsia" w:ascii="宋体" w:hAnsi="宋体" w:eastAsia="宋体" w:cs="宋体"/>
          <w:color w:val="auto"/>
          <w:highlight w:val="none"/>
        </w:rPr>
      </w:pPr>
    </w:p>
    <w:p w14:paraId="1EF3EFAC">
      <w:pPr>
        <w:spacing w:line="428" w:lineRule="exact"/>
        <w:ind w:left="119"/>
        <w:rPr>
          <w:rFonts w:hint="eastAsia" w:ascii="宋体" w:hAnsi="宋体" w:eastAsia="宋体" w:cs="宋体"/>
          <w:color w:val="auto"/>
          <w:highlight w:val="none"/>
        </w:rPr>
      </w:pPr>
    </w:p>
    <w:p w14:paraId="548FB5D1">
      <w:pPr>
        <w:spacing w:line="428" w:lineRule="exact"/>
        <w:ind w:left="119"/>
        <w:rPr>
          <w:rFonts w:hint="eastAsia" w:ascii="宋体" w:hAnsi="宋体" w:eastAsia="宋体" w:cs="宋体"/>
          <w:color w:val="auto"/>
          <w:highlight w:val="none"/>
        </w:rPr>
      </w:pPr>
    </w:p>
    <w:p w14:paraId="3A62B29E">
      <w:pPr>
        <w:spacing w:line="428" w:lineRule="exact"/>
        <w:ind w:left="119"/>
        <w:rPr>
          <w:rFonts w:hint="eastAsia" w:ascii="宋体" w:hAnsi="宋体" w:eastAsia="宋体" w:cs="宋体"/>
          <w:color w:val="auto"/>
          <w:highlight w:val="none"/>
        </w:rPr>
      </w:pPr>
    </w:p>
    <w:p w14:paraId="408E1C3F">
      <w:pPr>
        <w:spacing w:line="428" w:lineRule="exact"/>
        <w:ind w:left="119"/>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6EB86E1E">
      <w:pPr>
        <w:spacing w:line="428" w:lineRule="exact"/>
        <w:ind w:left="119"/>
        <w:rPr>
          <w:rFonts w:hint="eastAsia" w:ascii="宋体" w:hAnsi="宋体" w:eastAsia="宋体" w:cs="宋体"/>
          <w:color w:val="auto"/>
          <w:highlight w:val="none"/>
        </w:rPr>
      </w:pPr>
    </w:p>
    <w:p w14:paraId="3B0A2DC6">
      <w:pPr>
        <w:spacing w:line="428" w:lineRule="exact"/>
        <w:ind w:left="119"/>
        <w:rPr>
          <w:rFonts w:hint="eastAsia" w:ascii="宋体" w:hAnsi="宋体" w:eastAsia="宋体" w:cs="宋体"/>
          <w:color w:val="auto"/>
          <w:highlight w:val="none"/>
        </w:rPr>
      </w:pPr>
    </w:p>
    <w:p w14:paraId="25D7F894">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7E55A973">
      <w:pPr>
        <w:spacing w:line="428" w:lineRule="exact"/>
        <w:ind w:left="119"/>
        <w:rPr>
          <w:rFonts w:hint="eastAsia" w:ascii="Arial Unicode MS" w:hAnsi="Arial Unicode MS" w:eastAsia="Arial Unicode MS" w:cs="Arial Unicode MS"/>
          <w:color w:val="auto"/>
          <w:sz w:val="32"/>
          <w:szCs w:val="32"/>
          <w:highlight w:val="none"/>
        </w:rPr>
      </w:pPr>
      <w:r>
        <w:rPr>
          <w:rFonts w:hAnsi="宋体"/>
          <w:color w:val="auto"/>
          <w:highlight w:val="none"/>
        </w:rPr>
        <w:t xml:space="preserve"> </w:t>
      </w:r>
      <w:r>
        <w:rPr>
          <w:rFonts w:hint="eastAsia" w:ascii="微软雅黑" w:hAnsi="微软雅黑" w:eastAsia="微软雅黑" w:cs="微软雅黑"/>
          <w:color w:val="auto"/>
          <w:sz w:val="32"/>
          <w:szCs w:val="32"/>
          <w:highlight w:val="none"/>
        </w:rPr>
        <w:t>附件</w:t>
      </w:r>
      <w:r>
        <w:rPr>
          <w:rFonts w:ascii="Arial Unicode MS" w:hAnsi="Arial Unicode MS" w:eastAsia="Arial Unicode MS" w:cs="Arial Unicode MS"/>
          <w:color w:val="auto"/>
          <w:sz w:val="32"/>
          <w:szCs w:val="32"/>
          <w:highlight w:val="none"/>
        </w:rPr>
        <w:t>1</w:t>
      </w:r>
      <w:r>
        <w:rPr>
          <w:rFonts w:hint="eastAsia" w:ascii="微软雅黑" w:hAnsi="微软雅黑" w:eastAsia="微软雅黑" w:cs="微软雅黑"/>
          <w:color w:val="auto"/>
          <w:sz w:val="32"/>
          <w:szCs w:val="32"/>
          <w:highlight w:val="none"/>
        </w:rPr>
        <w:t>：</w:t>
      </w:r>
    </w:p>
    <w:p w14:paraId="2665282B">
      <w:pPr>
        <w:spacing w:before="7"/>
        <w:rPr>
          <w:rFonts w:ascii="Arial Unicode MS" w:hAnsi="Arial Unicode MS" w:eastAsia="Arial Unicode MS" w:cs="Arial Unicode MS"/>
          <w:color w:val="auto"/>
          <w:sz w:val="17"/>
          <w:szCs w:val="17"/>
          <w:highlight w:val="none"/>
        </w:rPr>
      </w:pPr>
    </w:p>
    <w:p w14:paraId="36526674">
      <w:pPr>
        <w:spacing w:line="528" w:lineRule="exact"/>
        <w:ind w:left="1871"/>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节能产品政府采购品目清单</w:t>
      </w:r>
    </w:p>
    <w:tbl>
      <w:tblPr>
        <w:tblStyle w:val="20"/>
        <w:tblW w:w="9220" w:type="dxa"/>
        <w:tblInd w:w="93" w:type="dxa"/>
        <w:tblLayout w:type="autofit"/>
        <w:tblCellMar>
          <w:top w:w="0" w:type="dxa"/>
          <w:left w:w="108" w:type="dxa"/>
          <w:bottom w:w="0" w:type="dxa"/>
          <w:right w:w="108" w:type="dxa"/>
        </w:tblCellMar>
      </w:tblPr>
      <w:tblGrid>
        <w:gridCol w:w="641"/>
        <w:gridCol w:w="1116"/>
        <w:gridCol w:w="1516"/>
        <w:gridCol w:w="1612"/>
        <w:gridCol w:w="4335"/>
      </w:tblGrid>
      <w:tr w14:paraId="6B7FBD0A">
        <w:trPr>
          <w:trHeight w:val="555" w:hRule="atLeast"/>
        </w:trPr>
        <w:tc>
          <w:tcPr>
            <w:tcW w:w="660" w:type="dxa"/>
            <w:tcBorders>
              <w:top w:val="single" w:color="000000" w:sz="8" w:space="0"/>
              <w:left w:val="single" w:color="000000" w:sz="8" w:space="0"/>
              <w:bottom w:val="nil"/>
              <w:right w:val="single" w:color="000000" w:sz="8" w:space="0"/>
            </w:tcBorders>
            <w:noWrap w:val="0"/>
            <w:vAlign w:val="top"/>
          </w:tcPr>
          <w:p w14:paraId="3CDAED4E">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020" w:type="dxa"/>
            <w:gridSpan w:val="3"/>
            <w:tcBorders>
              <w:top w:val="single" w:color="000000" w:sz="8" w:space="0"/>
              <w:left w:val="nil"/>
              <w:bottom w:val="single" w:color="000000" w:sz="8" w:space="0"/>
              <w:right w:val="single" w:color="000000" w:sz="8" w:space="0"/>
            </w:tcBorders>
            <w:noWrap w:val="0"/>
            <w:vAlign w:val="center"/>
          </w:tcPr>
          <w:p w14:paraId="285286FF">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540" w:type="dxa"/>
            <w:tcBorders>
              <w:top w:val="single" w:color="000000" w:sz="8" w:space="0"/>
              <w:left w:val="nil"/>
              <w:bottom w:val="single" w:color="000000" w:sz="8" w:space="0"/>
              <w:right w:val="single" w:color="000000" w:sz="8" w:space="0"/>
            </w:tcBorders>
            <w:noWrap w:val="0"/>
            <w:vAlign w:val="center"/>
          </w:tcPr>
          <w:p w14:paraId="24698223">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14:paraId="28BF43C0">
        <w:tblPrEx>
          <w:tblCellMar>
            <w:top w:w="0" w:type="dxa"/>
            <w:left w:w="108" w:type="dxa"/>
            <w:bottom w:w="0" w:type="dxa"/>
            <w:right w:w="108" w:type="dxa"/>
          </w:tblCellMar>
        </w:tblPrEx>
        <w:trPr>
          <w:trHeight w:val="495" w:hRule="atLeast"/>
        </w:trPr>
        <w:tc>
          <w:tcPr>
            <w:tcW w:w="660" w:type="dxa"/>
            <w:vMerge w:val="restart"/>
            <w:tcBorders>
              <w:top w:val="single" w:color="000000" w:sz="8" w:space="0"/>
              <w:left w:val="single" w:color="000000" w:sz="8" w:space="0"/>
              <w:bottom w:val="single" w:color="000000" w:sz="8" w:space="0"/>
              <w:right w:val="single" w:color="000000" w:sz="8" w:space="0"/>
            </w:tcBorders>
            <w:noWrap w:val="0"/>
            <w:vAlign w:val="center"/>
          </w:tcPr>
          <w:p w14:paraId="0FAA7B5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4AC579E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320" w:type="dxa"/>
            <w:tcBorders>
              <w:top w:val="nil"/>
              <w:left w:val="nil"/>
              <w:bottom w:val="single" w:color="000000" w:sz="8" w:space="0"/>
              <w:right w:val="single" w:color="000000" w:sz="8" w:space="0"/>
            </w:tcBorders>
            <w:noWrap w:val="0"/>
            <w:vAlign w:val="center"/>
          </w:tcPr>
          <w:p w14:paraId="4C18411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20" w:type="dxa"/>
            <w:tcBorders>
              <w:top w:val="nil"/>
              <w:left w:val="nil"/>
              <w:bottom w:val="single" w:color="000000" w:sz="8" w:space="0"/>
              <w:right w:val="single" w:color="000000" w:sz="8" w:space="0"/>
            </w:tcBorders>
            <w:noWrap w:val="0"/>
            <w:vAlign w:val="center"/>
          </w:tcPr>
          <w:p w14:paraId="6CDA9FE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3659E33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729F4CF5">
        <w:tblPrEx>
          <w:tblCellMar>
            <w:top w:w="0" w:type="dxa"/>
            <w:left w:w="108" w:type="dxa"/>
            <w:bottom w:w="0" w:type="dxa"/>
            <w:right w:w="108" w:type="dxa"/>
          </w:tblCellMar>
        </w:tblPrEx>
        <w:trPr>
          <w:trHeight w:val="49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14:paraId="1F08587F">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3D4CE5C">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4554609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20" w:type="dxa"/>
            <w:tcBorders>
              <w:top w:val="nil"/>
              <w:left w:val="nil"/>
              <w:bottom w:val="single" w:color="000000" w:sz="8" w:space="0"/>
              <w:right w:val="single" w:color="000000" w:sz="8" w:space="0"/>
            </w:tcBorders>
            <w:noWrap w:val="0"/>
            <w:vAlign w:val="center"/>
          </w:tcPr>
          <w:p w14:paraId="19CDA3C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093BE07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363F7E6D">
        <w:tblPrEx>
          <w:tblCellMar>
            <w:top w:w="0" w:type="dxa"/>
            <w:left w:w="108" w:type="dxa"/>
            <w:bottom w:w="0" w:type="dxa"/>
            <w:right w:w="108" w:type="dxa"/>
          </w:tblCellMar>
        </w:tblPrEx>
        <w:trPr>
          <w:trHeight w:val="73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14:paraId="33483830">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F6FBC8F">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0F2CFC7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noWrap w:val="0"/>
            <w:vAlign w:val="center"/>
          </w:tcPr>
          <w:p w14:paraId="041678D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17E816E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3AC63EF8">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6483EBB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6B7DE0B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21445F8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20" w:type="dxa"/>
            <w:tcBorders>
              <w:top w:val="nil"/>
              <w:left w:val="nil"/>
              <w:bottom w:val="single" w:color="000000" w:sz="8" w:space="0"/>
              <w:right w:val="single" w:color="000000" w:sz="8" w:space="0"/>
            </w:tcBorders>
            <w:noWrap w:val="0"/>
            <w:vAlign w:val="center"/>
          </w:tcPr>
          <w:p w14:paraId="40BF96E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540" w:type="dxa"/>
            <w:tcBorders>
              <w:top w:val="nil"/>
              <w:left w:val="nil"/>
              <w:bottom w:val="single" w:color="000000" w:sz="8" w:space="0"/>
              <w:right w:val="single" w:color="000000" w:sz="8" w:space="0"/>
            </w:tcBorders>
            <w:noWrap w:val="0"/>
            <w:vAlign w:val="center"/>
          </w:tcPr>
          <w:p w14:paraId="0F1D95A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27DAC19A">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583D619">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C1BEB3F">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4D15847">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135C7BB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540" w:type="dxa"/>
            <w:tcBorders>
              <w:top w:val="nil"/>
              <w:left w:val="nil"/>
              <w:bottom w:val="single" w:color="000000" w:sz="8" w:space="0"/>
              <w:right w:val="single" w:color="000000" w:sz="8" w:space="0"/>
            </w:tcBorders>
            <w:noWrap w:val="0"/>
            <w:vAlign w:val="center"/>
          </w:tcPr>
          <w:p w14:paraId="35CFAB3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5243E939">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22B51F7">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5DE6500">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C18445F">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73B9AC0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540" w:type="dxa"/>
            <w:tcBorders>
              <w:top w:val="nil"/>
              <w:left w:val="nil"/>
              <w:bottom w:val="single" w:color="000000" w:sz="8" w:space="0"/>
              <w:right w:val="single" w:color="000000" w:sz="8" w:space="0"/>
            </w:tcBorders>
            <w:noWrap w:val="0"/>
            <w:vAlign w:val="center"/>
          </w:tcPr>
          <w:p w14:paraId="2B77B28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19249427">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4A2E0D9">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03E7BE3">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30D28A3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20" w:type="dxa"/>
            <w:tcBorders>
              <w:top w:val="nil"/>
              <w:left w:val="nil"/>
              <w:bottom w:val="single" w:color="000000" w:sz="8" w:space="0"/>
              <w:right w:val="single" w:color="000000" w:sz="8" w:space="0"/>
            </w:tcBorders>
            <w:noWrap w:val="0"/>
            <w:vAlign w:val="center"/>
          </w:tcPr>
          <w:p w14:paraId="47DE7FF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540" w:type="dxa"/>
            <w:tcBorders>
              <w:top w:val="nil"/>
              <w:left w:val="nil"/>
              <w:bottom w:val="single" w:color="000000" w:sz="8" w:space="0"/>
              <w:right w:val="single" w:color="000000" w:sz="8" w:space="0"/>
            </w:tcBorders>
            <w:noWrap w:val="0"/>
            <w:vAlign w:val="center"/>
          </w:tcPr>
          <w:p w14:paraId="72611F7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14:paraId="5F6F6095">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5069859">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4834B10">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563BC91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noWrap w:val="0"/>
            <w:vAlign w:val="center"/>
          </w:tcPr>
          <w:p w14:paraId="759FF7C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540" w:type="dxa"/>
            <w:tcBorders>
              <w:top w:val="nil"/>
              <w:left w:val="nil"/>
              <w:bottom w:val="single" w:color="000000" w:sz="8" w:space="0"/>
              <w:right w:val="single" w:color="000000" w:sz="8" w:space="0"/>
            </w:tcBorders>
            <w:noWrap w:val="0"/>
            <w:vAlign w:val="center"/>
          </w:tcPr>
          <w:p w14:paraId="02BC760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38223AFF">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4B540AB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080" w:type="dxa"/>
            <w:tcBorders>
              <w:top w:val="nil"/>
              <w:left w:val="nil"/>
              <w:bottom w:val="single" w:color="000000" w:sz="8" w:space="0"/>
              <w:right w:val="single" w:color="000000" w:sz="8" w:space="0"/>
            </w:tcBorders>
            <w:noWrap w:val="0"/>
            <w:vAlign w:val="center"/>
          </w:tcPr>
          <w:p w14:paraId="4D74FD2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320" w:type="dxa"/>
            <w:tcBorders>
              <w:top w:val="nil"/>
              <w:left w:val="nil"/>
              <w:bottom w:val="single" w:color="000000" w:sz="8" w:space="0"/>
              <w:right w:val="single" w:color="000000" w:sz="8" w:space="0"/>
            </w:tcBorders>
            <w:noWrap w:val="0"/>
            <w:vAlign w:val="center"/>
          </w:tcPr>
          <w:p w14:paraId="4243353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2DD4DF9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3D15473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14:paraId="3A8E6921">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38FA4C7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080" w:type="dxa"/>
            <w:tcBorders>
              <w:top w:val="nil"/>
              <w:left w:val="nil"/>
              <w:bottom w:val="single" w:color="000000" w:sz="8" w:space="0"/>
              <w:right w:val="single" w:color="000000" w:sz="8" w:space="0"/>
            </w:tcBorders>
            <w:noWrap w:val="0"/>
            <w:vAlign w:val="center"/>
          </w:tcPr>
          <w:p w14:paraId="62A947E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320" w:type="dxa"/>
            <w:tcBorders>
              <w:top w:val="nil"/>
              <w:left w:val="nil"/>
              <w:bottom w:val="single" w:color="000000" w:sz="8" w:space="0"/>
              <w:right w:val="single" w:color="000000" w:sz="8" w:space="0"/>
            </w:tcBorders>
            <w:noWrap w:val="0"/>
            <w:vAlign w:val="center"/>
          </w:tcPr>
          <w:p w14:paraId="755B044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6184CE8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1E818A4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269C753D">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29FCC79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080" w:type="dxa"/>
            <w:tcBorders>
              <w:top w:val="nil"/>
              <w:left w:val="nil"/>
              <w:bottom w:val="single" w:color="000000" w:sz="8" w:space="0"/>
              <w:right w:val="single" w:color="000000" w:sz="8" w:space="0"/>
            </w:tcBorders>
            <w:noWrap w:val="0"/>
            <w:vAlign w:val="center"/>
          </w:tcPr>
          <w:p w14:paraId="3C8BA81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320" w:type="dxa"/>
            <w:tcBorders>
              <w:top w:val="nil"/>
              <w:left w:val="nil"/>
              <w:bottom w:val="single" w:color="000000" w:sz="8" w:space="0"/>
              <w:right w:val="single" w:color="000000" w:sz="8" w:space="0"/>
            </w:tcBorders>
            <w:noWrap w:val="0"/>
            <w:vAlign w:val="center"/>
          </w:tcPr>
          <w:p w14:paraId="48EFF04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20" w:type="dxa"/>
            <w:tcBorders>
              <w:top w:val="nil"/>
              <w:left w:val="nil"/>
              <w:bottom w:val="single" w:color="000000" w:sz="8" w:space="0"/>
              <w:right w:val="single" w:color="000000" w:sz="8" w:space="0"/>
            </w:tcBorders>
            <w:noWrap w:val="0"/>
            <w:vAlign w:val="center"/>
          </w:tcPr>
          <w:p w14:paraId="544CA84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5E479F1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14:paraId="48A27B10">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1F53AC1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1B3F010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05AF752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20" w:type="dxa"/>
            <w:tcBorders>
              <w:top w:val="nil"/>
              <w:left w:val="nil"/>
              <w:bottom w:val="single" w:color="000000" w:sz="8" w:space="0"/>
              <w:right w:val="single" w:color="000000" w:sz="8" w:space="0"/>
            </w:tcBorders>
            <w:noWrap w:val="0"/>
            <w:vAlign w:val="center"/>
          </w:tcPr>
          <w:p w14:paraId="6083AF5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540" w:type="dxa"/>
            <w:tcBorders>
              <w:top w:val="nil"/>
              <w:left w:val="nil"/>
              <w:bottom w:val="single" w:color="000000" w:sz="8" w:space="0"/>
              <w:right w:val="single" w:color="000000" w:sz="8" w:space="0"/>
            </w:tcBorders>
            <w:noWrap w:val="0"/>
            <w:vAlign w:val="center"/>
          </w:tcPr>
          <w:p w14:paraId="5C8AF9C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14:paraId="66DC2EA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7D8B90A">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0487A93">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399E2A2">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06979C4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540" w:type="dxa"/>
            <w:tcBorders>
              <w:top w:val="nil"/>
              <w:left w:val="nil"/>
              <w:bottom w:val="single" w:color="000000" w:sz="8" w:space="0"/>
              <w:right w:val="single" w:color="000000" w:sz="8" w:space="0"/>
            </w:tcBorders>
            <w:noWrap w:val="0"/>
            <w:vAlign w:val="center"/>
          </w:tcPr>
          <w:p w14:paraId="347C812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14:paraId="77AFEDD2">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2A443D9">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80EE5AF">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B06C6F2">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57E04FC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540" w:type="dxa"/>
            <w:tcBorders>
              <w:top w:val="nil"/>
              <w:left w:val="nil"/>
              <w:bottom w:val="single" w:color="000000" w:sz="8" w:space="0"/>
              <w:right w:val="single" w:color="000000" w:sz="8" w:space="0"/>
            </w:tcBorders>
            <w:noWrap w:val="0"/>
            <w:vAlign w:val="center"/>
          </w:tcPr>
          <w:p w14:paraId="3273DD9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14:paraId="78137742">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02B8E93">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5E7F6C2">
            <w:pPr>
              <w:widowControl/>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1E75FB8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20" w:type="dxa"/>
            <w:tcBorders>
              <w:top w:val="nil"/>
              <w:left w:val="nil"/>
              <w:bottom w:val="single" w:color="000000" w:sz="8" w:space="0"/>
              <w:right w:val="single" w:color="000000" w:sz="8" w:space="0"/>
            </w:tcBorders>
            <w:noWrap w:val="0"/>
            <w:vAlign w:val="center"/>
          </w:tcPr>
          <w:p w14:paraId="07D9585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540" w:type="dxa"/>
            <w:tcBorders>
              <w:top w:val="nil"/>
              <w:left w:val="nil"/>
              <w:bottom w:val="single" w:color="000000" w:sz="8" w:space="0"/>
              <w:right w:val="single" w:color="000000" w:sz="8" w:space="0"/>
            </w:tcBorders>
            <w:noWrap w:val="0"/>
            <w:vAlign w:val="center"/>
          </w:tcPr>
          <w:p w14:paraId="17A77EA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72889FFE">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0D0F574">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B3A2A82">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5B26B1F">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38108E0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540" w:type="dxa"/>
            <w:tcBorders>
              <w:top w:val="nil"/>
              <w:left w:val="nil"/>
              <w:bottom w:val="single" w:color="000000" w:sz="8" w:space="0"/>
              <w:right w:val="single" w:color="000000" w:sz="8" w:space="0"/>
            </w:tcBorders>
            <w:noWrap w:val="0"/>
            <w:vAlign w:val="center"/>
          </w:tcPr>
          <w:p w14:paraId="2BCF605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14:paraId="7A04EC85">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E039C5B">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2F16ABE">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2C76514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20" w:type="dxa"/>
            <w:tcBorders>
              <w:top w:val="nil"/>
              <w:left w:val="nil"/>
              <w:bottom w:val="single" w:color="000000" w:sz="8" w:space="0"/>
              <w:right w:val="single" w:color="000000" w:sz="8" w:space="0"/>
            </w:tcBorders>
            <w:noWrap w:val="0"/>
            <w:vAlign w:val="center"/>
          </w:tcPr>
          <w:p w14:paraId="409EBE4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540" w:type="dxa"/>
            <w:tcBorders>
              <w:top w:val="nil"/>
              <w:left w:val="nil"/>
              <w:bottom w:val="single" w:color="000000" w:sz="8" w:space="0"/>
              <w:right w:val="single" w:color="000000" w:sz="8" w:space="0"/>
            </w:tcBorders>
            <w:noWrap w:val="0"/>
            <w:vAlign w:val="center"/>
          </w:tcPr>
          <w:p w14:paraId="542C5F8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14:paraId="1D0971E3">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8F0B56B">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1B46304">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6079AFD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20" w:type="dxa"/>
            <w:tcBorders>
              <w:top w:val="nil"/>
              <w:left w:val="nil"/>
              <w:bottom w:val="single" w:color="000000" w:sz="8" w:space="0"/>
              <w:right w:val="single" w:color="000000" w:sz="8" w:space="0"/>
            </w:tcBorders>
            <w:noWrap w:val="0"/>
            <w:vAlign w:val="center"/>
          </w:tcPr>
          <w:p w14:paraId="074D124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540" w:type="dxa"/>
            <w:tcBorders>
              <w:top w:val="nil"/>
              <w:left w:val="nil"/>
              <w:bottom w:val="single" w:color="000000" w:sz="8" w:space="0"/>
              <w:right w:val="single" w:color="000000" w:sz="8" w:space="0"/>
            </w:tcBorders>
            <w:noWrap w:val="0"/>
            <w:vAlign w:val="center"/>
          </w:tcPr>
          <w:p w14:paraId="537D33D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14:paraId="393ACDEA">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4B4EFAB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080" w:type="dxa"/>
            <w:tcBorders>
              <w:top w:val="nil"/>
              <w:left w:val="nil"/>
              <w:bottom w:val="single" w:color="000000" w:sz="8" w:space="0"/>
              <w:right w:val="single" w:color="000000" w:sz="8" w:space="0"/>
            </w:tcBorders>
            <w:noWrap w:val="0"/>
            <w:vAlign w:val="center"/>
          </w:tcPr>
          <w:p w14:paraId="3B5B044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320" w:type="dxa"/>
            <w:tcBorders>
              <w:top w:val="nil"/>
              <w:left w:val="nil"/>
              <w:bottom w:val="single" w:color="000000" w:sz="8" w:space="0"/>
              <w:right w:val="single" w:color="000000" w:sz="8" w:space="0"/>
            </w:tcBorders>
            <w:noWrap w:val="0"/>
            <w:vAlign w:val="center"/>
          </w:tcPr>
          <w:p w14:paraId="6DC95DD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5907D57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4791BA0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14:paraId="52C8400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2F8DDDA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080" w:type="dxa"/>
            <w:tcBorders>
              <w:top w:val="nil"/>
              <w:left w:val="nil"/>
              <w:bottom w:val="single" w:color="000000" w:sz="8" w:space="0"/>
              <w:right w:val="single" w:color="000000" w:sz="8" w:space="0"/>
            </w:tcBorders>
            <w:noWrap w:val="0"/>
            <w:vAlign w:val="center"/>
          </w:tcPr>
          <w:p w14:paraId="212EB2A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320" w:type="dxa"/>
            <w:tcBorders>
              <w:top w:val="nil"/>
              <w:left w:val="nil"/>
              <w:bottom w:val="single" w:color="000000" w:sz="8" w:space="0"/>
              <w:right w:val="single" w:color="000000" w:sz="8" w:space="0"/>
            </w:tcBorders>
            <w:noWrap w:val="0"/>
            <w:vAlign w:val="center"/>
          </w:tcPr>
          <w:p w14:paraId="3625E1D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20" w:type="dxa"/>
            <w:tcBorders>
              <w:top w:val="nil"/>
              <w:left w:val="nil"/>
              <w:bottom w:val="single" w:color="000000" w:sz="8" w:space="0"/>
              <w:right w:val="single" w:color="000000" w:sz="8" w:space="0"/>
            </w:tcBorders>
            <w:noWrap w:val="0"/>
            <w:vAlign w:val="center"/>
          </w:tcPr>
          <w:p w14:paraId="1678621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6E49E86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14:paraId="2FFA9D15">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7500498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080" w:type="dxa"/>
            <w:tcBorders>
              <w:top w:val="nil"/>
              <w:left w:val="nil"/>
              <w:bottom w:val="single" w:color="000000" w:sz="8" w:space="0"/>
              <w:right w:val="single" w:color="000000" w:sz="8" w:space="0"/>
            </w:tcBorders>
            <w:noWrap w:val="0"/>
            <w:vAlign w:val="center"/>
          </w:tcPr>
          <w:p w14:paraId="41AE7EA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320" w:type="dxa"/>
            <w:tcBorders>
              <w:top w:val="nil"/>
              <w:left w:val="nil"/>
              <w:bottom w:val="single" w:color="000000" w:sz="8" w:space="0"/>
              <w:right w:val="single" w:color="000000" w:sz="8" w:space="0"/>
            </w:tcBorders>
            <w:noWrap w:val="0"/>
            <w:vAlign w:val="center"/>
          </w:tcPr>
          <w:p w14:paraId="21AB5CC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20" w:type="dxa"/>
            <w:tcBorders>
              <w:top w:val="nil"/>
              <w:left w:val="nil"/>
              <w:bottom w:val="single" w:color="000000" w:sz="8" w:space="0"/>
              <w:right w:val="single" w:color="000000" w:sz="8" w:space="0"/>
            </w:tcBorders>
            <w:noWrap w:val="0"/>
            <w:vAlign w:val="center"/>
          </w:tcPr>
          <w:p w14:paraId="042F45F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07973CA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14:paraId="49C66246">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38065F2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67AAE2B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320" w:type="dxa"/>
            <w:tcBorders>
              <w:top w:val="nil"/>
              <w:left w:val="nil"/>
              <w:bottom w:val="single" w:color="000000" w:sz="8" w:space="0"/>
              <w:right w:val="single" w:color="000000" w:sz="8" w:space="0"/>
            </w:tcBorders>
            <w:noWrap w:val="0"/>
            <w:vAlign w:val="center"/>
          </w:tcPr>
          <w:p w14:paraId="7AF667D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20" w:type="dxa"/>
            <w:tcBorders>
              <w:top w:val="nil"/>
              <w:left w:val="nil"/>
              <w:bottom w:val="single" w:color="000000" w:sz="8" w:space="0"/>
              <w:right w:val="single" w:color="000000" w:sz="8" w:space="0"/>
            </w:tcBorders>
            <w:noWrap w:val="0"/>
            <w:vAlign w:val="center"/>
          </w:tcPr>
          <w:p w14:paraId="09097F1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1B3181C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14:paraId="5534FF36">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86D4987">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86EEDC5">
            <w:pPr>
              <w:widowControl/>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318A5B0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20" w:type="dxa"/>
            <w:tcBorders>
              <w:top w:val="nil"/>
              <w:left w:val="nil"/>
              <w:bottom w:val="single" w:color="000000" w:sz="8" w:space="0"/>
              <w:right w:val="single" w:color="000000" w:sz="8" w:space="0"/>
            </w:tcBorders>
            <w:noWrap w:val="0"/>
            <w:vAlign w:val="center"/>
          </w:tcPr>
          <w:p w14:paraId="6ED7B77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540" w:type="dxa"/>
            <w:tcBorders>
              <w:top w:val="nil"/>
              <w:left w:val="nil"/>
              <w:bottom w:val="single" w:color="000000" w:sz="8" w:space="0"/>
              <w:right w:val="single" w:color="000000" w:sz="8" w:space="0"/>
            </w:tcBorders>
            <w:noWrap w:val="0"/>
            <w:vAlign w:val="center"/>
          </w:tcPr>
          <w:p w14:paraId="4DAAECE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5F33EF20">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40FA032">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FA21427">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6224F9B">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2C37440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540" w:type="dxa"/>
            <w:tcBorders>
              <w:top w:val="nil"/>
              <w:left w:val="nil"/>
              <w:bottom w:val="single" w:color="000000" w:sz="8" w:space="0"/>
              <w:right w:val="single" w:color="000000" w:sz="8" w:space="0"/>
            </w:tcBorders>
            <w:noWrap w:val="0"/>
            <w:vAlign w:val="center"/>
          </w:tcPr>
          <w:p w14:paraId="12D292C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0ADE82A3">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C38391E">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862D170">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AAAA154">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2CDF203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540" w:type="dxa"/>
            <w:tcBorders>
              <w:top w:val="nil"/>
              <w:left w:val="nil"/>
              <w:bottom w:val="single" w:color="000000" w:sz="8" w:space="0"/>
              <w:right w:val="single" w:color="000000" w:sz="8" w:space="0"/>
            </w:tcBorders>
            <w:noWrap w:val="0"/>
            <w:vAlign w:val="center"/>
          </w:tcPr>
          <w:p w14:paraId="51DFF6F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14:paraId="3DE9E34D">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96EC42C">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6C82EAE">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0C089FE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20" w:type="dxa"/>
            <w:tcBorders>
              <w:top w:val="nil"/>
              <w:left w:val="nil"/>
              <w:bottom w:val="single" w:color="000000" w:sz="8" w:space="0"/>
              <w:right w:val="single" w:color="000000" w:sz="8" w:space="0"/>
            </w:tcBorders>
            <w:noWrap w:val="0"/>
            <w:vAlign w:val="center"/>
          </w:tcPr>
          <w:p w14:paraId="7E7DA28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1A7AECD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14:paraId="164ADB0F">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1808B7A">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306C46C">
            <w:pPr>
              <w:widowControl/>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5E893DE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20" w:type="dxa"/>
            <w:tcBorders>
              <w:top w:val="nil"/>
              <w:left w:val="nil"/>
              <w:bottom w:val="single" w:color="000000" w:sz="8" w:space="0"/>
              <w:right w:val="single" w:color="000000" w:sz="8" w:space="0"/>
            </w:tcBorders>
            <w:noWrap w:val="0"/>
            <w:vAlign w:val="center"/>
          </w:tcPr>
          <w:p w14:paraId="5899BA9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540" w:type="dxa"/>
            <w:tcBorders>
              <w:top w:val="nil"/>
              <w:left w:val="nil"/>
              <w:bottom w:val="single" w:color="000000" w:sz="8" w:space="0"/>
              <w:right w:val="single" w:color="000000" w:sz="8" w:space="0"/>
            </w:tcBorders>
            <w:noWrap w:val="0"/>
            <w:vAlign w:val="center"/>
          </w:tcPr>
          <w:p w14:paraId="6B91EA7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14:paraId="3F87BD67">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FADBCE7">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0087F51">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BA651EB">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7EB53C9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540" w:type="dxa"/>
            <w:tcBorders>
              <w:top w:val="nil"/>
              <w:left w:val="nil"/>
              <w:bottom w:val="single" w:color="000000" w:sz="8" w:space="0"/>
              <w:right w:val="single" w:color="000000" w:sz="8" w:space="0"/>
            </w:tcBorders>
            <w:noWrap w:val="0"/>
            <w:vAlign w:val="center"/>
          </w:tcPr>
          <w:p w14:paraId="3A15336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14:paraId="3CD1B0F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08873DA">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B929EBB">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EEE61A1">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2A73A45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540" w:type="dxa"/>
            <w:tcBorders>
              <w:top w:val="nil"/>
              <w:left w:val="nil"/>
              <w:bottom w:val="single" w:color="000000" w:sz="8" w:space="0"/>
              <w:right w:val="single" w:color="000000" w:sz="8" w:space="0"/>
            </w:tcBorders>
            <w:noWrap w:val="0"/>
            <w:vAlign w:val="center"/>
          </w:tcPr>
          <w:p w14:paraId="4B2E3B3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14:paraId="5B61CD0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C84D5CD">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28F15EE">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0524D18">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06F17D8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540" w:type="dxa"/>
            <w:tcBorders>
              <w:top w:val="nil"/>
              <w:left w:val="nil"/>
              <w:bottom w:val="single" w:color="000000" w:sz="8" w:space="0"/>
              <w:right w:val="single" w:color="000000" w:sz="8" w:space="0"/>
            </w:tcBorders>
            <w:noWrap w:val="0"/>
            <w:vAlign w:val="center"/>
          </w:tcPr>
          <w:p w14:paraId="7741145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14:paraId="27951292">
        <w:tblPrEx>
          <w:tblCellMar>
            <w:top w:w="0" w:type="dxa"/>
            <w:left w:w="108" w:type="dxa"/>
            <w:bottom w:w="0" w:type="dxa"/>
            <w:right w:w="108" w:type="dxa"/>
          </w:tblCellMar>
        </w:tblPrEx>
        <w:trPr>
          <w:trHeight w:val="495" w:hRule="atLeast"/>
        </w:trPr>
        <w:tc>
          <w:tcPr>
            <w:tcW w:w="660" w:type="dxa"/>
            <w:vMerge w:val="restart"/>
            <w:tcBorders>
              <w:top w:val="nil"/>
              <w:left w:val="single" w:color="auto" w:sz="8" w:space="0"/>
              <w:bottom w:val="single" w:color="auto" w:sz="8" w:space="0"/>
              <w:right w:val="single" w:color="auto" w:sz="8" w:space="0"/>
            </w:tcBorders>
            <w:noWrap w:val="0"/>
            <w:vAlign w:val="center"/>
          </w:tcPr>
          <w:p w14:paraId="41E933E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080" w:type="dxa"/>
            <w:vMerge w:val="restart"/>
            <w:tcBorders>
              <w:top w:val="nil"/>
              <w:left w:val="single" w:color="auto" w:sz="8" w:space="0"/>
              <w:bottom w:val="single" w:color="auto" w:sz="8" w:space="0"/>
              <w:right w:val="single" w:color="auto" w:sz="8" w:space="0"/>
            </w:tcBorders>
            <w:noWrap w:val="0"/>
            <w:vAlign w:val="center"/>
          </w:tcPr>
          <w:p w14:paraId="2D1F7F3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320" w:type="dxa"/>
            <w:tcBorders>
              <w:top w:val="nil"/>
              <w:left w:val="nil"/>
              <w:bottom w:val="single" w:color="auto" w:sz="8" w:space="0"/>
              <w:right w:val="single" w:color="auto" w:sz="8" w:space="0"/>
            </w:tcBorders>
            <w:noWrap w:val="0"/>
            <w:vAlign w:val="center"/>
          </w:tcPr>
          <w:p w14:paraId="2BD01FC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20" w:type="dxa"/>
            <w:tcBorders>
              <w:top w:val="nil"/>
              <w:left w:val="nil"/>
              <w:bottom w:val="single" w:color="auto" w:sz="8" w:space="0"/>
              <w:right w:val="single" w:color="auto" w:sz="8" w:space="0"/>
            </w:tcBorders>
            <w:noWrap w:val="0"/>
            <w:vAlign w:val="center"/>
          </w:tcPr>
          <w:p w14:paraId="7FAF18E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3A94555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14:paraId="0325CFC9">
        <w:tblPrEx>
          <w:tblCellMar>
            <w:top w:w="0" w:type="dxa"/>
            <w:left w:w="108" w:type="dxa"/>
            <w:bottom w:w="0" w:type="dxa"/>
            <w:right w:w="108" w:type="dxa"/>
          </w:tblCellMar>
        </w:tblPrEx>
        <w:trPr>
          <w:trHeight w:val="495" w:hRule="atLeast"/>
        </w:trPr>
        <w:tc>
          <w:tcPr>
            <w:tcW w:w="0" w:type="auto"/>
            <w:vMerge w:val="continue"/>
            <w:tcBorders>
              <w:top w:val="nil"/>
              <w:left w:val="single" w:color="auto" w:sz="8" w:space="0"/>
              <w:bottom w:val="single" w:color="auto" w:sz="8" w:space="0"/>
              <w:right w:val="single" w:color="auto" w:sz="8" w:space="0"/>
            </w:tcBorders>
            <w:noWrap w:val="0"/>
            <w:vAlign w:val="center"/>
          </w:tcPr>
          <w:p w14:paraId="2A61BFDB">
            <w:pPr>
              <w:widowControl/>
              <w:jc w:val="left"/>
              <w:rPr>
                <w:rFonts w:ascii="宋体" w:hAnsi="宋体" w:cs="宋体"/>
                <w:color w:val="auto"/>
                <w:kern w:val="0"/>
                <w:sz w:val="20"/>
                <w:szCs w:val="20"/>
                <w:highlight w:val="none"/>
              </w:rPr>
            </w:pPr>
          </w:p>
        </w:tc>
        <w:tc>
          <w:tcPr>
            <w:tcW w:w="0" w:type="auto"/>
            <w:vMerge w:val="continue"/>
            <w:tcBorders>
              <w:top w:val="nil"/>
              <w:left w:val="single" w:color="auto" w:sz="8" w:space="0"/>
              <w:bottom w:val="single" w:color="auto" w:sz="8" w:space="0"/>
              <w:right w:val="single" w:color="auto" w:sz="8" w:space="0"/>
            </w:tcBorders>
            <w:noWrap w:val="0"/>
            <w:vAlign w:val="center"/>
          </w:tcPr>
          <w:p w14:paraId="4C7A131E">
            <w:pPr>
              <w:widowControl/>
              <w:jc w:val="left"/>
              <w:rPr>
                <w:rFonts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0"/>
            <w:vAlign w:val="center"/>
          </w:tcPr>
          <w:p w14:paraId="0287B32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20" w:type="dxa"/>
            <w:tcBorders>
              <w:top w:val="nil"/>
              <w:left w:val="nil"/>
              <w:bottom w:val="single" w:color="auto" w:sz="8" w:space="0"/>
              <w:right w:val="single" w:color="auto" w:sz="8" w:space="0"/>
            </w:tcBorders>
            <w:noWrap w:val="0"/>
            <w:vAlign w:val="center"/>
          </w:tcPr>
          <w:p w14:paraId="4762A8C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7CCB04C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14:paraId="10F332FD">
        <w:tblPrEx>
          <w:tblCellMar>
            <w:top w:w="0" w:type="dxa"/>
            <w:left w:w="108" w:type="dxa"/>
            <w:bottom w:w="0" w:type="dxa"/>
            <w:right w:w="108" w:type="dxa"/>
          </w:tblCellMar>
        </w:tblPrEx>
        <w:trPr>
          <w:trHeight w:val="495" w:hRule="atLeast"/>
        </w:trPr>
        <w:tc>
          <w:tcPr>
            <w:tcW w:w="0" w:type="auto"/>
            <w:vMerge w:val="continue"/>
            <w:tcBorders>
              <w:top w:val="nil"/>
              <w:left w:val="single" w:color="auto" w:sz="8" w:space="0"/>
              <w:bottom w:val="single" w:color="auto" w:sz="8" w:space="0"/>
              <w:right w:val="single" w:color="auto" w:sz="8" w:space="0"/>
            </w:tcBorders>
            <w:noWrap w:val="0"/>
            <w:vAlign w:val="center"/>
          </w:tcPr>
          <w:p w14:paraId="2E5D0781">
            <w:pPr>
              <w:widowControl/>
              <w:jc w:val="left"/>
              <w:rPr>
                <w:rFonts w:ascii="宋体" w:hAnsi="宋体" w:cs="宋体"/>
                <w:color w:val="auto"/>
                <w:kern w:val="0"/>
                <w:sz w:val="20"/>
                <w:szCs w:val="20"/>
                <w:highlight w:val="none"/>
              </w:rPr>
            </w:pPr>
          </w:p>
        </w:tc>
        <w:tc>
          <w:tcPr>
            <w:tcW w:w="0" w:type="auto"/>
            <w:vMerge w:val="continue"/>
            <w:tcBorders>
              <w:top w:val="nil"/>
              <w:left w:val="single" w:color="auto" w:sz="8" w:space="0"/>
              <w:bottom w:val="single" w:color="auto" w:sz="8" w:space="0"/>
              <w:right w:val="single" w:color="auto" w:sz="8" w:space="0"/>
            </w:tcBorders>
            <w:noWrap w:val="0"/>
            <w:vAlign w:val="center"/>
          </w:tcPr>
          <w:p w14:paraId="6738C151">
            <w:pPr>
              <w:widowControl/>
              <w:jc w:val="left"/>
              <w:rPr>
                <w:rFonts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0"/>
            <w:vAlign w:val="center"/>
          </w:tcPr>
          <w:p w14:paraId="7CBC095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20" w:type="dxa"/>
            <w:tcBorders>
              <w:top w:val="nil"/>
              <w:left w:val="nil"/>
              <w:bottom w:val="single" w:color="auto" w:sz="8" w:space="0"/>
              <w:right w:val="single" w:color="auto" w:sz="8" w:space="0"/>
            </w:tcBorders>
            <w:noWrap w:val="0"/>
            <w:vAlign w:val="center"/>
          </w:tcPr>
          <w:p w14:paraId="4E6A1E2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191241B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2B548F01">
        <w:tblPrEx>
          <w:tblCellMar>
            <w:top w:w="0" w:type="dxa"/>
            <w:left w:w="108" w:type="dxa"/>
            <w:bottom w:w="0" w:type="dxa"/>
            <w:right w:w="108" w:type="dxa"/>
          </w:tblCellMar>
        </w:tblPrEx>
        <w:trPr>
          <w:trHeight w:val="735" w:hRule="atLeast"/>
        </w:trPr>
        <w:tc>
          <w:tcPr>
            <w:tcW w:w="0" w:type="auto"/>
            <w:vMerge w:val="continue"/>
            <w:tcBorders>
              <w:top w:val="nil"/>
              <w:left w:val="single" w:color="auto" w:sz="8" w:space="0"/>
              <w:bottom w:val="single" w:color="auto" w:sz="8" w:space="0"/>
              <w:right w:val="single" w:color="auto" w:sz="8" w:space="0"/>
            </w:tcBorders>
            <w:noWrap w:val="0"/>
            <w:vAlign w:val="center"/>
          </w:tcPr>
          <w:p w14:paraId="22540340">
            <w:pPr>
              <w:widowControl/>
              <w:jc w:val="left"/>
              <w:rPr>
                <w:rFonts w:ascii="宋体" w:hAnsi="宋体" w:cs="宋体"/>
                <w:color w:val="auto"/>
                <w:kern w:val="0"/>
                <w:sz w:val="20"/>
                <w:szCs w:val="20"/>
                <w:highlight w:val="none"/>
              </w:rPr>
            </w:pPr>
          </w:p>
        </w:tc>
        <w:tc>
          <w:tcPr>
            <w:tcW w:w="0" w:type="auto"/>
            <w:vMerge w:val="continue"/>
            <w:tcBorders>
              <w:top w:val="nil"/>
              <w:left w:val="single" w:color="auto" w:sz="8" w:space="0"/>
              <w:bottom w:val="single" w:color="auto" w:sz="8" w:space="0"/>
              <w:right w:val="single" w:color="auto" w:sz="8" w:space="0"/>
            </w:tcBorders>
            <w:noWrap w:val="0"/>
            <w:vAlign w:val="center"/>
          </w:tcPr>
          <w:p w14:paraId="364C1BF3">
            <w:pPr>
              <w:widowControl/>
              <w:jc w:val="left"/>
              <w:rPr>
                <w:rFonts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0"/>
            <w:vAlign w:val="center"/>
          </w:tcPr>
          <w:p w14:paraId="538CE3E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20" w:type="dxa"/>
            <w:tcBorders>
              <w:top w:val="nil"/>
              <w:left w:val="nil"/>
              <w:bottom w:val="single" w:color="auto" w:sz="8" w:space="0"/>
              <w:right w:val="single" w:color="auto" w:sz="8" w:space="0"/>
            </w:tcBorders>
            <w:noWrap w:val="0"/>
            <w:vAlign w:val="center"/>
          </w:tcPr>
          <w:p w14:paraId="31299F1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3400081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2D6A7A7A">
        <w:tblPrEx>
          <w:tblCellMar>
            <w:top w:w="0" w:type="dxa"/>
            <w:left w:w="108" w:type="dxa"/>
            <w:bottom w:w="0" w:type="dxa"/>
            <w:right w:w="108" w:type="dxa"/>
          </w:tblCellMar>
        </w:tblPrEx>
        <w:trPr>
          <w:trHeight w:val="735" w:hRule="atLeast"/>
        </w:trPr>
        <w:tc>
          <w:tcPr>
            <w:tcW w:w="660" w:type="dxa"/>
            <w:tcBorders>
              <w:top w:val="nil"/>
              <w:left w:val="single" w:color="auto" w:sz="8" w:space="0"/>
              <w:bottom w:val="single" w:color="auto" w:sz="8" w:space="0"/>
              <w:right w:val="single" w:color="auto" w:sz="8" w:space="0"/>
            </w:tcBorders>
            <w:noWrap w:val="0"/>
            <w:vAlign w:val="center"/>
          </w:tcPr>
          <w:p w14:paraId="0A0C231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080" w:type="dxa"/>
            <w:tcBorders>
              <w:top w:val="nil"/>
              <w:left w:val="nil"/>
              <w:bottom w:val="single" w:color="auto" w:sz="8" w:space="0"/>
              <w:right w:val="single" w:color="auto" w:sz="8" w:space="0"/>
            </w:tcBorders>
            <w:noWrap w:val="0"/>
            <w:vAlign w:val="center"/>
          </w:tcPr>
          <w:p w14:paraId="36D28E1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320" w:type="dxa"/>
            <w:tcBorders>
              <w:top w:val="nil"/>
              <w:left w:val="nil"/>
              <w:bottom w:val="single" w:color="auto" w:sz="8" w:space="0"/>
              <w:right w:val="single" w:color="auto" w:sz="8" w:space="0"/>
            </w:tcBorders>
            <w:noWrap w:val="0"/>
            <w:vAlign w:val="center"/>
          </w:tcPr>
          <w:p w14:paraId="470402C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20" w:type="dxa"/>
            <w:tcBorders>
              <w:top w:val="nil"/>
              <w:left w:val="nil"/>
              <w:bottom w:val="single" w:color="auto" w:sz="8" w:space="0"/>
              <w:right w:val="single" w:color="auto" w:sz="8" w:space="0"/>
            </w:tcBorders>
            <w:noWrap w:val="0"/>
            <w:vAlign w:val="center"/>
          </w:tcPr>
          <w:p w14:paraId="7AA1D28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16A9AAA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14:paraId="6E7D082A">
        <w:tblPrEx>
          <w:tblCellMar>
            <w:top w:w="0" w:type="dxa"/>
            <w:left w:w="108" w:type="dxa"/>
            <w:bottom w:w="0" w:type="dxa"/>
            <w:right w:w="108" w:type="dxa"/>
          </w:tblCellMar>
        </w:tblPrEx>
        <w:trPr>
          <w:trHeight w:val="975" w:hRule="atLeast"/>
        </w:trPr>
        <w:tc>
          <w:tcPr>
            <w:tcW w:w="660" w:type="dxa"/>
            <w:tcBorders>
              <w:top w:val="nil"/>
              <w:left w:val="single" w:color="auto" w:sz="8" w:space="0"/>
              <w:bottom w:val="single" w:color="auto" w:sz="8" w:space="0"/>
              <w:right w:val="single" w:color="auto" w:sz="8" w:space="0"/>
            </w:tcBorders>
            <w:noWrap w:val="0"/>
            <w:vAlign w:val="center"/>
          </w:tcPr>
          <w:p w14:paraId="18CBB4F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080" w:type="dxa"/>
            <w:tcBorders>
              <w:top w:val="nil"/>
              <w:left w:val="nil"/>
              <w:bottom w:val="single" w:color="auto" w:sz="8" w:space="0"/>
              <w:right w:val="single" w:color="auto" w:sz="8" w:space="0"/>
            </w:tcBorders>
            <w:noWrap w:val="0"/>
            <w:vAlign w:val="center"/>
          </w:tcPr>
          <w:p w14:paraId="359C11A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320" w:type="dxa"/>
            <w:tcBorders>
              <w:top w:val="nil"/>
              <w:left w:val="nil"/>
              <w:bottom w:val="single" w:color="auto" w:sz="8" w:space="0"/>
              <w:right w:val="single" w:color="auto" w:sz="8" w:space="0"/>
            </w:tcBorders>
            <w:noWrap w:val="0"/>
            <w:vAlign w:val="center"/>
          </w:tcPr>
          <w:p w14:paraId="2D6962B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20" w:type="dxa"/>
            <w:tcBorders>
              <w:top w:val="nil"/>
              <w:left w:val="nil"/>
              <w:bottom w:val="single" w:color="auto" w:sz="8" w:space="0"/>
              <w:right w:val="single" w:color="auto" w:sz="8" w:space="0"/>
            </w:tcBorders>
            <w:noWrap w:val="0"/>
            <w:vAlign w:val="center"/>
          </w:tcPr>
          <w:p w14:paraId="483FE0A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540" w:type="dxa"/>
            <w:tcBorders>
              <w:top w:val="nil"/>
              <w:left w:val="nil"/>
              <w:bottom w:val="single" w:color="auto" w:sz="8" w:space="0"/>
              <w:right w:val="single" w:color="auto" w:sz="8" w:space="0"/>
            </w:tcBorders>
            <w:noWrap w:val="0"/>
            <w:vAlign w:val="center"/>
          </w:tcPr>
          <w:p w14:paraId="3A61FD8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5534F560">
        <w:tblPrEx>
          <w:tblCellMar>
            <w:top w:w="0" w:type="dxa"/>
            <w:left w:w="108" w:type="dxa"/>
            <w:bottom w:w="0" w:type="dxa"/>
            <w:right w:w="108" w:type="dxa"/>
          </w:tblCellMar>
        </w:tblPrEx>
        <w:trPr>
          <w:trHeight w:val="495" w:hRule="atLeast"/>
        </w:trPr>
        <w:tc>
          <w:tcPr>
            <w:tcW w:w="660" w:type="dxa"/>
            <w:tcBorders>
              <w:top w:val="nil"/>
              <w:left w:val="single" w:color="auto" w:sz="8" w:space="0"/>
              <w:bottom w:val="single" w:color="auto" w:sz="8" w:space="0"/>
              <w:right w:val="single" w:color="auto" w:sz="8" w:space="0"/>
            </w:tcBorders>
            <w:noWrap w:val="0"/>
            <w:vAlign w:val="center"/>
          </w:tcPr>
          <w:p w14:paraId="16A6966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080" w:type="dxa"/>
            <w:tcBorders>
              <w:top w:val="nil"/>
              <w:left w:val="nil"/>
              <w:bottom w:val="single" w:color="auto" w:sz="8" w:space="0"/>
              <w:right w:val="single" w:color="auto" w:sz="8" w:space="0"/>
            </w:tcBorders>
            <w:noWrap w:val="0"/>
            <w:vAlign w:val="center"/>
          </w:tcPr>
          <w:p w14:paraId="2F0D923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320" w:type="dxa"/>
            <w:tcBorders>
              <w:top w:val="nil"/>
              <w:left w:val="nil"/>
              <w:bottom w:val="single" w:color="auto" w:sz="8" w:space="0"/>
              <w:right w:val="single" w:color="auto" w:sz="8" w:space="0"/>
            </w:tcBorders>
            <w:noWrap w:val="0"/>
            <w:vAlign w:val="center"/>
          </w:tcPr>
          <w:p w14:paraId="365A49A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20" w:type="dxa"/>
            <w:tcBorders>
              <w:top w:val="nil"/>
              <w:left w:val="nil"/>
              <w:bottom w:val="single" w:color="auto" w:sz="8" w:space="0"/>
              <w:right w:val="single" w:color="auto" w:sz="8" w:space="0"/>
            </w:tcBorders>
            <w:noWrap w:val="0"/>
            <w:vAlign w:val="center"/>
          </w:tcPr>
          <w:p w14:paraId="241858D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0207C97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14:paraId="369BADB5">
        <w:tblPrEx>
          <w:tblCellMar>
            <w:top w:w="0" w:type="dxa"/>
            <w:left w:w="108" w:type="dxa"/>
            <w:bottom w:w="0" w:type="dxa"/>
            <w:right w:w="108" w:type="dxa"/>
          </w:tblCellMar>
        </w:tblPrEx>
        <w:trPr>
          <w:trHeight w:val="285" w:hRule="atLeast"/>
        </w:trPr>
        <w:tc>
          <w:tcPr>
            <w:tcW w:w="660" w:type="dxa"/>
            <w:vMerge w:val="restart"/>
            <w:tcBorders>
              <w:top w:val="nil"/>
              <w:left w:val="single" w:color="auto" w:sz="8" w:space="0"/>
              <w:bottom w:val="single" w:color="auto" w:sz="8" w:space="0"/>
              <w:right w:val="single" w:color="auto" w:sz="8" w:space="0"/>
            </w:tcBorders>
            <w:noWrap w:val="0"/>
            <w:vAlign w:val="center"/>
          </w:tcPr>
          <w:p w14:paraId="278936A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080" w:type="dxa"/>
            <w:vMerge w:val="restart"/>
            <w:tcBorders>
              <w:top w:val="nil"/>
              <w:left w:val="single" w:color="auto" w:sz="8" w:space="0"/>
              <w:bottom w:val="single" w:color="000000" w:sz="8" w:space="0"/>
              <w:right w:val="single" w:color="auto" w:sz="8" w:space="0"/>
            </w:tcBorders>
            <w:noWrap w:val="0"/>
            <w:vAlign w:val="center"/>
          </w:tcPr>
          <w:p w14:paraId="18A1711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320" w:type="dxa"/>
            <w:tcBorders>
              <w:top w:val="nil"/>
              <w:left w:val="nil"/>
              <w:bottom w:val="single" w:color="auto" w:sz="8" w:space="0"/>
              <w:right w:val="single" w:color="auto" w:sz="8" w:space="0"/>
            </w:tcBorders>
            <w:noWrap w:val="0"/>
            <w:vAlign w:val="center"/>
          </w:tcPr>
          <w:p w14:paraId="2E6A231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20" w:type="dxa"/>
            <w:tcBorders>
              <w:top w:val="nil"/>
              <w:left w:val="nil"/>
              <w:bottom w:val="single" w:color="auto" w:sz="8" w:space="0"/>
              <w:right w:val="single" w:color="auto" w:sz="8" w:space="0"/>
            </w:tcBorders>
            <w:noWrap w:val="0"/>
            <w:vAlign w:val="center"/>
          </w:tcPr>
          <w:p w14:paraId="39803ED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3E9E7B2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14:paraId="436A99A3">
        <w:tblPrEx>
          <w:tblCellMar>
            <w:top w:w="0" w:type="dxa"/>
            <w:left w:w="108" w:type="dxa"/>
            <w:bottom w:w="0" w:type="dxa"/>
            <w:right w:w="108" w:type="dxa"/>
          </w:tblCellMar>
        </w:tblPrEx>
        <w:trPr>
          <w:trHeight w:val="495" w:hRule="atLeast"/>
        </w:trPr>
        <w:tc>
          <w:tcPr>
            <w:tcW w:w="0" w:type="auto"/>
            <w:vMerge w:val="continue"/>
            <w:tcBorders>
              <w:top w:val="nil"/>
              <w:left w:val="single" w:color="auto" w:sz="8" w:space="0"/>
              <w:bottom w:val="single" w:color="auto" w:sz="8" w:space="0"/>
              <w:right w:val="single" w:color="auto" w:sz="8" w:space="0"/>
            </w:tcBorders>
            <w:noWrap w:val="0"/>
            <w:vAlign w:val="center"/>
          </w:tcPr>
          <w:p w14:paraId="2EFDC4F4">
            <w:pPr>
              <w:widowControl/>
              <w:jc w:val="left"/>
              <w:rPr>
                <w:rFonts w:ascii="宋体" w:hAnsi="宋体" w:cs="宋体"/>
                <w:color w:val="auto"/>
                <w:kern w:val="0"/>
                <w:sz w:val="20"/>
                <w:szCs w:val="20"/>
                <w:highlight w:val="none"/>
              </w:rPr>
            </w:pPr>
          </w:p>
        </w:tc>
        <w:tc>
          <w:tcPr>
            <w:tcW w:w="0" w:type="auto"/>
            <w:vMerge w:val="continue"/>
            <w:tcBorders>
              <w:top w:val="nil"/>
              <w:left w:val="single" w:color="auto" w:sz="8" w:space="0"/>
              <w:bottom w:val="single" w:color="000000" w:sz="8" w:space="0"/>
              <w:right w:val="single" w:color="auto" w:sz="8" w:space="0"/>
            </w:tcBorders>
            <w:noWrap w:val="0"/>
            <w:vAlign w:val="center"/>
          </w:tcPr>
          <w:p w14:paraId="2F8D196C">
            <w:pPr>
              <w:widowControl/>
              <w:jc w:val="left"/>
              <w:rPr>
                <w:rFonts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0"/>
            <w:vAlign w:val="center"/>
          </w:tcPr>
          <w:p w14:paraId="0F67A2E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20" w:type="dxa"/>
            <w:tcBorders>
              <w:top w:val="nil"/>
              <w:left w:val="nil"/>
              <w:bottom w:val="single" w:color="auto" w:sz="8" w:space="0"/>
              <w:right w:val="single" w:color="auto" w:sz="8" w:space="0"/>
            </w:tcBorders>
            <w:noWrap w:val="0"/>
            <w:vAlign w:val="center"/>
          </w:tcPr>
          <w:p w14:paraId="67A704A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45E94EF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14:paraId="0E20F49D">
        <w:tblPrEx>
          <w:tblCellMar>
            <w:top w:w="0" w:type="dxa"/>
            <w:left w:w="108" w:type="dxa"/>
            <w:bottom w:w="0" w:type="dxa"/>
            <w:right w:w="108" w:type="dxa"/>
          </w:tblCellMar>
        </w:tblPrEx>
        <w:trPr>
          <w:trHeight w:val="495" w:hRule="atLeast"/>
        </w:trPr>
        <w:tc>
          <w:tcPr>
            <w:tcW w:w="0" w:type="auto"/>
            <w:vMerge w:val="continue"/>
            <w:tcBorders>
              <w:top w:val="nil"/>
              <w:left w:val="single" w:color="auto" w:sz="8" w:space="0"/>
              <w:bottom w:val="single" w:color="auto" w:sz="8" w:space="0"/>
              <w:right w:val="single" w:color="auto" w:sz="8" w:space="0"/>
            </w:tcBorders>
            <w:noWrap w:val="0"/>
            <w:vAlign w:val="center"/>
          </w:tcPr>
          <w:p w14:paraId="33156540">
            <w:pPr>
              <w:widowControl/>
              <w:jc w:val="left"/>
              <w:rPr>
                <w:rFonts w:ascii="宋体" w:hAnsi="宋体" w:cs="宋体"/>
                <w:color w:val="auto"/>
                <w:kern w:val="0"/>
                <w:sz w:val="20"/>
                <w:szCs w:val="20"/>
                <w:highlight w:val="none"/>
              </w:rPr>
            </w:pPr>
          </w:p>
        </w:tc>
        <w:tc>
          <w:tcPr>
            <w:tcW w:w="0" w:type="auto"/>
            <w:vMerge w:val="continue"/>
            <w:tcBorders>
              <w:top w:val="nil"/>
              <w:left w:val="single" w:color="auto" w:sz="8" w:space="0"/>
              <w:bottom w:val="single" w:color="000000" w:sz="8" w:space="0"/>
              <w:right w:val="single" w:color="auto" w:sz="8" w:space="0"/>
            </w:tcBorders>
            <w:noWrap w:val="0"/>
            <w:vAlign w:val="center"/>
          </w:tcPr>
          <w:p w14:paraId="636AFC8B">
            <w:pPr>
              <w:widowControl/>
              <w:jc w:val="left"/>
              <w:rPr>
                <w:rFonts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0"/>
            <w:vAlign w:val="center"/>
          </w:tcPr>
          <w:p w14:paraId="594A3C2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20" w:type="dxa"/>
            <w:tcBorders>
              <w:top w:val="nil"/>
              <w:left w:val="nil"/>
              <w:bottom w:val="single" w:color="auto" w:sz="8" w:space="0"/>
              <w:right w:val="single" w:color="auto" w:sz="8" w:space="0"/>
            </w:tcBorders>
            <w:noWrap w:val="0"/>
            <w:vAlign w:val="center"/>
          </w:tcPr>
          <w:p w14:paraId="5A1D427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74F6F83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14:paraId="406CC23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4B36745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080" w:type="dxa"/>
            <w:tcBorders>
              <w:top w:val="nil"/>
              <w:left w:val="nil"/>
              <w:bottom w:val="single" w:color="000000" w:sz="8" w:space="0"/>
              <w:right w:val="single" w:color="000000" w:sz="8" w:space="0"/>
            </w:tcBorders>
            <w:noWrap w:val="0"/>
            <w:vAlign w:val="center"/>
          </w:tcPr>
          <w:p w14:paraId="14334A5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320" w:type="dxa"/>
            <w:tcBorders>
              <w:top w:val="nil"/>
              <w:left w:val="nil"/>
              <w:bottom w:val="single" w:color="000000" w:sz="8" w:space="0"/>
              <w:right w:val="single" w:color="000000" w:sz="8" w:space="0"/>
            </w:tcBorders>
            <w:noWrap w:val="0"/>
            <w:vAlign w:val="center"/>
          </w:tcPr>
          <w:p w14:paraId="1EBDEE0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6D529F0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4F606C9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14:paraId="5B19F91A">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370D4B5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080" w:type="dxa"/>
            <w:tcBorders>
              <w:top w:val="nil"/>
              <w:left w:val="nil"/>
              <w:bottom w:val="single" w:color="000000" w:sz="8" w:space="0"/>
              <w:right w:val="single" w:color="000000" w:sz="8" w:space="0"/>
            </w:tcBorders>
            <w:noWrap w:val="0"/>
            <w:vAlign w:val="center"/>
          </w:tcPr>
          <w:p w14:paraId="1FB6EB3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320" w:type="dxa"/>
            <w:tcBorders>
              <w:top w:val="nil"/>
              <w:left w:val="nil"/>
              <w:bottom w:val="single" w:color="000000" w:sz="8" w:space="0"/>
              <w:right w:val="single" w:color="000000" w:sz="8" w:space="0"/>
            </w:tcBorders>
            <w:noWrap w:val="0"/>
            <w:vAlign w:val="center"/>
          </w:tcPr>
          <w:p w14:paraId="4F06213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486A391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4E885B3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14:paraId="7B17B3BA">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7C6BF76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080" w:type="dxa"/>
            <w:tcBorders>
              <w:top w:val="nil"/>
              <w:left w:val="nil"/>
              <w:bottom w:val="single" w:color="000000" w:sz="8" w:space="0"/>
              <w:right w:val="single" w:color="000000" w:sz="8" w:space="0"/>
            </w:tcBorders>
            <w:noWrap w:val="0"/>
            <w:vAlign w:val="center"/>
          </w:tcPr>
          <w:p w14:paraId="47ED1D5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320" w:type="dxa"/>
            <w:tcBorders>
              <w:top w:val="nil"/>
              <w:left w:val="nil"/>
              <w:bottom w:val="single" w:color="000000" w:sz="8" w:space="0"/>
              <w:right w:val="single" w:color="000000" w:sz="8" w:space="0"/>
            </w:tcBorders>
            <w:noWrap w:val="0"/>
            <w:vAlign w:val="center"/>
          </w:tcPr>
          <w:p w14:paraId="5F9794A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5F78080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094B2A2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14:paraId="1213A137">
      <w:pPr>
        <w:widowControl/>
        <w:rPr>
          <w:rFonts w:hint="eastAsia" w:ascii="宋体" w:hAnsi="宋体" w:cs="宋体"/>
          <w:color w:val="auto"/>
          <w:sz w:val="20"/>
          <w:szCs w:val="20"/>
          <w:highlight w:val="none"/>
        </w:rPr>
      </w:pPr>
    </w:p>
    <w:p w14:paraId="4EA090C6">
      <w:pPr>
        <w:pStyle w:val="2"/>
        <w:spacing w:line="360" w:lineRule="auto"/>
        <w:ind w:firstLine="408"/>
        <w:rPr>
          <w:rFonts w:hint="eastAsia" w:ascii="宋体" w:hAnsi="宋体"/>
          <w:color w:val="auto"/>
          <w:szCs w:val="21"/>
          <w:highlight w:val="none"/>
        </w:rPr>
      </w:pPr>
      <w:r>
        <w:rPr>
          <w:rFonts w:hint="eastAsia"/>
          <w:color w:val="auto"/>
          <w:spacing w:val="-3"/>
          <w:szCs w:val="21"/>
          <w:highlight w:val="none"/>
        </w:rPr>
        <w:t>注：</w:t>
      </w:r>
      <w:r>
        <w:rPr>
          <w:color w:val="auto"/>
          <w:spacing w:val="-3"/>
          <w:szCs w:val="21"/>
          <w:highlight w:val="none"/>
        </w:rPr>
        <w:t>1.</w:t>
      </w:r>
      <w:r>
        <w:rPr>
          <w:rFonts w:hint="eastAsia"/>
          <w:color w:val="auto"/>
          <w:spacing w:val="-3"/>
          <w:szCs w:val="21"/>
          <w:highlight w:val="none"/>
        </w:rPr>
        <w:t>节能产品认证应依据相关国家标准的最新版本，依据国家标准中二级能效（水效）</w:t>
      </w:r>
      <w:r>
        <w:rPr>
          <w:rFonts w:hint="eastAsia"/>
          <w:color w:val="auto"/>
          <w:szCs w:val="21"/>
          <w:highlight w:val="none"/>
        </w:rPr>
        <w:t>指标。</w:t>
      </w:r>
    </w:p>
    <w:p w14:paraId="42AEAD3A">
      <w:pPr>
        <w:pStyle w:val="2"/>
        <w:spacing w:line="360" w:lineRule="auto"/>
        <w:rPr>
          <w:rFonts w:hint="eastAsia"/>
          <w:b/>
          <w:bCs/>
          <w:color w:val="auto"/>
          <w:szCs w:val="21"/>
          <w:highlight w:val="none"/>
        </w:rPr>
      </w:pPr>
      <w:r>
        <w:rPr>
          <w:rFonts w:hint="eastAsia" w:ascii="宋体" w:hAnsi="宋体"/>
          <w:color w:val="auto"/>
          <w:szCs w:val="21"/>
          <w:highlight w:val="none"/>
        </w:rPr>
        <w:t xml:space="preserve">    </w:t>
      </w:r>
      <w:r>
        <w:rPr>
          <w:color w:val="auto"/>
          <w:szCs w:val="21"/>
          <w:highlight w:val="none"/>
        </w:rPr>
        <w:t>2</w:t>
      </w:r>
      <w:r>
        <w:rPr>
          <w:b/>
          <w:bCs/>
          <w:color w:val="auto"/>
          <w:szCs w:val="21"/>
          <w:highlight w:val="none"/>
        </w:rPr>
        <w:t>.</w:t>
      </w:r>
      <w:r>
        <w:rPr>
          <w:rFonts w:hint="eastAsia"/>
          <w:b/>
          <w:bCs/>
          <w:color w:val="auto"/>
          <w:szCs w:val="21"/>
          <w:highlight w:val="none"/>
        </w:rPr>
        <w:t>以</w:t>
      </w:r>
      <w:r>
        <w:rPr>
          <w:b/>
          <w:bCs/>
          <w:color w:val="auto"/>
          <w:szCs w:val="21"/>
          <w:highlight w:val="none"/>
        </w:rPr>
        <w:t>“</w:t>
      </w:r>
      <w:r>
        <w:rPr>
          <w:rFonts w:hint="eastAsia"/>
          <w:b/>
          <w:bCs/>
          <w:color w:val="auto"/>
          <w:szCs w:val="21"/>
          <w:highlight w:val="none"/>
        </w:rPr>
        <w:t>★</w:t>
      </w:r>
      <w:r>
        <w:rPr>
          <w:b/>
          <w:bCs/>
          <w:color w:val="auto"/>
          <w:szCs w:val="21"/>
          <w:highlight w:val="none"/>
        </w:rPr>
        <w:t>”</w:t>
      </w:r>
      <w:r>
        <w:rPr>
          <w:rFonts w:hint="eastAsia"/>
          <w:b/>
          <w:bCs/>
          <w:color w:val="auto"/>
          <w:szCs w:val="21"/>
          <w:highlight w:val="none"/>
        </w:rPr>
        <w:t>标注的为政府强制采购产品。</w:t>
      </w:r>
    </w:p>
    <w:p w14:paraId="0C038963">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2F7E801E">
      <w:pPr>
        <w:spacing w:line="428" w:lineRule="exact"/>
        <w:ind w:left="11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w:t>
      </w:r>
      <w:r>
        <w:rPr>
          <w:rFonts w:hint="eastAsia" w:ascii="宋体" w:hAnsi="宋体" w:cs="宋体"/>
          <w:color w:val="auto"/>
          <w:sz w:val="32"/>
          <w:szCs w:val="32"/>
          <w:highlight w:val="none"/>
          <w:lang w:val="en-US" w:eastAsia="zh-CN"/>
        </w:rPr>
        <w:t>2</w:t>
      </w:r>
      <w:r>
        <w:rPr>
          <w:rFonts w:hint="eastAsia" w:ascii="宋体" w:hAnsi="宋体" w:eastAsia="宋体" w:cs="宋体"/>
          <w:color w:val="auto"/>
          <w:sz w:val="32"/>
          <w:szCs w:val="32"/>
          <w:highlight w:val="none"/>
        </w:rPr>
        <w:t>：</w:t>
      </w:r>
    </w:p>
    <w:p w14:paraId="0012F0A0">
      <w:pPr>
        <w:spacing w:before="7"/>
        <w:rPr>
          <w:rFonts w:hint="eastAsia" w:ascii="宋体" w:hAnsi="宋体" w:eastAsia="宋体" w:cs="宋体"/>
          <w:color w:val="auto"/>
          <w:sz w:val="17"/>
          <w:szCs w:val="17"/>
          <w:highlight w:val="none"/>
        </w:rPr>
      </w:pPr>
    </w:p>
    <w:p w14:paraId="4ED3316C">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20"/>
        <w:tblW w:w="9623" w:type="dxa"/>
        <w:jc w:val="center"/>
        <w:tblLayout w:type="fixed"/>
        <w:tblCellMar>
          <w:top w:w="0" w:type="dxa"/>
          <w:left w:w="108" w:type="dxa"/>
          <w:bottom w:w="0" w:type="dxa"/>
          <w:right w:w="108" w:type="dxa"/>
        </w:tblCellMar>
      </w:tblPr>
      <w:tblGrid>
        <w:gridCol w:w="3091"/>
        <w:gridCol w:w="1383"/>
        <w:gridCol w:w="913"/>
        <w:gridCol w:w="1619"/>
        <w:gridCol w:w="1439"/>
        <w:gridCol w:w="1178"/>
      </w:tblGrid>
      <w:tr w14:paraId="08A4F670">
        <w:tblPrEx>
          <w:tblCellMar>
            <w:top w:w="0" w:type="dxa"/>
            <w:left w:w="108" w:type="dxa"/>
            <w:bottom w:w="0" w:type="dxa"/>
            <w:right w:w="108" w:type="dxa"/>
          </w:tblCellMar>
        </w:tblPrEx>
        <w:trPr>
          <w:trHeight w:val="285" w:hRule="atLeast"/>
          <w:jc w:val="center"/>
        </w:trPr>
        <w:tc>
          <w:tcPr>
            <w:tcW w:w="3091" w:type="dxa"/>
            <w:tcBorders>
              <w:top w:val="single" w:color="auto" w:sz="4" w:space="0"/>
              <w:left w:val="single" w:color="auto" w:sz="4" w:space="0"/>
              <w:bottom w:val="single" w:color="auto" w:sz="4" w:space="0"/>
              <w:right w:val="single" w:color="auto" w:sz="4" w:space="0"/>
            </w:tcBorders>
            <w:vAlign w:val="center"/>
          </w:tcPr>
          <w:p w14:paraId="576202FA">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383" w:type="dxa"/>
            <w:tcBorders>
              <w:top w:val="single" w:color="auto" w:sz="4" w:space="0"/>
              <w:left w:val="nil"/>
              <w:bottom w:val="single" w:color="auto" w:sz="4" w:space="0"/>
              <w:right w:val="single" w:color="auto" w:sz="4" w:space="0"/>
            </w:tcBorders>
            <w:vAlign w:val="center"/>
          </w:tcPr>
          <w:p w14:paraId="063BAA9D">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vAlign w:val="center"/>
          </w:tcPr>
          <w:p w14:paraId="3EED3E9F">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619" w:type="dxa"/>
            <w:tcBorders>
              <w:top w:val="single" w:color="auto" w:sz="4" w:space="0"/>
              <w:left w:val="nil"/>
              <w:bottom w:val="single" w:color="auto" w:sz="4" w:space="0"/>
              <w:right w:val="single" w:color="auto" w:sz="4" w:space="0"/>
            </w:tcBorders>
            <w:vAlign w:val="center"/>
          </w:tcPr>
          <w:p w14:paraId="70666FE3">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439" w:type="dxa"/>
            <w:tcBorders>
              <w:top w:val="single" w:color="auto" w:sz="4" w:space="0"/>
              <w:left w:val="nil"/>
              <w:bottom w:val="single" w:color="auto" w:sz="4" w:space="0"/>
              <w:right w:val="single" w:color="auto" w:sz="4" w:space="0"/>
            </w:tcBorders>
            <w:vAlign w:val="center"/>
          </w:tcPr>
          <w:p w14:paraId="3F1F1B5C">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78" w:type="dxa"/>
            <w:tcBorders>
              <w:top w:val="single" w:color="auto" w:sz="4" w:space="0"/>
              <w:left w:val="nil"/>
              <w:bottom w:val="single" w:color="auto" w:sz="4" w:space="0"/>
              <w:right w:val="single" w:color="auto" w:sz="4" w:space="0"/>
            </w:tcBorders>
            <w:vAlign w:val="center"/>
          </w:tcPr>
          <w:p w14:paraId="51520CC0">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10912E38">
        <w:tblPrEx>
          <w:tblCellMar>
            <w:top w:w="0" w:type="dxa"/>
            <w:left w:w="108" w:type="dxa"/>
            <w:bottom w:w="0" w:type="dxa"/>
            <w:right w:w="108" w:type="dxa"/>
          </w:tblCellMar>
        </w:tblPrEx>
        <w:trPr>
          <w:trHeight w:val="225" w:hRule="atLeast"/>
          <w:jc w:val="center"/>
        </w:trPr>
        <w:tc>
          <w:tcPr>
            <w:tcW w:w="3091" w:type="dxa"/>
            <w:tcBorders>
              <w:top w:val="nil"/>
              <w:left w:val="single" w:color="auto" w:sz="4" w:space="0"/>
              <w:bottom w:val="single" w:color="auto" w:sz="4" w:space="0"/>
              <w:right w:val="single" w:color="auto" w:sz="4" w:space="0"/>
            </w:tcBorders>
            <w:vAlign w:val="bottom"/>
          </w:tcPr>
          <w:p w14:paraId="4C283E6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383" w:type="dxa"/>
            <w:tcBorders>
              <w:top w:val="nil"/>
              <w:left w:val="nil"/>
              <w:bottom w:val="single" w:color="auto" w:sz="4" w:space="0"/>
              <w:right w:val="single" w:color="auto" w:sz="4" w:space="0"/>
            </w:tcBorders>
            <w:vAlign w:val="center"/>
          </w:tcPr>
          <w:p w14:paraId="38D5EE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CBEEE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485AF9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39" w:type="dxa"/>
            <w:tcBorders>
              <w:top w:val="nil"/>
              <w:left w:val="nil"/>
              <w:bottom w:val="single" w:color="auto" w:sz="4" w:space="0"/>
              <w:right w:val="single" w:color="auto" w:sz="4" w:space="0"/>
            </w:tcBorders>
            <w:vAlign w:val="center"/>
          </w:tcPr>
          <w:p w14:paraId="1895A2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1178" w:type="dxa"/>
            <w:tcBorders>
              <w:top w:val="nil"/>
              <w:left w:val="nil"/>
              <w:bottom w:val="single" w:color="auto" w:sz="4" w:space="0"/>
              <w:right w:val="single" w:color="auto" w:sz="4" w:space="0"/>
            </w:tcBorders>
            <w:vAlign w:val="center"/>
          </w:tcPr>
          <w:p w14:paraId="390F8D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682E6404">
        <w:tblPrEx>
          <w:tblCellMar>
            <w:top w:w="0" w:type="dxa"/>
            <w:left w:w="108" w:type="dxa"/>
            <w:bottom w:w="0" w:type="dxa"/>
            <w:right w:w="108" w:type="dxa"/>
          </w:tblCellMar>
        </w:tblPrEx>
        <w:trPr>
          <w:trHeight w:val="225" w:hRule="atLeast"/>
          <w:jc w:val="center"/>
        </w:trPr>
        <w:tc>
          <w:tcPr>
            <w:tcW w:w="3091" w:type="dxa"/>
            <w:vMerge w:val="restart"/>
            <w:tcBorders>
              <w:top w:val="nil"/>
              <w:left w:val="single" w:color="auto" w:sz="4" w:space="0"/>
              <w:bottom w:val="single" w:color="auto" w:sz="4" w:space="0"/>
              <w:right w:val="single" w:color="auto" w:sz="4" w:space="0"/>
            </w:tcBorders>
            <w:vAlign w:val="bottom"/>
          </w:tcPr>
          <w:p w14:paraId="660BF37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383" w:type="dxa"/>
            <w:tcBorders>
              <w:top w:val="nil"/>
              <w:left w:val="nil"/>
              <w:bottom w:val="single" w:color="auto" w:sz="4" w:space="0"/>
              <w:right w:val="single" w:color="auto" w:sz="4" w:space="0"/>
            </w:tcBorders>
            <w:vAlign w:val="center"/>
          </w:tcPr>
          <w:p w14:paraId="10CA6E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94D5A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0ACA70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39" w:type="dxa"/>
            <w:tcBorders>
              <w:top w:val="nil"/>
              <w:left w:val="nil"/>
              <w:bottom w:val="single" w:color="auto" w:sz="4" w:space="0"/>
              <w:right w:val="single" w:color="auto" w:sz="4" w:space="0"/>
            </w:tcBorders>
            <w:vAlign w:val="center"/>
          </w:tcPr>
          <w:p w14:paraId="7F97348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78" w:type="dxa"/>
            <w:tcBorders>
              <w:top w:val="nil"/>
              <w:left w:val="nil"/>
              <w:bottom w:val="single" w:color="auto" w:sz="4" w:space="0"/>
              <w:right w:val="single" w:color="auto" w:sz="4" w:space="0"/>
            </w:tcBorders>
            <w:vAlign w:val="center"/>
          </w:tcPr>
          <w:p w14:paraId="040DEB0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FD23E66">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14:paraId="6DC71108">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vAlign w:val="center"/>
          </w:tcPr>
          <w:p w14:paraId="74ECB5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D4C5E3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5674F6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39" w:type="dxa"/>
            <w:tcBorders>
              <w:top w:val="nil"/>
              <w:left w:val="nil"/>
              <w:bottom w:val="single" w:color="auto" w:sz="4" w:space="0"/>
              <w:right w:val="single" w:color="auto" w:sz="4" w:space="0"/>
            </w:tcBorders>
            <w:vAlign w:val="center"/>
          </w:tcPr>
          <w:p w14:paraId="45A934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1178" w:type="dxa"/>
            <w:tcBorders>
              <w:top w:val="nil"/>
              <w:left w:val="nil"/>
              <w:bottom w:val="single" w:color="auto" w:sz="4" w:space="0"/>
              <w:right w:val="single" w:color="auto" w:sz="4" w:space="0"/>
            </w:tcBorders>
            <w:vAlign w:val="center"/>
          </w:tcPr>
          <w:p w14:paraId="1FF991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26445F57">
        <w:tblPrEx>
          <w:tblCellMar>
            <w:top w:w="0" w:type="dxa"/>
            <w:left w:w="108" w:type="dxa"/>
            <w:bottom w:w="0" w:type="dxa"/>
            <w:right w:w="108" w:type="dxa"/>
          </w:tblCellMar>
        </w:tblPrEx>
        <w:trPr>
          <w:trHeight w:val="225" w:hRule="atLeast"/>
          <w:jc w:val="center"/>
        </w:trPr>
        <w:tc>
          <w:tcPr>
            <w:tcW w:w="3091" w:type="dxa"/>
            <w:vMerge w:val="restart"/>
            <w:tcBorders>
              <w:top w:val="nil"/>
              <w:left w:val="single" w:color="auto" w:sz="4" w:space="0"/>
              <w:bottom w:val="single" w:color="auto" w:sz="4" w:space="0"/>
              <w:right w:val="single" w:color="auto" w:sz="4" w:space="0"/>
            </w:tcBorders>
            <w:vAlign w:val="bottom"/>
          </w:tcPr>
          <w:p w14:paraId="1457E47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383" w:type="dxa"/>
            <w:tcBorders>
              <w:top w:val="nil"/>
              <w:left w:val="nil"/>
              <w:bottom w:val="single" w:color="auto" w:sz="4" w:space="0"/>
              <w:right w:val="single" w:color="auto" w:sz="4" w:space="0"/>
            </w:tcBorders>
            <w:vAlign w:val="center"/>
          </w:tcPr>
          <w:p w14:paraId="72FFD1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71DEC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3A6364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39" w:type="dxa"/>
            <w:tcBorders>
              <w:top w:val="nil"/>
              <w:left w:val="nil"/>
              <w:bottom w:val="single" w:color="auto" w:sz="4" w:space="0"/>
              <w:right w:val="single" w:color="auto" w:sz="4" w:space="0"/>
            </w:tcBorders>
            <w:vAlign w:val="center"/>
          </w:tcPr>
          <w:p w14:paraId="0EB5F51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1178" w:type="dxa"/>
            <w:tcBorders>
              <w:top w:val="nil"/>
              <w:left w:val="nil"/>
              <w:bottom w:val="single" w:color="auto" w:sz="4" w:space="0"/>
              <w:right w:val="single" w:color="auto" w:sz="4" w:space="0"/>
            </w:tcBorders>
            <w:vAlign w:val="center"/>
          </w:tcPr>
          <w:p w14:paraId="5DA979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147443B4">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14:paraId="192245A3">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vAlign w:val="center"/>
          </w:tcPr>
          <w:p w14:paraId="50DC8D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569E34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128708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39" w:type="dxa"/>
            <w:tcBorders>
              <w:top w:val="nil"/>
              <w:left w:val="nil"/>
              <w:bottom w:val="single" w:color="auto" w:sz="4" w:space="0"/>
              <w:right w:val="single" w:color="auto" w:sz="4" w:space="0"/>
            </w:tcBorders>
            <w:vAlign w:val="center"/>
          </w:tcPr>
          <w:p w14:paraId="6DCC109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1178" w:type="dxa"/>
            <w:tcBorders>
              <w:top w:val="nil"/>
              <w:left w:val="nil"/>
              <w:bottom w:val="single" w:color="auto" w:sz="4" w:space="0"/>
              <w:right w:val="single" w:color="auto" w:sz="4" w:space="0"/>
            </w:tcBorders>
            <w:vAlign w:val="center"/>
          </w:tcPr>
          <w:p w14:paraId="5FFAC0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01A8B879">
        <w:tblPrEx>
          <w:tblCellMar>
            <w:top w:w="0" w:type="dxa"/>
            <w:left w:w="108" w:type="dxa"/>
            <w:bottom w:w="0" w:type="dxa"/>
            <w:right w:w="108" w:type="dxa"/>
          </w:tblCellMar>
        </w:tblPrEx>
        <w:trPr>
          <w:trHeight w:val="225" w:hRule="atLeast"/>
          <w:jc w:val="center"/>
        </w:trPr>
        <w:tc>
          <w:tcPr>
            <w:tcW w:w="3091" w:type="dxa"/>
            <w:vMerge w:val="restart"/>
            <w:tcBorders>
              <w:top w:val="nil"/>
              <w:left w:val="single" w:color="auto" w:sz="4" w:space="0"/>
              <w:bottom w:val="single" w:color="auto" w:sz="4" w:space="0"/>
              <w:right w:val="single" w:color="auto" w:sz="4" w:space="0"/>
            </w:tcBorders>
            <w:vAlign w:val="bottom"/>
          </w:tcPr>
          <w:p w14:paraId="4575788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383" w:type="dxa"/>
            <w:tcBorders>
              <w:top w:val="nil"/>
              <w:left w:val="nil"/>
              <w:bottom w:val="single" w:color="auto" w:sz="4" w:space="0"/>
              <w:right w:val="single" w:color="auto" w:sz="4" w:space="0"/>
            </w:tcBorders>
            <w:vAlign w:val="center"/>
          </w:tcPr>
          <w:p w14:paraId="051D6D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ACED6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61E991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39" w:type="dxa"/>
            <w:tcBorders>
              <w:top w:val="nil"/>
              <w:left w:val="nil"/>
              <w:bottom w:val="single" w:color="auto" w:sz="4" w:space="0"/>
              <w:right w:val="single" w:color="auto" w:sz="4" w:space="0"/>
            </w:tcBorders>
            <w:vAlign w:val="center"/>
          </w:tcPr>
          <w:p w14:paraId="16F0A3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1178" w:type="dxa"/>
            <w:tcBorders>
              <w:top w:val="nil"/>
              <w:left w:val="nil"/>
              <w:bottom w:val="single" w:color="auto" w:sz="4" w:space="0"/>
              <w:right w:val="single" w:color="auto" w:sz="4" w:space="0"/>
            </w:tcBorders>
            <w:vAlign w:val="center"/>
          </w:tcPr>
          <w:p w14:paraId="5AF074E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15DAFFD7">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14:paraId="0D2B9CE9">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vAlign w:val="center"/>
          </w:tcPr>
          <w:p w14:paraId="423D01C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E375D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5369CD7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39" w:type="dxa"/>
            <w:tcBorders>
              <w:top w:val="nil"/>
              <w:left w:val="nil"/>
              <w:bottom w:val="single" w:color="auto" w:sz="4" w:space="0"/>
              <w:right w:val="single" w:color="auto" w:sz="4" w:space="0"/>
            </w:tcBorders>
            <w:vAlign w:val="center"/>
          </w:tcPr>
          <w:p w14:paraId="27A9FA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178" w:type="dxa"/>
            <w:tcBorders>
              <w:top w:val="nil"/>
              <w:left w:val="nil"/>
              <w:bottom w:val="single" w:color="auto" w:sz="4" w:space="0"/>
              <w:right w:val="single" w:color="auto" w:sz="4" w:space="0"/>
            </w:tcBorders>
            <w:vAlign w:val="center"/>
          </w:tcPr>
          <w:p w14:paraId="5031E94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03E3A461">
        <w:tblPrEx>
          <w:tblCellMar>
            <w:top w:w="0" w:type="dxa"/>
            <w:left w:w="108" w:type="dxa"/>
            <w:bottom w:w="0" w:type="dxa"/>
            <w:right w:w="108" w:type="dxa"/>
          </w:tblCellMar>
        </w:tblPrEx>
        <w:trPr>
          <w:trHeight w:val="225" w:hRule="atLeast"/>
          <w:jc w:val="center"/>
        </w:trPr>
        <w:tc>
          <w:tcPr>
            <w:tcW w:w="3091" w:type="dxa"/>
            <w:vMerge w:val="restart"/>
            <w:tcBorders>
              <w:top w:val="nil"/>
              <w:left w:val="single" w:color="auto" w:sz="4" w:space="0"/>
              <w:bottom w:val="single" w:color="auto" w:sz="4" w:space="0"/>
              <w:right w:val="single" w:color="auto" w:sz="4" w:space="0"/>
            </w:tcBorders>
            <w:vAlign w:val="bottom"/>
          </w:tcPr>
          <w:p w14:paraId="04F4731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383" w:type="dxa"/>
            <w:tcBorders>
              <w:top w:val="nil"/>
              <w:left w:val="nil"/>
              <w:bottom w:val="single" w:color="auto" w:sz="4" w:space="0"/>
              <w:right w:val="single" w:color="auto" w:sz="4" w:space="0"/>
            </w:tcBorders>
            <w:vAlign w:val="center"/>
          </w:tcPr>
          <w:p w14:paraId="06F571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D0B67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59D53E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39" w:type="dxa"/>
            <w:tcBorders>
              <w:top w:val="nil"/>
              <w:left w:val="nil"/>
              <w:bottom w:val="single" w:color="auto" w:sz="4" w:space="0"/>
              <w:right w:val="single" w:color="auto" w:sz="4" w:space="0"/>
            </w:tcBorders>
            <w:vAlign w:val="center"/>
          </w:tcPr>
          <w:p w14:paraId="740C3A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1178" w:type="dxa"/>
            <w:tcBorders>
              <w:top w:val="nil"/>
              <w:left w:val="nil"/>
              <w:bottom w:val="single" w:color="auto" w:sz="4" w:space="0"/>
              <w:right w:val="single" w:color="auto" w:sz="4" w:space="0"/>
            </w:tcBorders>
            <w:vAlign w:val="center"/>
          </w:tcPr>
          <w:p w14:paraId="2AD47E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8267A42">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14:paraId="4248FE0D">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vAlign w:val="center"/>
          </w:tcPr>
          <w:p w14:paraId="7BC067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3E2C8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6E61DD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39" w:type="dxa"/>
            <w:tcBorders>
              <w:top w:val="nil"/>
              <w:left w:val="nil"/>
              <w:bottom w:val="single" w:color="auto" w:sz="4" w:space="0"/>
              <w:right w:val="single" w:color="auto" w:sz="4" w:space="0"/>
            </w:tcBorders>
            <w:vAlign w:val="center"/>
          </w:tcPr>
          <w:p w14:paraId="6EF0242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1178" w:type="dxa"/>
            <w:tcBorders>
              <w:top w:val="nil"/>
              <w:left w:val="nil"/>
              <w:bottom w:val="single" w:color="auto" w:sz="4" w:space="0"/>
              <w:right w:val="single" w:color="auto" w:sz="4" w:space="0"/>
            </w:tcBorders>
            <w:vAlign w:val="center"/>
          </w:tcPr>
          <w:p w14:paraId="12AA88A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EFBDADB">
        <w:tblPrEx>
          <w:tblCellMar>
            <w:top w:w="0" w:type="dxa"/>
            <w:left w:w="108" w:type="dxa"/>
            <w:bottom w:w="0" w:type="dxa"/>
            <w:right w:w="108" w:type="dxa"/>
          </w:tblCellMar>
        </w:tblPrEx>
        <w:trPr>
          <w:trHeight w:val="225" w:hRule="atLeast"/>
          <w:jc w:val="center"/>
        </w:trPr>
        <w:tc>
          <w:tcPr>
            <w:tcW w:w="3091" w:type="dxa"/>
            <w:vMerge w:val="restart"/>
            <w:tcBorders>
              <w:top w:val="nil"/>
              <w:left w:val="single" w:color="auto" w:sz="4" w:space="0"/>
              <w:bottom w:val="single" w:color="auto" w:sz="4" w:space="0"/>
              <w:right w:val="single" w:color="auto" w:sz="4" w:space="0"/>
            </w:tcBorders>
            <w:vAlign w:val="bottom"/>
          </w:tcPr>
          <w:p w14:paraId="46DB4D3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383" w:type="dxa"/>
            <w:tcBorders>
              <w:top w:val="nil"/>
              <w:left w:val="nil"/>
              <w:bottom w:val="single" w:color="auto" w:sz="4" w:space="0"/>
              <w:right w:val="single" w:color="auto" w:sz="4" w:space="0"/>
            </w:tcBorders>
            <w:vAlign w:val="center"/>
          </w:tcPr>
          <w:p w14:paraId="478575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6328C2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02099F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39" w:type="dxa"/>
            <w:tcBorders>
              <w:top w:val="nil"/>
              <w:left w:val="nil"/>
              <w:bottom w:val="single" w:color="auto" w:sz="4" w:space="0"/>
              <w:right w:val="single" w:color="auto" w:sz="4" w:space="0"/>
            </w:tcBorders>
            <w:vAlign w:val="center"/>
          </w:tcPr>
          <w:p w14:paraId="485550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78" w:type="dxa"/>
            <w:tcBorders>
              <w:top w:val="nil"/>
              <w:left w:val="nil"/>
              <w:bottom w:val="single" w:color="auto" w:sz="4" w:space="0"/>
              <w:right w:val="single" w:color="auto" w:sz="4" w:space="0"/>
            </w:tcBorders>
            <w:vAlign w:val="center"/>
          </w:tcPr>
          <w:p w14:paraId="518FA2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0246046C">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14:paraId="2A02A64A">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vAlign w:val="center"/>
          </w:tcPr>
          <w:p w14:paraId="6E1848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F4BC8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5AB8215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39" w:type="dxa"/>
            <w:tcBorders>
              <w:top w:val="nil"/>
              <w:left w:val="nil"/>
              <w:bottom w:val="single" w:color="auto" w:sz="4" w:space="0"/>
              <w:right w:val="single" w:color="auto" w:sz="4" w:space="0"/>
            </w:tcBorders>
            <w:vAlign w:val="center"/>
          </w:tcPr>
          <w:p w14:paraId="0E77EE8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1178" w:type="dxa"/>
            <w:tcBorders>
              <w:top w:val="nil"/>
              <w:left w:val="nil"/>
              <w:bottom w:val="single" w:color="auto" w:sz="4" w:space="0"/>
              <w:right w:val="single" w:color="auto" w:sz="4" w:space="0"/>
            </w:tcBorders>
            <w:vAlign w:val="center"/>
          </w:tcPr>
          <w:p w14:paraId="4FD132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0C41BA22">
        <w:tblPrEx>
          <w:tblCellMar>
            <w:top w:w="0" w:type="dxa"/>
            <w:left w:w="108" w:type="dxa"/>
            <w:bottom w:w="0" w:type="dxa"/>
            <w:right w:w="108" w:type="dxa"/>
          </w:tblCellMar>
        </w:tblPrEx>
        <w:trPr>
          <w:trHeight w:val="225" w:hRule="atLeast"/>
          <w:jc w:val="center"/>
        </w:trPr>
        <w:tc>
          <w:tcPr>
            <w:tcW w:w="3091" w:type="dxa"/>
            <w:vMerge w:val="restart"/>
            <w:tcBorders>
              <w:top w:val="nil"/>
              <w:left w:val="single" w:color="auto" w:sz="4" w:space="0"/>
              <w:bottom w:val="single" w:color="auto" w:sz="4" w:space="0"/>
              <w:right w:val="single" w:color="auto" w:sz="4" w:space="0"/>
            </w:tcBorders>
            <w:vAlign w:val="bottom"/>
          </w:tcPr>
          <w:p w14:paraId="0CE3351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383" w:type="dxa"/>
            <w:tcBorders>
              <w:top w:val="nil"/>
              <w:left w:val="nil"/>
              <w:bottom w:val="single" w:color="auto" w:sz="4" w:space="0"/>
              <w:right w:val="single" w:color="auto" w:sz="4" w:space="0"/>
            </w:tcBorders>
            <w:vAlign w:val="center"/>
          </w:tcPr>
          <w:p w14:paraId="15ED8F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5374C46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4D43A0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39" w:type="dxa"/>
            <w:tcBorders>
              <w:top w:val="nil"/>
              <w:left w:val="nil"/>
              <w:bottom w:val="single" w:color="auto" w:sz="4" w:space="0"/>
              <w:right w:val="single" w:color="auto" w:sz="4" w:space="0"/>
            </w:tcBorders>
            <w:vAlign w:val="center"/>
          </w:tcPr>
          <w:p w14:paraId="3666C9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1178" w:type="dxa"/>
            <w:tcBorders>
              <w:top w:val="nil"/>
              <w:left w:val="nil"/>
              <w:bottom w:val="single" w:color="auto" w:sz="4" w:space="0"/>
              <w:right w:val="single" w:color="auto" w:sz="4" w:space="0"/>
            </w:tcBorders>
            <w:vAlign w:val="center"/>
          </w:tcPr>
          <w:p w14:paraId="584906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55F6E05A">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14:paraId="4C114681">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vAlign w:val="center"/>
          </w:tcPr>
          <w:p w14:paraId="5338E40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CF059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651F92C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39" w:type="dxa"/>
            <w:tcBorders>
              <w:top w:val="nil"/>
              <w:left w:val="nil"/>
              <w:bottom w:val="single" w:color="auto" w:sz="4" w:space="0"/>
              <w:right w:val="single" w:color="auto" w:sz="4" w:space="0"/>
            </w:tcBorders>
            <w:vAlign w:val="center"/>
          </w:tcPr>
          <w:p w14:paraId="4195F8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78" w:type="dxa"/>
            <w:tcBorders>
              <w:top w:val="nil"/>
              <w:left w:val="nil"/>
              <w:bottom w:val="single" w:color="auto" w:sz="4" w:space="0"/>
              <w:right w:val="single" w:color="auto" w:sz="4" w:space="0"/>
            </w:tcBorders>
            <w:vAlign w:val="center"/>
          </w:tcPr>
          <w:p w14:paraId="5266962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88E07D0">
        <w:tblPrEx>
          <w:tblCellMar>
            <w:top w:w="0" w:type="dxa"/>
            <w:left w:w="108" w:type="dxa"/>
            <w:bottom w:w="0" w:type="dxa"/>
            <w:right w:w="108" w:type="dxa"/>
          </w:tblCellMar>
        </w:tblPrEx>
        <w:trPr>
          <w:trHeight w:val="225" w:hRule="atLeast"/>
          <w:jc w:val="center"/>
        </w:trPr>
        <w:tc>
          <w:tcPr>
            <w:tcW w:w="3091" w:type="dxa"/>
            <w:vMerge w:val="restart"/>
            <w:tcBorders>
              <w:top w:val="nil"/>
              <w:left w:val="single" w:color="auto" w:sz="4" w:space="0"/>
              <w:bottom w:val="single" w:color="auto" w:sz="4" w:space="0"/>
              <w:right w:val="single" w:color="auto" w:sz="4" w:space="0"/>
            </w:tcBorders>
            <w:vAlign w:val="bottom"/>
          </w:tcPr>
          <w:p w14:paraId="74BD5F5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383" w:type="dxa"/>
            <w:tcBorders>
              <w:top w:val="nil"/>
              <w:left w:val="nil"/>
              <w:bottom w:val="single" w:color="auto" w:sz="4" w:space="0"/>
              <w:right w:val="single" w:color="auto" w:sz="4" w:space="0"/>
            </w:tcBorders>
            <w:vAlign w:val="center"/>
          </w:tcPr>
          <w:p w14:paraId="4F281C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15C68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2FF261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39" w:type="dxa"/>
            <w:tcBorders>
              <w:top w:val="nil"/>
              <w:left w:val="nil"/>
              <w:bottom w:val="single" w:color="auto" w:sz="4" w:space="0"/>
              <w:right w:val="single" w:color="auto" w:sz="4" w:space="0"/>
            </w:tcBorders>
            <w:vAlign w:val="center"/>
          </w:tcPr>
          <w:p w14:paraId="29BDE9C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78" w:type="dxa"/>
            <w:tcBorders>
              <w:top w:val="nil"/>
              <w:left w:val="nil"/>
              <w:bottom w:val="single" w:color="auto" w:sz="4" w:space="0"/>
              <w:right w:val="single" w:color="auto" w:sz="4" w:space="0"/>
            </w:tcBorders>
            <w:vAlign w:val="center"/>
          </w:tcPr>
          <w:p w14:paraId="635188F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69BB50F1">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14:paraId="18B5E995">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vAlign w:val="center"/>
          </w:tcPr>
          <w:p w14:paraId="2E5CF7F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AFCF6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5258DF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39" w:type="dxa"/>
            <w:tcBorders>
              <w:top w:val="nil"/>
              <w:left w:val="nil"/>
              <w:bottom w:val="single" w:color="auto" w:sz="4" w:space="0"/>
              <w:right w:val="single" w:color="auto" w:sz="4" w:space="0"/>
            </w:tcBorders>
            <w:vAlign w:val="center"/>
          </w:tcPr>
          <w:p w14:paraId="180C51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78" w:type="dxa"/>
            <w:tcBorders>
              <w:top w:val="nil"/>
              <w:left w:val="nil"/>
              <w:bottom w:val="single" w:color="auto" w:sz="4" w:space="0"/>
              <w:right w:val="single" w:color="auto" w:sz="4" w:space="0"/>
            </w:tcBorders>
            <w:vAlign w:val="center"/>
          </w:tcPr>
          <w:p w14:paraId="3D3EA2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5BAA68E">
        <w:tblPrEx>
          <w:tblCellMar>
            <w:top w:w="0" w:type="dxa"/>
            <w:left w:w="108" w:type="dxa"/>
            <w:bottom w:w="0" w:type="dxa"/>
            <w:right w:w="108" w:type="dxa"/>
          </w:tblCellMar>
        </w:tblPrEx>
        <w:trPr>
          <w:trHeight w:val="225" w:hRule="atLeast"/>
          <w:jc w:val="center"/>
        </w:trPr>
        <w:tc>
          <w:tcPr>
            <w:tcW w:w="3091" w:type="dxa"/>
            <w:vMerge w:val="restart"/>
            <w:tcBorders>
              <w:top w:val="nil"/>
              <w:left w:val="single" w:color="auto" w:sz="4" w:space="0"/>
              <w:bottom w:val="single" w:color="auto" w:sz="4" w:space="0"/>
              <w:right w:val="single" w:color="auto" w:sz="4" w:space="0"/>
            </w:tcBorders>
            <w:vAlign w:val="bottom"/>
          </w:tcPr>
          <w:p w14:paraId="4AC7B4C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383" w:type="dxa"/>
            <w:tcBorders>
              <w:top w:val="nil"/>
              <w:left w:val="nil"/>
              <w:bottom w:val="single" w:color="auto" w:sz="4" w:space="0"/>
              <w:right w:val="single" w:color="auto" w:sz="4" w:space="0"/>
            </w:tcBorders>
            <w:vAlign w:val="center"/>
          </w:tcPr>
          <w:p w14:paraId="3D7BBC6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CE752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57EC04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39" w:type="dxa"/>
            <w:tcBorders>
              <w:top w:val="nil"/>
              <w:left w:val="nil"/>
              <w:bottom w:val="single" w:color="auto" w:sz="4" w:space="0"/>
              <w:right w:val="single" w:color="auto" w:sz="4" w:space="0"/>
            </w:tcBorders>
            <w:vAlign w:val="center"/>
          </w:tcPr>
          <w:p w14:paraId="726EB07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78" w:type="dxa"/>
            <w:tcBorders>
              <w:top w:val="nil"/>
              <w:left w:val="nil"/>
              <w:bottom w:val="single" w:color="auto" w:sz="4" w:space="0"/>
              <w:right w:val="single" w:color="auto" w:sz="4" w:space="0"/>
            </w:tcBorders>
            <w:vAlign w:val="center"/>
          </w:tcPr>
          <w:p w14:paraId="601832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7907F0D">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14:paraId="2A611D55">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vAlign w:val="center"/>
          </w:tcPr>
          <w:p w14:paraId="0CB94D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6FA4F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6B3F9B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39" w:type="dxa"/>
            <w:tcBorders>
              <w:top w:val="nil"/>
              <w:left w:val="nil"/>
              <w:bottom w:val="single" w:color="auto" w:sz="4" w:space="0"/>
              <w:right w:val="single" w:color="auto" w:sz="4" w:space="0"/>
            </w:tcBorders>
            <w:vAlign w:val="center"/>
          </w:tcPr>
          <w:p w14:paraId="2CF8B7F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78" w:type="dxa"/>
            <w:tcBorders>
              <w:top w:val="nil"/>
              <w:left w:val="nil"/>
              <w:bottom w:val="single" w:color="auto" w:sz="4" w:space="0"/>
              <w:right w:val="single" w:color="auto" w:sz="4" w:space="0"/>
            </w:tcBorders>
            <w:vAlign w:val="center"/>
          </w:tcPr>
          <w:p w14:paraId="34408E2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159D2EA">
        <w:tblPrEx>
          <w:tblCellMar>
            <w:top w:w="0" w:type="dxa"/>
            <w:left w:w="108" w:type="dxa"/>
            <w:bottom w:w="0" w:type="dxa"/>
            <w:right w:w="108" w:type="dxa"/>
          </w:tblCellMar>
        </w:tblPrEx>
        <w:trPr>
          <w:trHeight w:val="225" w:hRule="atLeast"/>
          <w:jc w:val="center"/>
        </w:trPr>
        <w:tc>
          <w:tcPr>
            <w:tcW w:w="3091" w:type="dxa"/>
            <w:vMerge w:val="restart"/>
            <w:tcBorders>
              <w:top w:val="nil"/>
              <w:left w:val="single" w:color="auto" w:sz="4" w:space="0"/>
              <w:bottom w:val="single" w:color="auto" w:sz="4" w:space="0"/>
              <w:right w:val="single" w:color="auto" w:sz="4" w:space="0"/>
            </w:tcBorders>
            <w:vAlign w:val="bottom"/>
          </w:tcPr>
          <w:p w14:paraId="08D27DE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383" w:type="dxa"/>
            <w:tcBorders>
              <w:top w:val="nil"/>
              <w:left w:val="nil"/>
              <w:bottom w:val="single" w:color="auto" w:sz="4" w:space="0"/>
              <w:right w:val="single" w:color="auto" w:sz="4" w:space="0"/>
            </w:tcBorders>
            <w:vAlign w:val="center"/>
          </w:tcPr>
          <w:p w14:paraId="643D32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9B87A8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109C21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39" w:type="dxa"/>
            <w:tcBorders>
              <w:top w:val="nil"/>
              <w:left w:val="nil"/>
              <w:bottom w:val="single" w:color="auto" w:sz="4" w:space="0"/>
              <w:right w:val="single" w:color="auto" w:sz="4" w:space="0"/>
            </w:tcBorders>
            <w:vAlign w:val="center"/>
          </w:tcPr>
          <w:p w14:paraId="7AF0BC2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78" w:type="dxa"/>
            <w:tcBorders>
              <w:top w:val="nil"/>
              <w:left w:val="nil"/>
              <w:bottom w:val="single" w:color="auto" w:sz="4" w:space="0"/>
              <w:right w:val="single" w:color="auto" w:sz="4" w:space="0"/>
            </w:tcBorders>
            <w:vAlign w:val="center"/>
          </w:tcPr>
          <w:p w14:paraId="18A75B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C5DEF97">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14:paraId="42893F88">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vAlign w:val="center"/>
          </w:tcPr>
          <w:p w14:paraId="7B409C6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6536D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32808D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39" w:type="dxa"/>
            <w:tcBorders>
              <w:top w:val="nil"/>
              <w:left w:val="nil"/>
              <w:bottom w:val="single" w:color="auto" w:sz="4" w:space="0"/>
              <w:right w:val="single" w:color="auto" w:sz="4" w:space="0"/>
            </w:tcBorders>
            <w:vAlign w:val="center"/>
          </w:tcPr>
          <w:p w14:paraId="79E16B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78" w:type="dxa"/>
            <w:tcBorders>
              <w:top w:val="nil"/>
              <w:left w:val="nil"/>
              <w:bottom w:val="single" w:color="auto" w:sz="4" w:space="0"/>
              <w:right w:val="single" w:color="auto" w:sz="4" w:space="0"/>
            </w:tcBorders>
            <w:vAlign w:val="center"/>
          </w:tcPr>
          <w:p w14:paraId="18D8026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43241E3">
        <w:tblPrEx>
          <w:tblCellMar>
            <w:top w:w="0" w:type="dxa"/>
            <w:left w:w="108" w:type="dxa"/>
            <w:bottom w:w="0" w:type="dxa"/>
            <w:right w:w="108" w:type="dxa"/>
          </w:tblCellMar>
        </w:tblPrEx>
        <w:trPr>
          <w:trHeight w:val="90" w:hRule="atLeast"/>
          <w:jc w:val="center"/>
        </w:trPr>
        <w:tc>
          <w:tcPr>
            <w:tcW w:w="3091" w:type="dxa"/>
            <w:vMerge w:val="restart"/>
            <w:tcBorders>
              <w:top w:val="nil"/>
              <w:left w:val="single" w:color="auto" w:sz="4" w:space="0"/>
              <w:bottom w:val="single" w:color="auto" w:sz="4" w:space="0"/>
              <w:right w:val="single" w:color="auto" w:sz="4" w:space="0"/>
            </w:tcBorders>
            <w:vAlign w:val="bottom"/>
          </w:tcPr>
          <w:p w14:paraId="77AB94C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383" w:type="dxa"/>
            <w:tcBorders>
              <w:top w:val="nil"/>
              <w:left w:val="nil"/>
              <w:bottom w:val="single" w:color="auto" w:sz="4" w:space="0"/>
              <w:right w:val="single" w:color="auto" w:sz="4" w:space="0"/>
            </w:tcBorders>
            <w:vAlign w:val="center"/>
          </w:tcPr>
          <w:p w14:paraId="69A322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94874C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78471E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39" w:type="dxa"/>
            <w:tcBorders>
              <w:top w:val="nil"/>
              <w:left w:val="nil"/>
              <w:bottom w:val="single" w:color="auto" w:sz="4" w:space="0"/>
              <w:right w:val="single" w:color="auto" w:sz="4" w:space="0"/>
            </w:tcBorders>
            <w:vAlign w:val="center"/>
          </w:tcPr>
          <w:p w14:paraId="4BE206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78" w:type="dxa"/>
            <w:tcBorders>
              <w:top w:val="nil"/>
              <w:left w:val="nil"/>
              <w:bottom w:val="single" w:color="auto" w:sz="4" w:space="0"/>
              <w:right w:val="single" w:color="auto" w:sz="4" w:space="0"/>
            </w:tcBorders>
            <w:vAlign w:val="center"/>
          </w:tcPr>
          <w:p w14:paraId="08966D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A4ED822">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14:paraId="0608E521">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vAlign w:val="center"/>
          </w:tcPr>
          <w:p w14:paraId="33900E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5EB74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0134E0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39" w:type="dxa"/>
            <w:tcBorders>
              <w:top w:val="nil"/>
              <w:left w:val="nil"/>
              <w:bottom w:val="single" w:color="auto" w:sz="4" w:space="0"/>
              <w:right w:val="single" w:color="auto" w:sz="4" w:space="0"/>
            </w:tcBorders>
            <w:vAlign w:val="center"/>
          </w:tcPr>
          <w:p w14:paraId="381E67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78" w:type="dxa"/>
            <w:tcBorders>
              <w:top w:val="nil"/>
              <w:left w:val="nil"/>
              <w:bottom w:val="single" w:color="auto" w:sz="4" w:space="0"/>
              <w:right w:val="single" w:color="auto" w:sz="4" w:space="0"/>
            </w:tcBorders>
            <w:vAlign w:val="center"/>
          </w:tcPr>
          <w:p w14:paraId="479139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F1929E5">
        <w:tblPrEx>
          <w:tblCellMar>
            <w:top w:w="0" w:type="dxa"/>
            <w:left w:w="108" w:type="dxa"/>
            <w:bottom w:w="0" w:type="dxa"/>
            <w:right w:w="108" w:type="dxa"/>
          </w:tblCellMar>
        </w:tblPrEx>
        <w:trPr>
          <w:trHeight w:val="225" w:hRule="atLeast"/>
          <w:jc w:val="center"/>
        </w:trPr>
        <w:tc>
          <w:tcPr>
            <w:tcW w:w="3091" w:type="dxa"/>
            <w:vMerge w:val="restart"/>
            <w:tcBorders>
              <w:top w:val="nil"/>
              <w:left w:val="single" w:color="auto" w:sz="4" w:space="0"/>
              <w:bottom w:val="single" w:color="auto" w:sz="4" w:space="0"/>
              <w:right w:val="single" w:color="auto" w:sz="4" w:space="0"/>
            </w:tcBorders>
            <w:vAlign w:val="bottom"/>
          </w:tcPr>
          <w:p w14:paraId="2C531D5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383" w:type="dxa"/>
            <w:tcBorders>
              <w:top w:val="nil"/>
              <w:left w:val="nil"/>
              <w:bottom w:val="single" w:color="auto" w:sz="4" w:space="0"/>
              <w:right w:val="single" w:color="auto" w:sz="4" w:space="0"/>
            </w:tcBorders>
            <w:vAlign w:val="center"/>
          </w:tcPr>
          <w:p w14:paraId="667E65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A022D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6D498ED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39" w:type="dxa"/>
            <w:tcBorders>
              <w:top w:val="nil"/>
              <w:left w:val="nil"/>
              <w:bottom w:val="single" w:color="auto" w:sz="4" w:space="0"/>
              <w:right w:val="single" w:color="auto" w:sz="4" w:space="0"/>
            </w:tcBorders>
            <w:vAlign w:val="center"/>
          </w:tcPr>
          <w:p w14:paraId="39697B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78" w:type="dxa"/>
            <w:tcBorders>
              <w:top w:val="nil"/>
              <w:left w:val="nil"/>
              <w:bottom w:val="single" w:color="auto" w:sz="4" w:space="0"/>
              <w:right w:val="single" w:color="auto" w:sz="4" w:space="0"/>
            </w:tcBorders>
            <w:vAlign w:val="center"/>
          </w:tcPr>
          <w:p w14:paraId="40A892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E6F1985">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14:paraId="746D4198">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vAlign w:val="center"/>
          </w:tcPr>
          <w:p w14:paraId="7F5690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D3824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130034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39" w:type="dxa"/>
            <w:tcBorders>
              <w:top w:val="nil"/>
              <w:left w:val="nil"/>
              <w:bottom w:val="single" w:color="auto" w:sz="4" w:space="0"/>
              <w:right w:val="single" w:color="auto" w:sz="4" w:space="0"/>
            </w:tcBorders>
            <w:vAlign w:val="center"/>
          </w:tcPr>
          <w:p w14:paraId="506D8C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1178" w:type="dxa"/>
            <w:tcBorders>
              <w:top w:val="nil"/>
              <w:left w:val="nil"/>
              <w:bottom w:val="single" w:color="auto" w:sz="4" w:space="0"/>
              <w:right w:val="single" w:color="auto" w:sz="4" w:space="0"/>
            </w:tcBorders>
            <w:vAlign w:val="center"/>
          </w:tcPr>
          <w:p w14:paraId="028E0C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77055A88">
        <w:tblPrEx>
          <w:tblCellMar>
            <w:top w:w="0" w:type="dxa"/>
            <w:left w:w="108" w:type="dxa"/>
            <w:bottom w:w="0" w:type="dxa"/>
            <w:right w:w="108" w:type="dxa"/>
          </w:tblCellMar>
        </w:tblPrEx>
        <w:trPr>
          <w:trHeight w:val="225" w:hRule="atLeast"/>
          <w:jc w:val="center"/>
        </w:trPr>
        <w:tc>
          <w:tcPr>
            <w:tcW w:w="3091" w:type="dxa"/>
            <w:vMerge w:val="restart"/>
            <w:tcBorders>
              <w:top w:val="nil"/>
              <w:left w:val="single" w:color="auto" w:sz="4" w:space="0"/>
              <w:bottom w:val="single" w:color="auto" w:sz="4" w:space="0"/>
              <w:right w:val="single" w:color="auto" w:sz="4" w:space="0"/>
            </w:tcBorders>
            <w:vAlign w:val="bottom"/>
          </w:tcPr>
          <w:p w14:paraId="3329829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383" w:type="dxa"/>
            <w:tcBorders>
              <w:top w:val="nil"/>
              <w:left w:val="nil"/>
              <w:bottom w:val="single" w:color="auto" w:sz="4" w:space="0"/>
              <w:right w:val="single" w:color="auto" w:sz="4" w:space="0"/>
            </w:tcBorders>
            <w:vAlign w:val="center"/>
          </w:tcPr>
          <w:p w14:paraId="10FF3FD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6B624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39350A5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39" w:type="dxa"/>
            <w:tcBorders>
              <w:top w:val="nil"/>
              <w:left w:val="nil"/>
              <w:bottom w:val="single" w:color="auto" w:sz="4" w:space="0"/>
              <w:right w:val="single" w:color="auto" w:sz="4" w:space="0"/>
            </w:tcBorders>
            <w:vAlign w:val="center"/>
          </w:tcPr>
          <w:p w14:paraId="495C98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1178" w:type="dxa"/>
            <w:tcBorders>
              <w:top w:val="nil"/>
              <w:left w:val="nil"/>
              <w:bottom w:val="single" w:color="auto" w:sz="4" w:space="0"/>
              <w:right w:val="single" w:color="auto" w:sz="4" w:space="0"/>
            </w:tcBorders>
            <w:vAlign w:val="center"/>
          </w:tcPr>
          <w:p w14:paraId="21EBAE7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019836D0">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14:paraId="08C200AB">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vAlign w:val="center"/>
          </w:tcPr>
          <w:p w14:paraId="66874E8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2E1D44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290C16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39" w:type="dxa"/>
            <w:tcBorders>
              <w:top w:val="nil"/>
              <w:left w:val="nil"/>
              <w:bottom w:val="single" w:color="auto" w:sz="4" w:space="0"/>
              <w:right w:val="single" w:color="auto" w:sz="4" w:space="0"/>
            </w:tcBorders>
            <w:vAlign w:val="center"/>
          </w:tcPr>
          <w:p w14:paraId="243306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1178" w:type="dxa"/>
            <w:tcBorders>
              <w:top w:val="nil"/>
              <w:left w:val="nil"/>
              <w:bottom w:val="single" w:color="auto" w:sz="4" w:space="0"/>
              <w:right w:val="single" w:color="auto" w:sz="4" w:space="0"/>
            </w:tcBorders>
            <w:vAlign w:val="center"/>
          </w:tcPr>
          <w:p w14:paraId="5C22F3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2BA7341F">
        <w:tblPrEx>
          <w:tblCellMar>
            <w:top w:w="0" w:type="dxa"/>
            <w:left w:w="108" w:type="dxa"/>
            <w:bottom w:w="0" w:type="dxa"/>
            <w:right w:w="108" w:type="dxa"/>
          </w:tblCellMar>
        </w:tblPrEx>
        <w:trPr>
          <w:trHeight w:val="225" w:hRule="atLeast"/>
          <w:jc w:val="center"/>
        </w:trPr>
        <w:tc>
          <w:tcPr>
            <w:tcW w:w="3091" w:type="dxa"/>
            <w:vMerge w:val="restart"/>
            <w:tcBorders>
              <w:top w:val="nil"/>
              <w:left w:val="single" w:color="auto" w:sz="4" w:space="0"/>
              <w:bottom w:val="single" w:color="auto" w:sz="4" w:space="0"/>
              <w:right w:val="single" w:color="auto" w:sz="4" w:space="0"/>
            </w:tcBorders>
            <w:vAlign w:val="bottom"/>
          </w:tcPr>
          <w:p w14:paraId="03EEB03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383" w:type="dxa"/>
            <w:tcBorders>
              <w:top w:val="nil"/>
              <w:left w:val="nil"/>
              <w:bottom w:val="single" w:color="auto" w:sz="4" w:space="0"/>
              <w:right w:val="single" w:color="auto" w:sz="4" w:space="0"/>
            </w:tcBorders>
            <w:vAlign w:val="center"/>
          </w:tcPr>
          <w:p w14:paraId="6962C2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422B94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452DBF2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39" w:type="dxa"/>
            <w:tcBorders>
              <w:top w:val="nil"/>
              <w:left w:val="nil"/>
              <w:bottom w:val="single" w:color="auto" w:sz="4" w:space="0"/>
              <w:right w:val="single" w:color="auto" w:sz="4" w:space="0"/>
            </w:tcBorders>
            <w:vAlign w:val="center"/>
          </w:tcPr>
          <w:p w14:paraId="78C0EF6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178" w:type="dxa"/>
            <w:tcBorders>
              <w:top w:val="nil"/>
              <w:left w:val="nil"/>
              <w:bottom w:val="single" w:color="auto" w:sz="4" w:space="0"/>
              <w:right w:val="single" w:color="auto" w:sz="4" w:space="0"/>
            </w:tcBorders>
            <w:vAlign w:val="center"/>
          </w:tcPr>
          <w:p w14:paraId="573B9D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05FD2C8A">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14:paraId="70EE3226">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vAlign w:val="center"/>
          </w:tcPr>
          <w:p w14:paraId="4712972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135CE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42A4AE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39" w:type="dxa"/>
            <w:tcBorders>
              <w:top w:val="nil"/>
              <w:left w:val="nil"/>
              <w:bottom w:val="single" w:color="auto" w:sz="4" w:space="0"/>
              <w:right w:val="single" w:color="auto" w:sz="4" w:space="0"/>
            </w:tcBorders>
            <w:vAlign w:val="center"/>
          </w:tcPr>
          <w:p w14:paraId="68105D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1178" w:type="dxa"/>
            <w:tcBorders>
              <w:top w:val="nil"/>
              <w:left w:val="nil"/>
              <w:bottom w:val="single" w:color="auto" w:sz="4" w:space="0"/>
              <w:right w:val="single" w:color="auto" w:sz="4" w:space="0"/>
            </w:tcBorders>
            <w:vAlign w:val="center"/>
          </w:tcPr>
          <w:p w14:paraId="7E5E3D9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6E211DD0">
        <w:tblPrEx>
          <w:tblCellMar>
            <w:top w:w="0" w:type="dxa"/>
            <w:left w:w="108" w:type="dxa"/>
            <w:bottom w:w="0" w:type="dxa"/>
            <w:right w:w="108" w:type="dxa"/>
          </w:tblCellMar>
        </w:tblPrEx>
        <w:trPr>
          <w:trHeight w:val="225" w:hRule="atLeast"/>
          <w:jc w:val="center"/>
        </w:trPr>
        <w:tc>
          <w:tcPr>
            <w:tcW w:w="3091" w:type="dxa"/>
            <w:vMerge w:val="restart"/>
            <w:tcBorders>
              <w:top w:val="nil"/>
              <w:left w:val="single" w:color="auto" w:sz="4" w:space="0"/>
              <w:bottom w:val="single" w:color="auto" w:sz="4" w:space="0"/>
              <w:right w:val="single" w:color="auto" w:sz="4" w:space="0"/>
            </w:tcBorders>
            <w:vAlign w:val="bottom"/>
          </w:tcPr>
          <w:p w14:paraId="0B9E291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383" w:type="dxa"/>
            <w:tcBorders>
              <w:top w:val="nil"/>
              <w:left w:val="nil"/>
              <w:bottom w:val="single" w:color="auto" w:sz="4" w:space="0"/>
              <w:right w:val="single" w:color="auto" w:sz="4" w:space="0"/>
            </w:tcBorders>
            <w:vAlign w:val="center"/>
          </w:tcPr>
          <w:p w14:paraId="5E3B03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5ECA523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28F6738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39" w:type="dxa"/>
            <w:tcBorders>
              <w:top w:val="nil"/>
              <w:left w:val="nil"/>
              <w:bottom w:val="single" w:color="auto" w:sz="4" w:space="0"/>
              <w:right w:val="single" w:color="auto" w:sz="4" w:space="0"/>
            </w:tcBorders>
            <w:vAlign w:val="center"/>
          </w:tcPr>
          <w:p w14:paraId="246D7A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78" w:type="dxa"/>
            <w:tcBorders>
              <w:top w:val="nil"/>
              <w:left w:val="nil"/>
              <w:bottom w:val="single" w:color="auto" w:sz="4" w:space="0"/>
              <w:right w:val="single" w:color="auto" w:sz="4" w:space="0"/>
            </w:tcBorders>
            <w:vAlign w:val="center"/>
          </w:tcPr>
          <w:p w14:paraId="57D92FC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AFC60AD">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14:paraId="0E1A3D52">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vAlign w:val="center"/>
          </w:tcPr>
          <w:p w14:paraId="401BB7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4598E1E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6C608F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39" w:type="dxa"/>
            <w:tcBorders>
              <w:top w:val="nil"/>
              <w:left w:val="nil"/>
              <w:bottom w:val="single" w:color="auto" w:sz="4" w:space="0"/>
              <w:right w:val="single" w:color="auto" w:sz="4" w:space="0"/>
            </w:tcBorders>
            <w:vAlign w:val="center"/>
          </w:tcPr>
          <w:p w14:paraId="69282B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1178" w:type="dxa"/>
            <w:tcBorders>
              <w:top w:val="nil"/>
              <w:left w:val="nil"/>
              <w:bottom w:val="single" w:color="auto" w:sz="4" w:space="0"/>
              <w:right w:val="single" w:color="auto" w:sz="4" w:space="0"/>
            </w:tcBorders>
            <w:vAlign w:val="center"/>
          </w:tcPr>
          <w:p w14:paraId="7E404E7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752F9C0">
        <w:tblPrEx>
          <w:tblCellMar>
            <w:top w:w="0" w:type="dxa"/>
            <w:left w:w="108" w:type="dxa"/>
            <w:bottom w:w="0" w:type="dxa"/>
            <w:right w:w="108" w:type="dxa"/>
          </w:tblCellMar>
        </w:tblPrEx>
        <w:trPr>
          <w:trHeight w:val="225" w:hRule="atLeast"/>
          <w:jc w:val="center"/>
        </w:trPr>
        <w:tc>
          <w:tcPr>
            <w:tcW w:w="3091" w:type="dxa"/>
            <w:tcBorders>
              <w:top w:val="nil"/>
              <w:left w:val="single" w:color="auto" w:sz="4" w:space="0"/>
              <w:bottom w:val="single" w:color="auto" w:sz="4" w:space="0"/>
              <w:right w:val="single" w:color="auto" w:sz="4" w:space="0"/>
            </w:tcBorders>
            <w:vAlign w:val="bottom"/>
          </w:tcPr>
          <w:p w14:paraId="0AAA355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383" w:type="dxa"/>
            <w:tcBorders>
              <w:top w:val="nil"/>
              <w:left w:val="nil"/>
              <w:bottom w:val="single" w:color="auto" w:sz="4" w:space="0"/>
              <w:right w:val="single" w:color="auto" w:sz="4" w:space="0"/>
            </w:tcBorders>
            <w:vAlign w:val="center"/>
          </w:tcPr>
          <w:p w14:paraId="1BC5A0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5F9C9D1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38188A7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39" w:type="dxa"/>
            <w:tcBorders>
              <w:top w:val="nil"/>
              <w:left w:val="nil"/>
              <w:bottom w:val="single" w:color="auto" w:sz="4" w:space="0"/>
              <w:right w:val="single" w:color="auto" w:sz="4" w:space="0"/>
            </w:tcBorders>
            <w:vAlign w:val="center"/>
          </w:tcPr>
          <w:p w14:paraId="3D1ADE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78" w:type="dxa"/>
            <w:tcBorders>
              <w:top w:val="nil"/>
              <w:left w:val="nil"/>
              <w:bottom w:val="single" w:color="auto" w:sz="4" w:space="0"/>
              <w:right w:val="single" w:color="auto" w:sz="4" w:space="0"/>
            </w:tcBorders>
            <w:vAlign w:val="center"/>
          </w:tcPr>
          <w:p w14:paraId="412105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79C1CF6B">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478D4C96">
      <w:pPr>
        <w:widowControl/>
        <w:jc w:val="left"/>
        <w:rPr>
          <w:rFonts w:hint="eastAsia" w:ascii="宋体" w:hAnsi="宋体" w:eastAsia="宋体" w:cs="宋体"/>
          <w:color w:val="auto"/>
          <w:szCs w:val="20"/>
          <w:highlight w:val="none"/>
        </w:rPr>
        <w:sectPr>
          <w:pgSz w:w="11906" w:h="16838"/>
          <w:pgMar w:top="1134" w:right="1134" w:bottom="1134" w:left="1134" w:header="720" w:footer="720" w:gutter="0"/>
          <w:cols w:space="720" w:num="1"/>
          <w:docGrid w:type="lines" w:linePitch="331" w:charSpace="0"/>
        </w:sectPr>
      </w:pPr>
    </w:p>
    <w:p w14:paraId="7CB568C4">
      <w:pPr>
        <w:pStyle w:val="11"/>
        <w:jc w:val="center"/>
        <w:outlineLvl w:val="0"/>
        <w:rPr>
          <w:rFonts w:hint="eastAsia" w:ascii="宋体" w:hAnsi="宋体" w:eastAsia="宋体" w:cs="宋体"/>
          <w:b/>
          <w:color w:val="auto"/>
          <w:sz w:val="36"/>
          <w:szCs w:val="36"/>
          <w:highlight w:val="none"/>
        </w:rPr>
      </w:pPr>
      <w:bookmarkStart w:id="59" w:name="_Toc9063"/>
      <w:bookmarkStart w:id="60" w:name="_Toc532545044"/>
      <w:bookmarkStart w:id="61" w:name="_Toc6549"/>
      <w:r>
        <w:rPr>
          <w:rFonts w:hint="eastAsia" w:ascii="宋体" w:hAnsi="宋体" w:eastAsia="宋体" w:cs="宋体"/>
          <w:b/>
          <w:color w:val="auto"/>
          <w:sz w:val="36"/>
          <w:highlight w:val="none"/>
        </w:rPr>
        <w:t>第三章  投标人须知</w:t>
      </w:r>
      <w:bookmarkEnd w:id="59"/>
      <w:bookmarkEnd w:id="60"/>
      <w:bookmarkEnd w:id="61"/>
    </w:p>
    <w:p w14:paraId="4DA1AC7C">
      <w:pPr>
        <w:pStyle w:val="11"/>
        <w:spacing w:line="720" w:lineRule="auto"/>
        <w:jc w:val="center"/>
        <w:outlineLvl w:val="1"/>
        <w:rPr>
          <w:rFonts w:hint="eastAsia" w:ascii="宋体" w:hAnsi="宋体" w:eastAsia="宋体" w:cs="宋体"/>
          <w:b/>
          <w:color w:val="auto"/>
          <w:sz w:val="30"/>
          <w:szCs w:val="30"/>
          <w:highlight w:val="none"/>
        </w:rPr>
      </w:pPr>
      <w:bookmarkStart w:id="62" w:name="_Toc12768"/>
      <w:bookmarkStart w:id="63" w:name="_Toc32208"/>
      <w:r>
        <w:rPr>
          <w:rFonts w:hint="eastAsia" w:ascii="宋体" w:hAnsi="宋体" w:eastAsia="宋体" w:cs="宋体"/>
          <w:b/>
          <w:color w:val="auto"/>
          <w:sz w:val="30"/>
          <w:szCs w:val="30"/>
          <w:highlight w:val="none"/>
        </w:rPr>
        <w:t>第一节 投标人须知前附表</w:t>
      </w:r>
      <w:bookmarkEnd w:id="62"/>
      <w:bookmarkEnd w:id="63"/>
    </w:p>
    <w:tbl>
      <w:tblPr>
        <w:tblStyle w:val="20"/>
        <w:tblW w:w="102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68"/>
        <w:gridCol w:w="7297"/>
      </w:tblGrid>
      <w:tr w14:paraId="74BBC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E743761">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2268" w:type="dxa"/>
            <w:vAlign w:val="center"/>
          </w:tcPr>
          <w:p w14:paraId="52D58B2F">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项目内容</w:t>
            </w:r>
          </w:p>
        </w:tc>
        <w:tc>
          <w:tcPr>
            <w:tcW w:w="7297" w:type="dxa"/>
            <w:vAlign w:val="center"/>
          </w:tcPr>
          <w:p w14:paraId="5192511D">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编列内容</w:t>
            </w:r>
          </w:p>
        </w:tc>
      </w:tr>
      <w:tr w14:paraId="32A6D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F3B1BB3">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268" w:type="dxa"/>
            <w:vAlign w:val="center"/>
          </w:tcPr>
          <w:p w14:paraId="7EE1DDAD">
            <w:pPr>
              <w:spacing w:line="380" w:lineRule="exact"/>
              <w:rPr>
                <w:rFonts w:hint="eastAsia" w:ascii="宋体" w:hAnsi="宋体" w:eastAsia="宋体" w:cs="宋体"/>
                <w:color w:val="auto"/>
                <w:szCs w:val="21"/>
                <w:highlight w:val="none"/>
              </w:rPr>
            </w:pPr>
            <w:bookmarkStart w:id="64" w:name="_9.2"/>
            <w:bookmarkEnd w:id="64"/>
            <w:bookmarkStart w:id="65" w:name="_5"/>
            <w:bookmarkEnd w:id="65"/>
            <w:bookmarkStart w:id="66" w:name="_8.1"/>
            <w:bookmarkEnd w:id="66"/>
            <w:r>
              <w:rPr>
                <w:rFonts w:hint="eastAsia" w:ascii="宋体" w:hAnsi="宋体" w:eastAsia="宋体" w:cs="宋体"/>
                <w:color w:val="auto"/>
                <w:szCs w:val="21"/>
                <w:highlight w:val="none"/>
              </w:rPr>
              <w:t>是否接受联合体投标</w:t>
            </w:r>
          </w:p>
        </w:tc>
        <w:tc>
          <w:tcPr>
            <w:tcW w:w="7297" w:type="dxa"/>
            <w:vAlign w:val="center"/>
          </w:tcPr>
          <w:p w14:paraId="29004D45">
            <w:pPr>
              <w:pStyle w:val="9"/>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详见公告</w:t>
            </w:r>
            <w:r>
              <w:rPr>
                <w:rFonts w:hint="eastAsia" w:ascii="宋体" w:hAnsi="宋体" w:eastAsia="宋体" w:cs="宋体"/>
                <w:color w:val="auto"/>
                <w:szCs w:val="21"/>
                <w:highlight w:val="none"/>
              </w:rPr>
              <w:t>。</w:t>
            </w:r>
          </w:p>
        </w:tc>
      </w:tr>
      <w:tr w14:paraId="42BC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F4BEFEC">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p>
        </w:tc>
        <w:tc>
          <w:tcPr>
            <w:tcW w:w="2268" w:type="dxa"/>
            <w:vAlign w:val="center"/>
          </w:tcPr>
          <w:p w14:paraId="7CED6F33">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联合体投标要求</w:t>
            </w:r>
          </w:p>
        </w:tc>
        <w:tc>
          <w:tcPr>
            <w:tcW w:w="7297" w:type="dxa"/>
            <w:vAlign w:val="center"/>
          </w:tcPr>
          <w:p w14:paraId="7EFED009">
            <w:pPr>
              <w:pStyle w:val="9"/>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无</w:t>
            </w:r>
          </w:p>
        </w:tc>
      </w:tr>
      <w:tr w14:paraId="14B6A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684275E">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7.2</w:t>
            </w:r>
          </w:p>
        </w:tc>
        <w:tc>
          <w:tcPr>
            <w:tcW w:w="2268" w:type="dxa"/>
            <w:vAlign w:val="center"/>
          </w:tcPr>
          <w:p w14:paraId="140AD97B">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是否允许转包/分包</w:t>
            </w:r>
          </w:p>
        </w:tc>
        <w:tc>
          <w:tcPr>
            <w:tcW w:w="7297" w:type="dxa"/>
            <w:vAlign w:val="center"/>
          </w:tcPr>
          <w:p w14:paraId="1853542B">
            <w:pPr>
              <w:pStyle w:val="9"/>
              <w:pageBreakBefore w:val="0"/>
              <w:widowControl w:val="0"/>
              <w:kinsoku/>
              <w:wordWrap/>
              <w:overflowPunct/>
              <w:topLinePunct w:val="0"/>
              <w:bidi w:val="0"/>
              <w:adjustRightInd/>
              <w:spacing w:line="36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不允许转包/分包</w:t>
            </w:r>
          </w:p>
          <w:p w14:paraId="310748C2">
            <w:pPr>
              <w:pStyle w:val="9"/>
              <w:pageBreakBefore w:val="0"/>
              <w:widowControl w:val="0"/>
              <w:kinsoku/>
              <w:wordWrap/>
              <w:overflowPunct/>
              <w:topLinePunct w:val="0"/>
              <w:bidi w:val="0"/>
              <w:adjustRightInd/>
              <w:spacing w:line="360" w:lineRule="exac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允许转包/分包</w:t>
            </w:r>
          </w:p>
          <w:p w14:paraId="00AC4D0C">
            <w:pPr>
              <w:pStyle w:val="9"/>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转包/分包内容：</w:t>
            </w:r>
            <w:r>
              <w:rPr>
                <w:rFonts w:hint="eastAsia" w:ascii="宋体" w:hAnsi="宋体" w:eastAsia="宋体" w:cs="宋体"/>
                <w:color w:val="auto"/>
                <w:szCs w:val="21"/>
                <w:highlight w:val="none"/>
                <w:u w:val="single"/>
              </w:rPr>
              <w:t xml:space="preserve">  </w:t>
            </w:r>
            <w:bookmarkStart w:id="67" w:name="EB55d1321773dd4a9f8877786c4ba639ee"/>
            <w:r>
              <w:rPr>
                <w:rFonts w:hint="eastAsia" w:ascii="宋体" w:hAnsi="宋体" w:eastAsia="宋体" w:cs="宋体"/>
                <w:color w:val="auto"/>
                <w:szCs w:val="21"/>
                <w:highlight w:val="none"/>
                <w:u w:val="single"/>
              </w:rPr>
              <w:t>合法分包，中标人按照合同约定或者经招标人同意，可以将中标项目的部分非主体、非关键性工作分包给他人完成。接受分包的人应当具备相应的资格条件，并不得再次分包</w:t>
            </w:r>
            <w:bookmarkEnd w:id="67"/>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rPr>
              <w:t>。</w:t>
            </w:r>
          </w:p>
          <w:p w14:paraId="64B29CF1">
            <w:pPr>
              <w:pStyle w:val="9"/>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rPr>
              <w:t>转包/分包金额或者比例：</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rPr>
              <w:t>。</w:t>
            </w:r>
          </w:p>
          <w:p w14:paraId="6D99DA50">
            <w:pPr>
              <w:pStyle w:val="9"/>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分包其他要求：依据招标文件规定享受中小</w:t>
            </w:r>
            <w:r>
              <w:rPr>
                <w:rFonts w:hint="eastAsia" w:ascii="宋体" w:hAnsi="宋体" w:eastAsia="宋体" w:cs="宋体"/>
                <w:color w:val="auto"/>
                <w:szCs w:val="21"/>
                <w:highlight w:val="none"/>
                <w:u w:val="none"/>
              </w:rPr>
              <w:t>企业扶持政策获得政府采购工程合同的，小微企业不得将合同分包给大中型企业，中型企业不得将合同分包给大型企业，否则招标人有权要求其改正；拒不改正的，招标人可终止合同，并报请有关行政监督部门查处。</w:t>
            </w:r>
          </w:p>
        </w:tc>
      </w:tr>
      <w:tr w14:paraId="6D0C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74B2796">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w:t>
            </w:r>
          </w:p>
        </w:tc>
        <w:tc>
          <w:tcPr>
            <w:tcW w:w="2268" w:type="dxa"/>
            <w:vAlign w:val="center"/>
          </w:tcPr>
          <w:p w14:paraId="0CCD243F">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媒体发布渠道</w:t>
            </w:r>
          </w:p>
        </w:tc>
        <w:tc>
          <w:tcPr>
            <w:tcW w:w="7297" w:type="dxa"/>
            <w:vAlign w:val="center"/>
          </w:tcPr>
          <w:p w14:paraId="15F43CD1">
            <w:pPr>
              <w:rPr>
                <w:rFonts w:hint="eastAsia" w:ascii="宋体" w:hAnsi="宋体" w:eastAsia="宋体" w:cs="宋体"/>
                <w:color w:val="auto"/>
                <w:sz w:val="28"/>
                <w:szCs w:val="18"/>
                <w:highlight w:val="none"/>
              </w:rPr>
            </w:pPr>
            <w:r>
              <w:rPr>
                <w:rFonts w:hint="eastAsia" w:ascii="宋体" w:hAnsi="宋体" w:eastAsia="宋体" w:cs="宋体"/>
                <w:color w:val="auto"/>
                <w:szCs w:val="21"/>
                <w:highlight w:val="none"/>
              </w:rPr>
              <w:t>与本项目相关的政府采购业务澄清、更正及与之相关的事项将在采购公告中“六、其他补充事宜”中网上查询地址上发布</w:t>
            </w:r>
            <w:r>
              <w:rPr>
                <w:rFonts w:hint="eastAsia" w:ascii="宋体" w:hAnsi="宋体" w:eastAsia="宋体" w:cs="宋体"/>
                <w:color w:val="auto"/>
                <w:kern w:val="0"/>
                <w:szCs w:val="21"/>
                <w:highlight w:val="none"/>
              </w:rPr>
              <w:t>。</w:t>
            </w:r>
          </w:p>
        </w:tc>
      </w:tr>
      <w:tr w14:paraId="42E24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814AFE6">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11.6</w:t>
            </w:r>
          </w:p>
        </w:tc>
        <w:tc>
          <w:tcPr>
            <w:tcW w:w="2268" w:type="dxa"/>
            <w:vAlign w:val="center"/>
          </w:tcPr>
          <w:p w14:paraId="06D80543">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是否组织标前答疑会</w:t>
            </w:r>
            <w:r>
              <w:rPr>
                <w:rFonts w:hint="eastAsia" w:ascii="宋体" w:hAnsi="宋体" w:cs="宋体"/>
                <w:color w:val="auto"/>
                <w:szCs w:val="21"/>
                <w:highlight w:val="none"/>
                <w:lang w:val="en-US" w:eastAsia="zh-CN"/>
              </w:rPr>
              <w:t>或现场踏勘</w:t>
            </w:r>
          </w:p>
        </w:tc>
        <w:tc>
          <w:tcPr>
            <w:tcW w:w="7297" w:type="dxa"/>
            <w:vAlign w:val="center"/>
          </w:tcPr>
          <w:p w14:paraId="3FE30593">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不组织召开开标前答疑会</w:t>
            </w:r>
          </w:p>
          <w:p w14:paraId="59F72FB0">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□组织召开开标前答疑会</w:t>
            </w:r>
          </w:p>
          <w:p w14:paraId="58C82AC2">
            <w:pPr>
              <w:snapToGrid w:val="0"/>
              <w:spacing w:line="38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会议开始时间：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分</w:t>
            </w:r>
            <w:r>
              <w:rPr>
                <w:rFonts w:hint="eastAsia" w:ascii="宋体" w:hAnsi="宋体" w:eastAsia="宋体" w:cs="宋体"/>
                <w:color w:val="auto"/>
                <w:szCs w:val="21"/>
                <w:highlight w:val="none"/>
              </w:rPr>
              <w:t>，逾期后果自负。会议地点：</w:t>
            </w:r>
            <w:r>
              <w:rPr>
                <w:rFonts w:hint="eastAsia" w:ascii="宋体" w:hAnsi="宋体" w:eastAsia="宋体" w:cs="宋体"/>
                <w:color w:val="auto"/>
                <w:szCs w:val="21"/>
                <w:highlight w:val="none"/>
                <w:u w:val="single"/>
              </w:rPr>
              <w:t xml:space="preserve">      </w:t>
            </w:r>
          </w:p>
          <w:p w14:paraId="23F2237A">
            <w:pPr>
              <w:snapToGrid w:val="0"/>
              <w:spacing w:line="38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投标人可自行选择是否进行现场踏勘。</w:t>
            </w:r>
          </w:p>
          <w:p w14:paraId="24D69D2E">
            <w:pPr>
              <w:snapToGrid w:val="0"/>
              <w:spacing w:line="380" w:lineRule="exac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投标人可根据自身需要进行</w:t>
            </w:r>
            <w:r>
              <w:rPr>
                <w:rFonts w:hint="eastAsia" w:ascii="宋体" w:hAnsi="宋体" w:cs="宋体"/>
                <w:color w:val="auto"/>
                <w:szCs w:val="21"/>
                <w:highlight w:val="none"/>
              </w:rPr>
              <w:t>现场实地踏勘（勘察），</w:t>
            </w:r>
            <w:r>
              <w:rPr>
                <w:rFonts w:hint="eastAsia" w:ascii="宋体" w:hAnsi="宋体" w:cs="宋体"/>
                <w:color w:val="auto"/>
                <w:szCs w:val="21"/>
                <w:highlight w:val="none"/>
                <w:lang w:val="en-US" w:eastAsia="zh-CN"/>
              </w:rPr>
              <w:t>以便更</w:t>
            </w:r>
            <w:r>
              <w:rPr>
                <w:rFonts w:hint="eastAsia" w:ascii="宋体" w:hAnsi="宋体" w:cs="宋体"/>
                <w:color w:val="auto"/>
                <w:szCs w:val="21"/>
                <w:highlight w:val="none"/>
              </w:rPr>
              <w:t>准确地做出报价和</w:t>
            </w:r>
            <w:r>
              <w:rPr>
                <w:rFonts w:hint="eastAsia" w:ascii="宋体" w:hAnsi="宋体" w:cs="宋体"/>
                <w:color w:val="auto"/>
                <w:szCs w:val="21"/>
                <w:highlight w:val="none"/>
                <w:lang w:val="en-US" w:eastAsia="zh-CN"/>
              </w:rPr>
              <w:t>更完善编制投标</w:t>
            </w:r>
            <w:r>
              <w:rPr>
                <w:rFonts w:hint="eastAsia" w:ascii="宋体" w:hAnsi="宋体" w:cs="宋体"/>
                <w:color w:val="auto"/>
                <w:szCs w:val="21"/>
                <w:highlight w:val="none"/>
              </w:rPr>
              <w:t>方案。请</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人在202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年11月</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日的</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0-12:00，15:00-17:00，主动与</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人联系并进行现场踏勘对接。联系人：潘吕莎，联系电话：0771-6580022。</w:t>
            </w:r>
          </w:p>
          <w:p w14:paraId="34FE6D11">
            <w:pPr>
              <w:snapToGrid w:val="0"/>
              <w:spacing w:line="38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代表现场踏勘应携带的资料有：委托代理人持企业营业执照、法定代表人授权委托书原件、委托代理人有效身份证原件及其复印件加盖公章前往（法定代表人参加踏勘只需提供企业营业执照、个人有效身份证原件及其复印件加盖公章），并进行到场登记。未按要求提供资料的不予接待。</w:t>
            </w:r>
          </w:p>
          <w:p w14:paraId="4AAC8A57">
            <w:pPr>
              <w:snapToGrid w:val="0"/>
              <w:spacing w:line="380" w:lineRule="exact"/>
              <w:rPr>
                <w:rFonts w:hint="eastAsia" w:ascii="宋体" w:hAnsi="宋体" w:eastAsia="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代表经过采购人的允许，可进入踏勘现场，但</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代表不得因此使采购人及人员承担有关的责任和蒙受损失，踏勘所需车辆及相关费用</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自理。</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对由此次踏勘现场失误而造成的财产损失及任何其它损失、损害和引起的费用和开支承担责任。</w:t>
            </w:r>
          </w:p>
        </w:tc>
      </w:tr>
      <w:tr w14:paraId="3B986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55DF3C8">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w:t>
            </w:r>
          </w:p>
        </w:tc>
        <w:tc>
          <w:tcPr>
            <w:tcW w:w="2268" w:type="dxa"/>
            <w:vAlign w:val="center"/>
          </w:tcPr>
          <w:p w14:paraId="189729CD">
            <w:pPr>
              <w:snapToGrid w:val="0"/>
              <w:spacing w:line="380" w:lineRule="exact"/>
              <w:jc w:val="left"/>
              <w:rPr>
                <w:rFonts w:hint="eastAsia" w:ascii="宋体" w:hAnsi="宋体" w:eastAsia="宋体" w:cs="宋体"/>
                <w:color w:val="auto"/>
                <w:szCs w:val="21"/>
                <w:highlight w:val="none"/>
              </w:rPr>
            </w:pPr>
            <w:bookmarkStart w:id="68" w:name="_13.2"/>
            <w:bookmarkEnd w:id="68"/>
            <w:r>
              <w:rPr>
                <w:rFonts w:hint="eastAsia" w:ascii="宋体" w:hAnsi="宋体" w:eastAsia="宋体" w:cs="宋体"/>
                <w:color w:val="auto"/>
                <w:szCs w:val="21"/>
                <w:highlight w:val="none"/>
              </w:rPr>
              <w:t>资格证明文件组成</w:t>
            </w:r>
          </w:p>
        </w:tc>
        <w:tc>
          <w:tcPr>
            <w:tcW w:w="7297" w:type="dxa"/>
            <w:vAlign w:val="center"/>
          </w:tcPr>
          <w:p w14:paraId="69544CE9">
            <w:pPr>
              <w:pageBreakBefore w:val="0"/>
              <w:widowControl w:val="0"/>
              <w:kinsoku/>
              <w:wordWrap/>
              <w:overflowPunct/>
              <w:topLinePunct w:val="0"/>
              <w:bidi w:val="0"/>
              <w:adjustRightInd/>
              <w:snapToGrid w:val="0"/>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1、投标人为法人或者其他组织的，提供营业执照等证明文件（如营业执照或者事业单位法人证书或者执业许可证等），投标人为自然人的，提供身份证复印件；（</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6B20606F">
            <w:pPr>
              <w:pageBreakBefore w:val="0"/>
              <w:widowControl w:val="0"/>
              <w:kinsoku/>
              <w:wordWrap/>
              <w:overflowPunct/>
              <w:topLinePunct w:val="0"/>
              <w:bidi w:val="0"/>
              <w:adjustRightInd/>
              <w:snapToGrid w:val="0"/>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2、投标人依法缴纳税收的相关材料[</w:t>
            </w:r>
            <w:r>
              <w:rPr>
                <w:rFonts w:hint="eastAsia" w:ascii="宋体" w:hAnsi="宋体" w:eastAsia="宋体" w:cs="宋体"/>
                <w:color w:val="auto"/>
                <w:szCs w:val="21"/>
                <w:highlight w:val="none"/>
                <w:u w:val="single"/>
              </w:rPr>
              <w:t xml:space="preserve"> 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月至</w:t>
            </w:r>
            <w:r>
              <w:rPr>
                <w:rFonts w:hint="eastAsia" w:ascii="宋体" w:hAnsi="宋体" w:eastAsia="宋体" w:cs="宋体"/>
                <w:color w:val="auto"/>
                <w:szCs w:val="21"/>
                <w:highlight w:val="none"/>
                <w:u w:val="single"/>
              </w:rPr>
              <w:t xml:space="preserve"> 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连续</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55FAB00E">
            <w:pPr>
              <w:pageBreakBefore w:val="0"/>
              <w:widowControl w:val="0"/>
              <w:kinsoku/>
              <w:wordWrap/>
              <w:overflowPunct/>
              <w:topLinePunct w:val="0"/>
              <w:bidi w:val="0"/>
              <w:adjustRightInd/>
              <w:snapToGrid w:val="0"/>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3、投标人依法缴纳社会保障资金的相关材料[</w:t>
            </w:r>
            <w:r>
              <w:rPr>
                <w:rFonts w:hint="eastAsia" w:ascii="宋体" w:hAnsi="宋体" w:eastAsia="宋体" w:cs="宋体"/>
                <w:color w:val="auto"/>
                <w:szCs w:val="21"/>
                <w:highlight w:val="none"/>
                <w:u w:val="single"/>
              </w:rPr>
              <w:t xml:space="preserve"> 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月至</w:t>
            </w:r>
            <w:r>
              <w:rPr>
                <w:rFonts w:hint="eastAsia" w:ascii="宋体" w:hAnsi="宋体" w:eastAsia="宋体" w:cs="宋体"/>
                <w:color w:val="auto"/>
                <w:szCs w:val="21"/>
                <w:highlight w:val="none"/>
                <w:u w:val="single"/>
              </w:rPr>
              <w:t xml:space="preserve"> 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连续</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2B21CCE8">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rPr>
              <w:t>供应商财务状况报告：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2024</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rPr>
              <w:t>度财务状况报表复印件</w:t>
            </w:r>
            <w:r>
              <w:rPr>
                <w:rFonts w:hint="eastAsia" w:ascii="宋体" w:hAnsi="宋体" w:eastAsia="宋体" w:cs="宋体"/>
                <w:color w:val="auto"/>
                <w:sz w:val="21"/>
                <w:szCs w:val="21"/>
                <w:highlight w:val="none"/>
                <w:lang w:val="en-US" w:eastAsia="zh-CN"/>
              </w:rPr>
              <w:t>，供应商成立不满一年的应按提供投标文件提交截止时间上一个月的财务状况报告复印件。（上述财务状况报告包括：供应商执行《企业会计准则》的，提供资产负债表、利润表、现金流量表、所有者权益变动表及其附注（以下称“四表一注”）（如有）；供应商执行《小企业会计准则》的，提供资产负债表、利润表、现金流量表及其附注（以下称“三表一注”）（如有）；供应商执行《政府会计制度》的，提供资产负债表、收入费用表和净资产变动表及其附注)；</w:t>
            </w:r>
            <w:r>
              <w:rPr>
                <w:rFonts w:hint="eastAsia" w:ascii="宋体" w:hAnsi="宋体" w:eastAsia="宋体" w:cs="宋体"/>
                <w:b/>
                <w:bCs/>
                <w:color w:val="auto"/>
                <w:sz w:val="21"/>
                <w:szCs w:val="21"/>
                <w:highlight w:val="none"/>
                <w:lang w:val="en-US" w:eastAsia="zh-CN"/>
              </w:rPr>
              <w:t>（必须提供，否则作无效投标处理）</w:t>
            </w:r>
            <w:r>
              <w:rPr>
                <w:rFonts w:hint="eastAsia" w:ascii="宋体" w:hAnsi="宋体" w:eastAsia="宋体" w:cs="宋体"/>
                <w:color w:val="auto"/>
                <w:szCs w:val="21"/>
                <w:highlight w:val="none"/>
              </w:rPr>
              <w:t xml:space="preserve"> </w:t>
            </w:r>
          </w:p>
          <w:p w14:paraId="6094BC2C">
            <w:pPr>
              <w:pageBreakBefore w:val="0"/>
              <w:widowControl w:val="0"/>
              <w:kinsoku/>
              <w:wordWrap/>
              <w:overflowPunct/>
              <w:topLinePunct w:val="0"/>
              <w:bidi w:val="0"/>
              <w:adjustRightInd/>
              <w:snapToGrid w:val="0"/>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5、投标人直接控股、管理关系信息表；（</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5CC6C8D0">
            <w:pPr>
              <w:pageBreakBefore w:val="0"/>
              <w:widowControl w:val="0"/>
              <w:numPr>
                <w:ilvl w:val="0"/>
                <w:numId w:val="0"/>
              </w:numPr>
              <w:kinsoku/>
              <w:wordWrap/>
              <w:overflowPunct/>
              <w:topLinePunct w:val="0"/>
              <w:bidi w:val="0"/>
              <w:adjustRightInd/>
              <w:snapToGrid w:val="0"/>
              <w:spacing w:line="360" w:lineRule="exact"/>
              <w:ind w:left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投标资格声明；（</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30916528">
            <w:pPr>
              <w:pageBreakBefore w:val="0"/>
              <w:widowControl w:val="0"/>
              <w:kinsoku/>
              <w:wordWrap/>
              <w:overflowPunct/>
              <w:topLinePunct w:val="0"/>
              <w:bidi w:val="0"/>
              <w:adjustRightInd/>
              <w:snapToGrid w:val="0"/>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7、联合体协议书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联合体投标时必须提供，否则作无效投标处理</w:t>
            </w:r>
            <w:r>
              <w:rPr>
                <w:rFonts w:hint="eastAsia" w:ascii="宋体" w:hAnsi="宋体" w:eastAsia="宋体" w:cs="宋体"/>
                <w:color w:val="auto"/>
                <w:szCs w:val="21"/>
                <w:highlight w:val="none"/>
              </w:rPr>
              <w:t>）</w:t>
            </w:r>
          </w:p>
          <w:p w14:paraId="30A0F154">
            <w:pPr>
              <w:pageBreakBefore w:val="0"/>
              <w:widowControl w:val="0"/>
              <w:kinsoku/>
              <w:wordWrap/>
              <w:overflowPunct/>
              <w:topLinePunct w:val="0"/>
              <w:bidi w:val="0"/>
              <w:adjustRightInd/>
              <w:snapToGrid w:val="0"/>
              <w:spacing w:line="36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8、中小企业</w:t>
            </w:r>
            <w:r>
              <w:rPr>
                <w:rFonts w:hint="eastAsia" w:ascii="宋体" w:hAnsi="宋体" w:eastAsia="宋体" w:cs="宋体"/>
                <w:color w:val="auto"/>
                <w:szCs w:val="21"/>
                <w:highlight w:val="none"/>
              </w:rPr>
              <w:t>声明函或残疾人福利性单位声明函或属于监狱企业的证明文件；</w:t>
            </w:r>
            <w:r>
              <w:rPr>
                <w:rFonts w:hint="eastAsia" w:ascii="宋体" w:hAnsi="宋体" w:eastAsia="宋体" w:cs="宋体"/>
                <w:color w:val="auto"/>
                <w:szCs w:val="21"/>
                <w:highlight w:val="none"/>
                <w:lang w:val="en-US" w:eastAsia="zh-CN"/>
              </w:rPr>
              <w:t>（</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lang w:val="en-US" w:eastAsia="zh-CN"/>
              </w:rPr>
              <w:t>）</w:t>
            </w:r>
          </w:p>
          <w:p w14:paraId="0283C286">
            <w:pPr>
              <w:snapToGrid w:val="0"/>
              <w:spacing w:line="38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符合特定资格</w:t>
            </w:r>
            <w:r>
              <w:rPr>
                <w:rFonts w:hint="eastAsia" w:ascii="宋体" w:hAnsi="宋体" w:eastAsia="宋体" w:cs="宋体"/>
                <w:color w:val="auto"/>
                <w:szCs w:val="21"/>
                <w:highlight w:val="none"/>
                <w:lang w:eastAsia="zh-CN"/>
              </w:rPr>
              <w:t>要求</w:t>
            </w:r>
            <w:r>
              <w:rPr>
                <w:rFonts w:hint="eastAsia" w:ascii="宋体" w:hAnsi="宋体" w:eastAsia="宋体" w:cs="宋体"/>
                <w:color w:val="auto"/>
                <w:szCs w:val="21"/>
                <w:highlight w:val="none"/>
              </w:rPr>
              <w:t>的有关证明材料</w:t>
            </w:r>
            <w:r>
              <w:rPr>
                <w:rFonts w:hint="eastAsia" w:ascii="宋体" w:hAnsi="宋体" w:eastAsia="宋体" w:cs="宋体"/>
                <w:color w:val="auto"/>
                <w:szCs w:val="21"/>
                <w:highlight w:val="none"/>
                <w:lang w:eastAsia="zh-CN"/>
              </w:rPr>
              <w:t>：</w:t>
            </w:r>
            <w:r>
              <w:rPr>
                <w:rFonts w:hint="eastAsia" w:asciiTheme="minorEastAsia" w:hAnsiTheme="minorEastAsia" w:eastAsiaTheme="minorEastAsia" w:cstheme="minorEastAsia"/>
                <w:color w:val="auto"/>
                <w:szCs w:val="21"/>
                <w:highlight w:val="none"/>
                <w:lang w:eastAsia="zh-CN"/>
              </w:rPr>
              <w:t>①</w:t>
            </w:r>
            <w:r>
              <w:rPr>
                <w:rFonts w:hint="eastAsia" w:asciiTheme="minorEastAsia" w:hAnsiTheme="minorEastAsia" w:eastAsiaTheme="minorEastAsia" w:cstheme="minorEastAsia"/>
                <w:color w:val="auto"/>
                <w:szCs w:val="21"/>
                <w:highlight w:val="none"/>
              </w:rPr>
              <w:t>供应商须具备</w:t>
            </w:r>
            <w:r>
              <w:rPr>
                <w:rFonts w:hint="eastAsia" w:asciiTheme="minorEastAsia" w:hAnsiTheme="minorEastAsia" w:eastAsiaTheme="minorEastAsia" w:cstheme="minorEastAsia"/>
                <w:color w:val="auto"/>
                <w:szCs w:val="21"/>
                <w:highlight w:val="none"/>
                <w:lang w:eastAsia="zh-CN"/>
              </w:rPr>
              <w:t>建筑工程施工总承包贰级以上（含贰级）或建筑装修装饰工程专业承包</w:t>
            </w:r>
            <w:r>
              <w:rPr>
                <w:rFonts w:hint="eastAsia" w:asciiTheme="minorEastAsia" w:hAnsiTheme="minorEastAsia" w:eastAsiaTheme="minorEastAsia" w:cstheme="minorEastAsia"/>
                <w:color w:val="auto"/>
                <w:szCs w:val="21"/>
                <w:highlight w:val="none"/>
                <w:lang w:val="en-US" w:eastAsia="zh-CN"/>
              </w:rPr>
              <w:t>贰</w:t>
            </w:r>
            <w:r>
              <w:rPr>
                <w:rFonts w:hint="eastAsia" w:asciiTheme="minorEastAsia" w:hAnsiTheme="minorEastAsia" w:eastAsiaTheme="minorEastAsia" w:cstheme="minorEastAsia"/>
                <w:color w:val="auto"/>
                <w:szCs w:val="21"/>
                <w:highlight w:val="none"/>
                <w:lang w:eastAsia="zh-CN"/>
              </w:rPr>
              <w:t>级以上</w:t>
            </w:r>
            <w:r>
              <w:rPr>
                <w:rFonts w:hint="eastAsia" w:asciiTheme="minorEastAsia" w:hAnsiTheme="minorEastAsia" w:eastAsiaTheme="minorEastAsia" w:cstheme="minorEastAsia"/>
                <w:color w:val="auto"/>
                <w:szCs w:val="21"/>
                <w:highlight w:val="none"/>
                <w:lang w:eastAsia="zh-CN"/>
              </w:rPr>
              <w:t>（含贰级）</w:t>
            </w:r>
            <w:r>
              <w:rPr>
                <w:rFonts w:hint="eastAsia" w:asciiTheme="minorEastAsia" w:hAnsiTheme="minorEastAsia" w:eastAsiaTheme="minorEastAsia" w:cstheme="minorEastAsia"/>
                <w:color w:val="auto"/>
                <w:szCs w:val="21"/>
                <w:highlight w:val="none"/>
              </w:rPr>
              <w:t>资质，同时持有省级及以上建设行政主管部门颁发的安全生产许可证；②</w:t>
            </w:r>
            <w:r>
              <w:rPr>
                <w:rFonts w:hint="eastAsia" w:asciiTheme="minorEastAsia" w:hAnsiTheme="minorEastAsia" w:eastAsiaTheme="minorEastAsia" w:cstheme="minorEastAsia"/>
                <w:color w:val="auto"/>
                <w:szCs w:val="21"/>
                <w:highlight w:val="none"/>
                <w:lang w:val="en-US" w:eastAsia="zh-CN"/>
              </w:rPr>
              <w:t>项目经理须具备建筑工程专业贰级以上（含贰级）注册建造师资格，并持有省级或省级以上行政主管部门或其授权部门（机构）颁发的B类安全生产考核合格证书；</w:t>
            </w:r>
            <w:r>
              <w:rPr>
                <w:rFonts w:hint="eastAsia" w:asciiTheme="minorEastAsia" w:hAnsiTheme="minorEastAsia" w:eastAsiaTheme="minorEastAsia" w:cstheme="minorEastAsia"/>
                <w:color w:val="auto"/>
                <w:szCs w:val="21"/>
                <w:highlight w:val="none"/>
                <w:lang w:eastAsia="zh-CN"/>
              </w:rPr>
              <w:t>③</w:t>
            </w:r>
            <w:r>
              <w:rPr>
                <w:rFonts w:hint="eastAsia" w:asciiTheme="minorEastAsia" w:hAnsiTheme="minorEastAsia" w:eastAsiaTheme="minorEastAsia" w:cstheme="minorEastAsia"/>
                <w:color w:val="auto"/>
                <w:szCs w:val="21"/>
                <w:highlight w:val="none"/>
                <w:lang w:val="en-US" w:eastAsia="zh-CN"/>
              </w:rPr>
              <w:t>拟投入本项目的专职安全员须具备有效的安全生产考核合格证书（C类）</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00608906">
            <w:pPr>
              <w:snapToGrid w:val="0"/>
              <w:spacing w:line="380" w:lineRule="exact"/>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10、建设工程项目管理承诺书</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41362ED1">
            <w:pPr>
              <w:snapToGrid w:val="0"/>
              <w:spacing w:line="38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rPr>
              <w:t>除招标文件规定必须提供以外，投标人认为需要提供的其他证明材料</w:t>
            </w:r>
            <w:r>
              <w:rPr>
                <w:rFonts w:hint="eastAsia" w:ascii="宋体" w:hAnsi="宋体" w:cs="宋体"/>
                <w:color w:val="auto"/>
                <w:szCs w:val="21"/>
                <w:highlight w:val="none"/>
                <w:lang w:eastAsia="zh-CN"/>
              </w:rPr>
              <w:t>。</w:t>
            </w:r>
          </w:p>
          <w:p w14:paraId="5CF6AB3E">
            <w:pPr>
              <w:snapToGrid w:val="0"/>
              <w:spacing w:line="380" w:lineRule="exact"/>
              <w:jc w:val="left"/>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注：1.</w:t>
            </w: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rPr>
              <w:t>以上标明“必须提供”的材料</w:t>
            </w:r>
            <w:r>
              <w:rPr>
                <w:rFonts w:hint="eastAsia" w:ascii="宋体" w:hAnsi="宋体" w:eastAsia="宋体" w:cs="宋体"/>
                <w:b/>
                <w:color w:val="auto"/>
                <w:szCs w:val="21"/>
                <w:highlight w:val="none"/>
              </w:rPr>
              <w:t>属于复印件的扫描件的</w:t>
            </w:r>
            <w:r>
              <w:rPr>
                <w:rFonts w:hint="eastAsia" w:ascii="宋体" w:hAnsi="宋体" w:eastAsia="宋体" w:cs="宋体"/>
                <w:b/>
                <w:bCs/>
                <w:color w:val="auto"/>
                <w:szCs w:val="21"/>
                <w:highlight w:val="none"/>
              </w:rPr>
              <w:t>，必须加盖投标人电子公章，否则</w:t>
            </w:r>
            <w:r>
              <w:rPr>
                <w:rFonts w:hint="eastAsia" w:ascii="宋体" w:hAnsi="宋体" w:eastAsia="宋体" w:cs="宋体"/>
                <w:b/>
                <w:color w:val="auto"/>
                <w:szCs w:val="21"/>
                <w:highlight w:val="none"/>
              </w:rPr>
              <w:t>作无效投标处理。</w:t>
            </w:r>
          </w:p>
          <w:p w14:paraId="76F0B9E8">
            <w:pPr>
              <w:snapToGrid w:val="0"/>
              <w:spacing w:line="380" w:lineRule="exact"/>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bCs/>
                <w:color w:val="auto"/>
                <w:szCs w:val="21"/>
                <w:highlight w:val="none"/>
              </w:rPr>
              <w:t>.联合体投标时，第1-5项资格证明文件联合体各方均必须分别提供，联合体各方分别盖章和签字，否则投标文件按无效</w:t>
            </w:r>
            <w:r>
              <w:rPr>
                <w:rFonts w:hint="eastAsia" w:ascii="宋体" w:hAnsi="宋体" w:cs="宋体"/>
                <w:b/>
                <w:bCs/>
                <w:color w:val="auto"/>
                <w:szCs w:val="21"/>
                <w:highlight w:val="none"/>
                <w:lang w:eastAsia="zh-CN"/>
              </w:rPr>
              <w:t>投标</w:t>
            </w:r>
            <w:r>
              <w:rPr>
                <w:rFonts w:hint="eastAsia" w:ascii="宋体" w:hAnsi="宋体" w:eastAsia="宋体" w:cs="宋体"/>
                <w:b/>
                <w:bCs/>
                <w:color w:val="auto"/>
                <w:szCs w:val="21"/>
                <w:highlight w:val="none"/>
              </w:rPr>
              <w:t>处理。</w:t>
            </w:r>
          </w:p>
        </w:tc>
      </w:tr>
      <w:tr w14:paraId="705D4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F2D14AF">
            <w:pPr>
              <w:spacing w:line="380" w:lineRule="exact"/>
              <w:rPr>
                <w:rFonts w:hint="eastAsia" w:ascii="宋体" w:hAnsi="宋体" w:eastAsia="宋体" w:cs="宋体"/>
                <w:color w:val="auto"/>
                <w:szCs w:val="21"/>
                <w:highlight w:val="none"/>
              </w:rPr>
            </w:pPr>
          </w:p>
        </w:tc>
        <w:tc>
          <w:tcPr>
            <w:tcW w:w="2268" w:type="dxa"/>
            <w:vAlign w:val="center"/>
          </w:tcPr>
          <w:p w14:paraId="19B596CA">
            <w:pPr>
              <w:snapToGrid w:val="0"/>
              <w:spacing w:line="380" w:lineRule="exact"/>
              <w:jc w:val="left"/>
              <w:rPr>
                <w:rFonts w:hint="eastAsia" w:ascii="宋体" w:hAnsi="宋体" w:eastAsia="宋体" w:cs="宋体"/>
                <w:color w:val="auto"/>
                <w:szCs w:val="21"/>
                <w:highlight w:val="none"/>
              </w:rPr>
            </w:pPr>
            <w:bookmarkStart w:id="69" w:name="_13.3"/>
            <w:bookmarkEnd w:id="69"/>
            <w:r>
              <w:rPr>
                <w:rFonts w:hint="eastAsia" w:ascii="宋体" w:hAnsi="宋体" w:eastAsia="宋体" w:cs="宋体"/>
                <w:color w:val="auto"/>
                <w:szCs w:val="21"/>
                <w:highlight w:val="none"/>
              </w:rPr>
              <w:t>商务文件组成</w:t>
            </w:r>
          </w:p>
          <w:p w14:paraId="71685D69">
            <w:pPr>
              <w:spacing w:line="380" w:lineRule="exact"/>
              <w:rPr>
                <w:rFonts w:hint="eastAsia" w:ascii="宋体" w:hAnsi="宋体" w:eastAsia="宋体" w:cs="宋体"/>
                <w:color w:val="auto"/>
                <w:szCs w:val="21"/>
                <w:highlight w:val="none"/>
              </w:rPr>
            </w:pPr>
          </w:p>
        </w:tc>
        <w:tc>
          <w:tcPr>
            <w:tcW w:w="7297" w:type="dxa"/>
            <w:vAlign w:val="center"/>
          </w:tcPr>
          <w:p w14:paraId="7D92BB7F">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1、无串通投标行为的承诺函；（</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1A14320E">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2、法定代表人身份证明及法定代表人有效身份证正反面复印件；（</w:t>
            </w:r>
            <w:r>
              <w:rPr>
                <w:rFonts w:hint="eastAsia" w:ascii="宋体" w:hAnsi="宋体" w:eastAsia="宋体" w:cs="宋体"/>
                <w:b/>
                <w:bCs/>
                <w:color w:val="auto"/>
                <w:szCs w:val="21"/>
                <w:highlight w:val="none"/>
              </w:rPr>
              <w:t>除自然人投标外</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07115C6A">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委托时必须提供，否则作无效投标处理</w:t>
            </w:r>
            <w:r>
              <w:rPr>
                <w:rFonts w:hint="eastAsia" w:ascii="宋体" w:hAnsi="宋体" w:eastAsia="宋体" w:cs="宋体"/>
                <w:color w:val="auto"/>
                <w:szCs w:val="21"/>
                <w:highlight w:val="none"/>
              </w:rPr>
              <w:t>）</w:t>
            </w:r>
          </w:p>
          <w:p w14:paraId="488102FB">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4、商务条款偏离表；（</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31D4D722">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5、投标人情况介绍；</w:t>
            </w:r>
          </w:p>
          <w:p w14:paraId="15878C7E">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6、除招标文件规定必须提供以外，投标人认为需要提供的其他证明材料。（投标人根据“第二章 采购需求”及“第四章 评标方法及评标标准”提供有关证明材料）。</w:t>
            </w:r>
          </w:p>
          <w:p w14:paraId="5AEF3923">
            <w:pPr>
              <w:snapToGrid w:val="0"/>
              <w:spacing w:line="38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 1.法定代表人授权委托书必须由法定代表人及委托代理人签字，并加盖投标人公章，否则作无效投标处理。</w:t>
            </w:r>
          </w:p>
          <w:p w14:paraId="2E9926D5">
            <w:pPr>
              <w:snapToGrid w:val="0"/>
              <w:spacing w:line="380" w:lineRule="exact"/>
              <w:ind w:firstLine="422" w:firstLineChars="200"/>
              <w:jc w:val="left"/>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rPr>
              <w:t>以上标明“必须提供”的材料</w:t>
            </w:r>
            <w:r>
              <w:rPr>
                <w:rFonts w:hint="eastAsia" w:ascii="宋体" w:hAnsi="宋体" w:eastAsia="宋体" w:cs="宋体"/>
                <w:b/>
                <w:color w:val="auto"/>
                <w:szCs w:val="21"/>
                <w:highlight w:val="none"/>
              </w:rPr>
              <w:t>属于复印件的扫描件的</w:t>
            </w:r>
            <w:r>
              <w:rPr>
                <w:rFonts w:hint="eastAsia" w:ascii="宋体" w:hAnsi="宋体" w:eastAsia="宋体" w:cs="宋体"/>
                <w:b/>
                <w:bCs/>
                <w:color w:val="auto"/>
                <w:szCs w:val="21"/>
                <w:highlight w:val="none"/>
              </w:rPr>
              <w:t>，必须加盖投标人电子公章，否则</w:t>
            </w:r>
            <w:r>
              <w:rPr>
                <w:rFonts w:hint="eastAsia" w:ascii="宋体" w:hAnsi="宋体" w:eastAsia="宋体" w:cs="宋体"/>
                <w:b/>
                <w:color w:val="auto"/>
                <w:szCs w:val="21"/>
                <w:highlight w:val="none"/>
              </w:rPr>
              <w:t>作无效投标处理</w:t>
            </w:r>
            <w:r>
              <w:rPr>
                <w:rFonts w:hint="eastAsia" w:ascii="宋体" w:hAnsi="宋体" w:eastAsia="宋体" w:cs="宋体"/>
                <w:b/>
                <w:bCs/>
                <w:color w:val="auto"/>
                <w:szCs w:val="21"/>
                <w:highlight w:val="none"/>
              </w:rPr>
              <w:t>。</w:t>
            </w:r>
          </w:p>
        </w:tc>
      </w:tr>
      <w:tr w14:paraId="75774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14:paraId="5C7F0754">
            <w:pPr>
              <w:spacing w:line="380" w:lineRule="exact"/>
              <w:rPr>
                <w:rFonts w:hint="eastAsia" w:ascii="宋体" w:hAnsi="宋体" w:eastAsia="宋体" w:cs="宋体"/>
                <w:color w:val="auto"/>
                <w:szCs w:val="21"/>
                <w:highlight w:val="none"/>
              </w:rPr>
            </w:pPr>
          </w:p>
        </w:tc>
        <w:tc>
          <w:tcPr>
            <w:tcW w:w="2268" w:type="dxa"/>
            <w:vAlign w:val="center"/>
          </w:tcPr>
          <w:p w14:paraId="17981F51">
            <w:pPr>
              <w:snapToGrid w:val="0"/>
              <w:spacing w:line="380" w:lineRule="exact"/>
              <w:jc w:val="left"/>
              <w:rPr>
                <w:rFonts w:hint="eastAsia" w:ascii="宋体" w:hAnsi="宋体" w:eastAsia="宋体" w:cs="宋体"/>
                <w:color w:val="auto"/>
                <w:szCs w:val="21"/>
                <w:highlight w:val="none"/>
              </w:rPr>
            </w:pPr>
            <w:bookmarkStart w:id="70" w:name="_13.4"/>
            <w:bookmarkEnd w:id="70"/>
            <w:r>
              <w:rPr>
                <w:rFonts w:hint="eastAsia" w:ascii="宋体" w:hAnsi="宋体" w:eastAsia="宋体" w:cs="宋体"/>
                <w:color w:val="auto"/>
                <w:szCs w:val="21"/>
                <w:highlight w:val="none"/>
              </w:rPr>
              <w:t>技术文件组成</w:t>
            </w:r>
          </w:p>
          <w:p w14:paraId="3B1346F9">
            <w:pPr>
              <w:spacing w:line="380" w:lineRule="exact"/>
              <w:rPr>
                <w:rFonts w:hint="eastAsia" w:ascii="宋体" w:hAnsi="宋体" w:eastAsia="宋体" w:cs="宋体"/>
                <w:color w:val="auto"/>
                <w:szCs w:val="21"/>
                <w:highlight w:val="none"/>
              </w:rPr>
            </w:pPr>
          </w:p>
        </w:tc>
        <w:tc>
          <w:tcPr>
            <w:tcW w:w="7297" w:type="dxa"/>
            <w:vAlign w:val="center"/>
          </w:tcPr>
          <w:p w14:paraId="22D2B1FE">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highlight w:val="none"/>
                <w:lang w:eastAsia="zh-CN"/>
              </w:rPr>
              <w:t>技术需求偏离表</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69A77EF0">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施工组织设计</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投标人可自行编制格式</w:t>
            </w:r>
            <w:r>
              <w:rPr>
                <w:rFonts w:hint="eastAsia" w:ascii="宋体" w:hAnsi="宋体" w:eastAsia="宋体" w:cs="宋体"/>
                <w:color w:val="auto"/>
                <w:szCs w:val="21"/>
                <w:highlight w:val="none"/>
              </w:rPr>
              <w:t>】；</w:t>
            </w:r>
          </w:p>
          <w:p w14:paraId="66C45FB3">
            <w:pPr>
              <w:snapToGrid w:val="0"/>
              <w:spacing w:line="38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项目管理机构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69924B31">
            <w:pPr>
              <w:snapToGrid w:val="0"/>
              <w:spacing w:line="38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、投标人对本项目的合理化建议和改进措施；</w:t>
            </w:r>
          </w:p>
          <w:p w14:paraId="0149B072">
            <w:pPr>
              <w:snapToGrid w:val="0"/>
              <w:spacing w:line="380" w:lineRule="exact"/>
              <w:jc w:val="left"/>
              <w:rPr>
                <w:rFonts w:hint="eastAsia" w:ascii="宋体" w:hAnsi="宋体" w:eastAsia="宋体" w:cs="宋体"/>
                <w:bCs/>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、除招标文件规定必须提供以外，投标人需要说明的其他文件和说明。</w:t>
            </w:r>
          </w:p>
          <w:p w14:paraId="798D72D7">
            <w:pPr>
              <w:snapToGrid w:val="0"/>
              <w:spacing w:line="38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注：以上标明“必须提供”的材料</w:t>
            </w:r>
            <w:r>
              <w:rPr>
                <w:rFonts w:hint="eastAsia" w:ascii="宋体" w:hAnsi="宋体" w:eastAsia="宋体" w:cs="宋体"/>
                <w:b/>
                <w:color w:val="auto"/>
                <w:szCs w:val="21"/>
                <w:highlight w:val="none"/>
              </w:rPr>
              <w:t>属于复印件的扫描件的</w:t>
            </w:r>
            <w:r>
              <w:rPr>
                <w:rFonts w:hint="eastAsia" w:ascii="宋体" w:hAnsi="宋体" w:eastAsia="宋体" w:cs="宋体"/>
                <w:b/>
                <w:bCs/>
                <w:color w:val="auto"/>
                <w:szCs w:val="21"/>
                <w:highlight w:val="none"/>
              </w:rPr>
              <w:t>，必须加盖投标人电子公章，否则</w:t>
            </w:r>
            <w:r>
              <w:rPr>
                <w:rFonts w:hint="eastAsia" w:ascii="宋体" w:hAnsi="宋体" w:eastAsia="宋体" w:cs="宋体"/>
                <w:b/>
                <w:color w:val="auto"/>
                <w:szCs w:val="21"/>
                <w:highlight w:val="none"/>
              </w:rPr>
              <w:t>作无效投标处理</w:t>
            </w:r>
            <w:r>
              <w:rPr>
                <w:rFonts w:hint="eastAsia" w:ascii="宋体" w:hAnsi="宋体" w:eastAsia="宋体" w:cs="宋体"/>
                <w:b/>
                <w:bCs/>
                <w:color w:val="auto"/>
                <w:szCs w:val="21"/>
                <w:highlight w:val="none"/>
              </w:rPr>
              <w:t>。</w:t>
            </w:r>
          </w:p>
        </w:tc>
      </w:tr>
      <w:tr w14:paraId="5E032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3CFB55C8">
            <w:pPr>
              <w:widowControl/>
              <w:jc w:val="left"/>
              <w:rPr>
                <w:rFonts w:hint="eastAsia" w:ascii="宋体" w:hAnsi="宋体" w:eastAsia="宋体" w:cs="宋体"/>
                <w:color w:val="auto"/>
                <w:szCs w:val="21"/>
                <w:highlight w:val="none"/>
              </w:rPr>
            </w:pPr>
          </w:p>
        </w:tc>
        <w:tc>
          <w:tcPr>
            <w:tcW w:w="2268" w:type="dxa"/>
            <w:vAlign w:val="center"/>
          </w:tcPr>
          <w:p w14:paraId="7D59C3C4">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报价文件组成</w:t>
            </w:r>
          </w:p>
        </w:tc>
        <w:tc>
          <w:tcPr>
            <w:tcW w:w="7297" w:type="dxa"/>
            <w:vAlign w:val="center"/>
          </w:tcPr>
          <w:p w14:paraId="6E93FFBA">
            <w:pPr>
              <w:tabs>
                <w:tab w:val="left" w:pos="459"/>
              </w:tabs>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1、投标函；</w:t>
            </w:r>
            <w:r>
              <w:rPr>
                <w:rFonts w:hint="eastAsia" w:ascii="宋体" w:hAnsi="宋体" w:eastAsia="宋体" w:cs="宋体"/>
                <w:b/>
                <w:color w:val="auto"/>
                <w:szCs w:val="21"/>
                <w:highlight w:val="none"/>
              </w:rPr>
              <w:t>（必须提供，否则作无效投标处理）</w:t>
            </w:r>
          </w:p>
          <w:p w14:paraId="0587D536">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2、开标一览表；（</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37E5341C">
            <w:pPr>
              <w:snapToGrid w:val="0"/>
              <w:spacing w:line="38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rPr>
              <w:t>已标价的工程量清单</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tc>
      </w:tr>
      <w:tr w14:paraId="1C545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AA912BD">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2268" w:type="dxa"/>
            <w:vAlign w:val="center"/>
          </w:tcPr>
          <w:p w14:paraId="1C4EA757">
            <w:pPr>
              <w:spacing w:line="380" w:lineRule="exact"/>
              <w:rPr>
                <w:rFonts w:hint="eastAsia" w:ascii="宋体" w:hAnsi="宋体" w:eastAsia="宋体" w:cs="宋体"/>
                <w:color w:val="auto"/>
                <w:szCs w:val="21"/>
                <w:highlight w:val="none"/>
              </w:rPr>
            </w:pPr>
            <w:bookmarkStart w:id="71" w:name="_16.2"/>
            <w:bookmarkEnd w:id="71"/>
            <w:r>
              <w:rPr>
                <w:rFonts w:hint="eastAsia" w:ascii="宋体" w:hAnsi="宋体" w:eastAsia="宋体" w:cs="宋体"/>
                <w:color w:val="auto"/>
                <w:szCs w:val="21"/>
                <w:highlight w:val="none"/>
              </w:rPr>
              <w:t>投标报价要求</w:t>
            </w:r>
          </w:p>
        </w:tc>
        <w:tc>
          <w:tcPr>
            <w:tcW w:w="7297" w:type="dxa"/>
            <w:vAlign w:val="center"/>
          </w:tcPr>
          <w:p w14:paraId="69215479">
            <w:pPr>
              <w:snapToGrid w:val="0"/>
              <w:spacing w:line="380" w:lineRule="exac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投标报价是履行合同的最终价格，必须包含满足本次投标全部采购需求所应提供的</w:t>
            </w:r>
            <w:r>
              <w:rPr>
                <w:rFonts w:hint="eastAsia" w:ascii="宋体" w:hAnsi="宋体" w:cs="宋体"/>
                <w:color w:val="auto"/>
                <w:szCs w:val="21"/>
                <w:highlight w:val="none"/>
                <w:lang w:val="en-US" w:eastAsia="zh-CN"/>
              </w:rPr>
              <w:t>工程内容</w:t>
            </w:r>
            <w:r>
              <w:rPr>
                <w:rFonts w:hint="eastAsia" w:ascii="宋体" w:hAnsi="宋体" w:eastAsia="宋体" w:cs="宋体"/>
                <w:color w:val="auto"/>
                <w:szCs w:val="21"/>
                <w:highlight w:val="none"/>
              </w:rPr>
              <w:t>，以及伴随的货物和</w:t>
            </w:r>
            <w:r>
              <w:rPr>
                <w:rFonts w:hint="eastAsia" w:ascii="宋体" w:hAnsi="宋体" w:cs="宋体"/>
                <w:color w:val="auto"/>
                <w:szCs w:val="21"/>
                <w:highlight w:val="none"/>
                <w:lang w:val="en-US" w:eastAsia="zh-CN"/>
              </w:rPr>
              <w:t>服务</w:t>
            </w:r>
            <w:r>
              <w:rPr>
                <w:rFonts w:hint="eastAsia" w:ascii="宋体" w:hAnsi="宋体" w:eastAsia="宋体" w:cs="宋体"/>
                <w:color w:val="auto"/>
                <w:szCs w:val="21"/>
                <w:highlight w:val="none"/>
              </w:rPr>
              <w:t>的价格；包含投标服务、货物、工程的成本、运输（含保险）、安装（如有）、调试、检验、技术服务、培训、税费等所有费用。（采购需求另有约定的，从其约定）</w:t>
            </w:r>
          </w:p>
        </w:tc>
      </w:tr>
      <w:tr w14:paraId="190A5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89DFF09">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w:t>
            </w:r>
          </w:p>
        </w:tc>
        <w:tc>
          <w:tcPr>
            <w:tcW w:w="2268" w:type="dxa"/>
            <w:vAlign w:val="center"/>
          </w:tcPr>
          <w:p w14:paraId="653B1DFF">
            <w:pPr>
              <w:spacing w:line="380" w:lineRule="exact"/>
              <w:rPr>
                <w:rFonts w:hint="eastAsia" w:ascii="宋体" w:hAnsi="宋体" w:eastAsia="宋体" w:cs="宋体"/>
                <w:color w:val="auto"/>
                <w:szCs w:val="21"/>
                <w:highlight w:val="none"/>
              </w:rPr>
            </w:pPr>
            <w:bookmarkStart w:id="72" w:name="_17.1"/>
            <w:bookmarkEnd w:id="72"/>
            <w:r>
              <w:rPr>
                <w:rFonts w:hint="eastAsia" w:ascii="宋体" w:hAnsi="宋体" w:eastAsia="宋体" w:cs="宋体"/>
                <w:color w:val="auto"/>
                <w:szCs w:val="21"/>
                <w:highlight w:val="none"/>
              </w:rPr>
              <w:t>投标有效期</w:t>
            </w:r>
          </w:p>
        </w:tc>
        <w:tc>
          <w:tcPr>
            <w:tcW w:w="7297" w:type="dxa"/>
            <w:vAlign w:val="center"/>
          </w:tcPr>
          <w:p w14:paraId="29B3D294">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自投标截止之日起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90 </w:t>
            </w:r>
            <w:r>
              <w:rPr>
                <w:rFonts w:hint="eastAsia" w:ascii="宋体" w:hAnsi="宋体" w:eastAsia="宋体" w:cs="宋体"/>
                <w:color w:val="auto"/>
                <w:szCs w:val="21"/>
                <w:highlight w:val="none"/>
              </w:rPr>
              <w:t>日。</w:t>
            </w:r>
          </w:p>
        </w:tc>
      </w:tr>
      <w:tr w14:paraId="03FF7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D0389C7">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2268" w:type="dxa"/>
            <w:vAlign w:val="center"/>
          </w:tcPr>
          <w:p w14:paraId="7BF880C1">
            <w:pPr>
              <w:spacing w:line="380" w:lineRule="exact"/>
              <w:rPr>
                <w:rFonts w:hint="eastAsia" w:ascii="宋体" w:hAnsi="宋体" w:eastAsia="宋体" w:cs="宋体"/>
                <w:color w:val="auto"/>
                <w:szCs w:val="21"/>
                <w:highlight w:val="none"/>
              </w:rPr>
            </w:pPr>
            <w:bookmarkStart w:id="73" w:name="_18"/>
            <w:bookmarkEnd w:id="73"/>
            <w:r>
              <w:rPr>
                <w:rFonts w:hint="eastAsia" w:ascii="宋体" w:hAnsi="宋体" w:eastAsia="宋体" w:cs="宋体"/>
                <w:color w:val="auto"/>
                <w:szCs w:val="21"/>
                <w:highlight w:val="none"/>
              </w:rPr>
              <w:t>投标保证金金额</w:t>
            </w:r>
          </w:p>
        </w:tc>
        <w:tc>
          <w:tcPr>
            <w:tcW w:w="7297" w:type="dxa"/>
            <w:vAlign w:val="center"/>
          </w:tcPr>
          <w:p w14:paraId="5EB72F8A">
            <w:pPr>
              <w:autoSpaceDE w:val="0"/>
              <w:autoSpaceDN w:val="0"/>
              <w:snapToGrid w:val="0"/>
              <w:spacing w:line="38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本项目不收取投标保证金。</w:t>
            </w:r>
          </w:p>
        </w:tc>
      </w:tr>
      <w:tr w14:paraId="39A5B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0D8429F">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w:t>
            </w:r>
          </w:p>
        </w:tc>
        <w:tc>
          <w:tcPr>
            <w:tcW w:w="2268" w:type="dxa"/>
            <w:vAlign w:val="center"/>
          </w:tcPr>
          <w:p w14:paraId="1A3083B8">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投标文件编制要求</w:t>
            </w:r>
          </w:p>
        </w:tc>
        <w:tc>
          <w:tcPr>
            <w:tcW w:w="7297" w:type="dxa"/>
            <w:vAlign w:val="center"/>
          </w:tcPr>
          <w:p w14:paraId="0051F395">
            <w:pPr>
              <w:spacing w:line="360" w:lineRule="auto"/>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投标文件应按报价文件、资格证明文件、商务文件、技术文件分别编制，报价文件、资格证明文件分别生产电子文件，商务文件和技术文件按顺序合并生成电子文件。</w:t>
            </w:r>
            <w:r>
              <w:rPr>
                <w:rFonts w:hint="eastAsia" w:ascii="宋体" w:hAnsi="宋体" w:eastAsia="宋体" w:cs="宋体"/>
                <w:b/>
                <w:color w:val="auto"/>
                <w:szCs w:val="21"/>
                <w:highlight w:val="none"/>
                <w:u w:val="single"/>
              </w:rPr>
              <w:t>电子版投标文件制作方式见招标公告附件。</w:t>
            </w:r>
          </w:p>
          <w:p w14:paraId="49D1635A">
            <w:pPr>
              <w:spacing w:line="360" w:lineRule="auto"/>
              <w:rPr>
                <w:rFonts w:hint="eastAsia" w:ascii="宋体" w:hAnsi="宋体" w:eastAsia="宋体" w:cs="Times New Roman"/>
                <w:b/>
                <w:color w:val="auto"/>
                <w:szCs w:val="21"/>
                <w:highlight w:val="none"/>
                <w:u w:val="single"/>
              </w:rPr>
            </w:pPr>
            <w:r>
              <w:rPr>
                <w:rFonts w:hint="eastAsia" w:ascii="宋体" w:hAnsi="宋体" w:eastAsia="宋体" w:cs="Times New Roman"/>
                <w:b/>
                <w:color w:val="auto"/>
                <w:szCs w:val="21"/>
                <w:highlight w:val="none"/>
                <w:u w:val="single"/>
              </w:rPr>
              <w:t>特别说明：因项目存档需要，须按以下要求提供纸质</w:t>
            </w:r>
            <w:r>
              <w:rPr>
                <w:rFonts w:hint="eastAsia" w:ascii="宋体" w:hAnsi="宋体" w:eastAsia="宋体" w:cs="Times New Roman"/>
                <w:b/>
                <w:color w:val="auto"/>
                <w:szCs w:val="21"/>
                <w:highlight w:val="none"/>
                <w:u w:val="single"/>
                <w:lang w:eastAsia="zh-CN"/>
              </w:rPr>
              <w:t>投</w:t>
            </w:r>
            <w:r>
              <w:rPr>
                <w:rFonts w:hint="eastAsia" w:ascii="宋体" w:hAnsi="宋体" w:eastAsia="宋体" w:cs="Times New Roman"/>
                <w:b/>
                <w:color w:val="auto"/>
                <w:szCs w:val="21"/>
                <w:highlight w:val="none"/>
                <w:u w:val="single"/>
              </w:rPr>
              <w:t>标文件：（1）</w:t>
            </w:r>
            <w:r>
              <w:rPr>
                <w:rFonts w:hint="eastAsia" w:ascii="宋体" w:hAnsi="宋体" w:eastAsia="宋体" w:cs="Times New Roman"/>
                <w:b/>
                <w:color w:val="auto"/>
                <w:szCs w:val="21"/>
                <w:highlight w:val="none"/>
                <w:u w:val="single"/>
                <w:lang w:eastAsia="zh-CN"/>
              </w:rPr>
              <w:t>中标</w:t>
            </w:r>
            <w:r>
              <w:rPr>
                <w:rFonts w:hint="eastAsia" w:ascii="宋体" w:hAnsi="宋体" w:eastAsia="宋体" w:cs="Times New Roman"/>
                <w:b/>
                <w:color w:val="auto"/>
                <w:szCs w:val="21"/>
                <w:highlight w:val="none"/>
                <w:u w:val="single"/>
              </w:rPr>
              <w:t>供应商在</w:t>
            </w:r>
            <w:r>
              <w:rPr>
                <w:rFonts w:hint="eastAsia" w:ascii="宋体" w:hAnsi="宋体" w:eastAsia="宋体" w:cs="Times New Roman"/>
                <w:b/>
                <w:color w:val="auto"/>
                <w:szCs w:val="21"/>
                <w:highlight w:val="none"/>
                <w:u w:val="single"/>
                <w:lang w:eastAsia="zh-CN"/>
              </w:rPr>
              <w:t>中标</w:t>
            </w:r>
            <w:r>
              <w:rPr>
                <w:rFonts w:hint="eastAsia" w:ascii="宋体" w:hAnsi="宋体" w:eastAsia="宋体" w:cs="Times New Roman"/>
                <w:b/>
                <w:color w:val="auto"/>
                <w:szCs w:val="21"/>
                <w:highlight w:val="none"/>
                <w:u w:val="single"/>
              </w:rPr>
              <w:t>通知书发出后5天内须提交</w:t>
            </w:r>
            <w:r>
              <w:rPr>
                <w:rFonts w:hint="eastAsia" w:ascii="宋体" w:hAnsi="宋体" w:eastAsia="宋体" w:cs="Times New Roman"/>
                <w:b/>
                <w:color w:val="auto"/>
                <w:szCs w:val="21"/>
                <w:highlight w:val="none"/>
                <w:u w:val="single"/>
                <w:lang w:val="en-US" w:eastAsia="zh-CN"/>
              </w:rPr>
              <w:t>3</w:t>
            </w:r>
            <w:r>
              <w:rPr>
                <w:rFonts w:hint="eastAsia" w:ascii="宋体" w:hAnsi="宋体" w:eastAsia="宋体" w:cs="Times New Roman"/>
                <w:b/>
                <w:color w:val="auto"/>
                <w:szCs w:val="21"/>
                <w:highlight w:val="none"/>
                <w:u w:val="single"/>
              </w:rPr>
              <w:t>套纸质版</w:t>
            </w:r>
            <w:r>
              <w:rPr>
                <w:rFonts w:hint="eastAsia" w:ascii="宋体" w:hAnsi="宋体" w:eastAsia="宋体" w:cs="Times New Roman"/>
                <w:b/>
                <w:color w:val="auto"/>
                <w:szCs w:val="21"/>
                <w:highlight w:val="none"/>
                <w:u w:val="single"/>
                <w:lang w:eastAsia="zh-CN"/>
              </w:rPr>
              <w:t>投标</w:t>
            </w:r>
            <w:r>
              <w:rPr>
                <w:rFonts w:hint="eastAsia" w:ascii="宋体" w:hAnsi="宋体" w:eastAsia="宋体" w:cs="Times New Roman"/>
                <w:b/>
                <w:color w:val="auto"/>
                <w:szCs w:val="21"/>
                <w:highlight w:val="none"/>
                <w:u w:val="single"/>
              </w:rPr>
              <w:t>文件（含报价文件、资格证明文件、商务</w:t>
            </w:r>
            <w:r>
              <w:rPr>
                <w:rFonts w:hint="eastAsia" w:ascii="宋体" w:hAnsi="宋体" w:eastAsia="宋体" w:cs="Times New Roman"/>
                <w:b/>
                <w:color w:val="auto"/>
                <w:szCs w:val="21"/>
                <w:highlight w:val="none"/>
                <w:u w:val="single"/>
                <w:lang w:val="en-US" w:eastAsia="zh-CN"/>
              </w:rPr>
              <w:t>文件、</w:t>
            </w:r>
            <w:r>
              <w:rPr>
                <w:rFonts w:hint="eastAsia" w:ascii="宋体" w:hAnsi="宋体" w:eastAsia="宋体" w:cs="Times New Roman"/>
                <w:b/>
                <w:color w:val="auto"/>
                <w:szCs w:val="21"/>
                <w:highlight w:val="none"/>
                <w:u w:val="single"/>
              </w:rPr>
              <w:t>技术文件，合并装订成一本用各自的封面隔开。按要求加盖公章）右上角注明“正/副本”给采购代理机构，壹正</w:t>
            </w:r>
            <w:r>
              <w:rPr>
                <w:rFonts w:hint="eastAsia" w:ascii="宋体" w:hAnsi="宋体" w:eastAsia="宋体" w:cs="Times New Roman"/>
                <w:b/>
                <w:color w:val="auto"/>
                <w:szCs w:val="21"/>
                <w:highlight w:val="none"/>
                <w:u w:val="single"/>
                <w:lang w:eastAsia="zh-CN"/>
              </w:rPr>
              <w:t>贰</w:t>
            </w:r>
            <w:r>
              <w:rPr>
                <w:rFonts w:hint="eastAsia" w:ascii="宋体" w:hAnsi="宋体" w:eastAsia="宋体" w:cs="Times New Roman"/>
                <w:b/>
                <w:color w:val="auto"/>
                <w:szCs w:val="21"/>
                <w:highlight w:val="none"/>
                <w:u w:val="single"/>
              </w:rPr>
              <w:t>副。</w:t>
            </w:r>
          </w:p>
          <w:p w14:paraId="477A3DA8">
            <w:pPr>
              <w:pStyle w:val="2"/>
              <w:rPr>
                <w:rFonts w:hint="eastAsia"/>
                <w:color w:val="auto"/>
                <w:highlight w:val="none"/>
              </w:rPr>
            </w:pPr>
            <w:r>
              <w:rPr>
                <w:rFonts w:hint="eastAsia" w:ascii="宋体" w:hAnsi="宋体" w:eastAsia="宋体" w:cs="Times New Roman"/>
                <w:b/>
                <w:color w:val="auto"/>
                <w:szCs w:val="21"/>
                <w:highlight w:val="none"/>
                <w:u w:val="single"/>
              </w:rPr>
              <w:t>提交的纸质版</w:t>
            </w:r>
            <w:r>
              <w:rPr>
                <w:rFonts w:hint="eastAsia" w:ascii="宋体" w:hAnsi="宋体" w:eastAsia="宋体" w:cs="Times New Roman"/>
                <w:b/>
                <w:color w:val="auto"/>
                <w:szCs w:val="21"/>
                <w:highlight w:val="none"/>
                <w:u w:val="single"/>
                <w:lang w:eastAsia="zh-CN"/>
              </w:rPr>
              <w:t>投标</w:t>
            </w:r>
            <w:r>
              <w:rPr>
                <w:rFonts w:hint="eastAsia" w:ascii="宋体" w:hAnsi="宋体" w:eastAsia="宋体" w:cs="Times New Roman"/>
                <w:b/>
                <w:color w:val="auto"/>
                <w:szCs w:val="21"/>
                <w:highlight w:val="none"/>
                <w:u w:val="single"/>
              </w:rPr>
              <w:t>文件文本必须与其上传的电子</w:t>
            </w:r>
            <w:r>
              <w:rPr>
                <w:rFonts w:hint="eastAsia" w:ascii="宋体" w:hAnsi="宋体" w:eastAsia="宋体" w:cs="Times New Roman"/>
                <w:b/>
                <w:color w:val="auto"/>
                <w:szCs w:val="21"/>
                <w:highlight w:val="none"/>
                <w:u w:val="single"/>
                <w:lang w:eastAsia="zh-CN"/>
              </w:rPr>
              <w:t>投标</w:t>
            </w:r>
            <w:r>
              <w:rPr>
                <w:rFonts w:hint="eastAsia" w:ascii="宋体" w:hAnsi="宋体" w:eastAsia="宋体" w:cs="Times New Roman"/>
                <w:b/>
                <w:color w:val="auto"/>
                <w:szCs w:val="21"/>
                <w:highlight w:val="none"/>
                <w:u w:val="single"/>
              </w:rPr>
              <w:t>文件内容一致，不允许有篡改。如项目验收时因所提供的纸质</w:t>
            </w:r>
            <w:r>
              <w:rPr>
                <w:rFonts w:hint="eastAsia" w:ascii="宋体" w:hAnsi="宋体" w:eastAsia="宋体" w:cs="Times New Roman"/>
                <w:b/>
                <w:color w:val="auto"/>
                <w:szCs w:val="21"/>
                <w:highlight w:val="none"/>
                <w:u w:val="single"/>
                <w:lang w:eastAsia="zh-CN"/>
              </w:rPr>
              <w:t>投标</w:t>
            </w:r>
            <w:r>
              <w:rPr>
                <w:rFonts w:hint="eastAsia" w:ascii="宋体" w:hAnsi="宋体" w:eastAsia="宋体" w:cs="Times New Roman"/>
                <w:b/>
                <w:color w:val="auto"/>
                <w:szCs w:val="21"/>
                <w:highlight w:val="none"/>
                <w:u w:val="single"/>
              </w:rPr>
              <w:t>文件与评审的</w:t>
            </w:r>
            <w:r>
              <w:rPr>
                <w:rFonts w:hint="eastAsia" w:ascii="宋体" w:hAnsi="宋体" w:eastAsia="宋体" w:cs="Times New Roman"/>
                <w:b/>
                <w:color w:val="auto"/>
                <w:szCs w:val="21"/>
                <w:highlight w:val="none"/>
                <w:u w:val="single"/>
                <w:lang w:eastAsia="zh-CN"/>
              </w:rPr>
              <w:t>投标</w:t>
            </w:r>
            <w:r>
              <w:rPr>
                <w:rFonts w:hint="eastAsia" w:ascii="宋体" w:hAnsi="宋体" w:eastAsia="宋体" w:cs="Times New Roman"/>
                <w:b/>
                <w:color w:val="auto"/>
                <w:szCs w:val="21"/>
                <w:highlight w:val="none"/>
                <w:u w:val="single"/>
              </w:rPr>
              <w:t>文件不一致造成纠纷时，所有责任由</w:t>
            </w:r>
            <w:r>
              <w:rPr>
                <w:rFonts w:hint="eastAsia" w:ascii="宋体" w:hAnsi="宋体" w:eastAsia="宋体" w:cs="Times New Roman"/>
                <w:b/>
                <w:color w:val="auto"/>
                <w:szCs w:val="21"/>
                <w:highlight w:val="none"/>
                <w:u w:val="single"/>
                <w:lang w:eastAsia="zh-CN"/>
              </w:rPr>
              <w:t>中标</w:t>
            </w:r>
            <w:r>
              <w:rPr>
                <w:rFonts w:hint="eastAsia" w:ascii="宋体" w:hAnsi="宋体" w:eastAsia="宋体" w:cs="Times New Roman"/>
                <w:b/>
                <w:color w:val="auto"/>
                <w:szCs w:val="21"/>
                <w:highlight w:val="none"/>
                <w:u w:val="single"/>
              </w:rPr>
              <w:t>供应商承担。</w:t>
            </w:r>
          </w:p>
        </w:tc>
      </w:tr>
      <w:tr w14:paraId="1310A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37982EF">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2268" w:type="dxa"/>
            <w:vAlign w:val="center"/>
          </w:tcPr>
          <w:p w14:paraId="735D4B33">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备份投标文件</w:t>
            </w:r>
          </w:p>
        </w:tc>
        <w:tc>
          <w:tcPr>
            <w:tcW w:w="7297" w:type="dxa"/>
            <w:vAlign w:val="center"/>
          </w:tcPr>
          <w:p w14:paraId="48560454">
            <w:pPr>
              <w:autoSpaceDE w:val="0"/>
              <w:autoSpaceDN w:val="0"/>
              <w:snapToGrid w:val="0"/>
              <w:spacing w:line="38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本项目不接受备份投标文件。</w:t>
            </w:r>
          </w:p>
        </w:tc>
      </w:tr>
      <w:tr w14:paraId="4B05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restart"/>
            <w:vAlign w:val="center"/>
          </w:tcPr>
          <w:p w14:paraId="4BD5E591">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w:t>
            </w:r>
          </w:p>
        </w:tc>
        <w:tc>
          <w:tcPr>
            <w:tcW w:w="2268" w:type="dxa"/>
            <w:vAlign w:val="center"/>
          </w:tcPr>
          <w:p w14:paraId="53309566">
            <w:pPr>
              <w:spacing w:line="380" w:lineRule="exact"/>
              <w:rPr>
                <w:rFonts w:hint="eastAsia" w:ascii="宋体" w:hAnsi="宋体" w:eastAsia="宋体" w:cs="宋体"/>
                <w:color w:val="auto"/>
                <w:szCs w:val="21"/>
                <w:highlight w:val="none"/>
              </w:rPr>
            </w:pPr>
            <w:bookmarkStart w:id="74" w:name="_21.1"/>
            <w:bookmarkEnd w:id="74"/>
            <w:r>
              <w:rPr>
                <w:rFonts w:hint="eastAsia" w:ascii="宋体" w:hAnsi="宋体" w:eastAsia="宋体" w:cs="宋体"/>
                <w:color w:val="auto"/>
                <w:szCs w:val="21"/>
                <w:highlight w:val="none"/>
              </w:rPr>
              <w:t>投标截止时间</w:t>
            </w:r>
          </w:p>
        </w:tc>
        <w:tc>
          <w:tcPr>
            <w:tcW w:w="7297" w:type="dxa"/>
            <w:vAlign w:val="center"/>
          </w:tcPr>
          <w:p w14:paraId="4EEEE05A">
            <w:pPr>
              <w:snapToGrid w:val="0"/>
              <w:spacing w:line="38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详见招标公告</w:t>
            </w:r>
          </w:p>
        </w:tc>
      </w:tr>
      <w:tr w14:paraId="7C74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vMerge w:val="continue"/>
            <w:vAlign w:val="center"/>
          </w:tcPr>
          <w:p w14:paraId="55239365">
            <w:pPr>
              <w:widowControl/>
              <w:jc w:val="left"/>
              <w:rPr>
                <w:rFonts w:hint="eastAsia" w:ascii="宋体" w:hAnsi="宋体" w:eastAsia="宋体" w:cs="宋体"/>
                <w:color w:val="auto"/>
                <w:szCs w:val="21"/>
                <w:highlight w:val="none"/>
              </w:rPr>
            </w:pPr>
          </w:p>
        </w:tc>
        <w:tc>
          <w:tcPr>
            <w:tcW w:w="2268" w:type="dxa"/>
            <w:vAlign w:val="center"/>
          </w:tcPr>
          <w:p w14:paraId="0519D805">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投标文件提交起止时间</w:t>
            </w:r>
          </w:p>
        </w:tc>
        <w:tc>
          <w:tcPr>
            <w:tcW w:w="7297" w:type="dxa"/>
            <w:vAlign w:val="center"/>
          </w:tcPr>
          <w:p w14:paraId="43BABB3C">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详见招标公告</w:t>
            </w:r>
          </w:p>
        </w:tc>
      </w:tr>
      <w:tr w14:paraId="6E08A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vMerge w:val="continue"/>
            <w:vAlign w:val="center"/>
          </w:tcPr>
          <w:p w14:paraId="0BD2889D">
            <w:pPr>
              <w:widowControl/>
              <w:jc w:val="left"/>
              <w:rPr>
                <w:rFonts w:hint="eastAsia" w:ascii="宋体" w:hAnsi="宋体" w:eastAsia="宋体" w:cs="宋体"/>
                <w:color w:val="auto"/>
                <w:szCs w:val="21"/>
                <w:highlight w:val="none"/>
              </w:rPr>
            </w:pPr>
          </w:p>
        </w:tc>
        <w:tc>
          <w:tcPr>
            <w:tcW w:w="2268" w:type="dxa"/>
            <w:vAlign w:val="center"/>
          </w:tcPr>
          <w:p w14:paraId="53D45431">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投标地点</w:t>
            </w:r>
          </w:p>
        </w:tc>
        <w:tc>
          <w:tcPr>
            <w:tcW w:w="7297" w:type="dxa"/>
            <w:vAlign w:val="center"/>
          </w:tcPr>
          <w:p w14:paraId="632B5E9F">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详见招标公告</w:t>
            </w:r>
          </w:p>
        </w:tc>
      </w:tr>
      <w:tr w14:paraId="0892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vMerge w:val="continue"/>
            <w:vAlign w:val="center"/>
          </w:tcPr>
          <w:p w14:paraId="4C6F08BE">
            <w:pPr>
              <w:widowControl/>
              <w:jc w:val="left"/>
              <w:rPr>
                <w:rFonts w:hint="eastAsia" w:ascii="宋体" w:hAnsi="宋体" w:eastAsia="宋体" w:cs="宋体"/>
                <w:color w:val="auto"/>
                <w:szCs w:val="21"/>
                <w:highlight w:val="none"/>
              </w:rPr>
            </w:pPr>
          </w:p>
        </w:tc>
        <w:tc>
          <w:tcPr>
            <w:tcW w:w="2268" w:type="dxa"/>
            <w:vAlign w:val="center"/>
          </w:tcPr>
          <w:p w14:paraId="7A0F6271">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投标人递交投标样品截止时间及地点</w:t>
            </w:r>
          </w:p>
        </w:tc>
        <w:tc>
          <w:tcPr>
            <w:tcW w:w="7297" w:type="dxa"/>
            <w:vAlign w:val="center"/>
          </w:tcPr>
          <w:p w14:paraId="22213D6B">
            <w:pPr>
              <w:snapToGrid w:val="0"/>
              <w:spacing w:line="38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时间：</w:t>
            </w:r>
            <w:r>
              <w:rPr>
                <w:rFonts w:hint="eastAsia" w:ascii="宋体" w:hAnsi="宋体" w:eastAsia="宋体" w:cs="宋体"/>
                <w:bCs/>
                <w:color w:val="auto"/>
                <w:szCs w:val="21"/>
                <w:highlight w:val="none"/>
                <w:u w:val="single"/>
              </w:rPr>
              <w:t xml:space="preserve">    年  月  日    时    分</w:t>
            </w:r>
            <w:r>
              <w:rPr>
                <w:rFonts w:hint="eastAsia" w:ascii="宋体" w:hAnsi="宋体" w:eastAsia="宋体" w:cs="宋体"/>
                <w:bCs/>
                <w:color w:val="auto"/>
                <w:szCs w:val="21"/>
                <w:highlight w:val="none"/>
              </w:rPr>
              <w:t>（北京时间）</w:t>
            </w:r>
          </w:p>
          <w:p w14:paraId="52CA9B16">
            <w:pPr>
              <w:snapToGrid w:val="0"/>
              <w:spacing w:line="380" w:lineRule="exac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地点：</w:t>
            </w:r>
            <w:r>
              <w:rPr>
                <w:rFonts w:hint="eastAsia" w:ascii="宋体" w:hAnsi="宋体" w:eastAsia="宋体" w:cs="宋体"/>
                <w:bCs/>
                <w:color w:val="auto"/>
                <w:szCs w:val="21"/>
                <w:highlight w:val="none"/>
                <w:u w:val="single"/>
              </w:rPr>
              <w:t xml:space="preserve">                                </w:t>
            </w:r>
          </w:p>
        </w:tc>
      </w:tr>
      <w:tr w14:paraId="6A78E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86A2A42">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2268" w:type="dxa"/>
            <w:vAlign w:val="center"/>
          </w:tcPr>
          <w:p w14:paraId="336110F5">
            <w:pPr>
              <w:spacing w:line="380" w:lineRule="exact"/>
              <w:rPr>
                <w:rFonts w:hint="eastAsia" w:ascii="宋体" w:hAnsi="宋体" w:eastAsia="宋体" w:cs="宋体"/>
                <w:color w:val="auto"/>
                <w:szCs w:val="21"/>
                <w:highlight w:val="none"/>
              </w:rPr>
            </w:pPr>
            <w:bookmarkStart w:id="75" w:name="_23"/>
            <w:bookmarkEnd w:id="75"/>
            <w:r>
              <w:rPr>
                <w:rFonts w:hint="eastAsia" w:ascii="宋体" w:hAnsi="宋体" w:eastAsia="宋体" w:cs="宋体"/>
                <w:color w:val="auto"/>
                <w:szCs w:val="21"/>
                <w:highlight w:val="none"/>
              </w:rPr>
              <w:t>开标时间、地点</w:t>
            </w:r>
          </w:p>
        </w:tc>
        <w:tc>
          <w:tcPr>
            <w:tcW w:w="7297" w:type="dxa"/>
            <w:vAlign w:val="center"/>
          </w:tcPr>
          <w:p w14:paraId="7BADF84E">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详见招标公告 </w:t>
            </w:r>
          </w:p>
        </w:tc>
      </w:tr>
      <w:tr w14:paraId="744C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675" w:type="dxa"/>
            <w:vMerge w:val="restart"/>
            <w:vAlign w:val="center"/>
          </w:tcPr>
          <w:p w14:paraId="7ECF7F92">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25.3（2）</w:t>
            </w:r>
          </w:p>
        </w:tc>
        <w:tc>
          <w:tcPr>
            <w:tcW w:w="2268" w:type="dxa"/>
            <w:vAlign w:val="center"/>
          </w:tcPr>
          <w:p w14:paraId="532E0037">
            <w:pPr>
              <w:spacing w:line="380" w:lineRule="exact"/>
              <w:rPr>
                <w:rFonts w:hint="eastAsia" w:ascii="宋体" w:hAnsi="宋体" w:eastAsia="宋体" w:cs="宋体"/>
                <w:color w:val="auto"/>
                <w:szCs w:val="21"/>
                <w:highlight w:val="none"/>
              </w:rPr>
            </w:pPr>
            <w:bookmarkStart w:id="76" w:name="_25.3"/>
            <w:bookmarkEnd w:id="76"/>
            <w:r>
              <w:rPr>
                <w:rFonts w:hint="eastAsia" w:ascii="宋体" w:hAnsi="宋体" w:eastAsia="宋体" w:cs="宋体"/>
                <w:color w:val="auto"/>
                <w:szCs w:val="21"/>
                <w:highlight w:val="none"/>
              </w:rPr>
              <w:t>投标人信用查询渠道</w:t>
            </w:r>
          </w:p>
        </w:tc>
        <w:tc>
          <w:tcPr>
            <w:tcW w:w="7297" w:type="dxa"/>
            <w:vAlign w:val="center"/>
          </w:tcPr>
          <w:p w14:paraId="313D1C5C">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采购人或者采购代理机构在资格审查结束前，对投标人进行信用查询。</w:t>
            </w:r>
          </w:p>
          <w:p w14:paraId="1A796A96">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查询渠道：“信用中国”网站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tc>
      </w:tr>
      <w:tr w14:paraId="529B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vAlign w:val="center"/>
          </w:tcPr>
          <w:p w14:paraId="6DB54A6A">
            <w:pPr>
              <w:widowControl/>
              <w:jc w:val="left"/>
              <w:rPr>
                <w:rFonts w:hint="eastAsia" w:ascii="宋体" w:hAnsi="宋体" w:eastAsia="宋体" w:cs="宋体"/>
                <w:color w:val="auto"/>
                <w:szCs w:val="21"/>
                <w:highlight w:val="none"/>
              </w:rPr>
            </w:pPr>
          </w:p>
        </w:tc>
        <w:tc>
          <w:tcPr>
            <w:tcW w:w="2268" w:type="dxa"/>
            <w:vAlign w:val="center"/>
          </w:tcPr>
          <w:p w14:paraId="6DC57516">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信用查询截止时点</w:t>
            </w:r>
          </w:p>
        </w:tc>
        <w:tc>
          <w:tcPr>
            <w:tcW w:w="7297" w:type="dxa"/>
            <w:vAlign w:val="center"/>
          </w:tcPr>
          <w:p w14:paraId="18C5856B">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资格审查结束前</w:t>
            </w:r>
          </w:p>
        </w:tc>
      </w:tr>
      <w:tr w14:paraId="366E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75" w:type="dxa"/>
            <w:vMerge w:val="continue"/>
            <w:vAlign w:val="center"/>
          </w:tcPr>
          <w:p w14:paraId="4636B33E">
            <w:pPr>
              <w:widowControl/>
              <w:jc w:val="left"/>
              <w:rPr>
                <w:rFonts w:hint="eastAsia" w:ascii="宋体" w:hAnsi="宋体" w:eastAsia="宋体" w:cs="宋体"/>
                <w:color w:val="auto"/>
                <w:szCs w:val="21"/>
                <w:highlight w:val="none"/>
              </w:rPr>
            </w:pPr>
          </w:p>
        </w:tc>
        <w:tc>
          <w:tcPr>
            <w:tcW w:w="2268" w:type="dxa"/>
            <w:vAlign w:val="center"/>
          </w:tcPr>
          <w:p w14:paraId="45B43BAB">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w:t>
            </w:r>
          </w:p>
        </w:tc>
        <w:tc>
          <w:tcPr>
            <w:tcW w:w="7297" w:type="dxa"/>
            <w:vAlign w:val="center"/>
          </w:tcPr>
          <w:p w14:paraId="65DA5002">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在查询网站中直接截图查询记录，截图作为在</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作为附件上传保存。</w:t>
            </w:r>
          </w:p>
        </w:tc>
      </w:tr>
      <w:tr w14:paraId="47BDD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75" w:type="dxa"/>
            <w:vMerge w:val="continue"/>
            <w:vAlign w:val="center"/>
          </w:tcPr>
          <w:p w14:paraId="476ED714">
            <w:pPr>
              <w:widowControl/>
              <w:jc w:val="left"/>
              <w:rPr>
                <w:rFonts w:hint="eastAsia" w:ascii="宋体" w:hAnsi="宋体" w:eastAsia="宋体" w:cs="宋体"/>
                <w:color w:val="auto"/>
                <w:szCs w:val="21"/>
                <w:highlight w:val="none"/>
              </w:rPr>
            </w:pPr>
          </w:p>
        </w:tc>
        <w:tc>
          <w:tcPr>
            <w:tcW w:w="2268" w:type="dxa"/>
            <w:vAlign w:val="center"/>
          </w:tcPr>
          <w:p w14:paraId="1C426EC3">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信用信息使用规则</w:t>
            </w:r>
          </w:p>
        </w:tc>
        <w:tc>
          <w:tcPr>
            <w:tcW w:w="7297" w:type="dxa"/>
            <w:vAlign w:val="center"/>
          </w:tcPr>
          <w:p w14:paraId="563427E0">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对在“信用中国”网站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被列入失信被执行人、重大税收违法案件当事人名单、政府采购严重违法失信行为记录名单及其他不符合《中华人民共和国政府采购法》第二十二条规定条件的供应商，采购人或者采购代理机构</w:t>
            </w:r>
            <w:r>
              <w:rPr>
                <w:rFonts w:hint="eastAsia" w:ascii="宋体" w:hAnsi="宋体" w:eastAsia="宋体" w:cs="宋体"/>
                <w:color w:val="auto"/>
                <w:sz w:val="22"/>
                <w:szCs w:val="22"/>
                <w:highlight w:val="none"/>
              </w:rPr>
              <w:t>应当拒绝其参与政府采购活动</w:t>
            </w:r>
            <w:r>
              <w:rPr>
                <w:rFonts w:hint="eastAsia" w:ascii="宋体" w:hAnsi="宋体" w:eastAsia="宋体" w:cs="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4FE3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C3066AA">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w:t>
            </w:r>
          </w:p>
        </w:tc>
        <w:tc>
          <w:tcPr>
            <w:tcW w:w="2268" w:type="dxa"/>
            <w:vAlign w:val="center"/>
          </w:tcPr>
          <w:p w14:paraId="6E3B52BC">
            <w:pPr>
              <w:spacing w:line="380" w:lineRule="exact"/>
              <w:rPr>
                <w:rFonts w:hint="eastAsia" w:ascii="宋体" w:hAnsi="宋体" w:eastAsia="宋体" w:cs="宋体"/>
                <w:color w:val="auto"/>
                <w:szCs w:val="21"/>
                <w:highlight w:val="none"/>
              </w:rPr>
            </w:pPr>
            <w:bookmarkStart w:id="77" w:name="_28.3"/>
            <w:bookmarkEnd w:id="77"/>
            <w:bookmarkStart w:id="78" w:name="_26"/>
            <w:bookmarkEnd w:id="78"/>
            <w:r>
              <w:rPr>
                <w:rFonts w:hint="eastAsia" w:ascii="宋体" w:hAnsi="宋体" w:eastAsia="宋体" w:cs="宋体"/>
                <w:color w:val="auto"/>
                <w:szCs w:val="21"/>
                <w:highlight w:val="none"/>
              </w:rPr>
              <w:t>评标方法</w:t>
            </w:r>
          </w:p>
        </w:tc>
        <w:tc>
          <w:tcPr>
            <w:tcW w:w="7297" w:type="dxa"/>
            <w:vAlign w:val="center"/>
          </w:tcPr>
          <w:p w14:paraId="266515E1">
            <w:pPr>
              <w:autoSpaceDE w:val="0"/>
              <w:autoSpaceDN w:val="0"/>
              <w:snapToGrid w:val="0"/>
              <w:spacing w:line="38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综合评分法</w:t>
            </w:r>
          </w:p>
          <w:p w14:paraId="55D1B2F2">
            <w:pPr>
              <w:autoSpaceDE w:val="0"/>
              <w:autoSpaceDN w:val="0"/>
              <w:snapToGrid w:val="0"/>
              <w:spacing w:line="38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□最低评标价法</w:t>
            </w:r>
          </w:p>
        </w:tc>
      </w:tr>
      <w:tr w14:paraId="6DF2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75" w:type="dxa"/>
            <w:vAlign w:val="center"/>
          </w:tcPr>
          <w:p w14:paraId="18112F8E">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w:t>
            </w:r>
          </w:p>
        </w:tc>
        <w:tc>
          <w:tcPr>
            <w:tcW w:w="2268" w:type="dxa"/>
            <w:vAlign w:val="center"/>
          </w:tcPr>
          <w:p w14:paraId="2DAB1CFC">
            <w:pPr>
              <w:spacing w:line="380" w:lineRule="exact"/>
              <w:rPr>
                <w:rFonts w:hint="eastAsia" w:ascii="宋体" w:hAnsi="宋体" w:eastAsia="宋体" w:cs="宋体"/>
                <w:color w:val="auto"/>
                <w:szCs w:val="21"/>
                <w:highlight w:val="none"/>
              </w:rPr>
            </w:pPr>
            <w:bookmarkStart w:id="79" w:name="_29.2.2（2）"/>
            <w:bookmarkEnd w:id="79"/>
            <w:r>
              <w:rPr>
                <w:rFonts w:hint="eastAsia" w:ascii="宋体" w:hAnsi="宋体" w:eastAsia="宋体" w:cs="宋体"/>
                <w:color w:val="auto"/>
                <w:szCs w:val="21"/>
                <w:highlight w:val="none"/>
              </w:rPr>
              <w:t>允许负偏离项</w:t>
            </w:r>
          </w:p>
        </w:tc>
        <w:tc>
          <w:tcPr>
            <w:tcW w:w="7297" w:type="dxa"/>
            <w:vAlign w:val="center"/>
          </w:tcPr>
          <w:p w14:paraId="7BACBA48">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73388710">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技术需求评审中允许负偏离的条款数为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32118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F6160CE">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30.1</w:t>
            </w:r>
          </w:p>
        </w:tc>
        <w:tc>
          <w:tcPr>
            <w:tcW w:w="2268" w:type="dxa"/>
            <w:vAlign w:val="center"/>
          </w:tcPr>
          <w:p w14:paraId="271E177D">
            <w:pPr>
              <w:autoSpaceDE w:val="0"/>
              <w:autoSpaceDN w:val="0"/>
              <w:snapToGrid w:val="0"/>
              <w:spacing w:line="38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确定中标人时，出现中标候选人分数并列的情形，确定中标人方式 </w:t>
            </w:r>
          </w:p>
        </w:tc>
        <w:tc>
          <w:tcPr>
            <w:tcW w:w="7297" w:type="dxa"/>
            <w:vAlign w:val="center"/>
          </w:tcPr>
          <w:p w14:paraId="45E1EA05">
            <w:pPr>
              <w:autoSpaceDE w:val="0"/>
              <w:autoSpaceDN w:val="0"/>
              <w:snapToGrid w:val="0"/>
              <w:spacing w:line="38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□采用最低评标价法的，投标文件满足招标文件全部实质性要求且投标报价最低的投标人为排名第一的中标候选人； </w:t>
            </w:r>
          </w:p>
          <w:p w14:paraId="0C6E1A61">
            <w:pPr>
              <w:autoSpaceDE w:val="0"/>
              <w:autoSpaceDN w:val="0"/>
              <w:snapToGrid w:val="0"/>
              <w:spacing w:line="380" w:lineRule="exact"/>
              <w:textAlignment w:val="bottom"/>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14D3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14:paraId="7ABED5CD">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p>
        </w:tc>
        <w:tc>
          <w:tcPr>
            <w:tcW w:w="2268" w:type="dxa"/>
            <w:vAlign w:val="center"/>
          </w:tcPr>
          <w:p w14:paraId="4C82AF7F">
            <w:pPr>
              <w:spacing w:line="380" w:lineRule="exact"/>
              <w:rPr>
                <w:rFonts w:hint="eastAsia" w:ascii="宋体" w:hAnsi="宋体" w:eastAsia="宋体" w:cs="宋体"/>
                <w:color w:val="auto"/>
                <w:szCs w:val="21"/>
                <w:highlight w:val="none"/>
              </w:rPr>
            </w:pPr>
            <w:bookmarkStart w:id="80" w:name="_39.1"/>
            <w:bookmarkEnd w:id="80"/>
            <w:r>
              <w:rPr>
                <w:rFonts w:hint="eastAsia" w:ascii="宋体" w:hAnsi="宋体" w:eastAsia="宋体" w:cs="宋体"/>
                <w:color w:val="auto"/>
                <w:szCs w:val="21"/>
                <w:highlight w:val="none"/>
              </w:rPr>
              <w:t>履约保证金金额</w:t>
            </w:r>
          </w:p>
        </w:tc>
        <w:tc>
          <w:tcPr>
            <w:tcW w:w="7297" w:type="dxa"/>
            <w:vAlign w:val="bottom"/>
          </w:tcPr>
          <w:p w14:paraId="1EC91D37">
            <w:pPr>
              <w:autoSpaceDE w:val="0"/>
              <w:autoSpaceDN w:val="0"/>
              <w:snapToGrid w:val="0"/>
              <w:spacing w:line="380" w:lineRule="exact"/>
              <w:jc w:val="lef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本项目不收取履约保证金。</w:t>
            </w:r>
          </w:p>
        </w:tc>
      </w:tr>
      <w:tr w14:paraId="6A48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F1FA3B6">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w:t>
            </w:r>
          </w:p>
        </w:tc>
        <w:tc>
          <w:tcPr>
            <w:tcW w:w="2268" w:type="dxa"/>
            <w:vAlign w:val="center"/>
          </w:tcPr>
          <w:p w14:paraId="3233BA3D">
            <w:pPr>
              <w:spacing w:line="380" w:lineRule="exact"/>
              <w:rPr>
                <w:rFonts w:hint="eastAsia" w:ascii="宋体" w:hAnsi="宋体" w:eastAsia="宋体" w:cs="宋体"/>
                <w:color w:val="auto"/>
                <w:szCs w:val="21"/>
                <w:highlight w:val="none"/>
              </w:rPr>
            </w:pPr>
            <w:bookmarkStart w:id="81" w:name="_40.1"/>
            <w:bookmarkEnd w:id="81"/>
            <w:r>
              <w:rPr>
                <w:rFonts w:hint="eastAsia" w:ascii="宋体" w:hAnsi="宋体" w:eastAsia="宋体" w:cs="宋体"/>
                <w:color w:val="auto"/>
                <w:szCs w:val="21"/>
                <w:highlight w:val="none"/>
              </w:rPr>
              <w:t>签订电子合同携带的材料</w:t>
            </w:r>
          </w:p>
        </w:tc>
        <w:tc>
          <w:tcPr>
            <w:tcW w:w="7297" w:type="dxa"/>
            <w:vAlign w:val="center"/>
          </w:tcPr>
          <w:p w14:paraId="4D71AA0F">
            <w:pPr>
              <w:autoSpaceDE w:val="0"/>
              <w:autoSpaceDN w:val="0"/>
              <w:snapToGrid w:val="0"/>
              <w:spacing w:line="38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电子采购合同需要供应商通过有效CA证书进行电子签署</w:t>
            </w:r>
          </w:p>
        </w:tc>
      </w:tr>
      <w:tr w14:paraId="79EF2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675" w:type="dxa"/>
            <w:vMerge w:val="restart"/>
            <w:vAlign w:val="center"/>
          </w:tcPr>
          <w:p w14:paraId="0458A76B">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38.2.1</w:t>
            </w:r>
          </w:p>
        </w:tc>
        <w:tc>
          <w:tcPr>
            <w:tcW w:w="2268" w:type="dxa"/>
            <w:vAlign w:val="center"/>
          </w:tcPr>
          <w:p w14:paraId="3CD0F9F3">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7297" w:type="dxa"/>
            <w:vAlign w:val="center"/>
          </w:tcPr>
          <w:p w14:paraId="2AB2E0DB">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15988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75" w:type="dxa"/>
            <w:vMerge w:val="continue"/>
            <w:vAlign w:val="center"/>
          </w:tcPr>
          <w:p w14:paraId="502710F2">
            <w:pPr>
              <w:widowControl/>
              <w:jc w:val="left"/>
              <w:rPr>
                <w:rFonts w:hint="eastAsia" w:ascii="宋体" w:hAnsi="宋体" w:eastAsia="宋体" w:cs="宋体"/>
                <w:color w:val="auto"/>
                <w:szCs w:val="21"/>
                <w:highlight w:val="none"/>
              </w:rPr>
            </w:pPr>
          </w:p>
        </w:tc>
        <w:tc>
          <w:tcPr>
            <w:tcW w:w="2268" w:type="dxa"/>
            <w:vAlign w:val="center"/>
          </w:tcPr>
          <w:p w14:paraId="4F67FA78">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质疑联系部门及联系方式</w:t>
            </w:r>
          </w:p>
        </w:tc>
        <w:tc>
          <w:tcPr>
            <w:tcW w:w="7297" w:type="dxa"/>
            <w:vAlign w:val="center"/>
          </w:tcPr>
          <w:p w14:paraId="1B95C35B">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（1）</w:t>
            </w:r>
            <w:r>
              <w:rPr>
                <w:rFonts w:hint="eastAsia" w:ascii="宋体" w:hAnsi="宋体" w:cs="宋体"/>
                <w:color w:val="auto"/>
                <w:szCs w:val="21"/>
                <w:highlight w:val="none"/>
                <w:u w:val="single"/>
                <w:lang w:eastAsia="zh-CN"/>
              </w:rPr>
              <w:t>广西国栋招标有限公司</w:t>
            </w:r>
            <w:r>
              <w:rPr>
                <w:rFonts w:hint="eastAsia" w:ascii="宋体" w:hAnsi="宋体" w:eastAsia="宋体" w:cs="宋体"/>
                <w:color w:val="auto"/>
                <w:szCs w:val="21"/>
                <w:highlight w:val="none"/>
              </w:rPr>
              <w:t>；</w:t>
            </w:r>
          </w:p>
          <w:p w14:paraId="44E9EE5F">
            <w:pPr>
              <w:snapToGrid w:val="0"/>
              <w:spacing w:line="380" w:lineRule="exac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u w:val="single"/>
                <w:lang w:eastAsia="zh-CN"/>
              </w:rPr>
              <w:t>0771-5894688</w:t>
            </w:r>
          </w:p>
          <w:p w14:paraId="63E20E92">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通讯地址：</w:t>
            </w:r>
            <w:r>
              <w:rPr>
                <w:rFonts w:hint="eastAsia" w:ascii="宋体" w:hAnsi="宋体" w:cs="宋体"/>
                <w:color w:val="auto"/>
                <w:szCs w:val="21"/>
                <w:highlight w:val="none"/>
                <w:u w:val="single"/>
                <w:lang w:eastAsia="zh-CN"/>
              </w:rPr>
              <w:t>南宁市青秀区双拥路40-1号东方明珠花园1栋1单元9层</w:t>
            </w:r>
            <w:r>
              <w:rPr>
                <w:rFonts w:hint="eastAsia" w:ascii="宋体" w:hAnsi="宋体" w:eastAsia="宋体" w:cs="宋体"/>
                <w:color w:val="auto"/>
                <w:szCs w:val="21"/>
                <w:highlight w:val="none"/>
              </w:rPr>
              <w:t xml:space="preserve"> </w:t>
            </w:r>
          </w:p>
          <w:p w14:paraId="5B5CE0B8">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single"/>
                <w:lang w:eastAsia="zh-CN"/>
              </w:rPr>
              <w:t>隆安县布泉乡人民政府</w:t>
            </w:r>
            <w:r>
              <w:rPr>
                <w:rFonts w:hint="eastAsia" w:ascii="宋体" w:hAnsi="宋体" w:eastAsia="宋体" w:cs="宋体"/>
                <w:color w:val="auto"/>
                <w:szCs w:val="21"/>
                <w:highlight w:val="none"/>
              </w:rPr>
              <w:t>；</w:t>
            </w:r>
          </w:p>
          <w:p w14:paraId="6E884E4E">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u w:val="single"/>
                <w:lang w:eastAsia="zh-CN"/>
              </w:rPr>
              <w:t>0771-6580022</w:t>
            </w:r>
          </w:p>
          <w:p w14:paraId="1117E417">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通讯地址：</w:t>
            </w:r>
            <w:r>
              <w:rPr>
                <w:rFonts w:hint="eastAsia" w:ascii="宋体" w:hAnsi="宋体" w:cs="宋体"/>
                <w:color w:val="auto"/>
                <w:szCs w:val="21"/>
                <w:highlight w:val="none"/>
                <w:u w:val="single"/>
                <w:lang w:eastAsia="zh-CN"/>
              </w:rPr>
              <w:t>隆安县布泉乡正街128号</w:t>
            </w:r>
            <w:r>
              <w:rPr>
                <w:rFonts w:hint="eastAsia" w:ascii="宋体" w:hAnsi="宋体" w:eastAsia="宋体" w:cs="宋体"/>
                <w:color w:val="auto"/>
                <w:szCs w:val="21"/>
                <w:highlight w:val="none"/>
              </w:rPr>
              <w:t xml:space="preserve"> </w:t>
            </w:r>
          </w:p>
        </w:tc>
      </w:tr>
      <w:tr w14:paraId="73003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75" w:type="dxa"/>
            <w:vMerge w:val="continue"/>
            <w:vAlign w:val="center"/>
          </w:tcPr>
          <w:p w14:paraId="01B7913C">
            <w:pPr>
              <w:widowControl/>
              <w:jc w:val="left"/>
              <w:rPr>
                <w:rFonts w:hint="eastAsia" w:ascii="宋体" w:hAnsi="宋体" w:eastAsia="宋体" w:cs="宋体"/>
                <w:color w:val="auto"/>
                <w:szCs w:val="21"/>
                <w:highlight w:val="none"/>
              </w:rPr>
            </w:pPr>
          </w:p>
        </w:tc>
        <w:tc>
          <w:tcPr>
            <w:tcW w:w="2268" w:type="dxa"/>
            <w:vAlign w:val="center"/>
          </w:tcPr>
          <w:p w14:paraId="53CD9156">
            <w:pPr>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现场提交质疑办理业务时间</w:t>
            </w:r>
          </w:p>
        </w:tc>
        <w:tc>
          <w:tcPr>
            <w:tcW w:w="7297" w:type="dxa"/>
            <w:vAlign w:val="center"/>
          </w:tcPr>
          <w:p w14:paraId="0D9DF18E">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8</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3</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12</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分，</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15</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18</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分</w:t>
            </w:r>
          </w:p>
        </w:tc>
      </w:tr>
      <w:tr w14:paraId="7399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75" w:type="dxa"/>
            <w:vAlign w:val="center"/>
          </w:tcPr>
          <w:p w14:paraId="2832D7FA">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38.3.1</w:t>
            </w:r>
          </w:p>
        </w:tc>
        <w:tc>
          <w:tcPr>
            <w:tcW w:w="2268" w:type="dxa"/>
            <w:vAlign w:val="center"/>
          </w:tcPr>
          <w:p w14:paraId="50A29709">
            <w:pPr>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投诉受理方式</w:t>
            </w:r>
          </w:p>
        </w:tc>
        <w:tc>
          <w:tcPr>
            <w:tcW w:w="7297" w:type="dxa"/>
            <w:vAlign w:val="center"/>
          </w:tcPr>
          <w:p w14:paraId="698807D8">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1、受理方式：纸质方式受理，投诉书正、副本（经过质疑的事项才可投诉）。</w:t>
            </w:r>
          </w:p>
          <w:p w14:paraId="304BB420">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2、邮寄地址：</w:t>
            </w:r>
          </w:p>
          <w:p w14:paraId="013D1DA4">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名称：</w:t>
            </w:r>
            <w:r>
              <w:rPr>
                <w:rFonts w:hint="eastAsia" w:ascii="宋体" w:hAnsi="宋体" w:cs="宋体"/>
                <w:color w:val="auto"/>
                <w:highlight w:val="none"/>
                <w:lang w:eastAsia="zh-CN"/>
              </w:rPr>
              <w:t>隆安县财政局政府采购监督管理股</w:t>
            </w:r>
          </w:p>
          <w:p w14:paraId="3F24179C">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cs="宋体"/>
                <w:color w:val="auto"/>
                <w:highlight w:val="none"/>
                <w:lang w:val="en-US" w:eastAsia="zh-CN"/>
              </w:rPr>
              <w:t>隆安县广场路8号</w:t>
            </w:r>
          </w:p>
          <w:p w14:paraId="44AEEE3E">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cs="宋体"/>
                <w:color w:val="auto"/>
                <w:highlight w:val="none"/>
                <w:lang w:eastAsia="zh-CN"/>
              </w:rPr>
              <w:t>0771-6531019</w:t>
            </w:r>
            <w:r>
              <w:rPr>
                <w:rFonts w:hint="eastAsia" w:ascii="宋体" w:hAnsi="宋体" w:eastAsia="宋体" w:cs="宋体"/>
                <w:color w:val="auto"/>
                <w:highlight w:val="none"/>
              </w:rPr>
              <w:t xml:space="preserve"> </w:t>
            </w:r>
          </w:p>
        </w:tc>
      </w:tr>
      <w:tr w14:paraId="22BAE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675" w:type="dxa"/>
            <w:vMerge w:val="restart"/>
            <w:vAlign w:val="center"/>
          </w:tcPr>
          <w:p w14:paraId="132D0FB7">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40</w:t>
            </w:r>
          </w:p>
        </w:tc>
        <w:tc>
          <w:tcPr>
            <w:tcW w:w="2268" w:type="dxa"/>
            <w:vAlign w:val="center"/>
          </w:tcPr>
          <w:p w14:paraId="7E456FC2">
            <w:pPr>
              <w:spacing w:line="380" w:lineRule="exact"/>
              <w:rPr>
                <w:rFonts w:hint="eastAsia" w:ascii="宋体" w:hAnsi="宋体" w:eastAsia="宋体" w:cs="宋体"/>
                <w:color w:val="auto"/>
                <w:szCs w:val="21"/>
                <w:highlight w:val="none"/>
              </w:rPr>
            </w:pPr>
            <w:bookmarkStart w:id="82" w:name="_41"/>
            <w:bookmarkEnd w:id="82"/>
            <w:bookmarkStart w:id="83" w:name="_42"/>
            <w:bookmarkEnd w:id="83"/>
            <w:r>
              <w:rPr>
                <w:rFonts w:hint="eastAsia" w:ascii="宋体" w:hAnsi="宋体" w:eastAsia="宋体" w:cs="宋体"/>
                <w:color w:val="auto"/>
                <w:highlight w:val="none"/>
              </w:rPr>
              <w:t>采购代理费支付方式</w:t>
            </w:r>
          </w:p>
        </w:tc>
        <w:tc>
          <w:tcPr>
            <w:tcW w:w="7297" w:type="dxa"/>
            <w:vAlign w:val="center"/>
          </w:tcPr>
          <w:p w14:paraId="777002D3">
            <w:pPr>
              <w:pStyle w:val="11"/>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本项目代理服务费由</w:t>
            </w:r>
            <w:r>
              <w:rPr>
                <w:rFonts w:hint="eastAsia" w:ascii="宋体" w:hAnsi="宋体" w:eastAsia="宋体" w:cs="宋体"/>
                <w:color w:val="auto"/>
                <w:highlight w:val="none"/>
                <w:u w:val="single"/>
              </w:rPr>
              <w:t>中标人</w:t>
            </w:r>
            <w:r>
              <w:rPr>
                <w:rFonts w:hint="eastAsia" w:ascii="宋体" w:hAnsi="宋体" w:eastAsia="宋体" w:cs="宋体"/>
                <w:color w:val="auto"/>
                <w:highlight w:val="none"/>
              </w:rPr>
              <w:t>在领取中标通知书前，一次性向采购代理机构支付。</w:t>
            </w:r>
          </w:p>
          <w:p w14:paraId="217A8A29">
            <w:pPr>
              <w:pStyle w:val="11"/>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□采购人支付。</w:t>
            </w:r>
          </w:p>
          <w:p w14:paraId="4D5AC9DC">
            <w:pPr>
              <w:pStyle w:val="11"/>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□本项目不收取代理服务费。</w:t>
            </w:r>
          </w:p>
        </w:tc>
      </w:tr>
      <w:tr w14:paraId="754C7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vAlign w:val="center"/>
          </w:tcPr>
          <w:p w14:paraId="23B32F65">
            <w:pPr>
              <w:widowControl/>
              <w:jc w:val="left"/>
              <w:rPr>
                <w:rFonts w:hint="eastAsia" w:ascii="宋体" w:hAnsi="宋体" w:eastAsia="宋体" w:cs="宋体"/>
                <w:color w:val="auto"/>
                <w:szCs w:val="21"/>
                <w:highlight w:val="none"/>
              </w:rPr>
            </w:pPr>
          </w:p>
        </w:tc>
        <w:tc>
          <w:tcPr>
            <w:tcW w:w="2268" w:type="dxa"/>
            <w:vAlign w:val="center"/>
          </w:tcPr>
          <w:p w14:paraId="03BB7AD2">
            <w:pPr>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采购代理费收取标准</w:t>
            </w:r>
          </w:p>
        </w:tc>
        <w:tc>
          <w:tcPr>
            <w:tcW w:w="7297" w:type="dxa"/>
            <w:vAlign w:val="center"/>
          </w:tcPr>
          <w:p w14:paraId="42E59A3A">
            <w:pPr>
              <w:pStyle w:val="27"/>
              <w:jc w:val="both"/>
              <w:rPr>
                <w:rFonts w:hint="eastAsia" w:ascii="宋体" w:hAnsi="宋体" w:eastAsia="宋体" w:cs="宋体"/>
                <w:color w:val="auto"/>
                <w:highlight w:val="none"/>
                <w:lang w:val="en-US" w:eastAsia="zh-CN"/>
              </w:rPr>
            </w:pPr>
            <w:bookmarkStart w:id="84" w:name="_Toc11358"/>
            <w:r>
              <w:rPr>
                <w:rFonts w:hint="eastAsia" w:ascii="宋体" w:hAnsi="宋体" w:eastAsia="宋体" w:cs="宋体"/>
                <w:b w:val="0"/>
                <w:color w:val="auto"/>
                <w:kern w:val="2"/>
                <w:sz w:val="21"/>
                <w:szCs w:val="20"/>
                <w:highlight w:val="none"/>
                <w:lang w:val="en-US" w:eastAsia="zh-CN" w:bidi="ar-SA"/>
              </w:rPr>
              <w:t>参照《国家计委关于印发&lt;招标代理服务收费管理暂行办法&gt;的通知》（计价格〔2002〕1980号）和《国家发展改革委员会办公厅关于招标代理服务收费有关问题的通知》（发改办价格〔2003〕857号）规定的标准计算，由招标代理机构向中标供应商收取。</w:t>
            </w:r>
            <w:bookmarkEnd w:id="84"/>
          </w:p>
        </w:tc>
      </w:tr>
      <w:tr w14:paraId="0A703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675" w:type="dxa"/>
            <w:vMerge w:val="continue"/>
            <w:vAlign w:val="center"/>
          </w:tcPr>
          <w:p w14:paraId="7DD8836D">
            <w:pPr>
              <w:widowControl/>
              <w:jc w:val="left"/>
              <w:rPr>
                <w:rFonts w:hint="eastAsia" w:ascii="宋体" w:hAnsi="宋体" w:eastAsia="宋体" w:cs="宋体"/>
                <w:color w:val="auto"/>
                <w:szCs w:val="21"/>
                <w:highlight w:val="none"/>
              </w:rPr>
            </w:pPr>
          </w:p>
        </w:tc>
        <w:tc>
          <w:tcPr>
            <w:tcW w:w="2268" w:type="dxa"/>
            <w:vAlign w:val="center"/>
          </w:tcPr>
          <w:p w14:paraId="0D8F69BF">
            <w:pPr>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代理服务费收款账户信息</w:t>
            </w:r>
          </w:p>
        </w:tc>
        <w:tc>
          <w:tcPr>
            <w:tcW w:w="7297" w:type="dxa"/>
            <w:vAlign w:val="center"/>
          </w:tcPr>
          <w:p w14:paraId="37DFF1F4">
            <w:pPr>
              <w:pStyle w:val="11"/>
              <w:snapToGrid w:val="0"/>
              <w:spacing w:line="38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开户名称：</w:t>
            </w:r>
            <w:r>
              <w:rPr>
                <w:rFonts w:hint="eastAsia" w:hAnsi="宋体" w:cs="宋体"/>
                <w:color w:val="auto"/>
                <w:highlight w:val="none"/>
                <w:lang w:eastAsia="zh-CN"/>
              </w:rPr>
              <w:t>广西国栋招标有限公司</w:t>
            </w:r>
            <w:r>
              <w:rPr>
                <w:rFonts w:hint="eastAsia" w:ascii="宋体" w:hAnsi="宋体" w:eastAsia="宋体" w:cs="宋体"/>
                <w:color w:val="auto"/>
                <w:highlight w:val="none"/>
                <w:lang w:eastAsia="zh-CN"/>
              </w:rPr>
              <w:t xml:space="preserve"> </w:t>
            </w:r>
          </w:p>
          <w:p w14:paraId="71AF048E">
            <w:pPr>
              <w:pStyle w:val="11"/>
              <w:snapToGrid w:val="0"/>
              <w:spacing w:line="38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开户银行：</w:t>
            </w:r>
            <w:r>
              <w:rPr>
                <w:rFonts w:hint="eastAsia" w:hAnsi="宋体" w:cs="宋体"/>
                <w:color w:val="auto"/>
                <w:highlight w:val="none"/>
                <w:lang w:eastAsia="zh-CN"/>
              </w:rPr>
              <w:t>平安银行南宁分行营业部</w:t>
            </w:r>
            <w:r>
              <w:rPr>
                <w:rFonts w:hint="eastAsia" w:ascii="宋体" w:hAnsi="宋体" w:eastAsia="宋体" w:cs="宋体"/>
                <w:color w:val="auto"/>
                <w:highlight w:val="none"/>
                <w:lang w:eastAsia="zh-CN"/>
              </w:rPr>
              <w:t xml:space="preserve"> </w:t>
            </w:r>
          </w:p>
          <w:p w14:paraId="27334B17">
            <w:pPr>
              <w:pStyle w:val="11"/>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lang w:eastAsia="zh-CN"/>
              </w:rPr>
              <w:t>银行账号：</w:t>
            </w:r>
            <w:r>
              <w:rPr>
                <w:rFonts w:hint="eastAsia" w:hAnsi="宋体" w:cs="宋体"/>
                <w:color w:val="auto"/>
                <w:highlight w:val="none"/>
                <w:lang w:eastAsia="zh-CN"/>
              </w:rPr>
              <w:t>15333566666608</w:t>
            </w:r>
          </w:p>
        </w:tc>
      </w:tr>
      <w:tr w14:paraId="32ADE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BD1B3F0">
            <w:pPr>
              <w:snapToGrid w:val="0"/>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w:t>
            </w:r>
          </w:p>
        </w:tc>
        <w:tc>
          <w:tcPr>
            <w:tcW w:w="2268" w:type="dxa"/>
            <w:vAlign w:val="center"/>
          </w:tcPr>
          <w:p w14:paraId="3A072775">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解释</w:t>
            </w:r>
          </w:p>
        </w:tc>
        <w:tc>
          <w:tcPr>
            <w:tcW w:w="7297" w:type="dxa"/>
            <w:vAlign w:val="center"/>
          </w:tcPr>
          <w:p w14:paraId="4179EFF8">
            <w:pPr>
              <w:snapToGrid w:val="0"/>
              <w:spacing w:line="38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解释权：</w:t>
            </w:r>
            <w:r>
              <w:rPr>
                <w:rFonts w:hint="eastAsia" w:ascii="宋体" w:hAnsi="宋体" w:eastAsia="宋体" w:cs="宋体"/>
                <w:color w:val="auto"/>
                <w:szCs w:val="21"/>
                <w:highlight w:val="none"/>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eastAsia="宋体" w:cs="宋体"/>
                <w:b/>
                <w:color w:val="auto"/>
                <w:szCs w:val="21"/>
                <w:highlight w:val="none"/>
              </w:rPr>
              <w:t>，由采购人或者采购代理机构负责解释。</w:t>
            </w:r>
          </w:p>
          <w:p w14:paraId="748DE699">
            <w:pPr>
              <w:snapToGrid w:val="0"/>
              <w:spacing w:line="38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法律责任：</w:t>
            </w:r>
          </w:p>
          <w:p w14:paraId="7470D51B">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14:paraId="114DC80C">
            <w:pPr>
              <w:spacing w:line="380" w:lineRule="exact"/>
              <w:rPr>
                <w:rFonts w:hint="eastAsia" w:ascii="宋体" w:hAnsi="宋体" w:eastAsia="宋体" w:cs="宋体"/>
                <w:color w:val="auto"/>
                <w:highlight w:val="none"/>
              </w:rPr>
            </w:pPr>
            <w:r>
              <w:rPr>
                <w:rFonts w:hint="eastAsia" w:ascii="宋体" w:hAnsi="宋体" w:eastAsia="宋体" w:cs="宋体"/>
                <w:b/>
                <w:bCs/>
                <w:color w:val="auto"/>
                <w:kern w:val="2"/>
                <w:sz w:val="21"/>
                <w:szCs w:val="20"/>
                <w:highlight w:val="none"/>
                <w:lang w:val="en-US" w:eastAsia="zh-CN" w:bidi="ar-SA"/>
              </w:rPr>
              <w:t>2.本项目采购代理机构应严格按照</w:t>
            </w:r>
            <w:r>
              <w:rPr>
                <w:rFonts w:hint="eastAsia" w:ascii="宋体" w:hAnsi="宋体" w:cs="宋体"/>
                <w:b/>
                <w:bCs/>
                <w:color w:val="auto"/>
                <w:kern w:val="2"/>
                <w:sz w:val="21"/>
                <w:szCs w:val="20"/>
                <w:highlight w:val="none"/>
                <w:lang w:val="en-US" w:eastAsia="zh-CN" w:bidi="ar-SA"/>
              </w:rPr>
              <w:t>广西政府采购云平台</w:t>
            </w:r>
            <w:r>
              <w:rPr>
                <w:rFonts w:hint="eastAsia" w:ascii="宋体" w:hAnsi="宋体" w:eastAsia="宋体" w:cs="宋体"/>
                <w:b/>
                <w:bCs/>
                <w:color w:val="auto"/>
                <w:kern w:val="2"/>
                <w:sz w:val="21"/>
                <w:szCs w:val="20"/>
                <w:highlight w:val="none"/>
                <w:lang w:val="en-US" w:eastAsia="zh-CN" w:bidi="ar-SA"/>
              </w:rPr>
              <w:t>项目采购全流程电子化电子开评标规程执行项目采购活动，代理机构在</w:t>
            </w:r>
            <w:r>
              <w:rPr>
                <w:rFonts w:hint="eastAsia" w:ascii="宋体" w:hAnsi="宋体" w:cs="宋体"/>
                <w:b/>
                <w:bCs/>
                <w:color w:val="auto"/>
                <w:kern w:val="2"/>
                <w:sz w:val="21"/>
                <w:szCs w:val="20"/>
                <w:highlight w:val="none"/>
                <w:lang w:val="en-US" w:eastAsia="zh-CN" w:bidi="ar-SA"/>
              </w:rPr>
              <w:t>广西政府采购云平台</w:t>
            </w:r>
            <w:r>
              <w:rPr>
                <w:rFonts w:hint="eastAsia" w:ascii="宋体" w:hAnsi="宋体" w:eastAsia="宋体" w:cs="宋体"/>
                <w:b/>
                <w:bCs/>
                <w:color w:val="auto"/>
                <w:kern w:val="2"/>
                <w:sz w:val="21"/>
                <w:szCs w:val="20"/>
                <w:highlight w:val="none"/>
                <w:lang w:val="en-US" w:eastAsia="zh-CN" w:bidi="ar-SA"/>
              </w:rPr>
              <w:t>的“项目管理”—“采购文件管理”内开评标规则设置作为本采购文件的组成部分，截标之后不可更改，因代理机构开评标规则设置错误导致采购活动无法开展下去的情况，由代理机构负责解释并承担其后果。</w:t>
            </w:r>
          </w:p>
        </w:tc>
      </w:tr>
      <w:tr w14:paraId="5B130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BAA186E">
            <w:pPr>
              <w:snapToGrid w:val="0"/>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w:t>
            </w:r>
          </w:p>
        </w:tc>
        <w:tc>
          <w:tcPr>
            <w:tcW w:w="2268" w:type="dxa"/>
            <w:vAlign w:val="center"/>
          </w:tcPr>
          <w:p w14:paraId="206DABB6">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其他释义</w:t>
            </w:r>
          </w:p>
        </w:tc>
        <w:tc>
          <w:tcPr>
            <w:tcW w:w="7297" w:type="dxa"/>
            <w:vAlign w:val="center"/>
          </w:tcPr>
          <w:p w14:paraId="6C84B97B">
            <w:pPr>
              <w:pStyle w:val="11"/>
              <w:snapToGrid w:val="0"/>
              <w:spacing w:line="38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7C001CD4">
            <w:pPr>
              <w:pStyle w:val="11"/>
              <w:snapToGrid w:val="0"/>
              <w:spacing w:line="38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33ED6CFD">
            <w:pPr>
              <w:pStyle w:val="11"/>
              <w:snapToGrid w:val="0"/>
              <w:spacing w:line="38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3.本招标文件中描述投标人的“签字”是指投标人的法定代表人或者委托代理人亲自在文件规定签署处亲笔写上个人的名字的行为，私章、签字章、印鉴、影印等其他形式均不能代替亲笔签字。</w:t>
            </w:r>
          </w:p>
          <w:p w14:paraId="24645EB5">
            <w:pPr>
              <w:pStyle w:val="11"/>
              <w:snapToGrid w:val="0"/>
              <w:spacing w:line="38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4.自然人投标的，招标文件规定盖公章处由自然人摁手指指印。</w:t>
            </w:r>
          </w:p>
          <w:p w14:paraId="09C12DD3">
            <w:pPr>
              <w:spacing w:line="380" w:lineRule="exact"/>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5.本招标文件所称的“以上”“以下”“以内”“届满”，包括本数；所称的“不满”“超过”“以外”，不包括本数。</w:t>
            </w:r>
          </w:p>
        </w:tc>
      </w:tr>
    </w:tbl>
    <w:p w14:paraId="65976E0F">
      <w:pPr>
        <w:widowControl/>
        <w:spacing w:line="412" w:lineRule="auto"/>
        <w:jc w:val="left"/>
        <w:rPr>
          <w:rFonts w:hint="eastAsia" w:ascii="宋体" w:hAnsi="宋体" w:eastAsia="宋体" w:cs="宋体"/>
          <w:b/>
          <w:bCs/>
          <w:color w:val="auto"/>
          <w:sz w:val="32"/>
          <w:szCs w:val="32"/>
          <w:highlight w:val="none"/>
        </w:rPr>
        <w:sectPr>
          <w:pgSz w:w="11906" w:h="16838"/>
          <w:pgMar w:top="1134" w:right="1134" w:bottom="1134" w:left="1134" w:header="720" w:footer="720" w:gutter="0"/>
          <w:cols w:space="720" w:num="1"/>
          <w:docGrid w:type="lines" w:linePitch="331" w:charSpace="0"/>
        </w:sectPr>
      </w:pPr>
    </w:p>
    <w:p w14:paraId="3BBE9EA1">
      <w:pPr>
        <w:pStyle w:val="4"/>
        <w:jc w:val="center"/>
        <w:rPr>
          <w:rFonts w:hint="eastAsia" w:ascii="宋体" w:hAnsi="宋体" w:eastAsia="宋体" w:cs="宋体"/>
          <w:color w:val="auto"/>
          <w:highlight w:val="none"/>
        </w:rPr>
      </w:pPr>
      <w:bookmarkStart w:id="85" w:name="_Toc8631"/>
      <w:bookmarkStart w:id="86" w:name="_Toc11336"/>
      <w:r>
        <w:rPr>
          <w:rFonts w:hint="eastAsia" w:ascii="宋体" w:hAnsi="宋体" w:eastAsia="宋体" w:cs="宋体"/>
          <w:color w:val="auto"/>
          <w:highlight w:val="none"/>
        </w:rPr>
        <w:t>第二节 投标人须知正文</w:t>
      </w:r>
      <w:bookmarkEnd w:id="85"/>
      <w:bookmarkEnd w:id="86"/>
    </w:p>
    <w:p w14:paraId="21B6195A">
      <w:pPr>
        <w:pStyle w:val="5"/>
        <w:keepNext w:val="0"/>
        <w:keepLines w:val="0"/>
        <w:spacing w:line="400" w:lineRule="exact"/>
        <w:jc w:val="center"/>
        <w:rPr>
          <w:rFonts w:hint="eastAsia" w:ascii="宋体" w:hAnsi="宋体" w:eastAsia="宋体" w:cs="宋体"/>
          <w:color w:val="auto"/>
          <w:highlight w:val="none"/>
        </w:rPr>
      </w:pPr>
      <w:bookmarkStart w:id="87" w:name="_Toc22266"/>
      <w:r>
        <w:rPr>
          <w:rFonts w:hint="eastAsia" w:ascii="宋体" w:hAnsi="宋体" w:eastAsia="宋体" w:cs="宋体"/>
          <w:color w:val="auto"/>
          <w:highlight w:val="none"/>
        </w:rPr>
        <w:t>一、总  则</w:t>
      </w:r>
      <w:bookmarkEnd w:id="87"/>
    </w:p>
    <w:p w14:paraId="7C461A00">
      <w:pPr>
        <w:spacing w:line="360" w:lineRule="auto"/>
        <w:ind w:firstLine="480" w:firstLineChars="200"/>
        <w:rPr>
          <w:rFonts w:hint="eastAsia" w:ascii="宋体" w:hAnsi="宋体" w:eastAsia="宋体" w:cs="宋体"/>
          <w:color w:val="auto"/>
          <w:sz w:val="24"/>
          <w:highlight w:val="none"/>
        </w:rPr>
      </w:pPr>
      <w:bookmarkStart w:id="88" w:name="_Toc254970527"/>
      <w:bookmarkStart w:id="89" w:name="_Toc254970668"/>
      <w:r>
        <w:rPr>
          <w:rFonts w:hint="eastAsia" w:ascii="宋体" w:hAnsi="宋体" w:eastAsia="宋体" w:cs="宋体"/>
          <w:color w:val="auto"/>
          <w:sz w:val="24"/>
          <w:highlight w:val="none"/>
        </w:rPr>
        <w:t>1.适用范围</w:t>
      </w:r>
      <w:bookmarkEnd w:id="88"/>
      <w:bookmarkEnd w:id="89"/>
    </w:p>
    <w:p w14:paraId="638621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54BB84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1.2本招标文件</w:t>
      </w:r>
      <w:r>
        <w:rPr>
          <w:rFonts w:hint="eastAsia" w:ascii="宋体" w:hAnsi="宋体" w:eastAsia="宋体" w:cs="宋体"/>
          <w:color w:val="auto"/>
          <w:spacing w:val="-6"/>
          <w:szCs w:val="21"/>
          <w:highlight w:val="none"/>
        </w:rPr>
        <w:t>适用于本项目的所有采购程序和环节（法律、法规另有规定的，从其规定）。</w:t>
      </w:r>
    </w:p>
    <w:p w14:paraId="1ACFEF58">
      <w:pPr>
        <w:spacing w:line="360" w:lineRule="auto"/>
        <w:ind w:firstLine="480" w:firstLineChars="200"/>
        <w:rPr>
          <w:rFonts w:hint="eastAsia" w:ascii="宋体" w:hAnsi="宋体" w:eastAsia="宋体" w:cs="宋体"/>
          <w:color w:val="auto"/>
          <w:sz w:val="24"/>
          <w:highlight w:val="none"/>
        </w:rPr>
      </w:pPr>
      <w:bookmarkStart w:id="90" w:name="_Toc254970528"/>
      <w:bookmarkStart w:id="91" w:name="_Toc254970669"/>
      <w:r>
        <w:rPr>
          <w:rFonts w:hint="eastAsia" w:ascii="宋体" w:hAnsi="宋体" w:eastAsia="宋体" w:cs="宋体"/>
          <w:color w:val="auto"/>
          <w:sz w:val="24"/>
          <w:highlight w:val="none"/>
        </w:rPr>
        <w:t>2.定义</w:t>
      </w:r>
      <w:bookmarkEnd w:id="90"/>
      <w:bookmarkEnd w:id="91"/>
    </w:p>
    <w:p w14:paraId="69498DFF">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2.1“采购人”是指依法进行政府采购的国家机关、事业单位、团体组织。</w:t>
      </w:r>
    </w:p>
    <w:p w14:paraId="2AA53574">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2.2“采购代理机构” 指政府采购集中采购机构和集中采购机构以外的采购代理机构。</w:t>
      </w:r>
    </w:p>
    <w:p w14:paraId="551AB5B3">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2.3“供应商”是指向采购人提供货物、工程或者服务的法人、其他组织或者自然人。</w:t>
      </w:r>
    </w:p>
    <w:p w14:paraId="72A107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2.4“投标人”是指响应招标、参加投标竞争的法人、非法人组织或者自然人。</w:t>
      </w:r>
    </w:p>
    <w:p w14:paraId="0DDE0E2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2.5“服务”是指除货物和工程以外的其他政府采购对象。</w:t>
      </w:r>
    </w:p>
    <w:p w14:paraId="3AFDFFF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2.6“书面形式”是指合同书、信件和数据电文（包括电报、电传、传真、短信、电子数据交换和电子邮件）等可以有形地表现所载内容的形式。</w:t>
      </w:r>
    </w:p>
    <w:p w14:paraId="2BC63DC0">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2.7“实质性要求”是指招标文件中已经指明不满足则投标无效的条款，或者不能负偏离的条款，或者采购需求中带“</w:t>
      </w:r>
      <w:r>
        <w:rPr>
          <w:rFonts w:hint="eastAsia" w:ascii="宋体" w:hAnsi="宋体" w:eastAsia="宋体" w:cs="宋体"/>
          <w:b/>
          <w:bCs/>
          <w:color w:val="auto"/>
          <w:szCs w:val="21"/>
          <w:highlight w:val="none"/>
        </w:rPr>
        <w:t>▲</w:t>
      </w:r>
      <w:r>
        <w:rPr>
          <w:rFonts w:hint="eastAsia" w:ascii="宋体" w:hAnsi="宋体" w:eastAsia="宋体" w:cs="宋体"/>
          <w:b/>
          <w:color w:val="auto"/>
          <w:szCs w:val="21"/>
          <w:highlight w:val="none"/>
        </w:rPr>
        <w:t>”的条款。</w:t>
      </w:r>
    </w:p>
    <w:p w14:paraId="00EE25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2.8“正偏离”，是指投标文件对招标文件“采购需求”中有关条款作出的响应优于条款要求并有利于采购人的情形。</w:t>
      </w:r>
    </w:p>
    <w:p w14:paraId="001508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2.9“负偏离”，是指投标文件对招标文件“采购需求”中有关条款作出的响应不满足条款要求，导致采购人要求不能得到满足的情形。</w:t>
      </w:r>
    </w:p>
    <w:p w14:paraId="719BBE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bookmarkStart w:id="92" w:name="_Toc254970529"/>
      <w:bookmarkStart w:id="93" w:name="_Toc254970670"/>
    </w:p>
    <w:p w14:paraId="5926EAB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bookmarkEnd w:id="92"/>
      <w:bookmarkEnd w:id="93"/>
      <w:r>
        <w:rPr>
          <w:rFonts w:hint="eastAsia" w:ascii="宋体" w:hAnsi="宋体" w:eastAsia="宋体" w:cs="宋体"/>
          <w:color w:val="auto"/>
          <w:sz w:val="24"/>
          <w:highlight w:val="none"/>
        </w:rPr>
        <w:t>投标人的资格要求</w:t>
      </w:r>
    </w:p>
    <w:p w14:paraId="149CA0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投标人的资格要求详见“招标公告”。</w:t>
      </w:r>
    </w:p>
    <w:p w14:paraId="2D70BA9D">
      <w:pPr>
        <w:spacing w:line="360" w:lineRule="auto"/>
        <w:ind w:firstLine="480" w:firstLineChars="200"/>
        <w:rPr>
          <w:rFonts w:hint="eastAsia" w:ascii="宋体" w:hAnsi="宋体" w:eastAsia="宋体" w:cs="宋体"/>
          <w:color w:val="auto"/>
          <w:sz w:val="24"/>
          <w:highlight w:val="none"/>
        </w:rPr>
      </w:pPr>
      <w:bookmarkStart w:id="94" w:name="_Toc254970530"/>
      <w:bookmarkStart w:id="95" w:name="_Toc254970671"/>
      <w:r>
        <w:rPr>
          <w:rFonts w:hint="eastAsia" w:ascii="宋体" w:hAnsi="宋体" w:eastAsia="宋体" w:cs="宋体"/>
          <w:color w:val="auto"/>
          <w:sz w:val="24"/>
          <w:highlight w:val="none"/>
        </w:rPr>
        <w:t>4.投标委托</w:t>
      </w:r>
      <w:bookmarkEnd w:id="94"/>
      <w:bookmarkEnd w:id="95"/>
    </w:p>
    <w:p w14:paraId="50BCBE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投标人代表参加投标活动过程中必须携带个人有效身份证件。如投标人代表不是法定代表人，须持有法定代表人授权委托书（正本用原件，副本用复印件，按第六章要求格式填写）。</w:t>
      </w:r>
    </w:p>
    <w:p w14:paraId="6FD657EA">
      <w:pPr>
        <w:spacing w:line="360" w:lineRule="auto"/>
        <w:ind w:firstLine="480" w:firstLineChars="200"/>
        <w:rPr>
          <w:rFonts w:hint="eastAsia" w:ascii="宋体" w:hAnsi="宋体" w:eastAsia="宋体" w:cs="宋体"/>
          <w:color w:val="auto"/>
          <w:sz w:val="24"/>
          <w:highlight w:val="none"/>
        </w:rPr>
      </w:pPr>
      <w:bookmarkStart w:id="96" w:name="_5.投标费用"/>
      <w:bookmarkEnd w:id="96"/>
      <w:bookmarkStart w:id="97" w:name="_Toc254970531"/>
      <w:bookmarkStart w:id="98" w:name="_Toc254970672"/>
      <w:r>
        <w:rPr>
          <w:rFonts w:hint="eastAsia" w:ascii="宋体" w:hAnsi="宋体" w:eastAsia="宋体" w:cs="宋体"/>
          <w:color w:val="auto"/>
          <w:sz w:val="24"/>
          <w:highlight w:val="none"/>
        </w:rPr>
        <w:t>5.投标费用</w:t>
      </w:r>
      <w:bookmarkEnd w:id="97"/>
      <w:bookmarkEnd w:id="98"/>
    </w:p>
    <w:p w14:paraId="3D3867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2DCD569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6.联合体投标</w:t>
      </w:r>
    </w:p>
    <w:p w14:paraId="5C0E92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6.1本项目是否接受联合体投标，详见“投标人须知前附表”。</w:t>
      </w:r>
    </w:p>
    <w:p w14:paraId="4AC1C073">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6.2如接受联合体投标，联合体投标要求详见“投标人须知前附表”。</w:t>
      </w:r>
    </w:p>
    <w:p w14:paraId="181E89ED">
      <w:pPr>
        <w:spacing w:line="360" w:lineRule="auto"/>
        <w:ind w:firstLine="420" w:firstLineChars="200"/>
        <w:rPr>
          <w:rFonts w:hint="eastAsia" w:ascii="宋体" w:hAnsi="宋体" w:eastAsia="宋体" w:cs="宋体"/>
          <w:bCs/>
          <w:color w:val="auto"/>
          <w:sz w:val="24"/>
          <w:szCs w:val="21"/>
          <w:highlight w:val="none"/>
          <w:shd w:val="clear" w:color="auto" w:fill="FFFFFF"/>
        </w:rPr>
      </w:pPr>
      <w:r>
        <w:rPr>
          <w:rFonts w:hint="eastAsia" w:ascii="宋体" w:hAnsi="宋体" w:eastAsia="宋体" w:cs="宋体"/>
          <w:bCs/>
          <w:color w:val="auto"/>
          <w:szCs w:val="21"/>
          <w:highlight w:val="none"/>
        </w:rPr>
        <w:t>6.3根据《政府采购促进中小企业发展管理办法》（财库[2020]46号）第九条、《广西壮族自治区财政厅关于进一步发挥政府采购政策功能促进企业发展的通知》（桂财采〔2022〕30号）</w:t>
      </w:r>
      <w:r>
        <w:rPr>
          <w:rFonts w:hint="eastAsia" w:ascii="宋体" w:hAnsi="宋体" w:eastAsia="宋体" w:cs="宋体"/>
          <w:bCs/>
          <w:color w:val="auto"/>
          <w:szCs w:val="21"/>
          <w:highlight w:val="none"/>
          <w:lang w:eastAsia="zh-CN"/>
        </w:rPr>
        <w:t>、</w:t>
      </w:r>
      <w:r>
        <w:rPr>
          <w:rFonts w:hint="eastAsia" w:ascii="宋体" w:hAnsi="宋体" w:eastAsia="宋体" w:cs="宋体"/>
          <w:color w:val="auto"/>
          <w:highlight w:val="none"/>
        </w:rPr>
        <w:t>《广西壮族自治区财政厅关于贯彻落实政府采购支持中小企业发展政策的通知》（桂财采〔2022〕31号）</w:t>
      </w:r>
      <w:r>
        <w:rPr>
          <w:rFonts w:hint="eastAsia" w:ascii="宋体" w:hAnsi="宋体" w:eastAsia="宋体" w:cs="宋体"/>
          <w:bCs/>
          <w:color w:val="auto"/>
          <w:szCs w:val="21"/>
          <w:highlight w:val="none"/>
        </w:rPr>
        <w:t>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772F067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7.转包与分包</w:t>
      </w:r>
    </w:p>
    <w:p w14:paraId="7302FC97">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725A063A">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7.2根据《政府采购促进中小企业发展管理办法》（财库[2020]46号）第九条及《广西壮族自治区财政厅关于进一步发挥政府采购政策功能促进企业发展的通知》（桂财采〔2022〕30号）</w:t>
      </w:r>
      <w:r>
        <w:rPr>
          <w:rFonts w:hint="eastAsia" w:ascii="宋体" w:hAnsi="宋体" w:eastAsia="宋体" w:cs="宋体"/>
          <w:bCs/>
          <w:color w:val="auto"/>
          <w:szCs w:val="21"/>
          <w:highlight w:val="none"/>
          <w:lang w:eastAsia="zh-CN"/>
        </w:rPr>
        <w:t>、</w:t>
      </w:r>
      <w:r>
        <w:rPr>
          <w:rFonts w:hint="eastAsia" w:ascii="宋体" w:hAnsi="宋体" w:eastAsia="宋体" w:cs="宋体"/>
          <w:color w:val="auto"/>
          <w:highlight w:val="none"/>
        </w:rPr>
        <w:t>《广西壮族自治区财政厅关于贯彻落实政府采购支持中小企业发展政策的通知》（桂财采〔2022〕31号）</w:t>
      </w:r>
      <w:r>
        <w:rPr>
          <w:rFonts w:hint="eastAsia" w:ascii="宋体" w:hAnsi="宋体" w:eastAsia="宋体" w:cs="宋体"/>
          <w:bCs/>
          <w:color w:val="auto"/>
          <w:szCs w:val="21"/>
          <w:highlight w:val="none"/>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79B64D9C">
      <w:pPr>
        <w:spacing w:line="360" w:lineRule="auto"/>
        <w:ind w:firstLine="480" w:firstLineChars="200"/>
        <w:rPr>
          <w:rFonts w:hint="eastAsia" w:ascii="宋体" w:hAnsi="宋体" w:eastAsia="宋体" w:cs="宋体"/>
          <w:color w:val="auto"/>
          <w:sz w:val="24"/>
          <w:highlight w:val="none"/>
        </w:rPr>
      </w:pPr>
      <w:bookmarkStart w:id="99" w:name="_Toc254970673"/>
      <w:bookmarkStart w:id="100" w:name="_Toc254970532"/>
      <w:r>
        <w:rPr>
          <w:rFonts w:hint="eastAsia" w:ascii="宋体" w:hAnsi="宋体" w:eastAsia="宋体" w:cs="宋体"/>
          <w:color w:val="auto"/>
          <w:sz w:val="24"/>
          <w:highlight w:val="none"/>
        </w:rPr>
        <w:t>8.特别说明：</w:t>
      </w:r>
      <w:bookmarkEnd w:id="99"/>
      <w:bookmarkEnd w:id="100"/>
      <w:bookmarkStart w:id="101" w:name="_8.1提供相同品牌产品且通过资格审查、符合性审查的不同投标人参加同一合"/>
      <w:bookmarkEnd w:id="101"/>
    </w:p>
    <w:p w14:paraId="08DFD673">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8.1如果本招标文件要求投标人提供资格、信誉、荣誉、业绩与企业认证等材料的，则投标人所提供的以上材料必须为投标人所拥有。</w:t>
      </w:r>
    </w:p>
    <w:p w14:paraId="5193F960">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8.2投标人应仔细阅读招标文件的所有内容，按照招标文件的要求提交投标文件，并对所提供的全部资料的真实性承担法律责任。</w:t>
      </w:r>
    </w:p>
    <w:p w14:paraId="5695064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4AA47EE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9.回避与串通投标</w:t>
      </w:r>
    </w:p>
    <w:p w14:paraId="0A0B951C">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9.1在政府采购活动中，采购人员及相关人员与供应商有下列利害关系之一的，应当回避：</w:t>
      </w:r>
    </w:p>
    <w:p w14:paraId="023AA94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（1）参加采购活动前3年内与供应商存在劳动关系；</w:t>
      </w:r>
    </w:p>
    <w:p w14:paraId="621963D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（2）参加采购活动前3年内担任供应商的董事、监事；</w:t>
      </w:r>
    </w:p>
    <w:p w14:paraId="736FD7F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（3）参加采购活动前3年内是供应商的控股股东或者实际控制人；</w:t>
      </w:r>
    </w:p>
    <w:p w14:paraId="2B679E0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（4）与供应商的法定代表人或者负责人有夫妻、直系血亲、三代以内旁系血亲或者近姻亲关系；</w:t>
      </w:r>
    </w:p>
    <w:p w14:paraId="0AE16A3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（5）与供应商有其他可能影响政府采购活动公平、公正进行的关系。</w:t>
      </w:r>
    </w:p>
    <w:p w14:paraId="372CA1D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9A0FB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9.2有下列情形之一的视为投标人相互串通投标，投标文件将被视为无效：</w:t>
      </w:r>
    </w:p>
    <w:p w14:paraId="766191F4">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（1）不同投标人的投标文件由同一单位或者个人编制；或者不同投标人报名的IP地址一致的；或者不同投标人报名的IP地址一致的；或者编制标书硬件设备CPU编号、硬盘编号、网卡地址一致的情况。</w:t>
      </w:r>
    </w:p>
    <w:p w14:paraId="43CF1926">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（2）不同投标人委托同一单位或者个人办理投标事宜；</w:t>
      </w:r>
    </w:p>
    <w:p w14:paraId="19414C65">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（3）不同的投标人的投标文件载明的项目管理员为同一个人；</w:t>
      </w:r>
    </w:p>
    <w:p w14:paraId="6E747D52">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（4）不同投标人的电子或纸质投标文件异常一致或者投标报价呈规律性差异；</w:t>
      </w:r>
    </w:p>
    <w:p w14:paraId="3153EAFB">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（5）不同投标人的纸质投标文件相互混装；</w:t>
      </w:r>
    </w:p>
    <w:p w14:paraId="721CC9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9.3供应商有下列情形之一的，属于恶意串通行为，将报同级监督管理部门：</w:t>
      </w:r>
    </w:p>
    <w:p w14:paraId="52A5CEF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（1）供应商直接或者间接从采购人或者采购代理机构处获得其他供应商的相关信息并修改其投标文件或者投标文件；</w:t>
      </w:r>
    </w:p>
    <w:p w14:paraId="03A0B3E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（2）供应商按照采购人或者采购代理机构的授意撤换、修改投标文件或者投标文件；</w:t>
      </w:r>
    </w:p>
    <w:p w14:paraId="6DC1AF9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（3）供应商之间协商报价、技术方案等投标文件或者投标文件的实质性内容；</w:t>
      </w:r>
    </w:p>
    <w:p w14:paraId="4BFC62C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（4）属于同一集团、协会、商会等组织成员的供应商按照该组织要求协同参加政府采购活动；</w:t>
      </w:r>
    </w:p>
    <w:p w14:paraId="0D465E4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（5）供应商之间事先约定一致抬高或者压低投标报价，或者在招标项目中事先约定轮流以高价位或者低价位中标，或者事先约定由某一特定供应商中标，然后再参加投标；</w:t>
      </w:r>
    </w:p>
    <w:p w14:paraId="0F0711F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（6）供应商之间商定部分供应商放弃参加政府采购活动或者放弃中标；</w:t>
      </w:r>
    </w:p>
    <w:p w14:paraId="6BBDC43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（7）供应商与采购人或者采购代理机构之间、供应商相互之间，为谋求特定供应商中标或者排斥其他供应商的其他串通行为。</w:t>
      </w:r>
    </w:p>
    <w:p w14:paraId="3CF2663E">
      <w:pPr>
        <w:pStyle w:val="11"/>
        <w:snapToGrid w:val="0"/>
        <w:spacing w:line="360" w:lineRule="auto"/>
        <w:ind w:left="2" w:leftChars="1" w:firstLine="422" w:firstLineChars="200"/>
        <w:rPr>
          <w:rFonts w:hint="eastAsia" w:ascii="宋体" w:hAnsi="宋体" w:eastAsia="宋体" w:cs="宋体"/>
          <w:b/>
          <w:color w:val="auto"/>
          <w:highlight w:val="none"/>
        </w:rPr>
      </w:pPr>
    </w:p>
    <w:p w14:paraId="6DB2BED2">
      <w:pPr>
        <w:pStyle w:val="5"/>
        <w:keepNext w:val="0"/>
        <w:keepLines w:val="0"/>
        <w:spacing w:line="400" w:lineRule="exact"/>
        <w:jc w:val="center"/>
        <w:rPr>
          <w:rFonts w:hint="eastAsia" w:ascii="宋体" w:hAnsi="宋体" w:eastAsia="宋体" w:cs="宋体"/>
          <w:color w:val="auto"/>
          <w:highlight w:val="none"/>
        </w:rPr>
      </w:pPr>
      <w:bookmarkStart w:id="102" w:name="_Toc254970534"/>
      <w:bookmarkStart w:id="103" w:name="_Toc254970675"/>
      <w:bookmarkStart w:id="104" w:name="_Toc9988"/>
      <w:r>
        <w:rPr>
          <w:rFonts w:hint="eastAsia" w:ascii="宋体" w:hAnsi="宋体" w:eastAsia="宋体" w:cs="宋体"/>
          <w:color w:val="auto"/>
          <w:highlight w:val="none"/>
        </w:rPr>
        <w:t>二、招标文件</w:t>
      </w:r>
      <w:bookmarkEnd w:id="102"/>
      <w:bookmarkEnd w:id="103"/>
      <w:bookmarkEnd w:id="104"/>
    </w:p>
    <w:p w14:paraId="5846FFE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10.招标文件的组成</w:t>
      </w:r>
    </w:p>
    <w:p w14:paraId="44E749E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招标公告；</w:t>
      </w:r>
    </w:p>
    <w:p w14:paraId="63460D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第二章 采购需求； </w:t>
      </w:r>
    </w:p>
    <w:p w14:paraId="43A339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第三章 投标人须知；</w:t>
      </w:r>
    </w:p>
    <w:p w14:paraId="3E5A6B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评标方法及评标标准；</w:t>
      </w:r>
    </w:p>
    <w:p w14:paraId="3790E8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拟签订的合同文本；</w:t>
      </w:r>
    </w:p>
    <w:p w14:paraId="699EB8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投标文件格式；</w:t>
      </w:r>
    </w:p>
    <w:p w14:paraId="12F940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第七章 质疑、投诉材料格式</w:t>
      </w:r>
    </w:p>
    <w:p w14:paraId="6A19BA2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根据本章第11.1项的规定对公开招标文件所做的澄清、修改，构成招标文件的组成部分。当公开招标文件与招标文件的澄清和修改就同一内容的表述不一致时，以最后澄清或修改公告为准。</w:t>
      </w:r>
    </w:p>
    <w:p w14:paraId="1C38234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11.招标文件的澄清、修改 、现场考察和答疑会</w:t>
      </w:r>
    </w:p>
    <w:p w14:paraId="4C08F0E8">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14A2B69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11.2 投标人应认真审阅本公开招标文件，如有疑问，或发现其中有误或有要求不合理的，应在投标人须知前附表规定的</w:t>
      </w:r>
      <w:r>
        <w:rPr>
          <w:rFonts w:hint="eastAsia" w:ascii="宋体" w:hAnsi="宋体" w:eastAsia="宋体" w:cs="宋体"/>
          <w:color w:val="auto"/>
          <w:kern w:val="0"/>
          <w:szCs w:val="21"/>
          <w:highlight w:val="none"/>
        </w:rPr>
        <w:t>投标截止时间</w:t>
      </w:r>
      <w:r>
        <w:rPr>
          <w:rFonts w:hint="eastAsia" w:ascii="宋体" w:hAnsi="宋体" w:eastAsia="宋体" w:cs="宋体"/>
          <w:color w:val="auto"/>
          <w:highlight w:val="none"/>
        </w:rPr>
        <w:t>前以书面形式要求采购人或采购代理机构对招标文件予以澄清；否则，由此产生的后果由投标人自行负责。</w:t>
      </w:r>
    </w:p>
    <w:p w14:paraId="1721C68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w:t>
      </w:r>
      <w:r>
        <w:rPr>
          <w:rFonts w:hint="eastAsia" w:ascii="宋体" w:hAnsi="宋体" w:eastAsia="宋体" w:cs="宋体"/>
          <w:color w:val="auto"/>
          <w:szCs w:val="21"/>
          <w:highlight w:val="none"/>
        </w:rPr>
        <w:t>投标人须知前附表”</w:t>
      </w:r>
      <w:r>
        <w:rPr>
          <w:rFonts w:hint="eastAsia" w:ascii="宋体" w:hAnsi="宋体" w:eastAsia="宋体" w:cs="宋体"/>
          <w:color w:val="auto"/>
          <w:highlight w:val="none"/>
        </w:rPr>
        <w:t>规定的政府采购信息发布媒体上发布更正公告及平台短信通知</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所有获取招标文件的潜在投标人；不足15日的，采购人或者采购代理机构应当顺延提交投标文件的截止时间。发出的澄清或者修改不影响投标文件编制的也应在截标前3日发出。</w:t>
      </w:r>
    </w:p>
    <w:p w14:paraId="6DE8623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11.4 采购人和采购代理机构可以视采购具体情况，变更投标截止时间和开标时间，将变更时间将在“</w:t>
      </w:r>
      <w:r>
        <w:rPr>
          <w:rFonts w:hint="eastAsia" w:ascii="宋体" w:hAnsi="宋体" w:eastAsia="宋体" w:cs="宋体"/>
          <w:color w:val="auto"/>
          <w:szCs w:val="21"/>
          <w:highlight w:val="none"/>
        </w:rPr>
        <w:t>投标人须知前附表”</w:t>
      </w:r>
      <w:r>
        <w:rPr>
          <w:rFonts w:hint="eastAsia" w:ascii="宋体" w:hAnsi="宋体" w:eastAsia="宋体" w:cs="宋体"/>
          <w:color w:val="auto"/>
          <w:kern w:val="0"/>
          <w:szCs w:val="21"/>
          <w:highlight w:val="none"/>
        </w:rPr>
        <w:t>规定的政府采购信息发布媒体上</w:t>
      </w:r>
      <w:r>
        <w:rPr>
          <w:rFonts w:hint="eastAsia" w:ascii="宋体" w:hAnsi="宋体" w:eastAsia="宋体" w:cs="宋体"/>
          <w:color w:val="auto"/>
          <w:highlight w:val="none"/>
        </w:rPr>
        <w:t>发布更正公告。</w:t>
      </w:r>
    </w:p>
    <w:p w14:paraId="3B2B195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w:t>
      </w:r>
      <w:bookmarkStart w:id="105" w:name="_Hlk53134511"/>
      <w:r>
        <w:rPr>
          <w:rFonts w:hint="eastAsia" w:ascii="宋体" w:hAnsi="宋体" w:eastAsia="宋体" w:cs="宋体"/>
          <w:color w:val="auto"/>
          <w:highlight w:val="none"/>
        </w:rPr>
        <w:t>5采购人或者采购代理机构可以在招标文件提供期限截止后，组织已获取招标文件的潜在投标人现场考察或者召开开标前答疑会，具体详见“投标人须知前附表”。</w:t>
      </w:r>
    </w:p>
    <w:bookmarkEnd w:id="105"/>
    <w:p w14:paraId="5D03CD53">
      <w:pPr>
        <w:pStyle w:val="5"/>
        <w:keepNext w:val="0"/>
        <w:keepLines w:val="0"/>
        <w:spacing w:line="400" w:lineRule="exact"/>
        <w:jc w:val="center"/>
        <w:rPr>
          <w:rFonts w:hint="eastAsia" w:ascii="宋体" w:hAnsi="宋体" w:eastAsia="宋体" w:cs="宋体"/>
          <w:color w:val="auto"/>
          <w:highlight w:val="none"/>
        </w:rPr>
      </w:pPr>
      <w:bookmarkStart w:id="106" w:name="_Toc254970676"/>
      <w:bookmarkStart w:id="107" w:name="_Toc254970535"/>
      <w:bookmarkStart w:id="108" w:name="_Toc12080"/>
      <w:r>
        <w:rPr>
          <w:rFonts w:hint="eastAsia" w:ascii="宋体" w:hAnsi="宋体" w:eastAsia="宋体" w:cs="宋体"/>
          <w:color w:val="auto"/>
          <w:highlight w:val="none"/>
        </w:rPr>
        <w:t>三、投标文件的编制</w:t>
      </w:r>
      <w:bookmarkEnd w:id="106"/>
      <w:bookmarkEnd w:id="107"/>
      <w:bookmarkEnd w:id="108"/>
    </w:p>
    <w:p w14:paraId="737F85B4">
      <w:pPr>
        <w:spacing w:line="360" w:lineRule="auto"/>
        <w:ind w:firstLine="480" w:firstLineChars="200"/>
        <w:rPr>
          <w:rFonts w:hint="eastAsia" w:ascii="宋体" w:hAnsi="宋体" w:eastAsia="宋体" w:cs="宋体"/>
          <w:color w:val="auto"/>
          <w:sz w:val="24"/>
          <w:highlight w:val="none"/>
        </w:rPr>
      </w:pPr>
      <w:bookmarkStart w:id="109" w:name="_Toc254970536"/>
      <w:bookmarkStart w:id="110" w:name="_Toc254970677"/>
      <w:r>
        <w:rPr>
          <w:rFonts w:hint="eastAsia" w:ascii="宋体" w:hAnsi="宋体" w:eastAsia="宋体" w:cs="宋体"/>
          <w:color w:val="auto"/>
          <w:sz w:val="24"/>
          <w:highlight w:val="none"/>
        </w:rPr>
        <w:t>12.投标文件的编制原则</w:t>
      </w:r>
    </w:p>
    <w:p w14:paraId="5DE916D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12.1投标人必须按照招标文件的要求编制投标文件。投标文件必须对招标文件提出的要求和条件作出明确响应。</w:t>
      </w:r>
    </w:p>
    <w:p w14:paraId="28B307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73D6B9B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13.投标文件的组成</w:t>
      </w:r>
      <w:bookmarkEnd w:id="109"/>
      <w:bookmarkEnd w:id="110"/>
    </w:p>
    <w:p w14:paraId="44D1AF0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13.1投标文件由报价文件、资格证明文件、商务文件、技术文件四部分组成。</w:t>
      </w:r>
    </w:p>
    <w:p w14:paraId="3A97E5AC">
      <w:pPr>
        <w:spacing w:line="360" w:lineRule="auto"/>
        <w:ind w:firstLine="420" w:firstLineChars="200"/>
        <w:rPr>
          <w:rFonts w:hint="eastAsia" w:ascii="宋体" w:hAnsi="宋体" w:eastAsia="宋体" w:cs="宋体"/>
          <w:bCs/>
          <w:color w:val="auto"/>
          <w:szCs w:val="21"/>
          <w:highlight w:val="none"/>
        </w:rPr>
      </w:pPr>
      <w:bookmarkStart w:id="111" w:name="_13.1报价文件:_具体材料见“投标人须知前附表”。"/>
      <w:bookmarkEnd w:id="111"/>
      <w:bookmarkStart w:id="112" w:name="_13.2资格证明文件：具体材料见“投标人须知前附表”。"/>
      <w:bookmarkEnd w:id="112"/>
      <w:r>
        <w:rPr>
          <w:rFonts w:hint="eastAsia" w:ascii="宋体" w:hAnsi="宋体" w:eastAsia="宋体" w:cs="宋体"/>
          <w:bCs/>
          <w:color w:val="auto"/>
          <w:szCs w:val="21"/>
          <w:highlight w:val="none"/>
        </w:rPr>
        <w:t>（1）资格证明文件：具体材料见“投标人须知前附表”。</w:t>
      </w:r>
    </w:p>
    <w:p w14:paraId="20533907">
      <w:pPr>
        <w:spacing w:line="360" w:lineRule="auto"/>
        <w:ind w:firstLine="420" w:firstLineChars="200"/>
        <w:rPr>
          <w:rFonts w:hint="eastAsia" w:ascii="宋体" w:hAnsi="宋体" w:eastAsia="宋体" w:cs="宋体"/>
          <w:bCs/>
          <w:color w:val="auto"/>
          <w:szCs w:val="21"/>
          <w:highlight w:val="none"/>
        </w:rPr>
      </w:pPr>
      <w:bookmarkStart w:id="113" w:name="_13.3商务文件:_具体材料见“投标人须知前附表”。"/>
      <w:bookmarkEnd w:id="113"/>
      <w:r>
        <w:rPr>
          <w:rFonts w:hint="eastAsia" w:ascii="宋体" w:hAnsi="宋体" w:eastAsia="宋体" w:cs="宋体"/>
          <w:bCs/>
          <w:color w:val="auto"/>
          <w:szCs w:val="21"/>
          <w:highlight w:val="none"/>
        </w:rPr>
        <w:t>（2）商务文件：具体材料见“投标人须知前附表”。</w:t>
      </w:r>
    </w:p>
    <w:p w14:paraId="6871CC96">
      <w:pPr>
        <w:spacing w:line="360" w:lineRule="auto"/>
        <w:ind w:firstLine="420" w:firstLineChars="200"/>
        <w:rPr>
          <w:rFonts w:hint="eastAsia" w:ascii="宋体" w:hAnsi="宋体" w:eastAsia="宋体" w:cs="宋体"/>
          <w:bCs/>
          <w:color w:val="auto"/>
          <w:szCs w:val="21"/>
          <w:highlight w:val="none"/>
        </w:rPr>
      </w:pPr>
      <w:bookmarkStart w:id="114" w:name="_13.4技术文件：具体材料见“投标人须知前附表”。"/>
      <w:bookmarkEnd w:id="114"/>
      <w:r>
        <w:rPr>
          <w:rFonts w:hint="eastAsia" w:ascii="宋体" w:hAnsi="宋体" w:eastAsia="宋体" w:cs="宋体"/>
          <w:bCs/>
          <w:color w:val="auto"/>
          <w:szCs w:val="21"/>
          <w:highlight w:val="none"/>
        </w:rPr>
        <w:t xml:space="preserve">（3）技术文件：具体材料见“投标人须知前附表”。 </w:t>
      </w:r>
    </w:p>
    <w:p w14:paraId="6696AC44">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（4）报价文件： 具体材料见“投标人须知前附表”。</w:t>
      </w:r>
    </w:p>
    <w:p w14:paraId="7AF2764C">
      <w:pPr>
        <w:spacing w:line="360" w:lineRule="auto"/>
        <w:ind w:firstLine="420" w:firstLineChars="200"/>
        <w:rPr>
          <w:rFonts w:hint="eastAsia" w:ascii="宋体" w:hAnsi="宋体" w:eastAsia="宋体" w:cs="宋体"/>
          <w:bCs/>
          <w:color w:val="auto"/>
          <w:szCs w:val="21"/>
          <w:highlight w:val="none"/>
        </w:rPr>
      </w:pPr>
      <w:bookmarkStart w:id="115" w:name="_13.5投标文件电子版：具体材料见“投标人须知前附表”。"/>
      <w:bookmarkEnd w:id="115"/>
      <w:r>
        <w:rPr>
          <w:rFonts w:hint="eastAsia" w:ascii="宋体" w:hAnsi="宋体" w:eastAsia="宋体" w:cs="宋体"/>
          <w:bCs/>
          <w:color w:val="auto"/>
          <w:szCs w:val="21"/>
          <w:highlight w:val="none"/>
        </w:rPr>
        <w:t>13.2投标文件电子版：具体要求见本节19.投标文件编制。</w:t>
      </w:r>
    </w:p>
    <w:p w14:paraId="02B0AF81">
      <w:pPr>
        <w:spacing w:line="360" w:lineRule="auto"/>
        <w:ind w:firstLine="480" w:firstLineChars="200"/>
        <w:rPr>
          <w:rFonts w:hint="eastAsia" w:ascii="宋体" w:hAnsi="宋体" w:eastAsia="宋体" w:cs="宋体"/>
          <w:color w:val="auto"/>
          <w:sz w:val="24"/>
          <w:highlight w:val="none"/>
        </w:rPr>
      </w:pPr>
      <w:bookmarkStart w:id="116" w:name="_Toc254970678"/>
      <w:bookmarkStart w:id="117" w:name="_Toc254970537"/>
      <w:r>
        <w:rPr>
          <w:rFonts w:hint="eastAsia" w:ascii="宋体" w:hAnsi="宋体" w:eastAsia="宋体" w:cs="宋体"/>
          <w:color w:val="auto"/>
          <w:sz w:val="24"/>
          <w:highlight w:val="none"/>
        </w:rPr>
        <w:t>14.投标文件的语言及计量</w:t>
      </w:r>
      <w:bookmarkEnd w:id="116"/>
      <w:bookmarkEnd w:id="117"/>
    </w:p>
    <w:p w14:paraId="65CD2F8B">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14.1语言文字</w:t>
      </w:r>
    </w:p>
    <w:p w14:paraId="7D5893E4">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748F3326">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14.2投标计量单位</w:t>
      </w:r>
    </w:p>
    <w:p w14:paraId="6D6DB080">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招标文件已有明确规定的，使用招标文件规定的计量单位；招标文件没有规定的，应采用中华人民共和国法定计量单位，货币种类为人民币，否则视同未响应。</w:t>
      </w:r>
    </w:p>
    <w:p w14:paraId="0172F5D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15.投标的风险</w:t>
      </w:r>
    </w:p>
    <w:p w14:paraId="17AE205E">
      <w:pPr>
        <w:spacing w:line="360" w:lineRule="auto"/>
        <w:ind w:firstLine="420" w:firstLineChars="200"/>
        <w:rPr>
          <w:rFonts w:hint="eastAsia" w:ascii="宋体" w:hAnsi="宋体" w:eastAsia="宋体" w:cs="宋体"/>
          <w:b/>
          <w:bCs/>
          <w:color w:val="auto"/>
          <w:highlight w:val="none"/>
        </w:rPr>
      </w:pPr>
      <w:r>
        <w:rPr>
          <w:rFonts w:hint="eastAsia" w:ascii="宋体" w:hAnsi="宋体" w:eastAsia="宋体" w:cs="宋体"/>
          <w:color w:val="auto"/>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w:t>
      </w:r>
      <w:r>
        <w:rPr>
          <w:rFonts w:hint="eastAsia" w:ascii="宋体" w:hAnsi="宋体" w:eastAsia="宋体" w:cs="宋体"/>
          <w:b/>
          <w:bCs/>
          <w:color w:val="auto"/>
          <w:highlight w:val="none"/>
        </w:rPr>
        <w:t>投标文件未按规定的格式编制的、没有按照招标文件要求提供全部资料、没有对招标文件作出实质性响应，投标无效；</w:t>
      </w:r>
    </w:p>
    <w:p w14:paraId="2F49672C">
      <w:pPr>
        <w:spacing w:line="360" w:lineRule="auto"/>
        <w:ind w:firstLine="480" w:firstLineChars="200"/>
        <w:rPr>
          <w:rFonts w:hint="eastAsia" w:ascii="宋体" w:hAnsi="宋体" w:eastAsia="宋体" w:cs="宋体"/>
          <w:color w:val="auto"/>
          <w:sz w:val="24"/>
          <w:highlight w:val="none"/>
        </w:rPr>
      </w:pPr>
      <w:bookmarkStart w:id="118" w:name="_Toc254970538"/>
      <w:bookmarkStart w:id="119" w:name="_Toc254970679"/>
      <w:r>
        <w:rPr>
          <w:rFonts w:hint="eastAsia" w:ascii="宋体" w:hAnsi="宋体" w:eastAsia="宋体" w:cs="宋体"/>
          <w:color w:val="auto"/>
          <w:sz w:val="24"/>
          <w:highlight w:val="none"/>
        </w:rPr>
        <w:t>16.投标报价</w:t>
      </w:r>
      <w:bookmarkEnd w:id="118"/>
      <w:bookmarkEnd w:id="119"/>
    </w:p>
    <w:p w14:paraId="0C7C2B98">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16.1投标报价应</w:t>
      </w:r>
      <w:r>
        <w:rPr>
          <w:rFonts w:hint="eastAsia" w:ascii="宋体" w:hAnsi="宋体" w:eastAsia="宋体" w:cs="宋体"/>
          <w:bCs/>
          <w:color w:val="auto"/>
          <w:szCs w:val="20"/>
          <w:highlight w:val="none"/>
        </w:rPr>
        <w:t>按“第六章　投标文件格式”中“开标一览表”格式填写。</w:t>
      </w:r>
    </w:p>
    <w:p w14:paraId="508E1F0A">
      <w:pPr>
        <w:spacing w:line="360" w:lineRule="auto"/>
        <w:ind w:firstLine="420" w:firstLineChars="200"/>
        <w:rPr>
          <w:rFonts w:hint="eastAsia" w:ascii="宋体" w:hAnsi="宋体" w:eastAsia="宋体" w:cs="宋体"/>
          <w:bCs/>
          <w:color w:val="auto"/>
          <w:szCs w:val="21"/>
          <w:highlight w:val="none"/>
        </w:rPr>
      </w:pPr>
      <w:bookmarkStart w:id="120" w:name="_16.2投标报价具体定义见投标人须知前附表。"/>
      <w:bookmarkEnd w:id="120"/>
      <w:r>
        <w:rPr>
          <w:rFonts w:hint="eastAsia" w:ascii="宋体" w:hAnsi="宋体" w:eastAsia="宋体" w:cs="宋体"/>
          <w:bCs/>
          <w:color w:val="auto"/>
          <w:szCs w:val="21"/>
          <w:highlight w:val="none"/>
        </w:rPr>
        <w:t>16.2投标报价具体包括内容详见“投标人须知前附表”。</w:t>
      </w:r>
    </w:p>
    <w:p w14:paraId="2F44E386">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16.3投标人必须就所投每个分标的全部内容分别作完整唯一总价报价，不得存在漏项报价；投标人必须就所投分标的单项内容作唯一报价。</w:t>
      </w:r>
    </w:p>
    <w:p w14:paraId="40CCCA6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17.投标有效期</w:t>
      </w:r>
    </w:p>
    <w:p w14:paraId="69E9F902">
      <w:pPr>
        <w:spacing w:line="360" w:lineRule="auto"/>
        <w:ind w:firstLine="420" w:firstLineChars="200"/>
        <w:rPr>
          <w:rFonts w:hint="eastAsia" w:ascii="宋体" w:hAnsi="宋体" w:eastAsia="宋体" w:cs="宋体"/>
          <w:bCs/>
          <w:color w:val="auto"/>
          <w:szCs w:val="21"/>
          <w:highlight w:val="none"/>
        </w:rPr>
      </w:pPr>
      <w:bookmarkStart w:id="121" w:name="_17.1投标有效期应按“投标人须知中的前附表”规定的期限。"/>
      <w:bookmarkEnd w:id="121"/>
      <w:r>
        <w:rPr>
          <w:rFonts w:hint="eastAsia" w:ascii="宋体" w:hAnsi="宋体" w:eastAsia="宋体" w:cs="宋体"/>
          <w:bCs/>
          <w:color w:val="auto"/>
          <w:szCs w:val="21"/>
          <w:highlight w:val="none"/>
        </w:rPr>
        <w:t>17.1投标有效期是指为保证采购人有足够的时间在开标后完成评标、定标、合同签订等工作而要求投标人提交的投标文件在一定时间内保持有效的期限。</w:t>
      </w:r>
    </w:p>
    <w:p w14:paraId="3B33765F">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17.2</w:t>
      </w:r>
      <w:bookmarkStart w:id="122" w:name="_Toc254970540"/>
      <w:bookmarkStart w:id="123" w:name="_Toc254970681"/>
      <w:r>
        <w:rPr>
          <w:rFonts w:hint="eastAsia" w:ascii="宋体" w:hAnsi="宋体" w:eastAsia="宋体" w:cs="宋体"/>
          <w:bCs/>
          <w:color w:val="auto"/>
          <w:szCs w:val="21"/>
          <w:highlight w:val="none"/>
        </w:rPr>
        <w:t xml:space="preserve"> 投标有效期应按规定的期限作出承诺，具体详见“投标人须知前附表”。</w:t>
      </w:r>
    </w:p>
    <w:p w14:paraId="2CC69020">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17.3投标人的投标文件在投标有效期内均保持有效。</w:t>
      </w:r>
      <w:bookmarkEnd w:id="122"/>
      <w:bookmarkEnd w:id="123"/>
    </w:p>
    <w:p w14:paraId="05265D03">
      <w:pPr>
        <w:spacing w:line="360" w:lineRule="auto"/>
        <w:ind w:firstLine="480" w:firstLineChars="200"/>
        <w:rPr>
          <w:rFonts w:hint="eastAsia" w:ascii="宋体" w:hAnsi="宋体" w:eastAsia="宋体" w:cs="宋体"/>
          <w:color w:val="auto"/>
          <w:sz w:val="24"/>
          <w:highlight w:val="none"/>
        </w:rPr>
      </w:pPr>
      <w:bookmarkStart w:id="124" w:name="_18.投标保证金"/>
      <w:bookmarkEnd w:id="124"/>
      <w:bookmarkStart w:id="125" w:name="_Toc254970541"/>
      <w:bookmarkStart w:id="126" w:name="_Toc254970682"/>
      <w:r>
        <w:rPr>
          <w:rFonts w:hint="eastAsia" w:ascii="宋体" w:hAnsi="宋体" w:eastAsia="宋体" w:cs="宋体"/>
          <w:color w:val="auto"/>
          <w:sz w:val="24"/>
          <w:highlight w:val="none"/>
        </w:rPr>
        <w:t>18.投标保证金</w:t>
      </w:r>
      <w:bookmarkEnd w:id="125"/>
      <w:bookmarkEnd w:id="126"/>
    </w:p>
    <w:p w14:paraId="70FD9CE8">
      <w:pPr>
        <w:spacing w:line="360" w:lineRule="auto"/>
        <w:ind w:firstLine="420" w:firstLineChars="200"/>
        <w:rPr>
          <w:rFonts w:hint="eastAsia" w:ascii="宋体" w:hAnsi="宋体" w:eastAsia="宋体" w:cs="宋体"/>
          <w:color w:val="auto"/>
          <w:szCs w:val="21"/>
          <w:highlight w:val="none"/>
        </w:rPr>
      </w:pPr>
      <w:bookmarkStart w:id="127" w:name="_Toc254970542"/>
      <w:bookmarkStart w:id="128" w:name="_Toc254970683"/>
      <w:r>
        <w:rPr>
          <w:rFonts w:hint="eastAsia" w:ascii="宋体" w:hAnsi="宋体" w:eastAsia="宋体" w:cs="宋体"/>
          <w:color w:val="auto"/>
          <w:szCs w:val="21"/>
          <w:highlight w:val="none"/>
        </w:rPr>
        <w:t>见“投标人须知前附表”。</w:t>
      </w:r>
    </w:p>
    <w:p w14:paraId="339A5FB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19.投标文件的</w:t>
      </w:r>
      <w:bookmarkEnd w:id="127"/>
      <w:bookmarkEnd w:id="128"/>
      <w:r>
        <w:rPr>
          <w:rFonts w:hint="eastAsia" w:ascii="宋体" w:hAnsi="宋体" w:eastAsia="宋体" w:cs="宋体"/>
          <w:color w:val="auto"/>
          <w:sz w:val="24"/>
          <w:highlight w:val="none"/>
        </w:rPr>
        <w:t>编制</w:t>
      </w:r>
    </w:p>
    <w:p w14:paraId="12D262EE">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129" w:name="_19.2投标文件应按报价文件、资格证明文件、商务文件、技术文件分别编制"/>
      <w:bookmarkEnd w:id="129"/>
      <w:r>
        <w:rPr>
          <w:rFonts w:hint="eastAsia" w:ascii="宋体" w:hAnsi="宋体" w:eastAsia="宋体" w:cs="宋体"/>
          <w:color w:val="auto"/>
          <w:szCs w:val="21"/>
          <w:highlight w:val="none"/>
        </w:rPr>
        <w:t xml:space="preserve"> </w:t>
      </w:r>
    </w:p>
    <w:p w14:paraId="7A6F6B69">
      <w:pPr>
        <w:pStyle w:val="33"/>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19.2投标文件按照招标文件第六章格式要求在规定位置进行签署、盖章。投标人的投标文件未按照招标文件要求签署、盖章的，</w:t>
      </w:r>
      <w:r>
        <w:rPr>
          <w:rFonts w:hint="eastAsia" w:ascii="宋体" w:hAnsi="宋体" w:eastAsia="宋体" w:cs="宋体"/>
          <w:b/>
          <w:color w:val="auto"/>
          <w:sz w:val="21"/>
          <w:szCs w:val="21"/>
          <w:highlight w:val="none"/>
        </w:rPr>
        <w:t>其投标无效。</w:t>
      </w:r>
      <w:r>
        <w:rPr>
          <w:rFonts w:hint="eastAsia" w:ascii="宋体" w:hAnsi="宋体" w:eastAsia="宋体" w:cs="宋体"/>
          <w:color w:val="auto"/>
          <w:sz w:val="21"/>
          <w:szCs w:val="21"/>
          <w:highlight w:val="none"/>
        </w:rPr>
        <w:t>骑缝盖公章不视为在规定位置盖章。</w:t>
      </w:r>
    </w:p>
    <w:p w14:paraId="24724932">
      <w:pPr>
        <w:pStyle w:val="33"/>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19.3为确保网上操作合法、有效和安全，投标人应当在投标截止时间前完成在</w:t>
      </w:r>
      <w:r>
        <w:rPr>
          <w:rFonts w:hint="eastAsia" w:ascii="宋体" w:hAnsi="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的身份认证，确保在电子投标过程中能够对相关数据电文进行加密和使用电子签名。</w:t>
      </w:r>
    </w:p>
    <w:p w14:paraId="7DD05BF8">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eastAsia="宋体" w:cs="宋体"/>
          <w:color w:val="auto"/>
          <w:szCs w:val="21"/>
          <w:highlight w:val="none"/>
        </w:rPr>
        <w:t>否则作无效投标处理</w:t>
      </w:r>
      <w:r>
        <w:rPr>
          <w:rFonts w:hint="eastAsia" w:ascii="宋体" w:hAnsi="宋体" w:eastAsia="宋体" w:cs="宋体"/>
          <w:b/>
          <w:color w:val="auto"/>
          <w:szCs w:val="21"/>
          <w:highlight w:val="none"/>
        </w:rPr>
        <w:t>。</w:t>
      </w:r>
    </w:p>
    <w:p w14:paraId="541F20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19.5投标文件应避免涂改、行间插字或者删除，</w:t>
      </w:r>
      <w:r>
        <w:rPr>
          <w:rFonts w:hint="eastAsia" w:ascii="宋体" w:hAnsi="宋体" w:eastAsia="宋体" w:cs="宋体"/>
          <w:b/>
          <w:color w:val="auto"/>
          <w:szCs w:val="21"/>
          <w:highlight w:val="none"/>
        </w:rPr>
        <w:t>否则其投标无效。</w:t>
      </w:r>
    </w:p>
    <w:p w14:paraId="7CABCD0E">
      <w:pP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19.6 对招标文件的实质性要求和条件作出响应是指投标人必须对招标文件中标注为实质性要求和条件的</w:t>
      </w:r>
      <w:r>
        <w:rPr>
          <w:rFonts w:hint="eastAsia" w:ascii="宋体" w:hAnsi="宋体" w:eastAsia="宋体" w:cs="宋体"/>
          <w:color w:val="auto"/>
          <w:szCs w:val="21"/>
          <w:highlight w:val="none"/>
        </w:rPr>
        <w:t>服务内容及要求</w:t>
      </w:r>
      <w:r>
        <w:rPr>
          <w:rFonts w:hint="eastAsia" w:ascii="宋体" w:hAnsi="宋体" w:eastAsia="宋体" w:cs="宋体"/>
          <w:color w:val="auto"/>
          <w:highlight w:val="none"/>
        </w:rPr>
        <w:t>、商务条款及其它内容</w:t>
      </w:r>
      <w:r>
        <w:rPr>
          <w:rFonts w:hint="eastAsia" w:ascii="宋体" w:hAnsi="宋体" w:eastAsia="宋体" w:cs="宋体"/>
          <w:b/>
          <w:color w:val="auto"/>
          <w:highlight w:val="none"/>
        </w:rPr>
        <w:t>作出满足或者优于原要求和条件的承诺</w:t>
      </w:r>
      <w:r>
        <w:rPr>
          <w:rFonts w:hint="eastAsia" w:ascii="宋体" w:hAnsi="宋体" w:eastAsia="宋体" w:cs="宋体"/>
          <w:color w:val="auto"/>
          <w:highlight w:val="none"/>
        </w:rPr>
        <w:t>。</w:t>
      </w:r>
    </w:p>
    <w:p w14:paraId="4F9CE20B">
      <w:pPr>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19.7本项目为南宁市全流程电子化项目，异常情况见“第二节 投标人须知正文”中“四、24.2开标程序。</w:t>
      </w:r>
    </w:p>
    <w:p w14:paraId="7DB949A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20.备份投标文件</w:t>
      </w:r>
    </w:p>
    <w:p w14:paraId="5D23174B">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详见在“投标人须知前附表”。</w:t>
      </w:r>
    </w:p>
    <w:p w14:paraId="293B66F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21.投标文件的提交</w:t>
      </w:r>
    </w:p>
    <w:p w14:paraId="30ABC58E">
      <w:pPr>
        <w:spacing w:line="360" w:lineRule="auto"/>
        <w:ind w:firstLine="420" w:firstLineChars="200"/>
        <w:rPr>
          <w:rFonts w:hint="eastAsia" w:ascii="宋体" w:hAnsi="宋体" w:eastAsia="宋体" w:cs="宋体"/>
          <w:b/>
          <w:color w:val="auto"/>
          <w:highlight w:val="none"/>
        </w:rPr>
      </w:pPr>
      <w:bookmarkStart w:id="130" w:name="_21.1投标人必须在“投标人须知中的前附表”规定的投标文件接收时间和投"/>
      <w:bookmarkEnd w:id="130"/>
      <w:r>
        <w:rPr>
          <w:rFonts w:hint="eastAsia" w:ascii="宋体" w:hAnsi="宋体" w:eastAsia="宋体" w:cs="宋体"/>
          <w:bCs/>
          <w:color w:val="auto"/>
          <w:szCs w:val="21"/>
          <w:highlight w:val="none"/>
        </w:rPr>
        <w:t xml:space="preserve">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广西政府采购云平台”。 </w:t>
      </w:r>
      <w:r>
        <w:rPr>
          <w:rFonts w:hint="eastAsia" w:ascii="宋体" w:hAnsi="宋体" w:eastAsia="宋体" w:cs="宋体"/>
          <w:b/>
          <w:color w:val="auto"/>
          <w:highlight w:val="none"/>
        </w:rPr>
        <w:t xml:space="preserve"> </w:t>
      </w:r>
    </w:p>
    <w:p w14:paraId="4C07F5FF">
      <w:pPr>
        <w:spacing w:line="360" w:lineRule="auto"/>
        <w:ind w:firstLine="422" w:firstLineChars="200"/>
        <w:rPr>
          <w:rFonts w:hint="eastAsia" w:ascii="宋体" w:hAnsi="宋体" w:eastAsia="宋体" w:cs="宋体"/>
          <w:b/>
          <w:color w:val="auto"/>
          <w:szCs w:val="20"/>
          <w:highlight w:val="none"/>
        </w:rPr>
      </w:pPr>
      <w:r>
        <w:rPr>
          <w:rFonts w:hint="eastAsia" w:ascii="宋体" w:hAnsi="宋体" w:eastAsia="宋体" w:cs="宋体"/>
          <w:b/>
          <w:color w:val="auto"/>
          <w:szCs w:val="21"/>
          <w:highlight w:val="none"/>
        </w:rPr>
        <w:t>21.2未在规定时间内提交或者未按照招标文件要求密封或者标记的电子投标文件，</w:t>
      </w:r>
      <w:r>
        <w:rPr>
          <w:rFonts w:hint="eastAsia" w:ascii="宋体" w:hAnsi="宋体" w:cs="宋体"/>
          <w:b/>
          <w:color w:val="auto"/>
          <w:szCs w:val="21"/>
          <w:highlight w:val="none"/>
          <w:lang w:eastAsia="zh-CN"/>
        </w:rPr>
        <w:t>广西政府采购云平台</w:t>
      </w:r>
      <w:r>
        <w:rPr>
          <w:rFonts w:hint="eastAsia" w:ascii="宋体" w:hAnsi="宋体" w:eastAsia="宋体" w:cs="宋体"/>
          <w:b/>
          <w:color w:val="auto"/>
          <w:szCs w:val="21"/>
          <w:highlight w:val="none"/>
        </w:rPr>
        <w:t>将拒收。</w:t>
      </w:r>
    </w:p>
    <w:p w14:paraId="24DC4E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21.3电子版投标文件提交方式见“招标公告”中“四、提交投标文件截止时间、开标时间和地点”</w:t>
      </w:r>
      <w:r>
        <w:rPr>
          <w:rFonts w:hint="eastAsia" w:ascii="宋体" w:hAnsi="宋体" w:eastAsia="宋体" w:cs="宋体"/>
          <w:b/>
          <w:color w:val="auto"/>
          <w:szCs w:val="21"/>
          <w:highlight w:val="none"/>
        </w:rPr>
        <w:t xml:space="preserve"> 。</w:t>
      </w:r>
    </w:p>
    <w:p w14:paraId="28EC7EE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 投标文件的补充、修改、撤回与退回</w:t>
      </w:r>
      <w:bookmarkStart w:id="131" w:name="_Toc254970543"/>
      <w:bookmarkStart w:id="132" w:name="_Toc254970684"/>
    </w:p>
    <w:p w14:paraId="3427427C">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将拒收。（补充、修改或者撤回方式见公告附件“电子投标文件制作与投送教程”）</w:t>
      </w:r>
    </w:p>
    <w:p w14:paraId="20865694">
      <w:pPr>
        <w:pStyle w:val="33"/>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r>
        <w:rPr>
          <w:rFonts w:hint="eastAsia" w:ascii="宋体" w:hAnsi="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收到投标文件，将妥善保存并即时向供应商发出确认回执通知。在投标截止时间前，除供应商补充、修改或者撤回投标文件外，任何单位和个人不得解密或提取投标文件。</w:t>
      </w:r>
    </w:p>
    <w:bookmarkEnd w:id="131"/>
    <w:bookmarkEnd w:id="132"/>
    <w:p w14:paraId="2D70C9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22.3在投标截止时间止提交电子版投标文件的投标人不足3家时，电子版投标文件由代理机构在</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操作退回，除此之外采购人和采购代理机构对已提交的投标文件概不退回。</w:t>
      </w:r>
    </w:p>
    <w:p w14:paraId="516DAC3E">
      <w:pPr>
        <w:pStyle w:val="10"/>
        <w:snapToGrid w:val="0"/>
        <w:spacing w:line="400" w:lineRule="exact"/>
        <w:ind w:firstLine="739"/>
        <w:rPr>
          <w:rFonts w:hint="eastAsia" w:ascii="宋体" w:hAnsi="宋体" w:eastAsia="宋体" w:cs="宋体"/>
          <w:snapToGrid w:val="0"/>
          <w:color w:val="auto"/>
          <w:sz w:val="21"/>
          <w:szCs w:val="21"/>
          <w:highlight w:val="none"/>
        </w:rPr>
      </w:pPr>
    </w:p>
    <w:p w14:paraId="29599FE7">
      <w:pPr>
        <w:pStyle w:val="5"/>
        <w:keepNext w:val="0"/>
        <w:keepLines w:val="0"/>
        <w:spacing w:line="400" w:lineRule="exact"/>
        <w:jc w:val="center"/>
        <w:rPr>
          <w:rFonts w:hint="eastAsia" w:ascii="宋体" w:hAnsi="宋体" w:eastAsia="宋体" w:cs="宋体"/>
          <w:color w:val="auto"/>
          <w:highlight w:val="none"/>
        </w:rPr>
      </w:pPr>
      <w:bookmarkStart w:id="133" w:name="_Toc13250"/>
      <w:bookmarkStart w:id="134" w:name="_Toc254970685"/>
      <w:bookmarkStart w:id="135" w:name="_Toc254970544"/>
      <w:r>
        <w:rPr>
          <w:rFonts w:hint="eastAsia" w:ascii="宋体" w:hAnsi="宋体" w:eastAsia="宋体" w:cs="宋体"/>
          <w:color w:val="auto"/>
          <w:highlight w:val="none"/>
        </w:rPr>
        <w:t>四、开    标</w:t>
      </w:r>
      <w:bookmarkEnd w:id="133"/>
      <w:bookmarkEnd w:id="134"/>
      <w:bookmarkEnd w:id="135"/>
    </w:p>
    <w:p w14:paraId="1CFD522A">
      <w:pPr>
        <w:spacing w:line="360" w:lineRule="auto"/>
        <w:ind w:firstLine="480" w:firstLineChars="200"/>
        <w:rPr>
          <w:rFonts w:hint="eastAsia" w:ascii="宋体" w:hAnsi="宋体" w:eastAsia="宋体" w:cs="宋体"/>
          <w:color w:val="auto"/>
          <w:sz w:val="24"/>
          <w:highlight w:val="none"/>
        </w:rPr>
      </w:pPr>
      <w:bookmarkStart w:id="136" w:name="_23.开标时间和地点"/>
      <w:bookmarkEnd w:id="136"/>
      <w:r>
        <w:rPr>
          <w:rFonts w:hint="eastAsia" w:ascii="宋体" w:hAnsi="宋体" w:eastAsia="宋体" w:cs="宋体"/>
          <w:color w:val="auto"/>
          <w:sz w:val="24"/>
          <w:highlight w:val="none"/>
        </w:rPr>
        <w:t>23.开标时间和地点</w:t>
      </w:r>
    </w:p>
    <w:p w14:paraId="2423BCCE">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23.1开标时间及地点详见“投标人须知前附表”</w:t>
      </w:r>
    </w:p>
    <w:p w14:paraId="1E3553E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23.2如</w:t>
      </w:r>
      <w:r>
        <w:rPr>
          <w:rFonts w:hint="eastAsia" w:ascii="宋体" w:hAnsi="宋体" w:eastAsia="宋体" w:cs="宋体"/>
          <w:bCs/>
          <w:color w:val="auto"/>
          <w:highlight w:val="none"/>
        </w:rPr>
        <w:t>投标人成功解密投标文件，但未在“广西政府采购云平台”电子开标大厅参加开标的，视同认可开标过程和结果，</w:t>
      </w:r>
      <w:r>
        <w:rPr>
          <w:rFonts w:hint="eastAsia" w:ascii="宋体" w:hAnsi="宋体" w:eastAsia="宋体" w:cs="宋体"/>
          <w:color w:val="auto"/>
          <w:highlight w:val="none"/>
        </w:rPr>
        <w:t>由此产生的后果由投标人自行负责。 投标人不足3家的，不得开标。</w:t>
      </w:r>
    </w:p>
    <w:p w14:paraId="300FCD5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24.开标程序</w:t>
      </w:r>
    </w:p>
    <w:p w14:paraId="3316071C">
      <w:pPr>
        <w:autoSpaceDE w:val="0"/>
        <w:autoSpaceDN w:val="0"/>
        <w:adjustRightInd w:val="0"/>
        <w:spacing w:line="44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24.1</w:t>
      </w:r>
      <w:r>
        <w:rPr>
          <w:rFonts w:hint="eastAsia" w:ascii="宋体" w:hAnsi="宋体" w:eastAsia="宋体" w:cs="宋体"/>
          <w:color w:val="auto"/>
          <w:kern w:val="0"/>
          <w:szCs w:val="21"/>
          <w:highlight w:val="none"/>
        </w:rPr>
        <w:t>开标形式：</w:t>
      </w:r>
    </w:p>
    <w:p w14:paraId="218C1854">
      <w:pPr>
        <w:autoSpaceDE w:val="0"/>
        <w:autoSpaceDN w:val="0"/>
        <w:adjustRightInd w:val="0"/>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Cs/>
          <w:color w:val="auto"/>
          <w:szCs w:val="21"/>
          <w:highlight w:val="none"/>
        </w:rPr>
        <w:t>开标的准备工作由采购代理机构负责落实，采购代理机构必须基于</w:t>
      </w:r>
      <w:r>
        <w:rPr>
          <w:rFonts w:hint="eastAsia" w:ascii="宋体" w:hAnsi="宋体" w:cs="宋体"/>
          <w:bCs/>
          <w:color w:val="auto"/>
          <w:szCs w:val="21"/>
          <w:highlight w:val="none"/>
          <w:lang w:eastAsia="zh-CN"/>
        </w:rPr>
        <w:t>广西政府采购云平台</w:t>
      </w:r>
      <w:r>
        <w:rPr>
          <w:rFonts w:hint="eastAsia" w:ascii="宋体" w:hAnsi="宋体" w:eastAsia="宋体" w:cs="宋体"/>
          <w:bCs/>
          <w:color w:val="auto"/>
          <w:szCs w:val="21"/>
          <w:highlight w:val="none"/>
        </w:rPr>
        <w:t>选取评审专家，如采购代理机构未按规定选取专家的，视为本次开评标无效，应当重新采购；</w:t>
      </w:r>
    </w:p>
    <w:p w14:paraId="29FF671F">
      <w:pPr>
        <w:autoSpaceDE w:val="0"/>
        <w:autoSpaceDN w:val="0"/>
        <w:adjustRightInd w:val="0"/>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（2）采购代理机构将按照招标文件规定的时间通过</w:t>
      </w:r>
      <w:r>
        <w:rPr>
          <w:rFonts w:hint="eastAsia" w:ascii="宋体" w:hAnsi="宋体" w:cs="宋体"/>
          <w:bCs/>
          <w:color w:val="auto"/>
          <w:szCs w:val="21"/>
          <w:highlight w:val="none"/>
          <w:lang w:eastAsia="zh-CN"/>
        </w:rPr>
        <w:t>广西政府采购云平台</w:t>
      </w:r>
      <w:r>
        <w:rPr>
          <w:rFonts w:hint="eastAsia" w:ascii="宋体" w:hAnsi="宋体" w:eastAsia="宋体" w:cs="宋体"/>
          <w:bCs/>
          <w:color w:val="auto"/>
          <w:szCs w:val="21"/>
          <w:highlight w:val="none"/>
        </w:rPr>
        <w:t>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68A83B91">
      <w:pPr>
        <w:autoSpaceDE w:val="0"/>
        <w:autoSpaceDN w:val="0"/>
        <w:adjustRightInd w:val="0"/>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24.2开标程序：</w:t>
      </w:r>
    </w:p>
    <w:p w14:paraId="61098A14">
      <w:pPr>
        <w:pStyle w:val="11"/>
        <w:snapToGrid w:val="0"/>
        <w:spacing w:line="44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（1）解密电子投标文件。</w:t>
      </w:r>
      <w:r>
        <w:rPr>
          <w:rFonts w:hint="eastAsia" w:hAnsi="宋体" w:cs="宋体"/>
          <w:b/>
          <w:color w:val="auto"/>
          <w:szCs w:val="21"/>
          <w:highlight w:val="none"/>
          <w:lang w:eastAsia="zh-CN"/>
        </w:rPr>
        <w:t>广西政府采购云平台</w:t>
      </w:r>
      <w:r>
        <w:rPr>
          <w:rFonts w:hint="eastAsia" w:ascii="宋体" w:hAnsi="宋体" w:eastAsia="宋体" w:cs="宋体"/>
          <w:color w:val="auto"/>
          <w:szCs w:val="21"/>
          <w:highlight w:val="none"/>
        </w:rPr>
        <w:t>按开标时间自动提取所有投标文件。采购代理机构依托</w:t>
      </w:r>
      <w:r>
        <w:rPr>
          <w:rFonts w:hint="eastAsia" w:hAnsi="宋体" w:cs="宋体"/>
          <w:color w:val="auto"/>
          <w:szCs w:val="21"/>
          <w:highlight w:val="none"/>
          <w:lang w:eastAsia="zh-CN"/>
        </w:rPr>
        <w:t>广西政府采购云平台</w:t>
      </w:r>
      <w:r>
        <w:rPr>
          <w:rFonts w:hint="eastAsia" w:ascii="宋体" w:hAnsi="宋体" w:eastAsia="宋体" w:cs="宋体"/>
          <w:color w:val="auto"/>
          <w:szCs w:val="21"/>
          <w:highlight w:val="none"/>
        </w:rPr>
        <w:t>向各投标人发出电子加密投标文件【开始解密】通知，由投标人按招标文件规定的时间内自行进行投标文件解密。投标人的法定代表人或其委托代理人</w:t>
      </w:r>
      <w:r>
        <w:rPr>
          <w:rFonts w:hint="eastAsia" w:ascii="宋体" w:hAnsi="宋体" w:eastAsia="宋体" w:cs="宋体"/>
          <w:b/>
          <w:color w:val="auto"/>
          <w:szCs w:val="21"/>
          <w:highlight w:val="none"/>
        </w:rPr>
        <w:t>须携带加密时所用的CA锁准时登录到</w:t>
      </w:r>
      <w:r>
        <w:rPr>
          <w:rFonts w:hint="eastAsia" w:hAnsi="宋体" w:cs="宋体"/>
          <w:b/>
          <w:color w:val="auto"/>
          <w:szCs w:val="21"/>
          <w:highlight w:val="none"/>
          <w:lang w:eastAsia="zh-CN"/>
        </w:rPr>
        <w:t>广西政府采购云平台</w:t>
      </w:r>
      <w:r>
        <w:rPr>
          <w:rFonts w:hint="eastAsia" w:ascii="宋体" w:hAnsi="宋体" w:eastAsia="宋体" w:cs="宋体"/>
          <w:b/>
          <w:color w:val="auto"/>
          <w:szCs w:val="21"/>
          <w:highlight w:val="none"/>
        </w:rPr>
        <w:t>电子开标大厅签到并对电子投标文件解密</w:t>
      </w:r>
      <w:r>
        <w:rPr>
          <w:rFonts w:hint="eastAsia" w:ascii="宋体" w:hAnsi="宋体" w:eastAsia="宋体" w:cs="宋体"/>
          <w:color w:val="auto"/>
          <w:szCs w:val="21"/>
          <w:highlight w:val="none"/>
        </w:rPr>
        <w:t>。开标后5分钟投标人还未进行解密的，代理机构要通知投标人。通知后，投标文件仍未按时解密，或者投标人没预留联系方式或预留联系方式无效，导致代理机构无法联系到投标人进行解密的，</w:t>
      </w:r>
      <w:r>
        <w:rPr>
          <w:rFonts w:hint="eastAsia" w:ascii="宋体" w:hAnsi="宋体" w:eastAsia="宋体" w:cs="宋体"/>
          <w:b/>
          <w:color w:val="auto"/>
          <w:szCs w:val="21"/>
          <w:highlight w:val="none"/>
        </w:rPr>
        <w:t>均视为无效投标。</w:t>
      </w:r>
    </w:p>
    <w:p w14:paraId="2CCBFC8A">
      <w:pPr>
        <w:pStyle w:val="11"/>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（解密</w:t>
      </w:r>
      <w:r>
        <w:rPr>
          <w:rFonts w:hint="eastAsia" w:ascii="宋体" w:hAnsi="宋体" w:eastAsia="宋体" w:cs="宋体"/>
          <w:bCs/>
          <w:color w:val="auto"/>
          <w:szCs w:val="21"/>
          <w:highlight w:val="none"/>
        </w:rPr>
        <w:t>异常情况处理：详见本章</w:t>
      </w:r>
      <w:r>
        <w:rPr>
          <w:rFonts w:hint="eastAsia" w:ascii="宋体" w:hAnsi="宋体" w:eastAsia="宋体" w:cs="宋体"/>
          <w:color w:val="auto"/>
          <w:highlight w:val="none"/>
        </w:rPr>
        <w:t>29.3 电子交易活动的中止。</w:t>
      </w:r>
      <w:r>
        <w:rPr>
          <w:rFonts w:hint="eastAsia" w:ascii="宋体" w:hAnsi="宋体" w:eastAsia="宋体" w:cs="宋体"/>
          <w:color w:val="auto"/>
          <w:szCs w:val="21"/>
          <w:highlight w:val="none"/>
        </w:rPr>
        <w:t>）</w:t>
      </w:r>
    </w:p>
    <w:p w14:paraId="57522D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
          <w:color w:val="auto"/>
          <w:szCs w:val="21"/>
          <w:highlight w:val="none"/>
        </w:rPr>
        <w:t>电子唱标。</w:t>
      </w:r>
      <w:r>
        <w:rPr>
          <w:rFonts w:hint="eastAsia" w:ascii="宋体" w:hAnsi="宋体" w:eastAsia="宋体" w:cs="宋体"/>
          <w:color w:val="auto"/>
          <w:szCs w:val="21"/>
          <w:highlight w:val="none"/>
        </w:rPr>
        <w:t>投标文件解密结束，各投标供应商报价均在</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远程不见面开标大厅展示；</w:t>
      </w:r>
    </w:p>
    <w:p w14:paraId="7B8471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
          <w:color w:val="auto"/>
          <w:szCs w:val="21"/>
          <w:highlight w:val="none"/>
        </w:rPr>
        <w:t>签署电子《政府采购活动现场确认声明书》。</w:t>
      </w:r>
      <w:r>
        <w:rPr>
          <w:rFonts w:hint="eastAsia" w:ascii="宋体" w:hAnsi="宋体" w:eastAsia="宋体" w:cs="宋体"/>
          <w:color w:val="auto"/>
          <w:szCs w:val="21"/>
          <w:highlight w:val="none"/>
        </w:rPr>
        <w:t>通过邮件形式在远程不见面开标大厅发送各投标人签署电子《政府采购活动现场确认声明书》。</w:t>
      </w:r>
    </w:p>
    <w:p w14:paraId="1D635A38">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66927B60">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19AF2DA4">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（6）开标结束。</w:t>
      </w:r>
    </w:p>
    <w:p w14:paraId="54E50B94">
      <w:pPr>
        <w:pStyle w:val="11"/>
        <w:snapToGrid w:val="0"/>
        <w:spacing w:line="440" w:lineRule="exact"/>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特别说明：</w:t>
      </w:r>
      <w:r>
        <w:rPr>
          <w:rFonts w:hint="eastAsia" w:ascii="宋体" w:hAnsi="宋体" w:eastAsia="宋体" w:cs="宋体"/>
          <w:color w:val="auto"/>
          <w:szCs w:val="21"/>
          <w:highlight w:val="none"/>
        </w:rPr>
        <w:t>如遇</w:t>
      </w:r>
      <w:r>
        <w:rPr>
          <w:rFonts w:hint="eastAsia" w:hAnsi="宋体" w:cs="宋体"/>
          <w:color w:val="auto"/>
          <w:szCs w:val="21"/>
          <w:highlight w:val="none"/>
          <w:lang w:eastAsia="zh-CN"/>
        </w:rPr>
        <w:t>广西政府采购云平台</w:t>
      </w:r>
      <w:r>
        <w:rPr>
          <w:rFonts w:hint="eastAsia" w:ascii="宋体" w:hAnsi="宋体" w:eastAsia="宋体" w:cs="宋体"/>
          <w:color w:val="auto"/>
          <w:szCs w:val="21"/>
          <w:highlight w:val="none"/>
        </w:rPr>
        <w:t>电子化开标或评审程序调整的，按调整后执行。</w:t>
      </w:r>
    </w:p>
    <w:p w14:paraId="630DD1FB">
      <w:pPr>
        <w:pStyle w:val="11"/>
        <w:snapToGrid w:val="0"/>
        <w:spacing w:line="400" w:lineRule="exact"/>
        <w:ind w:left="689" w:leftChars="228" w:hanging="210" w:hangingChars="100"/>
        <w:rPr>
          <w:rFonts w:hint="eastAsia" w:ascii="宋体" w:hAnsi="宋体" w:eastAsia="宋体" w:cs="宋体"/>
          <w:color w:val="auto"/>
          <w:highlight w:val="none"/>
        </w:rPr>
      </w:pPr>
    </w:p>
    <w:p w14:paraId="41752E40">
      <w:pPr>
        <w:pStyle w:val="5"/>
        <w:keepNext w:val="0"/>
        <w:keepLines w:val="0"/>
        <w:spacing w:line="400" w:lineRule="exact"/>
        <w:jc w:val="center"/>
        <w:rPr>
          <w:rFonts w:hint="eastAsia" w:ascii="宋体" w:hAnsi="宋体" w:eastAsia="宋体" w:cs="宋体"/>
          <w:color w:val="auto"/>
          <w:highlight w:val="none"/>
        </w:rPr>
      </w:pPr>
      <w:bookmarkStart w:id="137" w:name="_Toc31994"/>
      <w:r>
        <w:rPr>
          <w:rFonts w:hint="eastAsia" w:ascii="宋体" w:hAnsi="宋体" w:eastAsia="宋体" w:cs="宋体"/>
          <w:color w:val="auto"/>
          <w:highlight w:val="none"/>
        </w:rPr>
        <w:t>五、资格审查</w:t>
      </w:r>
      <w:bookmarkEnd w:id="137"/>
    </w:p>
    <w:p w14:paraId="0133654A">
      <w:pPr>
        <w:pStyle w:val="6"/>
        <w:keepNext w:val="0"/>
        <w:keepLines w:val="0"/>
        <w:spacing w:before="0" w:after="0"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25.资格审查</w:t>
      </w:r>
    </w:p>
    <w:p w14:paraId="763E0851">
      <w:pPr>
        <w:spacing w:line="360" w:lineRule="auto"/>
        <w:ind w:firstLine="422" w:firstLineChars="200"/>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 xml:space="preserve"> 25.1开标结束后，采购人或采购机构依法通过电子投标文件对投标人的资格进行线上审查。</w:t>
      </w:r>
    </w:p>
    <w:p w14:paraId="02A47437">
      <w:pPr>
        <w:spacing w:line="360" w:lineRule="auto"/>
        <w:ind w:firstLine="422" w:firstLineChars="200"/>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 xml:space="preserve"> 25.2采购人或采购机构依据法律法规和招标文件的规定，对投标人的基本资格条件、特定资格条件进行审查。</w:t>
      </w:r>
    </w:p>
    <w:p w14:paraId="2392EA6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7F480CB1">
      <w:pPr>
        <w:spacing w:line="360" w:lineRule="auto"/>
        <w:ind w:firstLine="422" w:firstLineChars="200"/>
        <w:rPr>
          <w:rFonts w:hint="eastAsia" w:ascii="宋体" w:hAnsi="宋体" w:eastAsia="宋体" w:cs="宋体"/>
          <w:b/>
          <w:bCs/>
          <w:color w:val="auto"/>
          <w:szCs w:val="20"/>
          <w:highlight w:val="none"/>
        </w:rPr>
      </w:pPr>
      <w:bookmarkStart w:id="138" w:name="_25.3_投标人有下列情形之一的，资格审查不通过而导致其投标无效："/>
      <w:bookmarkEnd w:id="138"/>
      <w:r>
        <w:rPr>
          <w:rFonts w:hint="eastAsia" w:ascii="宋体" w:hAnsi="宋体" w:eastAsia="宋体" w:cs="宋体"/>
          <w:b/>
          <w:bCs/>
          <w:color w:val="auto"/>
          <w:szCs w:val="20"/>
          <w:highlight w:val="none"/>
        </w:rPr>
        <w:t>25.4投标人有下列情形之一的，资格审查不通过，作无效投标处理：</w:t>
      </w:r>
    </w:p>
    <w:p w14:paraId="62AC1D4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（1）不具备招标文件中规定的资格要求的；（注：其中信用查询规则见“投标人须知前附表”，</w:t>
      </w:r>
      <w:r>
        <w:rPr>
          <w:rFonts w:hint="eastAsia" w:ascii="宋体" w:hAnsi="宋体" w:cs="宋体"/>
          <w:color w:val="auto"/>
          <w:highlight w:val="none"/>
          <w:lang w:eastAsia="zh-CN"/>
        </w:rPr>
        <w:t>广西政府采购云平台</w:t>
      </w:r>
      <w:r>
        <w:rPr>
          <w:rFonts w:hint="eastAsia" w:ascii="宋体" w:hAnsi="宋体" w:eastAsia="宋体" w:cs="宋体"/>
          <w:color w:val="auto"/>
          <w:highlight w:val="none"/>
        </w:rPr>
        <w:t>已与“信用中国”平台做接口，审查专家可直接在线查询）</w:t>
      </w:r>
    </w:p>
    <w:p w14:paraId="6817CC0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（2）投标文件未提供任一项“投标人须知前附表”资格证明文件规定的“必须提供”的文件资料的；</w:t>
      </w:r>
    </w:p>
    <w:p w14:paraId="4054ED7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（3）投标文件提供的资格证明文件出现任一项不符合“投标人须知前附表”资格证明文件规定的“必须提供”的文件资料要求或者无效的。</w:t>
      </w:r>
    </w:p>
    <w:p w14:paraId="2862D13A">
      <w:pPr>
        <w:pStyle w:val="6"/>
        <w:keepNext w:val="0"/>
        <w:keepLines w:val="0"/>
        <w:spacing w:before="0" w:after="0" w:line="360" w:lineRule="auto"/>
        <w:ind w:firstLine="420" w:firstLineChars="200"/>
        <w:rPr>
          <w:rFonts w:hint="eastAsia" w:ascii="宋体" w:hAnsi="宋体" w:eastAsia="宋体" w:cs="宋体"/>
          <w:b w:val="0"/>
          <w:bCs w:val="0"/>
          <w:color w:val="auto"/>
          <w:sz w:val="21"/>
          <w:szCs w:val="20"/>
          <w:highlight w:val="none"/>
        </w:rPr>
      </w:pPr>
      <w:r>
        <w:rPr>
          <w:rFonts w:hint="eastAsia" w:ascii="宋体" w:hAnsi="宋体" w:eastAsia="宋体" w:cs="宋体"/>
          <w:b w:val="0"/>
          <w:bCs w:val="0"/>
          <w:color w:val="auto"/>
          <w:sz w:val="21"/>
          <w:szCs w:val="20"/>
          <w:highlight w:val="none"/>
        </w:rPr>
        <w:t>25.5资格审查的合格投标人不足3家的，不得评标。</w:t>
      </w:r>
    </w:p>
    <w:p w14:paraId="43FE7FEA">
      <w:pPr>
        <w:pStyle w:val="5"/>
        <w:keepNext w:val="0"/>
        <w:keepLines w:val="0"/>
        <w:spacing w:line="360" w:lineRule="auto"/>
        <w:jc w:val="center"/>
        <w:rPr>
          <w:rFonts w:hint="eastAsia" w:ascii="宋体" w:hAnsi="宋体" w:eastAsia="宋体" w:cs="宋体"/>
          <w:color w:val="auto"/>
          <w:highlight w:val="none"/>
        </w:rPr>
      </w:pPr>
      <w:bookmarkStart w:id="139" w:name="_Toc20983"/>
      <w:r>
        <w:rPr>
          <w:rFonts w:hint="eastAsia" w:ascii="宋体" w:hAnsi="宋体" w:eastAsia="宋体" w:cs="宋体"/>
          <w:color w:val="auto"/>
          <w:highlight w:val="none"/>
        </w:rPr>
        <w:t>六、评   标</w:t>
      </w:r>
      <w:bookmarkEnd w:id="139"/>
    </w:p>
    <w:p w14:paraId="3C6CD9DC">
      <w:pPr>
        <w:spacing w:line="360" w:lineRule="auto"/>
        <w:ind w:firstLine="480" w:firstLineChars="200"/>
        <w:rPr>
          <w:rFonts w:hint="eastAsia" w:ascii="宋体" w:hAnsi="宋体" w:eastAsia="宋体" w:cs="宋体"/>
          <w:color w:val="auto"/>
          <w:sz w:val="24"/>
          <w:highlight w:val="none"/>
        </w:rPr>
      </w:pPr>
      <w:bookmarkStart w:id="140" w:name="_26.组建评标委员会"/>
      <w:bookmarkEnd w:id="140"/>
      <w:r>
        <w:rPr>
          <w:rFonts w:hint="eastAsia" w:ascii="宋体" w:hAnsi="宋体" w:eastAsia="宋体" w:cs="宋体"/>
          <w:color w:val="auto"/>
          <w:sz w:val="24"/>
          <w:highlight w:val="none"/>
        </w:rPr>
        <w:t>26.组建评标委员会</w:t>
      </w:r>
    </w:p>
    <w:p w14:paraId="510621D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评标委员会由采购人代表和评审专家组成，人数为5人以上单数，其中评审专家不得少于成员总数的三分之二。</w:t>
      </w:r>
    </w:p>
    <w:p w14:paraId="2298694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参加过采购项目前期咨询论证的专家，不得参加该采购项目的评审活动。</w:t>
      </w:r>
    </w:p>
    <w:p w14:paraId="6A551F4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27.评标的依据</w:t>
      </w:r>
    </w:p>
    <w:p w14:paraId="1D3A29A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评标委员会以招标文件为依据对投标文件进行评审，“第四章 评标方法和评标标准”没有规定的方法、评审因素和标准，不作为评标依据。</w:t>
      </w:r>
    </w:p>
    <w:p w14:paraId="3D11CE1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28.评标原则</w:t>
      </w:r>
    </w:p>
    <w:p w14:paraId="05154A7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6863978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41" w:name="_28.3评标方法。本项目将按须知前附表规定的评标办法进行评标，具体评标"/>
      <w:bookmarkEnd w:id="141"/>
    </w:p>
    <w:p w14:paraId="0184515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0BED93F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28.4评标过程的监控。本项目电子评标过程实行网上留痕、全程录音、录像监控，投标人在评标过程中所进行的试图影响评标结果的不公正活动，可能导致其投标按无效处理。</w:t>
      </w:r>
    </w:p>
    <w:p w14:paraId="46E66A2D">
      <w:pPr>
        <w:widowControl/>
        <w:spacing w:line="560" w:lineRule="exact"/>
        <w:ind w:firstLine="420" w:firstLineChars="20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B0EC22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29.评标方法及评标标准</w:t>
      </w:r>
    </w:p>
    <w:p w14:paraId="600B60E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29.1本项目的评标方法详见“投标人须知前附表”。</w:t>
      </w:r>
    </w:p>
    <w:p w14:paraId="45F56BC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29.2 评标委员会按照</w:t>
      </w:r>
      <w:r>
        <w:rPr>
          <w:rFonts w:hint="eastAsia" w:ascii="宋体" w:hAnsi="宋体" w:eastAsia="宋体" w:cs="宋体"/>
          <w:b/>
          <w:color w:val="auto"/>
          <w:highlight w:val="none"/>
        </w:rPr>
        <w:t>“第四章 评标方法和评标标准”</w:t>
      </w:r>
      <w:r>
        <w:rPr>
          <w:rFonts w:hint="eastAsia" w:ascii="宋体" w:hAnsi="宋体" w:eastAsia="宋体" w:cs="宋体"/>
          <w:color w:val="auto"/>
          <w:highlight w:val="none"/>
        </w:rPr>
        <w:t>规定的方法、评审因素、标准和程序对投标文件进行评审。</w:t>
      </w:r>
    </w:p>
    <w:p w14:paraId="1E3FFDC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29.3 电子交易活动的中止。采购过程中出现以下情形，导致电子交易平台无法正常运行，或者无法保证电子交易的公平、公正和安全时，采购机构可中止电子交易活动：</w:t>
      </w:r>
    </w:p>
    <w:p w14:paraId="24D383E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1CAD3BF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1DAD3BC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259278E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1438E8E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465E6A9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1FD323C">
      <w:pPr>
        <w:pStyle w:val="11"/>
        <w:snapToGrid w:val="0"/>
        <w:spacing w:line="400" w:lineRule="exact"/>
        <w:ind w:firstLine="420" w:firstLineChars="200"/>
        <w:rPr>
          <w:rFonts w:hint="eastAsia" w:ascii="宋体" w:hAnsi="宋体" w:eastAsia="宋体" w:cs="宋体"/>
          <w:color w:val="auto"/>
          <w:highlight w:val="none"/>
        </w:rPr>
      </w:pPr>
    </w:p>
    <w:p w14:paraId="55CD533D">
      <w:pPr>
        <w:pStyle w:val="5"/>
        <w:keepNext w:val="0"/>
        <w:keepLines w:val="0"/>
        <w:spacing w:line="400" w:lineRule="exact"/>
        <w:jc w:val="center"/>
        <w:rPr>
          <w:rFonts w:hint="eastAsia" w:ascii="宋体" w:hAnsi="宋体" w:eastAsia="宋体" w:cs="宋体"/>
          <w:color w:val="auto"/>
          <w:highlight w:val="none"/>
        </w:rPr>
      </w:pPr>
      <w:bookmarkStart w:id="142" w:name="_Toc254970687"/>
      <w:bookmarkStart w:id="143" w:name="_Toc254970546"/>
      <w:bookmarkStart w:id="144" w:name="_Toc24771"/>
      <w:r>
        <w:rPr>
          <w:rFonts w:hint="eastAsia" w:ascii="宋体" w:hAnsi="宋体" w:eastAsia="宋体" w:cs="宋体"/>
          <w:color w:val="auto"/>
          <w:highlight w:val="none"/>
        </w:rPr>
        <w:t>七、</w:t>
      </w:r>
      <w:bookmarkEnd w:id="142"/>
      <w:bookmarkEnd w:id="143"/>
      <w:r>
        <w:rPr>
          <w:rFonts w:hint="eastAsia" w:ascii="宋体" w:hAnsi="宋体" w:eastAsia="宋体" w:cs="宋体"/>
          <w:color w:val="auto"/>
          <w:highlight w:val="none"/>
        </w:rPr>
        <w:t>中标和合同</w:t>
      </w:r>
      <w:bookmarkEnd w:id="144"/>
    </w:p>
    <w:p w14:paraId="649CEBA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30.确定中标人</w:t>
      </w:r>
    </w:p>
    <w:p w14:paraId="7B4973FD">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30.1本项目授权评标委员会直接按第四章“评标方法及标准”的规定排列中标候选人顺序，并依照次序确定中标人。</w:t>
      </w:r>
    </w:p>
    <w:p w14:paraId="4F0D12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1CB4E0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30.3中标供应商无正当理由拒签合同的，根据《中华人民共和国政府采购法》第七十七条第一款规定处理。</w:t>
      </w:r>
    </w:p>
    <w:p w14:paraId="602376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30.4根据《中华人民共和国民法典》</w:t>
      </w:r>
      <w:r>
        <w:rPr>
          <w:rFonts w:hint="eastAsia" w:ascii="宋体" w:hAnsi="宋体" w:eastAsia="宋体" w:cs="宋体"/>
          <w:color w:val="auto"/>
          <w:sz w:val="19"/>
          <w:szCs w:val="19"/>
          <w:highlight w:val="none"/>
        </w:rPr>
        <w:t>第五百六十三条</w:t>
      </w:r>
      <w:r>
        <w:rPr>
          <w:rFonts w:hint="eastAsia" w:ascii="宋体" w:hAnsi="宋体" w:eastAsia="宋体" w:cs="宋体"/>
          <w:color w:val="auto"/>
          <w:szCs w:val="21"/>
          <w:highlight w:val="none"/>
        </w:rPr>
        <w:t>，因不可抗力致使不能实现合同目的的，当事人可以解除合同。</w:t>
      </w:r>
    </w:p>
    <w:p w14:paraId="7164E48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 结果公告</w:t>
      </w:r>
    </w:p>
    <w:p w14:paraId="2ADB09A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31.1</w:t>
      </w:r>
      <w:r>
        <w:rPr>
          <w:rFonts w:hint="eastAsia" w:ascii="宋体" w:hAnsi="宋体" w:eastAsia="宋体" w:cs="宋体"/>
          <w:color w:val="auto"/>
          <w:highlight w:val="none"/>
        </w:rPr>
        <w:t>在中标供应商确定之日起2个工作日内，由采购代理机构</w:t>
      </w:r>
      <w:r>
        <w:rPr>
          <w:rFonts w:hint="eastAsia" w:ascii="宋体" w:hAnsi="宋体" w:eastAsia="宋体" w:cs="宋体"/>
          <w:b/>
          <w:color w:val="auto"/>
          <w:szCs w:val="21"/>
          <w:highlight w:val="none"/>
        </w:rPr>
        <w:t>在招标公告发布媒体上</w:t>
      </w:r>
      <w:r>
        <w:rPr>
          <w:rFonts w:hint="eastAsia" w:ascii="宋体" w:hAnsi="宋体" w:eastAsia="宋体" w:cs="宋体"/>
          <w:color w:val="auto"/>
          <w:highlight w:val="none"/>
        </w:rPr>
        <w:t>发布中标结果公告，中标结果公告期限为1个工作日，发布中标结果公告的同时向中标供应商发出中标通知书。</w:t>
      </w:r>
      <w:r>
        <w:rPr>
          <w:rFonts w:hint="eastAsia" w:ascii="宋体" w:hAnsi="宋体" w:eastAsia="宋体" w:cs="宋体"/>
          <w:b/>
          <w:color w:val="auto"/>
          <w:szCs w:val="21"/>
          <w:highlight w:val="none"/>
        </w:rPr>
        <w:t>采购代理机构发出中标通知书前，应当对中标人信用进行核实，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ascii="宋体" w:hAnsi="宋体" w:eastAsia="宋体" w:cs="宋体"/>
          <w:color w:val="auto"/>
          <w:szCs w:val="21"/>
          <w:highlight w:val="none"/>
        </w:rPr>
        <w:t>排名第二的中标候选人因前款规定的同样原因被取消中标资格的，授权的评标委员会可以确定排名第三的中标候选人为中标人，以此类推。</w:t>
      </w:r>
    </w:p>
    <w:p w14:paraId="7D73DE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以上信息查询记录及相关证据与采购文件一并保存。</w:t>
      </w:r>
    </w:p>
    <w:p w14:paraId="45D83B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69112C7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32.发出中标通知书</w:t>
      </w:r>
    </w:p>
    <w:p w14:paraId="2A61F6C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32.1在发布中标公告的同时，采购代理机构向中标人通过</w:t>
      </w:r>
      <w:r>
        <w:rPr>
          <w:rFonts w:hint="eastAsia" w:ascii="宋体" w:hAnsi="宋体" w:cs="宋体"/>
          <w:b/>
          <w:color w:val="auto"/>
          <w:szCs w:val="21"/>
          <w:highlight w:val="none"/>
          <w:lang w:eastAsia="zh-CN"/>
        </w:rPr>
        <w:t>广西政府采购云平台</w:t>
      </w:r>
      <w:r>
        <w:rPr>
          <w:rFonts w:hint="eastAsia" w:ascii="宋体" w:hAnsi="宋体" w:eastAsia="宋体" w:cs="宋体"/>
          <w:b/>
          <w:color w:val="auto"/>
          <w:szCs w:val="21"/>
          <w:highlight w:val="none"/>
        </w:rPr>
        <w:t>发出电子中标通知书。</w:t>
      </w:r>
    </w:p>
    <w:p w14:paraId="442405CC">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32.2对未通过资格审查的投标人，采购人或采购机构应当告知其未通过的原因；采用综合评分办法评审的，采购人或采购机构还应当告知未中标人本人的评审得分与排序。</w:t>
      </w:r>
    </w:p>
    <w:p w14:paraId="5635F05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 无义务解释未中标原因</w:t>
      </w:r>
    </w:p>
    <w:p w14:paraId="2A5FAE30">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采购代理机构无义务向未中标的投标人解释未中标原因和退还投标文件。</w:t>
      </w:r>
    </w:p>
    <w:p w14:paraId="2C78F11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34.合同授予标准</w:t>
      </w:r>
    </w:p>
    <w:p w14:paraId="0046B0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合同将授予被确定实质上响应招标文件要求，具备履行合同能力的中标人（招标文件另有约定多名中标人的除外）。</w:t>
      </w:r>
    </w:p>
    <w:p w14:paraId="2B0C132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35.履约保证金</w:t>
      </w:r>
    </w:p>
    <w:p w14:paraId="3AD4617A">
      <w:pPr>
        <w:spacing w:line="360" w:lineRule="auto"/>
        <w:ind w:firstLine="420" w:firstLineChars="200"/>
        <w:rPr>
          <w:rFonts w:hint="eastAsia" w:ascii="宋体" w:hAnsi="宋体" w:eastAsia="宋体" w:cs="宋体"/>
          <w:color w:val="auto"/>
          <w:szCs w:val="21"/>
          <w:highlight w:val="none"/>
        </w:rPr>
      </w:pPr>
      <w:bookmarkStart w:id="145" w:name="_39.1中标人须于签订合同前按本须知前附表规定的金额转账或电汇到指定账"/>
      <w:bookmarkEnd w:id="145"/>
      <w:r>
        <w:rPr>
          <w:rFonts w:hint="eastAsia" w:ascii="宋体" w:hAnsi="宋体" w:eastAsia="宋体" w:cs="宋体"/>
          <w:color w:val="auto"/>
          <w:szCs w:val="21"/>
          <w:highlight w:val="none"/>
        </w:rPr>
        <w:t>见“投标人须知前附表”。</w:t>
      </w:r>
    </w:p>
    <w:p w14:paraId="543D596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36.签订合同</w:t>
      </w:r>
    </w:p>
    <w:p w14:paraId="52655829">
      <w:pPr>
        <w:pStyle w:val="33"/>
        <w:snapToGrid w:val="0"/>
        <w:spacing w:before="0"/>
        <w:ind w:firstLine="422"/>
        <w:rPr>
          <w:rFonts w:hint="eastAsia" w:ascii="宋体" w:hAnsi="宋体" w:eastAsia="宋体" w:cs="宋体"/>
          <w:color w:val="auto"/>
          <w:kern w:val="0"/>
          <w:sz w:val="21"/>
          <w:szCs w:val="21"/>
          <w:highlight w:val="none"/>
          <w:lang w:val="zh-CN"/>
        </w:rPr>
      </w:pPr>
      <w:bookmarkStart w:id="146" w:name="_40.1投标人接到中标通知书后，按须知前附表规定向采购人出示相关资格证"/>
      <w:bookmarkEnd w:id="146"/>
      <w:r>
        <w:rPr>
          <w:rFonts w:hint="eastAsia" w:ascii="宋体" w:hAnsi="宋体" w:eastAsia="宋体" w:cs="宋体"/>
          <w:b/>
          <w:color w:val="auto"/>
          <w:sz w:val="21"/>
          <w:szCs w:val="21"/>
          <w:highlight w:val="none"/>
        </w:rPr>
        <w:t xml:space="preserve"> 36.1中标人领取中标通知书后，</w:t>
      </w:r>
      <w:r>
        <w:rPr>
          <w:rFonts w:hint="eastAsia" w:ascii="宋体" w:hAnsi="宋体" w:eastAsia="宋体" w:cs="宋体"/>
          <w:color w:val="auto"/>
          <w:kern w:val="0"/>
          <w:sz w:val="21"/>
          <w:szCs w:val="21"/>
          <w:highlight w:val="none"/>
          <w:lang w:val="zh-CN"/>
        </w:rPr>
        <w:t>按规定的日期、时间、地点，由法定代表人或其授权代表与采购人代表签订采购合同。如中标人为联合体的，由联合体成员各方法定代表人或其授权代表与采购人代表签订合同，签订携带资料详见“投标人须知前附表”。</w:t>
      </w:r>
    </w:p>
    <w:p w14:paraId="3A2E471C">
      <w:pPr>
        <w:pStyle w:val="33"/>
        <w:snapToGrid w:val="0"/>
        <w:spacing w:before="0"/>
        <w:ind w:firstLine="42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36.2</w:t>
      </w:r>
      <w:r>
        <w:rPr>
          <w:rFonts w:hint="eastAsia" w:ascii="宋体" w:hAnsi="宋体" w:eastAsia="宋体" w:cs="宋体"/>
          <w:color w:val="auto"/>
          <w:sz w:val="21"/>
          <w:szCs w:val="21"/>
          <w:highlight w:val="none"/>
        </w:rPr>
        <w:t>采购合同由采购人与中标供应商根据招标文件、投标文件等内容通过政府采购电子交易平台在线签订，自动备案。</w:t>
      </w:r>
    </w:p>
    <w:p w14:paraId="181D8824">
      <w:pPr>
        <w:pStyle w:val="33"/>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36.3签订合同时间：按中标通知书规定的时间与采购人签订合同（最长不能超过25日）。</w:t>
      </w:r>
    </w:p>
    <w:p w14:paraId="5A7142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130C00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2892F4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3F550F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36.7如签订合同并生效后，供应商无故拒绝或延期，除按照合同条款处理外，将承担相应的法律责任。</w:t>
      </w:r>
    </w:p>
    <w:p w14:paraId="1D3C5DE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1DD5BE9E">
      <w:pPr>
        <w:spacing w:line="360" w:lineRule="auto"/>
        <w:ind w:firstLine="480" w:firstLineChars="200"/>
        <w:rPr>
          <w:rFonts w:hint="eastAsia" w:ascii="宋体" w:hAnsi="宋体" w:eastAsia="宋体" w:cs="宋体"/>
          <w:color w:val="auto"/>
          <w:sz w:val="24"/>
          <w:highlight w:val="none"/>
        </w:rPr>
      </w:pPr>
      <w:bookmarkStart w:id="147" w:name="_41.政府采购合同公告"/>
      <w:bookmarkEnd w:id="147"/>
      <w:r>
        <w:rPr>
          <w:rFonts w:hint="eastAsia" w:ascii="宋体" w:hAnsi="宋体" w:eastAsia="宋体" w:cs="宋体"/>
          <w:color w:val="auto"/>
          <w:sz w:val="24"/>
          <w:highlight w:val="none"/>
        </w:rPr>
        <w:t>37.政府采购合同公告</w:t>
      </w:r>
    </w:p>
    <w:p w14:paraId="3532896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298DAC4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38. 询问、质疑和投诉</w:t>
      </w:r>
    </w:p>
    <w:p w14:paraId="53B3EBB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38.1询问</w:t>
      </w:r>
    </w:p>
    <w:p w14:paraId="16C9489C">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38.1.1供应商在开标前对政府采购活动事项有疑问的，可以向采购人或采购代理机构项目负责人提出询问。</w:t>
      </w:r>
    </w:p>
    <w:p w14:paraId="24D90CF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38.1.2采购人或采购人委托的采购代理机构自受理询问之日起3个工作日内对供应商依法提出的询问作出答复，</w:t>
      </w:r>
      <w:r>
        <w:rPr>
          <w:rFonts w:hint="eastAsia" w:ascii="宋体" w:hAnsi="宋体" w:eastAsia="宋体" w:cs="宋体"/>
          <w:color w:val="auto"/>
          <w:highlight w:val="none"/>
        </w:rPr>
        <w:t>但答复内容不得涉及商业秘密</w:t>
      </w:r>
      <w:r>
        <w:rPr>
          <w:rFonts w:hint="eastAsia" w:ascii="宋体" w:hAnsi="宋体" w:eastAsia="宋体" w:cs="宋体"/>
          <w:bCs/>
          <w:color w:val="auto"/>
          <w:szCs w:val="21"/>
          <w:highlight w:val="none"/>
        </w:rPr>
        <w:t>。</w:t>
      </w:r>
    </w:p>
    <w:p w14:paraId="03A66075">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38.1.3 询问事项可能影响中标、成交结果的，采购人应当暂停签订合同，已经签订合同的，应当中止履行合同。</w:t>
      </w:r>
    </w:p>
    <w:p w14:paraId="60439598">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38.2质疑</w:t>
      </w:r>
    </w:p>
    <w:p w14:paraId="3ED1D67B">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38.2.1</w:t>
      </w:r>
      <w:r>
        <w:rPr>
          <w:rFonts w:hint="eastAsia" w:ascii="宋体" w:hAnsi="宋体" w:eastAsia="宋体" w:cs="宋体"/>
          <w:b/>
          <w:color w:val="auto"/>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58D29596">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（1）潜在供应商依法获取公开招标文件后，认为采购文件使自己的权益受到损害的，应当在公开招标文件公告期限届满之日起7个工作日内提出质疑。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对公开招标文件中采购需求（含资格要求、采购预算和评分办法）的质疑由采购人受理并负责答复；对公开招标文件中的采购执行程序的质疑由采购代理机构受理并负责答复。</w:t>
      </w:r>
    </w:p>
    <w:p w14:paraId="3589CEAF">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2C2D75E6">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（3）供应商认为中标或者成交结果使自己的权益受到损害的，应当在中标或者成交结果公告期限届满之日起7个工作日内提出质疑，由采购人受理并负责答复。</w:t>
      </w:r>
    </w:p>
    <w:p w14:paraId="1B44CE6E">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38.2.2</w:t>
      </w:r>
      <w:r>
        <w:rPr>
          <w:rFonts w:hint="eastAsia" w:ascii="宋体" w:hAnsi="宋体" w:eastAsia="宋体" w:cs="宋体"/>
          <w:bCs/>
          <w:color w:val="auto"/>
          <w:szCs w:val="21"/>
          <w:highlight w:val="none"/>
        </w:rPr>
        <w:t>供应商质疑实行实名制，其质疑应当有具体的质疑事项及事实根据，质疑应当坚持依法依规、诚实信用原则，不得进行虚假、恶意质疑。</w:t>
      </w:r>
    </w:p>
    <w:p w14:paraId="25E95F49">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bCs/>
          <w:color w:val="auto"/>
          <w:highlight w:val="none"/>
        </w:rPr>
        <w:t>38.2.3</w:t>
      </w:r>
      <w:r>
        <w:rPr>
          <w:rFonts w:hint="eastAsia" w:ascii="宋体" w:hAnsi="宋体" w:eastAsia="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eastAsia="宋体" w:cs="宋体"/>
          <w:color w:val="auto"/>
          <w:highlight w:val="none"/>
        </w:rPr>
        <w:t>。</w:t>
      </w:r>
    </w:p>
    <w:p w14:paraId="01677DFD">
      <w:pPr>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38.2.4 质疑供应商提起质疑应当符合下列条件：</w:t>
      </w:r>
    </w:p>
    <w:p w14:paraId="5287A8F2">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（1）质疑供应商是参与所质疑</w:t>
      </w:r>
      <w:r>
        <w:rPr>
          <w:rFonts w:hint="eastAsia" w:ascii="宋体" w:hAnsi="宋体" w:eastAsia="宋体" w:cs="宋体"/>
          <w:bCs/>
          <w:color w:val="auto"/>
          <w:szCs w:val="21"/>
          <w:highlight w:val="none"/>
        </w:rPr>
        <w:t>项目</w:t>
      </w:r>
      <w:r>
        <w:rPr>
          <w:rFonts w:hint="eastAsia" w:ascii="宋体" w:hAnsi="宋体" w:eastAsia="宋体" w:cs="宋体"/>
          <w:bCs/>
          <w:color w:val="auto"/>
          <w:highlight w:val="none"/>
        </w:rPr>
        <w:t>采购活动的供应商（潜在供应商已依法获取可之一的采购文件的，可以对该采购文件质疑）；</w:t>
      </w:r>
    </w:p>
    <w:p w14:paraId="7A8291EF">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（2）质疑函内容符合本章第38.2.5项的规定；</w:t>
      </w:r>
    </w:p>
    <w:p w14:paraId="12EF6C99">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（3）在质疑有效期限内提起质疑；</w:t>
      </w:r>
    </w:p>
    <w:p w14:paraId="60C29084">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（4）属于所质疑的采购人或采购人委托的采购代理机构组织的采购活动；</w:t>
      </w:r>
    </w:p>
    <w:p w14:paraId="64601E8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 xml:space="preserve">（5）同一质疑事项未经采购人或采购人委托的采购代理机构质疑处理； </w:t>
      </w:r>
    </w:p>
    <w:p w14:paraId="4A637057">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（6）供应商对同一采购程序环节的质疑应当在质疑有效期内一次性提出；</w:t>
      </w:r>
    </w:p>
    <w:p w14:paraId="6403AA16">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（7）供应商提交质疑应当提交必要的证明材料，证明材料应以合法手段取得；</w:t>
      </w:r>
    </w:p>
    <w:p w14:paraId="42422CF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Cs/>
          <w:color w:val="auto"/>
          <w:highlight w:val="none"/>
        </w:rPr>
        <w:t>（8）财政部门规定的其他条件。</w:t>
      </w:r>
    </w:p>
    <w:p w14:paraId="5ACE8EE0">
      <w:pPr>
        <w:spacing w:line="360" w:lineRule="auto"/>
        <w:ind w:firstLine="420" w:firstLineChars="200"/>
        <w:rPr>
          <w:rFonts w:hint="eastAsia" w:ascii="宋体" w:hAnsi="宋体" w:eastAsia="宋体" w:cs="宋体"/>
          <w:b/>
          <w:color w:val="auto"/>
          <w:szCs w:val="21"/>
          <w:highlight w:val="none"/>
        </w:rPr>
      </w:pPr>
      <w:bookmarkStart w:id="148" w:name="_9.2质疑、投诉应当采用书面形式，质疑函、投诉书均应明确阐述招标文件、"/>
      <w:bookmarkEnd w:id="148"/>
      <w:r>
        <w:rPr>
          <w:rFonts w:hint="eastAsia" w:ascii="宋体" w:hAnsi="宋体" w:eastAsia="宋体" w:cs="宋体"/>
          <w:color w:val="auto"/>
          <w:szCs w:val="21"/>
          <w:highlight w:val="none"/>
        </w:rPr>
        <w:t xml:space="preserve"> 38.2.5 </w:t>
      </w:r>
      <w:r>
        <w:rPr>
          <w:rFonts w:hint="eastAsia" w:ascii="宋体" w:hAnsi="宋体" w:eastAsia="宋体" w:cs="宋体"/>
          <w:bCs/>
          <w:color w:val="auto"/>
          <w:highlight w:val="none"/>
        </w:rPr>
        <w:t>供应商提出质疑应当提交质疑函和必要的证明材料，针对同一采购程序环节的质疑必须在法定质疑期内一次性提出。质疑函应当包括下列内容（质疑函格式后附）：</w:t>
      </w:r>
    </w:p>
    <w:p w14:paraId="55B80211">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（1）供应商的姓名或者名称、地址、邮编、联系人及联系电话；</w:t>
      </w:r>
    </w:p>
    <w:p w14:paraId="289CA59A">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（2）质疑项目的名称、编号；</w:t>
      </w:r>
    </w:p>
    <w:p w14:paraId="43D9E66C">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（3）具体、明确的质疑事项和与质疑事项相关的请求；</w:t>
      </w:r>
    </w:p>
    <w:p w14:paraId="3C3CB8E2">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（4）事实依据（列明权益受到损害的事实和理由）；</w:t>
      </w:r>
    </w:p>
    <w:p w14:paraId="3ED7974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（5）必要的法律依据；</w:t>
      </w:r>
    </w:p>
    <w:p w14:paraId="367562AB">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（6）提出质疑的日期。</w:t>
      </w:r>
    </w:p>
    <w:p w14:paraId="20DF36C6">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供应商为自然人的，应当由本人签字；供应商为法人或者其他组织的，应当由法定代表人、主要负责人，或者其委托代理人签字或者盖章，并加盖公章。</w:t>
      </w:r>
    </w:p>
    <w:p w14:paraId="0B442CA6">
      <w:pPr>
        <w:spacing w:line="360" w:lineRule="auto"/>
        <w:ind w:firstLine="422" w:firstLineChars="200"/>
        <w:rPr>
          <w:rFonts w:hint="eastAsia" w:ascii="宋体" w:hAnsi="宋体" w:eastAsia="宋体" w:cs="宋体"/>
          <w:b/>
          <w:color w:val="auto"/>
          <w:szCs w:val="20"/>
          <w:highlight w:val="none"/>
        </w:rPr>
      </w:pPr>
      <w:r>
        <w:rPr>
          <w:rFonts w:hint="eastAsia" w:ascii="宋体" w:hAnsi="宋体" w:eastAsia="宋体" w:cs="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5465E345">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460575E2">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7B2924FA">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5D837AE7">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质疑答复导致中标结果改变的，采购人或者采购代理机构应当将有关情况书面报告本级财政部门。</w:t>
      </w:r>
    </w:p>
    <w:p w14:paraId="231457D3">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38.3投诉</w:t>
      </w:r>
    </w:p>
    <w:p w14:paraId="605F9EAB">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38.3</w:t>
      </w:r>
      <w:r>
        <w:rPr>
          <w:rFonts w:hint="eastAsia" w:ascii="宋体" w:hAnsi="宋体" w:eastAsia="宋体" w:cs="宋体"/>
          <w:bCs/>
          <w:color w:val="auto"/>
          <w:highlight w:val="none"/>
        </w:rPr>
        <w:t>.</w:t>
      </w:r>
      <w:r>
        <w:rPr>
          <w:rFonts w:hint="eastAsia" w:ascii="宋体" w:hAnsi="宋体" w:eastAsia="宋体" w:cs="宋体"/>
          <w:b/>
          <w:bCs/>
          <w:color w:val="auto"/>
          <w:highlight w:val="none"/>
        </w:rPr>
        <w:t xml:space="preserve">1 </w:t>
      </w:r>
      <w:r>
        <w:rPr>
          <w:rFonts w:hint="eastAsia" w:ascii="宋体" w:hAnsi="宋体" w:eastAsia="宋体" w:cs="宋体"/>
          <w:bCs/>
          <w:color w:val="auto"/>
          <w:highlight w:val="none"/>
        </w:rPr>
        <w:t xml:space="preserve"> 供应商认为采购文件、采购过程、中标和成交结果使自己的合法权益受到损害的，应当首先依法向采购人或采购人委托的</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提出质疑。对采购人、</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的答复不满意，或者采购人、</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未在规定期限内做出答复的，供应商可以在答复期满后15个工作日内向南宁市政府采购监督管理部门提起投诉，投诉方式见“投标人须知前附表”。</w:t>
      </w:r>
    </w:p>
    <w:p w14:paraId="630DF689">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 xml:space="preserve">38.3.2 </w:t>
      </w:r>
      <w:r>
        <w:rPr>
          <w:rFonts w:hint="eastAsia" w:ascii="宋体" w:hAnsi="宋体" w:eastAsia="宋体" w:cs="宋体"/>
          <w:color w:val="auto"/>
          <w:highlight w:val="none"/>
        </w:rPr>
        <w:t xml:space="preserve"> 投诉人投诉时，应当提交投诉书，并按照被投诉采购人、采购代理机构和与投诉事项有关的供应商数量提供投诉书的副本。投诉书</w:t>
      </w:r>
      <w:r>
        <w:rPr>
          <w:rFonts w:hint="eastAsia" w:ascii="宋体" w:hAnsi="宋体" w:eastAsia="宋体" w:cs="宋体"/>
          <w:color w:val="auto"/>
          <w:szCs w:val="21"/>
          <w:highlight w:val="none"/>
        </w:rPr>
        <w:t>应当包括下列主要内容</w:t>
      </w:r>
      <w:r>
        <w:rPr>
          <w:rFonts w:hint="eastAsia" w:ascii="宋体" w:hAnsi="宋体" w:eastAsia="宋体" w:cs="宋体"/>
          <w:color w:val="auto"/>
          <w:highlight w:val="none"/>
        </w:rPr>
        <w:t>（如材料中有外文资料应同时附上对应的中文译本）</w:t>
      </w:r>
      <w:r>
        <w:rPr>
          <w:rFonts w:hint="eastAsia" w:ascii="宋体" w:hAnsi="宋体" w:eastAsia="宋体" w:cs="宋体"/>
          <w:bCs/>
          <w:color w:val="auto"/>
          <w:highlight w:val="none"/>
        </w:rPr>
        <w:t>（投诉书格式后附）</w:t>
      </w:r>
      <w:r>
        <w:rPr>
          <w:rFonts w:hint="eastAsia" w:ascii="宋体" w:hAnsi="宋体" w:eastAsia="宋体" w:cs="宋体"/>
          <w:color w:val="auto"/>
          <w:szCs w:val="21"/>
          <w:highlight w:val="none"/>
        </w:rPr>
        <w:t>：</w:t>
      </w:r>
    </w:p>
    <w:p w14:paraId="6DE7DC0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（1）投诉人和被投诉人的名称、地址、邮编、联系人及联系电话等； </w:t>
      </w:r>
    </w:p>
    <w:p w14:paraId="2B5995A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（2）质疑和质疑答复情况及相关证明材料； </w:t>
      </w:r>
    </w:p>
    <w:p w14:paraId="0E61C37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（3）具体、明确的投诉事项和与投诉事项相关的投诉请求；</w:t>
      </w:r>
    </w:p>
    <w:p w14:paraId="2E48EB4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0054D76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（5）法律依据；</w:t>
      </w:r>
    </w:p>
    <w:p w14:paraId="5EC7EE9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（6）提起投诉的日期。</w:t>
      </w:r>
    </w:p>
    <w:p w14:paraId="24821F9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（7）附件材料：营业执照副本内页复印件（要求证件有效并清晰反映企业法人经营范围；近期连续三个月依法缴纳税收和在职职工社会保障资金证明材料（复印件）。</w:t>
      </w:r>
      <w:r>
        <w:rPr>
          <w:rFonts w:hint="eastAsia" w:ascii="宋体" w:hAnsi="宋体" w:eastAsia="宋体" w:cs="宋体"/>
          <w:color w:val="auto"/>
          <w:highlight w:val="none"/>
        </w:rPr>
        <w:tab/>
      </w:r>
    </w:p>
    <w:p w14:paraId="2B7B51BC">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 xml:space="preserve">38.3.3  </w:t>
      </w:r>
      <w:r>
        <w:rPr>
          <w:rFonts w:hint="eastAsia" w:ascii="宋体" w:hAnsi="宋体" w:eastAsia="宋体" w:cs="宋体"/>
          <w:color w:val="auto"/>
          <w:highlight w:val="none"/>
        </w:rPr>
        <w:t>投诉人可以委托代理人办理投诉事务。</w:t>
      </w:r>
      <w:r>
        <w:rPr>
          <w:rFonts w:hint="eastAsia" w:ascii="宋体" w:hAnsi="宋体" w:eastAsia="宋体" w:cs="宋体"/>
          <w:bCs/>
          <w:color w:val="auto"/>
          <w:highlight w:val="none"/>
        </w:rPr>
        <w:t>委托代理人应熟悉相关业务情况。</w:t>
      </w:r>
      <w:r>
        <w:rPr>
          <w:rFonts w:hint="eastAsia" w:ascii="宋体" w:hAnsi="宋体" w:eastAsia="宋体" w:cs="宋体"/>
          <w:color w:val="auto"/>
          <w:highlight w:val="none"/>
        </w:rPr>
        <w:t>代理人办理投诉事务时，除提交投诉书外，还应当提交投诉人的授权委托书和委托代理人身份证明复印件。</w:t>
      </w:r>
    </w:p>
    <w:p w14:paraId="68582046">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color w:val="auto"/>
          <w:highlight w:val="none"/>
        </w:rPr>
        <w:t>38.3.4</w:t>
      </w:r>
      <w:r>
        <w:rPr>
          <w:rFonts w:hint="eastAsia" w:ascii="宋体" w:hAnsi="宋体" w:eastAsia="宋体" w:cs="宋体"/>
          <w:color w:val="auto"/>
          <w:highlight w:val="none"/>
        </w:rPr>
        <w:t xml:space="preserve">  投诉人提起投诉应当符合下列条件：</w:t>
      </w:r>
    </w:p>
    <w:p w14:paraId="04D615D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（1）投诉人是参与所投诉政府采购活动的供应商；</w:t>
      </w:r>
    </w:p>
    <w:p w14:paraId="2077A34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（2）提起投诉前已依法进行质疑；</w:t>
      </w:r>
    </w:p>
    <w:p w14:paraId="58705CE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（3）投诉书内容符合本章第38.3.2项的规定；</w:t>
      </w:r>
    </w:p>
    <w:p w14:paraId="3BDE60E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（4）在投诉有效期限内提起投诉；</w:t>
      </w:r>
    </w:p>
    <w:p w14:paraId="0B15951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（5）属于南宁市政府采购监督管理部门管辖；</w:t>
      </w:r>
    </w:p>
    <w:p w14:paraId="2878187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（6）同一投诉事项未经</w:t>
      </w:r>
      <w:r>
        <w:rPr>
          <w:rFonts w:hint="eastAsia" w:ascii="宋体" w:hAnsi="宋体" w:eastAsia="宋体" w:cs="宋体"/>
          <w:bCs/>
          <w:color w:val="auto"/>
          <w:highlight w:val="none"/>
        </w:rPr>
        <w:t>南宁市政府采购监督管理部门</w:t>
      </w:r>
      <w:r>
        <w:rPr>
          <w:rFonts w:hint="eastAsia" w:ascii="宋体" w:hAnsi="宋体" w:eastAsia="宋体" w:cs="宋体"/>
          <w:color w:val="auto"/>
          <w:highlight w:val="none"/>
        </w:rPr>
        <w:t>投诉处理；</w:t>
      </w:r>
    </w:p>
    <w:p w14:paraId="70C9453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（7）国务院财政部门规定的其他条件。</w:t>
      </w:r>
    </w:p>
    <w:p w14:paraId="7B2A9505">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color w:val="auto"/>
          <w:highlight w:val="none"/>
        </w:rPr>
        <w:t>38.3.5</w:t>
      </w:r>
      <w:r>
        <w:rPr>
          <w:rFonts w:hint="eastAsia" w:ascii="宋体" w:hAnsi="宋体" w:eastAsia="宋体" w:cs="宋体"/>
          <w:color w:val="auto"/>
          <w:highlight w:val="none"/>
        </w:rPr>
        <w:t xml:space="preserve">  南宁市政府采购监督管理部门自受理投诉之日起30个工作日内，对投诉事项作出处理决定，并以书面形式通知投诉人、被投诉人及其他与投诉处理结果有利害关系的政府采购当事人。并将投诉结果在</w:t>
      </w:r>
      <w:r>
        <w:rPr>
          <w:rFonts w:hint="eastAsia" w:ascii="宋体" w:hAnsi="宋体" w:eastAsia="宋体" w:cs="宋体"/>
          <w:color w:val="auto"/>
          <w:kern w:val="0"/>
          <w:szCs w:val="21"/>
          <w:highlight w:val="none"/>
        </w:rPr>
        <w:t>“广西政府采购网”（http://zfcg.gxzf.gov.cn）</w:t>
      </w:r>
      <w:r>
        <w:rPr>
          <w:rFonts w:hint="eastAsia" w:ascii="宋体" w:hAnsi="宋体" w:eastAsia="宋体" w:cs="宋体"/>
          <w:color w:val="auto"/>
          <w:highlight w:val="none"/>
        </w:rPr>
        <w:t>发布。</w:t>
      </w:r>
    </w:p>
    <w:p w14:paraId="5291E236">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color w:val="auto"/>
          <w:highlight w:val="none"/>
        </w:rPr>
        <w:t>38.3.6</w:t>
      </w:r>
      <w:r>
        <w:rPr>
          <w:rFonts w:hint="eastAsia" w:ascii="宋体" w:hAnsi="宋体" w:eastAsia="宋体" w:cs="宋体"/>
          <w:color w:val="auto"/>
          <w:highlight w:val="none"/>
        </w:rPr>
        <w:t xml:space="preserve">  南宁市政府采购监督管理部门在处理投诉事项期间，可以视具体情况暂停采购活动。</w:t>
      </w:r>
    </w:p>
    <w:p w14:paraId="2AFCD6A3">
      <w:pPr>
        <w:snapToGrid w:val="0"/>
        <w:spacing w:line="360" w:lineRule="auto"/>
        <w:ind w:left="120" w:leftChars="57" w:firstLine="482" w:firstLineChars="150"/>
        <w:jc w:val="center"/>
        <w:outlineLvl w:val="2"/>
        <w:rPr>
          <w:rFonts w:hint="eastAsia" w:ascii="宋体" w:hAnsi="宋体" w:eastAsia="宋体" w:cs="宋体"/>
          <w:b/>
          <w:bCs/>
          <w:color w:val="auto"/>
          <w:sz w:val="32"/>
          <w:szCs w:val="32"/>
          <w:highlight w:val="none"/>
        </w:rPr>
      </w:pPr>
      <w:bookmarkStart w:id="149" w:name="_Toc27653"/>
      <w:r>
        <w:rPr>
          <w:rFonts w:hint="eastAsia" w:ascii="宋体" w:hAnsi="宋体" w:eastAsia="宋体" w:cs="宋体"/>
          <w:b/>
          <w:bCs/>
          <w:color w:val="auto"/>
          <w:sz w:val="32"/>
          <w:szCs w:val="32"/>
          <w:highlight w:val="none"/>
        </w:rPr>
        <w:t>八、验收</w:t>
      </w:r>
      <w:bookmarkEnd w:id="149"/>
    </w:p>
    <w:p w14:paraId="0E126A54">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39.验收</w:t>
      </w:r>
    </w:p>
    <w:p w14:paraId="328E36DE">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1F7DFCE">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39.2采购人可以邀请参加本项目的其他投标人或者第三方机构参与验收。参与验收的投标人或者第三方机构的意见作为验收书的参考资料一并存档。</w:t>
      </w:r>
    </w:p>
    <w:p w14:paraId="203A6405">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B038AA5">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23A1160">
      <w:pPr>
        <w:pStyle w:val="11"/>
        <w:snapToGrid w:val="0"/>
        <w:spacing w:line="400" w:lineRule="exact"/>
        <w:rPr>
          <w:rFonts w:hint="eastAsia" w:ascii="宋体" w:hAnsi="宋体" w:eastAsia="宋体" w:cs="宋体"/>
          <w:color w:val="auto"/>
          <w:highlight w:val="none"/>
        </w:rPr>
      </w:pPr>
    </w:p>
    <w:p w14:paraId="6EADA631">
      <w:pPr>
        <w:pStyle w:val="5"/>
        <w:keepNext w:val="0"/>
        <w:keepLines w:val="0"/>
        <w:spacing w:line="360" w:lineRule="auto"/>
        <w:jc w:val="center"/>
        <w:rPr>
          <w:rFonts w:hint="eastAsia" w:ascii="宋体" w:hAnsi="宋体" w:eastAsia="宋体" w:cs="宋体"/>
          <w:color w:val="auto"/>
          <w:highlight w:val="none"/>
        </w:rPr>
      </w:pPr>
      <w:bookmarkStart w:id="150" w:name="_八、其他事项"/>
      <w:bookmarkEnd w:id="150"/>
      <w:bookmarkStart w:id="151" w:name="_Toc16509"/>
      <w:r>
        <w:rPr>
          <w:rFonts w:hint="eastAsia" w:ascii="宋体" w:hAnsi="宋体" w:eastAsia="宋体" w:cs="宋体"/>
          <w:color w:val="auto"/>
          <w:highlight w:val="none"/>
        </w:rPr>
        <w:t>九、其他事项</w:t>
      </w:r>
      <w:bookmarkEnd w:id="151"/>
    </w:p>
    <w:p w14:paraId="447A639E">
      <w:pPr>
        <w:spacing w:line="360" w:lineRule="auto"/>
        <w:ind w:firstLine="480" w:firstLineChars="200"/>
        <w:rPr>
          <w:rFonts w:hint="eastAsia" w:ascii="宋体" w:hAnsi="宋体" w:eastAsia="宋体" w:cs="宋体"/>
          <w:color w:val="auto"/>
          <w:sz w:val="24"/>
          <w:highlight w:val="none"/>
        </w:rPr>
      </w:pPr>
      <w:bookmarkStart w:id="152" w:name="_42.代理服务费"/>
      <w:bookmarkEnd w:id="152"/>
      <w:r>
        <w:rPr>
          <w:rFonts w:hint="eastAsia" w:ascii="宋体" w:hAnsi="宋体" w:eastAsia="宋体" w:cs="宋体"/>
          <w:color w:val="auto"/>
          <w:sz w:val="24"/>
          <w:highlight w:val="none"/>
        </w:rPr>
        <w:t>40.代理服务费</w:t>
      </w:r>
    </w:p>
    <w:p w14:paraId="3E85175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代理服务收费标准及缴费账户详见“投标人须知前附表”，投标人为联合体的，可以由联合体中的一方或者多方共同交纳代理服务费。</w:t>
      </w:r>
    </w:p>
    <w:p w14:paraId="7858801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 需要补充的其他内容</w:t>
      </w:r>
    </w:p>
    <w:p w14:paraId="45FC3A1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41.1本招标文件解释规则详见“投标人须知前附表”。</w:t>
      </w:r>
    </w:p>
    <w:p w14:paraId="77DDE01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41.2 其他事项详见“投标人须知前附表”。</w:t>
      </w:r>
    </w:p>
    <w:p w14:paraId="20E0F47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w:t>
      </w:r>
      <w:r>
        <w:rPr>
          <w:rFonts w:hint="eastAsia" w:ascii="宋体" w:hAnsi="宋体" w:cs="宋体"/>
          <w:color w:val="auto"/>
          <w:highlight w:val="none"/>
          <w:lang w:val="en-US" w:eastAsia="zh-CN"/>
        </w:rPr>
        <w:t>民法典</w:t>
      </w:r>
      <w:r>
        <w:rPr>
          <w:rFonts w:hint="eastAsia" w:ascii="宋体" w:hAnsi="宋体" w:eastAsia="宋体" w:cs="宋体"/>
          <w:color w:val="auto"/>
          <w:highlight w:val="none"/>
        </w:rPr>
        <w:t>》订立劳动合同的从业人员，不对其中涉及的货物的制造商和工程承建商作出要求的，享受本文件规定的中小企业扶持政策。</w:t>
      </w:r>
    </w:p>
    <w:p w14:paraId="5955CB8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以联合体形式参加政府采购活动，联合体各方均为中小企业的，联合体视同中小企业。其中，联合体各方均为小微企业的，联合体视同小微企业。</w:t>
      </w:r>
    </w:p>
    <w:p w14:paraId="4E0189B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依据本文件规定享受扶持政策获得政府采购合同的，小微企业不得将合同分包给大中型企业，中型企业不得将合同分包给大型企业。</w:t>
      </w:r>
    </w:p>
    <w:p w14:paraId="71AFF7E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 政采贷相关说明</w:t>
      </w:r>
    </w:p>
    <w:p w14:paraId="027F08DC">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为优化政府采购营商环境，缓解供应商资金难题，南宁市政府采购试行政府采购信用融资制度，中标供应商如有融资需求，可凭政府采购合同通过以下方式申请政府采购信用融资贷款：</w:t>
      </w:r>
    </w:p>
    <w:p w14:paraId="0D6E632C">
      <w:pPr>
        <w:numPr>
          <w:ilvl w:val="0"/>
          <w:numId w:val="2"/>
        </w:num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线下渠道：在“南宁市公共资源交易</w:t>
      </w:r>
      <w:r>
        <w:rPr>
          <w:rFonts w:hint="eastAsia" w:ascii="宋体" w:hAnsi="宋体" w:eastAsia="宋体" w:cs="宋体"/>
          <w:color w:val="auto"/>
          <w:highlight w:val="none"/>
        </w:rPr>
        <w:t>中心”官网（网址：</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"http://www.nnggzy.org.cn）\“交易信息-政府采购-政府采购信用融资\”中融资银行和南宁市企业融资服务中心专栏信息申请政府采购信用融资。" </w:instrText>
      </w:r>
      <w:r>
        <w:rPr>
          <w:rFonts w:hint="eastAsia" w:ascii="宋体" w:hAnsi="宋体" w:eastAsia="宋体" w:cs="宋体"/>
          <w:color w:val="auto"/>
          <w:highlight w:val="none"/>
        </w:rPr>
        <w:fldChar w:fldCharType="separate"/>
      </w:r>
      <w:r>
        <w:rPr>
          <w:rStyle w:val="25"/>
          <w:rFonts w:hint="eastAsia" w:ascii="宋体" w:hAnsi="宋体" w:eastAsia="宋体" w:cs="宋体"/>
          <w:color w:val="auto"/>
          <w:highlight w:val="none"/>
        </w:rPr>
        <w:t>http://www.nnggzy.org.cn）“交易信息-政府采购-政府采购信用融资”中融资银行和南宁市企业融资服务中心专栏信息申请政府采购信用融资。</w:t>
      </w:r>
      <w:r>
        <w:rPr>
          <w:rFonts w:hint="eastAsia" w:ascii="宋体" w:hAnsi="宋体" w:eastAsia="宋体" w:cs="宋体"/>
          <w:color w:val="auto"/>
          <w:highlight w:val="none"/>
        </w:rPr>
        <w:fldChar w:fldCharType="end"/>
      </w:r>
    </w:p>
    <w:p w14:paraId="00743864">
      <w:pPr>
        <w:numPr>
          <w:ilvl w:val="0"/>
          <w:numId w:val="2"/>
        </w:num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ascii="宋体" w:hAnsi="宋体" w:eastAsia="宋体" w:cs="宋体"/>
          <w:color w:val="auto"/>
          <w:highlight w:val="none"/>
        </w:rPr>
        <w:br w:type="page"/>
      </w:r>
      <w:bookmarkStart w:id="153" w:name="_Toc532545043"/>
    </w:p>
    <w:p w14:paraId="06087C32">
      <w:pPr>
        <w:pStyle w:val="11"/>
        <w:jc w:val="center"/>
        <w:outlineLvl w:val="0"/>
        <w:rPr>
          <w:rFonts w:hint="eastAsia" w:ascii="宋体" w:hAnsi="宋体" w:eastAsia="宋体" w:cs="宋体"/>
          <w:b/>
          <w:color w:val="auto"/>
          <w:sz w:val="36"/>
          <w:highlight w:val="none"/>
        </w:rPr>
      </w:pPr>
      <w:bookmarkStart w:id="154" w:name="_Toc18631"/>
      <w:bookmarkStart w:id="155" w:name="_Toc18019"/>
      <w:r>
        <w:rPr>
          <w:rFonts w:hint="eastAsia" w:ascii="宋体" w:hAnsi="宋体" w:eastAsia="宋体" w:cs="宋体"/>
          <w:b/>
          <w:color w:val="auto"/>
          <w:sz w:val="36"/>
          <w:highlight w:val="none"/>
        </w:rPr>
        <w:t>第四章  评标方法</w:t>
      </w:r>
      <w:bookmarkEnd w:id="153"/>
      <w:r>
        <w:rPr>
          <w:rFonts w:hint="eastAsia" w:ascii="宋体" w:hAnsi="宋体" w:eastAsia="宋体" w:cs="宋体"/>
          <w:b/>
          <w:color w:val="auto"/>
          <w:sz w:val="36"/>
          <w:highlight w:val="none"/>
        </w:rPr>
        <w:t>及评分标准</w:t>
      </w:r>
      <w:bookmarkEnd w:id="154"/>
      <w:bookmarkEnd w:id="155"/>
    </w:p>
    <w:p w14:paraId="4BD044DD">
      <w:pPr>
        <w:pStyle w:val="11"/>
        <w:jc w:val="center"/>
        <w:outlineLvl w:val="1"/>
        <w:rPr>
          <w:rFonts w:hint="eastAsia" w:ascii="宋体" w:hAnsi="宋体" w:eastAsia="宋体" w:cs="宋体"/>
          <w:b/>
          <w:bCs/>
          <w:color w:val="auto"/>
          <w:sz w:val="32"/>
          <w:szCs w:val="32"/>
          <w:highlight w:val="none"/>
        </w:rPr>
      </w:pPr>
      <w:bookmarkStart w:id="156" w:name="_Toc9604"/>
      <w:bookmarkStart w:id="157" w:name="_Toc28840"/>
      <w:r>
        <w:rPr>
          <w:rFonts w:hint="eastAsia" w:ascii="宋体" w:hAnsi="宋体" w:eastAsia="宋体" w:cs="宋体"/>
          <w:b/>
          <w:bCs/>
          <w:color w:val="auto"/>
          <w:sz w:val="32"/>
          <w:szCs w:val="32"/>
          <w:highlight w:val="none"/>
        </w:rPr>
        <w:t>第一节 评标方法</w:t>
      </w:r>
      <w:bookmarkEnd w:id="156"/>
      <w:bookmarkEnd w:id="157"/>
    </w:p>
    <w:p w14:paraId="7AA405D4">
      <w:pPr>
        <w:pStyle w:val="11"/>
        <w:tabs>
          <w:tab w:val="left" w:pos="2472"/>
        </w:tabs>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本项目采用</w:t>
      </w:r>
      <w:r>
        <w:rPr>
          <w:rFonts w:hint="eastAsia" w:ascii="宋体" w:hAnsi="宋体" w:eastAsia="宋体" w:cs="宋体"/>
          <w:color w:val="auto"/>
          <w:szCs w:val="21"/>
          <w:highlight w:val="none"/>
          <w:u w:val="single"/>
        </w:rPr>
        <w:t xml:space="preserve"> 以下勾选的方式</w:t>
      </w:r>
      <w:r>
        <w:rPr>
          <w:rFonts w:hint="eastAsia" w:ascii="宋体" w:hAnsi="宋体" w:eastAsia="宋体" w:cs="宋体"/>
          <w:color w:val="auto"/>
          <w:szCs w:val="21"/>
          <w:highlight w:val="none"/>
        </w:rPr>
        <w:t>进行评审。</w:t>
      </w:r>
    </w:p>
    <w:p w14:paraId="401CB440">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□最低评标价法，是指投标文件满足招标文件</w:t>
      </w:r>
      <w:r>
        <w:rPr>
          <w:rFonts w:hint="eastAsia" w:ascii="宋体" w:hAnsi="宋体" w:eastAsia="宋体" w:cs="宋体"/>
          <w:color w:val="auto"/>
          <w:highlight w:val="none"/>
        </w:rPr>
        <w:t>全部实质性要求，且投标报价最低的投标人为中标候选人的评标方法。</w:t>
      </w:r>
    </w:p>
    <w:p w14:paraId="234216EB">
      <w:pPr>
        <w:autoSpaceDE w:val="0"/>
        <w:autoSpaceDN w:val="0"/>
        <w:adjustRightInd w:val="0"/>
        <w:spacing w:line="440" w:lineRule="exact"/>
        <w:ind w:firstLine="420" w:firstLineChars="200"/>
        <w:rPr>
          <w:rFonts w:hint="eastAsia" w:ascii="宋体" w:hAnsi="宋体" w:eastAsia="宋体" w:cs="宋体"/>
          <w:color w:val="auto"/>
          <w:sz w:val="24"/>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综合评分法，</w:t>
      </w:r>
      <w:r>
        <w:rPr>
          <w:rFonts w:hint="eastAsia" w:ascii="宋体" w:hAnsi="宋体" w:eastAsia="宋体" w:cs="宋体"/>
          <w:color w:val="auto"/>
          <w:szCs w:val="20"/>
          <w:highlight w:val="none"/>
        </w:rPr>
        <w:t>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w:t>
      </w:r>
      <w:r>
        <w:rPr>
          <w:rFonts w:hint="eastAsia" w:ascii="宋体" w:hAnsi="宋体" w:cs="宋体"/>
          <w:color w:val="auto"/>
          <w:szCs w:val="20"/>
          <w:highlight w:val="none"/>
          <w:lang w:val="en-US" w:eastAsia="zh-CN"/>
        </w:rPr>
        <w:t>工程和</w:t>
      </w:r>
      <w:r>
        <w:rPr>
          <w:rFonts w:hint="eastAsia" w:ascii="宋体" w:hAnsi="宋体" w:eastAsia="宋体" w:cs="宋体"/>
          <w:color w:val="auto"/>
          <w:szCs w:val="20"/>
          <w:highlight w:val="none"/>
        </w:rPr>
        <w:t xml:space="preserve">货物类采购项目以技术性能得分较高者为先，服务类采购项目以实力信誉及业绩得分较高者为先。 </w:t>
      </w:r>
    </w:p>
    <w:p w14:paraId="24CB44A1">
      <w:pPr>
        <w:pStyle w:val="11"/>
        <w:spacing w:line="360" w:lineRule="auto"/>
        <w:ind w:firstLine="420"/>
        <w:rPr>
          <w:rFonts w:hint="eastAsia" w:ascii="宋体" w:hAnsi="宋体" w:eastAsia="宋体" w:cs="宋体"/>
          <w:color w:val="auto"/>
          <w:highlight w:val="none"/>
        </w:rPr>
      </w:pPr>
    </w:p>
    <w:p w14:paraId="7BF04878">
      <w:pPr>
        <w:pStyle w:val="11"/>
        <w:tabs>
          <w:tab w:val="left" w:pos="2472"/>
        </w:tabs>
        <w:spacing w:line="460" w:lineRule="exact"/>
        <w:jc w:val="center"/>
        <w:outlineLvl w:val="1"/>
        <w:rPr>
          <w:rFonts w:hint="eastAsia" w:ascii="宋体" w:hAnsi="宋体" w:eastAsia="宋体" w:cs="宋体"/>
          <w:b/>
          <w:bCs/>
          <w:color w:val="auto"/>
          <w:sz w:val="32"/>
          <w:szCs w:val="32"/>
          <w:highlight w:val="none"/>
        </w:rPr>
      </w:pPr>
      <w:bookmarkStart w:id="158" w:name="_Toc30120"/>
      <w:bookmarkStart w:id="159" w:name="_Toc23151"/>
      <w:r>
        <w:rPr>
          <w:rFonts w:hint="eastAsia" w:ascii="宋体" w:hAnsi="宋体" w:eastAsia="宋体" w:cs="宋体"/>
          <w:b/>
          <w:bCs/>
          <w:color w:val="auto"/>
          <w:sz w:val="32"/>
          <w:szCs w:val="32"/>
          <w:highlight w:val="none"/>
        </w:rPr>
        <w:t>第二节 评标程序</w:t>
      </w:r>
      <w:bookmarkEnd w:id="158"/>
      <w:bookmarkEnd w:id="159"/>
    </w:p>
    <w:p w14:paraId="4C540C45">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1.符合性审查</w:t>
      </w:r>
    </w:p>
    <w:p w14:paraId="3F5CCD5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评标委员会应当对符合资格的投标人的投标文件进行投标报价、商务、技术等实质性内容符合性审查，以确定其是否满足招标文件的实质性要求。</w:t>
      </w:r>
    </w:p>
    <w:p w14:paraId="1CF551BB">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2.符合性审查不通过而导致投标无效的情形</w:t>
      </w:r>
    </w:p>
    <w:p w14:paraId="507A4A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投标人的投标文件中存在对招标文件的任何实质性要求和条件的负偏离，将被视为投标无效。</w:t>
      </w:r>
    </w:p>
    <w:p w14:paraId="609F93A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2.1在报价评审时，如发现下列情形之一的，将被视为投标无效：</w:t>
      </w:r>
    </w:p>
    <w:p w14:paraId="4F9994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（1）投标文件未提供“投标人须知前附表”第13.1条规定中“必须提供”的文件资料的;</w:t>
      </w:r>
    </w:p>
    <w:p w14:paraId="045C64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（2）未采用人民币报价或者未按照招标文件标明的币种报价的；</w:t>
      </w:r>
    </w:p>
    <w:p w14:paraId="455648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（3）报价超出招标文件规定最高限价，或者超出采购预算金额（包括分项预算）的；</w:t>
      </w:r>
    </w:p>
    <w:p w14:paraId="2BCA7E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0A1322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（5）修正后的报价，投标人不确认的；</w:t>
      </w:r>
    </w:p>
    <w:p w14:paraId="508852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（6）投标人属于本章第5条第（2）项情形的。</w:t>
      </w:r>
    </w:p>
    <w:p w14:paraId="1657FE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2.2在商务评审时，如发现下列情形之一的，将被视为投标无效：</w:t>
      </w:r>
    </w:p>
    <w:p w14:paraId="44560A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（1）投标文件未按招标文件要求签署、盖章的；</w:t>
      </w:r>
    </w:p>
    <w:p w14:paraId="64EF92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（2）委托代理人未能出具有效身份证明或者出具的身份证明与授权委托书中的信息不符的； </w:t>
      </w:r>
    </w:p>
    <w:p w14:paraId="443DE0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（3）投标文件未提供“投标人须知前附表”第13.1条规定中“必须提供”或者“委托时必须提供”的文件资料的;</w:t>
      </w:r>
    </w:p>
    <w:p w14:paraId="4806BF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（4）投标有效期、项目完成时间（交货时间、服务完成时间或者</w:t>
      </w:r>
      <w:r>
        <w:rPr>
          <w:rFonts w:hint="eastAsia" w:ascii="宋体" w:hAnsi="宋体" w:cs="宋体"/>
          <w:color w:val="auto"/>
          <w:szCs w:val="21"/>
          <w:highlight w:val="none"/>
          <w:lang w:val="en-US" w:eastAsia="zh-CN"/>
        </w:rPr>
        <w:t>工</w:t>
      </w:r>
      <w:r>
        <w:rPr>
          <w:rFonts w:hint="eastAsia" w:ascii="宋体" w:hAnsi="宋体" w:eastAsia="宋体" w:cs="宋体"/>
          <w:color w:val="auto"/>
          <w:szCs w:val="21"/>
          <w:highlight w:val="none"/>
        </w:rPr>
        <w:t>期等）、质保期、售后服务等招标文件中标“▲”的商务条款发生负偏离的；</w:t>
      </w:r>
    </w:p>
    <w:p w14:paraId="41D84A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（5）商务条款评审允许负偏离的条款数超过“投标人须知前附表”规定项数的。</w:t>
      </w:r>
    </w:p>
    <w:p w14:paraId="5B2495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（6）投标文件的实质性内容未使用中文表述、使用计量单位不符合招标文件要求的；</w:t>
      </w:r>
    </w:p>
    <w:p w14:paraId="007385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（7）投标文件中的文件资料因填写不齐全或者内容虚假或者出现其他情形而导致被评标委员会认定无效的；</w:t>
      </w:r>
    </w:p>
    <w:p w14:paraId="6F10F3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（8）投标文件含有采购人不能接受的附加条件的；</w:t>
      </w:r>
    </w:p>
    <w:p w14:paraId="486AB3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（9）未响应招标文件实质性要求的；</w:t>
      </w:r>
    </w:p>
    <w:p w14:paraId="39745C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（10）属于投标人须知正文第9.2条情形的；</w:t>
      </w:r>
    </w:p>
    <w:p w14:paraId="098EDC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（11）法律、法规和招标文件规定的其他无效情形。</w:t>
      </w:r>
    </w:p>
    <w:p w14:paraId="31FD54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2.3在技术评审时，如发现下列情形之一的，将被视为投标无效：</w:t>
      </w:r>
    </w:p>
    <w:p w14:paraId="05C90B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（1）不满足招标文件要求的服务内容、技术要求、安全、质量标准，或者与招标文件中标“▲”的技术需求发生负偏离的；</w:t>
      </w:r>
    </w:p>
    <w:p w14:paraId="3BF19B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（2）技术需求评审允许负偏离的条款数超过“投标人须知前附表”规定项数的；</w:t>
      </w:r>
    </w:p>
    <w:p w14:paraId="35426E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（3）投标文件未提供“投标人须知前附表”第13.1条规定中“必须提供”的文件资料的;</w:t>
      </w:r>
    </w:p>
    <w:p w14:paraId="379BB7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（4）虚假投标，或者出现其他情形而导致被评标委员会认定无效的；</w:t>
      </w:r>
    </w:p>
    <w:p w14:paraId="1D1FF8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（5）如招标文件需要提供技术方案的，投标技术方案不明确，招标文件未允许但存在一个或者一个以上备选（替代）投标方案的。</w:t>
      </w:r>
    </w:p>
    <w:p w14:paraId="26512F7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3.澄清补正、说明或者补正</w:t>
      </w:r>
    </w:p>
    <w:p w14:paraId="19D959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对投标文件中含义不明确、同类问题表述不一致或者有明显文字和计算错误的内容，评标委员会应在</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发布电子澄清函，要求投标人在规定时间内作出必要的澄清、说明或者补正。投标人在</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4E6762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495F313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4.投标文件修正</w:t>
      </w:r>
    </w:p>
    <w:p w14:paraId="6E8AE99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4.1投标文件报价出现前后不一致的，按照下列规定修正： </w:t>
      </w:r>
    </w:p>
    <w:p w14:paraId="1E7D429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（1）报价文件中“开标一览表”内容与投标文件中相应内容不一致的，以“开标一览表”为准；</w:t>
      </w:r>
    </w:p>
    <w:p w14:paraId="4E0B06F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（2）大写金额和小写金额不一致的，以大写金额为准；</w:t>
      </w:r>
    </w:p>
    <w:p w14:paraId="1FE3D6D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（3）单价金额小数点或者百分比有明显错位的，以开标一览表的总价为准，并修改单价；</w:t>
      </w:r>
    </w:p>
    <w:p w14:paraId="1F43CAF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（4）总价金额与按单价汇总金额不一致的，以单价金额计算结果为准。</w:t>
      </w:r>
    </w:p>
    <w:p w14:paraId="238F770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同时出现两种以上不一致的，按照以上（1）-（4）规定的顺序修正。修正后的报价经投标人确认后产生约束力，投标人不确认的，其投标无效。</w:t>
      </w:r>
    </w:p>
    <w:p w14:paraId="3D5F61C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4.2经投标人确认修正后的报价若超过采购预算金额或者最高限价，投标人的投标文件作无效投标处理。</w:t>
      </w:r>
    </w:p>
    <w:p w14:paraId="7AE40CA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4.3经投标人确认修正后的报价作为签订合同的依据，并以此报价计算价格分。</w:t>
      </w:r>
    </w:p>
    <w:p w14:paraId="43856B7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5.比较与评价</w:t>
      </w:r>
    </w:p>
    <w:p w14:paraId="5F1BB0C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5.1评标委员会按照招标文件中规定的评标方法和评标标准，对符合性审查合格的投标文件进行商务和技术评估，综合比较与评价。</w:t>
      </w:r>
    </w:p>
    <w:p w14:paraId="6BEE74C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5.2评标委员会独立对每个投标人的投标文件进行评价，并汇总每个投标人的得分。</w:t>
      </w:r>
    </w:p>
    <w:p w14:paraId="5D685DC3">
      <w:pPr>
        <w:keepNext w:val="0"/>
        <w:keepLines w:val="0"/>
        <w:pageBreakBefore w:val="0"/>
        <w:widowControl/>
        <w:numPr>
          <w:ilvl w:val="0"/>
          <w:numId w:val="3"/>
        </w:numPr>
        <w:kinsoku/>
        <w:wordWrap/>
        <w:overflowPunct/>
        <w:topLinePunct w:val="0"/>
        <w:autoSpaceDE/>
        <w:autoSpaceDN/>
        <w:bidi w:val="0"/>
        <w:adjustRightInd/>
        <w:snapToGrid/>
        <w:spacing w:after="150"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269D8B99">
      <w:pPr>
        <w:keepNext w:val="0"/>
        <w:keepLines w:val="0"/>
        <w:pageBreakBefore w:val="0"/>
        <w:widowControl/>
        <w:numPr>
          <w:ilvl w:val="0"/>
          <w:numId w:val="3"/>
        </w:numPr>
        <w:kinsoku/>
        <w:wordWrap/>
        <w:overflowPunct/>
        <w:topLinePunct w:val="0"/>
        <w:autoSpaceDE/>
        <w:autoSpaceDN/>
        <w:bidi w:val="0"/>
        <w:adjustRightInd/>
        <w:snapToGrid/>
        <w:spacing w:after="150"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4E0C084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5.3评标委员会按照招标文件中规定的评标方法和标准计算各投标人的报价得分。在计算过程中，不得去掉最高报价或者最低报价。</w:t>
      </w:r>
    </w:p>
    <w:p w14:paraId="64CD4C6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5.4各投标人的得分为所有评委的有效评分的算术平均数。</w:t>
      </w:r>
    </w:p>
    <w:p w14:paraId="7DD5D77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5.5评标委员会按照招标文件中的规定推荐中标候选人。</w:t>
      </w:r>
    </w:p>
    <w:p w14:paraId="11A6CA1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170BDFC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6.评审复核</w:t>
      </w:r>
    </w:p>
    <w:p w14:paraId="7BE64E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6.1评标报告签署前，评标委员会要对评审结果进行复核，复核意见要体现在评标报告中。</w:t>
      </w:r>
    </w:p>
    <w:p w14:paraId="335AA3BD">
      <w:pPr>
        <w:widowControl/>
        <w:spacing w:line="560" w:lineRule="exact"/>
        <w:ind w:firstLine="420" w:firstLineChars="20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6.2评标结果汇总完成后，除下列情形外，任何人不得修改评标结果：</w:t>
      </w:r>
    </w:p>
    <w:p w14:paraId="107A7178">
      <w:pPr>
        <w:widowControl/>
        <w:spacing w:line="560" w:lineRule="exact"/>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（一）分值汇总计算错误的；</w:t>
      </w:r>
    </w:p>
    <w:p w14:paraId="03227198">
      <w:pPr>
        <w:widowControl/>
        <w:spacing w:line="560" w:lineRule="exact"/>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（二）分项评分超出评分标准范围的；</w:t>
      </w:r>
    </w:p>
    <w:p w14:paraId="3110E3FE">
      <w:pPr>
        <w:widowControl/>
        <w:spacing w:line="560" w:lineRule="exact"/>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（三）评标委员会成员对客观评审因素评分不一致的；</w:t>
      </w:r>
    </w:p>
    <w:p w14:paraId="07848321">
      <w:pPr>
        <w:widowControl/>
        <w:spacing w:line="560" w:lineRule="exact"/>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（四）经评标委员会认定评分畸高、畸低的。</w:t>
      </w:r>
    </w:p>
    <w:p w14:paraId="65AD48D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33FAE356">
      <w:pPr>
        <w:pStyle w:val="4"/>
        <w:jc w:val="center"/>
        <w:rPr>
          <w:rFonts w:hint="eastAsia" w:ascii="宋体" w:hAnsi="宋体" w:eastAsia="宋体" w:cs="宋体"/>
          <w:b w:val="0"/>
          <w:color w:val="auto"/>
          <w:sz w:val="30"/>
          <w:szCs w:val="30"/>
          <w:highlight w:val="none"/>
        </w:rPr>
      </w:pPr>
      <w:bookmarkStart w:id="160" w:name="_Toc13616"/>
      <w:bookmarkStart w:id="161" w:name="_Toc5755"/>
      <w:r>
        <w:rPr>
          <w:rFonts w:hint="eastAsia" w:ascii="宋体" w:hAnsi="宋体" w:eastAsia="宋体" w:cs="宋体"/>
          <w:b w:val="0"/>
          <w:color w:val="auto"/>
          <w:sz w:val="30"/>
          <w:szCs w:val="30"/>
          <w:highlight w:val="none"/>
        </w:rPr>
        <w:t>第三节 评分标准</w:t>
      </w:r>
      <w:bookmarkEnd w:id="160"/>
      <w:bookmarkEnd w:id="161"/>
    </w:p>
    <w:p w14:paraId="370469A7">
      <w:pPr>
        <w:spacing w:line="360" w:lineRule="auto"/>
        <w:ind w:firstLine="602" w:firstLineChars="20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一、最低评标价法</w:t>
      </w:r>
    </w:p>
    <w:p w14:paraId="3323E5A5">
      <w:pPr>
        <w:pStyle w:val="11"/>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通过资格审查、符合性审查的投标人，评标委员会将按照有效报价从低到高排序并推荐中标候选人。报价相同的，评标委员会推荐方式见本章“第四节中标候选人推荐原则”。</w:t>
      </w:r>
    </w:p>
    <w:p w14:paraId="163E7CAD">
      <w:pPr>
        <w:pStyle w:val="11"/>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说明：</w:t>
      </w:r>
    </w:p>
    <w:p w14:paraId="7D9CDD69">
      <w:pPr>
        <w:pStyle w:val="11"/>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对于非专门面向中小企业的项目，投标人在其投标文件中提供《中小企业声明函》，且其服务为小型和微型企业承接的，对其小型和微型企业产品的最后报价给予20%的价格扣除，扣除后的价格为评标价，即评标价＝投标报价×（1-20%）；（以投标人按第</w:t>
      </w:r>
      <w:r>
        <w:rPr>
          <w:rFonts w:hint="eastAsia" w:ascii="宋体" w:hAnsi="宋体" w:eastAsia="宋体" w:cs="宋体"/>
          <w:color w:val="auto"/>
          <w:highlight w:val="none"/>
          <w:lang w:eastAsia="zh-CN"/>
        </w:rPr>
        <w:t>六</w:t>
      </w:r>
      <w:r>
        <w:rPr>
          <w:rFonts w:hint="eastAsia" w:ascii="宋体" w:hAnsi="宋体" w:eastAsia="宋体" w:cs="宋体"/>
          <w:color w:val="auto"/>
          <w:highlight w:val="none"/>
        </w:rPr>
        <w:t>章“投标文件格式”要求提供的《投标报价表》和《中小企业声明函》为评审依据）</w:t>
      </w:r>
    </w:p>
    <w:p w14:paraId="78D49E22">
      <w:pPr>
        <w:pStyle w:val="11"/>
        <w:spacing w:line="400" w:lineRule="exact"/>
        <w:ind w:firstLine="420" w:firstLineChars="200"/>
        <w:rPr>
          <w:rFonts w:hint="eastAsia" w:ascii="宋体" w:hAnsi="宋体" w:eastAsia="宋体" w:cs="宋体"/>
          <w:bCs/>
          <w:color w:val="auto"/>
          <w:highlight w:val="none"/>
          <w:lang w:eastAsia="zh-CN"/>
        </w:rPr>
      </w:pPr>
      <w:r>
        <w:rPr>
          <w:rFonts w:hint="eastAsia" w:ascii="宋体" w:hAnsi="宋体" w:eastAsia="宋体" w:cs="宋体"/>
          <w:color w:val="auto"/>
          <w:highlight w:val="none"/>
        </w:rPr>
        <w:t>（2）接受大中型企业与小微企业组成联合体或者允许大中型企业向一家或者多家小微企业分包的采购项目，联合协议或者分包意向协议约定小微企业的合同份额占到合同总金额30%以上的，对联合体或者大中型企业的报价给予6%的扣除，用扣除后的价格参加评审，扣除后的价格为评标报价，即评标报价=投标报价×（1-6%）。（以投标人按第</w:t>
      </w:r>
      <w:r>
        <w:rPr>
          <w:rFonts w:hint="eastAsia" w:ascii="宋体" w:hAnsi="宋体" w:eastAsia="宋体" w:cs="宋体"/>
          <w:color w:val="auto"/>
          <w:highlight w:val="none"/>
          <w:lang w:eastAsia="zh-CN"/>
        </w:rPr>
        <w:t>六</w:t>
      </w:r>
      <w:r>
        <w:rPr>
          <w:rFonts w:hint="eastAsia" w:ascii="宋体" w:hAnsi="宋体" w:eastAsia="宋体" w:cs="宋体"/>
          <w:color w:val="auto"/>
          <w:highlight w:val="none"/>
        </w:rPr>
        <w:t>章“投标文件格式”要求提供的《投标报价表》、《中小企业声明函》和《联合体协议书》为评审依据）</w:t>
      </w:r>
      <w:r>
        <w:rPr>
          <w:rFonts w:hint="eastAsia" w:ascii="宋体" w:hAnsi="宋体" w:eastAsia="宋体" w:cs="宋体"/>
          <w:color w:val="auto"/>
          <w:highlight w:val="none"/>
          <w:lang w:eastAsia="zh-CN"/>
        </w:rPr>
        <w:t>。</w:t>
      </w:r>
    </w:p>
    <w:p w14:paraId="12EB9AF2">
      <w:pPr>
        <w:pStyle w:val="11"/>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）按照</w:t>
      </w:r>
      <w:r>
        <w:rPr>
          <w:rFonts w:hint="eastAsia" w:ascii="宋体" w:hAnsi="宋体" w:eastAsia="宋体" w:cs="宋体"/>
          <w:bCs/>
          <w:color w:val="auto"/>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eastAsia="宋体" w:cs="宋体"/>
          <w:color w:val="auto"/>
          <w:szCs w:val="21"/>
          <w:highlight w:val="none"/>
        </w:rPr>
        <w:t>残疾人福利性单位参加政府采购活动时，应当提供《残疾人福利性单位声明函》，并对声明的真实性负责。</w:t>
      </w:r>
      <w:r>
        <w:rPr>
          <w:rFonts w:hint="eastAsia" w:ascii="宋体" w:hAnsi="宋体" w:eastAsia="宋体" w:cs="宋体"/>
          <w:bCs/>
          <w:color w:val="auto"/>
          <w:szCs w:val="21"/>
          <w:highlight w:val="none"/>
        </w:rPr>
        <w:t>残疾人福利性单位属于小型、微型企业的，不重复享受政策。</w:t>
      </w:r>
      <w:r>
        <w:rPr>
          <w:rFonts w:hint="eastAsia" w:ascii="宋体" w:hAnsi="宋体" w:eastAsia="宋体" w:cs="宋体"/>
          <w:bCs/>
          <w:color w:val="auto"/>
          <w:highlight w:val="none"/>
        </w:rPr>
        <w:t>（以投标人按第</w:t>
      </w:r>
      <w:r>
        <w:rPr>
          <w:rFonts w:hint="eastAsia" w:ascii="宋体" w:hAnsi="宋体" w:eastAsia="宋体" w:cs="宋体"/>
          <w:color w:val="auto"/>
          <w:highlight w:val="none"/>
          <w:lang w:eastAsia="zh-CN"/>
        </w:rPr>
        <w:t>六</w:t>
      </w:r>
      <w:r>
        <w:rPr>
          <w:rFonts w:hint="eastAsia" w:ascii="宋体" w:hAnsi="宋体" w:eastAsia="宋体" w:cs="宋体"/>
          <w:bCs/>
          <w:color w:val="auto"/>
          <w:highlight w:val="none"/>
        </w:rPr>
        <w:t>章“投标文件格式”要求提供的《投标报价表》和《</w:t>
      </w:r>
      <w:r>
        <w:rPr>
          <w:rFonts w:hint="eastAsia" w:ascii="宋体" w:hAnsi="宋体" w:eastAsia="宋体" w:cs="宋体"/>
          <w:color w:val="auto"/>
          <w:szCs w:val="21"/>
          <w:highlight w:val="none"/>
        </w:rPr>
        <w:t>残疾人福利性单位声明函</w:t>
      </w:r>
      <w:r>
        <w:rPr>
          <w:rFonts w:hint="eastAsia" w:ascii="宋体" w:hAnsi="宋体" w:eastAsia="宋体" w:cs="宋体"/>
          <w:bCs/>
          <w:color w:val="auto"/>
          <w:highlight w:val="none"/>
        </w:rPr>
        <w:t>》为评审依据）</w:t>
      </w:r>
    </w:p>
    <w:p w14:paraId="46277732">
      <w:pPr>
        <w:pStyle w:val="11"/>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）除上述情况外，评标价＝投标报价；</w:t>
      </w:r>
    </w:p>
    <w:p w14:paraId="1078656E">
      <w:pPr>
        <w:pStyle w:val="11"/>
        <w:ind w:firstLine="602" w:firstLineChars="20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二、综合评分法</w:t>
      </w:r>
    </w:p>
    <w:p w14:paraId="0E476480">
      <w:pPr>
        <w:pStyle w:val="11"/>
        <w:spacing w:line="360" w:lineRule="auto"/>
        <w:ind w:firstLine="420"/>
        <w:rPr>
          <w:rFonts w:hint="eastAsia" w:ascii="宋体" w:hAnsi="宋体" w:eastAsia="宋体" w:cs="宋体"/>
          <w:bCs/>
          <w:color w:val="auto"/>
          <w:highlight w:val="none"/>
        </w:rPr>
      </w:pPr>
      <w:bookmarkStart w:id="162" w:name="PO_3000001866_PM051"/>
      <w:r>
        <w:rPr>
          <w:rFonts w:hint="eastAsia" w:ascii="宋体" w:hAnsi="宋体" w:eastAsia="宋体" w:cs="宋体"/>
          <w:bCs/>
          <w:color w:val="auto"/>
          <w:highlight w:val="none"/>
        </w:rPr>
        <w:t>注：</w:t>
      </w:r>
    </w:p>
    <w:p w14:paraId="68BCA17D">
      <w:pPr>
        <w:pStyle w:val="11"/>
        <w:spacing w:line="360" w:lineRule="auto"/>
        <w:ind w:firstLine="420"/>
        <w:rPr>
          <w:rFonts w:hint="eastAsia" w:ascii="宋体" w:hAnsi="宋体" w:eastAsia="宋体" w:cs="宋体"/>
          <w:bCs/>
          <w:color w:val="auto"/>
          <w:highlight w:val="none"/>
        </w:rPr>
      </w:pPr>
      <w:r>
        <w:rPr>
          <w:rFonts w:hint="eastAsia" w:ascii="宋体" w:hAnsi="宋体" w:eastAsia="宋体" w:cs="宋体"/>
          <w:bCs/>
          <w:color w:val="auto"/>
          <w:highlight w:val="none"/>
        </w:rPr>
        <w:t>1、计分方法按四舍五入取至百分位。</w:t>
      </w:r>
    </w:p>
    <w:p w14:paraId="60A0896A">
      <w:pPr>
        <w:pStyle w:val="11"/>
        <w:spacing w:line="360" w:lineRule="auto"/>
        <w:ind w:firstLine="420"/>
        <w:rPr>
          <w:rFonts w:hint="eastAsia" w:ascii="宋体" w:hAnsi="宋体" w:eastAsia="宋体" w:cs="宋体"/>
          <w:bCs/>
          <w:color w:val="auto"/>
          <w:highlight w:val="none"/>
          <w:u w:val="single"/>
          <w:lang w:val="en-US"/>
        </w:rPr>
      </w:pPr>
      <w:r>
        <w:rPr>
          <w:rFonts w:hint="eastAsia" w:ascii="宋体" w:hAnsi="宋体" w:eastAsia="宋体" w:cs="宋体"/>
          <w:bCs/>
          <w:color w:val="auto"/>
          <w:highlight w:val="none"/>
        </w:rPr>
        <w:t>总得分=</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u w:val="single"/>
          <w:lang w:val="en-US" w:eastAsia="zh-CN"/>
        </w:rPr>
        <w:t>1+2+3</w:t>
      </w:r>
    </w:p>
    <w:p w14:paraId="1B9951D3">
      <w:pPr>
        <w:pStyle w:val="11"/>
        <w:spacing w:line="360" w:lineRule="auto"/>
        <w:ind w:firstLine="420"/>
        <w:rPr>
          <w:rFonts w:hint="eastAsia" w:ascii="宋体" w:hAnsi="宋体" w:eastAsia="宋体" w:cs="宋体"/>
          <w:bCs/>
          <w:color w:val="auto"/>
          <w:highlight w:val="none"/>
        </w:rPr>
      </w:pPr>
      <w:r>
        <w:rPr>
          <w:rFonts w:hint="eastAsia" w:ascii="宋体" w:hAnsi="宋体" w:eastAsia="宋体" w:cs="宋体"/>
          <w:bCs/>
          <w:color w:val="auto"/>
          <w:highlight w:val="none"/>
        </w:rPr>
        <w:t>2、商务技术评审因素为客观评分项的，应在评分项目或评分标准中予以标注为“客观分”。对投标人的客观评分项目，各评标专家评分应当一致。</w:t>
      </w:r>
    </w:p>
    <w:tbl>
      <w:tblPr>
        <w:tblStyle w:val="20"/>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086"/>
        <w:gridCol w:w="7110"/>
        <w:gridCol w:w="772"/>
      </w:tblGrid>
      <w:tr w14:paraId="4FB7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2" w:type="dxa"/>
            <w:vAlign w:val="center"/>
          </w:tcPr>
          <w:p w14:paraId="1F5D2715">
            <w:pPr>
              <w:keepNext w:val="0"/>
              <w:keepLines w:val="0"/>
              <w:pageBreakBefore w:val="0"/>
              <w:widowControl/>
              <w:kinsoku/>
              <w:wordWrap/>
              <w:overflowPunct/>
              <w:topLinePunct w:val="0"/>
              <w:autoSpaceDE/>
              <w:autoSpaceDN/>
              <w:bidi w:val="0"/>
              <w:spacing w:line="360" w:lineRule="exact"/>
              <w:jc w:val="center"/>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序号</w:t>
            </w:r>
          </w:p>
        </w:tc>
        <w:tc>
          <w:tcPr>
            <w:tcW w:w="1086" w:type="dxa"/>
            <w:vAlign w:val="center"/>
          </w:tcPr>
          <w:p w14:paraId="708459DF">
            <w:pPr>
              <w:keepNext w:val="0"/>
              <w:keepLines w:val="0"/>
              <w:pageBreakBefore w:val="0"/>
              <w:widowControl/>
              <w:kinsoku/>
              <w:wordWrap/>
              <w:overflowPunct/>
              <w:topLinePunct w:val="0"/>
              <w:autoSpaceDE/>
              <w:autoSpaceDN/>
              <w:bidi w:val="0"/>
              <w:spacing w:line="360" w:lineRule="exact"/>
              <w:jc w:val="center"/>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评</w:t>
            </w:r>
            <w:r>
              <w:rPr>
                <w:rFonts w:hint="default" w:ascii="Arial" w:hAnsi="Arial" w:eastAsia="宋体" w:cs="Arial"/>
                <w:b/>
                <w:bCs/>
                <w:color w:val="auto"/>
                <w:kern w:val="0"/>
                <w:szCs w:val="21"/>
                <w:highlight w:val="none"/>
                <w:lang w:eastAsia="zh-CN"/>
              </w:rPr>
              <w:t>分</w:t>
            </w:r>
            <w:r>
              <w:rPr>
                <w:rFonts w:hint="default" w:ascii="Arial" w:hAnsi="Arial" w:eastAsia="宋体" w:cs="Arial"/>
                <w:b/>
                <w:bCs/>
                <w:color w:val="auto"/>
                <w:kern w:val="0"/>
                <w:szCs w:val="21"/>
                <w:highlight w:val="none"/>
              </w:rPr>
              <w:t>因素</w:t>
            </w:r>
          </w:p>
        </w:tc>
        <w:tc>
          <w:tcPr>
            <w:tcW w:w="7110" w:type="dxa"/>
            <w:vAlign w:val="center"/>
          </w:tcPr>
          <w:p w14:paraId="5F13E974">
            <w:pPr>
              <w:keepNext w:val="0"/>
              <w:keepLines w:val="0"/>
              <w:pageBreakBefore w:val="0"/>
              <w:widowControl/>
              <w:kinsoku/>
              <w:wordWrap/>
              <w:overflowPunct/>
              <w:topLinePunct w:val="0"/>
              <w:autoSpaceDE/>
              <w:autoSpaceDN/>
              <w:bidi w:val="0"/>
              <w:spacing w:line="360" w:lineRule="exact"/>
              <w:jc w:val="center"/>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评</w:t>
            </w:r>
            <w:r>
              <w:rPr>
                <w:rFonts w:hint="default" w:ascii="Arial" w:hAnsi="Arial" w:eastAsia="宋体" w:cs="Arial"/>
                <w:b/>
                <w:bCs/>
                <w:color w:val="auto"/>
                <w:kern w:val="0"/>
                <w:szCs w:val="21"/>
                <w:highlight w:val="none"/>
                <w:lang w:eastAsia="zh-CN"/>
              </w:rPr>
              <w:t>分</w:t>
            </w:r>
            <w:r>
              <w:rPr>
                <w:rFonts w:hint="default" w:ascii="Arial" w:hAnsi="Arial" w:eastAsia="宋体" w:cs="Arial"/>
                <w:b/>
                <w:bCs/>
                <w:color w:val="auto"/>
                <w:kern w:val="0"/>
                <w:szCs w:val="21"/>
                <w:highlight w:val="none"/>
              </w:rPr>
              <w:t>因素</w:t>
            </w:r>
          </w:p>
        </w:tc>
        <w:tc>
          <w:tcPr>
            <w:tcW w:w="772" w:type="dxa"/>
            <w:vAlign w:val="center"/>
          </w:tcPr>
          <w:p w14:paraId="43222A5C">
            <w:pPr>
              <w:keepNext w:val="0"/>
              <w:keepLines w:val="0"/>
              <w:pageBreakBefore w:val="0"/>
              <w:widowControl/>
              <w:kinsoku/>
              <w:wordWrap/>
              <w:overflowPunct/>
              <w:topLinePunct w:val="0"/>
              <w:autoSpaceDE/>
              <w:autoSpaceDN/>
              <w:bidi w:val="0"/>
              <w:spacing w:line="360" w:lineRule="exact"/>
              <w:jc w:val="center"/>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分值</w:t>
            </w:r>
          </w:p>
        </w:tc>
      </w:tr>
      <w:tr w14:paraId="659E3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52" w:type="dxa"/>
            <w:vAlign w:val="center"/>
          </w:tcPr>
          <w:p w14:paraId="6466497B">
            <w:pPr>
              <w:keepNext w:val="0"/>
              <w:keepLines w:val="0"/>
              <w:pageBreakBefore w:val="0"/>
              <w:widowControl/>
              <w:kinsoku/>
              <w:wordWrap/>
              <w:overflowPunct/>
              <w:topLinePunct w:val="0"/>
              <w:autoSpaceDE/>
              <w:autoSpaceDN/>
              <w:bidi w:val="0"/>
              <w:spacing w:line="360" w:lineRule="exact"/>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1</w:t>
            </w:r>
          </w:p>
        </w:tc>
        <w:tc>
          <w:tcPr>
            <w:tcW w:w="1086" w:type="dxa"/>
            <w:vAlign w:val="center"/>
          </w:tcPr>
          <w:p w14:paraId="00E4A534">
            <w:pPr>
              <w:keepNext w:val="0"/>
              <w:keepLines w:val="0"/>
              <w:pageBreakBefore w:val="0"/>
              <w:widowControl/>
              <w:kinsoku/>
              <w:wordWrap/>
              <w:overflowPunct/>
              <w:topLinePunct w:val="0"/>
              <w:autoSpaceDE/>
              <w:autoSpaceDN/>
              <w:bidi w:val="0"/>
              <w:spacing w:line="360" w:lineRule="exact"/>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lang w:val="en-US" w:eastAsia="zh-CN"/>
              </w:rPr>
              <w:t>报价分</w:t>
            </w:r>
            <w:r>
              <w:rPr>
                <w:rFonts w:hint="default" w:ascii="Arial" w:hAnsi="Arial" w:eastAsia="宋体" w:cs="Arial"/>
                <w:color w:val="auto"/>
                <w:kern w:val="0"/>
                <w:szCs w:val="21"/>
                <w:highlight w:val="none"/>
              </w:rPr>
              <w:t>（满分</w:t>
            </w:r>
            <w:r>
              <w:rPr>
                <w:rFonts w:hint="default" w:ascii="Arial" w:hAnsi="Arial" w:eastAsia="宋体" w:cs="Arial"/>
                <w:color w:val="auto"/>
                <w:kern w:val="0"/>
                <w:szCs w:val="21"/>
                <w:highlight w:val="none"/>
                <w:lang w:val="en-US" w:eastAsia="zh-CN"/>
              </w:rPr>
              <w:t>10</w:t>
            </w:r>
            <w:r>
              <w:rPr>
                <w:rFonts w:hint="default" w:ascii="Arial" w:hAnsi="Arial" w:eastAsia="宋体" w:cs="Arial"/>
                <w:color w:val="auto"/>
                <w:kern w:val="0"/>
                <w:szCs w:val="21"/>
                <w:highlight w:val="none"/>
              </w:rPr>
              <w:t>分）</w:t>
            </w:r>
          </w:p>
        </w:tc>
        <w:tc>
          <w:tcPr>
            <w:tcW w:w="7110" w:type="dxa"/>
            <w:vAlign w:val="top"/>
          </w:tcPr>
          <w:p w14:paraId="3BCCF91B">
            <w:pPr>
              <w:spacing w:line="480" w:lineRule="exact"/>
              <w:ind w:firstLine="420" w:firstLineChars="200"/>
              <w:rPr>
                <w:rFonts w:hint="default" w:ascii="Arial" w:hAnsi="Arial" w:cs="Arial"/>
                <w:bCs/>
                <w:color w:val="auto"/>
                <w:szCs w:val="21"/>
                <w:highlight w:val="none"/>
              </w:rPr>
            </w:pPr>
            <w:r>
              <w:rPr>
                <w:rFonts w:hint="default" w:ascii="Arial" w:hAnsi="Arial" w:cs="Arial"/>
                <w:bCs/>
                <w:color w:val="auto"/>
                <w:szCs w:val="21"/>
                <w:highlight w:val="none"/>
              </w:rPr>
              <w:t>（1）本项目为专门面向</w:t>
            </w:r>
            <w:r>
              <w:rPr>
                <w:rFonts w:hint="default" w:ascii="Arial" w:hAnsi="Arial" w:cs="Arial"/>
                <w:bCs/>
                <w:color w:val="auto"/>
                <w:szCs w:val="21"/>
                <w:highlight w:val="none"/>
                <w:lang w:val="en-US" w:eastAsia="zh-CN"/>
              </w:rPr>
              <w:t>中小微企业</w:t>
            </w:r>
            <w:r>
              <w:rPr>
                <w:rFonts w:hint="default" w:ascii="Arial" w:hAnsi="Arial" w:cs="Arial"/>
                <w:bCs/>
                <w:color w:val="auto"/>
                <w:szCs w:val="21"/>
                <w:highlight w:val="none"/>
              </w:rPr>
              <w:t>采购项目，不执行价格扣除优惠政策，评标价＝投标报价。</w:t>
            </w:r>
          </w:p>
          <w:p w14:paraId="5B603ED2">
            <w:pPr>
              <w:spacing w:line="480" w:lineRule="exact"/>
              <w:ind w:firstLine="420" w:firstLineChars="200"/>
              <w:rPr>
                <w:rFonts w:hint="default" w:ascii="Arial" w:hAnsi="Arial" w:cs="Arial"/>
                <w:bCs/>
                <w:color w:val="auto"/>
                <w:szCs w:val="21"/>
                <w:highlight w:val="none"/>
              </w:rPr>
            </w:pPr>
            <w:r>
              <w:rPr>
                <w:rFonts w:hint="default" w:ascii="Arial" w:hAnsi="Arial" w:cs="Arial"/>
                <w:bCs/>
                <w:color w:val="auto"/>
                <w:szCs w:val="21"/>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3F001DD1">
            <w:pPr>
              <w:spacing w:line="480" w:lineRule="exact"/>
              <w:ind w:firstLine="420" w:firstLineChars="200"/>
              <w:rPr>
                <w:rFonts w:hint="default" w:ascii="Arial" w:hAnsi="Arial" w:cs="Arial"/>
                <w:bCs/>
                <w:color w:val="auto"/>
                <w:szCs w:val="21"/>
                <w:highlight w:val="none"/>
              </w:rPr>
            </w:pPr>
            <w:r>
              <w:rPr>
                <w:rFonts w:hint="default" w:ascii="Arial" w:hAnsi="Arial" w:cs="Arial"/>
                <w:bCs/>
                <w:color w:val="auto"/>
                <w:szCs w:val="21"/>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54425DF">
            <w:pPr>
              <w:spacing w:line="480" w:lineRule="exact"/>
              <w:ind w:firstLine="420" w:firstLineChars="200"/>
              <w:rPr>
                <w:rFonts w:hint="default" w:ascii="Arial" w:hAnsi="Arial" w:cs="Arial"/>
                <w:bCs/>
                <w:color w:val="auto"/>
                <w:szCs w:val="21"/>
                <w:highlight w:val="none"/>
              </w:rPr>
            </w:pPr>
            <w:r>
              <w:rPr>
                <w:rFonts w:hint="default" w:ascii="Arial" w:hAnsi="Arial" w:cs="Arial"/>
                <w:bCs/>
                <w:color w:val="auto"/>
                <w:szCs w:val="21"/>
                <w:highlight w:val="none"/>
              </w:rPr>
              <w:t>（</w:t>
            </w:r>
            <w:r>
              <w:rPr>
                <w:rFonts w:hint="default" w:ascii="Arial" w:hAnsi="Arial" w:cs="Arial"/>
                <w:bCs/>
                <w:color w:val="auto"/>
                <w:szCs w:val="21"/>
                <w:highlight w:val="none"/>
                <w:lang w:val="en-US" w:eastAsia="zh-CN"/>
              </w:rPr>
              <w:t>4</w:t>
            </w:r>
            <w:r>
              <w:rPr>
                <w:rFonts w:hint="default" w:ascii="Arial" w:hAnsi="Arial" w:cs="Arial"/>
                <w:bCs/>
                <w:color w:val="auto"/>
                <w:szCs w:val="21"/>
                <w:highlight w:val="none"/>
              </w:rPr>
              <w:t>）满足招标文件要求且评标报价最低的评标报价为评标基准价，其价格分为满分。</w:t>
            </w:r>
          </w:p>
          <w:p w14:paraId="0A615A74">
            <w:pPr>
              <w:spacing w:line="480" w:lineRule="exact"/>
              <w:ind w:firstLine="420" w:firstLineChars="200"/>
              <w:rPr>
                <w:rFonts w:hint="default" w:ascii="Arial" w:hAnsi="Arial" w:cs="Arial"/>
                <w:bCs/>
                <w:color w:val="auto"/>
                <w:szCs w:val="21"/>
                <w:highlight w:val="none"/>
              </w:rPr>
            </w:pPr>
            <w:r>
              <w:rPr>
                <w:rFonts w:hint="default" w:ascii="Arial" w:hAnsi="Arial" w:cs="Arial"/>
                <w:bCs/>
                <w:color w:val="auto"/>
                <w:szCs w:val="21"/>
                <w:highlight w:val="none"/>
              </w:rPr>
              <w:t>（</w:t>
            </w:r>
            <w:r>
              <w:rPr>
                <w:rFonts w:hint="default" w:ascii="Arial" w:hAnsi="Arial" w:cs="Arial"/>
                <w:bCs/>
                <w:color w:val="auto"/>
                <w:szCs w:val="21"/>
                <w:highlight w:val="none"/>
                <w:lang w:val="en-US" w:eastAsia="zh-CN"/>
              </w:rPr>
              <w:t>5</w:t>
            </w:r>
            <w:r>
              <w:rPr>
                <w:rFonts w:hint="default" w:ascii="Arial" w:hAnsi="Arial" w:cs="Arial"/>
                <w:bCs/>
                <w:color w:val="auto"/>
                <w:szCs w:val="21"/>
                <w:highlight w:val="none"/>
              </w:rPr>
              <w:t xml:space="preserve">）价格分计算公式：        </w:t>
            </w:r>
          </w:p>
          <w:p w14:paraId="54BD6499">
            <w:pPr>
              <w:pStyle w:val="11"/>
              <w:keepNext w:val="0"/>
              <w:keepLines w:val="0"/>
              <w:pageBreakBefore w:val="0"/>
              <w:kinsoku/>
              <w:wordWrap/>
              <w:overflowPunct/>
              <w:topLinePunct w:val="0"/>
              <w:autoSpaceDE/>
              <w:autoSpaceDN/>
              <w:bidi w:val="0"/>
              <w:spacing w:line="360" w:lineRule="exact"/>
              <w:ind w:firstLine="630" w:firstLineChars="300"/>
              <w:rPr>
                <w:rFonts w:hint="default" w:ascii="Arial" w:hAnsi="Arial" w:eastAsia="宋体" w:cs="Arial"/>
                <w:bCs/>
                <w:color w:val="auto"/>
                <w:kern w:val="2"/>
                <w:sz w:val="21"/>
                <w:szCs w:val="21"/>
                <w:highlight w:val="none"/>
                <w:lang w:val="en-US" w:eastAsia="zh-CN"/>
              </w:rPr>
            </w:pPr>
            <w:r>
              <w:rPr>
                <w:rFonts w:hint="default" w:ascii="Arial" w:hAnsi="Arial" w:cs="Arial"/>
                <w:bCs/>
                <w:color w:val="auto"/>
                <w:szCs w:val="21"/>
                <w:highlight w:val="none"/>
              </w:rPr>
              <w:t>价格分=(评标基准价／评标报价)×</w:t>
            </w:r>
            <w:r>
              <w:rPr>
                <w:rFonts w:hint="default" w:ascii="Arial" w:hAnsi="Arial" w:cs="Arial"/>
                <w:bCs/>
                <w:color w:val="auto"/>
                <w:szCs w:val="21"/>
                <w:highlight w:val="none"/>
                <w:lang w:val="en-US" w:eastAsia="zh-CN"/>
              </w:rPr>
              <w:t>10</w:t>
            </w:r>
            <w:r>
              <w:rPr>
                <w:rFonts w:hint="default" w:ascii="Arial" w:hAnsi="Arial" w:cs="Arial"/>
                <w:bCs/>
                <w:color w:val="auto"/>
                <w:szCs w:val="21"/>
                <w:highlight w:val="none"/>
              </w:rPr>
              <w:t>分</w:t>
            </w:r>
          </w:p>
        </w:tc>
        <w:tc>
          <w:tcPr>
            <w:tcW w:w="772" w:type="dxa"/>
            <w:vAlign w:val="center"/>
          </w:tcPr>
          <w:p w14:paraId="1A3AE83C">
            <w:pPr>
              <w:keepNext w:val="0"/>
              <w:keepLines w:val="0"/>
              <w:pageBreakBefore w:val="0"/>
              <w:widowControl/>
              <w:kinsoku/>
              <w:wordWrap/>
              <w:overflowPunct/>
              <w:topLinePunct w:val="0"/>
              <w:autoSpaceDE/>
              <w:autoSpaceDN/>
              <w:bidi w:val="0"/>
              <w:spacing w:line="360" w:lineRule="exact"/>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lang w:val="en-US" w:eastAsia="zh-CN"/>
              </w:rPr>
              <w:t>10</w:t>
            </w:r>
            <w:r>
              <w:rPr>
                <w:rFonts w:hint="default" w:ascii="Arial" w:hAnsi="Arial" w:eastAsia="宋体" w:cs="Arial"/>
                <w:color w:val="auto"/>
                <w:kern w:val="0"/>
                <w:szCs w:val="21"/>
                <w:highlight w:val="none"/>
              </w:rPr>
              <w:t>分</w:t>
            </w:r>
          </w:p>
        </w:tc>
      </w:tr>
      <w:tr w14:paraId="0915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52" w:type="dxa"/>
            <w:vAlign w:val="center"/>
          </w:tcPr>
          <w:p w14:paraId="0DCDA555">
            <w:pPr>
              <w:widowControl/>
              <w:spacing w:line="320" w:lineRule="exact"/>
              <w:jc w:val="center"/>
              <w:rPr>
                <w:rFonts w:hint="default" w:ascii="Arial" w:hAnsi="Arial" w:eastAsia="宋体" w:cs="Arial"/>
                <w:b/>
                <w:bCs w:val="0"/>
                <w:color w:val="auto"/>
                <w:kern w:val="0"/>
                <w:szCs w:val="21"/>
                <w:highlight w:val="none"/>
              </w:rPr>
            </w:pPr>
            <w:r>
              <w:rPr>
                <w:rFonts w:hint="default" w:ascii="Arial" w:hAnsi="Arial" w:eastAsia="宋体" w:cs="Arial"/>
                <w:b/>
                <w:bCs w:val="0"/>
                <w:color w:val="auto"/>
                <w:kern w:val="0"/>
                <w:szCs w:val="21"/>
                <w:highlight w:val="none"/>
              </w:rPr>
              <w:t>2</w:t>
            </w:r>
          </w:p>
        </w:tc>
        <w:tc>
          <w:tcPr>
            <w:tcW w:w="1086" w:type="dxa"/>
            <w:vAlign w:val="center"/>
          </w:tcPr>
          <w:p w14:paraId="290FA5E5">
            <w:pPr>
              <w:widowControl/>
              <w:spacing w:line="320" w:lineRule="exact"/>
              <w:jc w:val="center"/>
              <w:rPr>
                <w:rFonts w:hint="default" w:ascii="Arial" w:hAnsi="Arial" w:eastAsia="宋体" w:cs="Arial"/>
                <w:b/>
                <w:bCs w:val="0"/>
                <w:color w:val="auto"/>
                <w:kern w:val="0"/>
                <w:szCs w:val="21"/>
                <w:highlight w:val="none"/>
              </w:rPr>
            </w:pPr>
            <w:r>
              <w:rPr>
                <w:rFonts w:hint="default" w:ascii="Arial" w:hAnsi="Arial" w:eastAsia="宋体" w:cs="Arial"/>
                <w:b/>
                <w:bCs w:val="0"/>
                <w:color w:val="auto"/>
                <w:kern w:val="0"/>
                <w:szCs w:val="21"/>
                <w:highlight w:val="none"/>
              </w:rPr>
              <w:t>技术分</w:t>
            </w:r>
          </w:p>
        </w:tc>
        <w:tc>
          <w:tcPr>
            <w:tcW w:w="7110" w:type="dxa"/>
            <w:vAlign w:val="center"/>
          </w:tcPr>
          <w:p w14:paraId="6444DABC">
            <w:pPr>
              <w:widowControl/>
              <w:spacing w:line="320" w:lineRule="exact"/>
              <w:jc w:val="center"/>
              <w:rPr>
                <w:rFonts w:hint="default" w:ascii="Arial" w:hAnsi="Arial" w:eastAsia="宋体" w:cs="Arial"/>
                <w:b/>
                <w:bCs w:val="0"/>
                <w:color w:val="auto"/>
                <w:kern w:val="0"/>
                <w:szCs w:val="21"/>
                <w:highlight w:val="none"/>
              </w:rPr>
            </w:pPr>
            <w:r>
              <w:rPr>
                <w:rFonts w:hint="default" w:ascii="Arial" w:hAnsi="Arial" w:eastAsia="宋体" w:cs="Arial"/>
                <w:b/>
                <w:bCs w:val="0"/>
                <w:color w:val="auto"/>
                <w:kern w:val="0"/>
                <w:szCs w:val="21"/>
                <w:highlight w:val="none"/>
              </w:rPr>
              <w:t>评审因素</w:t>
            </w:r>
          </w:p>
        </w:tc>
        <w:tc>
          <w:tcPr>
            <w:tcW w:w="772" w:type="dxa"/>
            <w:vAlign w:val="center"/>
          </w:tcPr>
          <w:p w14:paraId="621E08D8">
            <w:pPr>
              <w:widowControl/>
              <w:spacing w:line="320" w:lineRule="exact"/>
              <w:jc w:val="center"/>
              <w:rPr>
                <w:rFonts w:hint="default" w:ascii="Arial" w:hAnsi="Arial" w:eastAsia="宋体" w:cs="Arial"/>
                <w:b/>
                <w:bCs w:val="0"/>
                <w:color w:val="auto"/>
                <w:kern w:val="0"/>
                <w:szCs w:val="21"/>
                <w:highlight w:val="none"/>
                <w:lang w:val="en-US" w:eastAsia="zh-CN"/>
              </w:rPr>
            </w:pPr>
            <w:r>
              <w:rPr>
                <w:rFonts w:hint="default" w:ascii="Arial" w:hAnsi="Arial" w:cs="Arial"/>
                <w:b/>
                <w:bCs w:val="0"/>
                <w:color w:val="auto"/>
                <w:kern w:val="0"/>
                <w:szCs w:val="21"/>
                <w:highlight w:val="none"/>
                <w:lang w:val="en-US" w:eastAsia="zh-CN"/>
              </w:rPr>
              <w:t>70</w:t>
            </w:r>
            <w:r>
              <w:rPr>
                <w:rFonts w:hint="default" w:ascii="Arial" w:hAnsi="Arial" w:eastAsia="宋体" w:cs="Arial"/>
                <w:b/>
                <w:bCs w:val="0"/>
                <w:color w:val="auto"/>
                <w:kern w:val="0"/>
                <w:szCs w:val="21"/>
                <w:highlight w:val="none"/>
              </w:rPr>
              <w:t>分</w:t>
            </w:r>
          </w:p>
        </w:tc>
      </w:tr>
      <w:tr w14:paraId="3205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2" w:type="dxa"/>
            <w:vAlign w:val="center"/>
          </w:tcPr>
          <w:p w14:paraId="1A35B032">
            <w:pPr>
              <w:adjustRightInd w:val="0"/>
              <w:spacing w:line="360" w:lineRule="exact"/>
              <w:ind w:left="-105" w:leftChars="-50" w:right="-105" w:rightChars="-50"/>
              <w:jc w:val="center"/>
              <w:textAlignment w:val="baseline"/>
              <w:rPr>
                <w:rFonts w:hint="default" w:ascii="Arial" w:hAnsi="Arial" w:eastAsia="宋体" w:cs="Arial"/>
                <w:bCs/>
                <w:color w:val="auto"/>
                <w:kern w:val="0"/>
                <w:szCs w:val="21"/>
                <w:highlight w:val="none"/>
                <w:lang w:val="en-US" w:eastAsia="zh-CN"/>
              </w:rPr>
            </w:pPr>
            <w:r>
              <w:rPr>
                <w:rFonts w:hint="default" w:ascii="Arial" w:hAnsi="Arial" w:cs="Arial"/>
                <w:bCs/>
                <w:color w:val="auto"/>
                <w:kern w:val="0"/>
                <w:szCs w:val="21"/>
                <w:highlight w:val="none"/>
              </w:rPr>
              <w:t>2.1</w:t>
            </w:r>
          </w:p>
        </w:tc>
        <w:tc>
          <w:tcPr>
            <w:tcW w:w="1086" w:type="dxa"/>
            <w:vAlign w:val="center"/>
          </w:tcPr>
          <w:p w14:paraId="1A346799">
            <w:pPr>
              <w:adjustRightInd w:val="0"/>
              <w:spacing w:line="360" w:lineRule="exact"/>
              <w:jc w:val="center"/>
              <w:textAlignment w:val="baseline"/>
              <w:rPr>
                <w:rFonts w:hint="default" w:ascii="Arial" w:hAnsi="Arial" w:eastAsia="宋体" w:cs="Arial"/>
                <w:bCs/>
                <w:color w:val="auto"/>
                <w:kern w:val="0"/>
                <w:szCs w:val="21"/>
                <w:highlight w:val="none"/>
                <w:lang w:val="en-US" w:eastAsia="zh-CN"/>
              </w:rPr>
            </w:pPr>
            <w:r>
              <w:rPr>
                <w:rFonts w:hint="default" w:ascii="Arial" w:hAnsi="Arial" w:cs="Arial"/>
                <w:bCs/>
                <w:color w:val="auto"/>
                <w:kern w:val="0"/>
                <w:szCs w:val="21"/>
                <w:highlight w:val="none"/>
              </w:rPr>
              <w:t>主要施工方法</w:t>
            </w:r>
          </w:p>
        </w:tc>
        <w:tc>
          <w:tcPr>
            <w:tcW w:w="7110" w:type="dxa"/>
            <w:vAlign w:val="center"/>
          </w:tcPr>
          <w:p w14:paraId="576445D1">
            <w:pPr>
              <w:spacing w:line="400" w:lineRule="exact"/>
              <w:ind w:firstLine="420"/>
              <w:rPr>
                <w:rFonts w:hint="default" w:ascii="Arial" w:hAnsi="Arial" w:cs="Arial"/>
                <w:bCs/>
                <w:color w:val="auto"/>
                <w:kern w:val="0"/>
                <w:szCs w:val="21"/>
                <w:highlight w:val="none"/>
                <w:lang w:val="en-US" w:eastAsia="zh-CN"/>
              </w:rPr>
            </w:pPr>
            <w:r>
              <w:rPr>
                <w:rFonts w:hint="default" w:ascii="Arial" w:hAnsi="Arial" w:cs="Arial"/>
                <w:bCs/>
                <w:color w:val="auto"/>
                <w:kern w:val="0"/>
                <w:szCs w:val="21"/>
                <w:highlight w:val="none"/>
                <w:lang w:val="en-US" w:eastAsia="zh-CN"/>
              </w:rPr>
              <w:t>一档（</w:t>
            </w:r>
            <w:r>
              <w:rPr>
                <w:rFonts w:hint="eastAsia" w:ascii="Arial" w:hAnsi="Arial" w:cs="Arial"/>
                <w:bCs/>
                <w:color w:val="auto"/>
                <w:kern w:val="0"/>
                <w:szCs w:val="21"/>
                <w:highlight w:val="none"/>
                <w:lang w:val="en-US" w:eastAsia="zh-CN"/>
              </w:rPr>
              <w:t>10</w:t>
            </w:r>
            <w:r>
              <w:rPr>
                <w:rFonts w:hint="default" w:ascii="Arial" w:hAnsi="Arial" w:cs="Arial"/>
                <w:bCs/>
                <w:color w:val="auto"/>
                <w:kern w:val="0"/>
                <w:szCs w:val="21"/>
                <w:highlight w:val="none"/>
                <w:lang w:val="en-US" w:eastAsia="zh-CN"/>
              </w:rPr>
              <w:t>分）：各主要分部施工方法符合项目实际，有详尽的施工技术方案，方案能够针对本项目实际情况进行表述，有明显的针对性，拟采用的工艺先进、方法科学详细完整且适用于本项目，表述清晰能非常好的指导具体施工并确保安全。</w:t>
            </w:r>
          </w:p>
          <w:p w14:paraId="22BB9ACA">
            <w:pPr>
              <w:spacing w:line="400" w:lineRule="exact"/>
              <w:ind w:firstLine="420"/>
              <w:rPr>
                <w:rFonts w:hint="default" w:ascii="Arial" w:hAnsi="Arial" w:cs="Arial"/>
                <w:bCs/>
                <w:color w:val="auto"/>
                <w:kern w:val="0"/>
                <w:szCs w:val="21"/>
                <w:highlight w:val="none"/>
                <w:lang w:val="en-US" w:eastAsia="zh-CN"/>
              </w:rPr>
            </w:pPr>
            <w:r>
              <w:rPr>
                <w:rFonts w:hint="default" w:ascii="Arial" w:hAnsi="Arial" w:cs="Arial"/>
                <w:bCs/>
                <w:color w:val="auto"/>
                <w:kern w:val="0"/>
                <w:szCs w:val="21"/>
                <w:highlight w:val="none"/>
                <w:lang w:val="en-US" w:eastAsia="zh-CN"/>
              </w:rPr>
              <w:t>二档（</w:t>
            </w:r>
            <w:r>
              <w:rPr>
                <w:rFonts w:hint="eastAsia" w:ascii="Arial" w:hAnsi="Arial" w:cs="Arial"/>
                <w:bCs/>
                <w:color w:val="auto"/>
                <w:kern w:val="0"/>
                <w:szCs w:val="21"/>
                <w:highlight w:val="none"/>
                <w:lang w:val="en-US" w:eastAsia="zh-CN"/>
              </w:rPr>
              <w:t>8</w:t>
            </w:r>
            <w:r>
              <w:rPr>
                <w:rFonts w:hint="default" w:ascii="Arial" w:hAnsi="Arial" w:cs="Arial"/>
                <w:bCs/>
                <w:color w:val="auto"/>
                <w:kern w:val="0"/>
                <w:szCs w:val="21"/>
                <w:highlight w:val="none"/>
                <w:lang w:val="en-US" w:eastAsia="zh-CN"/>
              </w:rPr>
              <w:t>分）：各主要分部施工方法符合项目实际，有完整的施工技术方案，但是缺乏针对本项目实际情况的表述，工艺操作规范成熟、方法科学完整，能指导具体施工并确保安全。</w:t>
            </w:r>
          </w:p>
          <w:p w14:paraId="59BF0884">
            <w:pPr>
              <w:spacing w:line="400" w:lineRule="exact"/>
              <w:ind w:firstLine="420"/>
              <w:rPr>
                <w:rFonts w:hint="default" w:ascii="Arial" w:hAnsi="Arial" w:cs="Arial"/>
                <w:bCs/>
                <w:color w:val="auto"/>
                <w:kern w:val="0"/>
                <w:szCs w:val="21"/>
                <w:highlight w:val="none"/>
                <w:lang w:val="en-US" w:eastAsia="zh-CN"/>
              </w:rPr>
            </w:pPr>
            <w:r>
              <w:rPr>
                <w:rFonts w:hint="default" w:ascii="Arial" w:hAnsi="Arial" w:cs="Arial"/>
                <w:bCs/>
                <w:color w:val="auto"/>
                <w:kern w:val="0"/>
                <w:szCs w:val="21"/>
                <w:highlight w:val="none"/>
                <w:lang w:val="en-US" w:eastAsia="zh-CN"/>
              </w:rPr>
              <w:t>三档（</w:t>
            </w:r>
            <w:r>
              <w:rPr>
                <w:rFonts w:hint="eastAsia" w:ascii="Arial" w:hAnsi="Arial" w:cs="Arial"/>
                <w:bCs/>
                <w:color w:val="auto"/>
                <w:kern w:val="0"/>
                <w:szCs w:val="21"/>
                <w:highlight w:val="none"/>
                <w:lang w:val="en-US" w:eastAsia="zh-CN"/>
              </w:rPr>
              <w:t>6</w:t>
            </w:r>
            <w:r>
              <w:rPr>
                <w:rFonts w:hint="default" w:ascii="Arial" w:hAnsi="Arial" w:cs="Arial"/>
                <w:bCs/>
                <w:color w:val="auto"/>
                <w:kern w:val="0"/>
                <w:szCs w:val="21"/>
                <w:highlight w:val="none"/>
                <w:lang w:val="en-US" w:eastAsia="zh-CN"/>
              </w:rPr>
              <w:t>分）：各主要分部施工方法符合项目实际，有施工技术方案，工艺落后、方法粗略，能指导施工并确保安全。</w:t>
            </w:r>
          </w:p>
          <w:p w14:paraId="1FC5752D">
            <w:pPr>
              <w:spacing w:line="400" w:lineRule="exact"/>
              <w:ind w:firstLine="420"/>
              <w:rPr>
                <w:rFonts w:hint="default" w:ascii="Arial" w:hAnsi="Arial" w:cs="Arial"/>
                <w:bCs/>
                <w:color w:val="auto"/>
                <w:kern w:val="0"/>
                <w:szCs w:val="21"/>
                <w:highlight w:val="none"/>
                <w:lang w:val="zh-CN" w:eastAsia="zh-CN"/>
              </w:rPr>
            </w:pPr>
            <w:r>
              <w:rPr>
                <w:rFonts w:hint="default" w:ascii="Arial" w:hAnsi="Arial" w:cs="Arial"/>
                <w:bCs/>
                <w:color w:val="auto"/>
                <w:kern w:val="0"/>
                <w:szCs w:val="21"/>
                <w:highlight w:val="none"/>
                <w:lang w:val="en-US" w:eastAsia="zh-CN"/>
              </w:rPr>
              <w:t>四档（</w:t>
            </w:r>
            <w:r>
              <w:rPr>
                <w:rFonts w:hint="eastAsia" w:ascii="Arial" w:hAnsi="Arial" w:cs="Arial"/>
                <w:bCs/>
                <w:color w:val="auto"/>
                <w:kern w:val="0"/>
                <w:szCs w:val="21"/>
                <w:highlight w:val="none"/>
                <w:lang w:val="en-US" w:eastAsia="zh-CN"/>
              </w:rPr>
              <w:t>2</w:t>
            </w:r>
            <w:r>
              <w:rPr>
                <w:rFonts w:hint="default" w:ascii="Arial" w:hAnsi="Arial" w:cs="Arial"/>
                <w:bCs/>
                <w:color w:val="auto"/>
                <w:kern w:val="0"/>
                <w:szCs w:val="21"/>
                <w:highlight w:val="none"/>
                <w:lang w:val="en-US" w:eastAsia="zh-CN"/>
              </w:rPr>
              <w:t>分）：各主要分部施工方法不符合项目实际，有施工技术方案，工艺落后，不能指导具体施工并确保安全</w:t>
            </w:r>
            <w:r>
              <w:rPr>
                <w:rFonts w:hint="default" w:ascii="Arial" w:hAnsi="Arial" w:cs="Arial"/>
                <w:bCs/>
                <w:color w:val="auto"/>
                <w:kern w:val="0"/>
                <w:szCs w:val="21"/>
                <w:highlight w:val="none"/>
                <w:lang w:val="zh-CN" w:eastAsia="zh-CN"/>
              </w:rPr>
              <w:t>。</w:t>
            </w:r>
          </w:p>
          <w:p w14:paraId="255D9644">
            <w:pPr>
              <w:spacing w:line="400" w:lineRule="exact"/>
              <w:ind w:firstLine="420" w:firstLineChars="0"/>
              <w:rPr>
                <w:rFonts w:hint="default" w:ascii="Arial" w:hAnsi="Arial" w:eastAsia="宋体" w:cs="Arial"/>
                <w:bCs/>
                <w:color w:val="auto"/>
                <w:sz w:val="21"/>
                <w:szCs w:val="21"/>
                <w:highlight w:val="none"/>
                <w:lang w:val="en-US" w:eastAsia="zh-CN"/>
              </w:rPr>
            </w:pPr>
            <w:r>
              <w:rPr>
                <w:rFonts w:hint="default" w:ascii="Arial" w:hAnsi="Arial" w:cs="Arial"/>
                <w:bCs/>
                <w:color w:val="auto"/>
                <w:kern w:val="0"/>
                <w:szCs w:val="21"/>
                <w:highlight w:val="none"/>
                <w:lang w:val="en-US" w:eastAsia="zh-CN"/>
              </w:rPr>
              <w:t>注：不提供的不予以计分。</w:t>
            </w:r>
          </w:p>
        </w:tc>
        <w:tc>
          <w:tcPr>
            <w:tcW w:w="772" w:type="dxa"/>
            <w:vAlign w:val="center"/>
          </w:tcPr>
          <w:p w14:paraId="1AEE5ABA">
            <w:pPr>
              <w:spacing w:line="360" w:lineRule="exact"/>
              <w:jc w:val="center"/>
              <w:rPr>
                <w:rFonts w:hint="default" w:ascii="Arial" w:hAnsi="Arial" w:eastAsia="宋体" w:cs="Arial"/>
                <w:color w:val="auto"/>
                <w:kern w:val="0"/>
                <w:szCs w:val="21"/>
                <w:highlight w:val="none"/>
                <w:lang w:val="en-US" w:eastAsia="zh-CN"/>
              </w:rPr>
            </w:pPr>
            <w:r>
              <w:rPr>
                <w:rFonts w:hint="eastAsia" w:ascii="Arial" w:hAnsi="Arial" w:cs="Arial"/>
                <w:bCs/>
                <w:color w:val="auto"/>
                <w:szCs w:val="21"/>
                <w:highlight w:val="none"/>
                <w:lang w:val="en-US" w:eastAsia="zh-CN"/>
              </w:rPr>
              <w:t>10</w:t>
            </w:r>
            <w:r>
              <w:rPr>
                <w:rFonts w:hint="default" w:ascii="Arial" w:hAnsi="Arial" w:cs="Arial"/>
                <w:bCs/>
                <w:color w:val="auto"/>
                <w:szCs w:val="21"/>
                <w:highlight w:val="none"/>
              </w:rPr>
              <w:t>分</w:t>
            </w:r>
          </w:p>
        </w:tc>
      </w:tr>
      <w:tr w14:paraId="527C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4BFF1B82">
            <w:pPr>
              <w:adjustRightInd w:val="0"/>
              <w:spacing w:line="360" w:lineRule="exact"/>
              <w:ind w:left="-105" w:leftChars="-50" w:right="-105" w:rightChars="-50"/>
              <w:jc w:val="center"/>
              <w:textAlignment w:val="baseline"/>
              <w:rPr>
                <w:rFonts w:hint="default" w:ascii="Arial" w:hAnsi="Arial" w:eastAsia="宋体" w:cs="Arial"/>
                <w:bCs/>
                <w:color w:val="auto"/>
                <w:kern w:val="0"/>
                <w:szCs w:val="21"/>
                <w:highlight w:val="none"/>
                <w:lang w:val="en-US" w:eastAsia="zh-CN"/>
              </w:rPr>
            </w:pPr>
            <w:r>
              <w:rPr>
                <w:rFonts w:hint="default" w:ascii="Arial" w:hAnsi="Arial" w:cs="Arial"/>
                <w:bCs/>
                <w:color w:val="auto"/>
                <w:kern w:val="0"/>
                <w:szCs w:val="21"/>
                <w:highlight w:val="none"/>
              </w:rPr>
              <w:t>2.2</w:t>
            </w:r>
          </w:p>
        </w:tc>
        <w:tc>
          <w:tcPr>
            <w:tcW w:w="1086" w:type="dxa"/>
            <w:vAlign w:val="center"/>
          </w:tcPr>
          <w:p w14:paraId="40167AE7">
            <w:pPr>
              <w:adjustRightInd w:val="0"/>
              <w:spacing w:line="320" w:lineRule="exact"/>
              <w:jc w:val="center"/>
              <w:textAlignment w:val="baseline"/>
              <w:rPr>
                <w:rFonts w:hint="default" w:ascii="Arial" w:hAnsi="Arial" w:eastAsia="宋体" w:cs="Arial"/>
                <w:bCs/>
                <w:color w:val="auto"/>
                <w:kern w:val="0"/>
                <w:szCs w:val="21"/>
                <w:highlight w:val="none"/>
                <w:lang w:eastAsia="zh-CN"/>
              </w:rPr>
            </w:pPr>
            <w:r>
              <w:rPr>
                <w:rFonts w:hint="default" w:ascii="Arial" w:hAnsi="Arial" w:cs="Arial"/>
                <w:bCs/>
                <w:color w:val="auto"/>
                <w:kern w:val="0"/>
                <w:szCs w:val="21"/>
                <w:highlight w:val="none"/>
              </w:rPr>
              <w:t>拟投入的主要物资计划</w:t>
            </w:r>
          </w:p>
        </w:tc>
        <w:tc>
          <w:tcPr>
            <w:tcW w:w="7110" w:type="dxa"/>
            <w:vAlign w:val="center"/>
          </w:tcPr>
          <w:p w14:paraId="1B887717">
            <w:pPr>
              <w:spacing w:line="400" w:lineRule="exact"/>
              <w:ind w:firstLine="420"/>
              <w:rPr>
                <w:rFonts w:hint="default" w:ascii="Arial" w:hAnsi="Arial" w:cs="Arial"/>
                <w:bCs/>
                <w:color w:val="auto"/>
                <w:kern w:val="0"/>
                <w:szCs w:val="21"/>
                <w:highlight w:val="none"/>
                <w:lang w:val="en-US" w:eastAsia="zh-CN"/>
              </w:rPr>
            </w:pPr>
            <w:r>
              <w:rPr>
                <w:rFonts w:hint="default" w:ascii="Arial" w:hAnsi="Arial" w:cs="Arial"/>
                <w:bCs/>
                <w:color w:val="auto"/>
                <w:kern w:val="0"/>
                <w:szCs w:val="21"/>
                <w:highlight w:val="none"/>
                <w:lang w:val="en-US" w:eastAsia="zh-CN"/>
              </w:rPr>
              <w:t>一档（</w:t>
            </w:r>
            <w:r>
              <w:rPr>
                <w:rFonts w:hint="eastAsia" w:ascii="Arial" w:hAnsi="Arial" w:cs="Arial"/>
                <w:bCs/>
                <w:color w:val="auto"/>
                <w:kern w:val="0"/>
                <w:szCs w:val="21"/>
                <w:highlight w:val="none"/>
                <w:lang w:val="en-US" w:eastAsia="zh-CN"/>
              </w:rPr>
              <w:t>8</w:t>
            </w:r>
            <w:r>
              <w:rPr>
                <w:rFonts w:hint="default" w:ascii="Arial" w:hAnsi="Arial" w:cs="Arial"/>
                <w:bCs/>
                <w:color w:val="auto"/>
                <w:kern w:val="0"/>
                <w:szCs w:val="21"/>
                <w:highlight w:val="none"/>
                <w:lang w:val="en-US" w:eastAsia="zh-CN"/>
              </w:rPr>
              <w:t>分）：投入的施工材料有详细的组织计划且计划周密贴合施工实际要求，数量、选型配置计划内容详尽、进场时间安排贴合现场需要与进度计划呼应，满足施工需要。</w:t>
            </w:r>
          </w:p>
          <w:p w14:paraId="67B35027">
            <w:pPr>
              <w:spacing w:line="400" w:lineRule="exact"/>
              <w:ind w:firstLine="420"/>
              <w:rPr>
                <w:rFonts w:hint="default" w:ascii="Arial" w:hAnsi="Arial" w:cs="Arial"/>
                <w:bCs/>
                <w:color w:val="auto"/>
                <w:kern w:val="0"/>
                <w:szCs w:val="21"/>
                <w:highlight w:val="none"/>
                <w:lang w:val="en-US" w:eastAsia="zh-CN"/>
              </w:rPr>
            </w:pPr>
            <w:r>
              <w:rPr>
                <w:rFonts w:hint="default" w:ascii="Arial" w:hAnsi="Arial" w:cs="Arial"/>
                <w:bCs/>
                <w:color w:val="auto"/>
                <w:kern w:val="0"/>
                <w:szCs w:val="21"/>
                <w:highlight w:val="none"/>
                <w:lang w:val="en-US" w:eastAsia="zh-CN"/>
              </w:rPr>
              <w:t>二档（</w:t>
            </w:r>
            <w:r>
              <w:rPr>
                <w:rFonts w:hint="eastAsia" w:ascii="Arial" w:hAnsi="Arial" w:cs="Arial"/>
                <w:bCs/>
                <w:color w:val="auto"/>
                <w:kern w:val="0"/>
                <w:szCs w:val="21"/>
                <w:highlight w:val="none"/>
                <w:lang w:val="en-US" w:eastAsia="zh-CN"/>
              </w:rPr>
              <w:t>6</w:t>
            </w:r>
            <w:r>
              <w:rPr>
                <w:rFonts w:hint="default" w:ascii="Arial" w:hAnsi="Arial" w:cs="Arial"/>
                <w:bCs/>
                <w:color w:val="auto"/>
                <w:kern w:val="0"/>
                <w:szCs w:val="21"/>
                <w:highlight w:val="none"/>
                <w:lang w:val="en-US" w:eastAsia="zh-CN"/>
              </w:rPr>
              <w:t>分）：投入的施工材料有详细的组织计划但计划不够贴合施工实际要求，数量、选型配置、进场时间安排与进度计划有偏差，但基本满足现场需要，满足施工需要。</w:t>
            </w:r>
          </w:p>
          <w:p w14:paraId="474A3CBB">
            <w:pPr>
              <w:spacing w:line="400" w:lineRule="exact"/>
              <w:ind w:firstLine="420"/>
              <w:rPr>
                <w:rFonts w:hint="default" w:ascii="Arial" w:hAnsi="Arial" w:cs="Arial"/>
                <w:bCs/>
                <w:color w:val="auto"/>
                <w:kern w:val="0"/>
                <w:szCs w:val="21"/>
                <w:highlight w:val="none"/>
                <w:lang w:val="en-US" w:eastAsia="zh-CN"/>
              </w:rPr>
            </w:pPr>
            <w:r>
              <w:rPr>
                <w:rFonts w:hint="default" w:ascii="Arial" w:hAnsi="Arial" w:cs="Arial"/>
                <w:bCs/>
                <w:color w:val="auto"/>
                <w:kern w:val="0"/>
                <w:szCs w:val="21"/>
                <w:highlight w:val="none"/>
                <w:lang w:val="en-US" w:eastAsia="zh-CN"/>
              </w:rPr>
              <w:t>三档（</w:t>
            </w:r>
            <w:r>
              <w:rPr>
                <w:rFonts w:hint="eastAsia" w:ascii="Arial" w:hAnsi="Arial" w:cs="Arial"/>
                <w:bCs/>
                <w:color w:val="auto"/>
                <w:kern w:val="0"/>
                <w:szCs w:val="21"/>
                <w:highlight w:val="none"/>
                <w:lang w:val="en-US" w:eastAsia="zh-CN"/>
              </w:rPr>
              <w:t>4</w:t>
            </w:r>
            <w:r>
              <w:rPr>
                <w:rFonts w:hint="default" w:ascii="Arial" w:hAnsi="Arial" w:cs="Arial"/>
                <w:bCs/>
                <w:color w:val="auto"/>
                <w:kern w:val="0"/>
                <w:szCs w:val="21"/>
                <w:highlight w:val="none"/>
                <w:lang w:val="en-US" w:eastAsia="zh-CN"/>
              </w:rPr>
              <w:t>分）：投入的施工材料有组织计划但计划粗略，数量、选型配置计划内容有缺项、进场时间安排与进度计划有偏差，基本满足施工需要。</w:t>
            </w:r>
          </w:p>
          <w:p w14:paraId="63BE43D9">
            <w:pPr>
              <w:spacing w:line="400" w:lineRule="exact"/>
              <w:ind w:firstLine="420"/>
              <w:rPr>
                <w:rFonts w:hint="default" w:ascii="Arial" w:hAnsi="Arial" w:cs="Arial"/>
                <w:bCs/>
                <w:color w:val="auto"/>
                <w:kern w:val="0"/>
                <w:szCs w:val="21"/>
                <w:highlight w:val="none"/>
              </w:rPr>
            </w:pPr>
            <w:r>
              <w:rPr>
                <w:rFonts w:hint="default" w:ascii="Arial" w:hAnsi="Arial" w:cs="Arial"/>
                <w:bCs/>
                <w:color w:val="auto"/>
                <w:kern w:val="0"/>
                <w:szCs w:val="21"/>
                <w:highlight w:val="none"/>
                <w:lang w:val="en-US" w:eastAsia="zh-CN"/>
              </w:rPr>
              <w:t>四档（</w:t>
            </w:r>
            <w:r>
              <w:rPr>
                <w:rFonts w:hint="eastAsia" w:ascii="Arial" w:hAnsi="Arial" w:cs="Arial"/>
                <w:bCs/>
                <w:color w:val="auto"/>
                <w:kern w:val="0"/>
                <w:szCs w:val="21"/>
                <w:highlight w:val="none"/>
                <w:lang w:val="en-US" w:eastAsia="zh-CN"/>
              </w:rPr>
              <w:t>2</w:t>
            </w:r>
            <w:r>
              <w:rPr>
                <w:rFonts w:hint="default" w:ascii="Arial" w:hAnsi="Arial" w:cs="Arial"/>
                <w:bCs/>
                <w:color w:val="auto"/>
                <w:kern w:val="0"/>
                <w:szCs w:val="21"/>
                <w:highlight w:val="none"/>
                <w:lang w:val="en-US" w:eastAsia="zh-CN"/>
              </w:rPr>
              <w:t>分）：投入的施工材料无组织计划，数量、选型配置、进场时间安排不切实际，不满足施工需要</w:t>
            </w:r>
            <w:r>
              <w:rPr>
                <w:rFonts w:hint="default" w:ascii="Arial" w:hAnsi="Arial" w:cs="Arial"/>
                <w:bCs/>
                <w:color w:val="auto"/>
                <w:kern w:val="0"/>
                <w:szCs w:val="21"/>
                <w:highlight w:val="none"/>
              </w:rPr>
              <w:t>。</w:t>
            </w:r>
          </w:p>
          <w:p w14:paraId="042095DC">
            <w:pPr>
              <w:spacing w:line="400" w:lineRule="exact"/>
              <w:ind w:firstLine="420" w:firstLineChars="0"/>
              <w:rPr>
                <w:rFonts w:hint="default" w:ascii="Arial" w:hAnsi="Arial" w:eastAsia="宋体" w:cs="Arial"/>
                <w:bCs/>
                <w:color w:val="auto"/>
                <w:kern w:val="0"/>
                <w:szCs w:val="21"/>
                <w:highlight w:val="none"/>
                <w:lang w:eastAsia="zh-CN"/>
              </w:rPr>
            </w:pPr>
            <w:r>
              <w:rPr>
                <w:rFonts w:hint="default" w:ascii="Arial" w:hAnsi="Arial" w:cs="Arial"/>
                <w:bCs/>
                <w:color w:val="auto"/>
                <w:kern w:val="0"/>
                <w:szCs w:val="21"/>
                <w:highlight w:val="none"/>
                <w:lang w:val="en-US" w:eastAsia="zh-CN"/>
              </w:rPr>
              <w:t>注：不提供的不予以计分。</w:t>
            </w:r>
          </w:p>
        </w:tc>
        <w:tc>
          <w:tcPr>
            <w:tcW w:w="772" w:type="dxa"/>
            <w:vAlign w:val="center"/>
          </w:tcPr>
          <w:p w14:paraId="4A81D8AB">
            <w:pPr>
              <w:spacing w:line="360" w:lineRule="exact"/>
              <w:jc w:val="center"/>
              <w:rPr>
                <w:rFonts w:hint="default" w:ascii="Arial" w:hAnsi="Arial" w:eastAsia="宋体" w:cs="Arial"/>
                <w:color w:val="auto"/>
                <w:kern w:val="0"/>
                <w:szCs w:val="21"/>
                <w:highlight w:val="none"/>
                <w:lang w:val="en-US" w:eastAsia="zh-CN"/>
              </w:rPr>
            </w:pPr>
            <w:r>
              <w:rPr>
                <w:rFonts w:hint="eastAsia" w:ascii="Arial" w:hAnsi="Arial" w:cs="Arial"/>
                <w:bCs/>
                <w:color w:val="auto"/>
                <w:kern w:val="0"/>
                <w:szCs w:val="21"/>
                <w:highlight w:val="none"/>
                <w:lang w:val="en-US" w:eastAsia="zh-CN"/>
              </w:rPr>
              <w:t>8</w:t>
            </w:r>
            <w:r>
              <w:rPr>
                <w:rFonts w:hint="default" w:ascii="Arial" w:hAnsi="Arial" w:cs="Arial"/>
                <w:bCs/>
                <w:color w:val="auto"/>
                <w:kern w:val="0"/>
                <w:szCs w:val="21"/>
                <w:highlight w:val="none"/>
              </w:rPr>
              <w:t>分</w:t>
            </w:r>
          </w:p>
        </w:tc>
      </w:tr>
      <w:tr w14:paraId="272CB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652" w:type="dxa"/>
            <w:vAlign w:val="center"/>
          </w:tcPr>
          <w:p w14:paraId="442AD54F">
            <w:pPr>
              <w:adjustRightInd w:val="0"/>
              <w:spacing w:line="320" w:lineRule="exact"/>
              <w:ind w:left="-105" w:leftChars="-50" w:right="-105" w:rightChars="-50"/>
              <w:jc w:val="center"/>
              <w:textAlignment w:val="baseline"/>
              <w:rPr>
                <w:rFonts w:hint="default" w:ascii="Arial" w:hAnsi="Arial" w:eastAsia="宋体" w:cs="Arial"/>
                <w:bCs/>
                <w:color w:val="auto"/>
                <w:kern w:val="0"/>
                <w:szCs w:val="21"/>
                <w:highlight w:val="none"/>
                <w:lang w:val="en-US" w:eastAsia="zh-CN"/>
              </w:rPr>
            </w:pPr>
            <w:r>
              <w:rPr>
                <w:rFonts w:hint="default" w:ascii="Arial" w:hAnsi="Arial" w:cs="Arial"/>
                <w:bCs/>
                <w:color w:val="auto"/>
                <w:kern w:val="0"/>
                <w:szCs w:val="21"/>
                <w:highlight w:val="none"/>
              </w:rPr>
              <w:t>2.3</w:t>
            </w:r>
          </w:p>
        </w:tc>
        <w:tc>
          <w:tcPr>
            <w:tcW w:w="1086" w:type="dxa"/>
            <w:vAlign w:val="center"/>
          </w:tcPr>
          <w:p w14:paraId="330B201E">
            <w:pPr>
              <w:adjustRightInd w:val="0"/>
              <w:spacing w:line="400" w:lineRule="exact"/>
              <w:jc w:val="center"/>
              <w:textAlignment w:val="baseline"/>
              <w:rPr>
                <w:rFonts w:hint="default" w:ascii="Arial" w:hAnsi="Arial" w:eastAsia="宋体" w:cs="Arial"/>
                <w:color w:val="auto"/>
                <w:szCs w:val="21"/>
                <w:highlight w:val="none"/>
                <w:lang w:val="en-US" w:eastAsia="zh-CN"/>
              </w:rPr>
            </w:pPr>
            <w:r>
              <w:rPr>
                <w:rFonts w:hint="default" w:ascii="Arial" w:hAnsi="Arial" w:eastAsia="宋体" w:cs="Arial"/>
                <w:bCs/>
                <w:color w:val="auto"/>
                <w:kern w:val="0"/>
                <w:sz w:val="21"/>
                <w:szCs w:val="21"/>
                <w:highlight w:val="none"/>
                <w:lang w:val="en-US" w:eastAsia="zh-CN" w:bidi="ar-SA"/>
              </w:rPr>
              <w:t>拟投入的主要施工机械、设备计划</w:t>
            </w:r>
          </w:p>
        </w:tc>
        <w:tc>
          <w:tcPr>
            <w:tcW w:w="7110" w:type="dxa"/>
            <w:vAlign w:val="center"/>
          </w:tcPr>
          <w:p w14:paraId="5FBCB551">
            <w:pPr>
              <w:pStyle w:val="11"/>
              <w:spacing w:line="400" w:lineRule="exact"/>
              <w:ind w:firstLine="420" w:firstLineChars="200"/>
              <w:rPr>
                <w:rFonts w:hint="default" w:ascii="Arial" w:hAnsi="Arial" w:cs="Arial"/>
                <w:bCs/>
                <w:color w:val="auto"/>
                <w:sz w:val="21"/>
                <w:szCs w:val="21"/>
                <w:highlight w:val="none"/>
                <w:lang w:val="en-US" w:eastAsia="zh-CN"/>
              </w:rPr>
            </w:pPr>
            <w:r>
              <w:rPr>
                <w:rFonts w:hint="default" w:ascii="Arial" w:hAnsi="Arial" w:cs="Arial"/>
                <w:bCs/>
                <w:color w:val="auto"/>
                <w:sz w:val="21"/>
                <w:szCs w:val="21"/>
                <w:highlight w:val="none"/>
                <w:lang w:val="en-US" w:eastAsia="zh-CN"/>
              </w:rPr>
              <w:t>一档（</w:t>
            </w:r>
            <w:r>
              <w:rPr>
                <w:rFonts w:hint="eastAsia" w:ascii="Arial" w:hAnsi="Arial" w:cs="Arial"/>
                <w:bCs/>
                <w:color w:val="auto"/>
                <w:sz w:val="21"/>
                <w:szCs w:val="21"/>
                <w:highlight w:val="none"/>
                <w:lang w:val="en-US" w:eastAsia="zh-CN"/>
              </w:rPr>
              <w:t>8</w:t>
            </w:r>
            <w:r>
              <w:rPr>
                <w:rFonts w:hint="default" w:ascii="Arial" w:hAnsi="Arial" w:cs="Arial"/>
                <w:bCs/>
                <w:color w:val="auto"/>
                <w:sz w:val="21"/>
                <w:szCs w:val="21"/>
                <w:highlight w:val="none"/>
                <w:lang w:val="en-US" w:eastAsia="zh-CN"/>
              </w:rPr>
              <w:t xml:space="preserve">分）：投入的施工机械、设备、机具有详细的组织计划且计划周密，设备数量、选型配置计划内容详尽、进场时间安排贴合现场需要进度计划呼应，满足施工需要。 </w:t>
            </w:r>
          </w:p>
          <w:p w14:paraId="5DB9E50F">
            <w:pPr>
              <w:pStyle w:val="11"/>
              <w:spacing w:line="400" w:lineRule="exact"/>
              <w:ind w:firstLine="420" w:firstLineChars="200"/>
              <w:rPr>
                <w:rFonts w:hint="default" w:ascii="Arial" w:hAnsi="Arial" w:cs="Arial"/>
                <w:bCs/>
                <w:color w:val="auto"/>
                <w:sz w:val="21"/>
                <w:szCs w:val="21"/>
                <w:highlight w:val="none"/>
                <w:lang w:val="en-US" w:eastAsia="zh-CN"/>
              </w:rPr>
            </w:pPr>
            <w:r>
              <w:rPr>
                <w:rFonts w:hint="default" w:ascii="Arial" w:hAnsi="Arial" w:cs="Arial"/>
                <w:bCs/>
                <w:color w:val="auto"/>
                <w:sz w:val="21"/>
                <w:szCs w:val="21"/>
                <w:highlight w:val="none"/>
                <w:lang w:val="en-US" w:eastAsia="zh-CN"/>
              </w:rPr>
              <w:t>二档（</w:t>
            </w:r>
            <w:r>
              <w:rPr>
                <w:rFonts w:hint="eastAsia" w:ascii="Arial" w:hAnsi="Arial" w:cs="Arial"/>
                <w:bCs/>
                <w:color w:val="auto"/>
                <w:sz w:val="21"/>
                <w:szCs w:val="21"/>
                <w:highlight w:val="none"/>
                <w:lang w:val="en-US" w:eastAsia="zh-CN"/>
              </w:rPr>
              <w:t>6</w:t>
            </w:r>
            <w:r>
              <w:rPr>
                <w:rFonts w:hint="default" w:ascii="Arial" w:hAnsi="Arial" w:cs="Arial"/>
                <w:bCs/>
                <w:color w:val="auto"/>
                <w:sz w:val="21"/>
                <w:szCs w:val="21"/>
                <w:highlight w:val="none"/>
                <w:lang w:val="en-US" w:eastAsia="zh-CN"/>
              </w:rPr>
              <w:t>分）：投入的施工机械、设备、机具有详细的组织计划但计划不够贴合施工实际要求，设备数量、选型配置计划内容有缺项、进场时间安排与进度计划有偏差，但基本满足现场需要，满足施工需要。</w:t>
            </w:r>
          </w:p>
          <w:p w14:paraId="129F63D5">
            <w:pPr>
              <w:pStyle w:val="11"/>
              <w:spacing w:line="400" w:lineRule="exact"/>
              <w:ind w:firstLine="420" w:firstLineChars="200"/>
              <w:rPr>
                <w:rFonts w:hint="default" w:ascii="Arial" w:hAnsi="Arial" w:cs="Arial"/>
                <w:bCs/>
                <w:color w:val="auto"/>
                <w:sz w:val="21"/>
                <w:szCs w:val="21"/>
                <w:highlight w:val="none"/>
                <w:lang w:val="en-US" w:eastAsia="zh-CN"/>
              </w:rPr>
            </w:pPr>
            <w:r>
              <w:rPr>
                <w:rFonts w:hint="default" w:ascii="Arial" w:hAnsi="Arial" w:cs="Arial"/>
                <w:bCs/>
                <w:color w:val="auto"/>
                <w:sz w:val="21"/>
                <w:szCs w:val="21"/>
                <w:highlight w:val="none"/>
                <w:lang w:val="en-US" w:eastAsia="zh-CN"/>
              </w:rPr>
              <w:t>三档（</w:t>
            </w:r>
            <w:r>
              <w:rPr>
                <w:rFonts w:hint="eastAsia" w:ascii="Arial" w:hAnsi="Arial" w:cs="Arial"/>
                <w:bCs/>
                <w:color w:val="auto"/>
                <w:sz w:val="21"/>
                <w:szCs w:val="21"/>
                <w:highlight w:val="none"/>
                <w:lang w:val="en-US" w:eastAsia="zh-CN"/>
              </w:rPr>
              <w:t>4</w:t>
            </w:r>
            <w:r>
              <w:rPr>
                <w:rFonts w:hint="default" w:ascii="Arial" w:hAnsi="Arial" w:cs="Arial"/>
                <w:bCs/>
                <w:color w:val="auto"/>
                <w:sz w:val="21"/>
                <w:szCs w:val="21"/>
                <w:highlight w:val="none"/>
                <w:lang w:val="en-US" w:eastAsia="zh-CN"/>
              </w:rPr>
              <w:t>分）：投入的施工机械、设备、机具有组织计划但计划粗略，设备数量、选型配置计划内容有缺项、进场时间安排与进度计划有偏差，基本满足施工需要。</w:t>
            </w:r>
          </w:p>
          <w:p w14:paraId="3ADCEB4E">
            <w:pPr>
              <w:pStyle w:val="11"/>
              <w:spacing w:line="400" w:lineRule="exact"/>
              <w:ind w:firstLine="420" w:firstLineChars="200"/>
              <w:rPr>
                <w:rFonts w:hint="default" w:ascii="Arial" w:hAnsi="Arial" w:cs="Arial"/>
                <w:bCs/>
                <w:color w:val="auto"/>
                <w:sz w:val="21"/>
                <w:szCs w:val="21"/>
                <w:highlight w:val="none"/>
                <w:lang w:val="en-US" w:eastAsia="zh-CN"/>
              </w:rPr>
            </w:pPr>
            <w:r>
              <w:rPr>
                <w:rFonts w:hint="default" w:ascii="Arial" w:hAnsi="Arial" w:cs="Arial"/>
                <w:bCs/>
                <w:color w:val="auto"/>
                <w:sz w:val="21"/>
                <w:szCs w:val="21"/>
                <w:highlight w:val="none"/>
                <w:lang w:val="en-US" w:eastAsia="zh-CN"/>
              </w:rPr>
              <w:t>四档（</w:t>
            </w:r>
            <w:r>
              <w:rPr>
                <w:rFonts w:hint="eastAsia" w:ascii="Arial" w:hAnsi="Arial" w:cs="Arial"/>
                <w:bCs/>
                <w:color w:val="auto"/>
                <w:sz w:val="21"/>
                <w:szCs w:val="21"/>
                <w:highlight w:val="none"/>
                <w:lang w:val="en-US" w:eastAsia="zh-CN"/>
              </w:rPr>
              <w:t>2</w:t>
            </w:r>
            <w:r>
              <w:rPr>
                <w:rFonts w:hint="default" w:ascii="Arial" w:hAnsi="Arial" w:cs="Arial"/>
                <w:bCs/>
                <w:color w:val="auto"/>
                <w:sz w:val="21"/>
                <w:szCs w:val="21"/>
                <w:highlight w:val="none"/>
                <w:lang w:val="en-US" w:eastAsia="zh-CN"/>
              </w:rPr>
              <w:t>分）：投入的施工机械、设备、机具无组织计划，设备数量、选型配置计划内容有重大缺项、进场时间安排不切实际，不满足施工需要。</w:t>
            </w:r>
          </w:p>
          <w:p w14:paraId="61C72751">
            <w:pPr>
              <w:pStyle w:val="11"/>
              <w:spacing w:line="400" w:lineRule="exact"/>
              <w:ind w:firstLine="420" w:firstLineChars="200"/>
              <w:rPr>
                <w:rFonts w:hint="default" w:ascii="Arial" w:hAnsi="Arial" w:eastAsia="宋体" w:cs="Arial"/>
                <w:bCs/>
                <w:color w:val="auto"/>
                <w:sz w:val="21"/>
                <w:szCs w:val="21"/>
                <w:highlight w:val="none"/>
                <w:lang w:val="en-US" w:eastAsia="zh-CN"/>
              </w:rPr>
            </w:pPr>
            <w:r>
              <w:rPr>
                <w:rFonts w:hint="default" w:ascii="Arial" w:hAnsi="Arial" w:cs="Arial"/>
                <w:bCs/>
                <w:color w:val="auto"/>
                <w:kern w:val="0"/>
                <w:szCs w:val="21"/>
                <w:highlight w:val="none"/>
                <w:lang w:val="en-US" w:eastAsia="zh-CN"/>
              </w:rPr>
              <w:t>注：不提供的不予以计分。</w:t>
            </w:r>
          </w:p>
        </w:tc>
        <w:tc>
          <w:tcPr>
            <w:tcW w:w="772" w:type="dxa"/>
            <w:vAlign w:val="center"/>
          </w:tcPr>
          <w:p w14:paraId="6EBBBE8A">
            <w:pPr>
              <w:spacing w:line="320" w:lineRule="exact"/>
              <w:jc w:val="center"/>
              <w:rPr>
                <w:rFonts w:hint="default" w:ascii="Arial" w:hAnsi="Arial" w:eastAsia="宋体" w:cs="Arial"/>
                <w:color w:val="auto"/>
                <w:kern w:val="0"/>
                <w:szCs w:val="21"/>
                <w:highlight w:val="none"/>
                <w:lang w:val="en-US" w:eastAsia="zh-CN"/>
              </w:rPr>
            </w:pPr>
            <w:r>
              <w:rPr>
                <w:rFonts w:hint="eastAsia" w:ascii="Arial" w:hAnsi="Arial" w:cs="Arial"/>
                <w:color w:val="auto"/>
                <w:kern w:val="0"/>
                <w:szCs w:val="21"/>
                <w:highlight w:val="none"/>
                <w:lang w:val="en-US" w:eastAsia="zh-CN"/>
              </w:rPr>
              <w:t>8</w:t>
            </w:r>
            <w:r>
              <w:rPr>
                <w:rFonts w:hint="default" w:ascii="Arial" w:hAnsi="Arial" w:cs="Arial"/>
                <w:color w:val="auto"/>
                <w:kern w:val="0"/>
                <w:szCs w:val="21"/>
                <w:highlight w:val="none"/>
                <w:lang w:val="en-US" w:eastAsia="zh-CN"/>
              </w:rPr>
              <w:t>分</w:t>
            </w:r>
          </w:p>
        </w:tc>
      </w:tr>
      <w:tr w14:paraId="3E49C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6CDB2B01">
            <w:pPr>
              <w:adjustRightInd w:val="0"/>
              <w:spacing w:line="320" w:lineRule="exact"/>
              <w:ind w:left="-105" w:leftChars="-50" w:right="-105" w:rightChars="-50"/>
              <w:jc w:val="center"/>
              <w:textAlignment w:val="baseline"/>
              <w:rPr>
                <w:rFonts w:hint="default" w:ascii="Arial" w:hAnsi="Arial" w:eastAsia="宋体" w:cs="Arial"/>
                <w:bCs/>
                <w:color w:val="auto"/>
                <w:kern w:val="0"/>
                <w:szCs w:val="21"/>
                <w:highlight w:val="none"/>
                <w:lang w:val="en-US" w:eastAsia="zh-CN"/>
              </w:rPr>
            </w:pPr>
            <w:r>
              <w:rPr>
                <w:rFonts w:hint="default" w:ascii="Arial" w:hAnsi="Arial" w:cs="Arial"/>
                <w:bCs/>
                <w:color w:val="auto"/>
                <w:kern w:val="0"/>
                <w:szCs w:val="21"/>
                <w:highlight w:val="none"/>
                <w:lang w:val="en-US" w:eastAsia="zh-CN"/>
              </w:rPr>
              <w:t>2.4</w:t>
            </w:r>
          </w:p>
        </w:tc>
        <w:tc>
          <w:tcPr>
            <w:tcW w:w="1086" w:type="dxa"/>
            <w:vAlign w:val="center"/>
          </w:tcPr>
          <w:p w14:paraId="2E66ADAB">
            <w:pPr>
              <w:adjustRightInd w:val="0"/>
              <w:spacing w:line="400" w:lineRule="exact"/>
              <w:jc w:val="center"/>
              <w:textAlignment w:val="baseline"/>
              <w:rPr>
                <w:rFonts w:hint="default" w:ascii="Arial" w:hAnsi="Arial" w:eastAsia="宋体" w:cs="Arial"/>
                <w:color w:val="auto"/>
                <w:szCs w:val="21"/>
                <w:highlight w:val="none"/>
                <w:lang w:val="en-US" w:eastAsia="zh-CN"/>
              </w:rPr>
            </w:pPr>
            <w:r>
              <w:rPr>
                <w:rFonts w:hint="default" w:ascii="Arial" w:hAnsi="Arial" w:cs="Arial"/>
                <w:bCs/>
                <w:color w:val="auto"/>
                <w:kern w:val="0"/>
                <w:szCs w:val="21"/>
                <w:highlight w:val="none"/>
              </w:rPr>
              <w:t>劳动力安排计划</w:t>
            </w:r>
          </w:p>
        </w:tc>
        <w:tc>
          <w:tcPr>
            <w:tcW w:w="7110" w:type="dxa"/>
            <w:vAlign w:val="center"/>
          </w:tcPr>
          <w:p w14:paraId="58C995CA">
            <w:pPr>
              <w:pStyle w:val="11"/>
              <w:spacing w:line="400" w:lineRule="exact"/>
              <w:ind w:firstLine="420" w:firstLineChars="200"/>
              <w:rPr>
                <w:rFonts w:hint="default" w:ascii="Arial" w:hAnsi="Arial" w:eastAsia="宋体" w:cs="Arial"/>
                <w:bCs/>
                <w:color w:val="auto"/>
                <w:sz w:val="21"/>
                <w:szCs w:val="21"/>
                <w:highlight w:val="none"/>
                <w:lang w:val="en-US" w:eastAsia="zh-CN"/>
              </w:rPr>
            </w:pPr>
            <w:r>
              <w:rPr>
                <w:rFonts w:hint="default" w:ascii="Arial" w:hAnsi="Arial" w:eastAsia="宋体" w:cs="Arial"/>
                <w:bCs/>
                <w:color w:val="auto"/>
                <w:sz w:val="21"/>
                <w:szCs w:val="21"/>
                <w:highlight w:val="none"/>
                <w:lang w:val="en-US" w:eastAsia="zh-CN"/>
              </w:rPr>
              <w:t>一档（</w:t>
            </w:r>
            <w:r>
              <w:rPr>
                <w:rFonts w:hint="eastAsia" w:ascii="Arial" w:hAnsi="Arial" w:cs="Arial"/>
                <w:bCs/>
                <w:color w:val="auto"/>
                <w:sz w:val="21"/>
                <w:szCs w:val="21"/>
                <w:highlight w:val="none"/>
                <w:lang w:val="en-US" w:eastAsia="zh-CN"/>
              </w:rPr>
              <w:t>8</w:t>
            </w:r>
            <w:r>
              <w:rPr>
                <w:rFonts w:hint="default" w:ascii="Arial" w:hAnsi="Arial" w:eastAsia="宋体" w:cs="Arial"/>
                <w:bCs/>
                <w:color w:val="auto"/>
                <w:sz w:val="21"/>
                <w:szCs w:val="21"/>
                <w:highlight w:val="none"/>
                <w:lang w:val="en-US" w:eastAsia="zh-CN"/>
              </w:rPr>
              <w:t>分）：各主要施工工序有详细周密的劳动力安排计划，有各工种劳动力安排计划，劳动力投入贴合现场需要与进度计划呼应，较满足施工需要。</w:t>
            </w:r>
          </w:p>
          <w:p w14:paraId="56378E3A">
            <w:pPr>
              <w:pStyle w:val="11"/>
              <w:spacing w:line="400" w:lineRule="exact"/>
              <w:ind w:firstLine="420" w:firstLineChars="200"/>
              <w:rPr>
                <w:rFonts w:hint="default" w:ascii="Arial" w:hAnsi="Arial" w:eastAsia="宋体" w:cs="Arial"/>
                <w:bCs/>
                <w:color w:val="auto"/>
                <w:sz w:val="21"/>
                <w:szCs w:val="21"/>
                <w:highlight w:val="none"/>
                <w:lang w:val="en-US" w:eastAsia="zh-CN"/>
              </w:rPr>
            </w:pPr>
            <w:r>
              <w:rPr>
                <w:rFonts w:hint="default" w:ascii="Arial" w:hAnsi="Arial" w:eastAsia="宋体" w:cs="Arial"/>
                <w:bCs/>
                <w:color w:val="auto"/>
                <w:sz w:val="21"/>
                <w:szCs w:val="21"/>
                <w:highlight w:val="none"/>
                <w:lang w:val="en-US" w:eastAsia="zh-CN"/>
              </w:rPr>
              <w:t>二档（</w:t>
            </w:r>
            <w:r>
              <w:rPr>
                <w:rFonts w:hint="eastAsia" w:ascii="Arial" w:hAnsi="Arial" w:cs="Arial"/>
                <w:bCs/>
                <w:color w:val="auto"/>
                <w:sz w:val="21"/>
                <w:szCs w:val="21"/>
                <w:highlight w:val="none"/>
                <w:lang w:val="en-US" w:eastAsia="zh-CN"/>
              </w:rPr>
              <w:t>6</w:t>
            </w:r>
            <w:r>
              <w:rPr>
                <w:rFonts w:hint="default" w:ascii="Arial" w:hAnsi="Arial" w:eastAsia="宋体" w:cs="Arial"/>
                <w:bCs/>
                <w:color w:val="auto"/>
                <w:sz w:val="21"/>
                <w:szCs w:val="21"/>
                <w:highlight w:val="none"/>
                <w:lang w:val="en-US" w:eastAsia="zh-CN"/>
              </w:rPr>
              <w:t>分）：各主要施工工序有劳动力安排计划，有各工种劳动力安排计划，劳动力投入满足现场需要与进度计划呼应，满足施工需要。</w:t>
            </w:r>
          </w:p>
          <w:p w14:paraId="5018840A">
            <w:pPr>
              <w:pStyle w:val="11"/>
              <w:spacing w:line="400" w:lineRule="exact"/>
              <w:ind w:firstLine="420" w:firstLineChars="200"/>
              <w:rPr>
                <w:rFonts w:hint="default" w:ascii="Arial" w:hAnsi="Arial" w:eastAsia="宋体" w:cs="Arial"/>
                <w:bCs/>
                <w:color w:val="auto"/>
                <w:sz w:val="21"/>
                <w:szCs w:val="21"/>
                <w:highlight w:val="none"/>
                <w:lang w:val="en-US" w:eastAsia="zh-CN"/>
              </w:rPr>
            </w:pPr>
            <w:r>
              <w:rPr>
                <w:rFonts w:hint="default" w:ascii="Arial" w:hAnsi="Arial" w:eastAsia="宋体" w:cs="Arial"/>
                <w:bCs/>
                <w:color w:val="auto"/>
                <w:sz w:val="21"/>
                <w:szCs w:val="21"/>
                <w:highlight w:val="none"/>
                <w:lang w:val="en-US" w:eastAsia="zh-CN"/>
              </w:rPr>
              <w:t>三档（</w:t>
            </w:r>
            <w:r>
              <w:rPr>
                <w:rFonts w:hint="eastAsia" w:ascii="Arial" w:hAnsi="Arial" w:cs="Arial"/>
                <w:bCs/>
                <w:color w:val="auto"/>
                <w:sz w:val="21"/>
                <w:szCs w:val="21"/>
                <w:highlight w:val="none"/>
                <w:lang w:val="en-US" w:eastAsia="zh-CN"/>
              </w:rPr>
              <w:t>4</w:t>
            </w:r>
            <w:r>
              <w:rPr>
                <w:rFonts w:hint="default" w:ascii="Arial" w:hAnsi="Arial" w:eastAsia="宋体" w:cs="Arial"/>
                <w:bCs/>
                <w:color w:val="auto"/>
                <w:sz w:val="21"/>
                <w:szCs w:val="21"/>
                <w:highlight w:val="none"/>
                <w:lang w:val="en-US" w:eastAsia="zh-CN"/>
              </w:rPr>
              <w:t>分）：各主要施工工序只有劳动力安排计划，无各工种劳动力安排计划，劳动力投入与进度计划有偏差，基本满足施工需要。</w:t>
            </w:r>
          </w:p>
          <w:p w14:paraId="527B4C96">
            <w:pPr>
              <w:pStyle w:val="11"/>
              <w:spacing w:line="400" w:lineRule="exact"/>
              <w:ind w:firstLine="420" w:firstLineChars="200"/>
              <w:rPr>
                <w:rFonts w:hint="default" w:ascii="Arial" w:hAnsi="Arial" w:eastAsia="宋体" w:cs="Arial"/>
                <w:bCs/>
                <w:color w:val="auto"/>
                <w:sz w:val="21"/>
                <w:szCs w:val="21"/>
                <w:highlight w:val="none"/>
                <w:lang w:val="en-US" w:eastAsia="zh-CN"/>
              </w:rPr>
            </w:pPr>
            <w:r>
              <w:rPr>
                <w:rFonts w:hint="default" w:ascii="Arial" w:hAnsi="Arial" w:eastAsia="宋体" w:cs="Arial"/>
                <w:bCs/>
                <w:color w:val="auto"/>
                <w:sz w:val="21"/>
                <w:szCs w:val="21"/>
                <w:highlight w:val="none"/>
                <w:lang w:val="en-US" w:eastAsia="zh-CN"/>
              </w:rPr>
              <w:t>四档（</w:t>
            </w:r>
            <w:r>
              <w:rPr>
                <w:rFonts w:hint="eastAsia" w:ascii="Arial" w:hAnsi="Arial" w:cs="Arial"/>
                <w:bCs/>
                <w:color w:val="auto"/>
                <w:sz w:val="21"/>
                <w:szCs w:val="21"/>
                <w:highlight w:val="none"/>
                <w:lang w:val="en-US" w:eastAsia="zh-CN"/>
              </w:rPr>
              <w:t>2</w:t>
            </w:r>
            <w:r>
              <w:rPr>
                <w:rFonts w:hint="default" w:ascii="Arial" w:hAnsi="Arial" w:eastAsia="宋体" w:cs="Arial"/>
                <w:bCs/>
                <w:color w:val="auto"/>
                <w:sz w:val="21"/>
                <w:szCs w:val="21"/>
                <w:highlight w:val="none"/>
                <w:lang w:val="en-US" w:eastAsia="zh-CN"/>
              </w:rPr>
              <w:t>分）：各主要施工工序无劳动力安排计划，劳动力投入不足，不满足施工需要。</w:t>
            </w:r>
          </w:p>
          <w:p w14:paraId="16587E71">
            <w:pPr>
              <w:pStyle w:val="11"/>
              <w:spacing w:line="400" w:lineRule="exact"/>
              <w:ind w:firstLine="420" w:firstLineChars="200"/>
              <w:rPr>
                <w:rFonts w:hint="default" w:ascii="Arial" w:hAnsi="Arial" w:eastAsia="宋体" w:cs="Arial"/>
                <w:color w:val="auto"/>
                <w:szCs w:val="21"/>
                <w:highlight w:val="none"/>
                <w:lang w:eastAsia="zh-CN"/>
              </w:rPr>
            </w:pPr>
            <w:r>
              <w:rPr>
                <w:rFonts w:hint="default" w:ascii="Arial" w:hAnsi="Arial" w:cs="Arial"/>
                <w:bCs/>
                <w:color w:val="auto"/>
                <w:kern w:val="0"/>
                <w:szCs w:val="21"/>
                <w:highlight w:val="none"/>
                <w:lang w:val="en-US" w:eastAsia="zh-CN"/>
              </w:rPr>
              <w:t>注：不提供的不予以计分。</w:t>
            </w:r>
          </w:p>
        </w:tc>
        <w:tc>
          <w:tcPr>
            <w:tcW w:w="772" w:type="dxa"/>
            <w:vAlign w:val="center"/>
          </w:tcPr>
          <w:p w14:paraId="66293309">
            <w:pPr>
              <w:spacing w:line="320" w:lineRule="exact"/>
              <w:jc w:val="center"/>
              <w:rPr>
                <w:rFonts w:hint="default" w:ascii="Arial" w:hAnsi="Arial" w:eastAsia="宋体" w:cs="Arial"/>
                <w:color w:val="auto"/>
                <w:kern w:val="0"/>
                <w:szCs w:val="21"/>
                <w:highlight w:val="none"/>
                <w:lang w:val="en-US" w:eastAsia="zh-CN"/>
              </w:rPr>
            </w:pPr>
            <w:r>
              <w:rPr>
                <w:rFonts w:hint="eastAsia" w:ascii="Arial" w:hAnsi="Arial" w:cs="Arial"/>
                <w:color w:val="auto"/>
                <w:kern w:val="0"/>
                <w:szCs w:val="21"/>
                <w:highlight w:val="none"/>
                <w:lang w:val="en-US" w:eastAsia="zh-CN"/>
              </w:rPr>
              <w:t>8</w:t>
            </w:r>
            <w:r>
              <w:rPr>
                <w:rFonts w:hint="default" w:ascii="Arial" w:hAnsi="Arial" w:cs="Arial"/>
                <w:color w:val="auto"/>
                <w:kern w:val="0"/>
                <w:szCs w:val="21"/>
                <w:highlight w:val="none"/>
                <w:lang w:val="en-US" w:eastAsia="zh-CN"/>
              </w:rPr>
              <w:t>分</w:t>
            </w:r>
          </w:p>
        </w:tc>
      </w:tr>
      <w:tr w14:paraId="2A66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24492670">
            <w:pPr>
              <w:adjustRightInd w:val="0"/>
              <w:spacing w:line="320" w:lineRule="exact"/>
              <w:ind w:left="-105" w:leftChars="-50" w:right="-105" w:rightChars="-50"/>
              <w:jc w:val="center"/>
              <w:textAlignment w:val="baseline"/>
              <w:rPr>
                <w:rFonts w:hint="default" w:ascii="Arial" w:hAnsi="Arial" w:cs="Arial"/>
                <w:bCs/>
                <w:color w:val="auto"/>
                <w:kern w:val="0"/>
                <w:szCs w:val="21"/>
                <w:highlight w:val="none"/>
                <w:lang w:val="en-US" w:eastAsia="zh-CN"/>
              </w:rPr>
            </w:pPr>
            <w:r>
              <w:rPr>
                <w:rFonts w:hint="default" w:ascii="Arial" w:hAnsi="Arial" w:cs="Arial"/>
                <w:bCs/>
                <w:color w:val="auto"/>
                <w:kern w:val="0"/>
                <w:szCs w:val="21"/>
                <w:highlight w:val="none"/>
                <w:lang w:val="en-US" w:eastAsia="zh-CN"/>
              </w:rPr>
              <w:t>2.5</w:t>
            </w:r>
          </w:p>
        </w:tc>
        <w:tc>
          <w:tcPr>
            <w:tcW w:w="1086" w:type="dxa"/>
            <w:vAlign w:val="center"/>
          </w:tcPr>
          <w:p w14:paraId="33A4FEB5">
            <w:pPr>
              <w:adjustRightInd w:val="0"/>
              <w:spacing w:line="400" w:lineRule="exact"/>
              <w:jc w:val="center"/>
              <w:textAlignment w:val="baseline"/>
              <w:rPr>
                <w:rFonts w:hint="default" w:ascii="Arial" w:hAnsi="Arial" w:eastAsia="宋体" w:cs="Arial"/>
                <w:color w:val="auto"/>
                <w:szCs w:val="21"/>
                <w:highlight w:val="none"/>
                <w:lang w:val="en-US" w:eastAsia="zh-CN"/>
              </w:rPr>
            </w:pPr>
            <w:r>
              <w:rPr>
                <w:rFonts w:hint="default" w:ascii="Arial" w:hAnsi="Arial" w:cs="Arial"/>
                <w:bCs/>
                <w:color w:val="auto"/>
                <w:kern w:val="0"/>
                <w:szCs w:val="21"/>
                <w:highlight w:val="none"/>
              </w:rPr>
              <w:t>确保工程质量的技术组织措施</w:t>
            </w:r>
          </w:p>
        </w:tc>
        <w:tc>
          <w:tcPr>
            <w:tcW w:w="7110" w:type="dxa"/>
            <w:vAlign w:val="center"/>
          </w:tcPr>
          <w:p w14:paraId="0AD3A05C">
            <w:pPr>
              <w:pStyle w:val="11"/>
              <w:spacing w:line="400" w:lineRule="exact"/>
              <w:ind w:firstLine="420" w:firstLineChars="200"/>
              <w:rPr>
                <w:rFonts w:hint="default" w:ascii="Arial" w:hAnsi="Arial" w:eastAsia="宋体" w:cs="Arial"/>
                <w:bCs/>
                <w:color w:val="auto"/>
                <w:sz w:val="21"/>
                <w:szCs w:val="21"/>
                <w:highlight w:val="none"/>
                <w:lang w:val="en-US" w:eastAsia="zh-CN"/>
              </w:rPr>
            </w:pPr>
            <w:r>
              <w:rPr>
                <w:rFonts w:hint="default" w:ascii="Arial" w:hAnsi="Arial" w:eastAsia="宋体" w:cs="Arial"/>
                <w:bCs/>
                <w:color w:val="auto"/>
                <w:sz w:val="21"/>
                <w:szCs w:val="21"/>
                <w:highlight w:val="none"/>
                <w:lang w:val="en-US" w:eastAsia="zh-CN"/>
              </w:rPr>
              <w:t>一档（</w:t>
            </w:r>
            <w:r>
              <w:rPr>
                <w:rFonts w:hint="eastAsia" w:ascii="Arial" w:hAnsi="Arial" w:cs="Arial"/>
                <w:bCs/>
                <w:color w:val="auto"/>
                <w:sz w:val="21"/>
                <w:szCs w:val="21"/>
                <w:highlight w:val="none"/>
                <w:lang w:val="en-US" w:eastAsia="zh-CN"/>
              </w:rPr>
              <w:t>8</w:t>
            </w:r>
            <w:r>
              <w:rPr>
                <w:rFonts w:hint="default" w:ascii="Arial" w:hAnsi="Arial" w:eastAsia="宋体" w:cs="Arial"/>
                <w:bCs/>
                <w:color w:val="auto"/>
                <w:sz w:val="21"/>
                <w:szCs w:val="21"/>
                <w:highlight w:val="none"/>
                <w:lang w:val="en-US" w:eastAsia="zh-CN"/>
              </w:rPr>
              <w:t>分）：有专门的质量技术管理班子和制度，且人员配备完善符合施工需要，制度健全。主要工序有质量技术保证措施和手段，自控体系完整，能有效保证技术质量，达到承诺的质量标准。</w:t>
            </w:r>
          </w:p>
          <w:p w14:paraId="3BB7F843">
            <w:pPr>
              <w:pStyle w:val="11"/>
              <w:spacing w:line="400" w:lineRule="exact"/>
              <w:ind w:firstLine="420" w:firstLineChars="200"/>
              <w:rPr>
                <w:rFonts w:hint="default" w:ascii="Arial" w:hAnsi="Arial" w:eastAsia="宋体" w:cs="Arial"/>
                <w:bCs/>
                <w:color w:val="auto"/>
                <w:sz w:val="21"/>
                <w:szCs w:val="21"/>
                <w:highlight w:val="none"/>
                <w:lang w:val="en-US" w:eastAsia="zh-CN"/>
              </w:rPr>
            </w:pPr>
            <w:r>
              <w:rPr>
                <w:rFonts w:hint="default" w:ascii="Arial" w:hAnsi="Arial" w:eastAsia="宋体" w:cs="Arial"/>
                <w:bCs/>
                <w:color w:val="auto"/>
                <w:sz w:val="21"/>
                <w:szCs w:val="21"/>
                <w:highlight w:val="none"/>
                <w:lang w:val="en-US" w:eastAsia="zh-CN"/>
              </w:rPr>
              <w:t>二档（</w:t>
            </w:r>
            <w:r>
              <w:rPr>
                <w:rFonts w:hint="eastAsia" w:ascii="Arial" w:hAnsi="Arial" w:cs="Arial"/>
                <w:bCs/>
                <w:color w:val="auto"/>
                <w:sz w:val="21"/>
                <w:szCs w:val="21"/>
                <w:highlight w:val="none"/>
                <w:lang w:val="en-US" w:eastAsia="zh-CN"/>
              </w:rPr>
              <w:t>6</w:t>
            </w:r>
            <w:r>
              <w:rPr>
                <w:rFonts w:hint="default" w:ascii="Arial" w:hAnsi="Arial" w:eastAsia="宋体" w:cs="Arial"/>
                <w:bCs/>
                <w:color w:val="auto"/>
                <w:sz w:val="21"/>
                <w:szCs w:val="21"/>
                <w:highlight w:val="none"/>
                <w:lang w:val="en-US" w:eastAsia="zh-CN"/>
              </w:rPr>
              <w:t>分）：有质量技术管理班子和制度，且人员配备满足施工需要，制度健全。主要工序有质量技术保证措施和手段，自控体系完整，能有效保证技术质量，达到承诺的质量标准。</w:t>
            </w:r>
          </w:p>
          <w:p w14:paraId="4954F03D">
            <w:pPr>
              <w:pStyle w:val="11"/>
              <w:spacing w:line="400" w:lineRule="exact"/>
              <w:ind w:firstLine="420" w:firstLineChars="200"/>
              <w:rPr>
                <w:rFonts w:hint="default" w:ascii="Arial" w:hAnsi="Arial" w:eastAsia="宋体" w:cs="Arial"/>
                <w:bCs/>
                <w:color w:val="auto"/>
                <w:sz w:val="21"/>
                <w:szCs w:val="21"/>
                <w:highlight w:val="none"/>
                <w:lang w:val="en-US" w:eastAsia="zh-CN"/>
              </w:rPr>
            </w:pPr>
            <w:r>
              <w:rPr>
                <w:rFonts w:hint="default" w:ascii="Arial" w:hAnsi="Arial" w:eastAsia="宋体" w:cs="Arial"/>
                <w:bCs/>
                <w:color w:val="auto"/>
                <w:sz w:val="21"/>
                <w:szCs w:val="21"/>
                <w:highlight w:val="none"/>
                <w:lang w:val="en-US" w:eastAsia="zh-CN"/>
              </w:rPr>
              <w:t>三档（</w:t>
            </w:r>
            <w:r>
              <w:rPr>
                <w:rFonts w:hint="eastAsia" w:ascii="Arial" w:hAnsi="Arial" w:cs="Arial"/>
                <w:bCs/>
                <w:color w:val="auto"/>
                <w:sz w:val="21"/>
                <w:szCs w:val="21"/>
                <w:highlight w:val="none"/>
                <w:lang w:val="en-US" w:eastAsia="zh-CN"/>
              </w:rPr>
              <w:t>4</w:t>
            </w:r>
            <w:r>
              <w:rPr>
                <w:rFonts w:hint="default" w:ascii="Arial" w:hAnsi="Arial" w:eastAsia="宋体" w:cs="Arial"/>
                <w:bCs/>
                <w:color w:val="auto"/>
                <w:sz w:val="21"/>
                <w:szCs w:val="21"/>
                <w:highlight w:val="none"/>
                <w:lang w:val="en-US" w:eastAsia="zh-CN"/>
              </w:rPr>
              <w:t>分）：有质量技术管理班子和制度。主要工序有质量技术保证措施和手段，自控体系有缺漏，基本能保证技术质量，达到承诺的质量标准。</w:t>
            </w:r>
          </w:p>
          <w:p w14:paraId="52233C71">
            <w:pPr>
              <w:pStyle w:val="11"/>
              <w:spacing w:line="400" w:lineRule="exact"/>
              <w:ind w:firstLine="420" w:firstLineChars="200"/>
              <w:rPr>
                <w:rFonts w:hint="default" w:ascii="Arial" w:hAnsi="Arial" w:eastAsia="宋体" w:cs="Arial"/>
                <w:bCs/>
                <w:color w:val="auto"/>
                <w:sz w:val="21"/>
                <w:szCs w:val="21"/>
                <w:highlight w:val="none"/>
                <w:lang w:val="en-US" w:eastAsia="zh-CN"/>
              </w:rPr>
            </w:pPr>
            <w:r>
              <w:rPr>
                <w:rFonts w:hint="default" w:ascii="Arial" w:hAnsi="Arial" w:eastAsia="宋体" w:cs="Arial"/>
                <w:bCs/>
                <w:color w:val="auto"/>
                <w:sz w:val="21"/>
                <w:szCs w:val="21"/>
                <w:highlight w:val="none"/>
                <w:lang w:val="en-US" w:eastAsia="zh-CN"/>
              </w:rPr>
              <w:t>四档（</w:t>
            </w:r>
            <w:r>
              <w:rPr>
                <w:rFonts w:hint="eastAsia" w:ascii="Arial" w:hAnsi="Arial" w:cs="Arial"/>
                <w:bCs/>
                <w:color w:val="auto"/>
                <w:sz w:val="21"/>
                <w:szCs w:val="21"/>
                <w:highlight w:val="none"/>
                <w:lang w:val="en-US" w:eastAsia="zh-CN"/>
              </w:rPr>
              <w:t>2</w:t>
            </w:r>
            <w:r>
              <w:rPr>
                <w:rFonts w:hint="default" w:ascii="Arial" w:hAnsi="Arial" w:eastAsia="宋体" w:cs="Arial"/>
                <w:bCs/>
                <w:color w:val="auto"/>
                <w:sz w:val="21"/>
                <w:szCs w:val="21"/>
                <w:highlight w:val="none"/>
                <w:lang w:val="en-US" w:eastAsia="zh-CN"/>
              </w:rPr>
              <w:t>分）：有质量技术管理班子和制度。主要工序无质量技术保证措施和手段，自控体系有重大缺漏，不能有效保证技术质量。</w:t>
            </w:r>
          </w:p>
          <w:p w14:paraId="46A82E56">
            <w:pPr>
              <w:pStyle w:val="11"/>
              <w:spacing w:line="400" w:lineRule="exact"/>
              <w:ind w:firstLine="420" w:firstLineChars="200"/>
              <w:rPr>
                <w:rFonts w:hint="default" w:ascii="Arial" w:hAnsi="Arial" w:cs="Arial"/>
                <w:color w:val="auto"/>
                <w:szCs w:val="21"/>
                <w:highlight w:val="none"/>
                <w:lang w:val="en-US" w:eastAsia="zh-CN"/>
              </w:rPr>
            </w:pPr>
            <w:r>
              <w:rPr>
                <w:rFonts w:hint="default" w:ascii="Arial" w:hAnsi="Arial" w:cs="Arial"/>
                <w:bCs/>
                <w:color w:val="auto"/>
                <w:kern w:val="0"/>
                <w:szCs w:val="21"/>
                <w:highlight w:val="none"/>
                <w:lang w:val="en-US" w:eastAsia="zh-CN"/>
              </w:rPr>
              <w:t>注：不提供的不予以计分。</w:t>
            </w:r>
          </w:p>
        </w:tc>
        <w:tc>
          <w:tcPr>
            <w:tcW w:w="772" w:type="dxa"/>
            <w:vAlign w:val="center"/>
          </w:tcPr>
          <w:p w14:paraId="00EAC1E4">
            <w:pPr>
              <w:spacing w:line="320" w:lineRule="exact"/>
              <w:jc w:val="center"/>
              <w:rPr>
                <w:rFonts w:hint="default" w:ascii="Arial" w:hAnsi="Arial" w:eastAsia="宋体" w:cs="Arial"/>
                <w:color w:val="auto"/>
                <w:szCs w:val="21"/>
                <w:highlight w:val="none"/>
                <w:lang w:val="en-US" w:eastAsia="zh-CN"/>
              </w:rPr>
            </w:pPr>
            <w:r>
              <w:rPr>
                <w:rFonts w:hint="eastAsia" w:ascii="Arial" w:hAnsi="Arial" w:cs="Arial"/>
                <w:color w:val="auto"/>
                <w:kern w:val="0"/>
                <w:szCs w:val="21"/>
                <w:highlight w:val="none"/>
                <w:lang w:val="en-US" w:eastAsia="zh-CN"/>
              </w:rPr>
              <w:t>8</w:t>
            </w:r>
            <w:r>
              <w:rPr>
                <w:rFonts w:hint="default" w:ascii="Arial" w:hAnsi="Arial" w:cs="Arial"/>
                <w:color w:val="auto"/>
                <w:kern w:val="0"/>
                <w:szCs w:val="21"/>
                <w:highlight w:val="none"/>
                <w:lang w:val="en-US" w:eastAsia="zh-CN"/>
              </w:rPr>
              <w:t>分</w:t>
            </w:r>
          </w:p>
        </w:tc>
      </w:tr>
      <w:tr w14:paraId="36F7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38CD2DED">
            <w:pPr>
              <w:adjustRightInd w:val="0"/>
              <w:spacing w:line="320" w:lineRule="exact"/>
              <w:ind w:left="-105" w:leftChars="-50" w:right="-105" w:rightChars="-50"/>
              <w:jc w:val="center"/>
              <w:textAlignment w:val="baseline"/>
              <w:rPr>
                <w:rFonts w:hint="default" w:ascii="Arial" w:hAnsi="Arial" w:cs="Arial"/>
                <w:bCs/>
                <w:color w:val="auto"/>
                <w:kern w:val="0"/>
                <w:szCs w:val="21"/>
                <w:highlight w:val="none"/>
                <w:lang w:val="en-US" w:eastAsia="zh-CN"/>
              </w:rPr>
            </w:pPr>
            <w:r>
              <w:rPr>
                <w:rFonts w:hint="default" w:ascii="Arial" w:hAnsi="Arial" w:cs="Arial"/>
                <w:bCs/>
                <w:color w:val="auto"/>
                <w:kern w:val="0"/>
                <w:szCs w:val="21"/>
                <w:highlight w:val="none"/>
                <w:lang w:val="en-US" w:eastAsia="zh-CN"/>
              </w:rPr>
              <w:t>2.6</w:t>
            </w:r>
          </w:p>
        </w:tc>
        <w:tc>
          <w:tcPr>
            <w:tcW w:w="1086" w:type="dxa"/>
            <w:vAlign w:val="center"/>
          </w:tcPr>
          <w:p w14:paraId="0F415AC5">
            <w:pPr>
              <w:adjustRightInd w:val="0"/>
              <w:spacing w:line="400" w:lineRule="exact"/>
              <w:jc w:val="center"/>
              <w:textAlignment w:val="baseline"/>
              <w:rPr>
                <w:rFonts w:hint="default" w:ascii="Arial" w:hAnsi="Arial" w:eastAsia="宋体" w:cs="Arial"/>
                <w:color w:val="auto"/>
                <w:szCs w:val="21"/>
                <w:highlight w:val="none"/>
                <w:lang w:val="en-US" w:eastAsia="zh-CN"/>
              </w:rPr>
            </w:pPr>
            <w:r>
              <w:rPr>
                <w:rFonts w:hint="default" w:ascii="Arial" w:hAnsi="Arial" w:cs="Arial"/>
                <w:bCs/>
                <w:color w:val="auto"/>
                <w:kern w:val="0"/>
                <w:szCs w:val="21"/>
                <w:highlight w:val="none"/>
              </w:rPr>
              <w:t>确保安全生产的技术组织措施</w:t>
            </w:r>
          </w:p>
        </w:tc>
        <w:tc>
          <w:tcPr>
            <w:tcW w:w="7110" w:type="dxa"/>
            <w:vAlign w:val="center"/>
          </w:tcPr>
          <w:p w14:paraId="52A349CB">
            <w:pPr>
              <w:pStyle w:val="11"/>
              <w:spacing w:line="400" w:lineRule="exact"/>
              <w:ind w:firstLine="420" w:firstLineChars="200"/>
              <w:rPr>
                <w:rFonts w:hint="default" w:ascii="Arial" w:hAnsi="Arial" w:cs="Arial"/>
                <w:bCs/>
                <w:color w:val="auto"/>
                <w:sz w:val="21"/>
                <w:szCs w:val="21"/>
                <w:highlight w:val="none"/>
              </w:rPr>
            </w:pPr>
            <w:r>
              <w:rPr>
                <w:rFonts w:hint="default" w:ascii="Arial" w:hAnsi="Arial" w:cs="Arial"/>
                <w:bCs/>
                <w:color w:val="auto"/>
                <w:sz w:val="21"/>
                <w:szCs w:val="21"/>
                <w:highlight w:val="none"/>
              </w:rPr>
              <w:t>一档（</w:t>
            </w:r>
            <w:r>
              <w:rPr>
                <w:rFonts w:hint="eastAsia" w:ascii="Arial" w:hAnsi="Arial" w:cs="Arial"/>
                <w:bCs/>
                <w:color w:val="auto"/>
                <w:sz w:val="21"/>
                <w:szCs w:val="21"/>
                <w:highlight w:val="none"/>
                <w:lang w:val="en-US" w:eastAsia="zh-CN"/>
              </w:rPr>
              <w:t>8</w:t>
            </w:r>
            <w:r>
              <w:rPr>
                <w:rFonts w:hint="default" w:ascii="Arial" w:hAnsi="Arial" w:cs="Arial"/>
                <w:bCs/>
                <w:color w:val="auto"/>
                <w:sz w:val="21"/>
                <w:szCs w:val="21"/>
                <w:highlight w:val="none"/>
              </w:rPr>
              <w:t>分）</w:t>
            </w:r>
            <w:r>
              <w:rPr>
                <w:rFonts w:hint="default" w:ascii="Arial" w:hAnsi="Arial" w:cs="Arial"/>
                <w:bCs/>
                <w:color w:val="auto"/>
                <w:sz w:val="21"/>
                <w:szCs w:val="21"/>
                <w:highlight w:val="none"/>
                <w:lang w:eastAsia="zh-CN"/>
              </w:rPr>
              <w:t>：</w:t>
            </w:r>
            <w:r>
              <w:rPr>
                <w:rFonts w:hint="default" w:ascii="Arial" w:hAnsi="Arial" w:cs="Arial"/>
                <w:bCs/>
                <w:color w:val="auto"/>
                <w:sz w:val="21"/>
                <w:szCs w:val="21"/>
                <w:highlight w:val="none"/>
              </w:rPr>
              <w:t>有专门的安全管理人员和制度，且人员配备完善符合施工需要，制度健全，各道工序安全技术措施针对性强，符合实际且满足有关安全技术标准要求。现场防火、应急救援、社会治安安全措施得力。</w:t>
            </w:r>
          </w:p>
          <w:p w14:paraId="42870A7D">
            <w:pPr>
              <w:pStyle w:val="11"/>
              <w:spacing w:line="400" w:lineRule="exact"/>
              <w:ind w:firstLine="420" w:firstLineChars="200"/>
              <w:rPr>
                <w:rFonts w:hint="default" w:ascii="Arial" w:hAnsi="Arial" w:cs="Arial"/>
                <w:bCs/>
                <w:color w:val="auto"/>
                <w:sz w:val="21"/>
                <w:szCs w:val="21"/>
                <w:highlight w:val="none"/>
              </w:rPr>
            </w:pPr>
            <w:r>
              <w:rPr>
                <w:rFonts w:hint="default" w:ascii="Arial" w:hAnsi="Arial" w:cs="Arial"/>
                <w:bCs/>
                <w:color w:val="auto"/>
                <w:sz w:val="21"/>
                <w:szCs w:val="21"/>
                <w:highlight w:val="none"/>
              </w:rPr>
              <w:t>二档（</w:t>
            </w:r>
            <w:r>
              <w:rPr>
                <w:rFonts w:hint="eastAsia" w:ascii="Arial" w:hAnsi="Arial" w:cs="Arial"/>
                <w:bCs/>
                <w:color w:val="auto"/>
                <w:sz w:val="21"/>
                <w:szCs w:val="21"/>
                <w:highlight w:val="none"/>
                <w:lang w:val="en-US" w:eastAsia="zh-CN"/>
              </w:rPr>
              <w:t>6</w:t>
            </w:r>
            <w:r>
              <w:rPr>
                <w:rFonts w:hint="default" w:ascii="Arial" w:hAnsi="Arial" w:cs="Arial"/>
                <w:bCs/>
                <w:color w:val="auto"/>
                <w:sz w:val="21"/>
                <w:szCs w:val="21"/>
                <w:highlight w:val="none"/>
              </w:rPr>
              <w:t>分）</w:t>
            </w:r>
            <w:r>
              <w:rPr>
                <w:rFonts w:hint="default" w:ascii="Arial" w:hAnsi="Arial" w:cs="Arial"/>
                <w:bCs/>
                <w:color w:val="auto"/>
                <w:sz w:val="21"/>
                <w:szCs w:val="21"/>
                <w:highlight w:val="none"/>
                <w:lang w:eastAsia="zh-CN"/>
              </w:rPr>
              <w:t>：</w:t>
            </w:r>
            <w:r>
              <w:rPr>
                <w:rFonts w:hint="default" w:ascii="Arial" w:hAnsi="Arial" w:cs="Arial"/>
                <w:bCs/>
                <w:color w:val="auto"/>
                <w:sz w:val="21"/>
                <w:szCs w:val="21"/>
                <w:highlight w:val="none"/>
              </w:rPr>
              <w:t>有安全管理人员和制度，且人员配备满足施工需要，制度健全，各道工序安全技术措施针对性强，符合实际且满足有关安全技术标准要求。现场防火、应急救援、社会治安安全措施得力。</w:t>
            </w:r>
          </w:p>
          <w:p w14:paraId="391661A5">
            <w:pPr>
              <w:pStyle w:val="11"/>
              <w:spacing w:line="400" w:lineRule="exact"/>
              <w:ind w:firstLine="420" w:firstLineChars="200"/>
              <w:rPr>
                <w:rFonts w:hint="default" w:ascii="Arial" w:hAnsi="Arial" w:cs="Arial"/>
                <w:bCs/>
                <w:color w:val="auto"/>
                <w:sz w:val="21"/>
                <w:szCs w:val="21"/>
                <w:highlight w:val="none"/>
              </w:rPr>
            </w:pPr>
            <w:r>
              <w:rPr>
                <w:rFonts w:hint="default" w:ascii="Arial" w:hAnsi="Arial" w:cs="Arial"/>
                <w:bCs/>
                <w:color w:val="auto"/>
                <w:sz w:val="21"/>
                <w:szCs w:val="21"/>
                <w:highlight w:val="none"/>
              </w:rPr>
              <w:t>三档（</w:t>
            </w:r>
            <w:r>
              <w:rPr>
                <w:rFonts w:hint="eastAsia" w:ascii="Arial" w:hAnsi="Arial" w:cs="Arial"/>
                <w:bCs/>
                <w:color w:val="auto"/>
                <w:sz w:val="21"/>
                <w:szCs w:val="21"/>
                <w:highlight w:val="none"/>
                <w:lang w:val="en-US" w:eastAsia="zh-CN"/>
              </w:rPr>
              <w:t>4</w:t>
            </w:r>
            <w:r>
              <w:rPr>
                <w:rFonts w:hint="default" w:ascii="Arial" w:hAnsi="Arial" w:cs="Arial"/>
                <w:bCs/>
                <w:color w:val="auto"/>
                <w:sz w:val="21"/>
                <w:szCs w:val="21"/>
                <w:highlight w:val="none"/>
              </w:rPr>
              <w:t>分）</w:t>
            </w:r>
            <w:r>
              <w:rPr>
                <w:rFonts w:hint="default" w:ascii="Arial" w:hAnsi="Arial" w:cs="Arial"/>
                <w:bCs/>
                <w:color w:val="auto"/>
                <w:sz w:val="21"/>
                <w:szCs w:val="21"/>
                <w:highlight w:val="none"/>
                <w:lang w:eastAsia="zh-CN"/>
              </w:rPr>
              <w:t>：</w:t>
            </w:r>
            <w:r>
              <w:rPr>
                <w:rFonts w:hint="default" w:ascii="Arial" w:hAnsi="Arial" w:cs="Arial"/>
                <w:bCs/>
                <w:color w:val="auto"/>
                <w:sz w:val="21"/>
                <w:szCs w:val="21"/>
                <w:highlight w:val="none"/>
              </w:rPr>
              <w:t>有安全管理人员和制度，各道工序安全技术措施针对性差，满足有关安全技术标准要求。现场防火、应急救援、社会治安安全措施差。</w:t>
            </w:r>
          </w:p>
          <w:p w14:paraId="2798A9FD">
            <w:pPr>
              <w:pStyle w:val="11"/>
              <w:spacing w:line="400" w:lineRule="exact"/>
              <w:ind w:firstLine="420" w:firstLineChars="200"/>
              <w:rPr>
                <w:rFonts w:hint="default" w:ascii="Arial" w:hAnsi="Arial" w:cs="Arial"/>
                <w:bCs/>
                <w:color w:val="auto"/>
                <w:sz w:val="21"/>
                <w:szCs w:val="21"/>
                <w:highlight w:val="none"/>
              </w:rPr>
            </w:pPr>
            <w:r>
              <w:rPr>
                <w:rFonts w:hint="default" w:ascii="Arial" w:hAnsi="Arial" w:cs="Arial"/>
                <w:bCs/>
                <w:color w:val="auto"/>
                <w:sz w:val="21"/>
                <w:szCs w:val="21"/>
                <w:highlight w:val="none"/>
              </w:rPr>
              <w:t>四档（</w:t>
            </w:r>
            <w:r>
              <w:rPr>
                <w:rFonts w:hint="eastAsia" w:ascii="Arial" w:hAnsi="Arial" w:cs="Arial"/>
                <w:bCs/>
                <w:color w:val="auto"/>
                <w:sz w:val="21"/>
                <w:szCs w:val="21"/>
                <w:highlight w:val="none"/>
                <w:lang w:val="en-US" w:eastAsia="zh-CN"/>
              </w:rPr>
              <w:t>2</w:t>
            </w:r>
            <w:r>
              <w:rPr>
                <w:rFonts w:hint="default" w:ascii="Arial" w:hAnsi="Arial" w:cs="Arial"/>
                <w:bCs/>
                <w:color w:val="auto"/>
                <w:sz w:val="21"/>
                <w:szCs w:val="21"/>
                <w:highlight w:val="none"/>
              </w:rPr>
              <w:t>分）</w:t>
            </w:r>
            <w:r>
              <w:rPr>
                <w:rFonts w:hint="default" w:ascii="Arial" w:hAnsi="Arial" w:cs="Arial"/>
                <w:bCs/>
                <w:color w:val="auto"/>
                <w:sz w:val="21"/>
                <w:szCs w:val="21"/>
                <w:highlight w:val="none"/>
                <w:lang w:eastAsia="zh-CN"/>
              </w:rPr>
              <w:t>：</w:t>
            </w:r>
            <w:r>
              <w:rPr>
                <w:rFonts w:hint="default" w:ascii="Arial" w:hAnsi="Arial" w:cs="Arial"/>
                <w:bCs/>
                <w:color w:val="auto"/>
                <w:sz w:val="21"/>
                <w:szCs w:val="21"/>
                <w:highlight w:val="none"/>
              </w:rPr>
              <w:t>有安全管理人员和制度，各道工序安全技术措施无针对性，满足有关安全技术标准要求。现场防火、应急救援、社会治安安全措施差。</w:t>
            </w:r>
          </w:p>
          <w:p w14:paraId="716DD2CD">
            <w:pPr>
              <w:pStyle w:val="11"/>
              <w:spacing w:line="400" w:lineRule="exact"/>
              <w:ind w:firstLine="420" w:firstLineChars="200"/>
              <w:rPr>
                <w:rFonts w:hint="default" w:ascii="Arial" w:hAnsi="Arial" w:cs="Arial"/>
                <w:color w:val="auto"/>
                <w:szCs w:val="21"/>
                <w:highlight w:val="none"/>
                <w:lang w:val="en-US" w:eastAsia="zh-CN"/>
              </w:rPr>
            </w:pPr>
            <w:r>
              <w:rPr>
                <w:rFonts w:hint="default" w:ascii="Arial" w:hAnsi="Arial" w:cs="Arial"/>
                <w:bCs/>
                <w:color w:val="auto"/>
                <w:kern w:val="0"/>
                <w:szCs w:val="21"/>
                <w:highlight w:val="none"/>
                <w:lang w:val="en-US" w:eastAsia="zh-CN"/>
              </w:rPr>
              <w:t>注：不提供的不予以计分。</w:t>
            </w:r>
          </w:p>
        </w:tc>
        <w:tc>
          <w:tcPr>
            <w:tcW w:w="772" w:type="dxa"/>
            <w:vAlign w:val="center"/>
          </w:tcPr>
          <w:p w14:paraId="70ED6939">
            <w:pPr>
              <w:spacing w:line="320" w:lineRule="exact"/>
              <w:jc w:val="center"/>
              <w:rPr>
                <w:rFonts w:hint="default" w:ascii="Arial" w:hAnsi="Arial" w:eastAsia="宋体" w:cs="Arial"/>
                <w:color w:val="auto"/>
                <w:szCs w:val="21"/>
                <w:highlight w:val="none"/>
                <w:lang w:val="en-US" w:eastAsia="zh-CN"/>
              </w:rPr>
            </w:pPr>
            <w:r>
              <w:rPr>
                <w:rFonts w:hint="eastAsia" w:ascii="Arial" w:hAnsi="Arial" w:cs="Arial"/>
                <w:color w:val="auto"/>
                <w:kern w:val="0"/>
                <w:szCs w:val="21"/>
                <w:highlight w:val="none"/>
                <w:lang w:val="en-US" w:eastAsia="zh-CN"/>
              </w:rPr>
              <w:t>8</w:t>
            </w:r>
            <w:r>
              <w:rPr>
                <w:rFonts w:hint="default" w:ascii="Arial" w:hAnsi="Arial" w:cs="Arial"/>
                <w:color w:val="auto"/>
                <w:kern w:val="0"/>
                <w:szCs w:val="21"/>
                <w:highlight w:val="none"/>
                <w:lang w:val="en-US" w:eastAsia="zh-CN"/>
              </w:rPr>
              <w:t>分</w:t>
            </w:r>
          </w:p>
        </w:tc>
      </w:tr>
      <w:tr w14:paraId="51127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4D05D06A">
            <w:pPr>
              <w:adjustRightInd w:val="0"/>
              <w:spacing w:line="320" w:lineRule="exact"/>
              <w:ind w:left="-105" w:leftChars="-50" w:right="-105" w:rightChars="-50"/>
              <w:jc w:val="center"/>
              <w:textAlignment w:val="baseline"/>
              <w:rPr>
                <w:rFonts w:hint="default" w:ascii="Arial" w:hAnsi="Arial" w:cs="Arial"/>
                <w:bCs/>
                <w:color w:val="auto"/>
                <w:kern w:val="0"/>
                <w:szCs w:val="21"/>
                <w:highlight w:val="none"/>
                <w:lang w:val="en-US" w:eastAsia="zh-CN"/>
              </w:rPr>
            </w:pPr>
            <w:r>
              <w:rPr>
                <w:rFonts w:hint="default" w:ascii="Arial" w:hAnsi="Arial" w:cs="Arial"/>
                <w:bCs/>
                <w:color w:val="auto"/>
                <w:kern w:val="0"/>
                <w:szCs w:val="21"/>
                <w:highlight w:val="none"/>
                <w:lang w:val="en-US" w:eastAsia="zh-CN"/>
              </w:rPr>
              <w:t>2.7</w:t>
            </w:r>
          </w:p>
        </w:tc>
        <w:tc>
          <w:tcPr>
            <w:tcW w:w="1086" w:type="dxa"/>
            <w:vAlign w:val="center"/>
          </w:tcPr>
          <w:p w14:paraId="4D8473A1">
            <w:pPr>
              <w:adjustRightInd w:val="0"/>
              <w:spacing w:line="400" w:lineRule="exact"/>
              <w:jc w:val="center"/>
              <w:textAlignment w:val="baseline"/>
              <w:rPr>
                <w:rFonts w:hint="default" w:ascii="Arial" w:hAnsi="Arial" w:eastAsia="宋体" w:cs="Arial"/>
                <w:color w:val="auto"/>
                <w:szCs w:val="21"/>
                <w:highlight w:val="none"/>
                <w:lang w:val="en-US" w:eastAsia="zh-CN"/>
              </w:rPr>
            </w:pPr>
            <w:r>
              <w:rPr>
                <w:rFonts w:hint="default" w:ascii="Arial" w:hAnsi="Arial" w:cs="Arial"/>
                <w:bCs/>
                <w:color w:val="auto"/>
                <w:kern w:val="0"/>
                <w:szCs w:val="21"/>
                <w:highlight w:val="none"/>
              </w:rPr>
              <w:t>确保工期的技术组织措施</w:t>
            </w:r>
          </w:p>
        </w:tc>
        <w:tc>
          <w:tcPr>
            <w:tcW w:w="7110" w:type="dxa"/>
            <w:vAlign w:val="center"/>
          </w:tcPr>
          <w:p w14:paraId="31656CE7">
            <w:pPr>
              <w:pStyle w:val="11"/>
              <w:spacing w:line="400" w:lineRule="exact"/>
              <w:ind w:firstLine="420" w:firstLineChars="200"/>
              <w:rPr>
                <w:rFonts w:hint="default" w:ascii="Arial" w:hAnsi="Arial" w:cs="Arial"/>
                <w:bCs/>
                <w:color w:val="auto"/>
                <w:sz w:val="21"/>
                <w:szCs w:val="21"/>
                <w:highlight w:val="none"/>
              </w:rPr>
            </w:pPr>
            <w:r>
              <w:rPr>
                <w:rFonts w:hint="default" w:ascii="Arial" w:hAnsi="Arial" w:cs="Arial"/>
                <w:bCs/>
                <w:color w:val="auto"/>
                <w:sz w:val="21"/>
                <w:szCs w:val="21"/>
                <w:highlight w:val="none"/>
              </w:rPr>
              <w:t>一档（5分）</w:t>
            </w:r>
            <w:r>
              <w:rPr>
                <w:rFonts w:hint="default" w:ascii="Arial" w:hAnsi="Arial" w:cs="Arial"/>
                <w:bCs/>
                <w:color w:val="auto"/>
                <w:sz w:val="21"/>
                <w:szCs w:val="21"/>
                <w:highlight w:val="none"/>
                <w:lang w:eastAsia="zh-CN"/>
              </w:rPr>
              <w:t>：</w:t>
            </w:r>
            <w:r>
              <w:rPr>
                <w:rFonts w:hint="default" w:ascii="Arial" w:hAnsi="Arial" w:cs="Arial"/>
                <w:bCs/>
                <w:color w:val="auto"/>
                <w:sz w:val="21"/>
                <w:szCs w:val="21"/>
                <w:highlight w:val="none"/>
              </w:rPr>
              <w:t>在施工工艺、施工方法、材料选用、劳动力安排、技术等方面有保证工期的具体措施且措施得当。有控制工期的施工进度计划。有施工总进度表或施工网络图，各项计划图表编制完善，安排科学周密，符合本项目施工实际要求。</w:t>
            </w:r>
          </w:p>
          <w:p w14:paraId="68EFB498">
            <w:pPr>
              <w:pStyle w:val="11"/>
              <w:spacing w:line="400" w:lineRule="exact"/>
              <w:ind w:firstLine="420" w:firstLineChars="200"/>
              <w:rPr>
                <w:rFonts w:hint="default" w:ascii="Arial" w:hAnsi="Arial" w:cs="Arial"/>
                <w:bCs/>
                <w:color w:val="auto"/>
                <w:sz w:val="21"/>
                <w:szCs w:val="21"/>
                <w:highlight w:val="none"/>
              </w:rPr>
            </w:pPr>
            <w:r>
              <w:rPr>
                <w:rFonts w:hint="default" w:ascii="Arial" w:hAnsi="Arial" w:cs="Arial"/>
                <w:bCs/>
                <w:color w:val="auto"/>
                <w:sz w:val="21"/>
                <w:szCs w:val="21"/>
                <w:highlight w:val="none"/>
              </w:rPr>
              <w:t>二档（3分）</w:t>
            </w:r>
            <w:r>
              <w:rPr>
                <w:rFonts w:hint="default" w:ascii="Arial" w:hAnsi="Arial" w:cs="Arial"/>
                <w:bCs/>
                <w:color w:val="auto"/>
                <w:sz w:val="21"/>
                <w:szCs w:val="21"/>
                <w:highlight w:val="none"/>
                <w:lang w:eastAsia="zh-CN"/>
              </w:rPr>
              <w:t>：</w:t>
            </w:r>
            <w:r>
              <w:rPr>
                <w:rFonts w:hint="default" w:ascii="Arial" w:hAnsi="Arial" w:cs="Arial"/>
                <w:bCs/>
                <w:color w:val="auto"/>
                <w:sz w:val="21"/>
                <w:szCs w:val="21"/>
                <w:highlight w:val="none"/>
              </w:rPr>
              <w:t>施工工艺、施工方法、材料选用、劳动力安排、技术等方面有保证工期的具体措施。有控制工期的施工进度计划。有施工总进度表或施工网络图，各项计划图表编制完善，符合本项目施工实际要求。</w:t>
            </w:r>
          </w:p>
          <w:p w14:paraId="38074B94">
            <w:pPr>
              <w:pStyle w:val="11"/>
              <w:spacing w:line="400" w:lineRule="exact"/>
              <w:ind w:firstLine="420" w:firstLineChars="200"/>
              <w:rPr>
                <w:rFonts w:hint="default" w:ascii="Arial" w:hAnsi="Arial" w:cs="Arial"/>
                <w:bCs/>
                <w:color w:val="auto"/>
                <w:sz w:val="21"/>
                <w:szCs w:val="21"/>
                <w:highlight w:val="none"/>
              </w:rPr>
            </w:pPr>
            <w:r>
              <w:rPr>
                <w:rFonts w:hint="default" w:ascii="Arial" w:hAnsi="Arial" w:cs="Arial"/>
                <w:bCs/>
                <w:color w:val="auto"/>
                <w:sz w:val="21"/>
                <w:szCs w:val="21"/>
                <w:highlight w:val="none"/>
              </w:rPr>
              <w:t>三档（2分）</w:t>
            </w:r>
            <w:r>
              <w:rPr>
                <w:rFonts w:hint="default" w:ascii="Arial" w:hAnsi="Arial" w:cs="Arial"/>
                <w:bCs/>
                <w:color w:val="auto"/>
                <w:sz w:val="21"/>
                <w:szCs w:val="21"/>
                <w:highlight w:val="none"/>
                <w:lang w:eastAsia="zh-CN"/>
              </w:rPr>
              <w:t>：</w:t>
            </w:r>
            <w:r>
              <w:rPr>
                <w:rFonts w:hint="default" w:ascii="Arial" w:hAnsi="Arial" w:cs="Arial"/>
                <w:bCs/>
                <w:color w:val="auto"/>
                <w:sz w:val="21"/>
                <w:szCs w:val="21"/>
                <w:highlight w:val="none"/>
              </w:rPr>
              <w:t>施工工艺、施工方法、材料选用、劳动力安排、技术等方面有措施。有控制工期的施工进度计划。有施工总进度表或施工网络图，各项计划图表编制粗略，基本符合本项目施工实际要求。</w:t>
            </w:r>
          </w:p>
          <w:p w14:paraId="0680F515">
            <w:pPr>
              <w:pStyle w:val="11"/>
              <w:spacing w:line="400" w:lineRule="exact"/>
              <w:ind w:firstLine="420" w:firstLineChars="200"/>
              <w:rPr>
                <w:rFonts w:hint="default" w:ascii="Arial" w:hAnsi="Arial" w:cs="Arial"/>
                <w:bCs/>
                <w:color w:val="auto"/>
                <w:sz w:val="21"/>
                <w:szCs w:val="21"/>
                <w:highlight w:val="none"/>
              </w:rPr>
            </w:pPr>
            <w:r>
              <w:rPr>
                <w:rFonts w:hint="default" w:ascii="Arial" w:hAnsi="Arial" w:cs="Arial"/>
                <w:bCs/>
                <w:color w:val="auto"/>
                <w:sz w:val="21"/>
                <w:szCs w:val="21"/>
                <w:highlight w:val="none"/>
              </w:rPr>
              <w:t>四档（1分）</w:t>
            </w:r>
            <w:r>
              <w:rPr>
                <w:rFonts w:hint="default" w:ascii="Arial" w:hAnsi="Arial" w:cs="Arial"/>
                <w:bCs/>
                <w:color w:val="auto"/>
                <w:sz w:val="21"/>
                <w:szCs w:val="21"/>
                <w:highlight w:val="none"/>
                <w:lang w:val="en-US" w:eastAsia="zh-CN"/>
              </w:rPr>
              <w:t>:</w:t>
            </w:r>
            <w:r>
              <w:rPr>
                <w:rFonts w:hint="default" w:ascii="Arial" w:hAnsi="Arial" w:cs="Arial"/>
                <w:bCs/>
                <w:color w:val="auto"/>
                <w:sz w:val="21"/>
                <w:szCs w:val="21"/>
                <w:highlight w:val="none"/>
              </w:rPr>
              <w:t>施工工艺、施工方法、材料选用、劳动力安排、技术等方面有措施。有控制工期的施工进度计划。有施工总进度表或施工网络图，各项计划图表编制差，不符合本项目施工实际要求。</w:t>
            </w:r>
          </w:p>
          <w:p w14:paraId="19D1320C">
            <w:pPr>
              <w:pStyle w:val="11"/>
              <w:spacing w:line="400" w:lineRule="exact"/>
              <w:ind w:firstLine="420" w:firstLineChars="200"/>
              <w:rPr>
                <w:rFonts w:hint="default" w:ascii="Arial" w:hAnsi="Arial" w:cs="Arial"/>
                <w:color w:val="auto"/>
                <w:szCs w:val="21"/>
                <w:highlight w:val="none"/>
                <w:lang w:val="en-US" w:eastAsia="zh-CN"/>
              </w:rPr>
            </w:pPr>
            <w:r>
              <w:rPr>
                <w:rFonts w:hint="default" w:ascii="Arial" w:hAnsi="Arial" w:cs="Arial"/>
                <w:bCs/>
                <w:color w:val="auto"/>
                <w:kern w:val="0"/>
                <w:szCs w:val="21"/>
                <w:highlight w:val="none"/>
                <w:lang w:val="en-US" w:eastAsia="zh-CN"/>
              </w:rPr>
              <w:t>注：不提供的不予以计分。</w:t>
            </w:r>
          </w:p>
        </w:tc>
        <w:tc>
          <w:tcPr>
            <w:tcW w:w="772" w:type="dxa"/>
            <w:vAlign w:val="center"/>
          </w:tcPr>
          <w:p w14:paraId="182525DD">
            <w:pPr>
              <w:spacing w:line="320" w:lineRule="exact"/>
              <w:jc w:val="center"/>
              <w:rPr>
                <w:rFonts w:hint="default" w:ascii="Arial" w:hAnsi="Arial" w:eastAsia="宋体" w:cs="Arial"/>
                <w:color w:val="auto"/>
                <w:szCs w:val="21"/>
                <w:highlight w:val="none"/>
                <w:lang w:val="en-US" w:eastAsia="zh-CN"/>
              </w:rPr>
            </w:pPr>
            <w:r>
              <w:rPr>
                <w:rFonts w:hint="default" w:ascii="Arial" w:hAnsi="Arial" w:cs="Arial"/>
                <w:color w:val="auto"/>
                <w:kern w:val="0"/>
                <w:szCs w:val="21"/>
                <w:highlight w:val="none"/>
                <w:lang w:val="en-US" w:eastAsia="zh-CN"/>
              </w:rPr>
              <w:t>5分</w:t>
            </w:r>
          </w:p>
        </w:tc>
      </w:tr>
      <w:tr w14:paraId="27483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5479043A">
            <w:pPr>
              <w:adjustRightInd w:val="0"/>
              <w:spacing w:line="320" w:lineRule="exact"/>
              <w:ind w:left="-105" w:leftChars="-50" w:right="-105" w:rightChars="-50"/>
              <w:jc w:val="center"/>
              <w:textAlignment w:val="baseline"/>
              <w:rPr>
                <w:rFonts w:hint="default" w:ascii="Arial" w:hAnsi="Arial" w:cs="Arial"/>
                <w:bCs/>
                <w:color w:val="auto"/>
                <w:kern w:val="0"/>
                <w:szCs w:val="21"/>
                <w:highlight w:val="none"/>
                <w:lang w:val="en-US" w:eastAsia="zh-CN"/>
              </w:rPr>
            </w:pPr>
            <w:r>
              <w:rPr>
                <w:rFonts w:hint="default" w:ascii="Arial" w:hAnsi="Arial" w:cs="Arial"/>
                <w:bCs/>
                <w:color w:val="auto"/>
                <w:kern w:val="0"/>
                <w:szCs w:val="21"/>
                <w:highlight w:val="none"/>
                <w:lang w:val="en-US" w:eastAsia="zh-CN"/>
              </w:rPr>
              <w:t>2.8</w:t>
            </w:r>
          </w:p>
        </w:tc>
        <w:tc>
          <w:tcPr>
            <w:tcW w:w="1086" w:type="dxa"/>
            <w:vAlign w:val="center"/>
          </w:tcPr>
          <w:p w14:paraId="75D6DFC2">
            <w:pPr>
              <w:adjustRightInd w:val="0"/>
              <w:spacing w:line="400" w:lineRule="exact"/>
              <w:jc w:val="center"/>
              <w:textAlignment w:val="baseline"/>
              <w:rPr>
                <w:rFonts w:hint="default" w:ascii="Arial" w:hAnsi="Arial" w:eastAsia="宋体" w:cs="Arial"/>
                <w:color w:val="auto"/>
                <w:szCs w:val="21"/>
                <w:highlight w:val="none"/>
                <w:lang w:val="en-US" w:eastAsia="zh-CN"/>
              </w:rPr>
            </w:pPr>
            <w:r>
              <w:rPr>
                <w:rStyle w:val="22"/>
                <w:rFonts w:ascii="Arial" w:hAnsi="Arial" w:eastAsia="宋体" w:cs="Arial"/>
                <w:b w:val="0"/>
                <w:color w:val="auto"/>
                <w:sz w:val="21"/>
                <w:szCs w:val="21"/>
                <w:highlight w:val="none"/>
              </w:rPr>
              <w:t>确保文明施工的技术组织措施</w:t>
            </w:r>
          </w:p>
        </w:tc>
        <w:tc>
          <w:tcPr>
            <w:tcW w:w="7110" w:type="dxa"/>
            <w:vAlign w:val="center"/>
          </w:tcPr>
          <w:p w14:paraId="0C9D9933">
            <w:pPr>
              <w:pStyle w:val="11"/>
              <w:spacing w:line="400" w:lineRule="exact"/>
              <w:ind w:firstLine="420" w:firstLineChars="200"/>
              <w:rPr>
                <w:rFonts w:hint="default" w:ascii="Arial" w:hAnsi="Arial" w:cs="Arial"/>
                <w:bCs/>
                <w:color w:val="auto"/>
                <w:sz w:val="21"/>
                <w:szCs w:val="21"/>
                <w:highlight w:val="none"/>
              </w:rPr>
            </w:pPr>
            <w:r>
              <w:rPr>
                <w:rFonts w:hint="default" w:ascii="Arial" w:hAnsi="Arial" w:cs="Arial"/>
                <w:bCs/>
                <w:color w:val="auto"/>
                <w:sz w:val="21"/>
                <w:szCs w:val="21"/>
                <w:highlight w:val="none"/>
              </w:rPr>
              <w:t>一档（5分）</w:t>
            </w:r>
            <w:r>
              <w:rPr>
                <w:rFonts w:hint="default" w:ascii="Arial" w:hAnsi="Arial" w:cs="Arial"/>
                <w:bCs/>
                <w:color w:val="auto"/>
                <w:sz w:val="21"/>
                <w:szCs w:val="21"/>
                <w:highlight w:val="none"/>
                <w:lang w:eastAsia="zh-CN"/>
              </w:rPr>
              <w:t>：</w:t>
            </w:r>
            <w:r>
              <w:rPr>
                <w:rFonts w:hint="default" w:ascii="Arial" w:hAnsi="Arial" w:cs="Arial"/>
                <w:bCs/>
                <w:color w:val="auto"/>
                <w:sz w:val="21"/>
                <w:szCs w:val="21"/>
                <w:highlight w:val="none"/>
              </w:rPr>
              <w:t>针对本工程项目特点，有现场文明施工、环境保护措施，且措施内容达到《建筑施工安全生产检查标准》（JGJ59-2011）合格标准并符合《广西壮族自治区建筑工程文明施工导则》要求。各项措施周全、具体、有效。有具体实现现场文明施工目标的承诺。</w:t>
            </w:r>
          </w:p>
          <w:p w14:paraId="63808AA4">
            <w:pPr>
              <w:pStyle w:val="11"/>
              <w:spacing w:line="400" w:lineRule="exact"/>
              <w:ind w:firstLine="420" w:firstLineChars="200"/>
              <w:rPr>
                <w:rFonts w:hint="default" w:ascii="Arial" w:hAnsi="Arial" w:cs="Arial"/>
                <w:bCs/>
                <w:color w:val="auto"/>
                <w:sz w:val="21"/>
                <w:szCs w:val="21"/>
                <w:highlight w:val="none"/>
              </w:rPr>
            </w:pPr>
            <w:r>
              <w:rPr>
                <w:rFonts w:hint="default" w:ascii="Arial" w:hAnsi="Arial" w:cs="Arial"/>
                <w:bCs/>
                <w:color w:val="auto"/>
                <w:sz w:val="21"/>
                <w:szCs w:val="21"/>
                <w:highlight w:val="none"/>
              </w:rPr>
              <w:t>二档（3分）</w:t>
            </w:r>
            <w:r>
              <w:rPr>
                <w:rFonts w:hint="default" w:ascii="Arial" w:hAnsi="Arial" w:cs="Arial"/>
                <w:bCs/>
                <w:color w:val="auto"/>
                <w:sz w:val="21"/>
                <w:szCs w:val="21"/>
                <w:highlight w:val="none"/>
                <w:lang w:eastAsia="zh-CN"/>
              </w:rPr>
              <w:t>：</w:t>
            </w:r>
            <w:r>
              <w:rPr>
                <w:rFonts w:hint="default" w:ascii="Arial" w:hAnsi="Arial" w:cs="Arial"/>
                <w:bCs/>
                <w:color w:val="auto"/>
                <w:sz w:val="21"/>
                <w:szCs w:val="21"/>
                <w:highlight w:val="none"/>
              </w:rPr>
              <w:t>针对本工程项目特点，有现场文明施工、环境保护措施，且措施内容达到《建筑施工安全生产检查标准》（JGJ59-2011）合格标准并符合《广西壮族自治区建筑工程文明施工导则》要求。有实现现场文明施工目标的承诺。</w:t>
            </w:r>
          </w:p>
          <w:p w14:paraId="5C3BA9ED">
            <w:pPr>
              <w:pStyle w:val="11"/>
              <w:spacing w:line="400" w:lineRule="exact"/>
              <w:ind w:firstLine="420" w:firstLineChars="200"/>
              <w:rPr>
                <w:rFonts w:hint="default" w:ascii="Arial" w:hAnsi="Arial" w:cs="Arial"/>
                <w:bCs/>
                <w:color w:val="auto"/>
                <w:sz w:val="21"/>
                <w:szCs w:val="21"/>
                <w:highlight w:val="none"/>
              </w:rPr>
            </w:pPr>
            <w:r>
              <w:rPr>
                <w:rFonts w:hint="default" w:ascii="Arial" w:hAnsi="Arial" w:cs="Arial"/>
                <w:bCs/>
                <w:color w:val="auto"/>
                <w:sz w:val="21"/>
                <w:szCs w:val="21"/>
                <w:highlight w:val="none"/>
              </w:rPr>
              <w:t>三档（2分）</w:t>
            </w:r>
            <w:r>
              <w:rPr>
                <w:rFonts w:hint="default" w:ascii="Arial" w:hAnsi="Arial" w:cs="Arial"/>
                <w:bCs/>
                <w:color w:val="auto"/>
                <w:sz w:val="21"/>
                <w:szCs w:val="21"/>
                <w:highlight w:val="none"/>
                <w:lang w:eastAsia="zh-CN"/>
              </w:rPr>
              <w:t>：</w:t>
            </w:r>
            <w:r>
              <w:rPr>
                <w:rFonts w:hint="default" w:ascii="Arial" w:hAnsi="Arial" w:cs="Arial"/>
                <w:bCs/>
                <w:color w:val="auto"/>
                <w:sz w:val="21"/>
                <w:szCs w:val="21"/>
                <w:highlight w:val="none"/>
              </w:rPr>
              <w:t>有现场文明施工、环境保护措施，且措施内容达到《建筑施工安全生产检查标准》（JGJ59-2011）合格标准并符合《广西壮族自治区建筑工程文明施工导则》要求。有实现现场文明施工目标的承诺。</w:t>
            </w:r>
          </w:p>
          <w:p w14:paraId="7559EBF6">
            <w:pPr>
              <w:pStyle w:val="11"/>
              <w:spacing w:line="400" w:lineRule="exact"/>
              <w:ind w:firstLine="420" w:firstLineChars="200"/>
              <w:rPr>
                <w:rFonts w:hint="default" w:ascii="Arial" w:hAnsi="Arial" w:cs="Arial"/>
                <w:bCs/>
                <w:color w:val="auto"/>
                <w:sz w:val="21"/>
                <w:szCs w:val="21"/>
                <w:highlight w:val="none"/>
              </w:rPr>
            </w:pPr>
            <w:r>
              <w:rPr>
                <w:rFonts w:hint="default" w:ascii="Arial" w:hAnsi="Arial" w:cs="Arial"/>
                <w:bCs/>
                <w:color w:val="auto"/>
                <w:sz w:val="21"/>
                <w:szCs w:val="21"/>
                <w:highlight w:val="none"/>
              </w:rPr>
              <w:t>四档（1分）</w:t>
            </w:r>
            <w:r>
              <w:rPr>
                <w:rFonts w:hint="default" w:ascii="Arial" w:hAnsi="Arial" w:cs="Arial"/>
                <w:bCs/>
                <w:color w:val="auto"/>
                <w:sz w:val="21"/>
                <w:szCs w:val="21"/>
                <w:highlight w:val="none"/>
                <w:lang w:eastAsia="zh-CN"/>
              </w:rPr>
              <w:t>：</w:t>
            </w:r>
            <w:r>
              <w:rPr>
                <w:rFonts w:hint="default" w:ascii="Arial" w:hAnsi="Arial" w:cs="Arial"/>
                <w:bCs/>
                <w:color w:val="auto"/>
                <w:sz w:val="21"/>
                <w:szCs w:val="21"/>
                <w:highlight w:val="none"/>
              </w:rPr>
              <w:t>有现场文明施工、环境保护措施，且措施内容达到《建筑施工安全生产检查标准》（JGJ59-2011）合格标准并符合《广西壮族自治区建筑工程文明施工导则》要求。无实现现场文明施工目标的承诺。</w:t>
            </w:r>
          </w:p>
          <w:p w14:paraId="25F8FCD3">
            <w:pPr>
              <w:pStyle w:val="11"/>
              <w:spacing w:line="400" w:lineRule="exact"/>
              <w:ind w:firstLine="420" w:firstLineChars="200"/>
              <w:rPr>
                <w:rFonts w:hint="default" w:ascii="Arial" w:hAnsi="Arial" w:cs="Arial"/>
                <w:color w:val="auto"/>
                <w:szCs w:val="21"/>
                <w:highlight w:val="none"/>
                <w:lang w:val="en-US" w:eastAsia="zh-CN"/>
              </w:rPr>
            </w:pPr>
            <w:r>
              <w:rPr>
                <w:rFonts w:hint="default" w:ascii="Arial" w:hAnsi="Arial" w:cs="Arial"/>
                <w:bCs/>
                <w:color w:val="auto"/>
                <w:kern w:val="0"/>
                <w:szCs w:val="21"/>
                <w:highlight w:val="none"/>
                <w:lang w:val="en-US" w:eastAsia="zh-CN"/>
              </w:rPr>
              <w:t>注：不提供的不予以计分。</w:t>
            </w:r>
          </w:p>
        </w:tc>
        <w:tc>
          <w:tcPr>
            <w:tcW w:w="772" w:type="dxa"/>
            <w:vAlign w:val="center"/>
          </w:tcPr>
          <w:p w14:paraId="26ECEDF2">
            <w:pPr>
              <w:spacing w:line="320" w:lineRule="exact"/>
              <w:jc w:val="center"/>
              <w:rPr>
                <w:rFonts w:hint="default" w:ascii="Arial" w:hAnsi="Arial" w:eastAsia="宋体" w:cs="Arial"/>
                <w:color w:val="auto"/>
                <w:szCs w:val="21"/>
                <w:highlight w:val="none"/>
                <w:lang w:val="en-US" w:eastAsia="zh-CN"/>
              </w:rPr>
            </w:pPr>
            <w:r>
              <w:rPr>
                <w:rFonts w:hint="default" w:ascii="Arial" w:hAnsi="Arial" w:cs="Arial"/>
                <w:color w:val="auto"/>
                <w:kern w:val="0"/>
                <w:szCs w:val="21"/>
                <w:highlight w:val="none"/>
                <w:lang w:val="en-US" w:eastAsia="zh-CN"/>
              </w:rPr>
              <w:t>5分</w:t>
            </w:r>
          </w:p>
        </w:tc>
      </w:tr>
      <w:tr w14:paraId="7EEC8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79368A17">
            <w:pPr>
              <w:adjustRightInd w:val="0"/>
              <w:spacing w:line="320" w:lineRule="exact"/>
              <w:ind w:left="-105" w:leftChars="-50" w:right="-105" w:rightChars="-50"/>
              <w:jc w:val="center"/>
              <w:textAlignment w:val="baseline"/>
              <w:rPr>
                <w:rFonts w:hint="default" w:ascii="Arial" w:hAnsi="Arial" w:cs="Arial"/>
                <w:bCs/>
                <w:color w:val="auto"/>
                <w:kern w:val="0"/>
                <w:szCs w:val="21"/>
                <w:highlight w:val="none"/>
                <w:lang w:val="en-US" w:eastAsia="zh-CN"/>
              </w:rPr>
            </w:pPr>
            <w:r>
              <w:rPr>
                <w:rFonts w:hint="default" w:ascii="Arial" w:hAnsi="Arial" w:cs="Arial"/>
                <w:bCs/>
                <w:color w:val="auto"/>
                <w:kern w:val="0"/>
                <w:szCs w:val="21"/>
                <w:highlight w:val="none"/>
                <w:lang w:val="en-US" w:eastAsia="zh-CN"/>
              </w:rPr>
              <w:t>2.9</w:t>
            </w:r>
          </w:p>
        </w:tc>
        <w:tc>
          <w:tcPr>
            <w:tcW w:w="1086" w:type="dxa"/>
            <w:vAlign w:val="center"/>
          </w:tcPr>
          <w:p w14:paraId="66284A12">
            <w:pPr>
              <w:adjustRightInd w:val="0"/>
              <w:spacing w:line="400" w:lineRule="exact"/>
              <w:jc w:val="center"/>
              <w:textAlignment w:val="baseline"/>
              <w:rPr>
                <w:rFonts w:hint="default" w:ascii="Arial" w:hAnsi="Arial" w:eastAsia="宋体" w:cs="Arial"/>
                <w:color w:val="auto"/>
                <w:szCs w:val="21"/>
                <w:highlight w:val="none"/>
                <w:lang w:val="en-US" w:eastAsia="zh-CN"/>
              </w:rPr>
            </w:pPr>
            <w:r>
              <w:rPr>
                <w:rFonts w:hint="default" w:ascii="Arial" w:hAnsi="Arial" w:cs="Arial"/>
                <w:bCs/>
                <w:color w:val="auto"/>
                <w:kern w:val="0"/>
                <w:szCs w:val="21"/>
                <w:highlight w:val="none"/>
              </w:rPr>
              <w:t>工程施工的重点和难点及保证措施</w:t>
            </w:r>
          </w:p>
        </w:tc>
        <w:tc>
          <w:tcPr>
            <w:tcW w:w="7110" w:type="dxa"/>
            <w:vAlign w:val="center"/>
          </w:tcPr>
          <w:p w14:paraId="1F90B56B">
            <w:pPr>
              <w:pStyle w:val="11"/>
              <w:spacing w:line="400" w:lineRule="exact"/>
              <w:ind w:firstLine="420" w:firstLineChars="200"/>
              <w:rPr>
                <w:rFonts w:hint="default" w:ascii="Arial" w:hAnsi="Arial" w:cs="Arial"/>
                <w:bCs/>
                <w:color w:val="auto"/>
                <w:sz w:val="21"/>
                <w:szCs w:val="21"/>
                <w:highlight w:val="none"/>
              </w:rPr>
            </w:pPr>
            <w:r>
              <w:rPr>
                <w:rFonts w:hint="default" w:ascii="Arial" w:hAnsi="Arial" w:cs="Arial"/>
                <w:bCs/>
                <w:color w:val="auto"/>
                <w:sz w:val="21"/>
                <w:szCs w:val="21"/>
                <w:highlight w:val="none"/>
              </w:rPr>
              <w:t>一档（5分）</w:t>
            </w:r>
            <w:r>
              <w:rPr>
                <w:rFonts w:hint="default" w:ascii="Arial" w:hAnsi="Arial" w:cs="Arial"/>
                <w:bCs/>
                <w:color w:val="auto"/>
                <w:sz w:val="21"/>
                <w:szCs w:val="21"/>
                <w:highlight w:val="none"/>
                <w:lang w:val="en-US" w:eastAsia="zh-CN"/>
              </w:rPr>
              <w:t>:</w:t>
            </w:r>
            <w:r>
              <w:rPr>
                <w:rFonts w:hint="default" w:ascii="Arial" w:hAnsi="Arial" w:cs="Arial"/>
                <w:bCs/>
                <w:color w:val="auto"/>
                <w:sz w:val="21"/>
                <w:szCs w:val="21"/>
                <w:highlight w:val="none"/>
              </w:rPr>
              <w:t>针对本工程的特点，详细阐述了本工程的重点和难点，解决重点和难点问题的方法科学、详细贴合项目实际情况，能确保项目顺利实施。</w:t>
            </w:r>
          </w:p>
          <w:p w14:paraId="6FF08B67">
            <w:pPr>
              <w:pStyle w:val="11"/>
              <w:spacing w:line="400" w:lineRule="exact"/>
              <w:ind w:firstLine="420" w:firstLineChars="200"/>
              <w:rPr>
                <w:rFonts w:hint="default" w:ascii="Arial" w:hAnsi="Arial" w:cs="Arial"/>
                <w:bCs/>
                <w:color w:val="auto"/>
                <w:sz w:val="21"/>
                <w:szCs w:val="21"/>
                <w:highlight w:val="none"/>
              </w:rPr>
            </w:pPr>
            <w:r>
              <w:rPr>
                <w:rFonts w:hint="default" w:ascii="Arial" w:hAnsi="Arial" w:cs="Arial"/>
                <w:bCs/>
                <w:color w:val="auto"/>
                <w:sz w:val="21"/>
                <w:szCs w:val="21"/>
                <w:highlight w:val="none"/>
              </w:rPr>
              <w:t>二档（3分）</w:t>
            </w:r>
            <w:r>
              <w:rPr>
                <w:rFonts w:hint="default" w:ascii="Arial" w:hAnsi="Arial" w:cs="Arial"/>
                <w:bCs/>
                <w:color w:val="auto"/>
                <w:sz w:val="21"/>
                <w:szCs w:val="21"/>
                <w:highlight w:val="none"/>
                <w:lang w:val="en-US" w:eastAsia="zh-CN"/>
              </w:rPr>
              <w:t>:</w:t>
            </w:r>
            <w:r>
              <w:rPr>
                <w:rFonts w:hint="default" w:ascii="Arial" w:hAnsi="Arial" w:cs="Arial"/>
                <w:bCs/>
                <w:color w:val="auto"/>
                <w:sz w:val="21"/>
                <w:szCs w:val="21"/>
                <w:highlight w:val="none"/>
              </w:rPr>
              <w:t>针对本工程的特点，阐述了本工程的重点和难点，解决重点和难点问题的方法有针对性，其内容符合项目情况。</w:t>
            </w:r>
          </w:p>
          <w:p w14:paraId="5C3B01E8">
            <w:pPr>
              <w:pStyle w:val="11"/>
              <w:spacing w:line="400" w:lineRule="exact"/>
              <w:ind w:firstLine="420" w:firstLineChars="200"/>
              <w:rPr>
                <w:rFonts w:hint="default" w:ascii="Arial" w:hAnsi="Arial" w:cs="Arial"/>
                <w:bCs/>
                <w:color w:val="auto"/>
                <w:sz w:val="21"/>
                <w:szCs w:val="21"/>
                <w:highlight w:val="none"/>
              </w:rPr>
            </w:pPr>
            <w:r>
              <w:rPr>
                <w:rFonts w:hint="default" w:ascii="Arial" w:hAnsi="Arial" w:cs="Arial"/>
                <w:bCs/>
                <w:color w:val="auto"/>
                <w:sz w:val="21"/>
                <w:szCs w:val="21"/>
                <w:highlight w:val="none"/>
              </w:rPr>
              <w:t>三档（2分）</w:t>
            </w:r>
            <w:r>
              <w:rPr>
                <w:rFonts w:hint="default" w:ascii="Arial" w:hAnsi="Arial" w:cs="Arial"/>
                <w:bCs/>
                <w:color w:val="auto"/>
                <w:sz w:val="21"/>
                <w:szCs w:val="21"/>
                <w:highlight w:val="none"/>
                <w:lang w:val="en-US" w:eastAsia="zh-CN"/>
              </w:rPr>
              <w:t>:</w:t>
            </w:r>
            <w:r>
              <w:rPr>
                <w:rFonts w:hint="default" w:ascii="Arial" w:hAnsi="Arial" w:cs="Arial"/>
                <w:bCs/>
                <w:color w:val="auto"/>
                <w:sz w:val="21"/>
                <w:szCs w:val="21"/>
                <w:highlight w:val="none"/>
              </w:rPr>
              <w:t>简单阐述了本工程的重点和难点，解决重点和难点问题的方法粗略。</w:t>
            </w:r>
          </w:p>
          <w:p w14:paraId="1A9604B4">
            <w:pPr>
              <w:pStyle w:val="11"/>
              <w:spacing w:line="400" w:lineRule="exact"/>
              <w:ind w:firstLine="420" w:firstLineChars="200"/>
              <w:rPr>
                <w:rFonts w:hint="default" w:ascii="Arial" w:hAnsi="Arial" w:cs="Arial"/>
                <w:bCs/>
                <w:color w:val="auto"/>
                <w:sz w:val="21"/>
                <w:szCs w:val="21"/>
                <w:highlight w:val="none"/>
              </w:rPr>
            </w:pPr>
            <w:r>
              <w:rPr>
                <w:rFonts w:hint="default" w:ascii="Arial" w:hAnsi="Arial" w:cs="Arial"/>
                <w:bCs/>
                <w:color w:val="auto"/>
                <w:sz w:val="21"/>
                <w:szCs w:val="21"/>
                <w:highlight w:val="none"/>
              </w:rPr>
              <w:t>四挡（1分）</w:t>
            </w:r>
            <w:r>
              <w:rPr>
                <w:rFonts w:hint="default" w:ascii="Arial" w:hAnsi="Arial" w:cs="Arial"/>
                <w:bCs/>
                <w:color w:val="auto"/>
                <w:sz w:val="21"/>
                <w:szCs w:val="21"/>
                <w:highlight w:val="none"/>
                <w:lang w:val="en-US" w:eastAsia="zh-CN"/>
              </w:rPr>
              <w:t>:</w:t>
            </w:r>
            <w:r>
              <w:rPr>
                <w:rFonts w:hint="default" w:ascii="Arial" w:hAnsi="Arial" w:cs="Arial"/>
                <w:bCs/>
                <w:color w:val="auto"/>
                <w:sz w:val="21"/>
                <w:szCs w:val="21"/>
                <w:highlight w:val="none"/>
              </w:rPr>
              <w:t>未阐述本工程的重点和难点，无解决重点和难点问题的方法。</w:t>
            </w:r>
          </w:p>
          <w:p w14:paraId="2688BA13">
            <w:pPr>
              <w:pStyle w:val="11"/>
              <w:spacing w:line="400" w:lineRule="exact"/>
              <w:ind w:firstLine="420" w:firstLineChars="200"/>
              <w:rPr>
                <w:rFonts w:hint="default" w:ascii="Arial" w:hAnsi="Arial" w:cs="Arial"/>
                <w:color w:val="auto"/>
                <w:szCs w:val="21"/>
                <w:highlight w:val="none"/>
                <w:lang w:val="en-US" w:eastAsia="zh-CN"/>
              </w:rPr>
            </w:pPr>
            <w:r>
              <w:rPr>
                <w:rFonts w:hint="default" w:ascii="Arial" w:hAnsi="Arial" w:cs="Arial"/>
                <w:bCs/>
                <w:color w:val="auto"/>
                <w:kern w:val="0"/>
                <w:szCs w:val="21"/>
                <w:highlight w:val="none"/>
                <w:lang w:val="en-US" w:eastAsia="zh-CN"/>
              </w:rPr>
              <w:t>注：不提供的不予以计分。</w:t>
            </w:r>
          </w:p>
        </w:tc>
        <w:tc>
          <w:tcPr>
            <w:tcW w:w="772" w:type="dxa"/>
            <w:vAlign w:val="center"/>
          </w:tcPr>
          <w:p w14:paraId="3165CFDF">
            <w:pPr>
              <w:spacing w:line="320" w:lineRule="exact"/>
              <w:jc w:val="center"/>
              <w:rPr>
                <w:rFonts w:hint="default" w:ascii="Arial" w:hAnsi="Arial" w:eastAsia="宋体" w:cs="Arial"/>
                <w:color w:val="auto"/>
                <w:szCs w:val="21"/>
                <w:highlight w:val="none"/>
                <w:lang w:val="en-US" w:eastAsia="zh-CN"/>
              </w:rPr>
            </w:pPr>
            <w:r>
              <w:rPr>
                <w:rFonts w:hint="default" w:ascii="Arial" w:hAnsi="Arial" w:cs="Arial"/>
                <w:color w:val="auto"/>
                <w:kern w:val="0"/>
                <w:szCs w:val="21"/>
                <w:highlight w:val="none"/>
                <w:lang w:val="en-US" w:eastAsia="zh-CN"/>
              </w:rPr>
              <w:t>5</w:t>
            </w:r>
            <w:r>
              <w:rPr>
                <w:rFonts w:hint="default" w:ascii="Arial" w:hAnsi="Arial" w:cs="Arial"/>
                <w:color w:val="auto"/>
                <w:kern w:val="0"/>
                <w:szCs w:val="21"/>
                <w:highlight w:val="none"/>
              </w:rPr>
              <w:t>分</w:t>
            </w:r>
          </w:p>
        </w:tc>
      </w:tr>
      <w:tr w14:paraId="677B5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2" w:type="dxa"/>
            <w:vAlign w:val="center"/>
          </w:tcPr>
          <w:p w14:paraId="5DCBC8BD">
            <w:pPr>
              <w:adjustRightInd w:val="0"/>
              <w:spacing w:line="320" w:lineRule="exact"/>
              <w:ind w:left="-105" w:leftChars="-50" w:right="-105" w:rightChars="-50"/>
              <w:jc w:val="center"/>
              <w:textAlignment w:val="baseline"/>
              <w:rPr>
                <w:rFonts w:hint="default" w:ascii="Arial" w:hAnsi="Arial" w:cs="Arial"/>
                <w:bCs/>
                <w:color w:val="auto"/>
                <w:kern w:val="0"/>
                <w:szCs w:val="21"/>
                <w:highlight w:val="none"/>
                <w:lang w:val="en-US" w:eastAsia="zh-CN"/>
              </w:rPr>
            </w:pPr>
            <w:r>
              <w:rPr>
                <w:rFonts w:hint="default" w:ascii="Arial" w:hAnsi="Arial" w:cs="Arial"/>
                <w:bCs/>
                <w:color w:val="auto"/>
                <w:kern w:val="0"/>
                <w:szCs w:val="21"/>
                <w:highlight w:val="none"/>
                <w:lang w:val="en-US" w:eastAsia="zh-CN"/>
              </w:rPr>
              <w:t>2.10</w:t>
            </w:r>
          </w:p>
        </w:tc>
        <w:tc>
          <w:tcPr>
            <w:tcW w:w="1086" w:type="dxa"/>
            <w:vAlign w:val="center"/>
          </w:tcPr>
          <w:p w14:paraId="7AF1C780">
            <w:pPr>
              <w:adjustRightInd w:val="0"/>
              <w:spacing w:line="400" w:lineRule="exact"/>
              <w:jc w:val="center"/>
              <w:textAlignment w:val="baseline"/>
              <w:rPr>
                <w:rFonts w:hint="default" w:ascii="Arial" w:hAnsi="Arial" w:eastAsia="宋体" w:cs="Arial"/>
                <w:color w:val="auto"/>
                <w:szCs w:val="21"/>
                <w:highlight w:val="none"/>
                <w:lang w:val="en-US" w:eastAsia="zh-CN"/>
              </w:rPr>
            </w:pPr>
            <w:r>
              <w:rPr>
                <w:rFonts w:hint="default" w:ascii="Arial" w:hAnsi="Arial" w:cs="Arial"/>
                <w:bCs/>
                <w:color w:val="auto"/>
                <w:kern w:val="0"/>
                <w:szCs w:val="21"/>
                <w:highlight w:val="none"/>
              </w:rPr>
              <w:t>施工总平面布置图</w:t>
            </w:r>
          </w:p>
        </w:tc>
        <w:tc>
          <w:tcPr>
            <w:tcW w:w="7110" w:type="dxa"/>
            <w:vAlign w:val="center"/>
          </w:tcPr>
          <w:p w14:paraId="36E0BAEB">
            <w:pPr>
              <w:pStyle w:val="11"/>
              <w:spacing w:line="400" w:lineRule="exact"/>
              <w:ind w:firstLine="420" w:firstLineChars="200"/>
              <w:rPr>
                <w:rFonts w:hint="default" w:ascii="Arial" w:hAnsi="Arial" w:cs="Arial"/>
                <w:bCs/>
                <w:color w:val="auto"/>
                <w:kern w:val="0"/>
                <w:szCs w:val="21"/>
                <w:highlight w:val="none"/>
                <w:lang w:val="en-US" w:eastAsia="zh-CN"/>
              </w:rPr>
            </w:pPr>
            <w:r>
              <w:rPr>
                <w:rFonts w:hint="default" w:ascii="Arial" w:hAnsi="Arial" w:cs="Arial"/>
                <w:bCs/>
                <w:color w:val="auto"/>
                <w:kern w:val="0"/>
                <w:szCs w:val="21"/>
                <w:highlight w:val="none"/>
                <w:lang w:val="en-US" w:eastAsia="zh-CN"/>
              </w:rPr>
              <w:t>一档（5分）:有施工总平面布置图，</w:t>
            </w:r>
            <w:r>
              <w:rPr>
                <w:rFonts w:hint="default" w:ascii="Arial" w:hAnsi="Arial" w:cs="Arial"/>
                <w:bCs/>
                <w:color w:val="auto"/>
                <w:kern w:val="0"/>
                <w:szCs w:val="21"/>
                <w:highlight w:val="none"/>
                <w:lang w:val="en-US" w:eastAsia="zh-CN"/>
              </w:rPr>
              <w:t>提供并结合了采购人出具的现场踏勘证明进行布置，</w:t>
            </w:r>
            <w:r>
              <w:rPr>
                <w:rFonts w:hint="default" w:ascii="Arial" w:hAnsi="Arial" w:cs="Arial"/>
                <w:bCs/>
                <w:color w:val="auto"/>
                <w:kern w:val="0"/>
                <w:szCs w:val="21"/>
                <w:highlight w:val="none"/>
                <w:lang w:val="en-US" w:eastAsia="zh-CN"/>
              </w:rPr>
              <w:t>安排科学周密贴切实际，符合本项目施工实际要求。</w:t>
            </w:r>
          </w:p>
          <w:p w14:paraId="30F92BA3">
            <w:pPr>
              <w:pStyle w:val="11"/>
              <w:spacing w:line="400" w:lineRule="exact"/>
              <w:ind w:firstLine="420" w:firstLineChars="200"/>
              <w:rPr>
                <w:rFonts w:hint="default" w:ascii="Arial" w:hAnsi="Arial" w:cs="Arial"/>
                <w:bCs/>
                <w:color w:val="auto"/>
                <w:kern w:val="0"/>
                <w:szCs w:val="21"/>
                <w:highlight w:val="none"/>
                <w:lang w:val="en-US" w:eastAsia="zh-CN"/>
              </w:rPr>
            </w:pPr>
            <w:r>
              <w:rPr>
                <w:rFonts w:hint="default" w:ascii="Arial" w:hAnsi="Arial" w:cs="Arial"/>
                <w:bCs/>
                <w:color w:val="auto"/>
                <w:kern w:val="0"/>
                <w:szCs w:val="21"/>
                <w:highlight w:val="none"/>
                <w:lang w:val="en-US" w:eastAsia="zh-CN"/>
              </w:rPr>
              <w:t>二档（3分）:有施工总平面布置图，</w:t>
            </w:r>
            <w:r>
              <w:rPr>
                <w:rFonts w:hint="default" w:ascii="Arial" w:hAnsi="Arial" w:cs="Arial"/>
                <w:bCs/>
                <w:color w:val="auto"/>
                <w:kern w:val="0"/>
                <w:szCs w:val="21"/>
                <w:highlight w:val="none"/>
                <w:lang w:val="en-US" w:eastAsia="zh-CN"/>
              </w:rPr>
              <w:t>提供并结合了采购人出具的现场踏勘证明进行布置，</w:t>
            </w:r>
            <w:r>
              <w:rPr>
                <w:rFonts w:hint="default" w:ascii="Arial" w:hAnsi="Arial" w:cs="Arial"/>
                <w:bCs/>
                <w:color w:val="auto"/>
                <w:kern w:val="0"/>
                <w:szCs w:val="21"/>
                <w:highlight w:val="none"/>
                <w:lang w:val="en-US" w:eastAsia="zh-CN"/>
              </w:rPr>
              <w:t>安排详细，符合本项目施工实际要求。</w:t>
            </w:r>
          </w:p>
          <w:p w14:paraId="25D6D938">
            <w:pPr>
              <w:pStyle w:val="11"/>
              <w:spacing w:line="400" w:lineRule="exact"/>
              <w:ind w:firstLine="420" w:firstLineChars="200"/>
              <w:rPr>
                <w:rFonts w:hint="default" w:ascii="Arial" w:hAnsi="Arial" w:cs="Arial"/>
                <w:bCs/>
                <w:color w:val="auto"/>
                <w:kern w:val="0"/>
                <w:szCs w:val="21"/>
                <w:highlight w:val="none"/>
                <w:lang w:val="en-US" w:eastAsia="zh-CN"/>
              </w:rPr>
            </w:pPr>
            <w:r>
              <w:rPr>
                <w:rFonts w:hint="default" w:ascii="Arial" w:hAnsi="Arial" w:cs="Arial"/>
                <w:bCs/>
                <w:color w:val="auto"/>
                <w:kern w:val="0"/>
                <w:szCs w:val="21"/>
                <w:highlight w:val="none"/>
                <w:lang w:val="en-US" w:eastAsia="zh-CN"/>
              </w:rPr>
              <w:t>三档（2分）:有施工总平面布置图，基本符合本项目施工实际要求。</w:t>
            </w:r>
          </w:p>
          <w:p w14:paraId="5390A884">
            <w:pPr>
              <w:pStyle w:val="11"/>
              <w:spacing w:line="400" w:lineRule="exact"/>
              <w:ind w:firstLine="420" w:firstLineChars="200"/>
              <w:rPr>
                <w:rFonts w:hint="default" w:ascii="Arial" w:hAnsi="Arial" w:cs="Arial"/>
                <w:bCs/>
                <w:color w:val="auto"/>
                <w:kern w:val="0"/>
                <w:szCs w:val="21"/>
                <w:highlight w:val="none"/>
                <w:lang w:val="en-US" w:eastAsia="zh-CN"/>
              </w:rPr>
            </w:pPr>
            <w:r>
              <w:rPr>
                <w:rFonts w:hint="default" w:ascii="Arial" w:hAnsi="Arial" w:cs="Arial"/>
                <w:bCs/>
                <w:color w:val="auto"/>
                <w:kern w:val="0"/>
                <w:szCs w:val="21"/>
                <w:highlight w:val="none"/>
                <w:lang w:val="en-US" w:eastAsia="zh-CN"/>
              </w:rPr>
              <w:t>四档（1分）:有施工总平面布置图，但不符合本项目施工实际要求。</w:t>
            </w:r>
          </w:p>
          <w:p w14:paraId="4A0F41AE">
            <w:pPr>
              <w:pStyle w:val="11"/>
              <w:spacing w:line="400" w:lineRule="exact"/>
              <w:ind w:firstLine="420" w:firstLineChars="200"/>
              <w:rPr>
                <w:rFonts w:hint="default" w:ascii="Arial" w:hAnsi="Arial" w:cs="Arial"/>
                <w:color w:val="auto"/>
                <w:szCs w:val="21"/>
                <w:highlight w:val="none"/>
                <w:lang w:val="en-US" w:eastAsia="zh-CN"/>
              </w:rPr>
            </w:pPr>
            <w:r>
              <w:rPr>
                <w:rFonts w:hint="default" w:ascii="Arial" w:hAnsi="Arial" w:cs="Arial"/>
                <w:bCs/>
                <w:color w:val="auto"/>
                <w:kern w:val="0"/>
                <w:szCs w:val="21"/>
                <w:highlight w:val="none"/>
                <w:lang w:val="en-US" w:eastAsia="zh-CN"/>
              </w:rPr>
              <w:t>注：不提供的不予以计分。</w:t>
            </w:r>
          </w:p>
        </w:tc>
        <w:tc>
          <w:tcPr>
            <w:tcW w:w="772" w:type="dxa"/>
            <w:vAlign w:val="center"/>
          </w:tcPr>
          <w:p w14:paraId="114CF311">
            <w:pPr>
              <w:spacing w:line="320" w:lineRule="exact"/>
              <w:jc w:val="center"/>
              <w:rPr>
                <w:rFonts w:hint="default" w:ascii="Arial" w:hAnsi="Arial" w:eastAsia="宋体" w:cs="Arial"/>
                <w:color w:val="auto"/>
                <w:szCs w:val="21"/>
                <w:highlight w:val="none"/>
                <w:lang w:val="en-US" w:eastAsia="zh-CN"/>
              </w:rPr>
            </w:pPr>
            <w:r>
              <w:rPr>
                <w:rFonts w:hint="default" w:ascii="Arial" w:hAnsi="Arial" w:cs="Arial"/>
                <w:color w:val="auto"/>
                <w:kern w:val="0"/>
                <w:szCs w:val="21"/>
                <w:highlight w:val="none"/>
                <w:lang w:val="en-US" w:eastAsia="zh-CN"/>
              </w:rPr>
              <w:t>5</w:t>
            </w:r>
            <w:r>
              <w:rPr>
                <w:rFonts w:hint="default" w:ascii="Arial" w:hAnsi="Arial" w:cs="Arial"/>
                <w:color w:val="auto"/>
                <w:kern w:val="0"/>
                <w:szCs w:val="21"/>
                <w:highlight w:val="none"/>
              </w:rPr>
              <w:t>分</w:t>
            </w:r>
          </w:p>
        </w:tc>
      </w:tr>
      <w:tr w14:paraId="711C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52" w:type="dxa"/>
            <w:vAlign w:val="center"/>
          </w:tcPr>
          <w:p w14:paraId="6463E9A2">
            <w:pPr>
              <w:widowControl/>
              <w:spacing w:line="360" w:lineRule="exact"/>
              <w:jc w:val="center"/>
              <w:rPr>
                <w:rFonts w:hint="default" w:ascii="Arial" w:hAnsi="Arial" w:eastAsia="宋体" w:cs="Arial"/>
                <w:color w:val="auto"/>
                <w:kern w:val="0"/>
                <w:szCs w:val="21"/>
                <w:highlight w:val="none"/>
              </w:rPr>
            </w:pPr>
            <w:r>
              <w:rPr>
                <w:rFonts w:hint="default" w:ascii="Arial" w:hAnsi="Arial" w:cs="Arial"/>
                <w:b/>
                <w:bCs/>
                <w:color w:val="auto"/>
                <w:kern w:val="0"/>
                <w:szCs w:val="21"/>
                <w:highlight w:val="none"/>
              </w:rPr>
              <w:t>3</w:t>
            </w:r>
          </w:p>
        </w:tc>
        <w:tc>
          <w:tcPr>
            <w:tcW w:w="1086" w:type="dxa"/>
            <w:vAlign w:val="center"/>
          </w:tcPr>
          <w:p w14:paraId="47A14C98">
            <w:pPr>
              <w:widowControl/>
              <w:spacing w:line="360" w:lineRule="exact"/>
              <w:jc w:val="center"/>
              <w:rPr>
                <w:rFonts w:hint="default" w:ascii="Arial" w:hAnsi="Arial" w:eastAsia="宋体" w:cs="Arial"/>
                <w:bCs/>
                <w:color w:val="auto"/>
                <w:szCs w:val="21"/>
                <w:highlight w:val="none"/>
              </w:rPr>
            </w:pPr>
            <w:r>
              <w:rPr>
                <w:rFonts w:hint="default" w:ascii="Arial" w:hAnsi="Arial" w:cs="Arial"/>
                <w:b/>
                <w:bCs/>
                <w:color w:val="auto"/>
                <w:szCs w:val="21"/>
                <w:highlight w:val="none"/>
              </w:rPr>
              <w:t>商务分</w:t>
            </w:r>
          </w:p>
        </w:tc>
        <w:tc>
          <w:tcPr>
            <w:tcW w:w="7110" w:type="dxa"/>
            <w:vAlign w:val="center"/>
          </w:tcPr>
          <w:p w14:paraId="4467101C">
            <w:pPr>
              <w:widowControl/>
              <w:spacing w:line="360" w:lineRule="exact"/>
              <w:jc w:val="center"/>
              <w:rPr>
                <w:rFonts w:hint="default" w:ascii="Arial" w:hAnsi="Arial" w:eastAsia="宋体" w:cs="Arial"/>
                <w:color w:val="auto"/>
                <w:kern w:val="0"/>
                <w:szCs w:val="21"/>
                <w:highlight w:val="none"/>
                <w:lang w:eastAsia="zh-CN"/>
              </w:rPr>
            </w:pPr>
            <w:r>
              <w:rPr>
                <w:rFonts w:hint="default" w:ascii="Arial" w:hAnsi="Arial" w:cs="Arial"/>
                <w:b/>
                <w:bCs/>
                <w:color w:val="auto"/>
                <w:kern w:val="0"/>
                <w:szCs w:val="21"/>
                <w:highlight w:val="none"/>
              </w:rPr>
              <w:t>评审因素（客观分）</w:t>
            </w:r>
          </w:p>
        </w:tc>
        <w:tc>
          <w:tcPr>
            <w:tcW w:w="772" w:type="dxa"/>
            <w:vAlign w:val="center"/>
          </w:tcPr>
          <w:p w14:paraId="1E2CD9DC">
            <w:pPr>
              <w:widowControl/>
              <w:spacing w:line="360" w:lineRule="exact"/>
              <w:jc w:val="center"/>
              <w:rPr>
                <w:rFonts w:hint="default" w:ascii="Arial" w:hAnsi="Arial" w:eastAsia="宋体" w:cs="Arial"/>
                <w:color w:val="auto"/>
                <w:kern w:val="0"/>
                <w:szCs w:val="21"/>
                <w:highlight w:val="none"/>
              </w:rPr>
            </w:pPr>
            <w:r>
              <w:rPr>
                <w:rFonts w:hint="default" w:ascii="Arial" w:hAnsi="Arial" w:cs="Arial"/>
                <w:b/>
                <w:bCs/>
                <w:color w:val="auto"/>
                <w:kern w:val="0"/>
                <w:szCs w:val="21"/>
                <w:highlight w:val="none"/>
                <w:lang w:val="en-US" w:eastAsia="zh-CN"/>
              </w:rPr>
              <w:t>20</w:t>
            </w:r>
            <w:r>
              <w:rPr>
                <w:rFonts w:hint="default" w:ascii="Arial" w:hAnsi="Arial" w:cs="Arial"/>
                <w:b/>
                <w:bCs/>
                <w:color w:val="auto"/>
                <w:kern w:val="0"/>
                <w:szCs w:val="21"/>
                <w:highlight w:val="none"/>
              </w:rPr>
              <w:t>分</w:t>
            </w:r>
          </w:p>
        </w:tc>
      </w:tr>
      <w:tr w14:paraId="314EF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2269C325">
            <w:pPr>
              <w:widowControl/>
              <w:spacing w:line="360" w:lineRule="exact"/>
              <w:jc w:val="center"/>
              <w:rPr>
                <w:rFonts w:hint="default" w:ascii="Arial" w:hAnsi="Arial" w:eastAsia="宋体" w:cs="Arial"/>
                <w:bCs/>
                <w:color w:val="auto"/>
                <w:kern w:val="0"/>
                <w:szCs w:val="21"/>
                <w:highlight w:val="none"/>
                <w:lang w:val="en-US" w:eastAsia="zh-CN"/>
              </w:rPr>
            </w:pPr>
            <w:r>
              <w:rPr>
                <w:rFonts w:hint="eastAsia" w:ascii="宋体" w:hAnsi="宋体" w:cs="宋体"/>
                <w:color w:val="auto"/>
                <w:kern w:val="0"/>
                <w:szCs w:val="21"/>
                <w:highlight w:val="none"/>
              </w:rPr>
              <w:t>3.1</w:t>
            </w:r>
          </w:p>
        </w:tc>
        <w:tc>
          <w:tcPr>
            <w:tcW w:w="1086" w:type="dxa"/>
            <w:vAlign w:val="center"/>
          </w:tcPr>
          <w:p w14:paraId="7D3C4F88">
            <w:pPr>
              <w:widowControl/>
              <w:spacing w:line="360" w:lineRule="exact"/>
              <w:jc w:val="center"/>
              <w:rPr>
                <w:rFonts w:hint="default" w:ascii="Arial" w:hAnsi="Arial" w:eastAsia="宋体" w:cs="Arial"/>
                <w:bCs/>
                <w:color w:val="auto"/>
                <w:szCs w:val="21"/>
                <w:highlight w:val="none"/>
              </w:rPr>
            </w:pPr>
            <w:r>
              <w:rPr>
                <w:rFonts w:hint="eastAsia" w:ascii="宋体" w:hAnsi="宋体" w:cs="宋体"/>
                <w:color w:val="auto"/>
                <w:kern w:val="0"/>
                <w:szCs w:val="21"/>
                <w:highlight w:val="none"/>
                <w:lang w:bidi="ar"/>
              </w:rPr>
              <w:t>业绩</w:t>
            </w:r>
          </w:p>
        </w:tc>
        <w:tc>
          <w:tcPr>
            <w:tcW w:w="7110" w:type="dxa"/>
            <w:vAlign w:val="top"/>
          </w:tcPr>
          <w:p w14:paraId="2E077EBF">
            <w:pPr>
              <w:pStyle w:val="11"/>
              <w:spacing w:line="360" w:lineRule="exact"/>
              <w:ind w:firstLine="420" w:firstLineChars="200"/>
              <w:rPr>
                <w:rFonts w:hint="default" w:ascii="Arial" w:hAnsi="Arial" w:eastAsia="宋体" w:cs="Arial"/>
                <w:bCs/>
                <w:color w:val="auto"/>
                <w:kern w:val="0"/>
                <w:szCs w:val="21"/>
                <w:highlight w:val="none"/>
                <w:lang w:val="en-US" w:eastAsia="zh-CN"/>
              </w:rPr>
            </w:pPr>
            <w:r>
              <w:rPr>
                <w:rFonts w:hint="eastAsia" w:hAnsi="宋体" w:cs="宋体"/>
                <w:color w:val="auto"/>
                <w:sz w:val="21"/>
                <w:highlight w:val="none"/>
                <w:lang w:val="en-US" w:eastAsia="zh-CN"/>
              </w:rPr>
              <w:t>2022年1月1日以来投标人承接过或</w:t>
            </w:r>
            <w:r>
              <w:rPr>
                <w:rFonts w:hint="eastAsia" w:hAnsi="宋体" w:cs="宋体"/>
                <w:color w:val="auto"/>
                <w:sz w:val="21"/>
                <w:highlight w:val="none"/>
              </w:rPr>
              <w:t>完成过</w:t>
            </w:r>
            <w:r>
              <w:rPr>
                <w:rFonts w:hint="eastAsia" w:hAnsi="宋体" w:cs="宋体"/>
                <w:color w:val="auto"/>
                <w:sz w:val="21"/>
                <w:highlight w:val="none"/>
                <w:lang w:val="en-US" w:eastAsia="zh-CN"/>
              </w:rPr>
              <w:t>类似</w:t>
            </w:r>
            <w:r>
              <w:rPr>
                <w:rFonts w:hint="eastAsia" w:hAnsi="宋体" w:cs="宋体"/>
                <w:color w:val="auto"/>
                <w:sz w:val="21"/>
                <w:highlight w:val="none"/>
                <w:lang w:val="en-US" w:eastAsia="zh-CN"/>
              </w:rPr>
              <w:t>文旅产业配套工程</w:t>
            </w:r>
            <w:r>
              <w:rPr>
                <w:rFonts w:hint="eastAsia" w:hAnsi="宋体" w:cs="宋体"/>
                <w:color w:val="auto"/>
                <w:sz w:val="21"/>
                <w:highlight w:val="none"/>
                <w:lang w:val="en-US" w:eastAsia="zh-CN"/>
              </w:rPr>
              <w:t>施工</w:t>
            </w:r>
            <w:r>
              <w:rPr>
                <w:rFonts w:hint="eastAsia" w:hAnsi="宋体" w:cs="宋体"/>
                <w:color w:val="auto"/>
                <w:sz w:val="21"/>
                <w:highlight w:val="none"/>
              </w:rPr>
              <w:t>业绩的，每个</w:t>
            </w:r>
            <w:r>
              <w:rPr>
                <w:rFonts w:hint="eastAsia" w:hAnsi="宋体" w:cs="宋体"/>
                <w:color w:val="auto"/>
                <w:sz w:val="21"/>
                <w:highlight w:val="none"/>
                <w:lang w:val="en-US" w:eastAsia="zh-CN"/>
              </w:rPr>
              <w:t>9</w:t>
            </w:r>
            <w:r>
              <w:rPr>
                <w:rFonts w:hint="eastAsia" w:hAnsi="宋体" w:cs="宋体"/>
                <w:color w:val="auto"/>
                <w:sz w:val="21"/>
                <w:highlight w:val="none"/>
              </w:rPr>
              <w:t>分，此项满分</w:t>
            </w:r>
            <w:r>
              <w:rPr>
                <w:rFonts w:hint="eastAsia" w:hAnsi="宋体" w:cs="宋体"/>
                <w:color w:val="auto"/>
                <w:sz w:val="21"/>
                <w:highlight w:val="none"/>
                <w:lang w:val="en-US" w:eastAsia="zh-CN"/>
              </w:rPr>
              <w:t>9</w:t>
            </w:r>
            <w:r>
              <w:rPr>
                <w:rFonts w:hint="eastAsia" w:hAnsi="宋体" w:cs="宋体"/>
                <w:color w:val="auto"/>
                <w:sz w:val="21"/>
                <w:highlight w:val="none"/>
              </w:rPr>
              <w:t>分。</w:t>
            </w:r>
            <w:r>
              <w:rPr>
                <w:rFonts w:hint="eastAsia"/>
                <w:color w:val="auto"/>
                <w:highlight w:val="none"/>
                <w:lang w:val="en-US" w:eastAsia="zh-CN"/>
              </w:rPr>
              <w:t>（投标文件提供中标（成交）通知书或合同等复印件为准，否则不得分）</w:t>
            </w:r>
          </w:p>
        </w:tc>
        <w:tc>
          <w:tcPr>
            <w:tcW w:w="772" w:type="dxa"/>
            <w:vAlign w:val="center"/>
          </w:tcPr>
          <w:p w14:paraId="0948887E">
            <w:pPr>
              <w:widowControl/>
              <w:spacing w:line="360" w:lineRule="exact"/>
              <w:jc w:val="center"/>
              <w:rPr>
                <w:rFonts w:hint="default" w:ascii="Arial" w:hAnsi="Arial" w:eastAsia="宋体" w:cs="Arial"/>
                <w:color w:val="auto"/>
                <w:kern w:val="0"/>
                <w:szCs w:val="21"/>
                <w:highlight w:val="none"/>
                <w:lang w:val="en-US" w:eastAsia="zh-CN"/>
              </w:rPr>
            </w:pP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分</w:t>
            </w:r>
          </w:p>
        </w:tc>
      </w:tr>
      <w:tr w14:paraId="09D31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10875BAB">
            <w:pPr>
              <w:widowControl/>
              <w:spacing w:line="360" w:lineRule="exact"/>
              <w:jc w:val="center"/>
              <w:rPr>
                <w:rFonts w:hint="default" w:ascii="Arial" w:hAnsi="Arial" w:eastAsia="宋体" w:cs="Arial"/>
                <w:bCs/>
                <w:color w:val="auto"/>
                <w:kern w:val="0"/>
                <w:szCs w:val="21"/>
                <w:highlight w:val="none"/>
                <w:lang w:val="en-US" w:eastAsia="zh-CN"/>
              </w:rPr>
            </w:pPr>
            <w:r>
              <w:rPr>
                <w:rFonts w:hint="eastAsia" w:ascii="宋体" w:hAnsi="宋体" w:cs="宋体"/>
                <w:color w:val="auto"/>
                <w:kern w:val="0"/>
                <w:szCs w:val="21"/>
                <w:highlight w:val="none"/>
                <w:lang w:bidi="ar"/>
              </w:rPr>
              <w:t>3.2</w:t>
            </w:r>
          </w:p>
        </w:tc>
        <w:tc>
          <w:tcPr>
            <w:tcW w:w="1086" w:type="dxa"/>
            <w:vAlign w:val="center"/>
          </w:tcPr>
          <w:p w14:paraId="661E5918">
            <w:pPr>
              <w:widowControl/>
              <w:spacing w:line="360" w:lineRule="exact"/>
              <w:jc w:val="center"/>
              <w:rPr>
                <w:rFonts w:hint="default" w:ascii="Arial" w:hAnsi="Arial" w:eastAsia="宋体" w:cs="Arial"/>
                <w:bCs/>
                <w:color w:val="auto"/>
                <w:szCs w:val="21"/>
                <w:highlight w:val="none"/>
                <w:lang w:val="en-US" w:eastAsia="zh-CN"/>
              </w:rPr>
            </w:pPr>
            <w:r>
              <w:rPr>
                <w:rFonts w:hint="eastAsia" w:ascii="宋体" w:hAnsi="宋体" w:cs="宋体"/>
                <w:color w:val="auto"/>
                <w:kern w:val="0"/>
                <w:szCs w:val="21"/>
                <w:highlight w:val="none"/>
                <w:lang w:val="en-US" w:eastAsia="zh-CN" w:bidi="ar"/>
              </w:rPr>
              <w:t>拟投入人员</w:t>
            </w:r>
          </w:p>
        </w:tc>
        <w:tc>
          <w:tcPr>
            <w:tcW w:w="7110" w:type="dxa"/>
            <w:vAlign w:val="top"/>
          </w:tcPr>
          <w:p w14:paraId="539452BE">
            <w:pPr>
              <w:pStyle w:val="11"/>
              <w:spacing w:line="360" w:lineRule="exact"/>
              <w:ind w:firstLine="420" w:firstLineChars="200"/>
              <w:rPr>
                <w:rFonts w:hint="default" w:hAnsi="宋体" w:cs="宋体"/>
                <w:color w:val="auto"/>
                <w:sz w:val="21"/>
                <w:highlight w:val="none"/>
                <w:lang w:val="en-US" w:eastAsia="zh-CN"/>
              </w:rPr>
            </w:pPr>
            <w:r>
              <w:rPr>
                <w:rFonts w:hint="eastAsia" w:hAnsi="宋体" w:cs="宋体"/>
                <w:color w:val="auto"/>
                <w:sz w:val="21"/>
                <w:highlight w:val="none"/>
                <w:lang w:val="en-US" w:eastAsia="zh-CN"/>
              </w:rPr>
              <w:t>（1）项目经理：</w:t>
            </w:r>
            <w:r>
              <w:rPr>
                <w:rFonts w:hint="eastAsia" w:hAnsi="宋体" w:cs="宋体"/>
                <w:color w:val="auto"/>
                <w:sz w:val="21"/>
                <w:highlight w:val="none"/>
              </w:rPr>
              <w:t>拟投入本项目的</w:t>
            </w:r>
            <w:r>
              <w:rPr>
                <w:rFonts w:hint="eastAsia" w:hAnsi="宋体" w:cs="宋体"/>
                <w:color w:val="auto"/>
                <w:sz w:val="21"/>
                <w:highlight w:val="none"/>
                <w:lang w:val="en-US" w:eastAsia="zh-CN"/>
              </w:rPr>
              <w:t>项目经理具有工程类初级职称的得1分；具有工程类中级级职称的得4分；此项满分4分。（投标文件提供职称证书等相关证明材料复印件并加盖单位公章)</w:t>
            </w:r>
          </w:p>
          <w:p w14:paraId="7F27CE66">
            <w:pPr>
              <w:pStyle w:val="11"/>
              <w:spacing w:line="360" w:lineRule="exact"/>
              <w:ind w:firstLine="420" w:firstLineChars="200"/>
              <w:rPr>
                <w:rFonts w:hint="eastAsia" w:hAnsi="宋体" w:cs="宋体"/>
                <w:color w:val="auto"/>
                <w:sz w:val="21"/>
                <w:highlight w:val="none"/>
                <w:lang w:val="en-US" w:eastAsia="zh-CN"/>
              </w:rPr>
            </w:pPr>
            <w:r>
              <w:rPr>
                <w:rFonts w:hint="eastAsia" w:hAnsi="宋体" w:cs="宋体"/>
                <w:color w:val="auto"/>
                <w:sz w:val="21"/>
                <w:highlight w:val="none"/>
                <w:lang w:val="en-US" w:eastAsia="zh-CN"/>
              </w:rPr>
              <w:t>（2）拟投入的技术负责人具有工程类中级职称的得1分；具有工程类高级级职称的得3分；此项满分3分。（投标文件提供职称证书等相关证明材料复印件并加盖单位公章)</w:t>
            </w:r>
          </w:p>
          <w:p w14:paraId="4C142363">
            <w:pPr>
              <w:pStyle w:val="11"/>
              <w:spacing w:line="360" w:lineRule="exact"/>
              <w:ind w:firstLine="420" w:firstLineChars="200"/>
              <w:rPr>
                <w:rFonts w:hint="default" w:ascii="Arial" w:hAnsi="Arial" w:eastAsia="宋体" w:cs="Arial"/>
                <w:bCs/>
                <w:color w:val="auto"/>
                <w:kern w:val="0"/>
                <w:szCs w:val="21"/>
                <w:highlight w:val="none"/>
                <w:lang w:eastAsia="zh-CN"/>
              </w:rPr>
            </w:pPr>
            <w:r>
              <w:rPr>
                <w:rFonts w:hint="eastAsia" w:hAnsi="宋体" w:cs="宋体"/>
                <w:color w:val="auto"/>
                <w:sz w:val="21"/>
                <w:highlight w:val="none"/>
                <w:lang w:val="en-US" w:eastAsia="zh-CN"/>
              </w:rPr>
              <w:t>（3）拟投入其他人员：拟投入其他人员至少包括安全员、施工员、质量员、材料员，人员齐备且均具有相应岗位资格证书的，得4分，此项满分4分，缺一项不得分。（投标文件提供证书等相关证明材料复印件并加盖单位公章)</w:t>
            </w:r>
          </w:p>
        </w:tc>
        <w:tc>
          <w:tcPr>
            <w:tcW w:w="772" w:type="dxa"/>
            <w:vAlign w:val="center"/>
          </w:tcPr>
          <w:p w14:paraId="1EC4B06D">
            <w:pPr>
              <w:widowControl/>
              <w:spacing w:line="360" w:lineRule="exact"/>
              <w:jc w:val="center"/>
              <w:rPr>
                <w:rFonts w:hint="default" w:ascii="Arial" w:hAnsi="Arial" w:eastAsia="宋体" w:cs="Arial"/>
                <w:color w:val="auto"/>
                <w:kern w:val="0"/>
                <w:szCs w:val="21"/>
                <w:highlight w:val="none"/>
                <w:lang w:val="en-US" w:eastAsia="zh-CN"/>
              </w:rPr>
            </w:pPr>
            <w:r>
              <w:rPr>
                <w:rFonts w:hint="eastAsia" w:ascii="宋体" w:hAnsi="宋体" w:cs="宋体"/>
                <w:color w:val="auto"/>
                <w:kern w:val="0"/>
                <w:szCs w:val="21"/>
                <w:highlight w:val="none"/>
                <w:lang w:val="en-US" w:eastAsia="zh-CN"/>
              </w:rPr>
              <w:t>11</w:t>
            </w:r>
            <w:r>
              <w:rPr>
                <w:rFonts w:hint="eastAsia" w:ascii="宋体" w:hAnsi="宋体" w:cs="宋体"/>
                <w:color w:val="auto"/>
                <w:kern w:val="0"/>
                <w:szCs w:val="21"/>
                <w:highlight w:val="none"/>
              </w:rPr>
              <w:t>分</w:t>
            </w:r>
          </w:p>
        </w:tc>
      </w:tr>
      <w:tr w14:paraId="5753C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48" w:type="dxa"/>
            <w:gridSpan w:val="3"/>
            <w:vAlign w:val="top"/>
          </w:tcPr>
          <w:p w14:paraId="1A36BB0D">
            <w:pPr>
              <w:pStyle w:val="11"/>
              <w:keepNext w:val="0"/>
              <w:keepLines w:val="0"/>
              <w:pageBreakBefore w:val="0"/>
              <w:kinsoku/>
              <w:wordWrap/>
              <w:overflowPunct/>
              <w:topLinePunct w:val="0"/>
              <w:autoSpaceDE/>
              <w:autoSpaceDN/>
              <w:bidi w:val="0"/>
              <w:spacing w:line="360" w:lineRule="exact"/>
              <w:ind w:firstLine="420" w:firstLineChars="200"/>
              <w:rPr>
                <w:rFonts w:hint="default" w:ascii="Arial" w:hAnsi="Arial" w:eastAsia="宋体" w:cs="Arial"/>
                <w:bCs/>
                <w:color w:val="auto"/>
                <w:kern w:val="2"/>
                <w:sz w:val="21"/>
                <w:szCs w:val="21"/>
                <w:highlight w:val="none"/>
                <w:lang w:val="en-US" w:eastAsia="zh-CN"/>
              </w:rPr>
            </w:pPr>
            <w:r>
              <w:rPr>
                <w:rFonts w:hint="default" w:ascii="Arial" w:hAnsi="Arial" w:eastAsia="宋体" w:cs="Arial"/>
                <w:bCs/>
                <w:color w:val="auto"/>
                <w:kern w:val="2"/>
                <w:sz w:val="21"/>
                <w:szCs w:val="21"/>
                <w:highlight w:val="none"/>
                <w:lang w:val="en-US" w:eastAsia="zh-CN"/>
              </w:rPr>
              <w:t>总得分＝1＋2+3</w:t>
            </w:r>
          </w:p>
        </w:tc>
        <w:tc>
          <w:tcPr>
            <w:tcW w:w="772" w:type="dxa"/>
            <w:vAlign w:val="center"/>
          </w:tcPr>
          <w:p w14:paraId="695F980E">
            <w:pPr>
              <w:keepNext w:val="0"/>
              <w:keepLines w:val="0"/>
              <w:pageBreakBefore w:val="0"/>
              <w:widowControl/>
              <w:kinsoku/>
              <w:wordWrap/>
              <w:overflowPunct/>
              <w:topLinePunct w:val="0"/>
              <w:autoSpaceDE/>
              <w:autoSpaceDN/>
              <w:bidi w:val="0"/>
              <w:spacing w:line="360" w:lineRule="exact"/>
              <w:jc w:val="center"/>
              <w:rPr>
                <w:rFonts w:hint="default" w:ascii="Arial" w:hAnsi="Arial" w:eastAsia="宋体" w:cs="Arial"/>
                <w:color w:val="auto"/>
                <w:kern w:val="0"/>
                <w:szCs w:val="21"/>
                <w:highlight w:val="none"/>
              </w:rPr>
            </w:pPr>
          </w:p>
        </w:tc>
      </w:tr>
      <w:bookmarkEnd w:id="162"/>
    </w:tbl>
    <w:p w14:paraId="4E60B5C7">
      <w:pPr>
        <w:pStyle w:val="4"/>
        <w:jc w:val="center"/>
        <w:rPr>
          <w:rFonts w:hint="eastAsia" w:ascii="宋体" w:hAnsi="宋体" w:eastAsia="宋体" w:cs="宋体"/>
          <w:b w:val="0"/>
          <w:color w:val="auto"/>
          <w:sz w:val="30"/>
          <w:szCs w:val="30"/>
          <w:highlight w:val="none"/>
        </w:rPr>
      </w:pPr>
      <w:bookmarkStart w:id="163" w:name="_Toc23906"/>
      <w:bookmarkStart w:id="164" w:name="_Toc15667"/>
      <w:r>
        <w:rPr>
          <w:rFonts w:hint="eastAsia" w:ascii="宋体" w:hAnsi="宋体" w:eastAsia="宋体" w:cs="宋体"/>
          <w:b w:val="0"/>
          <w:color w:val="auto"/>
          <w:sz w:val="30"/>
          <w:szCs w:val="30"/>
          <w:highlight w:val="none"/>
        </w:rPr>
        <w:t>第四节 中标候选人推荐原则</w:t>
      </w:r>
      <w:bookmarkEnd w:id="163"/>
      <w:bookmarkEnd w:id="164"/>
    </w:p>
    <w:p w14:paraId="06F99400">
      <w:pPr>
        <w:pStyle w:val="11"/>
        <w:numPr>
          <w:ilvl w:val="0"/>
          <w:numId w:val="4"/>
        </w:numPr>
        <w:spacing w:line="360" w:lineRule="auto"/>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综合评分法</w:t>
      </w:r>
    </w:p>
    <w:p w14:paraId="6A05F0B6">
      <w:pPr>
        <w:pStyle w:val="11"/>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53BBCAB9">
      <w:pPr>
        <w:pStyle w:val="11"/>
        <w:spacing w:line="360" w:lineRule="auto"/>
        <w:ind w:firstLine="482" w:firstLineChars="200"/>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（二）最低评标报价法</w:t>
      </w:r>
    </w:p>
    <w:p w14:paraId="119746F2">
      <w:pPr>
        <w:pStyle w:val="11"/>
        <w:tabs>
          <w:tab w:val="left" w:pos="2472"/>
        </w:tabs>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将按照有效报价从低到高排序并推荐中标候选人。投标报价相同的并列，投标文件满足招标文件全部实质性要求且投标报价最低的投标人为排名第一的中标候选人；评标价相同且前述指标均相同时，由评标委员会各成员对评标价相同的供应商，当场投票表决，得票多者优先，并依照次序确定1家中标供应商。</w:t>
      </w:r>
    </w:p>
    <w:p w14:paraId="4CC1A071">
      <w:pPr>
        <w:pStyle w:val="4"/>
        <w:spacing w:before="0" w:after="0" w:line="360" w:lineRule="auto"/>
        <w:ind w:firstLine="600" w:firstLineChars="200"/>
        <w:jc w:val="center"/>
        <w:rPr>
          <w:rFonts w:hint="eastAsia" w:ascii="宋体" w:hAnsi="宋体" w:eastAsia="宋体" w:cs="宋体"/>
          <w:b w:val="0"/>
          <w:color w:val="auto"/>
          <w:sz w:val="30"/>
          <w:szCs w:val="30"/>
          <w:highlight w:val="none"/>
        </w:rPr>
      </w:pPr>
      <w:bookmarkStart w:id="165" w:name="_Toc13625"/>
      <w:bookmarkStart w:id="166" w:name="_Toc31432"/>
      <w:r>
        <w:rPr>
          <w:rFonts w:hint="eastAsia" w:ascii="宋体" w:hAnsi="宋体" w:eastAsia="宋体" w:cs="宋体"/>
          <w:b w:val="0"/>
          <w:color w:val="auto"/>
          <w:sz w:val="30"/>
          <w:szCs w:val="30"/>
          <w:highlight w:val="none"/>
        </w:rPr>
        <w:t>第五节 评标报告</w:t>
      </w:r>
      <w:bookmarkEnd w:id="165"/>
      <w:bookmarkEnd w:id="166"/>
    </w:p>
    <w:p w14:paraId="0CC9004D">
      <w:pPr>
        <w:pStyle w:val="33"/>
        <w:spacing w:before="0"/>
        <w:ind w:firstLine="482"/>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（一）评标报告与推荐中标候选人</w:t>
      </w:r>
    </w:p>
    <w:p w14:paraId="2DDDD444">
      <w:pPr>
        <w:pStyle w:val="11"/>
        <w:tabs>
          <w:tab w:val="left" w:pos="2472"/>
        </w:tabs>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评标委员会根据原始评标记录和评标结果编写评标报告，并通过电子交易平台向采购人、采购代理机构提交。</w:t>
      </w:r>
    </w:p>
    <w:p w14:paraId="7A29A08A">
      <w:pPr>
        <w:widowControl/>
        <w:spacing w:line="360" w:lineRule="auto"/>
        <w:ind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（二）评标争议事项处理</w:t>
      </w:r>
    </w:p>
    <w:p w14:paraId="767451C6">
      <w:pPr>
        <w:pStyle w:val="11"/>
        <w:tabs>
          <w:tab w:val="left" w:pos="2472"/>
        </w:tabs>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26A40F25">
      <w:pPr>
        <w:widowControl/>
        <w:jc w:val="left"/>
        <w:rPr>
          <w:rFonts w:hint="eastAsia" w:ascii="宋体" w:hAnsi="宋体" w:eastAsia="宋体" w:cs="宋体"/>
          <w:b/>
          <w:color w:val="auto"/>
          <w:sz w:val="36"/>
          <w:szCs w:val="20"/>
          <w:highlight w:val="none"/>
        </w:rPr>
        <w:sectPr>
          <w:pgSz w:w="11906" w:h="16838"/>
          <w:pgMar w:top="1134" w:right="1134" w:bottom="1134" w:left="1134" w:header="720" w:footer="720" w:gutter="0"/>
          <w:cols w:space="720" w:num="1"/>
          <w:docGrid w:type="lines" w:linePitch="331" w:charSpace="0"/>
        </w:sectPr>
      </w:pPr>
    </w:p>
    <w:p w14:paraId="6A706334">
      <w:pPr>
        <w:pStyle w:val="11"/>
        <w:tabs>
          <w:tab w:val="left" w:pos="2472"/>
        </w:tabs>
        <w:spacing w:line="460" w:lineRule="exact"/>
        <w:jc w:val="center"/>
        <w:rPr>
          <w:rFonts w:hint="eastAsia" w:ascii="宋体" w:hAnsi="宋体" w:eastAsia="宋体" w:cs="宋体"/>
          <w:b/>
          <w:color w:val="auto"/>
          <w:sz w:val="36"/>
          <w:highlight w:val="none"/>
        </w:rPr>
      </w:pPr>
    </w:p>
    <w:p w14:paraId="0D061111">
      <w:pPr>
        <w:pStyle w:val="11"/>
        <w:tabs>
          <w:tab w:val="left" w:pos="2472"/>
        </w:tabs>
        <w:spacing w:line="460" w:lineRule="exact"/>
        <w:jc w:val="center"/>
        <w:rPr>
          <w:rFonts w:hint="eastAsia" w:ascii="宋体" w:hAnsi="宋体" w:eastAsia="宋体" w:cs="宋体"/>
          <w:b/>
          <w:color w:val="auto"/>
          <w:sz w:val="36"/>
          <w:highlight w:val="none"/>
        </w:rPr>
      </w:pPr>
    </w:p>
    <w:p w14:paraId="2328CAA4">
      <w:pPr>
        <w:pStyle w:val="11"/>
        <w:tabs>
          <w:tab w:val="left" w:pos="2472"/>
        </w:tabs>
        <w:spacing w:line="460" w:lineRule="exact"/>
        <w:jc w:val="center"/>
        <w:rPr>
          <w:rFonts w:hint="eastAsia" w:ascii="宋体" w:hAnsi="宋体" w:eastAsia="宋体" w:cs="宋体"/>
          <w:b/>
          <w:color w:val="auto"/>
          <w:sz w:val="36"/>
          <w:highlight w:val="none"/>
        </w:rPr>
      </w:pPr>
    </w:p>
    <w:p w14:paraId="2980B419">
      <w:pPr>
        <w:pStyle w:val="11"/>
        <w:tabs>
          <w:tab w:val="left" w:pos="2472"/>
        </w:tabs>
        <w:spacing w:line="460" w:lineRule="exact"/>
        <w:jc w:val="center"/>
        <w:rPr>
          <w:rFonts w:hint="eastAsia" w:ascii="宋体" w:hAnsi="宋体" w:eastAsia="宋体" w:cs="宋体"/>
          <w:b/>
          <w:color w:val="auto"/>
          <w:sz w:val="36"/>
          <w:highlight w:val="none"/>
        </w:rPr>
      </w:pPr>
    </w:p>
    <w:p w14:paraId="684EE157">
      <w:pPr>
        <w:pStyle w:val="11"/>
        <w:tabs>
          <w:tab w:val="left" w:pos="2472"/>
        </w:tabs>
        <w:spacing w:line="460" w:lineRule="exact"/>
        <w:jc w:val="center"/>
        <w:rPr>
          <w:rFonts w:hint="eastAsia" w:ascii="宋体" w:hAnsi="宋体" w:eastAsia="宋体" w:cs="宋体"/>
          <w:b/>
          <w:color w:val="auto"/>
          <w:sz w:val="36"/>
          <w:highlight w:val="none"/>
        </w:rPr>
      </w:pPr>
    </w:p>
    <w:p w14:paraId="09D99CF1">
      <w:pPr>
        <w:pStyle w:val="11"/>
        <w:tabs>
          <w:tab w:val="left" w:pos="2472"/>
        </w:tabs>
        <w:spacing w:line="460" w:lineRule="exact"/>
        <w:jc w:val="center"/>
        <w:rPr>
          <w:rFonts w:hint="eastAsia" w:ascii="宋体" w:hAnsi="宋体" w:eastAsia="宋体" w:cs="宋体"/>
          <w:b/>
          <w:color w:val="auto"/>
          <w:sz w:val="36"/>
          <w:highlight w:val="none"/>
        </w:rPr>
      </w:pPr>
    </w:p>
    <w:p w14:paraId="4ED9E62A">
      <w:pPr>
        <w:pStyle w:val="11"/>
        <w:tabs>
          <w:tab w:val="left" w:pos="2472"/>
        </w:tabs>
        <w:spacing w:line="460" w:lineRule="exact"/>
        <w:jc w:val="center"/>
        <w:rPr>
          <w:rFonts w:hint="eastAsia" w:ascii="宋体" w:hAnsi="宋体" w:eastAsia="宋体" w:cs="宋体"/>
          <w:b/>
          <w:color w:val="auto"/>
          <w:sz w:val="36"/>
          <w:highlight w:val="none"/>
        </w:rPr>
      </w:pPr>
    </w:p>
    <w:p w14:paraId="58363A23">
      <w:pPr>
        <w:pStyle w:val="11"/>
        <w:tabs>
          <w:tab w:val="left" w:pos="2472"/>
        </w:tabs>
        <w:spacing w:line="460" w:lineRule="exact"/>
        <w:jc w:val="center"/>
        <w:rPr>
          <w:rFonts w:hint="eastAsia" w:ascii="宋体" w:hAnsi="宋体" w:eastAsia="宋体" w:cs="宋体"/>
          <w:b/>
          <w:color w:val="auto"/>
          <w:sz w:val="36"/>
          <w:highlight w:val="none"/>
        </w:rPr>
      </w:pPr>
    </w:p>
    <w:p w14:paraId="1B83B74B">
      <w:pPr>
        <w:pStyle w:val="11"/>
        <w:tabs>
          <w:tab w:val="left" w:pos="2472"/>
        </w:tabs>
        <w:spacing w:line="460" w:lineRule="exact"/>
        <w:jc w:val="center"/>
        <w:rPr>
          <w:rFonts w:hint="eastAsia" w:ascii="宋体" w:hAnsi="宋体" w:eastAsia="宋体" w:cs="宋体"/>
          <w:b/>
          <w:color w:val="auto"/>
          <w:sz w:val="36"/>
          <w:highlight w:val="none"/>
        </w:rPr>
      </w:pPr>
    </w:p>
    <w:p w14:paraId="5A4936E7">
      <w:pPr>
        <w:pStyle w:val="11"/>
        <w:tabs>
          <w:tab w:val="left" w:pos="2472"/>
        </w:tabs>
        <w:spacing w:line="460" w:lineRule="exact"/>
        <w:jc w:val="center"/>
        <w:rPr>
          <w:rFonts w:hint="eastAsia" w:ascii="宋体" w:hAnsi="宋体" w:eastAsia="宋体" w:cs="宋体"/>
          <w:b/>
          <w:color w:val="auto"/>
          <w:sz w:val="36"/>
          <w:highlight w:val="none"/>
        </w:rPr>
      </w:pPr>
    </w:p>
    <w:p w14:paraId="65926819">
      <w:pPr>
        <w:pStyle w:val="11"/>
        <w:tabs>
          <w:tab w:val="left" w:pos="2472"/>
        </w:tabs>
        <w:spacing w:line="460" w:lineRule="exact"/>
        <w:jc w:val="center"/>
        <w:rPr>
          <w:rFonts w:hint="eastAsia" w:ascii="宋体" w:hAnsi="宋体" w:eastAsia="宋体" w:cs="宋体"/>
          <w:b/>
          <w:color w:val="auto"/>
          <w:sz w:val="36"/>
          <w:highlight w:val="none"/>
        </w:rPr>
      </w:pPr>
    </w:p>
    <w:p w14:paraId="3E370EFA">
      <w:pPr>
        <w:pStyle w:val="11"/>
        <w:tabs>
          <w:tab w:val="left" w:pos="2472"/>
        </w:tabs>
        <w:spacing w:line="460" w:lineRule="exact"/>
        <w:jc w:val="center"/>
        <w:rPr>
          <w:rFonts w:hint="eastAsia" w:ascii="宋体" w:hAnsi="宋体" w:eastAsia="宋体" w:cs="宋体"/>
          <w:b/>
          <w:color w:val="auto"/>
          <w:sz w:val="36"/>
          <w:highlight w:val="none"/>
        </w:rPr>
      </w:pPr>
    </w:p>
    <w:p w14:paraId="0EACF844">
      <w:pPr>
        <w:pStyle w:val="11"/>
        <w:tabs>
          <w:tab w:val="left" w:pos="2472"/>
        </w:tabs>
        <w:spacing w:line="460" w:lineRule="exact"/>
        <w:jc w:val="center"/>
        <w:rPr>
          <w:rFonts w:hint="eastAsia" w:ascii="宋体" w:hAnsi="宋体" w:eastAsia="宋体" w:cs="宋体"/>
          <w:b/>
          <w:color w:val="auto"/>
          <w:sz w:val="36"/>
          <w:highlight w:val="none"/>
        </w:rPr>
      </w:pPr>
    </w:p>
    <w:p w14:paraId="30602C94">
      <w:pPr>
        <w:pStyle w:val="11"/>
        <w:tabs>
          <w:tab w:val="left" w:pos="2472"/>
        </w:tabs>
        <w:spacing w:line="460" w:lineRule="exact"/>
        <w:jc w:val="center"/>
        <w:outlineLvl w:val="0"/>
        <w:rPr>
          <w:rFonts w:hint="eastAsia" w:ascii="宋体" w:hAnsi="宋体" w:eastAsia="宋体" w:cs="宋体"/>
          <w:b/>
          <w:color w:val="auto"/>
          <w:sz w:val="36"/>
          <w:highlight w:val="none"/>
        </w:rPr>
      </w:pPr>
      <w:bookmarkStart w:id="167" w:name="_Toc3838"/>
      <w:bookmarkStart w:id="168" w:name="_Toc1248"/>
      <w:r>
        <w:rPr>
          <w:rFonts w:hint="eastAsia" w:ascii="宋体" w:hAnsi="宋体" w:eastAsia="宋体" w:cs="宋体"/>
          <w:b/>
          <w:color w:val="auto"/>
          <w:sz w:val="36"/>
          <w:highlight w:val="none"/>
        </w:rPr>
        <w:t>第五章 拟签订的合同文本</w:t>
      </w:r>
      <w:bookmarkEnd w:id="167"/>
      <w:bookmarkEnd w:id="168"/>
    </w:p>
    <w:p w14:paraId="1B032FB4">
      <w:pPr>
        <w:widowControl/>
        <w:jc w:val="left"/>
        <w:rPr>
          <w:rFonts w:hint="eastAsia" w:ascii="宋体" w:hAnsi="宋体" w:eastAsia="宋体" w:cs="宋体"/>
          <w:bCs/>
          <w:color w:val="auto"/>
          <w:szCs w:val="20"/>
          <w:highlight w:val="none"/>
        </w:rPr>
        <w:sectPr>
          <w:pgSz w:w="11906" w:h="16838"/>
          <w:pgMar w:top="1134" w:right="1134" w:bottom="1134" w:left="1134" w:header="720" w:footer="720" w:gutter="0"/>
          <w:cols w:space="720" w:num="1"/>
          <w:docGrid w:type="lines" w:linePitch="331" w:charSpace="0"/>
        </w:sectPr>
      </w:pPr>
    </w:p>
    <w:p w14:paraId="27ECF9BB">
      <w:pPr>
        <w:spacing w:line="360" w:lineRule="auto"/>
        <w:rPr>
          <w:rFonts w:hint="eastAsia" w:ascii="宋体" w:hAnsi="宋体" w:eastAsia="宋体" w:cs="宋体"/>
          <w:color w:val="auto"/>
          <w:sz w:val="24"/>
          <w:highlight w:val="none"/>
        </w:rPr>
      </w:pPr>
    </w:p>
    <w:p w14:paraId="477F3A5E">
      <w:pPr>
        <w:spacing w:line="360" w:lineRule="auto"/>
        <w:rPr>
          <w:rFonts w:hint="eastAsia" w:ascii="宋体" w:hAnsi="宋体" w:eastAsia="宋体" w:cs="宋体"/>
          <w:color w:val="auto"/>
          <w:sz w:val="24"/>
          <w:highlight w:val="none"/>
          <w:u w:val="single"/>
        </w:rPr>
      </w:pP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合同编号：</w:t>
      </w:r>
      <w:r>
        <w:rPr>
          <w:rFonts w:hint="eastAsia" w:ascii="宋体" w:hAnsi="宋体" w:eastAsia="宋体" w:cs="宋体"/>
          <w:color w:val="auto"/>
          <w:sz w:val="24"/>
          <w:highlight w:val="none"/>
          <w:u w:val="single"/>
        </w:rPr>
        <w:t xml:space="preserve">           </w:t>
      </w:r>
    </w:p>
    <w:p w14:paraId="7AC2C3D6">
      <w:pPr>
        <w:spacing w:line="360" w:lineRule="auto"/>
        <w:jc w:val="center"/>
        <w:rPr>
          <w:rFonts w:hint="eastAsia" w:ascii="宋体" w:hAnsi="宋体" w:eastAsia="宋体" w:cs="宋体"/>
          <w:b/>
          <w:bCs/>
          <w:color w:val="auto"/>
          <w:sz w:val="52"/>
          <w:highlight w:val="none"/>
        </w:rPr>
      </w:pPr>
    </w:p>
    <w:p w14:paraId="1235EA97">
      <w:pPr>
        <w:spacing w:line="360" w:lineRule="auto"/>
        <w:jc w:val="center"/>
        <w:rPr>
          <w:rFonts w:hint="eastAsia" w:ascii="宋体" w:hAnsi="宋体" w:eastAsia="宋体" w:cs="宋体"/>
          <w:b/>
          <w:bCs/>
          <w:color w:val="auto"/>
          <w:sz w:val="52"/>
          <w:highlight w:val="none"/>
        </w:rPr>
      </w:pPr>
    </w:p>
    <w:p w14:paraId="7E1299D7">
      <w:pPr>
        <w:spacing w:line="360" w:lineRule="auto"/>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南 宁 市 政 府 采 购</w:t>
      </w:r>
    </w:p>
    <w:p w14:paraId="7F6DD2E9">
      <w:pPr>
        <w:spacing w:line="360" w:lineRule="auto"/>
        <w:ind w:firstLine="420" w:firstLineChars="200"/>
        <w:rPr>
          <w:rFonts w:hint="eastAsia" w:ascii="宋体" w:hAnsi="宋体" w:eastAsia="宋体" w:cs="宋体"/>
          <w:color w:val="auto"/>
          <w:highlight w:val="none"/>
        </w:rPr>
      </w:pPr>
    </w:p>
    <w:p w14:paraId="2DB6619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63D7F191">
      <w:pPr>
        <w:spacing w:line="360" w:lineRule="auto"/>
        <w:jc w:val="center"/>
        <w:outlineLvl w:val="1"/>
        <w:rPr>
          <w:rFonts w:hint="eastAsia" w:ascii="宋体" w:hAnsi="宋体" w:eastAsia="宋体" w:cs="宋体"/>
          <w:b/>
          <w:bCs/>
          <w:color w:val="auto"/>
          <w:sz w:val="44"/>
          <w:highlight w:val="none"/>
        </w:rPr>
      </w:pPr>
      <w:r>
        <w:rPr>
          <w:rFonts w:hint="eastAsia" w:ascii="宋体" w:hAnsi="宋体" w:eastAsia="宋体" w:cs="宋体"/>
          <w:b/>
          <w:bCs/>
          <w:color w:val="auto"/>
          <w:sz w:val="44"/>
          <w:highlight w:val="none"/>
          <w:u w:val="single"/>
        </w:rPr>
        <w:t xml:space="preserve"> </w:t>
      </w:r>
      <w:bookmarkStart w:id="169" w:name="_Toc30642"/>
      <w:r>
        <w:rPr>
          <w:rFonts w:hint="eastAsia" w:ascii="宋体" w:hAnsi="宋体" w:cs="宋体"/>
          <w:b/>
          <w:bCs/>
          <w:color w:val="auto"/>
          <w:sz w:val="44"/>
          <w:highlight w:val="none"/>
          <w:u w:val="single"/>
          <w:lang w:val="en-US" w:eastAsia="zh-CN"/>
        </w:rPr>
        <w:t xml:space="preserve">       </w:t>
      </w:r>
      <w:bookmarkStart w:id="170" w:name="_Toc4863"/>
      <w:r>
        <w:rPr>
          <w:rFonts w:hint="eastAsia" w:ascii="宋体" w:hAnsi="宋体" w:eastAsia="宋体" w:cs="宋体"/>
          <w:b/>
          <w:bCs/>
          <w:color w:val="auto"/>
          <w:sz w:val="44"/>
          <w:highlight w:val="none"/>
        </w:rPr>
        <w:t>合同</w:t>
      </w:r>
      <w:bookmarkEnd w:id="169"/>
      <w:bookmarkEnd w:id="170"/>
    </w:p>
    <w:p w14:paraId="6CEB722E">
      <w:pPr>
        <w:spacing w:line="360" w:lineRule="auto"/>
        <w:jc w:val="center"/>
        <w:rPr>
          <w:rFonts w:hint="eastAsia" w:ascii="宋体" w:hAnsi="宋体" w:eastAsia="宋体" w:cs="宋体"/>
          <w:b/>
          <w:bCs/>
          <w:color w:val="auto"/>
          <w:sz w:val="44"/>
          <w:highlight w:val="none"/>
        </w:rPr>
      </w:pPr>
    </w:p>
    <w:p w14:paraId="3122C1E5">
      <w:pPr>
        <w:spacing w:line="360" w:lineRule="auto"/>
        <w:jc w:val="center"/>
        <w:rPr>
          <w:rFonts w:hint="eastAsia" w:ascii="宋体" w:hAnsi="宋体" w:eastAsia="宋体" w:cs="宋体"/>
          <w:b/>
          <w:bCs/>
          <w:color w:val="auto"/>
          <w:sz w:val="44"/>
          <w:highlight w:val="none"/>
        </w:rPr>
      </w:pPr>
    </w:p>
    <w:p w14:paraId="4494C2AA">
      <w:pPr>
        <w:spacing w:line="360" w:lineRule="auto"/>
        <w:ind w:firstLine="3507" w:firstLineChars="794"/>
        <w:rPr>
          <w:rFonts w:hint="eastAsia" w:ascii="宋体" w:hAnsi="宋体" w:eastAsia="宋体" w:cs="宋体"/>
          <w:b/>
          <w:bCs/>
          <w:color w:val="auto"/>
          <w:sz w:val="44"/>
          <w:highlight w:val="none"/>
        </w:rPr>
      </w:pPr>
    </w:p>
    <w:p w14:paraId="24410D44">
      <w:pPr>
        <w:spacing w:line="360" w:lineRule="auto"/>
        <w:ind w:firstLine="3507" w:firstLineChars="794"/>
        <w:rPr>
          <w:rFonts w:hint="eastAsia" w:ascii="宋体" w:hAnsi="宋体" w:eastAsia="宋体" w:cs="宋体"/>
          <w:b/>
          <w:bCs/>
          <w:color w:val="auto"/>
          <w:sz w:val="44"/>
          <w:highlight w:val="none"/>
        </w:rPr>
      </w:pPr>
    </w:p>
    <w:p w14:paraId="1DF8E61A">
      <w:pPr>
        <w:ind w:firstLine="1995" w:firstLineChars="552"/>
        <w:rPr>
          <w:rFonts w:hint="default"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rPr>
        <w:t>项目编号：</w:t>
      </w:r>
      <w:r>
        <w:rPr>
          <w:rFonts w:hint="eastAsia" w:ascii="宋体" w:hAnsi="宋体" w:eastAsia="宋体" w:cs="宋体"/>
          <w:b/>
          <w:color w:val="auto"/>
          <w:sz w:val="36"/>
          <w:szCs w:val="36"/>
          <w:highlight w:val="none"/>
          <w:u w:val="single"/>
        </w:rPr>
        <w:t xml:space="preserve"> </w:t>
      </w:r>
      <w:r>
        <w:rPr>
          <w:rFonts w:hint="eastAsia" w:ascii="宋体" w:hAnsi="宋体" w:cs="宋体"/>
          <w:b/>
          <w:color w:val="auto"/>
          <w:sz w:val="36"/>
          <w:szCs w:val="36"/>
          <w:highlight w:val="none"/>
          <w:u w:val="single"/>
          <w:lang w:val="en-US" w:eastAsia="zh-CN"/>
        </w:rPr>
        <w:t xml:space="preserve">                      </w:t>
      </w:r>
    </w:p>
    <w:p w14:paraId="0E385368">
      <w:pPr>
        <w:ind w:firstLine="1995" w:firstLineChars="55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计划编号：</w:t>
      </w:r>
      <w:r>
        <w:rPr>
          <w:rFonts w:hint="eastAsia" w:ascii="宋体" w:hAnsi="宋体" w:eastAsia="宋体" w:cs="宋体"/>
          <w:b/>
          <w:color w:val="auto"/>
          <w:sz w:val="36"/>
          <w:szCs w:val="36"/>
          <w:highlight w:val="none"/>
          <w:u w:val="single"/>
        </w:rPr>
        <w:t xml:space="preserve"> </w:t>
      </w:r>
      <w:r>
        <w:rPr>
          <w:rFonts w:hint="eastAsia" w:ascii="宋体" w:hAnsi="宋体" w:cs="宋体"/>
          <w:b/>
          <w:color w:val="auto"/>
          <w:sz w:val="36"/>
          <w:szCs w:val="36"/>
          <w:highlight w:val="none"/>
          <w:u w:val="single"/>
          <w:lang w:val="en-US" w:eastAsia="zh-CN"/>
        </w:rPr>
        <w:t xml:space="preserve">                      </w:t>
      </w:r>
    </w:p>
    <w:p w14:paraId="2659A6C1">
      <w:pPr>
        <w:ind w:firstLine="1970" w:firstLineChars="545"/>
        <w:rPr>
          <w:rFonts w:hint="eastAsia" w:ascii="宋体" w:hAnsi="宋体" w:eastAsia="宋体" w:cs="宋体"/>
          <w:b/>
          <w:color w:val="auto"/>
          <w:sz w:val="36"/>
          <w:szCs w:val="36"/>
          <w:highlight w:val="none"/>
          <w:u w:val="single"/>
        </w:rPr>
      </w:pPr>
    </w:p>
    <w:p w14:paraId="02CF07F8">
      <w:pPr>
        <w:tabs>
          <w:tab w:val="left" w:pos="7200"/>
        </w:tabs>
        <w:spacing w:line="360" w:lineRule="auto"/>
        <w:ind w:firstLine="1995" w:firstLineChars="552"/>
        <w:rPr>
          <w:rFonts w:hint="eastAsia" w:ascii="宋体" w:hAnsi="宋体" w:eastAsia="宋体" w:cs="宋体"/>
          <w:b/>
          <w:color w:val="auto"/>
          <w:sz w:val="36"/>
          <w:szCs w:val="36"/>
          <w:highlight w:val="none"/>
          <w:u w:val="single"/>
        </w:rPr>
      </w:pPr>
      <w:r>
        <w:rPr>
          <w:rFonts w:hint="eastAsia" w:ascii="宋体" w:hAnsi="宋体" w:eastAsia="宋体" w:cs="宋体"/>
          <w:b/>
          <w:color w:val="auto"/>
          <w:sz w:val="36"/>
          <w:szCs w:val="36"/>
          <w:highlight w:val="none"/>
        </w:rPr>
        <w:t>采购人：</w:t>
      </w:r>
      <w:r>
        <w:rPr>
          <w:rFonts w:hint="eastAsia" w:ascii="宋体" w:hAnsi="宋体" w:eastAsia="宋体" w:cs="宋体"/>
          <w:b/>
          <w:color w:val="auto"/>
          <w:sz w:val="36"/>
          <w:szCs w:val="36"/>
          <w:highlight w:val="none"/>
          <w:u w:val="single"/>
        </w:rPr>
        <w:t xml:space="preserve"> </w:t>
      </w:r>
      <w:r>
        <w:rPr>
          <w:rFonts w:hint="eastAsia" w:ascii="宋体" w:hAnsi="宋体" w:cs="宋体"/>
          <w:b/>
          <w:color w:val="auto"/>
          <w:sz w:val="36"/>
          <w:szCs w:val="36"/>
          <w:highlight w:val="none"/>
          <w:u w:val="single"/>
          <w:lang w:val="en-US" w:eastAsia="zh-CN"/>
        </w:rPr>
        <w:t xml:space="preserve">                    </w:t>
      </w:r>
      <w:r>
        <w:rPr>
          <w:rFonts w:hint="eastAsia" w:ascii="宋体" w:hAnsi="宋体" w:eastAsia="宋体" w:cs="宋体"/>
          <w:b/>
          <w:color w:val="auto"/>
          <w:sz w:val="36"/>
          <w:szCs w:val="36"/>
          <w:highlight w:val="none"/>
          <w:u w:val="single"/>
        </w:rPr>
        <w:t xml:space="preserve">  </w:t>
      </w:r>
    </w:p>
    <w:p w14:paraId="1F94D555">
      <w:pPr>
        <w:tabs>
          <w:tab w:val="left" w:pos="7380"/>
        </w:tabs>
        <w:spacing w:line="360" w:lineRule="auto"/>
        <w:ind w:firstLine="1995" w:firstLineChars="552"/>
        <w:rPr>
          <w:rFonts w:hint="eastAsia" w:ascii="宋体" w:hAnsi="宋体" w:eastAsia="宋体" w:cs="宋体"/>
          <w:b/>
          <w:bCs/>
          <w:color w:val="auto"/>
          <w:sz w:val="44"/>
          <w:highlight w:val="none"/>
        </w:rPr>
      </w:pPr>
      <w:r>
        <w:rPr>
          <w:rFonts w:hint="eastAsia" w:ascii="宋体" w:hAnsi="宋体" w:eastAsia="宋体" w:cs="宋体"/>
          <w:b/>
          <w:color w:val="auto"/>
          <w:sz w:val="36"/>
          <w:szCs w:val="36"/>
          <w:highlight w:val="none"/>
        </w:rPr>
        <w:t>中标供应商：</w:t>
      </w:r>
      <w:r>
        <w:rPr>
          <w:rFonts w:hint="eastAsia" w:ascii="宋体" w:hAnsi="宋体" w:eastAsia="宋体" w:cs="宋体"/>
          <w:b/>
          <w:color w:val="auto"/>
          <w:sz w:val="36"/>
          <w:szCs w:val="36"/>
          <w:highlight w:val="none"/>
          <w:u w:val="single"/>
        </w:rPr>
        <w:t xml:space="preserve">                   </w:t>
      </w:r>
    </w:p>
    <w:p w14:paraId="6EBEDBD4">
      <w:pPr>
        <w:tabs>
          <w:tab w:val="left" w:pos="7380"/>
        </w:tabs>
        <w:spacing w:line="360" w:lineRule="auto"/>
        <w:rPr>
          <w:rFonts w:hint="eastAsia" w:ascii="宋体" w:hAnsi="宋体" w:eastAsia="宋体" w:cs="宋体"/>
          <w:b/>
          <w:bCs/>
          <w:color w:val="auto"/>
          <w:sz w:val="44"/>
          <w:highlight w:val="none"/>
        </w:rPr>
      </w:pPr>
    </w:p>
    <w:p w14:paraId="291AC4FB">
      <w:pPr>
        <w:spacing w:before="120" w:line="360" w:lineRule="auto"/>
        <w:jc w:val="center"/>
        <w:rPr>
          <w:rFonts w:hint="eastAsia" w:ascii="宋体" w:hAnsi="宋体" w:eastAsia="宋体" w:cs="宋体"/>
          <w:b/>
          <w:bCs/>
          <w:color w:val="auto"/>
          <w:sz w:val="44"/>
          <w:highlight w:val="non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46BD1DB">
      <w:pPr>
        <w:pStyle w:val="3"/>
        <w:jc w:val="center"/>
        <w:rPr>
          <w:color w:val="auto"/>
          <w:highlight w:val="none"/>
        </w:rPr>
      </w:pPr>
      <w:r>
        <w:rPr>
          <w:rFonts w:hint="eastAsia" w:ascii="宋体" w:hAnsi="宋体" w:eastAsia="宋体" w:cs="宋体"/>
          <w:b/>
          <w:bCs/>
          <w:color w:val="auto"/>
          <w:sz w:val="44"/>
          <w:highlight w:val="none"/>
        </w:rPr>
        <w:br w:type="page"/>
      </w:r>
      <w:bookmarkStart w:id="171" w:name="_Toc28300"/>
      <w:bookmarkStart w:id="172" w:name="_Toc389065255"/>
      <w:bookmarkStart w:id="173" w:name="_Toc373227552"/>
      <w:bookmarkStart w:id="174" w:name="_Toc407135191"/>
      <w:bookmarkStart w:id="175" w:name="_Toc351203480"/>
      <w:bookmarkStart w:id="176" w:name="_Toc296503025"/>
      <w:bookmarkStart w:id="177" w:name="_Toc78449777"/>
      <w:bookmarkStart w:id="178" w:name="_Toc296890982"/>
      <w:bookmarkStart w:id="179" w:name="_Toc1756478213"/>
      <w:bookmarkStart w:id="180" w:name="_Toc17567"/>
      <w:bookmarkStart w:id="181" w:name="_Toc373478199"/>
      <w:bookmarkStart w:id="182" w:name="_Toc724920571"/>
      <w:r>
        <w:rPr>
          <w:rFonts w:hint="eastAsia" w:cs="黑体"/>
          <w:color w:val="auto"/>
          <w:highlight w:val="none"/>
        </w:rPr>
        <w:t>第一部分</w:t>
      </w:r>
      <w:r>
        <w:rPr>
          <w:color w:val="auto"/>
          <w:highlight w:val="none"/>
        </w:rPr>
        <w:t xml:space="preserve"> </w:t>
      </w:r>
      <w:r>
        <w:rPr>
          <w:rFonts w:hint="eastAsia" w:cs="黑体"/>
          <w:color w:val="auto"/>
          <w:highlight w:val="none"/>
        </w:rPr>
        <w:t>合同协议书</w:t>
      </w:r>
      <w:bookmarkEnd w:id="171"/>
      <w:bookmarkEnd w:id="172"/>
      <w:bookmarkEnd w:id="173"/>
      <w:bookmarkEnd w:id="174"/>
      <w:bookmarkEnd w:id="175"/>
      <w:bookmarkEnd w:id="176"/>
      <w:bookmarkEnd w:id="177"/>
      <w:bookmarkEnd w:id="178"/>
      <w:bookmarkEnd w:id="179"/>
      <w:bookmarkEnd w:id="180"/>
      <w:bookmarkEnd w:id="181"/>
      <w:bookmarkEnd w:id="182"/>
    </w:p>
    <w:p w14:paraId="58AFBEE2">
      <w:pPr>
        <w:spacing w:line="360" w:lineRule="auto"/>
        <w:rPr>
          <w:color w:val="auto"/>
          <w:highlight w:val="none"/>
          <w:u w:val="single"/>
        </w:rPr>
      </w:pPr>
      <w:r>
        <w:rPr>
          <w:rFonts w:hint="eastAsia" w:hAnsi="宋体" w:cs="宋体"/>
          <w:color w:val="auto"/>
          <w:highlight w:val="none"/>
        </w:rPr>
        <w:t>发包人（全称）：</w:t>
      </w:r>
      <w:r>
        <w:rPr>
          <w:rFonts w:hAnsi="宋体"/>
          <w:color w:val="auto"/>
          <w:highlight w:val="none"/>
          <w:u w:val="single"/>
        </w:rPr>
        <w:t xml:space="preserve">  </w:t>
      </w:r>
      <w:r>
        <w:rPr>
          <w:rFonts w:hint="eastAsia" w:hAnsi="宋体"/>
          <w:color w:val="auto"/>
          <w:highlight w:val="none"/>
          <w:u w:val="single"/>
          <w:lang w:eastAsia="zh-CN"/>
        </w:rPr>
        <w:t>隆安县布泉乡人民政府</w:t>
      </w:r>
      <w:r>
        <w:rPr>
          <w:rFonts w:hAnsi="宋体"/>
          <w:color w:val="auto"/>
          <w:highlight w:val="none"/>
          <w:u w:val="single"/>
        </w:rPr>
        <w:t xml:space="preserve">  </w:t>
      </w:r>
    </w:p>
    <w:p w14:paraId="41E4B62C">
      <w:pPr>
        <w:spacing w:line="360" w:lineRule="auto"/>
        <w:rPr>
          <w:color w:val="auto"/>
          <w:highlight w:val="none"/>
          <w:u w:val="single"/>
        </w:rPr>
      </w:pPr>
      <w:r>
        <w:rPr>
          <w:rFonts w:hint="eastAsia" w:hAnsi="宋体" w:cs="宋体"/>
          <w:color w:val="auto"/>
          <w:highlight w:val="none"/>
        </w:rPr>
        <w:t>承包人（全称）：</w:t>
      </w:r>
      <w:r>
        <w:rPr>
          <w:rFonts w:hAnsi="宋体"/>
          <w:color w:val="auto"/>
          <w:highlight w:val="none"/>
          <w:u w:val="single"/>
        </w:rPr>
        <w:t xml:space="preserve">                              </w:t>
      </w:r>
    </w:p>
    <w:p w14:paraId="43561289">
      <w:pPr>
        <w:spacing w:line="360" w:lineRule="auto"/>
        <w:ind w:firstLine="420" w:firstLineChars="200"/>
        <w:rPr>
          <w:rFonts w:hAnsi="宋体"/>
          <w:color w:val="auto"/>
          <w:highlight w:val="none"/>
        </w:rPr>
      </w:pPr>
      <w:r>
        <w:rPr>
          <w:rFonts w:hint="eastAsia" w:hAnsi="宋体" w:cs="宋体"/>
          <w:color w:val="auto"/>
          <w:highlight w:val="none"/>
        </w:rPr>
        <w:t>根据《中华人民共和国民法典》、《中华人民共和国建筑法》及有关法律规定，遵循平等、自愿、公平和诚实信用的原则，双方就</w:t>
      </w:r>
      <w:r>
        <w:rPr>
          <w:color w:val="auto"/>
          <w:highlight w:val="none"/>
          <w:u w:val="single"/>
        </w:rPr>
        <w:t xml:space="preserve">  </w:t>
      </w:r>
      <w:r>
        <w:rPr>
          <w:rFonts w:hint="eastAsia"/>
          <w:color w:val="auto"/>
          <w:highlight w:val="none"/>
          <w:u w:val="single"/>
          <w:lang w:eastAsia="zh-CN"/>
        </w:rPr>
        <w:t>布泉河乡村振兴特色带建设项目（布泉乡龙会村农文旅产业配套项目）</w:t>
      </w:r>
      <w:r>
        <w:rPr>
          <w:color w:val="auto"/>
          <w:highlight w:val="none"/>
          <w:u w:val="single"/>
        </w:rPr>
        <w:t xml:space="preserve">  </w:t>
      </w:r>
      <w:r>
        <w:rPr>
          <w:rFonts w:hint="eastAsia" w:hAnsi="宋体" w:cs="宋体"/>
          <w:color w:val="auto"/>
          <w:highlight w:val="none"/>
        </w:rPr>
        <w:t>施工及有关事项协商一致，共同达成如下协议：</w:t>
      </w:r>
      <w:bookmarkStart w:id="183" w:name="_Toc351203481"/>
    </w:p>
    <w:p w14:paraId="1099CF32">
      <w:pPr>
        <w:spacing w:line="360" w:lineRule="auto"/>
        <w:ind w:firstLine="422" w:firstLineChars="200"/>
        <w:outlineLvl w:val="0"/>
        <w:rPr>
          <w:b/>
          <w:bCs/>
          <w:color w:val="auto"/>
          <w:highlight w:val="none"/>
        </w:rPr>
      </w:pPr>
      <w:bookmarkStart w:id="184" w:name="_Toc21771"/>
      <w:bookmarkStart w:id="185" w:name="_Toc14393"/>
      <w:r>
        <w:rPr>
          <w:rFonts w:hint="eastAsia" w:hAnsi="宋体" w:cs="宋体"/>
          <w:b/>
          <w:bCs/>
          <w:color w:val="auto"/>
          <w:highlight w:val="none"/>
        </w:rPr>
        <w:t>一、工程概况</w:t>
      </w:r>
      <w:bookmarkEnd w:id="183"/>
      <w:bookmarkEnd w:id="184"/>
      <w:bookmarkEnd w:id="185"/>
    </w:p>
    <w:p w14:paraId="5D736DBD">
      <w:pPr>
        <w:spacing w:line="360" w:lineRule="auto"/>
        <w:ind w:firstLine="411" w:firstLineChars="196"/>
        <w:rPr>
          <w:color w:val="auto"/>
          <w:highlight w:val="none"/>
          <w:u w:val="single"/>
        </w:rPr>
      </w:pPr>
      <w:r>
        <w:rPr>
          <w:color w:val="auto"/>
          <w:highlight w:val="none"/>
        </w:rPr>
        <w:t xml:space="preserve">1. </w:t>
      </w:r>
      <w:r>
        <w:rPr>
          <w:rFonts w:hint="eastAsia" w:hAnsi="宋体" w:cs="宋体"/>
          <w:color w:val="auto"/>
          <w:highlight w:val="none"/>
        </w:rPr>
        <w:t>工程名称：</w:t>
      </w:r>
      <w:r>
        <w:rPr>
          <w:color w:val="auto"/>
          <w:highlight w:val="none"/>
          <w:u w:val="single"/>
        </w:rPr>
        <w:t xml:space="preserve">  </w:t>
      </w:r>
      <w:r>
        <w:rPr>
          <w:rFonts w:hint="eastAsia"/>
          <w:color w:val="auto"/>
          <w:highlight w:val="none"/>
          <w:u w:val="single"/>
          <w:lang w:eastAsia="zh-CN"/>
        </w:rPr>
        <w:t>布泉河乡村振兴特色带建设项目（布泉乡龙会村农文旅产业配套项目）</w:t>
      </w:r>
      <w:r>
        <w:rPr>
          <w:color w:val="auto"/>
          <w:highlight w:val="none"/>
          <w:u w:val="single"/>
        </w:rPr>
        <w:t xml:space="preserve">   </w:t>
      </w:r>
      <w:r>
        <w:rPr>
          <w:rFonts w:hint="eastAsia" w:hAnsi="宋体" w:cs="宋体"/>
          <w:color w:val="auto"/>
          <w:highlight w:val="none"/>
        </w:rPr>
        <w:t>。</w:t>
      </w:r>
    </w:p>
    <w:p w14:paraId="613CE3BF">
      <w:pPr>
        <w:spacing w:line="360" w:lineRule="auto"/>
        <w:ind w:firstLine="411" w:firstLineChars="196"/>
        <w:rPr>
          <w:color w:val="auto"/>
          <w:highlight w:val="none"/>
        </w:rPr>
      </w:pPr>
      <w:r>
        <w:rPr>
          <w:color w:val="auto"/>
          <w:highlight w:val="none"/>
        </w:rPr>
        <w:t xml:space="preserve">2. </w:t>
      </w:r>
      <w:r>
        <w:rPr>
          <w:rFonts w:hint="eastAsia" w:hAnsi="宋体" w:cs="宋体"/>
          <w:color w:val="auto"/>
          <w:highlight w:val="none"/>
        </w:rPr>
        <w:t>工程地点：</w:t>
      </w:r>
      <w:r>
        <w:rPr>
          <w:color w:val="auto"/>
          <w:highlight w:val="none"/>
          <w:u w:val="single"/>
        </w:rPr>
        <w:t xml:space="preserve">   </w:t>
      </w:r>
      <w:r>
        <w:rPr>
          <w:rFonts w:hint="eastAsia"/>
          <w:color w:val="auto"/>
          <w:highlight w:val="none"/>
          <w:u w:val="single"/>
          <w:lang w:eastAsia="zh-CN"/>
        </w:rPr>
        <w:t>南宁市隆安县布泉乡</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72C5E912">
      <w:pPr>
        <w:spacing w:line="360" w:lineRule="auto"/>
        <w:ind w:firstLine="411" w:firstLineChars="196"/>
        <w:rPr>
          <w:color w:val="auto"/>
          <w:highlight w:val="none"/>
        </w:rPr>
      </w:pPr>
      <w:r>
        <w:rPr>
          <w:color w:val="auto"/>
          <w:highlight w:val="none"/>
        </w:rPr>
        <w:t xml:space="preserve">3. </w:t>
      </w:r>
      <w:r>
        <w:rPr>
          <w:rFonts w:hint="eastAsia" w:hAnsi="宋体" w:cs="宋体"/>
          <w:color w:val="auto"/>
          <w:highlight w:val="none"/>
        </w:rPr>
        <w:t>工程立项批准文号：</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7CE6952B">
      <w:pPr>
        <w:spacing w:line="360" w:lineRule="auto"/>
        <w:ind w:firstLine="411" w:firstLineChars="196"/>
        <w:rPr>
          <w:color w:val="auto"/>
          <w:highlight w:val="none"/>
        </w:rPr>
      </w:pPr>
      <w:r>
        <w:rPr>
          <w:color w:val="auto"/>
          <w:highlight w:val="none"/>
        </w:rPr>
        <w:t xml:space="preserve">4. </w:t>
      </w:r>
      <w:r>
        <w:rPr>
          <w:rFonts w:hint="eastAsia" w:hAnsi="宋体" w:cs="宋体"/>
          <w:color w:val="auto"/>
          <w:highlight w:val="none"/>
        </w:rPr>
        <w:t>资金来源：</w:t>
      </w:r>
      <w:r>
        <w:rPr>
          <w:color w:val="auto"/>
          <w:highlight w:val="none"/>
          <w:u w:val="single"/>
        </w:rPr>
        <w:t xml:space="preserve">    </w:t>
      </w:r>
      <w:r>
        <w:rPr>
          <w:rFonts w:hint="eastAsia"/>
          <w:color w:val="auto"/>
          <w:highlight w:val="none"/>
          <w:u w:val="single"/>
        </w:rPr>
        <w:t xml:space="preserve"> </w:t>
      </w:r>
      <w:r>
        <w:rPr>
          <w:rFonts w:hint="eastAsia"/>
          <w:color w:val="auto"/>
          <w:highlight w:val="none"/>
          <w:u w:val="single"/>
          <w:lang w:val="en-US" w:eastAsia="zh-CN"/>
        </w:rPr>
        <w:t>财政资金</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48FE13CC">
      <w:pPr>
        <w:spacing w:line="360" w:lineRule="auto"/>
        <w:ind w:firstLine="411" w:firstLineChars="196"/>
        <w:rPr>
          <w:color w:val="auto"/>
          <w:highlight w:val="none"/>
        </w:rPr>
      </w:pPr>
      <w:r>
        <w:rPr>
          <w:color w:val="auto"/>
          <w:highlight w:val="none"/>
        </w:rPr>
        <w:t xml:space="preserve">5. </w:t>
      </w:r>
      <w:r>
        <w:rPr>
          <w:rFonts w:hint="eastAsia" w:hAnsi="宋体" w:cs="宋体"/>
          <w:color w:val="auto"/>
          <w:highlight w:val="none"/>
        </w:rPr>
        <w:t>工程内容：</w:t>
      </w:r>
      <w:r>
        <w:rPr>
          <w:color w:val="auto"/>
          <w:highlight w:val="none"/>
          <w:u w:val="single"/>
        </w:rPr>
        <w:t xml:space="preserve"> </w:t>
      </w:r>
      <w:r>
        <w:rPr>
          <w:rFonts w:hint="eastAsia"/>
          <w:color w:val="auto"/>
          <w:highlight w:val="none"/>
          <w:u w:val="single"/>
          <w:lang w:eastAsia="zh-CN"/>
        </w:rPr>
        <w:t>1.布泉河源头景观改造，包括建设布泉河景区游客中心、茶咖小屋、亲水平台、彩绘长廊、浆板码头、园林绿化、景观电气给排水等；2.建设桃花岛码头、溯泉听布营地服务中心、钓鱼平台、景观电气给排水等；3.龙会村中木平台、室外景观、园林绿化改造等</w:t>
      </w:r>
      <w:r>
        <w:rPr>
          <w:rFonts w:hint="eastAsia"/>
          <w:color w:val="auto"/>
          <w:highlight w:val="none"/>
          <w:u w:val="single"/>
          <w:lang w:val="en-US" w:eastAsia="zh-CN"/>
        </w:rPr>
        <w:t>；具体内容以图纸及工程量清单为准</w:t>
      </w:r>
      <w:r>
        <w:rPr>
          <w:rFonts w:hint="eastAsia" w:hAnsi="宋体" w:cs="宋体"/>
          <w:color w:val="auto"/>
          <w:highlight w:val="none"/>
        </w:rPr>
        <w:t>。</w:t>
      </w:r>
    </w:p>
    <w:p w14:paraId="59F544DB">
      <w:pPr>
        <w:spacing w:line="360" w:lineRule="auto"/>
        <w:ind w:firstLine="411" w:firstLineChars="196"/>
        <w:rPr>
          <w:color w:val="auto"/>
          <w:highlight w:val="none"/>
        </w:rPr>
      </w:pPr>
      <w:r>
        <w:rPr>
          <w:rFonts w:hint="eastAsia" w:hAnsi="宋体" w:cs="宋体"/>
          <w:color w:val="auto"/>
          <w:highlight w:val="none"/>
        </w:rPr>
        <w:t>群体工程应附《承包人承揽工程项目一览表》（附件</w:t>
      </w:r>
      <w:r>
        <w:rPr>
          <w:color w:val="auto"/>
          <w:highlight w:val="none"/>
        </w:rPr>
        <w:t>1</w:t>
      </w:r>
      <w:r>
        <w:rPr>
          <w:rFonts w:hint="eastAsia" w:hAnsi="宋体" w:cs="宋体"/>
          <w:color w:val="auto"/>
          <w:highlight w:val="none"/>
        </w:rPr>
        <w:t>）。</w:t>
      </w:r>
    </w:p>
    <w:p w14:paraId="11ABCA43">
      <w:pPr>
        <w:spacing w:line="360" w:lineRule="auto"/>
        <w:ind w:firstLine="405" w:firstLineChars="193"/>
        <w:rPr>
          <w:rFonts w:hAnsi="宋体"/>
          <w:color w:val="auto"/>
          <w:highlight w:val="none"/>
        </w:rPr>
      </w:pPr>
      <w:r>
        <w:rPr>
          <w:color w:val="auto"/>
          <w:highlight w:val="none"/>
        </w:rPr>
        <w:t xml:space="preserve">6. </w:t>
      </w:r>
      <w:r>
        <w:rPr>
          <w:rFonts w:hint="eastAsia" w:hAnsi="宋体" w:cs="宋体"/>
          <w:color w:val="auto"/>
          <w:highlight w:val="none"/>
        </w:rPr>
        <w:t>工程承包范围：</w:t>
      </w:r>
      <w:r>
        <w:rPr>
          <w:rFonts w:hint="eastAsia"/>
          <w:color w:val="auto"/>
          <w:highlight w:val="none"/>
          <w:u w:val="single"/>
          <w:lang w:eastAsia="zh-CN"/>
        </w:rPr>
        <w:t>1.布泉河源头景观改造，包括建设布泉河景区游客中心、茶咖小屋、亲水平台、彩绘长廊、浆板码头、园林绿化、景观电气给排水等；2.建设桃花岛码头、溯泉听布营地服务中心、钓鱼平台、景观电气给排水等；3.龙会村中木平台、室外景观、园林绿化改造等</w:t>
      </w:r>
      <w:r>
        <w:rPr>
          <w:rFonts w:hint="eastAsia"/>
          <w:color w:val="auto"/>
          <w:highlight w:val="none"/>
          <w:u w:val="single"/>
          <w:lang w:val="en-US" w:eastAsia="zh-CN"/>
        </w:rPr>
        <w:t>；具体内容以图纸及工程量清单为准</w:t>
      </w:r>
      <w:r>
        <w:rPr>
          <w:color w:val="auto"/>
          <w:highlight w:val="none"/>
          <w:u w:val="single"/>
        </w:rPr>
        <w:t xml:space="preserve">  </w:t>
      </w:r>
      <w:r>
        <w:rPr>
          <w:rFonts w:hint="eastAsia" w:hAnsi="宋体" w:cs="宋体"/>
          <w:color w:val="auto"/>
          <w:highlight w:val="none"/>
        </w:rPr>
        <w:t>。</w:t>
      </w:r>
    </w:p>
    <w:p w14:paraId="39A086E7">
      <w:pPr>
        <w:spacing w:line="360" w:lineRule="auto"/>
        <w:ind w:firstLine="407" w:firstLineChars="193"/>
        <w:outlineLvl w:val="0"/>
        <w:rPr>
          <w:b/>
          <w:bCs/>
          <w:color w:val="auto"/>
          <w:highlight w:val="none"/>
        </w:rPr>
      </w:pPr>
      <w:bookmarkStart w:id="186" w:name="_Toc351203482"/>
      <w:bookmarkStart w:id="187" w:name="_Toc11945"/>
      <w:bookmarkStart w:id="188" w:name="_Toc16700"/>
      <w:r>
        <w:rPr>
          <w:rFonts w:hint="eastAsia" w:hAnsi="宋体" w:cs="宋体"/>
          <w:b/>
          <w:bCs/>
          <w:color w:val="auto"/>
          <w:highlight w:val="none"/>
        </w:rPr>
        <w:t>二、合同工期</w:t>
      </w:r>
      <w:bookmarkEnd w:id="186"/>
      <w:bookmarkEnd w:id="187"/>
      <w:bookmarkEnd w:id="188"/>
    </w:p>
    <w:p w14:paraId="6FB6FCA0">
      <w:pPr>
        <w:spacing w:line="360" w:lineRule="auto"/>
        <w:ind w:firstLine="459"/>
        <w:rPr>
          <w:color w:val="auto"/>
          <w:highlight w:val="none"/>
        </w:rPr>
      </w:pPr>
      <w:r>
        <w:rPr>
          <w:rFonts w:hint="eastAsia" w:hAnsi="宋体" w:cs="宋体"/>
          <w:color w:val="auto"/>
          <w:highlight w:val="none"/>
        </w:rPr>
        <w:t>计划开工日期：</w:t>
      </w:r>
      <w:r>
        <w:rPr>
          <w:rFonts w:hAnsi="宋体"/>
          <w:color w:val="auto"/>
          <w:highlight w:val="none"/>
          <w:u w:val="single"/>
        </w:rPr>
        <w:t></w:t>
      </w:r>
      <w:r>
        <w:rPr>
          <w:rFonts w:hAnsi="宋体"/>
          <w:color w:val="auto"/>
          <w:highlight w:val="none"/>
        </w:rPr>
        <w:t>年</w:t>
      </w:r>
      <w:r>
        <w:rPr>
          <w:rFonts w:hAnsi="宋体"/>
          <w:color w:val="auto"/>
          <w:highlight w:val="none"/>
          <w:u w:val="single"/>
        </w:rPr>
        <w:t></w:t>
      </w:r>
      <w:r>
        <w:rPr>
          <w:rFonts w:hAnsi="宋体"/>
          <w:color w:val="auto"/>
          <w:highlight w:val="none"/>
        </w:rPr>
        <w:t>月</w:t>
      </w:r>
      <w:r>
        <w:rPr>
          <w:rFonts w:hAnsi="宋体"/>
          <w:color w:val="auto"/>
          <w:highlight w:val="none"/>
          <w:u w:val="single"/>
        </w:rPr>
        <w:t></w:t>
      </w:r>
      <w:r>
        <w:rPr>
          <w:rFonts w:hAnsi="宋体"/>
          <w:color w:val="auto"/>
          <w:highlight w:val="none"/>
        </w:rPr>
        <w:t>日。</w:t>
      </w:r>
      <w:r>
        <w:rPr>
          <w:rFonts w:hint="eastAsia" w:hAnsi="宋体" w:cs="宋体"/>
          <w:color w:val="auto"/>
          <w:highlight w:val="none"/>
        </w:rPr>
        <w:t>（具体以发包人书面通知为准）</w:t>
      </w:r>
    </w:p>
    <w:p w14:paraId="7EB2ADC1">
      <w:pPr>
        <w:spacing w:line="360" w:lineRule="auto"/>
        <w:ind w:firstLine="459"/>
        <w:rPr>
          <w:color w:val="auto"/>
          <w:highlight w:val="none"/>
        </w:rPr>
      </w:pPr>
      <w:r>
        <w:rPr>
          <w:rFonts w:hint="eastAsia" w:hAnsi="宋体" w:cs="宋体"/>
          <w:color w:val="auto"/>
          <w:highlight w:val="none"/>
        </w:rPr>
        <w:t>计划竣工日期：</w:t>
      </w:r>
      <w:r>
        <w:rPr>
          <w:rFonts w:hAnsi="宋体"/>
          <w:color w:val="auto"/>
          <w:highlight w:val="none"/>
          <w:u w:val="single"/>
        </w:rPr>
        <w:t></w:t>
      </w:r>
      <w:r>
        <w:rPr>
          <w:rFonts w:hAnsi="宋体"/>
          <w:color w:val="auto"/>
          <w:highlight w:val="none"/>
        </w:rPr>
        <w:t>年</w:t>
      </w:r>
      <w:r>
        <w:rPr>
          <w:rFonts w:hAnsi="宋体"/>
          <w:color w:val="auto"/>
          <w:highlight w:val="none"/>
          <w:u w:val="single"/>
        </w:rPr>
        <w:t></w:t>
      </w:r>
      <w:r>
        <w:rPr>
          <w:rFonts w:hAnsi="宋体"/>
          <w:color w:val="auto"/>
          <w:highlight w:val="none"/>
        </w:rPr>
        <w:t>月</w:t>
      </w:r>
      <w:r>
        <w:rPr>
          <w:rFonts w:hAnsi="宋体"/>
          <w:color w:val="auto"/>
          <w:highlight w:val="none"/>
          <w:u w:val="single"/>
        </w:rPr>
        <w:t></w:t>
      </w:r>
      <w:r>
        <w:rPr>
          <w:rFonts w:hAnsi="宋体"/>
          <w:color w:val="auto"/>
          <w:highlight w:val="none"/>
        </w:rPr>
        <w:t>日</w:t>
      </w:r>
      <w:r>
        <w:rPr>
          <w:rFonts w:hint="eastAsia" w:hAnsi="宋体" w:cs="宋体"/>
          <w:color w:val="auto"/>
          <w:highlight w:val="none"/>
        </w:rPr>
        <w:t>。</w:t>
      </w:r>
    </w:p>
    <w:p w14:paraId="4390278B">
      <w:pPr>
        <w:spacing w:line="360" w:lineRule="auto"/>
        <w:ind w:firstLine="459"/>
        <w:rPr>
          <w:rFonts w:hAnsi="宋体"/>
          <w:color w:val="auto"/>
          <w:highlight w:val="none"/>
        </w:rPr>
      </w:pPr>
      <w:r>
        <w:rPr>
          <w:rFonts w:hint="eastAsia" w:hAnsi="宋体" w:cs="宋体"/>
          <w:color w:val="auto"/>
          <w:highlight w:val="none"/>
        </w:rPr>
        <w:t>工期总日历天数：</w:t>
      </w:r>
      <w:r>
        <w:rPr>
          <w:rFonts w:hint="eastAsia" w:hAnsi="宋体" w:cs="宋体"/>
          <w:color w:val="auto"/>
          <w:highlight w:val="none"/>
          <w:u w:val="single"/>
        </w:rPr>
        <w:t xml:space="preserve">   </w:t>
      </w:r>
      <w:r>
        <w:rPr>
          <w:rFonts w:hint="eastAsia" w:hAnsi="宋体" w:cs="宋体"/>
          <w:color w:val="auto"/>
          <w:highlight w:val="none"/>
          <w:u w:val="single"/>
          <w:lang w:val="en-US" w:eastAsia="zh-CN"/>
        </w:rPr>
        <w:t>90</w:t>
      </w:r>
      <w:r>
        <w:rPr>
          <w:rFonts w:hint="eastAsia" w:hAnsi="宋体" w:cs="宋体"/>
          <w:color w:val="auto"/>
          <w:highlight w:val="none"/>
          <w:u w:val="single"/>
        </w:rPr>
        <w:t xml:space="preserve">   </w:t>
      </w:r>
      <w:r>
        <w:rPr>
          <w:rFonts w:hint="eastAsia" w:hAnsi="宋体" w:cs="宋体"/>
          <w:color w:val="auto"/>
          <w:highlight w:val="none"/>
        </w:rPr>
        <w:t>天。工期总日历天数与根据前述计划开竣工日期计算的工期天数不一致的，以工期总日历天数为准。</w:t>
      </w:r>
    </w:p>
    <w:p w14:paraId="2ABF39C2">
      <w:pPr>
        <w:spacing w:line="360" w:lineRule="auto"/>
        <w:ind w:firstLine="459"/>
        <w:outlineLvl w:val="0"/>
        <w:rPr>
          <w:b/>
          <w:bCs/>
          <w:color w:val="auto"/>
          <w:highlight w:val="none"/>
        </w:rPr>
      </w:pPr>
      <w:bookmarkStart w:id="189" w:name="_Toc31307"/>
      <w:bookmarkStart w:id="190" w:name="_Toc22412"/>
      <w:bookmarkStart w:id="191" w:name="_Toc351203483"/>
      <w:r>
        <w:rPr>
          <w:rFonts w:hint="eastAsia" w:hAnsi="宋体" w:cs="宋体"/>
          <w:b/>
          <w:bCs/>
          <w:color w:val="auto"/>
          <w:highlight w:val="none"/>
        </w:rPr>
        <w:t>三、质量标准</w:t>
      </w:r>
      <w:bookmarkEnd w:id="189"/>
      <w:bookmarkEnd w:id="190"/>
      <w:bookmarkEnd w:id="191"/>
    </w:p>
    <w:p w14:paraId="3B62F0A1">
      <w:pPr>
        <w:spacing w:line="360" w:lineRule="auto"/>
        <w:ind w:firstLine="459"/>
        <w:rPr>
          <w:rFonts w:hAnsi="宋体"/>
          <w:color w:val="auto"/>
          <w:highlight w:val="none"/>
        </w:rPr>
      </w:pPr>
      <w:r>
        <w:rPr>
          <w:rFonts w:hint="eastAsia" w:hAnsi="宋体" w:cs="宋体"/>
          <w:color w:val="auto"/>
          <w:highlight w:val="none"/>
        </w:rPr>
        <w:t>工程质量符合</w:t>
      </w:r>
      <w:r>
        <w:rPr>
          <w:rFonts w:eastAsia="仿宋_GB2312"/>
          <w:color w:val="auto"/>
          <w:highlight w:val="none"/>
          <w:u w:val="single"/>
        </w:rPr>
        <w:t></w:t>
      </w:r>
      <w:r>
        <w:rPr>
          <w:rStyle w:val="22"/>
          <w:rFonts w:hint="eastAsia" w:ascii="宋体" w:hAnsi="宋体" w:eastAsia="宋体" w:cs="宋体"/>
          <w:color w:val="auto"/>
          <w:szCs w:val="21"/>
          <w:highlight w:val="none"/>
          <w:u w:val="single"/>
        </w:rPr>
        <w:t>到国家施工验收规范合格</w:t>
      </w:r>
      <w:r>
        <w:rPr>
          <w:rFonts w:eastAsia="仿宋_GB2312"/>
          <w:color w:val="auto"/>
          <w:highlight w:val="none"/>
          <w:u w:val="single"/>
        </w:rPr>
        <w:t></w:t>
      </w:r>
      <w:r>
        <w:rPr>
          <w:rFonts w:hint="eastAsia" w:hAnsi="宋体" w:cs="宋体"/>
          <w:color w:val="auto"/>
          <w:highlight w:val="none"/>
        </w:rPr>
        <w:t>标准。</w:t>
      </w:r>
    </w:p>
    <w:p w14:paraId="5FE24274">
      <w:pPr>
        <w:spacing w:line="360" w:lineRule="auto"/>
        <w:ind w:firstLine="459"/>
        <w:outlineLvl w:val="0"/>
        <w:rPr>
          <w:rFonts w:hAnsi="宋体"/>
          <w:b/>
          <w:bCs/>
          <w:color w:val="auto"/>
          <w:highlight w:val="none"/>
        </w:rPr>
      </w:pPr>
      <w:bookmarkStart w:id="192" w:name="_Toc42"/>
      <w:bookmarkStart w:id="193" w:name="_Toc351203484"/>
      <w:bookmarkStart w:id="194" w:name="_Toc30845"/>
      <w:r>
        <w:rPr>
          <w:rFonts w:hint="eastAsia" w:hAnsi="宋体" w:cs="宋体"/>
          <w:b/>
          <w:bCs/>
          <w:color w:val="auto"/>
          <w:highlight w:val="none"/>
        </w:rPr>
        <w:t>四、签约合同价与合同价格形式</w:t>
      </w:r>
      <w:bookmarkEnd w:id="192"/>
      <w:bookmarkEnd w:id="193"/>
      <w:bookmarkEnd w:id="194"/>
    </w:p>
    <w:p w14:paraId="3D52AC7D">
      <w:pPr>
        <w:spacing w:line="360" w:lineRule="auto"/>
        <w:ind w:firstLine="459"/>
        <w:rPr>
          <w:color w:val="auto"/>
          <w:highlight w:val="none"/>
        </w:rPr>
      </w:pPr>
      <w:r>
        <w:rPr>
          <w:color w:val="auto"/>
          <w:highlight w:val="none"/>
        </w:rPr>
        <w:t xml:space="preserve">1. </w:t>
      </w:r>
      <w:r>
        <w:rPr>
          <w:rFonts w:hint="eastAsia" w:hAnsi="宋体" w:cs="宋体"/>
          <w:color w:val="auto"/>
          <w:highlight w:val="none"/>
        </w:rPr>
        <w:t>签约合同价为：</w:t>
      </w:r>
    </w:p>
    <w:p w14:paraId="71067CD3">
      <w:pPr>
        <w:spacing w:line="360" w:lineRule="auto"/>
        <w:ind w:firstLine="525" w:firstLineChars="250"/>
        <w:rPr>
          <w:rFonts w:hAnsi="宋体"/>
          <w:color w:val="auto"/>
          <w:highlight w:val="none"/>
        </w:rPr>
      </w:pPr>
      <w:r>
        <w:rPr>
          <w:rFonts w:hint="eastAsia" w:hAnsi="宋体" w:cs="宋体"/>
          <w:color w:val="auto"/>
          <w:highlight w:val="none"/>
        </w:rPr>
        <w:t>人民币（大写）</w:t>
      </w:r>
      <w:r>
        <w:rPr>
          <w:color w:val="auto"/>
          <w:highlight w:val="none"/>
          <w:u w:val="single"/>
        </w:rPr>
        <w:t xml:space="preserve">                 </w:t>
      </w:r>
      <w:r>
        <w:rPr>
          <w:rFonts w:hint="eastAsia" w:cs="宋体"/>
          <w:color w:val="auto"/>
          <w:highlight w:val="none"/>
        </w:rPr>
        <w:t>（</w:t>
      </w:r>
      <w:r>
        <w:rPr>
          <w:color w:val="auto"/>
          <w:highlight w:val="none"/>
        </w:rPr>
        <w:t>¥</w:t>
      </w:r>
      <w:r>
        <w:rPr>
          <w:color w:val="auto"/>
          <w:highlight w:val="none"/>
          <w:u w:val="single"/>
        </w:rPr>
        <w:t xml:space="preserve">            </w:t>
      </w:r>
      <w:r>
        <w:rPr>
          <w:rFonts w:hint="eastAsia" w:hAnsi="宋体" w:cs="宋体"/>
          <w:color w:val="auto"/>
          <w:highlight w:val="none"/>
        </w:rPr>
        <w:t>元</w:t>
      </w:r>
      <w:r>
        <w:rPr>
          <w:rFonts w:hint="eastAsia" w:cs="宋体"/>
          <w:color w:val="auto"/>
          <w:highlight w:val="none"/>
        </w:rPr>
        <w:t>）</w:t>
      </w:r>
      <w:r>
        <w:rPr>
          <w:rFonts w:hint="eastAsia" w:hAnsi="宋体" w:cs="宋体"/>
          <w:color w:val="auto"/>
          <w:highlight w:val="none"/>
        </w:rPr>
        <w:t>；</w:t>
      </w:r>
    </w:p>
    <w:p w14:paraId="1DDC5927">
      <w:pPr>
        <w:spacing w:line="360" w:lineRule="auto"/>
        <w:ind w:firstLine="420" w:firstLineChars="200"/>
        <w:rPr>
          <w:rFonts w:hint="eastAsia" w:hAnsi="宋体"/>
          <w:color w:val="auto"/>
          <w:highlight w:val="none"/>
        </w:rPr>
      </w:pPr>
      <w:r>
        <w:rPr>
          <w:color w:val="auto"/>
          <w:highlight w:val="none"/>
        </w:rPr>
        <w:t xml:space="preserve">2. </w:t>
      </w:r>
      <w:r>
        <w:rPr>
          <w:rFonts w:hint="eastAsia" w:hAnsi="宋体" w:cs="宋体"/>
          <w:color w:val="auto"/>
          <w:highlight w:val="none"/>
        </w:rPr>
        <w:t>合同价格形式：</w:t>
      </w:r>
      <w:r>
        <w:rPr>
          <w:color w:val="auto"/>
          <w:highlight w:val="none"/>
          <w:u w:val="single"/>
        </w:rPr>
        <w:t xml:space="preserve">   </w:t>
      </w:r>
      <w:r>
        <w:rPr>
          <w:rFonts w:hint="eastAsia"/>
          <w:color w:val="auto"/>
          <w:highlight w:val="none"/>
          <w:u w:val="single"/>
        </w:rPr>
        <w:t>固定</w:t>
      </w:r>
      <w:r>
        <w:rPr>
          <w:rFonts w:hint="eastAsia"/>
          <w:color w:val="auto"/>
          <w:highlight w:val="none"/>
          <w:u w:val="single"/>
          <w:lang w:val="en-US" w:eastAsia="zh-CN"/>
        </w:rPr>
        <w:t>综合</w:t>
      </w:r>
      <w:r>
        <w:rPr>
          <w:rFonts w:hint="eastAsia"/>
          <w:color w:val="auto"/>
          <w:highlight w:val="none"/>
          <w:u w:val="single"/>
        </w:rPr>
        <w:t>单价合同</w:t>
      </w:r>
      <w:r>
        <w:rPr>
          <w:color w:val="auto"/>
          <w:highlight w:val="none"/>
          <w:u w:val="single"/>
        </w:rPr>
        <w:t xml:space="preserve">  </w:t>
      </w:r>
      <w:r>
        <w:rPr>
          <w:rFonts w:hint="eastAsia" w:hAnsi="宋体" w:cs="宋体"/>
          <w:color w:val="auto"/>
          <w:highlight w:val="none"/>
        </w:rPr>
        <w:t>。</w:t>
      </w:r>
    </w:p>
    <w:p w14:paraId="4CC91255">
      <w:pPr>
        <w:spacing w:line="360" w:lineRule="auto"/>
        <w:ind w:firstLine="422" w:firstLineChars="200"/>
        <w:outlineLvl w:val="0"/>
        <w:rPr>
          <w:b/>
          <w:bCs/>
          <w:color w:val="auto"/>
          <w:highlight w:val="none"/>
        </w:rPr>
      </w:pPr>
      <w:bookmarkStart w:id="195" w:name="_Toc351203485"/>
      <w:bookmarkStart w:id="196" w:name="_Toc7578"/>
      <w:bookmarkStart w:id="197" w:name="_Toc16973"/>
      <w:r>
        <w:rPr>
          <w:rFonts w:hint="eastAsia" w:hAnsi="宋体" w:cs="宋体"/>
          <w:b/>
          <w:bCs/>
          <w:color w:val="auto"/>
          <w:highlight w:val="none"/>
        </w:rPr>
        <w:t>五、</w:t>
      </w:r>
      <w:bookmarkEnd w:id="195"/>
      <w:r>
        <w:rPr>
          <w:rFonts w:hint="eastAsia" w:hAnsi="宋体" w:cs="宋体"/>
          <w:b/>
          <w:bCs/>
          <w:color w:val="auto"/>
          <w:highlight w:val="none"/>
        </w:rPr>
        <w:t>项目经理</w:t>
      </w:r>
      <w:bookmarkEnd w:id="196"/>
      <w:bookmarkEnd w:id="197"/>
    </w:p>
    <w:p w14:paraId="208FD14A">
      <w:pPr>
        <w:spacing w:line="360" w:lineRule="auto"/>
        <w:ind w:firstLine="420" w:firstLineChars="200"/>
        <w:rPr>
          <w:rFonts w:hAnsi="宋体"/>
          <w:color w:val="auto"/>
          <w:highlight w:val="none"/>
        </w:rPr>
      </w:pPr>
      <w:r>
        <w:rPr>
          <w:rFonts w:hint="eastAsia" w:hAnsi="宋体" w:cs="宋体"/>
          <w:color w:val="auto"/>
          <w:highlight w:val="none"/>
        </w:rPr>
        <w:t>承包人项目经理：</w:t>
      </w:r>
      <w:r>
        <w:rPr>
          <w:color w:val="auto"/>
          <w:highlight w:val="none"/>
          <w:u w:val="single"/>
        </w:rPr>
        <w:t xml:space="preserve">                     </w:t>
      </w:r>
      <w:r>
        <w:rPr>
          <w:rFonts w:hint="eastAsia" w:hAnsi="宋体" w:cs="宋体"/>
          <w:color w:val="auto"/>
          <w:highlight w:val="none"/>
        </w:rPr>
        <w:t>。</w:t>
      </w:r>
    </w:p>
    <w:p w14:paraId="320F00B0">
      <w:pPr>
        <w:spacing w:line="360" w:lineRule="auto"/>
        <w:ind w:firstLine="422" w:firstLineChars="200"/>
        <w:outlineLvl w:val="0"/>
        <w:rPr>
          <w:b/>
          <w:bCs/>
          <w:color w:val="auto"/>
          <w:highlight w:val="none"/>
        </w:rPr>
      </w:pPr>
      <w:bookmarkStart w:id="198" w:name="_Toc12684"/>
      <w:bookmarkStart w:id="199" w:name="_Toc8352"/>
      <w:bookmarkStart w:id="200" w:name="_Toc351203486"/>
      <w:r>
        <w:rPr>
          <w:rFonts w:hint="eastAsia" w:hAnsi="宋体" w:cs="宋体"/>
          <w:b/>
          <w:bCs/>
          <w:color w:val="auto"/>
          <w:highlight w:val="none"/>
        </w:rPr>
        <w:t>六、合同文件构成</w:t>
      </w:r>
      <w:bookmarkEnd w:id="198"/>
      <w:bookmarkEnd w:id="199"/>
      <w:bookmarkEnd w:id="200"/>
    </w:p>
    <w:p w14:paraId="5178B7B4">
      <w:pPr>
        <w:spacing w:line="360" w:lineRule="auto"/>
        <w:ind w:firstLine="420" w:firstLineChars="200"/>
        <w:rPr>
          <w:color w:val="auto"/>
          <w:highlight w:val="none"/>
        </w:rPr>
      </w:pPr>
      <w:r>
        <w:rPr>
          <w:rFonts w:hint="eastAsia" w:hAnsi="宋体" w:cs="宋体"/>
          <w:color w:val="auto"/>
          <w:highlight w:val="none"/>
        </w:rPr>
        <w:t>本协议书与下列文件一起构成合同文件：</w:t>
      </w:r>
    </w:p>
    <w:p w14:paraId="6BA6DB15">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）中标通知书（如有）；</w:t>
      </w:r>
    </w:p>
    <w:p w14:paraId="448A8A02">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）投标函及其附录（如有）；</w:t>
      </w:r>
      <w:r>
        <w:rPr>
          <w:color w:val="auto"/>
          <w:highlight w:val="none"/>
        </w:rPr>
        <w:t xml:space="preserve"> </w:t>
      </w:r>
    </w:p>
    <w:p w14:paraId="616FAA45">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3</w:t>
      </w:r>
      <w:r>
        <w:rPr>
          <w:rFonts w:hint="eastAsia" w:hAnsi="宋体" w:cs="宋体"/>
          <w:color w:val="auto"/>
          <w:highlight w:val="none"/>
        </w:rPr>
        <w:t>）专用合同条款及其附件；</w:t>
      </w:r>
    </w:p>
    <w:p w14:paraId="12D13B05">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4</w:t>
      </w:r>
      <w:r>
        <w:rPr>
          <w:rFonts w:hint="eastAsia" w:hAnsi="宋体" w:cs="宋体"/>
          <w:color w:val="auto"/>
          <w:highlight w:val="none"/>
        </w:rPr>
        <w:t>）通用合同条款；</w:t>
      </w:r>
    </w:p>
    <w:p w14:paraId="2CD54559">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5</w:t>
      </w:r>
      <w:r>
        <w:rPr>
          <w:rFonts w:hint="eastAsia" w:hAnsi="宋体" w:cs="宋体"/>
          <w:color w:val="auto"/>
          <w:highlight w:val="none"/>
        </w:rPr>
        <w:t>）</w:t>
      </w:r>
      <w:r>
        <w:rPr>
          <w:rFonts w:hint="eastAsia" w:hAnsi="宋体" w:cs="宋体"/>
          <w:color w:val="auto"/>
          <w:highlight w:val="none"/>
          <w:u w:val="single"/>
        </w:rPr>
        <w:t xml:space="preserve"> </w:t>
      </w:r>
      <w:r>
        <w:rPr>
          <w:rFonts w:hAnsi="宋体" w:cs="宋体"/>
          <w:color w:val="auto"/>
          <w:highlight w:val="none"/>
          <w:u w:val="single"/>
        </w:rPr>
        <w:t xml:space="preserve"> </w:t>
      </w:r>
      <w:r>
        <w:rPr>
          <w:rFonts w:hint="eastAsia" w:hAnsi="宋体" w:cs="宋体"/>
          <w:color w:val="auto"/>
          <w:highlight w:val="none"/>
          <w:u w:val="single"/>
        </w:rPr>
        <w:t>技术标准和要求</w:t>
      </w:r>
      <w:r>
        <w:rPr>
          <w:rFonts w:hAnsi="宋体" w:cs="宋体"/>
          <w:color w:val="auto"/>
          <w:highlight w:val="none"/>
          <w:u w:val="single"/>
        </w:rPr>
        <w:t xml:space="preserve">   </w:t>
      </w:r>
      <w:r>
        <w:rPr>
          <w:rFonts w:hint="eastAsia" w:hAnsi="宋体" w:cs="宋体"/>
          <w:color w:val="auto"/>
          <w:highlight w:val="none"/>
        </w:rPr>
        <w:t>；</w:t>
      </w:r>
    </w:p>
    <w:p w14:paraId="4997B69E">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6</w:t>
      </w:r>
      <w:r>
        <w:rPr>
          <w:rFonts w:hint="eastAsia" w:hAnsi="宋体" w:cs="宋体"/>
          <w:color w:val="auto"/>
          <w:highlight w:val="none"/>
        </w:rPr>
        <w:t>）</w:t>
      </w:r>
      <w:r>
        <w:rPr>
          <w:rFonts w:hint="eastAsia" w:hAnsi="宋体" w:cs="宋体"/>
          <w:color w:val="auto"/>
          <w:highlight w:val="none"/>
          <w:u w:val="single"/>
        </w:rPr>
        <w:t xml:space="preserve"> </w:t>
      </w:r>
      <w:r>
        <w:rPr>
          <w:rFonts w:hAnsi="宋体" w:cs="宋体"/>
          <w:color w:val="auto"/>
          <w:highlight w:val="none"/>
          <w:u w:val="single"/>
        </w:rPr>
        <w:t xml:space="preserve">   </w:t>
      </w:r>
      <w:r>
        <w:rPr>
          <w:rFonts w:hint="eastAsia" w:hAnsi="宋体" w:cs="宋体"/>
          <w:color w:val="auto"/>
          <w:highlight w:val="none"/>
          <w:u w:val="single"/>
        </w:rPr>
        <w:t>图纸</w:t>
      </w:r>
      <w:r>
        <w:rPr>
          <w:rFonts w:hAnsi="宋体" w:cs="宋体"/>
          <w:color w:val="auto"/>
          <w:highlight w:val="none"/>
          <w:u w:val="single"/>
        </w:rPr>
        <w:t xml:space="preserve">     </w:t>
      </w:r>
      <w:r>
        <w:rPr>
          <w:rFonts w:hint="eastAsia" w:hAnsi="宋体" w:cs="宋体"/>
          <w:color w:val="auto"/>
          <w:highlight w:val="none"/>
        </w:rPr>
        <w:t>；</w:t>
      </w:r>
    </w:p>
    <w:p w14:paraId="0BEFC595">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7</w:t>
      </w:r>
      <w:r>
        <w:rPr>
          <w:rFonts w:hint="eastAsia" w:hAnsi="宋体" w:cs="宋体"/>
          <w:color w:val="auto"/>
          <w:highlight w:val="none"/>
        </w:rPr>
        <w:t>）</w:t>
      </w:r>
      <w:r>
        <w:rPr>
          <w:rFonts w:hint="eastAsia" w:hAnsi="宋体" w:cs="宋体"/>
          <w:color w:val="auto"/>
          <w:highlight w:val="none"/>
          <w:u w:val="single"/>
        </w:rPr>
        <w:t xml:space="preserve"> </w:t>
      </w:r>
      <w:r>
        <w:rPr>
          <w:rFonts w:hAnsi="宋体" w:cs="宋体"/>
          <w:color w:val="auto"/>
          <w:highlight w:val="none"/>
          <w:u w:val="single"/>
        </w:rPr>
        <w:t xml:space="preserve"> </w:t>
      </w:r>
      <w:r>
        <w:rPr>
          <w:rFonts w:hint="eastAsia" w:hAnsi="宋体" w:cs="宋体"/>
          <w:color w:val="auto"/>
          <w:highlight w:val="none"/>
          <w:u w:val="single"/>
        </w:rPr>
        <w:t>已标价工程量清单或预算书</w:t>
      </w:r>
      <w:r>
        <w:rPr>
          <w:rFonts w:hAnsi="宋体" w:cs="宋体"/>
          <w:color w:val="auto"/>
          <w:highlight w:val="none"/>
          <w:u w:val="single"/>
        </w:rPr>
        <w:t xml:space="preserve">  </w:t>
      </w:r>
      <w:r>
        <w:rPr>
          <w:rFonts w:hint="eastAsia" w:hAnsi="宋体" w:cs="宋体"/>
          <w:color w:val="auto"/>
          <w:highlight w:val="none"/>
        </w:rPr>
        <w:t>；</w:t>
      </w:r>
    </w:p>
    <w:p w14:paraId="3973EA19">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8</w:t>
      </w:r>
      <w:r>
        <w:rPr>
          <w:rFonts w:hint="eastAsia" w:hAnsi="宋体" w:cs="宋体"/>
          <w:color w:val="auto"/>
          <w:highlight w:val="none"/>
        </w:rPr>
        <w:t>）其他合同文件：</w:t>
      </w:r>
    </w:p>
    <w:p w14:paraId="07FB3CA9">
      <w:pPr>
        <w:autoSpaceDE w:val="0"/>
        <w:autoSpaceDN w:val="0"/>
        <w:adjustRightInd w:val="0"/>
        <w:spacing w:line="360" w:lineRule="auto"/>
        <w:ind w:firstLine="420" w:firstLineChars="200"/>
        <w:jc w:val="left"/>
        <w:rPr>
          <w:rFonts w:hAnsi="宋体"/>
          <w:color w:val="auto"/>
          <w:highlight w:val="none"/>
        </w:rPr>
      </w:pPr>
      <w:r>
        <w:rPr>
          <w:rFonts w:hint="eastAsia" w:hAnsi="宋体" w:cs="宋体"/>
          <w:color w:val="auto"/>
          <w:highlight w:val="none"/>
        </w:rPr>
        <w:t>上述各项合同文件包括合同当事人就该项合同文件所作出的补充和修改，属于同一类内容的文件，应以最新签署的为准（违反招标文件</w:t>
      </w:r>
      <w:r>
        <w:rPr>
          <w:rFonts w:hAnsi="宋体" w:cs="宋体"/>
          <w:color w:val="auto"/>
          <w:highlight w:val="none"/>
        </w:rPr>
        <w:t>实质性内容的约定除外</w:t>
      </w:r>
      <w:r>
        <w:rPr>
          <w:rFonts w:hint="eastAsia" w:hAnsi="宋体" w:cs="宋体"/>
          <w:color w:val="auto"/>
          <w:highlight w:val="none"/>
        </w:rPr>
        <w:t>）。专用合同条款及其附件须经合同当事人签字或盖章。</w:t>
      </w:r>
    </w:p>
    <w:p w14:paraId="7BEBFCC9">
      <w:pPr>
        <w:autoSpaceDE w:val="0"/>
        <w:autoSpaceDN w:val="0"/>
        <w:adjustRightInd w:val="0"/>
        <w:spacing w:line="360" w:lineRule="auto"/>
        <w:ind w:firstLine="422" w:firstLineChars="200"/>
        <w:jc w:val="left"/>
        <w:outlineLvl w:val="0"/>
        <w:rPr>
          <w:b/>
          <w:bCs/>
          <w:color w:val="auto"/>
          <w:highlight w:val="none"/>
        </w:rPr>
      </w:pPr>
      <w:bookmarkStart w:id="201" w:name="_Toc1188"/>
      <w:bookmarkStart w:id="202" w:name="_Toc351203487"/>
      <w:bookmarkStart w:id="203" w:name="_Toc19793"/>
      <w:r>
        <w:rPr>
          <w:rFonts w:hint="eastAsia" w:hAnsi="宋体" w:cs="宋体"/>
          <w:b/>
          <w:bCs/>
          <w:color w:val="auto"/>
          <w:highlight w:val="none"/>
        </w:rPr>
        <w:t>七、承诺</w:t>
      </w:r>
      <w:bookmarkEnd w:id="201"/>
      <w:bookmarkEnd w:id="202"/>
      <w:bookmarkEnd w:id="203"/>
    </w:p>
    <w:p w14:paraId="19F3EF31">
      <w:pPr>
        <w:spacing w:line="360" w:lineRule="auto"/>
        <w:ind w:firstLine="420" w:firstLineChars="200"/>
        <w:rPr>
          <w:color w:val="auto"/>
          <w:highlight w:val="none"/>
        </w:rPr>
      </w:pPr>
      <w:r>
        <w:rPr>
          <w:color w:val="auto"/>
          <w:highlight w:val="none"/>
        </w:rPr>
        <w:t xml:space="preserve">1. </w:t>
      </w:r>
      <w:r>
        <w:rPr>
          <w:rFonts w:hint="eastAsia" w:hAnsi="宋体" w:cs="宋体"/>
          <w:color w:val="auto"/>
          <w:highlight w:val="none"/>
        </w:rPr>
        <w:t>发包人承诺按照法律规定履行项目审批手续、筹集工程建设资金并按照合同约定的期限和方式支付合同价款。</w:t>
      </w:r>
    </w:p>
    <w:p w14:paraId="7A4B9179">
      <w:pPr>
        <w:spacing w:line="360" w:lineRule="auto"/>
        <w:ind w:firstLine="420" w:firstLineChars="200"/>
        <w:rPr>
          <w:color w:val="auto"/>
          <w:highlight w:val="none"/>
        </w:rPr>
      </w:pPr>
      <w:r>
        <w:rPr>
          <w:color w:val="auto"/>
          <w:highlight w:val="none"/>
        </w:rPr>
        <w:t xml:space="preserve">2. </w:t>
      </w:r>
      <w:r>
        <w:rPr>
          <w:rFonts w:hint="eastAsia" w:hAnsi="宋体" w:cs="宋体"/>
          <w:color w:val="auto"/>
          <w:highlight w:val="none"/>
        </w:rPr>
        <w:t>承包人承诺按照法律规定及合同约定组织完成工程施工，确保工程质量和安全，不进行转包及违法分包，并在缺陷责任期及保修期内承担相应的工程维修责任。</w:t>
      </w:r>
    </w:p>
    <w:p w14:paraId="54573490">
      <w:pPr>
        <w:spacing w:line="360" w:lineRule="auto"/>
        <w:ind w:firstLine="420" w:firstLineChars="200"/>
        <w:rPr>
          <w:rFonts w:hAnsi="宋体"/>
          <w:color w:val="auto"/>
          <w:highlight w:val="none"/>
        </w:rPr>
      </w:pPr>
      <w:r>
        <w:rPr>
          <w:color w:val="auto"/>
          <w:highlight w:val="none"/>
        </w:rPr>
        <w:t xml:space="preserve">3. </w:t>
      </w:r>
      <w:r>
        <w:rPr>
          <w:rFonts w:hint="eastAsia" w:hAnsi="宋体" w:cs="宋体"/>
          <w:color w:val="auto"/>
          <w:highlight w:val="none"/>
        </w:rPr>
        <w:t>发包人和承包人通过招投标形式签订合同的，双方理解并承诺不再就同一工程另行签订与合同实质性内容相背离的协议。</w:t>
      </w:r>
      <w:bookmarkStart w:id="204" w:name="_Toc351203488"/>
    </w:p>
    <w:p w14:paraId="6FF71CF8">
      <w:pPr>
        <w:spacing w:line="360" w:lineRule="auto"/>
        <w:ind w:firstLine="422" w:firstLineChars="200"/>
        <w:outlineLvl w:val="0"/>
        <w:rPr>
          <w:b/>
          <w:bCs/>
          <w:color w:val="auto"/>
          <w:highlight w:val="none"/>
        </w:rPr>
      </w:pPr>
      <w:bookmarkStart w:id="205" w:name="_Toc9094"/>
      <w:bookmarkStart w:id="206" w:name="_Toc16239"/>
      <w:r>
        <w:rPr>
          <w:rFonts w:hint="eastAsia" w:hAnsi="宋体" w:cs="宋体"/>
          <w:b/>
          <w:bCs/>
          <w:color w:val="auto"/>
          <w:highlight w:val="none"/>
        </w:rPr>
        <w:t>八、词语含义</w:t>
      </w:r>
      <w:bookmarkEnd w:id="204"/>
      <w:bookmarkEnd w:id="205"/>
      <w:bookmarkEnd w:id="206"/>
    </w:p>
    <w:p w14:paraId="01B5126F">
      <w:pPr>
        <w:spacing w:line="360" w:lineRule="auto"/>
        <w:ind w:firstLine="420" w:firstLineChars="200"/>
        <w:rPr>
          <w:rFonts w:hAnsi="宋体"/>
          <w:color w:val="auto"/>
          <w:highlight w:val="none"/>
        </w:rPr>
      </w:pPr>
      <w:r>
        <w:rPr>
          <w:rFonts w:hint="eastAsia" w:hAnsi="宋体" w:cs="宋体"/>
          <w:color w:val="auto"/>
          <w:highlight w:val="none"/>
        </w:rPr>
        <w:t>本协议书中词语含义与第二部分通用合同条款中赋予的含义相同。</w:t>
      </w:r>
    </w:p>
    <w:p w14:paraId="5D601300">
      <w:pPr>
        <w:spacing w:line="360" w:lineRule="auto"/>
        <w:ind w:firstLine="422" w:firstLineChars="200"/>
        <w:outlineLvl w:val="0"/>
        <w:rPr>
          <w:b/>
          <w:bCs/>
          <w:color w:val="auto"/>
          <w:highlight w:val="none"/>
        </w:rPr>
      </w:pPr>
      <w:bookmarkStart w:id="207" w:name="_Toc28560"/>
      <w:bookmarkStart w:id="208" w:name="_Toc351203489"/>
      <w:bookmarkStart w:id="209" w:name="_Toc21232"/>
      <w:r>
        <w:rPr>
          <w:rFonts w:hint="eastAsia" w:hAnsi="宋体" w:cs="宋体"/>
          <w:b/>
          <w:bCs/>
          <w:color w:val="auto"/>
          <w:highlight w:val="none"/>
        </w:rPr>
        <w:t>九、签订时间</w:t>
      </w:r>
      <w:bookmarkEnd w:id="207"/>
      <w:bookmarkEnd w:id="208"/>
      <w:bookmarkEnd w:id="209"/>
    </w:p>
    <w:p w14:paraId="6304B3C4">
      <w:pPr>
        <w:spacing w:line="360" w:lineRule="auto"/>
        <w:ind w:firstLine="420" w:firstLineChars="200"/>
        <w:rPr>
          <w:rFonts w:hAnsi="宋体"/>
          <w:color w:val="auto"/>
          <w:highlight w:val="none"/>
        </w:rPr>
      </w:pPr>
      <w:r>
        <w:rPr>
          <w:rFonts w:hint="eastAsia" w:hAnsi="宋体" w:cs="宋体"/>
          <w:color w:val="auto"/>
          <w:highlight w:val="none"/>
        </w:rPr>
        <w:t>本合同于</w:t>
      </w:r>
      <w:r>
        <w:rPr>
          <w:color w:val="auto"/>
          <w:highlight w:val="none"/>
          <w:u w:val="single"/>
        </w:rPr>
        <w:t xml:space="preserve">         </w:t>
      </w:r>
      <w:r>
        <w:rPr>
          <w:rFonts w:hint="eastAsia" w:hAnsi="宋体" w:cs="宋体"/>
          <w:color w:val="auto"/>
          <w:highlight w:val="none"/>
        </w:rPr>
        <w:t>年</w:t>
      </w:r>
      <w:r>
        <w:rPr>
          <w:color w:val="auto"/>
          <w:highlight w:val="none"/>
          <w:u w:val="single"/>
        </w:rPr>
        <w:t xml:space="preserve">    </w:t>
      </w:r>
      <w:r>
        <w:rPr>
          <w:rFonts w:hint="eastAsia" w:hAnsi="宋体" w:cs="宋体"/>
          <w:color w:val="auto"/>
          <w:highlight w:val="none"/>
        </w:rPr>
        <w:t>月</w:t>
      </w:r>
      <w:r>
        <w:rPr>
          <w:color w:val="auto"/>
          <w:highlight w:val="none"/>
          <w:u w:val="single"/>
        </w:rPr>
        <w:t xml:space="preserve">    </w:t>
      </w:r>
      <w:r>
        <w:rPr>
          <w:rFonts w:hint="eastAsia" w:hAnsi="宋体" w:cs="宋体"/>
          <w:color w:val="auto"/>
          <w:highlight w:val="none"/>
        </w:rPr>
        <w:t>日签订。</w:t>
      </w:r>
    </w:p>
    <w:p w14:paraId="2649E3E0">
      <w:pPr>
        <w:spacing w:line="360" w:lineRule="auto"/>
        <w:ind w:firstLine="422" w:firstLineChars="200"/>
        <w:outlineLvl w:val="0"/>
        <w:rPr>
          <w:b/>
          <w:bCs/>
          <w:color w:val="auto"/>
          <w:highlight w:val="none"/>
        </w:rPr>
      </w:pPr>
      <w:bookmarkStart w:id="210" w:name="_Toc9103"/>
      <w:bookmarkStart w:id="211" w:name="_Toc351203490"/>
      <w:bookmarkStart w:id="212" w:name="_Toc32210"/>
      <w:r>
        <w:rPr>
          <w:rFonts w:hint="eastAsia" w:hAnsi="宋体" w:cs="宋体"/>
          <w:b/>
          <w:bCs/>
          <w:color w:val="auto"/>
          <w:highlight w:val="none"/>
        </w:rPr>
        <w:t>十、签订地点</w:t>
      </w:r>
      <w:bookmarkEnd w:id="210"/>
      <w:bookmarkEnd w:id="211"/>
      <w:bookmarkEnd w:id="212"/>
    </w:p>
    <w:p w14:paraId="6C75A510">
      <w:pPr>
        <w:spacing w:line="360" w:lineRule="auto"/>
        <w:ind w:firstLine="420" w:firstLineChars="200"/>
        <w:rPr>
          <w:rFonts w:hAnsi="宋体"/>
          <w:color w:val="auto"/>
          <w:highlight w:val="none"/>
        </w:rPr>
      </w:pPr>
      <w:r>
        <w:rPr>
          <w:rFonts w:hint="eastAsia" w:hAnsi="宋体" w:cs="宋体"/>
          <w:color w:val="auto"/>
          <w:highlight w:val="none"/>
        </w:rPr>
        <w:t>本合同在</w:t>
      </w:r>
      <w:r>
        <w:rPr>
          <w:color w:val="auto"/>
          <w:highlight w:val="none"/>
          <w:u w:val="single"/>
        </w:rPr>
        <w:t xml:space="preserve">                                    </w:t>
      </w:r>
      <w:r>
        <w:rPr>
          <w:rFonts w:hint="eastAsia" w:hAnsi="宋体" w:cs="宋体"/>
          <w:color w:val="auto"/>
          <w:highlight w:val="none"/>
        </w:rPr>
        <w:t>签订。</w:t>
      </w:r>
    </w:p>
    <w:p w14:paraId="52AC1FAB">
      <w:pPr>
        <w:spacing w:line="360" w:lineRule="auto"/>
        <w:ind w:firstLine="422" w:firstLineChars="200"/>
        <w:outlineLvl w:val="0"/>
        <w:rPr>
          <w:b/>
          <w:bCs/>
          <w:color w:val="auto"/>
          <w:highlight w:val="none"/>
        </w:rPr>
      </w:pPr>
      <w:bookmarkStart w:id="213" w:name="_Toc30365"/>
      <w:bookmarkStart w:id="214" w:name="_Toc351203491"/>
      <w:bookmarkStart w:id="215" w:name="_Toc30271"/>
      <w:r>
        <w:rPr>
          <w:rFonts w:hint="eastAsia" w:hAnsi="宋体" w:cs="宋体"/>
          <w:b/>
          <w:bCs/>
          <w:color w:val="auto"/>
          <w:highlight w:val="none"/>
        </w:rPr>
        <w:t>十一、补充协议</w:t>
      </w:r>
      <w:bookmarkEnd w:id="213"/>
      <w:bookmarkEnd w:id="214"/>
      <w:bookmarkEnd w:id="215"/>
    </w:p>
    <w:p w14:paraId="18F0D9F6">
      <w:pPr>
        <w:spacing w:line="360" w:lineRule="auto"/>
        <w:ind w:firstLine="420" w:firstLineChars="200"/>
        <w:rPr>
          <w:rFonts w:hAnsi="宋体"/>
          <w:color w:val="auto"/>
          <w:highlight w:val="none"/>
        </w:rPr>
      </w:pPr>
      <w:r>
        <w:rPr>
          <w:rFonts w:hint="eastAsia" w:hAnsi="宋体" w:cs="宋体"/>
          <w:color w:val="auto"/>
          <w:highlight w:val="none"/>
        </w:rPr>
        <w:t>合同未尽事宜，合同当事人另行签订补充协议，补充协议是合同的组成部分。</w:t>
      </w:r>
    </w:p>
    <w:p w14:paraId="336DC9F8">
      <w:pPr>
        <w:spacing w:line="360" w:lineRule="auto"/>
        <w:ind w:firstLine="422" w:firstLineChars="200"/>
        <w:outlineLvl w:val="0"/>
        <w:rPr>
          <w:b/>
          <w:bCs/>
          <w:color w:val="auto"/>
          <w:highlight w:val="none"/>
        </w:rPr>
      </w:pPr>
      <w:bookmarkStart w:id="216" w:name="_Toc16054"/>
      <w:bookmarkStart w:id="217" w:name="_Toc351203492"/>
      <w:bookmarkStart w:id="218" w:name="_Toc29044"/>
      <w:r>
        <w:rPr>
          <w:rFonts w:hint="eastAsia" w:hAnsi="宋体" w:cs="宋体"/>
          <w:b/>
          <w:bCs/>
          <w:color w:val="auto"/>
          <w:highlight w:val="none"/>
        </w:rPr>
        <w:t>十二、合同生效</w:t>
      </w:r>
      <w:bookmarkEnd w:id="216"/>
      <w:bookmarkEnd w:id="217"/>
      <w:bookmarkEnd w:id="218"/>
    </w:p>
    <w:p w14:paraId="1ACFFF46">
      <w:pPr>
        <w:spacing w:line="360" w:lineRule="auto"/>
        <w:ind w:firstLine="420" w:firstLineChars="200"/>
        <w:rPr>
          <w:rFonts w:hAnsi="宋体"/>
          <w:color w:val="auto"/>
          <w:highlight w:val="none"/>
        </w:rPr>
      </w:pPr>
      <w:r>
        <w:rPr>
          <w:rFonts w:hint="eastAsia" w:hAnsi="宋体" w:cs="宋体"/>
          <w:color w:val="auto"/>
          <w:highlight w:val="none"/>
        </w:rPr>
        <w:t>本合同自</w:t>
      </w:r>
      <w:r>
        <w:rPr>
          <w:color w:val="auto"/>
          <w:highlight w:val="none"/>
          <w:u w:val="single"/>
        </w:rPr>
        <w:t xml:space="preserve">  </w:t>
      </w:r>
      <w:r>
        <w:rPr>
          <w:rFonts w:hint="eastAsia"/>
          <w:color w:val="auto"/>
          <w:highlight w:val="none"/>
          <w:u w:val="single"/>
          <w:lang w:val="en-US" w:eastAsia="zh-CN"/>
        </w:rPr>
        <w:t>双</w:t>
      </w:r>
      <w:r>
        <w:rPr>
          <w:rStyle w:val="22"/>
          <w:rFonts w:hint="eastAsia" w:ascii="宋体" w:hAnsi="宋体" w:eastAsia="宋体" w:cs="宋体"/>
          <w:color w:val="auto"/>
          <w:szCs w:val="21"/>
          <w:highlight w:val="none"/>
          <w:u w:val="single"/>
        </w:rPr>
        <w:t>方法定代表人</w:t>
      </w:r>
      <w:r>
        <w:rPr>
          <w:rStyle w:val="22"/>
          <w:rFonts w:hint="eastAsia" w:ascii="宋体" w:hAnsi="宋体" w:eastAsia="宋体" w:cs="宋体"/>
          <w:color w:val="auto"/>
          <w:szCs w:val="21"/>
          <w:highlight w:val="none"/>
          <w:u w:val="single"/>
          <w:lang w:val="en-US" w:eastAsia="zh-CN"/>
        </w:rPr>
        <w:t>或其委托代理人</w:t>
      </w:r>
      <w:r>
        <w:rPr>
          <w:rStyle w:val="22"/>
          <w:rFonts w:hint="eastAsia" w:ascii="宋体" w:hAnsi="宋体" w:eastAsia="宋体" w:cs="宋体"/>
          <w:color w:val="auto"/>
          <w:szCs w:val="21"/>
          <w:highlight w:val="none"/>
          <w:u w:val="single"/>
        </w:rPr>
        <w:t>签字或盖章，并加盖单位公章之日</w:t>
      </w:r>
      <w:r>
        <w:rPr>
          <w:color w:val="auto"/>
          <w:highlight w:val="none"/>
          <w:u w:val="single"/>
        </w:rPr>
        <w:t xml:space="preserve">  </w:t>
      </w:r>
      <w:r>
        <w:rPr>
          <w:rFonts w:hint="eastAsia" w:hAnsi="宋体" w:cs="宋体"/>
          <w:color w:val="auto"/>
          <w:highlight w:val="none"/>
        </w:rPr>
        <w:t>生效。</w:t>
      </w:r>
    </w:p>
    <w:p w14:paraId="403778A3">
      <w:pPr>
        <w:spacing w:line="360" w:lineRule="auto"/>
        <w:ind w:firstLine="422" w:firstLineChars="200"/>
        <w:outlineLvl w:val="0"/>
        <w:rPr>
          <w:b/>
          <w:bCs/>
          <w:color w:val="auto"/>
          <w:highlight w:val="none"/>
        </w:rPr>
      </w:pPr>
      <w:bookmarkStart w:id="219" w:name="_Toc8572"/>
      <w:bookmarkStart w:id="220" w:name="_Toc351203493"/>
      <w:bookmarkStart w:id="221" w:name="_Toc14637"/>
      <w:r>
        <w:rPr>
          <w:rFonts w:hint="eastAsia" w:hAnsi="宋体" w:cs="宋体"/>
          <w:b/>
          <w:bCs/>
          <w:color w:val="auto"/>
          <w:highlight w:val="none"/>
        </w:rPr>
        <w:t>十三、合同份数</w:t>
      </w:r>
      <w:bookmarkEnd w:id="219"/>
      <w:bookmarkEnd w:id="220"/>
      <w:bookmarkEnd w:id="221"/>
    </w:p>
    <w:p w14:paraId="474E2A90">
      <w:pPr>
        <w:spacing w:line="360" w:lineRule="auto"/>
        <w:ind w:firstLine="420" w:firstLineChars="200"/>
        <w:rPr>
          <w:color w:val="auto"/>
          <w:highlight w:val="none"/>
        </w:rPr>
      </w:pPr>
      <w:r>
        <w:rPr>
          <w:rFonts w:hint="eastAsia" w:hAnsi="宋体" w:cs="宋体"/>
          <w:color w:val="auto"/>
          <w:highlight w:val="none"/>
        </w:rPr>
        <w:t>本合同一式</w:t>
      </w:r>
      <w:r>
        <w:rPr>
          <w:color w:val="auto"/>
          <w:highlight w:val="none"/>
          <w:u w:val="single"/>
        </w:rPr>
        <w:t xml:space="preserve">    </w:t>
      </w:r>
      <w:r>
        <w:rPr>
          <w:rFonts w:hint="eastAsia" w:hAnsi="宋体" w:cs="宋体"/>
          <w:color w:val="auto"/>
          <w:highlight w:val="none"/>
        </w:rPr>
        <w:t>份，均具有同等法律效力，发包人执</w:t>
      </w:r>
      <w:r>
        <w:rPr>
          <w:color w:val="auto"/>
          <w:highlight w:val="none"/>
          <w:u w:val="single"/>
        </w:rPr>
        <w:t xml:space="preserve">    </w:t>
      </w:r>
      <w:r>
        <w:rPr>
          <w:rFonts w:hint="eastAsia" w:hAnsi="宋体" w:cs="宋体"/>
          <w:color w:val="auto"/>
          <w:highlight w:val="none"/>
        </w:rPr>
        <w:t>份，承包人执</w:t>
      </w:r>
      <w:r>
        <w:rPr>
          <w:color w:val="auto"/>
          <w:highlight w:val="none"/>
          <w:u w:val="single"/>
        </w:rPr>
        <w:t xml:space="preserve">    </w:t>
      </w:r>
      <w:r>
        <w:rPr>
          <w:rFonts w:hint="eastAsia" w:hAnsi="宋体" w:cs="宋体"/>
          <w:color w:val="auto"/>
          <w:highlight w:val="none"/>
        </w:rPr>
        <w:t>份。</w:t>
      </w:r>
    </w:p>
    <w:p w14:paraId="224ACEB8">
      <w:pPr>
        <w:spacing w:line="360" w:lineRule="auto"/>
        <w:rPr>
          <w:color w:val="auto"/>
          <w:highlight w:val="none"/>
        </w:rPr>
      </w:pPr>
    </w:p>
    <w:p w14:paraId="719C3B28">
      <w:pPr>
        <w:spacing w:line="360" w:lineRule="auto"/>
        <w:rPr>
          <w:color w:val="auto"/>
          <w:highlight w:val="none"/>
        </w:rPr>
      </w:pPr>
    </w:p>
    <w:p w14:paraId="6A2E97F0">
      <w:pPr>
        <w:spacing w:line="360" w:lineRule="auto"/>
        <w:rPr>
          <w:color w:val="auto"/>
          <w:highlight w:val="none"/>
        </w:rPr>
      </w:pPr>
      <w:r>
        <w:rPr>
          <w:rFonts w:hint="eastAsia" w:hAnsi="宋体" w:cs="宋体"/>
          <w:color w:val="auto"/>
          <w:highlight w:val="none"/>
        </w:rPr>
        <w:t>发包人：</w:t>
      </w:r>
      <w:r>
        <w:rPr>
          <w:color w:val="auto"/>
          <w:highlight w:val="none"/>
        </w:rPr>
        <w:t xml:space="preserve">  </w:t>
      </w:r>
      <w:r>
        <w:rPr>
          <w:rFonts w:hint="eastAsia" w:cs="宋体"/>
          <w:color w:val="auto"/>
          <w:highlight w:val="none"/>
        </w:rPr>
        <w:t>（</w:t>
      </w:r>
      <w:r>
        <w:rPr>
          <w:rFonts w:hint="eastAsia" w:hAnsi="宋体" w:cs="宋体"/>
          <w:color w:val="auto"/>
          <w:highlight w:val="none"/>
        </w:rPr>
        <w:t>公章</w:t>
      </w:r>
      <w:r>
        <w:rPr>
          <w:rFonts w:hint="eastAsia" w:cs="宋体"/>
          <w:color w:val="auto"/>
          <w:highlight w:val="none"/>
        </w:rPr>
        <w:t>）</w:t>
      </w:r>
      <w:r>
        <w:rPr>
          <w:color w:val="auto"/>
          <w:highlight w:val="none"/>
        </w:rPr>
        <w:t xml:space="preserve">                              </w:t>
      </w:r>
      <w:r>
        <w:rPr>
          <w:rFonts w:hint="eastAsia" w:hAnsi="宋体" w:cs="宋体"/>
          <w:color w:val="auto"/>
          <w:highlight w:val="none"/>
        </w:rPr>
        <w:t>承包人：</w:t>
      </w:r>
      <w:r>
        <w:rPr>
          <w:color w:val="auto"/>
          <w:highlight w:val="none"/>
        </w:rPr>
        <w:t xml:space="preserve">  </w:t>
      </w:r>
      <w:r>
        <w:rPr>
          <w:rFonts w:hint="eastAsia" w:cs="宋体"/>
          <w:color w:val="auto"/>
          <w:highlight w:val="none"/>
        </w:rPr>
        <w:t>（</w:t>
      </w:r>
      <w:r>
        <w:rPr>
          <w:rFonts w:hint="eastAsia" w:hAnsi="宋体" w:cs="宋体"/>
          <w:color w:val="auto"/>
          <w:highlight w:val="none"/>
        </w:rPr>
        <w:t>公章</w:t>
      </w:r>
      <w:r>
        <w:rPr>
          <w:rFonts w:hint="eastAsia" w:cs="宋体"/>
          <w:color w:val="auto"/>
          <w:highlight w:val="none"/>
        </w:rPr>
        <w:t>）</w:t>
      </w:r>
    </w:p>
    <w:p w14:paraId="1A3B76AD">
      <w:pPr>
        <w:spacing w:line="360" w:lineRule="auto"/>
        <w:rPr>
          <w:color w:val="auto"/>
          <w:highlight w:val="none"/>
          <w:u w:val="single"/>
        </w:rPr>
      </w:pPr>
      <w:r>
        <w:rPr>
          <w:color w:val="auto"/>
          <w:highlight w:val="none"/>
        </w:rPr>
        <w:t xml:space="preserve">                                 </w:t>
      </w:r>
    </w:p>
    <w:p w14:paraId="384A515F">
      <w:pPr>
        <w:spacing w:line="360" w:lineRule="auto"/>
        <w:rPr>
          <w:color w:val="auto"/>
          <w:highlight w:val="none"/>
        </w:rPr>
      </w:pPr>
      <w:r>
        <w:rPr>
          <w:rFonts w:hint="eastAsia" w:hAnsi="宋体" w:cs="宋体"/>
          <w:color w:val="auto"/>
          <w:highlight w:val="none"/>
        </w:rPr>
        <w:t>法定代表人或其委托代理人：</w:t>
      </w:r>
      <w:r>
        <w:rPr>
          <w:color w:val="auto"/>
          <w:highlight w:val="none"/>
        </w:rPr>
        <w:t xml:space="preserve">                    </w:t>
      </w:r>
      <w:r>
        <w:rPr>
          <w:rFonts w:hint="eastAsia" w:hAnsi="宋体" w:cs="宋体"/>
          <w:color w:val="auto"/>
          <w:highlight w:val="none"/>
        </w:rPr>
        <w:t>法定代表人或其委托代理人：</w:t>
      </w:r>
    </w:p>
    <w:p w14:paraId="665C361F">
      <w:pPr>
        <w:spacing w:line="360" w:lineRule="auto"/>
        <w:rPr>
          <w:color w:val="auto"/>
          <w:highlight w:val="none"/>
        </w:rPr>
      </w:pPr>
      <w:r>
        <w:rPr>
          <w:rFonts w:hint="eastAsia" w:hAnsi="宋体" w:cs="宋体"/>
          <w:color w:val="auto"/>
          <w:highlight w:val="none"/>
        </w:rPr>
        <w:t>（签字）</w:t>
      </w:r>
      <w:r>
        <w:rPr>
          <w:color w:val="auto"/>
          <w:highlight w:val="none"/>
        </w:rPr>
        <w:t xml:space="preserve">                                     </w:t>
      </w:r>
      <w:r>
        <w:rPr>
          <w:rFonts w:hint="eastAsia" w:hAnsi="宋体" w:cs="宋体"/>
          <w:color w:val="auto"/>
          <w:highlight w:val="none"/>
        </w:rPr>
        <w:t>（签字）</w:t>
      </w:r>
    </w:p>
    <w:p w14:paraId="5D00CF47">
      <w:pPr>
        <w:spacing w:line="360" w:lineRule="auto"/>
        <w:rPr>
          <w:color w:val="auto"/>
          <w:highlight w:val="none"/>
          <w:u w:val="single"/>
        </w:rPr>
      </w:pPr>
    </w:p>
    <w:p w14:paraId="7D9246C9">
      <w:pPr>
        <w:tabs>
          <w:tab w:val="left" w:pos="4410"/>
        </w:tabs>
        <w:spacing w:line="360" w:lineRule="auto"/>
        <w:rPr>
          <w:color w:val="auto"/>
          <w:highlight w:val="none"/>
        </w:rPr>
      </w:pPr>
      <w:r>
        <w:rPr>
          <w:rFonts w:hint="eastAsia" w:hAnsi="宋体" w:cs="宋体"/>
          <w:color w:val="auto"/>
          <w:highlight w:val="none"/>
        </w:rPr>
        <w:t>统一社会信用代码：</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cs="宋体"/>
          <w:color w:val="auto"/>
          <w:highlight w:val="none"/>
        </w:rPr>
        <w:t>统一</w:t>
      </w:r>
      <w:r>
        <w:rPr>
          <w:rFonts w:hint="eastAsia" w:hAnsi="宋体" w:cs="宋体"/>
          <w:color w:val="auto"/>
          <w:highlight w:val="none"/>
        </w:rPr>
        <w:t>社会信用代码：</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p>
    <w:p w14:paraId="3545AF31">
      <w:pPr>
        <w:spacing w:line="360" w:lineRule="auto"/>
        <w:rPr>
          <w:color w:val="auto"/>
          <w:highlight w:val="none"/>
        </w:rPr>
      </w:pPr>
      <w:r>
        <w:rPr>
          <w:rFonts w:hint="eastAsia" w:hAnsi="宋体" w:cs="宋体"/>
          <w:color w:val="auto"/>
          <w:highlight w:val="none"/>
        </w:rPr>
        <w:t>地</w:t>
      </w:r>
      <w:r>
        <w:rPr>
          <w:color w:val="auto"/>
          <w:highlight w:val="none"/>
        </w:rPr>
        <w:t xml:space="preserve">  </w:t>
      </w:r>
      <w:r>
        <w:rPr>
          <w:rFonts w:hint="eastAsia" w:hAnsi="宋体" w:cs="宋体"/>
          <w:color w:val="auto"/>
          <w:highlight w:val="none"/>
        </w:rPr>
        <w:t>址：</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地</w:t>
      </w:r>
      <w:r>
        <w:rPr>
          <w:color w:val="auto"/>
          <w:highlight w:val="none"/>
        </w:rPr>
        <w:t xml:space="preserve">  </w:t>
      </w:r>
      <w:r>
        <w:rPr>
          <w:rFonts w:hint="eastAsia" w:hAnsi="宋体" w:cs="宋体"/>
          <w:color w:val="auto"/>
          <w:highlight w:val="none"/>
        </w:rPr>
        <w:t>址：</w:t>
      </w:r>
      <w:r>
        <w:rPr>
          <w:color w:val="auto"/>
          <w:highlight w:val="none"/>
          <w:u w:val="single"/>
        </w:rPr>
        <w:t xml:space="preserve">        </w:t>
      </w:r>
      <w:r>
        <w:rPr>
          <w:rFonts w:hint="eastAsia"/>
          <w:color w:val="auto"/>
          <w:highlight w:val="none"/>
          <w:u w:val="single"/>
        </w:rPr>
        <w:t xml:space="preserve">                    </w:t>
      </w:r>
    </w:p>
    <w:p w14:paraId="2B8F1C67">
      <w:pPr>
        <w:spacing w:line="360" w:lineRule="auto"/>
        <w:rPr>
          <w:color w:val="auto"/>
          <w:highlight w:val="none"/>
        </w:rPr>
      </w:pPr>
      <w:r>
        <w:rPr>
          <w:rFonts w:hint="eastAsia" w:hAnsi="宋体" w:cs="宋体"/>
          <w:color w:val="auto"/>
          <w:highlight w:val="none"/>
        </w:rPr>
        <w:t>邮政编码：</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color w:val="auto"/>
          <w:highlight w:val="none"/>
        </w:rPr>
        <w:t xml:space="preserve"> </w:t>
      </w:r>
      <w:r>
        <w:rPr>
          <w:rFonts w:hint="eastAsia" w:hAnsi="宋体" w:cs="宋体"/>
          <w:color w:val="auto"/>
          <w:highlight w:val="none"/>
        </w:rPr>
        <w:t>邮政编码：</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348A4D02">
      <w:pPr>
        <w:spacing w:line="360" w:lineRule="auto"/>
        <w:rPr>
          <w:color w:val="auto"/>
          <w:highlight w:val="none"/>
        </w:rPr>
      </w:pPr>
      <w:r>
        <w:rPr>
          <w:rFonts w:hint="eastAsia" w:hAnsi="宋体" w:cs="宋体"/>
          <w:color w:val="auto"/>
          <w:highlight w:val="none"/>
        </w:rPr>
        <w:t>法定代表人：</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法定代表人：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5C98660D">
      <w:pPr>
        <w:spacing w:line="360" w:lineRule="auto"/>
        <w:rPr>
          <w:color w:val="auto"/>
          <w:highlight w:val="none"/>
        </w:rPr>
      </w:pPr>
      <w:r>
        <w:rPr>
          <w:rFonts w:hint="eastAsia" w:hAnsi="宋体" w:cs="宋体"/>
          <w:color w:val="auto"/>
          <w:highlight w:val="none"/>
        </w:rPr>
        <w:t>委托代理人：</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委托代理人：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280ED5D9">
      <w:pPr>
        <w:spacing w:line="360" w:lineRule="auto"/>
        <w:rPr>
          <w:color w:val="auto"/>
          <w:highlight w:val="none"/>
        </w:rPr>
      </w:pPr>
      <w:r>
        <w:rPr>
          <w:rFonts w:hint="eastAsia" w:hAnsi="宋体" w:cs="宋体"/>
          <w:color w:val="auto"/>
          <w:highlight w:val="none"/>
        </w:rPr>
        <w:t>电</w:t>
      </w:r>
      <w:r>
        <w:rPr>
          <w:color w:val="auto"/>
          <w:highlight w:val="none"/>
        </w:rPr>
        <w:t xml:space="preserve">  </w:t>
      </w:r>
      <w:r>
        <w:rPr>
          <w:rFonts w:hint="eastAsia" w:hAnsi="宋体" w:cs="宋体"/>
          <w:color w:val="auto"/>
          <w:highlight w:val="none"/>
        </w:rPr>
        <w:t>话：</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hAnsi="宋体" w:cs="宋体"/>
          <w:color w:val="auto"/>
          <w:highlight w:val="none"/>
        </w:rPr>
        <w:t>电</w:t>
      </w:r>
      <w:r>
        <w:rPr>
          <w:color w:val="auto"/>
          <w:highlight w:val="none"/>
        </w:rPr>
        <w:t xml:space="preserve">  </w:t>
      </w:r>
      <w:r>
        <w:rPr>
          <w:rFonts w:hint="eastAsia" w:hAnsi="宋体" w:cs="宋体"/>
          <w:color w:val="auto"/>
          <w:highlight w:val="none"/>
        </w:rPr>
        <w:t>话：</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34F81F2F">
      <w:pPr>
        <w:spacing w:line="360" w:lineRule="auto"/>
        <w:rPr>
          <w:color w:val="auto"/>
          <w:highlight w:val="none"/>
        </w:rPr>
      </w:pPr>
      <w:r>
        <w:rPr>
          <w:rFonts w:hint="eastAsia" w:hAnsi="宋体" w:cs="宋体"/>
          <w:color w:val="auto"/>
          <w:highlight w:val="none"/>
        </w:rPr>
        <w:t>传</w:t>
      </w:r>
      <w:r>
        <w:rPr>
          <w:color w:val="auto"/>
          <w:highlight w:val="none"/>
        </w:rPr>
        <w:t xml:space="preserve">  </w:t>
      </w:r>
      <w:r>
        <w:rPr>
          <w:rFonts w:hint="eastAsia" w:hAnsi="宋体" w:cs="宋体"/>
          <w:color w:val="auto"/>
          <w:highlight w:val="none"/>
        </w:rPr>
        <w:t>真：</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传</w:t>
      </w:r>
      <w:r>
        <w:rPr>
          <w:color w:val="auto"/>
          <w:highlight w:val="none"/>
        </w:rPr>
        <w:t xml:space="preserve">  </w:t>
      </w:r>
      <w:r>
        <w:rPr>
          <w:rFonts w:hint="eastAsia" w:hAnsi="宋体" w:cs="宋体"/>
          <w:color w:val="auto"/>
          <w:highlight w:val="none"/>
        </w:rPr>
        <w:t>真：</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4C7CA161">
      <w:pPr>
        <w:spacing w:line="360" w:lineRule="auto"/>
        <w:rPr>
          <w:color w:val="auto"/>
          <w:highlight w:val="none"/>
        </w:rPr>
      </w:pPr>
      <w:r>
        <w:rPr>
          <w:rFonts w:hint="eastAsia" w:hAnsi="宋体" w:cs="宋体"/>
          <w:color w:val="auto"/>
          <w:highlight w:val="none"/>
        </w:rPr>
        <w:t>电子信箱：</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电子信箱：</w:t>
      </w:r>
      <w:r>
        <w:rPr>
          <w:color w:val="auto"/>
          <w:highlight w:val="none"/>
          <w:u w:val="single"/>
        </w:rPr>
        <w:t xml:space="preserve">   </w:t>
      </w:r>
      <w:r>
        <w:rPr>
          <w:rFonts w:hint="eastAsia"/>
          <w:color w:val="auto"/>
          <w:highlight w:val="none"/>
          <w:u w:val="single"/>
        </w:rPr>
        <w:t xml:space="preserve">                      </w:t>
      </w:r>
    </w:p>
    <w:p w14:paraId="510E8AA8">
      <w:pPr>
        <w:spacing w:line="360" w:lineRule="auto"/>
        <w:rPr>
          <w:color w:val="auto"/>
          <w:highlight w:val="none"/>
        </w:rPr>
      </w:pPr>
      <w:r>
        <w:rPr>
          <w:rFonts w:hint="eastAsia" w:hAnsi="宋体" w:cs="宋体"/>
          <w:color w:val="auto"/>
          <w:highlight w:val="none"/>
        </w:rPr>
        <w:t>开户银行：</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开户银行：</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3C0BAFA0">
      <w:pPr>
        <w:rPr>
          <w:color w:val="auto"/>
          <w:highlight w:val="none"/>
          <w:u w:val="single"/>
        </w:rPr>
      </w:pPr>
      <w:r>
        <w:rPr>
          <w:rFonts w:hint="eastAsia" w:hAnsi="宋体" w:cs="宋体"/>
          <w:color w:val="auto"/>
          <w:highlight w:val="none"/>
        </w:rPr>
        <w:t>账</w:t>
      </w:r>
      <w:r>
        <w:rPr>
          <w:color w:val="auto"/>
          <w:highlight w:val="none"/>
        </w:rPr>
        <w:t xml:space="preserve">  </w:t>
      </w:r>
      <w:r>
        <w:rPr>
          <w:rFonts w:hint="eastAsia" w:hAnsi="宋体" w:cs="宋体"/>
          <w:color w:val="auto"/>
          <w:highlight w:val="none"/>
        </w:rPr>
        <w:t>号：</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账</w:t>
      </w:r>
      <w:r>
        <w:rPr>
          <w:color w:val="auto"/>
          <w:highlight w:val="none"/>
        </w:rPr>
        <w:t xml:space="preserve">  </w:t>
      </w:r>
      <w:r>
        <w:rPr>
          <w:rFonts w:hint="eastAsia" w:hAnsi="宋体" w:cs="宋体"/>
          <w:color w:val="auto"/>
          <w:highlight w:val="none"/>
        </w:rPr>
        <w:t>号：</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2D096A9C">
      <w:pPr>
        <w:pStyle w:val="3"/>
        <w:spacing w:before="0" w:after="0" w:line="240" w:lineRule="auto"/>
        <w:jc w:val="center"/>
        <w:rPr>
          <w:rFonts w:hint="eastAsia" w:ascii="宋体" w:hAnsi="宋体" w:eastAsia="宋体" w:cs="宋体"/>
          <w:b w:val="0"/>
          <w:bCs w:val="0"/>
          <w:color w:val="auto"/>
          <w:highlight w:val="none"/>
        </w:rPr>
      </w:pPr>
    </w:p>
    <w:p w14:paraId="700F2DD4">
      <w:pPr>
        <w:rPr>
          <w:rFonts w:hint="eastAsia" w:ascii="宋体" w:hAnsi="宋体" w:eastAsia="宋体" w:cs="宋体"/>
          <w:b w:val="0"/>
          <w:bCs w:val="0"/>
          <w:color w:val="auto"/>
          <w:highlight w:val="none"/>
        </w:rPr>
      </w:pPr>
    </w:p>
    <w:p w14:paraId="5EA815E2">
      <w:pPr>
        <w:rPr>
          <w:rFonts w:hint="eastAsia" w:ascii="宋体" w:hAnsi="宋体" w:eastAsia="宋体" w:cs="宋体"/>
          <w:b w:val="0"/>
          <w:bCs w:val="0"/>
          <w:color w:val="auto"/>
          <w:highlight w:val="none"/>
        </w:rPr>
      </w:pPr>
    </w:p>
    <w:p w14:paraId="30F9137E">
      <w:pPr>
        <w:rPr>
          <w:rFonts w:hint="eastAsia" w:ascii="宋体" w:hAnsi="宋体" w:eastAsia="宋体" w:cs="宋体"/>
          <w:b w:val="0"/>
          <w:bCs w:val="0"/>
          <w:color w:val="auto"/>
          <w:highlight w:val="none"/>
        </w:rPr>
      </w:pPr>
    </w:p>
    <w:p w14:paraId="3AFBCFEF">
      <w:pPr>
        <w:rPr>
          <w:rFonts w:hint="eastAsia" w:ascii="宋体" w:hAnsi="宋体" w:eastAsia="宋体" w:cs="宋体"/>
          <w:b w:val="0"/>
          <w:bCs w:val="0"/>
          <w:color w:val="auto"/>
          <w:highlight w:val="none"/>
        </w:rPr>
      </w:pPr>
    </w:p>
    <w:p w14:paraId="46A9E458">
      <w:pPr>
        <w:rPr>
          <w:rFonts w:hint="eastAsia" w:ascii="宋体" w:hAnsi="宋体" w:eastAsia="宋体" w:cs="宋体"/>
          <w:b w:val="0"/>
          <w:bCs w:val="0"/>
          <w:color w:val="auto"/>
          <w:highlight w:val="none"/>
        </w:rPr>
      </w:pPr>
    </w:p>
    <w:p w14:paraId="15123EAE">
      <w:pPr>
        <w:rPr>
          <w:rFonts w:hint="eastAsia" w:ascii="宋体" w:hAnsi="宋体" w:eastAsia="宋体" w:cs="宋体"/>
          <w:b w:val="0"/>
          <w:bCs w:val="0"/>
          <w:color w:val="auto"/>
          <w:highlight w:val="none"/>
        </w:rPr>
      </w:pPr>
    </w:p>
    <w:p w14:paraId="0C6AB3EB">
      <w:pPr>
        <w:rPr>
          <w:rFonts w:hint="eastAsia" w:ascii="宋体" w:hAnsi="宋体" w:eastAsia="宋体" w:cs="宋体"/>
          <w:b w:val="0"/>
          <w:bCs w:val="0"/>
          <w:color w:val="auto"/>
          <w:highlight w:val="none"/>
        </w:rPr>
      </w:pPr>
    </w:p>
    <w:p w14:paraId="2C67837D">
      <w:pPr>
        <w:rPr>
          <w:rFonts w:hint="eastAsia" w:ascii="宋体" w:hAnsi="宋体" w:eastAsia="宋体" w:cs="宋体"/>
          <w:b w:val="0"/>
          <w:bCs w:val="0"/>
          <w:color w:val="auto"/>
          <w:highlight w:val="none"/>
        </w:rPr>
      </w:pPr>
    </w:p>
    <w:p w14:paraId="4CA953C0">
      <w:pPr>
        <w:rPr>
          <w:rFonts w:hint="eastAsia" w:ascii="宋体" w:hAnsi="宋体" w:eastAsia="宋体" w:cs="宋体"/>
          <w:b w:val="0"/>
          <w:bCs w:val="0"/>
          <w:color w:val="auto"/>
          <w:highlight w:val="none"/>
        </w:rPr>
      </w:pPr>
    </w:p>
    <w:p w14:paraId="47A94AD9">
      <w:pPr>
        <w:rPr>
          <w:rFonts w:hint="eastAsia" w:ascii="宋体" w:hAnsi="宋体" w:eastAsia="宋体" w:cs="宋体"/>
          <w:b w:val="0"/>
          <w:bCs w:val="0"/>
          <w:color w:val="auto"/>
          <w:highlight w:val="none"/>
        </w:rPr>
      </w:pPr>
    </w:p>
    <w:p w14:paraId="3253A2FE">
      <w:pPr>
        <w:rPr>
          <w:rFonts w:hint="eastAsia" w:ascii="宋体" w:hAnsi="宋体" w:eastAsia="宋体" w:cs="宋体"/>
          <w:b w:val="0"/>
          <w:bCs w:val="0"/>
          <w:color w:val="auto"/>
          <w:highlight w:val="none"/>
        </w:rPr>
      </w:pPr>
    </w:p>
    <w:p w14:paraId="3FE7D4A6">
      <w:pPr>
        <w:rPr>
          <w:rFonts w:hint="eastAsia" w:ascii="宋体" w:hAnsi="宋体" w:eastAsia="宋体" w:cs="宋体"/>
          <w:b w:val="0"/>
          <w:bCs w:val="0"/>
          <w:color w:val="auto"/>
          <w:highlight w:val="none"/>
        </w:rPr>
      </w:pPr>
    </w:p>
    <w:p w14:paraId="11B7F6EC">
      <w:pPr>
        <w:rPr>
          <w:rFonts w:hint="eastAsia" w:ascii="宋体" w:hAnsi="宋体" w:eastAsia="宋体" w:cs="宋体"/>
          <w:b w:val="0"/>
          <w:bCs w:val="0"/>
          <w:color w:val="auto"/>
          <w:highlight w:val="none"/>
        </w:rPr>
      </w:pPr>
    </w:p>
    <w:p w14:paraId="6B89C7D9">
      <w:pPr>
        <w:pStyle w:val="3"/>
        <w:jc w:val="center"/>
        <w:rPr>
          <w:color w:val="auto"/>
          <w:highlight w:val="none"/>
        </w:rPr>
      </w:pPr>
      <w:bookmarkStart w:id="222" w:name="_Toc407135192"/>
      <w:bookmarkStart w:id="223" w:name="_Toc1714491818"/>
      <w:bookmarkStart w:id="224" w:name="_Toc389065256"/>
      <w:bookmarkStart w:id="225" w:name="_Toc78449778"/>
      <w:bookmarkStart w:id="226" w:name="_Toc19940"/>
      <w:bookmarkStart w:id="227" w:name="_Toc86847323"/>
      <w:bookmarkStart w:id="228" w:name="_Toc32557"/>
      <w:bookmarkStart w:id="229" w:name="_Toc373478338"/>
      <w:bookmarkStart w:id="230" w:name="_Toc351203632"/>
      <w:bookmarkStart w:id="231" w:name="_Toc373227691"/>
      <w:r>
        <w:rPr>
          <w:rFonts w:hint="eastAsia" w:cs="黑体"/>
          <w:color w:val="auto"/>
          <w:highlight w:val="none"/>
        </w:rPr>
        <w:t>第二部分</w:t>
      </w:r>
      <w:r>
        <w:rPr>
          <w:color w:val="auto"/>
          <w:highlight w:val="none"/>
        </w:rPr>
        <w:t xml:space="preserve"> </w:t>
      </w:r>
      <w:r>
        <w:rPr>
          <w:rFonts w:hint="eastAsia" w:cs="黑体"/>
          <w:color w:val="auto"/>
          <w:highlight w:val="none"/>
        </w:rPr>
        <w:t>通用合同条款</w:t>
      </w:r>
      <w:bookmarkEnd w:id="222"/>
      <w:bookmarkEnd w:id="223"/>
      <w:bookmarkEnd w:id="224"/>
      <w:bookmarkEnd w:id="225"/>
      <w:bookmarkEnd w:id="226"/>
      <w:bookmarkEnd w:id="227"/>
      <w:bookmarkEnd w:id="228"/>
    </w:p>
    <w:p w14:paraId="6C53A09E">
      <w:pPr>
        <w:spacing w:line="360" w:lineRule="auto"/>
        <w:ind w:firstLine="420" w:firstLineChars="200"/>
        <w:rPr>
          <w:rFonts w:hAnsi="宋体"/>
          <w:color w:val="auto"/>
          <w:kern w:val="0"/>
          <w:highlight w:val="none"/>
        </w:rPr>
      </w:pPr>
    </w:p>
    <w:p w14:paraId="009144EA">
      <w:pPr>
        <w:spacing w:line="360" w:lineRule="auto"/>
        <w:ind w:firstLine="422" w:firstLineChars="200"/>
        <w:rPr>
          <w:rFonts w:hAnsi="宋体"/>
          <w:b/>
          <w:bCs/>
          <w:color w:val="auto"/>
          <w:kern w:val="0"/>
          <w:highlight w:val="none"/>
        </w:rPr>
      </w:pPr>
      <w:r>
        <w:rPr>
          <w:rFonts w:hint="eastAsia" w:hAnsi="宋体" w:cs="宋体"/>
          <w:b/>
          <w:bCs/>
          <w:color w:val="auto"/>
          <w:kern w:val="0"/>
          <w:highlight w:val="none"/>
        </w:rPr>
        <w:t>采用《建设工程施工合同（示范文本）》（</w:t>
      </w:r>
      <w:r>
        <w:rPr>
          <w:rFonts w:hAnsi="宋体"/>
          <w:b/>
          <w:bCs/>
          <w:color w:val="auto"/>
          <w:kern w:val="0"/>
          <w:highlight w:val="none"/>
        </w:rPr>
        <w:t>GF</w:t>
      </w:r>
      <w:r>
        <w:rPr>
          <w:rFonts w:hAnsi="宋体" w:cs="宋体"/>
          <w:b/>
          <w:bCs/>
          <w:color w:val="auto"/>
          <w:kern w:val="0"/>
          <w:highlight w:val="none"/>
        </w:rPr>
        <w:t>—</w:t>
      </w:r>
      <w:r>
        <w:rPr>
          <w:rFonts w:hAnsi="宋体"/>
          <w:b/>
          <w:bCs/>
          <w:color w:val="auto"/>
          <w:kern w:val="0"/>
          <w:highlight w:val="none"/>
        </w:rPr>
        <w:t>201</w:t>
      </w:r>
      <w:r>
        <w:rPr>
          <w:rFonts w:hint="eastAsia" w:hAnsi="宋体"/>
          <w:b/>
          <w:bCs/>
          <w:color w:val="auto"/>
          <w:kern w:val="0"/>
          <w:highlight w:val="none"/>
        </w:rPr>
        <w:t>7</w:t>
      </w:r>
      <w:r>
        <w:rPr>
          <w:rFonts w:hAnsi="宋体" w:cs="宋体"/>
          <w:b/>
          <w:bCs/>
          <w:color w:val="auto"/>
          <w:kern w:val="0"/>
          <w:highlight w:val="none"/>
        </w:rPr>
        <w:t>—</w:t>
      </w:r>
      <w:r>
        <w:rPr>
          <w:rFonts w:hAnsi="宋体"/>
          <w:b/>
          <w:bCs/>
          <w:color w:val="auto"/>
          <w:kern w:val="0"/>
          <w:highlight w:val="none"/>
        </w:rPr>
        <w:t>0201</w:t>
      </w:r>
      <w:r>
        <w:rPr>
          <w:rFonts w:hint="eastAsia" w:hAnsi="宋体" w:cs="宋体"/>
          <w:b/>
          <w:bCs/>
          <w:color w:val="auto"/>
          <w:kern w:val="0"/>
          <w:highlight w:val="none"/>
        </w:rPr>
        <w:t>）。</w:t>
      </w:r>
    </w:p>
    <w:p w14:paraId="758B9C51">
      <w:pPr>
        <w:pStyle w:val="3"/>
        <w:keepNext w:val="0"/>
        <w:keepLines w:val="0"/>
        <w:jc w:val="center"/>
        <w:rPr>
          <w:rFonts w:hAnsi="宋体"/>
          <w:color w:val="auto"/>
          <w:sz w:val="30"/>
          <w:szCs w:val="30"/>
          <w:highlight w:val="none"/>
        </w:rPr>
      </w:pPr>
      <w:bookmarkStart w:id="232" w:name="_Toc28270"/>
      <w:bookmarkStart w:id="233" w:name="_Toc17501"/>
      <w:bookmarkStart w:id="234" w:name="_Toc704444909"/>
      <w:bookmarkStart w:id="235" w:name="_Toc1204138598"/>
      <w:bookmarkStart w:id="236" w:name="_Toc407135193"/>
      <w:bookmarkStart w:id="237" w:name="_Toc78449779"/>
      <w:bookmarkStart w:id="238" w:name="_Toc389065257"/>
      <w:r>
        <w:rPr>
          <w:rFonts w:hint="eastAsia" w:hAnsi="宋体" w:cs="黑体"/>
          <w:color w:val="auto"/>
          <w:sz w:val="30"/>
          <w:szCs w:val="30"/>
          <w:highlight w:val="none"/>
        </w:rPr>
        <w:t>第三部分</w:t>
      </w:r>
      <w:r>
        <w:rPr>
          <w:color w:val="auto"/>
          <w:sz w:val="30"/>
          <w:szCs w:val="30"/>
          <w:highlight w:val="none"/>
        </w:rPr>
        <w:t xml:space="preserve"> </w:t>
      </w:r>
      <w:r>
        <w:rPr>
          <w:rFonts w:hint="eastAsia" w:hAnsi="宋体" w:cs="黑体"/>
          <w:color w:val="auto"/>
          <w:sz w:val="30"/>
          <w:szCs w:val="30"/>
          <w:highlight w:val="none"/>
        </w:rPr>
        <w:t>专用合同条款</w:t>
      </w:r>
      <w:bookmarkEnd w:id="229"/>
      <w:bookmarkEnd w:id="230"/>
      <w:bookmarkEnd w:id="231"/>
      <w:bookmarkEnd w:id="232"/>
      <w:bookmarkEnd w:id="233"/>
      <w:bookmarkEnd w:id="234"/>
      <w:bookmarkEnd w:id="235"/>
      <w:bookmarkEnd w:id="236"/>
      <w:bookmarkEnd w:id="237"/>
      <w:bookmarkEnd w:id="238"/>
    </w:p>
    <w:p w14:paraId="4FA606A0">
      <w:pPr>
        <w:spacing w:line="360" w:lineRule="auto"/>
        <w:jc w:val="center"/>
        <w:rPr>
          <w:rFonts w:hAnsi="宋体"/>
          <w:b/>
          <w:bCs/>
          <w:color w:val="auto"/>
          <w:kern w:val="0"/>
          <w:highlight w:val="none"/>
        </w:rPr>
      </w:pPr>
      <w:r>
        <w:rPr>
          <w:rFonts w:hint="eastAsia" w:hAnsi="宋体" w:cs="宋体"/>
          <w:b/>
          <w:bCs/>
          <w:color w:val="auto"/>
          <w:kern w:val="0"/>
          <w:highlight w:val="none"/>
        </w:rPr>
        <w:t>（注：专用合同条款每一条均应填写完整！）</w:t>
      </w:r>
    </w:p>
    <w:p w14:paraId="0A9E1116">
      <w:pPr>
        <w:pStyle w:val="4"/>
        <w:rPr>
          <w:color w:val="auto"/>
          <w:highlight w:val="none"/>
        </w:rPr>
      </w:pPr>
      <w:bookmarkStart w:id="239" w:name="_Toc389065258"/>
      <w:bookmarkStart w:id="240" w:name="_Toc351203633"/>
      <w:bookmarkStart w:id="241" w:name="_Toc78449780"/>
      <w:bookmarkStart w:id="242" w:name="_Toc1516097295"/>
      <w:bookmarkStart w:id="243" w:name="_Toc21146"/>
      <w:bookmarkStart w:id="244" w:name="_Toc1013968286"/>
      <w:bookmarkStart w:id="245" w:name="_Toc407135194"/>
      <w:bookmarkStart w:id="246" w:name="_Toc16455"/>
      <w:bookmarkStart w:id="247" w:name="_Toc373227692"/>
      <w:bookmarkStart w:id="248" w:name="_Toc373478339"/>
      <w:r>
        <w:rPr>
          <w:color w:val="auto"/>
          <w:highlight w:val="none"/>
        </w:rPr>
        <w:t>1</w:t>
      </w:r>
      <w:bookmarkStart w:id="249" w:name="_Toc296347155"/>
      <w:bookmarkStart w:id="250" w:name="_Toc296890984"/>
      <w:bookmarkStart w:id="251" w:name="_Toc297120456"/>
      <w:bookmarkStart w:id="252" w:name="_Toc297048342"/>
      <w:bookmarkStart w:id="253" w:name="_Toc296503156"/>
      <w:bookmarkStart w:id="254" w:name="_Toc292559361"/>
      <w:bookmarkStart w:id="255" w:name="_Toc296891196"/>
      <w:bookmarkStart w:id="256" w:name="_Toc292559866"/>
      <w:bookmarkStart w:id="257" w:name="_Toc296944495"/>
      <w:bookmarkStart w:id="258" w:name="_Toc296346657"/>
      <w:r>
        <w:rPr>
          <w:color w:val="auto"/>
          <w:highlight w:val="none"/>
        </w:rPr>
        <w:t xml:space="preserve">. </w:t>
      </w:r>
      <w:r>
        <w:rPr>
          <w:rFonts w:hint="eastAsia" w:hAnsi="宋体" w:cs="黑体"/>
          <w:color w:val="auto"/>
          <w:highlight w:val="none"/>
        </w:rPr>
        <w:t>一般约定</w:t>
      </w:r>
      <w:bookmarkEnd w:id="239"/>
      <w:bookmarkEnd w:id="240"/>
      <w:bookmarkEnd w:id="241"/>
      <w:bookmarkEnd w:id="242"/>
      <w:bookmarkEnd w:id="243"/>
      <w:bookmarkEnd w:id="244"/>
      <w:bookmarkEnd w:id="245"/>
      <w:bookmarkEnd w:id="246"/>
      <w:bookmarkEnd w:id="247"/>
      <w:bookmarkEnd w:id="248"/>
    </w:p>
    <w:bookmarkEnd w:id="249"/>
    <w:bookmarkEnd w:id="250"/>
    <w:bookmarkEnd w:id="251"/>
    <w:bookmarkEnd w:id="252"/>
    <w:bookmarkEnd w:id="253"/>
    <w:bookmarkEnd w:id="254"/>
    <w:bookmarkEnd w:id="255"/>
    <w:bookmarkEnd w:id="256"/>
    <w:bookmarkEnd w:id="257"/>
    <w:bookmarkEnd w:id="258"/>
    <w:p w14:paraId="6ACDC33C">
      <w:pPr>
        <w:pStyle w:val="5"/>
        <w:rPr>
          <w:color w:val="auto"/>
          <w:highlight w:val="none"/>
        </w:rPr>
      </w:pPr>
      <w:bookmarkStart w:id="259" w:name="_Toc373478340"/>
      <w:bookmarkStart w:id="260" w:name="_Toc28540"/>
      <w:bookmarkStart w:id="261" w:name="_Toc407135195"/>
      <w:bookmarkStart w:id="262" w:name="_Toc78449781"/>
      <w:bookmarkStart w:id="263" w:name="_Toc1618220701"/>
      <w:bookmarkStart w:id="264" w:name="_Toc373227693"/>
      <w:bookmarkStart w:id="265" w:name="_Toc155697041"/>
      <w:bookmarkStart w:id="266" w:name="_Toc389065259"/>
      <w:r>
        <w:rPr>
          <w:color w:val="auto"/>
          <w:highlight w:val="none"/>
        </w:rPr>
        <w:t xml:space="preserve">1.1 </w:t>
      </w:r>
      <w:r>
        <w:rPr>
          <w:rFonts w:hint="eastAsia" w:hAnsi="宋体" w:cs="黑体"/>
          <w:color w:val="auto"/>
          <w:highlight w:val="none"/>
        </w:rPr>
        <w:t>词语定义</w:t>
      </w:r>
      <w:bookmarkEnd w:id="259"/>
      <w:bookmarkEnd w:id="260"/>
      <w:bookmarkEnd w:id="261"/>
      <w:bookmarkEnd w:id="262"/>
      <w:bookmarkEnd w:id="263"/>
      <w:bookmarkEnd w:id="264"/>
      <w:bookmarkEnd w:id="265"/>
      <w:bookmarkEnd w:id="266"/>
    </w:p>
    <w:p w14:paraId="5B635863">
      <w:pPr>
        <w:spacing w:line="360" w:lineRule="auto"/>
        <w:ind w:firstLine="420" w:firstLineChars="200"/>
        <w:rPr>
          <w:color w:val="auto"/>
          <w:kern w:val="0"/>
          <w:highlight w:val="none"/>
        </w:rPr>
      </w:pPr>
      <w:r>
        <w:rPr>
          <w:color w:val="auto"/>
          <w:kern w:val="0"/>
          <w:highlight w:val="none"/>
        </w:rPr>
        <w:t xml:space="preserve">1.1.1 </w:t>
      </w:r>
      <w:r>
        <w:rPr>
          <w:rFonts w:hint="eastAsia" w:hAnsi="宋体" w:cs="宋体"/>
          <w:color w:val="auto"/>
          <w:kern w:val="0"/>
          <w:highlight w:val="none"/>
        </w:rPr>
        <w:t>合同</w:t>
      </w:r>
    </w:p>
    <w:p w14:paraId="0B8E2D13">
      <w:pPr>
        <w:spacing w:line="360" w:lineRule="auto"/>
        <w:ind w:firstLine="420" w:firstLineChars="200"/>
        <w:rPr>
          <w:color w:val="auto"/>
          <w:kern w:val="0"/>
          <w:highlight w:val="none"/>
        </w:rPr>
      </w:pPr>
      <w:r>
        <w:rPr>
          <w:color w:val="auto"/>
          <w:kern w:val="0"/>
          <w:highlight w:val="none"/>
        </w:rPr>
        <w:t xml:space="preserve">1.1.1.10 </w:t>
      </w:r>
      <w:r>
        <w:rPr>
          <w:rFonts w:hint="eastAsia" w:hAnsi="宋体" w:cs="宋体"/>
          <w:color w:val="auto"/>
          <w:kern w:val="0"/>
          <w:highlight w:val="none"/>
        </w:rPr>
        <w:t>其他合同文件包括：</w:t>
      </w:r>
      <w:r>
        <w:rPr>
          <w:color w:val="auto"/>
          <w:highlight w:val="none"/>
          <w:u w:val="single"/>
        </w:rPr>
        <w:t xml:space="preserve"> </w:t>
      </w:r>
      <w:r>
        <w:rPr>
          <w:rFonts w:hint="eastAsia"/>
          <w:color w:val="auto"/>
          <w:highlight w:val="none"/>
          <w:u w:val="single"/>
        </w:rPr>
        <w:t>履行合同过程中双方法定代表人</w:t>
      </w:r>
      <w:r>
        <w:rPr>
          <w:rFonts w:hint="eastAsia"/>
          <w:color w:val="auto"/>
          <w:highlight w:val="none"/>
          <w:u w:val="single"/>
          <w:lang w:eastAsia="zh-CN"/>
        </w:rPr>
        <w:t>（</w:t>
      </w:r>
      <w:r>
        <w:rPr>
          <w:rFonts w:hint="eastAsia"/>
          <w:color w:val="auto"/>
          <w:highlight w:val="none"/>
          <w:u w:val="single"/>
        </w:rPr>
        <w:t>或经确认被授权的双方工地代表人</w:t>
      </w:r>
      <w:r>
        <w:rPr>
          <w:rFonts w:hint="eastAsia"/>
          <w:color w:val="auto"/>
          <w:highlight w:val="none"/>
          <w:u w:val="single"/>
          <w:lang w:eastAsia="zh-CN"/>
        </w:rPr>
        <w:t>）</w:t>
      </w:r>
      <w:r>
        <w:rPr>
          <w:rFonts w:hint="eastAsia"/>
          <w:color w:val="auto"/>
          <w:highlight w:val="none"/>
          <w:u w:val="single"/>
        </w:rPr>
        <w:t>书面确认的对合同内容有实质性影响的会议纪要、签证、设计变更等资料</w:t>
      </w:r>
      <w:r>
        <w:rPr>
          <w:color w:val="auto"/>
          <w:highlight w:val="none"/>
          <w:u w:val="single"/>
        </w:rPr>
        <w:t xml:space="preserve"> </w:t>
      </w:r>
      <w:r>
        <w:rPr>
          <w:rFonts w:hint="eastAsia" w:hAnsi="宋体" w:cs="宋体"/>
          <w:color w:val="auto"/>
          <w:highlight w:val="none"/>
        </w:rPr>
        <w:t>。</w:t>
      </w:r>
    </w:p>
    <w:p w14:paraId="3F22BA52">
      <w:pPr>
        <w:spacing w:line="360" w:lineRule="auto"/>
        <w:ind w:firstLine="420" w:firstLineChars="200"/>
        <w:rPr>
          <w:color w:val="auto"/>
          <w:highlight w:val="none"/>
        </w:rPr>
      </w:pPr>
      <w:r>
        <w:rPr>
          <w:color w:val="auto"/>
          <w:highlight w:val="none"/>
        </w:rPr>
        <w:t xml:space="preserve">1.1.2 </w:t>
      </w:r>
      <w:r>
        <w:rPr>
          <w:rFonts w:hint="eastAsia" w:hAnsi="宋体" w:cs="宋体"/>
          <w:color w:val="auto"/>
          <w:highlight w:val="none"/>
        </w:rPr>
        <w:t>合同当事人及其他相关方</w:t>
      </w:r>
    </w:p>
    <w:p w14:paraId="3CEC28A9">
      <w:pPr>
        <w:spacing w:line="360" w:lineRule="auto"/>
        <w:ind w:firstLine="420" w:firstLineChars="200"/>
        <w:outlineLvl w:val="0"/>
        <w:rPr>
          <w:color w:val="auto"/>
          <w:highlight w:val="none"/>
        </w:rPr>
      </w:pPr>
      <w:bookmarkStart w:id="267" w:name="_Toc30452"/>
      <w:bookmarkStart w:id="268" w:name="_Toc24341"/>
      <w:r>
        <w:rPr>
          <w:color w:val="auto"/>
          <w:highlight w:val="none"/>
        </w:rPr>
        <w:t xml:space="preserve">1.1.2.4 </w:t>
      </w:r>
      <w:r>
        <w:rPr>
          <w:rFonts w:hint="eastAsia" w:hAnsi="宋体" w:cs="宋体"/>
          <w:color w:val="auto"/>
          <w:highlight w:val="none"/>
        </w:rPr>
        <w:t>监理人：</w:t>
      </w:r>
      <w:bookmarkEnd w:id="267"/>
      <w:bookmarkEnd w:id="268"/>
    </w:p>
    <w:p w14:paraId="095E66A7">
      <w:pPr>
        <w:spacing w:line="360" w:lineRule="auto"/>
        <w:ind w:firstLine="420" w:firstLineChars="200"/>
        <w:rPr>
          <w:color w:val="auto"/>
          <w:highlight w:val="none"/>
        </w:rPr>
      </w:pPr>
      <w:r>
        <w:rPr>
          <w:rFonts w:hint="eastAsia" w:hAnsi="宋体" w:cs="宋体"/>
          <w:color w:val="auto"/>
          <w:highlight w:val="none"/>
        </w:rPr>
        <w:t>名</w:t>
      </w:r>
      <w:r>
        <w:rPr>
          <w:color w:val="auto"/>
          <w:highlight w:val="none"/>
        </w:rPr>
        <w:t xml:space="preserve">    </w:t>
      </w:r>
      <w:r>
        <w:rPr>
          <w:rFonts w:hint="eastAsia" w:hAnsi="宋体" w:cs="宋体"/>
          <w:color w:val="auto"/>
          <w:highlight w:val="none"/>
        </w:rPr>
        <w:t>称：</w:t>
      </w:r>
      <w:r>
        <w:rPr>
          <w:color w:val="auto"/>
          <w:highlight w:val="none"/>
          <w:u w:val="single"/>
        </w:rPr>
        <w:t xml:space="preserve">                </w:t>
      </w:r>
      <w:r>
        <w:rPr>
          <w:rFonts w:hint="eastAsia" w:hAnsi="宋体" w:cs="宋体"/>
          <w:color w:val="auto"/>
          <w:highlight w:val="none"/>
        </w:rPr>
        <w:t>；</w:t>
      </w:r>
    </w:p>
    <w:p w14:paraId="4C0234DD">
      <w:pPr>
        <w:spacing w:line="360" w:lineRule="auto"/>
        <w:ind w:firstLine="420" w:firstLineChars="200"/>
        <w:rPr>
          <w:color w:val="auto"/>
          <w:highlight w:val="none"/>
        </w:rPr>
      </w:pPr>
      <w:r>
        <w:rPr>
          <w:rFonts w:hint="eastAsia" w:hAnsi="宋体" w:cs="宋体"/>
          <w:color w:val="auto"/>
          <w:highlight w:val="none"/>
        </w:rPr>
        <w:t>资质类别和等级：</w:t>
      </w:r>
      <w:r>
        <w:rPr>
          <w:color w:val="auto"/>
          <w:highlight w:val="none"/>
          <w:u w:val="single"/>
        </w:rPr>
        <w:t xml:space="preserve">               </w:t>
      </w:r>
      <w:r>
        <w:rPr>
          <w:rFonts w:hint="eastAsia" w:hAnsi="宋体" w:cs="宋体"/>
          <w:color w:val="auto"/>
          <w:highlight w:val="none"/>
        </w:rPr>
        <w:t>；</w:t>
      </w:r>
    </w:p>
    <w:p w14:paraId="71B9FC79">
      <w:pPr>
        <w:spacing w:line="360" w:lineRule="auto"/>
        <w:ind w:firstLine="420" w:firstLineChars="200"/>
        <w:rPr>
          <w:color w:val="auto"/>
          <w:highlight w:val="none"/>
        </w:rPr>
      </w:pPr>
      <w:r>
        <w:rPr>
          <w:rFonts w:hint="eastAsia" w:hAnsi="宋体" w:cs="宋体"/>
          <w:color w:val="auto"/>
          <w:highlight w:val="none"/>
        </w:rPr>
        <w:t>联系电话：</w:t>
      </w:r>
      <w:r>
        <w:rPr>
          <w:color w:val="auto"/>
          <w:highlight w:val="none"/>
          <w:u w:val="single"/>
        </w:rPr>
        <w:t xml:space="preserve">                </w:t>
      </w:r>
      <w:r>
        <w:rPr>
          <w:rFonts w:hint="eastAsia" w:hAnsi="宋体" w:cs="宋体"/>
          <w:color w:val="auto"/>
          <w:highlight w:val="none"/>
        </w:rPr>
        <w:t>；</w:t>
      </w:r>
    </w:p>
    <w:p w14:paraId="685ADA20">
      <w:pPr>
        <w:spacing w:line="360" w:lineRule="auto"/>
        <w:ind w:firstLine="420" w:firstLineChars="200"/>
        <w:rPr>
          <w:color w:val="auto"/>
          <w:highlight w:val="none"/>
        </w:rPr>
      </w:pPr>
      <w:r>
        <w:rPr>
          <w:rFonts w:hint="eastAsia" w:hAnsi="宋体" w:cs="宋体"/>
          <w:color w:val="auto"/>
          <w:highlight w:val="none"/>
        </w:rPr>
        <w:t>电子信箱：</w:t>
      </w:r>
      <w:r>
        <w:rPr>
          <w:color w:val="auto"/>
          <w:highlight w:val="none"/>
          <w:u w:val="single"/>
        </w:rPr>
        <w:t xml:space="preserve">                </w:t>
      </w:r>
      <w:r>
        <w:rPr>
          <w:rFonts w:hint="eastAsia" w:hAnsi="宋体" w:cs="宋体"/>
          <w:color w:val="auto"/>
          <w:highlight w:val="none"/>
        </w:rPr>
        <w:t>；</w:t>
      </w:r>
    </w:p>
    <w:p w14:paraId="2951A8D1">
      <w:pPr>
        <w:spacing w:line="360" w:lineRule="auto"/>
        <w:ind w:firstLine="420" w:firstLineChars="200"/>
        <w:rPr>
          <w:color w:val="auto"/>
          <w:highlight w:val="none"/>
        </w:rPr>
      </w:pPr>
      <w:r>
        <w:rPr>
          <w:rFonts w:hint="eastAsia" w:hAnsi="宋体" w:cs="宋体"/>
          <w:color w:val="auto"/>
          <w:highlight w:val="none"/>
        </w:rPr>
        <w:t>通信地址：</w:t>
      </w:r>
      <w:r>
        <w:rPr>
          <w:color w:val="auto"/>
          <w:highlight w:val="none"/>
          <w:u w:val="single"/>
        </w:rPr>
        <w:t xml:space="preserve">                </w:t>
      </w:r>
      <w:r>
        <w:rPr>
          <w:rFonts w:hint="eastAsia" w:hAnsi="宋体" w:cs="宋体"/>
          <w:color w:val="auto"/>
          <w:highlight w:val="none"/>
        </w:rPr>
        <w:t>。</w:t>
      </w:r>
    </w:p>
    <w:p w14:paraId="4FF55DBC">
      <w:pPr>
        <w:spacing w:line="360" w:lineRule="auto"/>
        <w:ind w:firstLine="420" w:firstLineChars="200"/>
        <w:outlineLvl w:val="0"/>
        <w:rPr>
          <w:color w:val="auto"/>
          <w:highlight w:val="none"/>
        </w:rPr>
      </w:pPr>
      <w:bookmarkStart w:id="269" w:name="_Toc14945"/>
      <w:bookmarkStart w:id="270" w:name="_Toc5694"/>
      <w:r>
        <w:rPr>
          <w:color w:val="auto"/>
          <w:highlight w:val="none"/>
        </w:rPr>
        <w:t xml:space="preserve">1.1.2.5 </w:t>
      </w:r>
      <w:r>
        <w:rPr>
          <w:rFonts w:hint="eastAsia" w:hAnsi="宋体" w:cs="宋体"/>
          <w:color w:val="auto"/>
          <w:highlight w:val="none"/>
        </w:rPr>
        <w:t>设计人：</w:t>
      </w:r>
      <w:bookmarkEnd w:id="269"/>
      <w:bookmarkEnd w:id="270"/>
    </w:p>
    <w:p w14:paraId="42E2638E">
      <w:pPr>
        <w:spacing w:line="360" w:lineRule="auto"/>
        <w:ind w:firstLine="420" w:firstLineChars="200"/>
        <w:rPr>
          <w:color w:val="auto"/>
          <w:highlight w:val="none"/>
        </w:rPr>
      </w:pPr>
      <w:r>
        <w:rPr>
          <w:rFonts w:hint="eastAsia" w:hAnsi="宋体" w:cs="宋体"/>
          <w:color w:val="auto"/>
          <w:highlight w:val="none"/>
        </w:rPr>
        <w:t>名</w:t>
      </w:r>
      <w:r>
        <w:rPr>
          <w:color w:val="auto"/>
          <w:highlight w:val="none"/>
        </w:rPr>
        <w:t xml:space="preserve">    </w:t>
      </w:r>
      <w:r>
        <w:rPr>
          <w:rFonts w:hint="eastAsia" w:hAnsi="宋体" w:cs="宋体"/>
          <w:color w:val="auto"/>
          <w:highlight w:val="none"/>
        </w:rPr>
        <w:t>称：</w:t>
      </w:r>
      <w:r>
        <w:rPr>
          <w:color w:val="auto"/>
          <w:highlight w:val="none"/>
          <w:u w:val="single"/>
        </w:rPr>
        <w:t xml:space="preserve">                 </w:t>
      </w:r>
      <w:r>
        <w:rPr>
          <w:rFonts w:hint="eastAsia" w:hAnsi="宋体" w:cs="宋体"/>
          <w:color w:val="auto"/>
          <w:highlight w:val="none"/>
        </w:rPr>
        <w:t>；</w:t>
      </w:r>
    </w:p>
    <w:p w14:paraId="3980A5AD">
      <w:pPr>
        <w:spacing w:line="360" w:lineRule="auto"/>
        <w:ind w:firstLine="420" w:firstLineChars="200"/>
        <w:rPr>
          <w:color w:val="auto"/>
          <w:highlight w:val="none"/>
        </w:rPr>
      </w:pPr>
      <w:r>
        <w:rPr>
          <w:rFonts w:hint="eastAsia" w:hAnsi="宋体" w:cs="宋体"/>
          <w:color w:val="auto"/>
          <w:highlight w:val="none"/>
        </w:rPr>
        <w:t>资质类别和等级：</w:t>
      </w:r>
      <w:r>
        <w:rPr>
          <w:color w:val="auto"/>
          <w:highlight w:val="none"/>
          <w:u w:val="single"/>
        </w:rPr>
        <w:t xml:space="preserve">               </w:t>
      </w:r>
      <w:r>
        <w:rPr>
          <w:rFonts w:hint="eastAsia" w:hAnsi="宋体" w:cs="宋体"/>
          <w:color w:val="auto"/>
          <w:highlight w:val="none"/>
        </w:rPr>
        <w:t>；</w:t>
      </w:r>
    </w:p>
    <w:p w14:paraId="4BC83823">
      <w:pPr>
        <w:spacing w:line="360" w:lineRule="auto"/>
        <w:ind w:firstLine="420" w:firstLineChars="200"/>
        <w:rPr>
          <w:color w:val="auto"/>
          <w:highlight w:val="none"/>
        </w:rPr>
      </w:pPr>
      <w:r>
        <w:rPr>
          <w:rFonts w:hint="eastAsia" w:hAnsi="宋体" w:cs="宋体"/>
          <w:color w:val="auto"/>
          <w:highlight w:val="none"/>
        </w:rPr>
        <w:t>联系电话：</w:t>
      </w:r>
      <w:r>
        <w:rPr>
          <w:color w:val="auto"/>
          <w:highlight w:val="none"/>
          <w:u w:val="single"/>
        </w:rPr>
        <w:t xml:space="preserve">                 </w:t>
      </w:r>
      <w:r>
        <w:rPr>
          <w:rFonts w:hint="eastAsia" w:hAnsi="宋体" w:cs="宋体"/>
          <w:color w:val="auto"/>
          <w:highlight w:val="none"/>
        </w:rPr>
        <w:t>；</w:t>
      </w:r>
    </w:p>
    <w:p w14:paraId="2A47BE70">
      <w:pPr>
        <w:spacing w:line="360" w:lineRule="auto"/>
        <w:ind w:firstLine="420" w:firstLineChars="200"/>
        <w:rPr>
          <w:color w:val="auto"/>
          <w:highlight w:val="none"/>
        </w:rPr>
      </w:pPr>
      <w:r>
        <w:rPr>
          <w:rFonts w:hint="eastAsia" w:hAnsi="宋体" w:cs="宋体"/>
          <w:color w:val="auto"/>
          <w:highlight w:val="none"/>
        </w:rPr>
        <w:t>电子信箱：</w:t>
      </w:r>
      <w:r>
        <w:rPr>
          <w:color w:val="auto"/>
          <w:highlight w:val="none"/>
          <w:u w:val="single"/>
        </w:rPr>
        <w:t xml:space="preserve">                    </w:t>
      </w:r>
      <w:r>
        <w:rPr>
          <w:rFonts w:hint="eastAsia" w:hAnsi="宋体" w:cs="宋体"/>
          <w:color w:val="auto"/>
          <w:highlight w:val="none"/>
        </w:rPr>
        <w:t>；</w:t>
      </w:r>
    </w:p>
    <w:p w14:paraId="3776A09C">
      <w:pPr>
        <w:spacing w:line="360" w:lineRule="auto"/>
        <w:ind w:firstLine="420" w:firstLineChars="200"/>
        <w:rPr>
          <w:color w:val="auto"/>
          <w:highlight w:val="none"/>
        </w:rPr>
      </w:pPr>
      <w:r>
        <w:rPr>
          <w:rFonts w:hint="eastAsia" w:hAnsi="宋体" w:cs="宋体"/>
          <w:color w:val="auto"/>
          <w:highlight w:val="none"/>
        </w:rPr>
        <w:t>通信地址：</w:t>
      </w:r>
      <w:r>
        <w:rPr>
          <w:color w:val="auto"/>
          <w:highlight w:val="none"/>
          <w:u w:val="single"/>
        </w:rPr>
        <w:t xml:space="preserve">                </w:t>
      </w:r>
      <w:r>
        <w:rPr>
          <w:rFonts w:hint="eastAsia" w:hAnsi="宋体" w:cs="宋体"/>
          <w:color w:val="auto"/>
          <w:highlight w:val="none"/>
        </w:rPr>
        <w:t>。</w:t>
      </w:r>
    </w:p>
    <w:p w14:paraId="7A16E6EE">
      <w:pPr>
        <w:spacing w:line="360" w:lineRule="auto"/>
        <w:ind w:firstLine="420" w:firstLineChars="200"/>
        <w:rPr>
          <w:color w:val="auto"/>
          <w:highlight w:val="none"/>
        </w:rPr>
      </w:pPr>
      <w:r>
        <w:rPr>
          <w:color w:val="auto"/>
          <w:highlight w:val="none"/>
        </w:rPr>
        <w:t xml:space="preserve">1.1.3 </w:t>
      </w:r>
      <w:r>
        <w:rPr>
          <w:rFonts w:hint="eastAsia" w:hAnsi="宋体" w:cs="宋体"/>
          <w:color w:val="auto"/>
          <w:highlight w:val="none"/>
        </w:rPr>
        <w:t>工程和设备</w:t>
      </w:r>
    </w:p>
    <w:p w14:paraId="046655EB">
      <w:pPr>
        <w:spacing w:line="360" w:lineRule="auto"/>
        <w:ind w:firstLine="420" w:firstLineChars="200"/>
        <w:outlineLvl w:val="0"/>
        <w:rPr>
          <w:rFonts w:hAnsi="宋体"/>
          <w:color w:val="auto"/>
          <w:highlight w:val="none"/>
        </w:rPr>
      </w:pPr>
      <w:bookmarkStart w:id="271" w:name="_Toc17843"/>
      <w:bookmarkStart w:id="272" w:name="_Toc5332"/>
      <w:r>
        <w:rPr>
          <w:color w:val="auto"/>
          <w:highlight w:val="none"/>
        </w:rPr>
        <w:t xml:space="preserve">1.1.3.7 </w:t>
      </w:r>
      <w:r>
        <w:rPr>
          <w:rFonts w:hint="eastAsia" w:hAnsi="宋体" w:cs="宋体"/>
          <w:color w:val="auto"/>
          <w:highlight w:val="none"/>
        </w:rPr>
        <w:t>作为施工现场组成部分的其他场所包括：</w:t>
      </w:r>
      <w:bookmarkEnd w:id="271"/>
      <w:bookmarkEnd w:id="272"/>
    </w:p>
    <w:p w14:paraId="1425CF7D">
      <w:pPr>
        <w:spacing w:line="360" w:lineRule="auto"/>
        <w:ind w:firstLine="420" w:firstLineChars="200"/>
        <w:rPr>
          <w:color w:val="auto"/>
          <w:highlight w:val="none"/>
        </w:rPr>
      </w:pPr>
      <w:r>
        <w:rPr>
          <w:color w:val="auto"/>
          <w:highlight w:val="none"/>
          <w:u w:val="single"/>
        </w:rPr>
        <w:t xml:space="preserve"> </w:t>
      </w:r>
      <w:r>
        <w:rPr>
          <w:rFonts w:hint="eastAsia"/>
          <w:color w:val="auto"/>
          <w:highlight w:val="none"/>
          <w:u w:val="single"/>
        </w:rPr>
        <w:t>符合通用条款规定的发包人提供的施工场地或双方另行确定</w:t>
      </w:r>
      <w:r>
        <w:rPr>
          <w:rFonts w:hAnsi="宋体"/>
          <w:color w:val="auto"/>
          <w:highlight w:val="none"/>
          <w:u w:val="single"/>
        </w:rPr>
        <w:t xml:space="preserve"> </w:t>
      </w:r>
      <w:r>
        <w:rPr>
          <w:rFonts w:hint="eastAsia" w:hAnsi="宋体" w:cs="宋体"/>
          <w:color w:val="auto"/>
          <w:highlight w:val="none"/>
        </w:rPr>
        <w:t>。</w:t>
      </w:r>
    </w:p>
    <w:p w14:paraId="4A15FD5E">
      <w:pPr>
        <w:spacing w:line="360" w:lineRule="auto"/>
        <w:ind w:firstLine="420" w:firstLineChars="200"/>
        <w:jc w:val="left"/>
        <w:rPr>
          <w:color w:val="auto"/>
          <w:kern w:val="0"/>
          <w:highlight w:val="none"/>
        </w:rPr>
      </w:pPr>
      <w:r>
        <w:rPr>
          <w:color w:val="auto"/>
          <w:kern w:val="0"/>
          <w:highlight w:val="none"/>
        </w:rPr>
        <w:t xml:space="preserve">1.1.3.9 </w:t>
      </w:r>
      <w:r>
        <w:rPr>
          <w:rFonts w:hint="eastAsia" w:hAnsi="宋体" w:cs="宋体"/>
          <w:color w:val="auto"/>
          <w:kern w:val="0"/>
          <w:highlight w:val="none"/>
        </w:rPr>
        <w:t>永久占地包括：</w:t>
      </w:r>
      <w:r>
        <w:rPr>
          <w:color w:val="auto"/>
          <w:highlight w:val="none"/>
          <w:u w:val="single"/>
        </w:rPr>
        <w:t xml:space="preserve"> </w:t>
      </w:r>
      <w:r>
        <w:rPr>
          <w:rFonts w:hint="eastAsia"/>
          <w:color w:val="auto"/>
          <w:highlight w:val="none"/>
          <w:u w:val="single"/>
        </w:rPr>
        <w:t>依据设计图纸确定</w:t>
      </w:r>
      <w:r>
        <w:rPr>
          <w:color w:val="auto"/>
          <w:highlight w:val="none"/>
          <w:u w:val="single"/>
        </w:rPr>
        <w:t xml:space="preserve"> </w:t>
      </w:r>
      <w:r>
        <w:rPr>
          <w:rFonts w:hint="eastAsia" w:hAnsi="宋体" w:cs="宋体"/>
          <w:color w:val="auto"/>
          <w:kern w:val="0"/>
          <w:highlight w:val="none"/>
        </w:rPr>
        <w:t>。</w:t>
      </w:r>
    </w:p>
    <w:p w14:paraId="66292049">
      <w:pPr>
        <w:spacing w:line="360" w:lineRule="auto"/>
        <w:ind w:firstLine="420" w:firstLineChars="200"/>
        <w:jc w:val="left"/>
        <w:rPr>
          <w:color w:val="auto"/>
          <w:highlight w:val="none"/>
        </w:rPr>
      </w:pPr>
      <w:r>
        <w:rPr>
          <w:color w:val="auto"/>
          <w:kern w:val="0"/>
          <w:highlight w:val="none"/>
        </w:rPr>
        <w:t xml:space="preserve">1.1.3.10 </w:t>
      </w:r>
      <w:r>
        <w:rPr>
          <w:rFonts w:hint="eastAsia" w:hAnsi="宋体" w:cs="宋体"/>
          <w:color w:val="auto"/>
          <w:kern w:val="0"/>
          <w:highlight w:val="none"/>
        </w:rPr>
        <w:t>临时占地包括：</w:t>
      </w:r>
      <w:r>
        <w:rPr>
          <w:color w:val="auto"/>
          <w:highlight w:val="none"/>
          <w:u w:val="single"/>
        </w:rPr>
        <w:t xml:space="preserve"> </w:t>
      </w:r>
      <w:r>
        <w:rPr>
          <w:rFonts w:hint="eastAsia"/>
          <w:color w:val="auto"/>
          <w:highlight w:val="none"/>
          <w:u w:val="single"/>
        </w:rPr>
        <w:t>双方在合同履行过程中确定</w:t>
      </w:r>
      <w:r>
        <w:rPr>
          <w:color w:val="auto"/>
          <w:highlight w:val="none"/>
          <w:u w:val="single"/>
        </w:rPr>
        <w:t xml:space="preserve">  </w:t>
      </w:r>
      <w:r>
        <w:rPr>
          <w:rFonts w:hint="eastAsia" w:hAnsi="宋体" w:cs="宋体"/>
          <w:color w:val="auto"/>
          <w:kern w:val="0"/>
          <w:highlight w:val="none"/>
        </w:rPr>
        <w:t>。</w:t>
      </w:r>
    </w:p>
    <w:p w14:paraId="0C728D6D">
      <w:pPr>
        <w:pStyle w:val="5"/>
        <w:rPr>
          <w:color w:val="auto"/>
          <w:highlight w:val="none"/>
        </w:rPr>
      </w:pPr>
      <w:bookmarkStart w:id="273" w:name="_Toc19214"/>
      <w:bookmarkStart w:id="274" w:name="_Toc373478341"/>
      <w:bookmarkStart w:id="275" w:name="_Toc1182598796"/>
      <w:bookmarkStart w:id="276" w:name="_Toc373227694"/>
      <w:bookmarkStart w:id="277" w:name="_Toc407135196"/>
      <w:bookmarkStart w:id="278" w:name="_Toc389065260"/>
      <w:bookmarkStart w:id="279" w:name="_Toc78449782"/>
      <w:bookmarkStart w:id="280" w:name="_Toc1162259329"/>
      <w:r>
        <w:rPr>
          <w:color w:val="auto"/>
          <w:highlight w:val="none"/>
        </w:rPr>
        <w:t xml:space="preserve">1.3 </w:t>
      </w:r>
      <w:r>
        <w:rPr>
          <w:rFonts w:hint="eastAsia" w:hAnsi="宋体" w:cs="黑体"/>
          <w:color w:val="auto"/>
          <w:highlight w:val="none"/>
        </w:rPr>
        <w:t>法律</w:t>
      </w:r>
      <w:bookmarkEnd w:id="273"/>
      <w:bookmarkEnd w:id="274"/>
      <w:bookmarkEnd w:id="275"/>
      <w:bookmarkEnd w:id="276"/>
      <w:bookmarkEnd w:id="277"/>
      <w:bookmarkEnd w:id="278"/>
      <w:bookmarkEnd w:id="279"/>
      <w:bookmarkEnd w:id="280"/>
    </w:p>
    <w:p w14:paraId="5567B5BF">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适用于合同的其他规范性文件：</w:t>
      </w:r>
      <w:r>
        <w:rPr>
          <w:rFonts w:hAnsi="宋体"/>
          <w:color w:val="auto"/>
          <w:highlight w:val="none"/>
          <w:u w:val="single"/>
        </w:rPr>
        <w:t xml:space="preserve"> </w:t>
      </w:r>
      <w:r>
        <w:rPr>
          <w:rFonts w:hint="eastAsia" w:hAnsi="宋体"/>
          <w:color w:val="auto"/>
          <w:highlight w:val="none"/>
          <w:u w:val="single"/>
        </w:rPr>
        <w:t xml:space="preserve"> 《中华人民共和国民法典》、《中华人民共和国建筑法》、《中华人民共和国安全生产法》、《建设工程质量管理条例》、《建设工程安全管理条例》以及合同签订时现行的国家法律和行政法规、工程所在地政府的有关法规和规章及规范性文件</w:t>
      </w:r>
      <w:r>
        <w:rPr>
          <w:color w:val="auto"/>
          <w:highlight w:val="none"/>
          <w:u w:val="single"/>
        </w:rPr>
        <w:t xml:space="preserve"> </w:t>
      </w:r>
      <w:r>
        <w:rPr>
          <w:rFonts w:hint="eastAsia" w:hAnsi="宋体" w:cs="宋体"/>
          <w:color w:val="auto"/>
          <w:highlight w:val="none"/>
        </w:rPr>
        <w:t>。</w:t>
      </w:r>
    </w:p>
    <w:p w14:paraId="2AFAA132">
      <w:pPr>
        <w:pStyle w:val="5"/>
        <w:rPr>
          <w:color w:val="auto"/>
          <w:highlight w:val="none"/>
        </w:rPr>
      </w:pPr>
      <w:bookmarkStart w:id="281" w:name="_Toc78449783"/>
      <w:bookmarkStart w:id="282" w:name="_Toc1694357896"/>
      <w:bookmarkStart w:id="283" w:name="_Toc30689"/>
      <w:bookmarkStart w:id="284" w:name="_Toc373478342"/>
      <w:bookmarkStart w:id="285" w:name="_Toc389065261"/>
      <w:bookmarkStart w:id="286" w:name="_Toc1569433547"/>
      <w:bookmarkStart w:id="287" w:name="_Toc407135197"/>
      <w:bookmarkStart w:id="288" w:name="_Toc373227695"/>
      <w:r>
        <w:rPr>
          <w:color w:val="auto"/>
          <w:highlight w:val="none"/>
        </w:rPr>
        <w:t xml:space="preserve">1.4 </w:t>
      </w:r>
      <w:r>
        <w:rPr>
          <w:rFonts w:hint="eastAsia" w:hAnsi="宋体" w:cs="黑体"/>
          <w:color w:val="auto"/>
          <w:highlight w:val="none"/>
        </w:rPr>
        <w:t>标准和规范</w:t>
      </w:r>
      <w:bookmarkEnd w:id="281"/>
      <w:bookmarkEnd w:id="282"/>
      <w:bookmarkEnd w:id="283"/>
      <w:bookmarkEnd w:id="284"/>
      <w:bookmarkEnd w:id="285"/>
      <w:bookmarkEnd w:id="286"/>
      <w:bookmarkEnd w:id="287"/>
      <w:bookmarkEnd w:id="288"/>
    </w:p>
    <w:p w14:paraId="288810CB">
      <w:pPr>
        <w:spacing w:line="360" w:lineRule="auto"/>
        <w:ind w:firstLine="420" w:firstLineChars="200"/>
        <w:rPr>
          <w:color w:val="auto"/>
          <w:highlight w:val="none"/>
        </w:rPr>
      </w:pPr>
      <w:r>
        <w:rPr>
          <w:color w:val="auto"/>
          <w:highlight w:val="none"/>
        </w:rPr>
        <w:t xml:space="preserve">1.4.1 </w:t>
      </w:r>
      <w:r>
        <w:rPr>
          <w:rFonts w:hint="eastAsia" w:hAnsi="宋体" w:cs="宋体"/>
          <w:color w:val="auto"/>
          <w:highlight w:val="none"/>
        </w:rPr>
        <w:t>适用于工程的标准规范包括：</w:t>
      </w:r>
      <w:r>
        <w:rPr>
          <w:rFonts w:hAnsi="宋体"/>
          <w:color w:val="auto"/>
          <w:highlight w:val="none"/>
          <w:u w:val="single"/>
        </w:rPr>
        <w:t xml:space="preserve"> </w:t>
      </w:r>
      <w:r>
        <w:rPr>
          <w:rFonts w:hint="eastAsia" w:hAnsi="宋体"/>
          <w:color w:val="auto"/>
          <w:highlight w:val="none"/>
          <w:u w:val="single"/>
        </w:rPr>
        <w:t>现行的国家标准、规范，行业标准、规范</w:t>
      </w:r>
      <w:r>
        <w:rPr>
          <w:color w:val="auto"/>
          <w:highlight w:val="none"/>
          <w:u w:val="single"/>
        </w:rPr>
        <w:t xml:space="preserve"> </w:t>
      </w:r>
      <w:r>
        <w:rPr>
          <w:rFonts w:hint="eastAsia" w:hAnsi="宋体" w:cs="宋体"/>
          <w:color w:val="auto"/>
          <w:highlight w:val="none"/>
        </w:rPr>
        <w:t>。</w:t>
      </w:r>
    </w:p>
    <w:p w14:paraId="6C48E96E">
      <w:pPr>
        <w:spacing w:line="360" w:lineRule="auto"/>
        <w:rPr>
          <w:color w:val="auto"/>
          <w:kern w:val="0"/>
          <w:highlight w:val="none"/>
        </w:rPr>
      </w:pPr>
      <w:r>
        <w:rPr>
          <w:color w:val="auto"/>
          <w:kern w:val="0"/>
          <w:highlight w:val="none"/>
        </w:rPr>
        <w:t xml:space="preserve">1.4.2 </w:t>
      </w:r>
      <w:r>
        <w:rPr>
          <w:rFonts w:hint="eastAsia" w:hAnsi="宋体" w:cs="宋体"/>
          <w:color w:val="auto"/>
          <w:kern w:val="0"/>
          <w:highlight w:val="none"/>
        </w:rPr>
        <w:t>发包人提供国外标准、规范的名称：</w:t>
      </w:r>
      <w:r>
        <w:rPr>
          <w:rFonts w:ascii="宋体" w:hAnsi="宋体" w:eastAsia="宋体" w:cs="宋体"/>
          <w:color w:val="auto"/>
          <w:spacing w:val="0"/>
          <w:highlight w:val="none"/>
          <w:u w:val="single"/>
        </w:rPr>
        <w:t xml:space="preserve"> 无 </w:t>
      </w:r>
      <w:r>
        <w:rPr>
          <w:rFonts w:hint="eastAsia" w:hAnsi="宋体" w:cs="宋体"/>
          <w:color w:val="auto"/>
          <w:highlight w:val="none"/>
        </w:rPr>
        <w:t>；</w:t>
      </w:r>
    </w:p>
    <w:p w14:paraId="439495EF">
      <w:pPr>
        <w:spacing w:line="360" w:lineRule="auto"/>
        <w:ind w:firstLine="420" w:firstLineChars="200"/>
        <w:rPr>
          <w:color w:val="auto"/>
          <w:kern w:val="0"/>
          <w:highlight w:val="none"/>
        </w:rPr>
      </w:pPr>
      <w:r>
        <w:rPr>
          <w:rFonts w:hint="eastAsia" w:hAnsi="宋体" w:cs="宋体"/>
          <w:color w:val="auto"/>
          <w:kern w:val="0"/>
          <w:highlight w:val="none"/>
        </w:rPr>
        <w:t>发包人提供国外标准、规范的份数：</w:t>
      </w:r>
      <w:r>
        <w:rPr>
          <w:rFonts w:ascii="宋体" w:hAnsi="宋体" w:eastAsia="宋体" w:cs="宋体"/>
          <w:color w:val="auto"/>
          <w:spacing w:val="0"/>
          <w:highlight w:val="none"/>
          <w:u w:val="single"/>
        </w:rPr>
        <w:t xml:space="preserve"> 无 </w:t>
      </w:r>
      <w:r>
        <w:rPr>
          <w:rFonts w:hint="eastAsia" w:hAnsi="宋体" w:cs="宋体"/>
          <w:color w:val="auto"/>
          <w:kern w:val="0"/>
          <w:highlight w:val="none"/>
        </w:rPr>
        <w:t>；</w:t>
      </w:r>
    </w:p>
    <w:p w14:paraId="0FE576B2">
      <w:pPr>
        <w:spacing w:line="360" w:lineRule="auto"/>
        <w:ind w:firstLine="420" w:firstLineChars="200"/>
        <w:rPr>
          <w:color w:val="auto"/>
          <w:highlight w:val="none"/>
        </w:rPr>
      </w:pPr>
      <w:r>
        <w:rPr>
          <w:rFonts w:hint="eastAsia" w:hAnsi="宋体" w:cs="宋体"/>
          <w:color w:val="auto"/>
          <w:kern w:val="0"/>
          <w:highlight w:val="none"/>
        </w:rPr>
        <w:t>发包人提供国外标准、规范的名称：</w:t>
      </w:r>
      <w:r>
        <w:rPr>
          <w:rFonts w:ascii="宋体" w:hAnsi="宋体" w:eastAsia="宋体" w:cs="宋体"/>
          <w:color w:val="auto"/>
          <w:spacing w:val="0"/>
          <w:highlight w:val="none"/>
          <w:u w:val="single"/>
        </w:rPr>
        <w:t xml:space="preserve"> 无 </w:t>
      </w:r>
      <w:r>
        <w:rPr>
          <w:rFonts w:hint="eastAsia" w:hAnsi="宋体" w:cs="宋体"/>
          <w:color w:val="auto"/>
          <w:kern w:val="0"/>
          <w:highlight w:val="none"/>
        </w:rPr>
        <w:t>。</w:t>
      </w:r>
    </w:p>
    <w:p w14:paraId="4E8B2DA7">
      <w:pPr>
        <w:spacing w:line="360" w:lineRule="auto"/>
        <w:rPr>
          <w:color w:val="auto"/>
          <w:highlight w:val="none"/>
        </w:rPr>
      </w:pPr>
      <w:r>
        <w:rPr>
          <w:color w:val="auto"/>
          <w:highlight w:val="none"/>
        </w:rPr>
        <w:t xml:space="preserve">1.4.3 </w:t>
      </w:r>
      <w:r>
        <w:rPr>
          <w:rFonts w:hint="eastAsia" w:hAnsi="宋体" w:cs="宋体"/>
          <w:color w:val="auto"/>
          <w:highlight w:val="none"/>
        </w:rPr>
        <w:t>发包人对工程的技术标准和功能要求的特殊要求：</w:t>
      </w:r>
      <w:r>
        <w:rPr>
          <w:rFonts w:hint="eastAsia" w:hAnsi="宋体" w:cs="宋体"/>
          <w:color w:val="auto"/>
          <w:highlight w:val="none"/>
          <w:u w:val="single"/>
          <w:lang w:val="en-US" w:eastAsia="zh-CN"/>
        </w:rPr>
        <w:t xml:space="preserve"> </w:t>
      </w:r>
      <w:r>
        <w:rPr>
          <w:rFonts w:hint="eastAsia"/>
          <w:color w:val="auto"/>
          <w:highlight w:val="none"/>
          <w:u w:val="single"/>
        </w:rPr>
        <w:t>另行协商</w:t>
      </w:r>
      <w:r>
        <w:rPr>
          <w:rFonts w:hAnsi="宋体"/>
          <w:color w:val="auto"/>
          <w:highlight w:val="none"/>
          <w:u w:val="single"/>
        </w:rPr>
        <w:t xml:space="preserve"> </w:t>
      </w:r>
      <w:r>
        <w:rPr>
          <w:rFonts w:hint="eastAsia" w:hAnsi="宋体" w:cs="宋体"/>
          <w:color w:val="auto"/>
          <w:highlight w:val="none"/>
        </w:rPr>
        <w:t>。</w:t>
      </w:r>
    </w:p>
    <w:p w14:paraId="06D00697">
      <w:pPr>
        <w:pStyle w:val="5"/>
        <w:rPr>
          <w:color w:val="auto"/>
          <w:highlight w:val="none"/>
        </w:rPr>
      </w:pPr>
      <w:bookmarkStart w:id="289" w:name="_Toc188277238"/>
      <w:bookmarkStart w:id="290" w:name="_Toc389065262"/>
      <w:bookmarkStart w:id="291" w:name="_Toc407135198"/>
      <w:bookmarkStart w:id="292" w:name="_Toc24431861"/>
      <w:bookmarkStart w:id="293" w:name="_Toc373478343"/>
      <w:bookmarkStart w:id="294" w:name="_Toc4759"/>
      <w:bookmarkStart w:id="295" w:name="_Toc373227696"/>
      <w:bookmarkStart w:id="296" w:name="_Toc78449784"/>
      <w:r>
        <w:rPr>
          <w:color w:val="auto"/>
          <w:highlight w:val="none"/>
        </w:rPr>
        <w:t xml:space="preserve">1.5 </w:t>
      </w:r>
      <w:r>
        <w:rPr>
          <w:rFonts w:hint="eastAsia" w:cs="黑体"/>
          <w:color w:val="auto"/>
          <w:highlight w:val="none"/>
        </w:rPr>
        <w:t>合同文件的优先顺序</w:t>
      </w:r>
      <w:bookmarkEnd w:id="289"/>
      <w:bookmarkEnd w:id="290"/>
      <w:bookmarkEnd w:id="291"/>
      <w:bookmarkEnd w:id="292"/>
      <w:bookmarkEnd w:id="293"/>
      <w:bookmarkEnd w:id="294"/>
      <w:bookmarkEnd w:id="295"/>
      <w:bookmarkEnd w:id="296"/>
    </w:p>
    <w:p w14:paraId="37960C5C">
      <w:pPr>
        <w:spacing w:line="360" w:lineRule="auto"/>
        <w:ind w:firstLine="420" w:firstLineChars="200"/>
        <w:rPr>
          <w:rFonts w:hint="eastAsia" w:hAnsi="宋体" w:cs="宋体"/>
          <w:color w:val="auto"/>
          <w:kern w:val="0"/>
          <w:highlight w:val="none"/>
        </w:rPr>
      </w:pPr>
      <w:r>
        <w:rPr>
          <w:rFonts w:hint="eastAsia" w:hAnsi="宋体" w:cs="宋体"/>
          <w:color w:val="auto"/>
          <w:highlight w:val="none"/>
        </w:rPr>
        <w:t>合同文件组成及优先顺序为：</w:t>
      </w:r>
    </w:p>
    <w:p w14:paraId="6F7C39B3">
      <w:pPr>
        <w:spacing w:line="360" w:lineRule="auto"/>
        <w:ind w:firstLine="420" w:firstLineChars="200"/>
        <w:rPr>
          <w:rFonts w:hint="eastAsia" w:ascii="Times New Roman" w:hAnsi="宋体" w:eastAsia="宋体" w:cs="宋体"/>
          <w:color w:val="auto"/>
          <w:kern w:val="0"/>
          <w:highlight w:val="none"/>
        </w:rPr>
      </w:pPr>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1</w:t>
      </w:r>
      <w:r>
        <w:rPr>
          <w:rFonts w:hint="eastAsia" w:ascii="Times New Roman" w:hAnsi="宋体" w:eastAsia="宋体" w:cs="宋体"/>
          <w:color w:val="auto"/>
          <w:kern w:val="0"/>
          <w:highlight w:val="none"/>
        </w:rPr>
        <w:t>）合同协议书；</w:t>
      </w:r>
    </w:p>
    <w:p w14:paraId="7FE40BDE">
      <w:pPr>
        <w:spacing w:line="360" w:lineRule="auto"/>
        <w:ind w:firstLine="420" w:firstLineChars="200"/>
        <w:rPr>
          <w:rFonts w:hint="eastAsia" w:ascii="Times New Roman" w:hAnsi="宋体" w:eastAsia="宋体" w:cs="宋体"/>
          <w:color w:val="auto"/>
          <w:kern w:val="0"/>
          <w:highlight w:val="none"/>
        </w:rPr>
      </w:pPr>
      <w:bookmarkStart w:id="297" w:name="bookmark916"/>
      <w:bookmarkEnd w:id="297"/>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2</w:t>
      </w:r>
      <w:r>
        <w:rPr>
          <w:rFonts w:hint="eastAsia" w:ascii="Times New Roman" w:hAnsi="宋体" w:eastAsia="宋体" w:cs="宋体"/>
          <w:color w:val="auto"/>
          <w:kern w:val="0"/>
          <w:highlight w:val="none"/>
        </w:rPr>
        <w:t>）中标通知书；</w:t>
      </w:r>
    </w:p>
    <w:p w14:paraId="3788CF57">
      <w:pPr>
        <w:spacing w:line="360" w:lineRule="auto"/>
        <w:ind w:firstLineChars="200"/>
        <w:rPr>
          <w:rFonts w:hint="eastAsia" w:ascii="Times New Roman" w:hAnsi="宋体" w:eastAsia="宋体" w:cs="宋体"/>
          <w:color w:val="auto"/>
          <w:kern w:val="0"/>
          <w:highlight w:val="none"/>
        </w:rPr>
      </w:pPr>
      <w:bookmarkStart w:id="298" w:name="bookmark917"/>
      <w:bookmarkEnd w:id="298"/>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3</w:t>
      </w:r>
      <w:r>
        <w:rPr>
          <w:rFonts w:hint="eastAsia" w:ascii="Times New Roman" w:hAnsi="宋体" w:eastAsia="宋体" w:cs="宋体"/>
          <w:color w:val="auto"/>
          <w:kern w:val="0"/>
          <w:highlight w:val="none"/>
        </w:rPr>
        <w:t>）投标函及投标函附录；</w:t>
      </w:r>
    </w:p>
    <w:p w14:paraId="46AE4C2A">
      <w:pPr>
        <w:spacing w:line="360" w:lineRule="auto"/>
        <w:ind w:firstLineChars="200"/>
        <w:rPr>
          <w:rFonts w:hint="eastAsia" w:ascii="Times New Roman" w:hAnsi="宋体" w:eastAsia="宋体" w:cs="宋体"/>
          <w:color w:val="auto"/>
          <w:kern w:val="0"/>
          <w:highlight w:val="none"/>
        </w:rPr>
      </w:pPr>
      <w:bookmarkStart w:id="299" w:name="bookmark918"/>
      <w:bookmarkEnd w:id="299"/>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4</w:t>
      </w:r>
      <w:r>
        <w:rPr>
          <w:rFonts w:hint="eastAsia" w:ascii="Times New Roman" w:hAnsi="宋体" w:eastAsia="宋体" w:cs="宋体"/>
          <w:color w:val="auto"/>
          <w:kern w:val="0"/>
          <w:highlight w:val="none"/>
        </w:rPr>
        <w:t>）专用合同条款；</w:t>
      </w:r>
    </w:p>
    <w:p w14:paraId="0C516055">
      <w:pPr>
        <w:spacing w:line="360" w:lineRule="auto"/>
        <w:ind w:firstLineChars="200"/>
        <w:rPr>
          <w:rFonts w:hint="eastAsia" w:ascii="Times New Roman" w:hAnsi="宋体" w:eastAsia="宋体" w:cs="宋体"/>
          <w:color w:val="auto"/>
          <w:kern w:val="0"/>
          <w:highlight w:val="none"/>
        </w:rPr>
      </w:pPr>
      <w:bookmarkStart w:id="300" w:name="bookmark919"/>
      <w:bookmarkEnd w:id="300"/>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5</w:t>
      </w:r>
      <w:r>
        <w:rPr>
          <w:rFonts w:hint="eastAsia" w:ascii="Times New Roman" w:hAnsi="宋体" w:eastAsia="宋体" w:cs="宋体"/>
          <w:color w:val="auto"/>
          <w:kern w:val="0"/>
          <w:highlight w:val="none"/>
        </w:rPr>
        <w:t>）通用合同条款；</w:t>
      </w:r>
    </w:p>
    <w:p w14:paraId="2E944F2D">
      <w:pPr>
        <w:spacing w:line="360" w:lineRule="auto"/>
        <w:ind w:firstLineChars="200"/>
        <w:rPr>
          <w:rFonts w:hint="eastAsia" w:ascii="Times New Roman" w:hAnsi="宋体" w:eastAsia="宋体" w:cs="宋体"/>
          <w:color w:val="auto"/>
          <w:kern w:val="0"/>
          <w:highlight w:val="none"/>
        </w:rPr>
      </w:pPr>
      <w:bookmarkStart w:id="301" w:name="bookmark920"/>
      <w:bookmarkEnd w:id="301"/>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6</w:t>
      </w:r>
      <w:r>
        <w:rPr>
          <w:rFonts w:hint="eastAsia" w:ascii="Times New Roman" w:hAnsi="宋体" w:eastAsia="宋体" w:cs="宋体"/>
          <w:color w:val="auto"/>
          <w:kern w:val="0"/>
          <w:highlight w:val="none"/>
        </w:rPr>
        <w:t>）技术标准和要求；</w:t>
      </w:r>
    </w:p>
    <w:p w14:paraId="21B0B047">
      <w:pPr>
        <w:spacing w:line="360" w:lineRule="auto"/>
        <w:ind w:firstLineChars="200"/>
        <w:rPr>
          <w:rFonts w:hint="eastAsia" w:ascii="Times New Roman" w:hAnsi="宋体" w:eastAsia="宋体" w:cs="宋体"/>
          <w:color w:val="auto"/>
          <w:kern w:val="0"/>
          <w:highlight w:val="none"/>
        </w:rPr>
      </w:pPr>
      <w:bookmarkStart w:id="302" w:name="bookmark921"/>
      <w:bookmarkEnd w:id="302"/>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7</w:t>
      </w:r>
      <w:r>
        <w:rPr>
          <w:rFonts w:hint="eastAsia" w:ascii="Times New Roman" w:hAnsi="宋体" w:eastAsia="宋体" w:cs="宋体"/>
          <w:color w:val="auto"/>
          <w:kern w:val="0"/>
          <w:highlight w:val="none"/>
        </w:rPr>
        <w:t>）图纸；</w:t>
      </w:r>
    </w:p>
    <w:p w14:paraId="005023B7">
      <w:pPr>
        <w:spacing w:line="360" w:lineRule="auto"/>
        <w:ind w:firstLine="420" w:firstLineChars="200"/>
        <w:rPr>
          <w:rFonts w:hint="eastAsia" w:ascii="Times New Roman" w:hAnsi="宋体" w:eastAsia="宋体" w:cs="宋体"/>
          <w:color w:val="auto"/>
          <w:kern w:val="0"/>
          <w:highlight w:val="none"/>
        </w:rPr>
      </w:pPr>
      <w:bookmarkStart w:id="303" w:name="bookmark922"/>
      <w:bookmarkEnd w:id="303"/>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8</w:t>
      </w:r>
      <w:r>
        <w:rPr>
          <w:rFonts w:hint="eastAsia" w:ascii="Times New Roman" w:hAnsi="宋体" w:eastAsia="宋体" w:cs="宋体"/>
          <w:color w:val="auto"/>
          <w:kern w:val="0"/>
          <w:highlight w:val="none"/>
        </w:rPr>
        <w:t>）已标价工程量清单；</w:t>
      </w:r>
    </w:p>
    <w:p w14:paraId="057579E8">
      <w:pPr>
        <w:autoSpaceDE/>
        <w:autoSpaceDN/>
        <w:adjustRightInd/>
        <w:spacing w:line="360" w:lineRule="auto"/>
        <w:ind w:firstLine="420" w:firstLineChars="200"/>
        <w:jc w:val="left"/>
        <w:rPr>
          <w:rFonts w:hint="eastAsia" w:ascii="Times New Roman" w:hAnsi="宋体" w:eastAsia="宋体" w:cs="宋体"/>
          <w:color w:val="auto"/>
          <w:kern w:val="0"/>
          <w:highlight w:val="none"/>
          <w:u w:val="none"/>
        </w:rPr>
      </w:pPr>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9</w:t>
      </w:r>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u w:val="none"/>
        </w:rPr>
        <w:t>其他合同文件：</w:t>
      </w:r>
    </w:p>
    <w:p w14:paraId="3E2796C8">
      <w:pPr>
        <w:spacing w:line="360" w:lineRule="auto"/>
        <w:ind w:firstLine="420" w:firstLineChars="200"/>
        <w:rPr>
          <w:rFonts w:hAnsi="宋体" w:cs="宋体"/>
          <w:color w:val="auto"/>
          <w:kern w:val="0"/>
          <w:highlight w:val="none"/>
        </w:rPr>
      </w:pPr>
      <w:r>
        <w:rPr>
          <w:rFonts w:hint="eastAsia" w:hAnsi="宋体" w:cs="宋体"/>
          <w:color w:val="auto"/>
          <w:kern w:val="0"/>
          <w:highlight w:val="none"/>
        </w:rPr>
        <w:t>上述各项合同文件包括合同当事人就该项合同文件所作出的补充和修改，属于同一类内容的文件，应以最新签署的为准（违反招标文件</w:t>
      </w:r>
      <w:r>
        <w:rPr>
          <w:rFonts w:hAnsi="宋体" w:cs="宋体"/>
          <w:color w:val="auto"/>
          <w:kern w:val="0"/>
          <w:highlight w:val="none"/>
        </w:rPr>
        <w:t>实质性内容的约定除外</w:t>
      </w:r>
      <w:r>
        <w:rPr>
          <w:rFonts w:hint="eastAsia" w:hAnsi="宋体" w:cs="宋体"/>
          <w:color w:val="auto"/>
          <w:kern w:val="0"/>
          <w:highlight w:val="none"/>
        </w:rPr>
        <w:t>）。专用合同条款及其附件须经合同当事人签字或盖章。</w:t>
      </w:r>
    </w:p>
    <w:p w14:paraId="45849E41">
      <w:pPr>
        <w:pStyle w:val="5"/>
        <w:rPr>
          <w:color w:val="auto"/>
          <w:highlight w:val="none"/>
        </w:rPr>
      </w:pPr>
      <w:bookmarkStart w:id="304" w:name="_Toc1531480704"/>
      <w:bookmarkStart w:id="305" w:name="_Toc373227697"/>
      <w:bookmarkStart w:id="306" w:name="_Toc389065263"/>
      <w:bookmarkStart w:id="307" w:name="_Toc78449785"/>
      <w:bookmarkStart w:id="308" w:name="_Toc407135199"/>
      <w:bookmarkStart w:id="309" w:name="_Toc373478344"/>
      <w:bookmarkStart w:id="310" w:name="_Toc28631"/>
      <w:bookmarkStart w:id="311" w:name="_Toc1537247101"/>
      <w:r>
        <w:rPr>
          <w:color w:val="auto"/>
          <w:highlight w:val="none"/>
        </w:rPr>
        <w:t xml:space="preserve">1.6 </w:t>
      </w:r>
      <w:r>
        <w:rPr>
          <w:rFonts w:hint="eastAsia" w:cs="黑体"/>
          <w:color w:val="auto"/>
          <w:highlight w:val="none"/>
        </w:rPr>
        <w:t>图纸和承包人文件</w:t>
      </w:r>
      <w:bookmarkEnd w:id="304"/>
      <w:bookmarkEnd w:id="305"/>
      <w:bookmarkEnd w:id="306"/>
      <w:bookmarkEnd w:id="307"/>
      <w:bookmarkEnd w:id="308"/>
      <w:bookmarkEnd w:id="309"/>
      <w:bookmarkEnd w:id="310"/>
      <w:bookmarkEnd w:id="311"/>
      <w:r>
        <w:rPr>
          <w:color w:val="auto"/>
          <w:highlight w:val="none"/>
        </w:rPr>
        <w:tab/>
      </w:r>
    </w:p>
    <w:p w14:paraId="6DD15658">
      <w:pPr>
        <w:spacing w:line="360" w:lineRule="auto"/>
        <w:ind w:firstLine="420" w:firstLineChars="200"/>
        <w:rPr>
          <w:color w:val="auto"/>
          <w:highlight w:val="none"/>
        </w:rPr>
      </w:pPr>
      <w:r>
        <w:rPr>
          <w:color w:val="auto"/>
          <w:highlight w:val="none"/>
        </w:rPr>
        <w:t xml:space="preserve">1.6.1 </w:t>
      </w:r>
      <w:r>
        <w:rPr>
          <w:rFonts w:hint="eastAsia" w:hAnsi="宋体" w:cs="宋体"/>
          <w:color w:val="auto"/>
          <w:highlight w:val="none"/>
        </w:rPr>
        <w:t>图纸的提供</w:t>
      </w:r>
    </w:p>
    <w:p w14:paraId="39CDE47F">
      <w:pPr>
        <w:spacing w:line="360" w:lineRule="auto"/>
        <w:ind w:firstLine="420" w:firstLineChars="200"/>
        <w:rPr>
          <w:color w:val="auto"/>
          <w:highlight w:val="none"/>
        </w:rPr>
      </w:pPr>
      <w:r>
        <w:rPr>
          <w:rFonts w:hint="eastAsia" w:hAnsi="宋体" w:cs="宋体"/>
          <w:color w:val="auto"/>
          <w:highlight w:val="none"/>
        </w:rPr>
        <w:t>发包人向承包人提供图纸的期限：</w:t>
      </w:r>
      <w:r>
        <w:rPr>
          <w:rFonts w:hint="eastAsia"/>
          <w:color w:val="auto"/>
          <w:highlight w:val="none"/>
          <w:u w:val="single"/>
        </w:rPr>
        <w:t>合同签订之日起7个工作日内提供施工图</w:t>
      </w:r>
      <w:r>
        <w:rPr>
          <w:rFonts w:hint="eastAsia" w:hAnsi="宋体" w:cs="宋体"/>
          <w:color w:val="auto"/>
          <w:highlight w:val="none"/>
        </w:rPr>
        <w:t>；</w:t>
      </w:r>
    </w:p>
    <w:p w14:paraId="5B0420C2">
      <w:pPr>
        <w:spacing w:line="360" w:lineRule="auto"/>
        <w:ind w:firstLine="420" w:firstLineChars="200"/>
        <w:rPr>
          <w:color w:val="auto"/>
          <w:highlight w:val="none"/>
        </w:rPr>
      </w:pPr>
      <w:r>
        <w:rPr>
          <w:rFonts w:hint="eastAsia" w:hAnsi="宋体" w:cs="宋体"/>
          <w:color w:val="auto"/>
          <w:highlight w:val="none"/>
        </w:rPr>
        <w:t>发包人向承包人提供图纸的数量：</w:t>
      </w:r>
      <w:r>
        <w:rPr>
          <w:rFonts w:hint="eastAsia" w:hAnsi="宋体" w:cs="宋体"/>
          <w:color w:val="auto"/>
          <w:highlight w:val="none"/>
          <w:u w:val="single"/>
          <w:lang w:val="en-US" w:eastAsia="zh-CN"/>
        </w:rPr>
        <w:t xml:space="preserve"> 1 </w:t>
      </w:r>
      <w:r>
        <w:rPr>
          <w:rFonts w:hint="eastAsia" w:hAnsi="宋体" w:cs="宋体"/>
          <w:color w:val="auto"/>
          <w:highlight w:val="none"/>
        </w:rPr>
        <w:t>套（承包人需要增加图纸套数的，发包人应代为复制，复制费用由承包人承担）；</w:t>
      </w:r>
    </w:p>
    <w:p w14:paraId="61978EA4">
      <w:pPr>
        <w:spacing w:line="360" w:lineRule="auto"/>
        <w:ind w:firstLine="420" w:firstLineChars="200"/>
        <w:rPr>
          <w:color w:val="auto"/>
          <w:highlight w:val="none"/>
        </w:rPr>
      </w:pPr>
      <w:r>
        <w:rPr>
          <w:rFonts w:hint="eastAsia" w:hAnsi="宋体" w:cs="宋体"/>
          <w:color w:val="auto"/>
          <w:highlight w:val="none"/>
        </w:rPr>
        <w:t>发包人向承包人提供图纸的内容：</w:t>
      </w:r>
      <w:r>
        <w:rPr>
          <w:rFonts w:hint="eastAsia"/>
          <w:color w:val="auto"/>
          <w:highlight w:val="none"/>
          <w:u w:val="single"/>
        </w:rPr>
        <w:t>本合同发包内容中的全部图纸</w:t>
      </w:r>
      <w:r>
        <w:rPr>
          <w:rFonts w:hint="eastAsia" w:hAnsi="宋体" w:cs="宋体"/>
          <w:color w:val="auto"/>
          <w:highlight w:val="none"/>
        </w:rPr>
        <w:t>。</w:t>
      </w:r>
    </w:p>
    <w:p w14:paraId="612D092A">
      <w:pPr>
        <w:spacing w:line="360" w:lineRule="auto"/>
        <w:ind w:firstLine="420" w:firstLineChars="200"/>
        <w:rPr>
          <w:color w:val="auto"/>
          <w:highlight w:val="none"/>
        </w:rPr>
      </w:pPr>
      <w:r>
        <w:rPr>
          <w:color w:val="auto"/>
          <w:highlight w:val="none"/>
        </w:rPr>
        <w:t xml:space="preserve">1.6.4 </w:t>
      </w:r>
      <w:r>
        <w:rPr>
          <w:rFonts w:hint="eastAsia" w:hAnsi="宋体" w:cs="宋体"/>
          <w:color w:val="auto"/>
          <w:highlight w:val="none"/>
        </w:rPr>
        <w:t>承包人文件</w:t>
      </w:r>
    </w:p>
    <w:p w14:paraId="70F704D9">
      <w:pPr>
        <w:spacing w:line="360" w:lineRule="auto"/>
        <w:ind w:firstLine="420" w:firstLineChars="200"/>
        <w:jc w:val="left"/>
        <w:rPr>
          <w:color w:val="auto"/>
          <w:highlight w:val="none"/>
          <w:u w:val="single"/>
        </w:rPr>
      </w:pPr>
      <w:r>
        <w:rPr>
          <w:rFonts w:hint="eastAsia" w:hAnsi="宋体" w:cs="宋体"/>
          <w:color w:val="auto"/>
          <w:highlight w:val="none"/>
        </w:rPr>
        <w:t>需要由承包人提供的文件，包括：</w:t>
      </w:r>
      <w:r>
        <w:rPr>
          <w:rFonts w:hint="eastAsia"/>
          <w:color w:val="auto"/>
          <w:highlight w:val="none"/>
          <w:u w:val="single"/>
        </w:rPr>
        <w:t>开工前3天应提供完善的施工组织设计和安全专项方案，其他需要由承包人提供的文件由双方另行确定</w:t>
      </w:r>
      <w:r>
        <w:rPr>
          <w:rFonts w:hint="eastAsia" w:hAnsi="宋体" w:cs="宋体"/>
          <w:color w:val="auto"/>
          <w:highlight w:val="none"/>
        </w:rPr>
        <w:t>；</w:t>
      </w:r>
    </w:p>
    <w:p w14:paraId="583F6DFA">
      <w:pPr>
        <w:spacing w:line="360" w:lineRule="auto"/>
        <w:ind w:firstLine="420" w:firstLineChars="200"/>
        <w:rPr>
          <w:color w:val="auto"/>
          <w:highlight w:val="none"/>
        </w:rPr>
      </w:pPr>
      <w:r>
        <w:rPr>
          <w:rFonts w:hint="eastAsia" w:hAnsi="宋体" w:cs="宋体"/>
          <w:color w:val="auto"/>
          <w:highlight w:val="none"/>
        </w:rPr>
        <w:t>承包人提供的文件的期限为：</w:t>
      </w:r>
      <w:r>
        <w:rPr>
          <w:color w:val="auto"/>
          <w:highlight w:val="none"/>
          <w:u w:val="single"/>
        </w:rPr>
        <w:t xml:space="preserve"> </w:t>
      </w:r>
      <w:r>
        <w:rPr>
          <w:rFonts w:hint="eastAsia"/>
          <w:color w:val="auto"/>
          <w:highlight w:val="none"/>
          <w:u w:val="single"/>
        </w:rPr>
        <w:t>开工前 7 天</w:t>
      </w:r>
      <w:r>
        <w:rPr>
          <w:rFonts w:hAnsi="宋体"/>
          <w:color w:val="auto"/>
          <w:highlight w:val="none"/>
          <w:u w:val="single"/>
        </w:rPr>
        <w:t xml:space="preserve"> </w:t>
      </w:r>
      <w:r>
        <w:rPr>
          <w:rFonts w:hint="eastAsia" w:hAnsi="宋体" w:cs="宋体"/>
          <w:color w:val="auto"/>
          <w:highlight w:val="none"/>
        </w:rPr>
        <w:t>；</w:t>
      </w:r>
    </w:p>
    <w:p w14:paraId="5784FF93">
      <w:pPr>
        <w:spacing w:line="360" w:lineRule="auto"/>
        <w:ind w:firstLine="420" w:firstLineChars="200"/>
        <w:rPr>
          <w:color w:val="auto"/>
          <w:highlight w:val="none"/>
        </w:rPr>
      </w:pPr>
      <w:r>
        <w:rPr>
          <w:rFonts w:hint="eastAsia" w:hAnsi="宋体" w:cs="宋体"/>
          <w:color w:val="auto"/>
          <w:highlight w:val="none"/>
        </w:rPr>
        <w:t>承包人提供的文件的数量为：</w:t>
      </w:r>
      <w:r>
        <w:rPr>
          <w:color w:val="auto"/>
          <w:highlight w:val="none"/>
          <w:u w:val="single"/>
        </w:rPr>
        <w:t xml:space="preserve"> </w:t>
      </w:r>
      <w:r>
        <w:rPr>
          <w:rFonts w:hint="eastAsia"/>
          <w:color w:val="auto"/>
          <w:highlight w:val="none"/>
          <w:u w:val="single"/>
        </w:rPr>
        <w:t>电子版一份，纸质版四份</w:t>
      </w:r>
      <w:r>
        <w:rPr>
          <w:color w:val="auto"/>
          <w:highlight w:val="none"/>
          <w:u w:val="single"/>
        </w:rPr>
        <w:t xml:space="preserve"> </w:t>
      </w:r>
      <w:r>
        <w:rPr>
          <w:rFonts w:hint="eastAsia" w:hAnsi="宋体" w:cs="宋体"/>
          <w:color w:val="auto"/>
          <w:highlight w:val="none"/>
        </w:rPr>
        <w:t>；</w:t>
      </w:r>
    </w:p>
    <w:p w14:paraId="42A4222B">
      <w:pPr>
        <w:spacing w:line="360" w:lineRule="auto"/>
        <w:ind w:firstLine="420" w:firstLineChars="200"/>
        <w:rPr>
          <w:color w:val="auto"/>
          <w:highlight w:val="none"/>
        </w:rPr>
      </w:pPr>
      <w:r>
        <w:rPr>
          <w:rFonts w:hint="eastAsia" w:hAnsi="宋体" w:cs="宋体"/>
          <w:color w:val="auto"/>
          <w:highlight w:val="none"/>
        </w:rPr>
        <w:t>承包人提供的文件的形式为：</w:t>
      </w:r>
      <w:r>
        <w:rPr>
          <w:color w:val="auto"/>
          <w:highlight w:val="none"/>
          <w:u w:val="single"/>
        </w:rPr>
        <w:t xml:space="preserve"> </w:t>
      </w:r>
      <w:r>
        <w:rPr>
          <w:rFonts w:hint="eastAsia" w:hAnsi="宋体"/>
          <w:color w:val="auto"/>
          <w:highlight w:val="none"/>
          <w:u w:val="single"/>
        </w:rPr>
        <w:t>书面送达</w:t>
      </w:r>
      <w:r>
        <w:rPr>
          <w:rFonts w:hAnsi="宋体"/>
          <w:color w:val="auto"/>
          <w:highlight w:val="none"/>
          <w:u w:val="single"/>
        </w:rPr>
        <w:t xml:space="preserve"> </w:t>
      </w:r>
      <w:r>
        <w:rPr>
          <w:rFonts w:hint="eastAsia" w:hAnsi="宋体" w:cs="宋体"/>
          <w:color w:val="auto"/>
          <w:highlight w:val="none"/>
        </w:rPr>
        <w:t>；</w:t>
      </w:r>
    </w:p>
    <w:p w14:paraId="4458972D">
      <w:pPr>
        <w:spacing w:line="360" w:lineRule="auto"/>
        <w:ind w:firstLine="420" w:firstLineChars="200"/>
        <w:rPr>
          <w:color w:val="auto"/>
          <w:highlight w:val="none"/>
        </w:rPr>
      </w:pPr>
      <w:r>
        <w:rPr>
          <w:rFonts w:hint="eastAsia" w:hAnsi="宋体" w:cs="宋体"/>
          <w:color w:val="auto"/>
          <w:highlight w:val="none"/>
        </w:rPr>
        <w:t>发包人审批承包人文件的期限：</w:t>
      </w:r>
      <w:r>
        <w:rPr>
          <w:color w:val="auto"/>
          <w:highlight w:val="none"/>
          <w:u w:val="single"/>
        </w:rPr>
        <w:t xml:space="preserve"> </w:t>
      </w:r>
      <w:r>
        <w:rPr>
          <w:rFonts w:hint="eastAsia"/>
          <w:color w:val="auto"/>
          <w:highlight w:val="none"/>
          <w:u w:val="single"/>
        </w:rPr>
        <w:t>收到文件之日起7个工作内批复</w:t>
      </w:r>
      <w:r>
        <w:rPr>
          <w:rFonts w:hAnsi="宋体"/>
          <w:color w:val="auto"/>
          <w:highlight w:val="none"/>
          <w:u w:val="single"/>
        </w:rPr>
        <w:t xml:space="preserve"> </w:t>
      </w:r>
      <w:r>
        <w:rPr>
          <w:rFonts w:hint="eastAsia" w:hAnsi="宋体" w:cs="宋体"/>
          <w:color w:val="auto"/>
          <w:highlight w:val="none"/>
        </w:rPr>
        <w:t>。</w:t>
      </w:r>
    </w:p>
    <w:p w14:paraId="6D9E90A8">
      <w:pPr>
        <w:spacing w:line="360" w:lineRule="auto"/>
        <w:ind w:firstLine="420" w:firstLineChars="200"/>
        <w:rPr>
          <w:color w:val="auto"/>
          <w:highlight w:val="none"/>
        </w:rPr>
      </w:pPr>
      <w:r>
        <w:rPr>
          <w:color w:val="auto"/>
          <w:highlight w:val="none"/>
        </w:rPr>
        <w:t xml:space="preserve">1.6.5 </w:t>
      </w:r>
      <w:r>
        <w:rPr>
          <w:rFonts w:hint="eastAsia" w:hAnsi="宋体" w:cs="宋体"/>
          <w:color w:val="auto"/>
          <w:highlight w:val="none"/>
        </w:rPr>
        <w:t>现场图纸准备</w:t>
      </w:r>
    </w:p>
    <w:p w14:paraId="0FB27BEF">
      <w:pPr>
        <w:spacing w:line="360" w:lineRule="auto"/>
        <w:ind w:firstLine="420" w:firstLineChars="200"/>
        <w:rPr>
          <w:color w:val="auto"/>
          <w:highlight w:val="none"/>
        </w:rPr>
      </w:pPr>
      <w:r>
        <w:rPr>
          <w:rFonts w:hint="eastAsia" w:hAnsi="宋体" w:cs="宋体"/>
          <w:color w:val="auto"/>
          <w:highlight w:val="none"/>
        </w:rPr>
        <w:t>关于现场图纸准备的约定：</w:t>
      </w:r>
      <w:r>
        <w:rPr>
          <w:color w:val="auto"/>
          <w:highlight w:val="none"/>
          <w:u w:val="single"/>
        </w:rPr>
        <w:t xml:space="preserve"> </w:t>
      </w:r>
      <w:r>
        <w:rPr>
          <w:rFonts w:hint="eastAsia"/>
          <w:color w:val="auto"/>
          <w:highlight w:val="none"/>
          <w:u w:val="single"/>
        </w:rPr>
        <w:t>承包人应在施工现场保留一套完整的施工图纸，供工程师及有关人员进行工程检查时使用，未经发包人同意不许将图纸泄露和转让给第三方</w:t>
      </w:r>
      <w:r>
        <w:rPr>
          <w:rFonts w:hAnsi="宋体"/>
          <w:color w:val="auto"/>
          <w:highlight w:val="none"/>
          <w:u w:val="single"/>
        </w:rPr>
        <w:t xml:space="preserve"> </w:t>
      </w:r>
      <w:r>
        <w:rPr>
          <w:rFonts w:hint="eastAsia" w:hAnsi="宋体" w:cs="宋体"/>
          <w:color w:val="auto"/>
          <w:highlight w:val="none"/>
        </w:rPr>
        <w:t>。</w:t>
      </w:r>
    </w:p>
    <w:p w14:paraId="2FC96031">
      <w:pPr>
        <w:pStyle w:val="5"/>
        <w:rPr>
          <w:color w:val="auto"/>
          <w:highlight w:val="none"/>
        </w:rPr>
      </w:pPr>
      <w:bookmarkStart w:id="312" w:name="_Toc23843"/>
      <w:bookmarkStart w:id="313" w:name="_Toc373478345"/>
      <w:bookmarkStart w:id="314" w:name="_Toc78449786"/>
      <w:bookmarkStart w:id="315" w:name="_Toc373227698"/>
      <w:bookmarkStart w:id="316" w:name="_Toc407135200"/>
      <w:bookmarkStart w:id="317" w:name="_Toc1944260835"/>
      <w:bookmarkStart w:id="318" w:name="_Toc389065264"/>
      <w:bookmarkStart w:id="319" w:name="_Toc110523719"/>
      <w:r>
        <w:rPr>
          <w:color w:val="auto"/>
          <w:highlight w:val="none"/>
        </w:rPr>
        <w:t xml:space="preserve">1.7 </w:t>
      </w:r>
      <w:r>
        <w:rPr>
          <w:rFonts w:hint="eastAsia" w:hAnsi="宋体" w:cs="黑体"/>
          <w:color w:val="auto"/>
          <w:highlight w:val="none"/>
        </w:rPr>
        <w:t>联络</w:t>
      </w:r>
      <w:bookmarkEnd w:id="312"/>
      <w:bookmarkEnd w:id="313"/>
      <w:bookmarkEnd w:id="314"/>
      <w:bookmarkEnd w:id="315"/>
      <w:bookmarkEnd w:id="316"/>
      <w:bookmarkEnd w:id="317"/>
      <w:bookmarkEnd w:id="318"/>
      <w:bookmarkEnd w:id="319"/>
    </w:p>
    <w:p w14:paraId="231633BC">
      <w:pPr>
        <w:spacing w:line="360" w:lineRule="auto"/>
        <w:ind w:firstLine="420" w:firstLineChars="200"/>
        <w:rPr>
          <w:color w:val="auto"/>
          <w:kern w:val="0"/>
          <w:highlight w:val="none"/>
        </w:rPr>
      </w:pPr>
      <w:r>
        <w:rPr>
          <w:color w:val="auto"/>
          <w:kern w:val="0"/>
          <w:highlight w:val="none"/>
        </w:rPr>
        <w:t>1.7.1</w:t>
      </w:r>
      <w:r>
        <w:rPr>
          <w:rFonts w:hint="eastAsia" w:hAnsi="宋体" w:cs="宋体"/>
          <w:color w:val="auto"/>
          <w:kern w:val="0"/>
          <w:highlight w:val="none"/>
        </w:rPr>
        <w:t>发包人和承包人应当在</w:t>
      </w:r>
      <w:r>
        <w:rPr>
          <w:color w:val="auto"/>
          <w:highlight w:val="none"/>
          <w:u w:val="single"/>
        </w:rPr>
        <w:t xml:space="preserve"> </w:t>
      </w:r>
      <w:r>
        <w:rPr>
          <w:rFonts w:hint="eastAsia"/>
          <w:color w:val="auto"/>
          <w:highlight w:val="none"/>
          <w:u w:val="single"/>
          <w:lang w:val="en-US" w:eastAsia="zh-CN"/>
        </w:rPr>
        <w:t>7</w:t>
      </w:r>
      <w:r>
        <w:rPr>
          <w:color w:val="auto"/>
          <w:highlight w:val="none"/>
          <w:u w:val="single"/>
        </w:rPr>
        <w:t xml:space="preserve"> </w:t>
      </w:r>
      <w:r>
        <w:rPr>
          <w:rFonts w:hint="eastAsia" w:hAnsi="宋体" w:cs="宋体"/>
          <w:color w:val="auto"/>
          <w:kern w:val="0"/>
          <w:highlight w:val="none"/>
        </w:rPr>
        <w:t>天内将与合同有关的通知、批准、证明、证书、指示、指令、要求、请求、同意、意见、确定和决定等书面函件送达对方当事人。</w:t>
      </w:r>
    </w:p>
    <w:p w14:paraId="119BDA19">
      <w:pPr>
        <w:spacing w:line="360" w:lineRule="auto"/>
        <w:ind w:firstLine="420" w:firstLineChars="200"/>
        <w:rPr>
          <w:color w:val="auto"/>
          <w:kern w:val="0"/>
          <w:highlight w:val="none"/>
        </w:rPr>
      </w:pPr>
      <w:r>
        <w:rPr>
          <w:color w:val="auto"/>
          <w:kern w:val="0"/>
          <w:highlight w:val="none"/>
        </w:rPr>
        <w:t xml:space="preserve">1.7.2 </w:t>
      </w:r>
      <w:r>
        <w:rPr>
          <w:rFonts w:hint="eastAsia" w:hAnsi="宋体" w:cs="宋体"/>
          <w:color w:val="auto"/>
          <w:kern w:val="0"/>
          <w:highlight w:val="none"/>
        </w:rPr>
        <w:t>发包人接收文件的地点：</w:t>
      </w:r>
      <w:r>
        <w:rPr>
          <w:color w:val="auto"/>
          <w:highlight w:val="none"/>
          <w:u w:val="single"/>
        </w:rPr>
        <w:t xml:space="preserve"> </w:t>
      </w:r>
      <w:r>
        <w:rPr>
          <w:rFonts w:hint="eastAsia"/>
          <w:color w:val="auto"/>
          <w:highlight w:val="none"/>
          <w:u w:val="single"/>
        </w:rPr>
        <w:t>发包人办公室</w:t>
      </w:r>
      <w:r>
        <w:rPr>
          <w:color w:val="auto"/>
          <w:highlight w:val="none"/>
          <w:u w:val="single"/>
        </w:rPr>
        <w:t xml:space="preserve"> </w:t>
      </w:r>
      <w:r>
        <w:rPr>
          <w:rFonts w:hint="eastAsia" w:hAnsi="宋体" w:cs="宋体"/>
          <w:color w:val="auto"/>
          <w:kern w:val="0"/>
          <w:highlight w:val="none"/>
        </w:rPr>
        <w:t>；</w:t>
      </w:r>
    </w:p>
    <w:p w14:paraId="7AEA3147">
      <w:pPr>
        <w:spacing w:line="360" w:lineRule="auto"/>
        <w:ind w:firstLine="420" w:firstLineChars="200"/>
        <w:rPr>
          <w:color w:val="auto"/>
          <w:kern w:val="0"/>
          <w:highlight w:val="none"/>
        </w:rPr>
      </w:pPr>
      <w:r>
        <w:rPr>
          <w:rFonts w:hint="eastAsia" w:hAnsi="宋体" w:cs="宋体"/>
          <w:color w:val="auto"/>
          <w:kern w:val="0"/>
          <w:highlight w:val="none"/>
        </w:rPr>
        <w:t>发包人指定的接收人为：</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rFonts w:hint="eastAsia" w:hAnsi="宋体" w:cs="宋体"/>
          <w:color w:val="auto"/>
          <w:kern w:val="0"/>
          <w:highlight w:val="none"/>
        </w:rPr>
        <w:t>。</w:t>
      </w:r>
    </w:p>
    <w:p w14:paraId="656ABA0E">
      <w:pPr>
        <w:spacing w:line="360" w:lineRule="auto"/>
        <w:ind w:firstLine="420" w:firstLineChars="200"/>
        <w:rPr>
          <w:color w:val="auto"/>
          <w:kern w:val="0"/>
          <w:highlight w:val="none"/>
        </w:rPr>
      </w:pPr>
      <w:r>
        <w:rPr>
          <w:rFonts w:hint="eastAsia" w:hAnsi="宋体" w:cs="宋体"/>
          <w:color w:val="auto"/>
          <w:kern w:val="0"/>
          <w:highlight w:val="none"/>
        </w:rPr>
        <w:t>承包人接收文件的地点：</w:t>
      </w:r>
      <w:r>
        <w:rPr>
          <w:color w:val="auto"/>
          <w:highlight w:val="none"/>
          <w:u w:val="single"/>
        </w:rPr>
        <w:t xml:space="preserve">         </w:t>
      </w:r>
      <w:r>
        <w:rPr>
          <w:rFonts w:hint="eastAsia"/>
          <w:color w:val="auto"/>
          <w:highlight w:val="none"/>
          <w:u w:val="single"/>
        </w:rPr>
        <w:t xml:space="preserve">                   </w:t>
      </w:r>
      <w:r>
        <w:rPr>
          <w:rFonts w:hint="eastAsia" w:hAnsi="宋体" w:cs="宋体"/>
          <w:color w:val="auto"/>
          <w:kern w:val="0"/>
          <w:highlight w:val="none"/>
        </w:rPr>
        <w:t>；</w:t>
      </w:r>
    </w:p>
    <w:p w14:paraId="142BCE52">
      <w:pPr>
        <w:spacing w:line="360" w:lineRule="auto"/>
        <w:ind w:firstLine="420" w:firstLineChars="200"/>
        <w:rPr>
          <w:color w:val="auto"/>
          <w:kern w:val="0"/>
          <w:highlight w:val="none"/>
        </w:rPr>
      </w:pPr>
      <w:r>
        <w:rPr>
          <w:rFonts w:hint="eastAsia" w:hAnsi="宋体" w:cs="宋体"/>
          <w:color w:val="auto"/>
          <w:kern w:val="0"/>
          <w:highlight w:val="none"/>
        </w:rPr>
        <w:t>承包人指定的接收人为：</w:t>
      </w:r>
      <w:r>
        <w:rPr>
          <w:color w:val="auto"/>
          <w:highlight w:val="none"/>
          <w:u w:val="single"/>
        </w:rPr>
        <w:t xml:space="preserve">           </w:t>
      </w:r>
      <w:r>
        <w:rPr>
          <w:rFonts w:hint="eastAsia"/>
          <w:color w:val="auto"/>
          <w:highlight w:val="none"/>
          <w:u w:val="single"/>
        </w:rPr>
        <w:t xml:space="preserve">                 </w:t>
      </w:r>
      <w:r>
        <w:rPr>
          <w:rFonts w:hint="eastAsia" w:hAnsi="宋体" w:cs="宋体"/>
          <w:color w:val="auto"/>
          <w:kern w:val="0"/>
          <w:highlight w:val="none"/>
        </w:rPr>
        <w:t>。</w:t>
      </w:r>
    </w:p>
    <w:p w14:paraId="291B1829">
      <w:pPr>
        <w:spacing w:line="360" w:lineRule="auto"/>
        <w:ind w:firstLine="420" w:firstLineChars="200"/>
        <w:rPr>
          <w:color w:val="auto"/>
          <w:kern w:val="0"/>
          <w:highlight w:val="none"/>
        </w:rPr>
      </w:pPr>
      <w:r>
        <w:rPr>
          <w:rFonts w:hint="eastAsia" w:hAnsi="宋体" w:cs="宋体"/>
          <w:color w:val="auto"/>
          <w:kern w:val="0"/>
          <w:highlight w:val="none"/>
        </w:rPr>
        <w:t>监理人接收文件的地点：</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rFonts w:hint="eastAsia" w:hAnsi="宋体" w:cs="宋体"/>
          <w:color w:val="auto"/>
          <w:kern w:val="0"/>
          <w:highlight w:val="none"/>
        </w:rPr>
        <w:t>；</w:t>
      </w:r>
    </w:p>
    <w:p w14:paraId="40E50394">
      <w:pPr>
        <w:spacing w:line="360" w:lineRule="auto"/>
        <w:ind w:firstLine="420" w:firstLineChars="200"/>
        <w:rPr>
          <w:color w:val="auto"/>
          <w:kern w:val="0"/>
          <w:highlight w:val="none"/>
        </w:rPr>
      </w:pPr>
      <w:r>
        <w:rPr>
          <w:rFonts w:hint="eastAsia" w:hAnsi="宋体" w:cs="宋体"/>
          <w:color w:val="auto"/>
          <w:kern w:val="0"/>
          <w:highlight w:val="none"/>
        </w:rPr>
        <w:t>监理人指定的接收人为：</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rFonts w:hint="eastAsia" w:hAnsi="宋体" w:cs="宋体"/>
          <w:color w:val="auto"/>
          <w:kern w:val="0"/>
          <w:highlight w:val="none"/>
        </w:rPr>
        <w:t>。</w:t>
      </w:r>
    </w:p>
    <w:p w14:paraId="476B7248">
      <w:pPr>
        <w:pStyle w:val="5"/>
        <w:rPr>
          <w:color w:val="auto"/>
          <w:highlight w:val="none"/>
        </w:rPr>
      </w:pPr>
      <w:bookmarkStart w:id="320" w:name="_Toc7820"/>
      <w:bookmarkStart w:id="321" w:name="_Toc389065265"/>
      <w:bookmarkStart w:id="322" w:name="_Toc407135201"/>
      <w:bookmarkStart w:id="323" w:name="_Toc373227699"/>
      <w:bookmarkStart w:id="324" w:name="_Toc373478346"/>
      <w:bookmarkStart w:id="325" w:name="_Toc224348539"/>
      <w:bookmarkStart w:id="326" w:name="_Toc1387231545"/>
      <w:bookmarkStart w:id="327" w:name="_Toc78449787"/>
      <w:r>
        <w:rPr>
          <w:color w:val="auto"/>
          <w:highlight w:val="none"/>
        </w:rPr>
        <w:t xml:space="preserve">1.10 </w:t>
      </w:r>
      <w:r>
        <w:rPr>
          <w:rFonts w:hint="eastAsia" w:hAnsi="宋体" w:cs="黑体"/>
          <w:color w:val="auto"/>
          <w:highlight w:val="none"/>
        </w:rPr>
        <w:t>交通运输</w:t>
      </w:r>
      <w:bookmarkEnd w:id="320"/>
      <w:bookmarkEnd w:id="321"/>
      <w:bookmarkEnd w:id="322"/>
      <w:bookmarkEnd w:id="323"/>
      <w:bookmarkEnd w:id="324"/>
      <w:bookmarkEnd w:id="325"/>
      <w:bookmarkEnd w:id="326"/>
      <w:bookmarkEnd w:id="327"/>
    </w:p>
    <w:p w14:paraId="5B3BC4CE">
      <w:pPr>
        <w:spacing w:line="360" w:lineRule="auto"/>
        <w:ind w:firstLine="420" w:firstLineChars="200"/>
        <w:rPr>
          <w:color w:val="auto"/>
          <w:highlight w:val="none"/>
        </w:rPr>
      </w:pPr>
      <w:r>
        <w:rPr>
          <w:color w:val="auto"/>
          <w:highlight w:val="none"/>
        </w:rPr>
        <w:t>1</w:t>
      </w:r>
      <w:bookmarkStart w:id="328" w:name="_Toc304295521"/>
      <w:bookmarkStart w:id="329" w:name="_Toc318581155"/>
      <w:bookmarkStart w:id="330" w:name="_Toc300934943"/>
      <w:bookmarkStart w:id="331" w:name="_Toc303539100"/>
      <w:bookmarkStart w:id="332" w:name="_Toc312677986"/>
      <w:r>
        <w:rPr>
          <w:color w:val="auto"/>
          <w:highlight w:val="none"/>
        </w:rPr>
        <w:t xml:space="preserve">.10.1 </w:t>
      </w:r>
      <w:r>
        <w:rPr>
          <w:rFonts w:hint="eastAsia" w:hAnsi="宋体" w:cs="宋体"/>
          <w:color w:val="auto"/>
          <w:highlight w:val="none"/>
        </w:rPr>
        <w:t>出入现场的权利</w:t>
      </w:r>
    </w:p>
    <w:p w14:paraId="2A8E32F1">
      <w:pPr>
        <w:spacing w:line="360" w:lineRule="auto"/>
        <w:ind w:firstLine="420" w:firstLineChars="200"/>
        <w:rPr>
          <w:color w:val="auto"/>
          <w:highlight w:val="none"/>
          <w:u w:val="single"/>
        </w:rPr>
      </w:pPr>
      <w:r>
        <w:rPr>
          <w:rFonts w:hint="eastAsia" w:hAnsi="宋体" w:cs="宋体"/>
          <w:color w:val="auto"/>
          <w:highlight w:val="none"/>
        </w:rPr>
        <w:t>关于出入现场的权利的约定：</w:t>
      </w:r>
      <w:r>
        <w:rPr>
          <w:rFonts w:hint="eastAsia"/>
          <w:color w:val="auto"/>
          <w:highlight w:val="none"/>
          <w:u w:val="single"/>
        </w:rPr>
        <w:t>承包人负责办理取得道路通行权、场外设施修建权，其相关费用由承包人承担；负责施工所需的场内临时道路和交通设施的修建、维护、养护和管理，相关费用由承包人承担。发包人和监理人有权无偿使用承包人修建的临时道路和交通设施，不需要交纳任何费用</w:t>
      </w:r>
      <w:r>
        <w:rPr>
          <w:rFonts w:hint="eastAsia" w:hAnsi="宋体" w:cs="宋体"/>
          <w:color w:val="auto"/>
          <w:highlight w:val="none"/>
        </w:rPr>
        <w:t>。</w:t>
      </w:r>
    </w:p>
    <w:bookmarkEnd w:id="328"/>
    <w:bookmarkEnd w:id="329"/>
    <w:bookmarkEnd w:id="330"/>
    <w:bookmarkEnd w:id="331"/>
    <w:bookmarkEnd w:id="332"/>
    <w:p w14:paraId="5F357807">
      <w:pPr>
        <w:spacing w:line="360" w:lineRule="auto"/>
        <w:ind w:firstLine="420" w:firstLineChars="200"/>
        <w:jc w:val="left"/>
        <w:rPr>
          <w:color w:val="auto"/>
          <w:highlight w:val="none"/>
        </w:rPr>
      </w:pPr>
      <w:r>
        <w:rPr>
          <w:color w:val="auto"/>
          <w:highlight w:val="none"/>
        </w:rPr>
        <w:t>1</w:t>
      </w:r>
      <w:bookmarkStart w:id="333" w:name="_Toc312677987"/>
      <w:bookmarkStart w:id="334" w:name="_Toc300934944"/>
      <w:bookmarkStart w:id="335" w:name="_Toc304295522"/>
      <w:bookmarkStart w:id="336" w:name="_Toc303539101"/>
      <w:bookmarkStart w:id="337" w:name="_Toc318581156"/>
      <w:r>
        <w:rPr>
          <w:color w:val="auto"/>
          <w:highlight w:val="none"/>
        </w:rPr>
        <w:t xml:space="preserve">.10.3 </w:t>
      </w:r>
      <w:r>
        <w:rPr>
          <w:rFonts w:hint="eastAsia" w:hAnsi="宋体" w:cs="宋体"/>
          <w:color w:val="auto"/>
          <w:highlight w:val="none"/>
        </w:rPr>
        <w:t>场内交通</w:t>
      </w:r>
    </w:p>
    <w:p w14:paraId="04ADB807">
      <w:pPr>
        <w:spacing w:line="360" w:lineRule="auto"/>
        <w:ind w:firstLine="420" w:firstLineChars="200"/>
        <w:jc w:val="left"/>
        <w:rPr>
          <w:color w:val="auto"/>
          <w:kern w:val="0"/>
          <w:highlight w:val="none"/>
        </w:rPr>
      </w:pPr>
      <w:r>
        <w:rPr>
          <w:rFonts w:hint="eastAsia" w:hAnsi="宋体" w:cs="宋体"/>
          <w:color w:val="auto"/>
          <w:kern w:val="0"/>
          <w:highlight w:val="none"/>
        </w:rPr>
        <w:t>关于场外交通和场内交通的边界的约定：</w:t>
      </w:r>
      <w:r>
        <w:rPr>
          <w:color w:val="auto"/>
          <w:highlight w:val="none"/>
          <w:u w:val="single"/>
        </w:rPr>
        <w:t xml:space="preserve"> </w:t>
      </w:r>
      <w:r>
        <w:rPr>
          <w:rFonts w:hint="eastAsia"/>
          <w:color w:val="auto"/>
          <w:highlight w:val="none"/>
          <w:u w:val="single"/>
        </w:rPr>
        <w:t>以本合同施工图纸为准</w:t>
      </w:r>
      <w:r>
        <w:rPr>
          <w:color w:val="auto"/>
          <w:highlight w:val="none"/>
          <w:u w:val="single"/>
        </w:rPr>
        <w:t xml:space="preserve"> </w:t>
      </w:r>
      <w:r>
        <w:rPr>
          <w:rFonts w:hint="eastAsia" w:hAnsi="宋体" w:cs="宋体"/>
          <w:color w:val="auto"/>
          <w:highlight w:val="none"/>
        </w:rPr>
        <w:t>。</w:t>
      </w:r>
    </w:p>
    <w:p w14:paraId="7609E0BF">
      <w:pPr>
        <w:spacing w:line="360" w:lineRule="auto"/>
        <w:ind w:firstLine="420" w:firstLineChars="200"/>
        <w:jc w:val="left"/>
        <w:rPr>
          <w:color w:val="auto"/>
          <w:highlight w:val="none"/>
        </w:rPr>
      </w:pPr>
      <w:r>
        <w:rPr>
          <w:rFonts w:hAnsi="宋体"/>
          <w:color w:val="auto"/>
          <w:highlight w:val="none"/>
        </w:rPr>
        <w:t>关于发包人向承包人免费提供满足工程施工需要的场内道路和交通设施的约定：</w:t>
      </w:r>
      <w:r>
        <w:rPr>
          <w:rFonts w:hAnsi="宋体"/>
          <w:color w:val="auto"/>
          <w:highlight w:val="none"/>
          <w:u w:val="single"/>
        </w:rPr>
        <w:t></w:t>
      </w:r>
      <w:r>
        <w:rPr>
          <w:rFonts w:ascii="宋体" w:hAnsi="宋体" w:eastAsia="宋体" w:cs="宋体"/>
          <w:color w:val="auto"/>
          <w:spacing w:val="0"/>
          <w:highlight w:val="none"/>
          <w:u w:val="single"/>
        </w:rPr>
        <w:t>由承包人自行解决</w:t>
      </w:r>
      <w:r>
        <w:rPr>
          <w:color w:val="auto"/>
          <w:highlight w:val="none"/>
          <w:u w:val="single"/>
        </w:rPr>
        <w:t xml:space="preserve">  </w:t>
      </w:r>
      <w:r>
        <w:rPr>
          <w:rFonts w:hAnsi="宋体"/>
          <w:color w:val="auto"/>
          <w:highlight w:val="none"/>
        </w:rPr>
        <w:t>。</w:t>
      </w:r>
      <w:bookmarkEnd w:id="333"/>
      <w:bookmarkEnd w:id="334"/>
      <w:bookmarkEnd w:id="335"/>
      <w:bookmarkEnd w:id="336"/>
      <w:bookmarkEnd w:id="337"/>
      <w:bookmarkStart w:id="338" w:name="_Toc318581157"/>
    </w:p>
    <w:p w14:paraId="625DAAF6">
      <w:pPr>
        <w:spacing w:line="360" w:lineRule="auto"/>
        <w:ind w:firstLine="420" w:firstLineChars="200"/>
        <w:jc w:val="left"/>
        <w:rPr>
          <w:color w:val="auto"/>
          <w:highlight w:val="none"/>
        </w:rPr>
      </w:pPr>
      <w:r>
        <w:rPr>
          <w:color w:val="auto"/>
          <w:highlight w:val="none"/>
        </w:rPr>
        <w:t xml:space="preserve">1.10.4 </w:t>
      </w:r>
      <w:r>
        <w:rPr>
          <w:rFonts w:hint="eastAsia" w:hAnsi="宋体" w:cs="宋体"/>
          <w:color w:val="auto"/>
          <w:highlight w:val="none"/>
        </w:rPr>
        <w:t>超大件和超重件的运输</w:t>
      </w:r>
    </w:p>
    <w:p w14:paraId="2AD51F6D">
      <w:pPr>
        <w:spacing w:line="360" w:lineRule="auto"/>
        <w:ind w:firstLine="420" w:firstLineChars="200"/>
        <w:jc w:val="left"/>
        <w:rPr>
          <w:color w:val="auto"/>
          <w:highlight w:val="none"/>
          <w:u w:val="single"/>
        </w:rPr>
      </w:pPr>
      <w:r>
        <w:rPr>
          <w:rFonts w:hint="eastAsia" w:hAnsi="宋体" w:cs="宋体"/>
          <w:color w:val="auto"/>
          <w:highlight w:val="none"/>
        </w:rPr>
        <w:t>运输超大件或超重件所需的道路和桥梁临时加固改造费用和其他有关费用由</w:t>
      </w:r>
      <w:r>
        <w:rPr>
          <w:rFonts w:ascii="宋体" w:hAnsi="宋体" w:eastAsia="宋体" w:cs="宋体"/>
          <w:color w:val="auto"/>
          <w:highlight w:val="none"/>
          <w:u w:val="single"/>
        </w:rPr>
        <w:t xml:space="preserve"> 承包人 </w:t>
      </w:r>
      <w:r>
        <w:rPr>
          <w:rFonts w:hint="eastAsia" w:hAnsi="宋体" w:cs="宋体"/>
          <w:color w:val="auto"/>
          <w:highlight w:val="none"/>
        </w:rPr>
        <w:t>承担。</w:t>
      </w:r>
    </w:p>
    <w:bookmarkEnd w:id="338"/>
    <w:p w14:paraId="24AAFBE3">
      <w:pPr>
        <w:pStyle w:val="5"/>
        <w:rPr>
          <w:color w:val="auto"/>
          <w:highlight w:val="none"/>
        </w:rPr>
      </w:pPr>
      <w:bookmarkStart w:id="339" w:name="_Toc1495098807"/>
      <w:bookmarkStart w:id="340" w:name="_Toc407135202"/>
      <w:bookmarkStart w:id="341" w:name="_Toc512841653"/>
      <w:bookmarkStart w:id="342" w:name="_Toc78449788"/>
      <w:bookmarkStart w:id="343" w:name="_Toc389065266"/>
      <w:bookmarkStart w:id="344" w:name="_Toc373227700"/>
      <w:bookmarkStart w:id="345" w:name="_Toc373478347"/>
      <w:bookmarkStart w:id="346" w:name="_Toc13591"/>
      <w:r>
        <w:rPr>
          <w:color w:val="auto"/>
          <w:highlight w:val="none"/>
        </w:rPr>
        <w:t xml:space="preserve">1.11 </w:t>
      </w:r>
      <w:r>
        <w:rPr>
          <w:rFonts w:hint="eastAsia" w:hAnsi="宋体" w:cs="黑体"/>
          <w:color w:val="auto"/>
          <w:highlight w:val="none"/>
        </w:rPr>
        <w:t>知识产权</w:t>
      </w:r>
      <w:bookmarkEnd w:id="339"/>
      <w:bookmarkEnd w:id="340"/>
      <w:bookmarkEnd w:id="341"/>
      <w:bookmarkEnd w:id="342"/>
      <w:bookmarkEnd w:id="343"/>
      <w:bookmarkEnd w:id="344"/>
      <w:bookmarkEnd w:id="345"/>
      <w:bookmarkEnd w:id="346"/>
    </w:p>
    <w:p w14:paraId="74415B45">
      <w:pPr>
        <w:spacing w:line="360" w:lineRule="auto"/>
        <w:ind w:firstLine="420" w:firstLineChars="200"/>
        <w:rPr>
          <w:color w:val="auto"/>
          <w:highlight w:val="none"/>
        </w:rPr>
      </w:pPr>
      <w:r>
        <w:rPr>
          <w:color w:val="auto"/>
          <w:highlight w:val="none"/>
        </w:rPr>
        <w:t xml:space="preserve">1.11.1 </w:t>
      </w:r>
      <w:r>
        <w:rPr>
          <w:rFonts w:hint="eastAsia" w:hAnsi="宋体" w:cs="宋体"/>
          <w:color w:val="auto"/>
          <w:highlight w:val="none"/>
        </w:rPr>
        <w:t>关于发包人提供给承包人的图纸、发包人为实施工程自行编制或委托编制的技术规范以及反映发包人关于合同要求或其他类似性质的文件的著作权的归属：</w:t>
      </w:r>
      <w:r>
        <w:rPr>
          <w:rFonts w:ascii="宋体" w:hAnsi="宋体" w:eastAsia="宋体" w:cs="宋体"/>
          <w:color w:val="auto"/>
          <w:highlight w:val="none"/>
          <w:u w:val="single"/>
        </w:rPr>
        <w:t xml:space="preserve"> 发包人 </w:t>
      </w:r>
      <w:r>
        <w:rPr>
          <w:rFonts w:hint="eastAsia" w:hAnsi="宋体" w:cs="宋体"/>
          <w:color w:val="auto"/>
          <w:highlight w:val="none"/>
        </w:rPr>
        <w:t>。</w:t>
      </w:r>
    </w:p>
    <w:p w14:paraId="44597B47">
      <w:pPr>
        <w:spacing w:line="360" w:lineRule="auto"/>
        <w:ind w:firstLine="420" w:firstLineChars="200"/>
        <w:rPr>
          <w:color w:val="auto"/>
          <w:highlight w:val="none"/>
        </w:rPr>
      </w:pPr>
      <w:r>
        <w:rPr>
          <w:rFonts w:hint="eastAsia" w:hAnsi="宋体" w:cs="宋体"/>
          <w:color w:val="auto"/>
          <w:highlight w:val="none"/>
        </w:rPr>
        <w:t>关于发包人提供的上述文件的使用限制的要求：</w:t>
      </w:r>
      <w:r>
        <w:rPr>
          <w:rFonts w:ascii="宋体" w:hAnsi="宋体" w:eastAsia="宋体" w:cs="宋体"/>
          <w:color w:val="auto"/>
          <w:spacing w:val="0"/>
          <w:highlight w:val="none"/>
          <w:u w:val="single"/>
        </w:rPr>
        <w:t>承包人可以为实现合同目的而复制、使用此类文件，但不能用于与合同无关的其他事项。未经发包人书面同意，承包人不得为了合同以外的目的</w:t>
      </w:r>
      <w:r>
        <w:rPr>
          <w:rFonts w:ascii="宋体" w:hAnsi="宋体" w:eastAsia="宋体" w:cs="宋体"/>
          <w:color w:val="auto"/>
          <w:highlight w:val="none"/>
          <w:u w:val="single"/>
        </w:rPr>
        <w:t xml:space="preserve">而复制、使用上述文件或将之提供给任何第三方 </w:t>
      </w:r>
      <w:r>
        <w:rPr>
          <w:rFonts w:hint="eastAsia" w:hAnsi="宋体" w:cs="宋体"/>
          <w:color w:val="auto"/>
          <w:highlight w:val="none"/>
        </w:rPr>
        <w:t>。</w:t>
      </w:r>
    </w:p>
    <w:p w14:paraId="737CA9E8">
      <w:pPr>
        <w:spacing w:line="360" w:lineRule="auto"/>
        <w:ind w:firstLine="420" w:firstLineChars="200"/>
        <w:rPr>
          <w:color w:val="auto"/>
          <w:highlight w:val="none"/>
        </w:rPr>
      </w:pPr>
      <w:r>
        <w:rPr>
          <w:color w:val="auto"/>
          <w:highlight w:val="none"/>
        </w:rPr>
        <w:t xml:space="preserve">1.11.2 </w:t>
      </w:r>
      <w:r>
        <w:rPr>
          <w:rFonts w:hint="eastAsia" w:hAnsi="宋体" w:cs="宋体"/>
          <w:color w:val="auto"/>
          <w:highlight w:val="none"/>
        </w:rPr>
        <w:t>关于承包人为实施工程所编制文件的著作权的归属：</w:t>
      </w:r>
      <w:r>
        <w:rPr>
          <w:rFonts w:ascii="宋体" w:hAnsi="宋体" w:eastAsia="宋体" w:cs="宋体"/>
          <w:color w:val="auto"/>
          <w:spacing w:val="0"/>
          <w:highlight w:val="none"/>
          <w:u w:val="single"/>
        </w:rPr>
        <w:t xml:space="preserve"> 除署名权以外的著作权属于发包人</w:t>
      </w:r>
      <w:r>
        <w:rPr>
          <w:rFonts w:hint="eastAsia" w:hAnsi="宋体" w:cs="宋体"/>
          <w:color w:val="auto"/>
          <w:highlight w:val="none"/>
        </w:rPr>
        <w:t>。</w:t>
      </w:r>
    </w:p>
    <w:p w14:paraId="581697D2">
      <w:pPr>
        <w:spacing w:line="360" w:lineRule="auto"/>
        <w:ind w:firstLine="420" w:firstLineChars="200"/>
        <w:rPr>
          <w:color w:val="auto"/>
          <w:highlight w:val="none"/>
          <w:u w:val="single"/>
        </w:rPr>
      </w:pPr>
      <w:r>
        <w:rPr>
          <w:rFonts w:hint="eastAsia" w:hAnsi="宋体" w:cs="宋体"/>
          <w:color w:val="auto"/>
          <w:highlight w:val="none"/>
        </w:rPr>
        <w:t>关于承包人提供的上述文件的使用限制的要求：</w:t>
      </w:r>
      <w:r>
        <w:rPr>
          <w:rFonts w:ascii="宋体" w:hAnsi="宋体" w:eastAsia="宋体" w:cs="宋体"/>
          <w:color w:val="auto"/>
          <w:highlight w:val="none"/>
          <w:u w:val="single"/>
        </w:rPr>
        <w:t xml:space="preserve"> 按通用条款 </w:t>
      </w:r>
      <w:r>
        <w:rPr>
          <w:rFonts w:ascii="Calibri" w:hAnsi="Calibri" w:eastAsia="Calibri" w:cs="Calibri"/>
          <w:color w:val="auto"/>
          <w:highlight w:val="none"/>
          <w:u w:val="single"/>
        </w:rPr>
        <w:t xml:space="preserve">1.11 </w:t>
      </w:r>
      <w:r>
        <w:rPr>
          <w:rFonts w:ascii="宋体" w:hAnsi="宋体" w:eastAsia="宋体" w:cs="宋体"/>
          <w:color w:val="auto"/>
          <w:highlight w:val="none"/>
          <w:u w:val="single"/>
        </w:rPr>
        <w:t xml:space="preserve">执行 </w:t>
      </w:r>
      <w:r>
        <w:rPr>
          <w:rFonts w:hint="eastAsia" w:hAnsi="宋体" w:cs="宋体"/>
          <w:color w:val="auto"/>
          <w:highlight w:val="none"/>
        </w:rPr>
        <w:t>。</w:t>
      </w:r>
    </w:p>
    <w:p w14:paraId="6DD042E8">
      <w:pPr>
        <w:spacing w:line="360" w:lineRule="auto"/>
        <w:rPr>
          <w:color w:val="auto"/>
          <w:kern w:val="0"/>
          <w:highlight w:val="none"/>
        </w:rPr>
      </w:pPr>
      <w:r>
        <w:rPr>
          <w:color w:val="auto"/>
          <w:highlight w:val="none"/>
        </w:rPr>
        <w:t xml:space="preserve">1.11.4 </w:t>
      </w:r>
      <w:r>
        <w:rPr>
          <w:rFonts w:hint="eastAsia" w:hAnsi="宋体" w:cs="宋体"/>
          <w:color w:val="auto"/>
          <w:highlight w:val="none"/>
        </w:rPr>
        <w:t>承包人在施工过程中所采用的专利、专有技术、技术秘密的使用费的承担方式：</w:t>
      </w:r>
      <w:r>
        <w:rPr>
          <w:rFonts w:ascii="宋体" w:hAnsi="宋体" w:eastAsia="宋体" w:cs="宋体"/>
          <w:color w:val="auto"/>
          <w:spacing w:val="0"/>
          <w:highlight w:val="none"/>
          <w:u w:val="single"/>
        </w:rPr>
        <w:t xml:space="preserve"> 由承包人承担</w:t>
      </w:r>
      <w:r>
        <w:rPr>
          <w:rFonts w:ascii="宋体" w:hAnsi="宋体" w:eastAsia="宋体" w:cs="宋体"/>
          <w:color w:val="auto"/>
          <w:highlight w:val="none"/>
          <w:u w:val="single"/>
        </w:rPr>
        <w:t xml:space="preserve">，已包含在签约合同价中，发包人不再另行支付 </w:t>
      </w:r>
      <w:r>
        <w:rPr>
          <w:rFonts w:hint="eastAsia" w:hAnsi="宋体" w:cs="宋体"/>
          <w:color w:val="auto"/>
          <w:kern w:val="0"/>
          <w:highlight w:val="none"/>
        </w:rPr>
        <w:t>。</w:t>
      </w:r>
    </w:p>
    <w:p w14:paraId="0AC4B4EF">
      <w:pPr>
        <w:pStyle w:val="5"/>
        <w:rPr>
          <w:color w:val="auto"/>
          <w:highlight w:val="none"/>
        </w:rPr>
      </w:pPr>
      <w:bookmarkStart w:id="347" w:name="_Toc373227701"/>
      <w:bookmarkStart w:id="348" w:name="_Toc15636"/>
      <w:bookmarkStart w:id="349" w:name="_Toc389065267"/>
      <w:bookmarkStart w:id="350" w:name="_Toc78449789"/>
      <w:bookmarkStart w:id="351" w:name="_Toc373478348"/>
      <w:bookmarkStart w:id="352" w:name="_Toc1194977599"/>
      <w:bookmarkStart w:id="353" w:name="_Toc267680563"/>
      <w:bookmarkStart w:id="354" w:name="_Toc407135203"/>
      <w:r>
        <w:rPr>
          <w:color w:val="auto"/>
          <w:highlight w:val="none"/>
        </w:rPr>
        <w:t>1.13</w:t>
      </w:r>
      <w:r>
        <w:rPr>
          <w:rFonts w:hint="eastAsia" w:cs="黑体"/>
          <w:color w:val="auto"/>
          <w:highlight w:val="none"/>
        </w:rPr>
        <w:t>工程量清单错误的修正</w:t>
      </w:r>
      <w:bookmarkEnd w:id="347"/>
      <w:bookmarkEnd w:id="348"/>
      <w:bookmarkEnd w:id="349"/>
      <w:bookmarkEnd w:id="350"/>
      <w:bookmarkEnd w:id="351"/>
      <w:bookmarkEnd w:id="352"/>
      <w:bookmarkEnd w:id="353"/>
      <w:bookmarkEnd w:id="354"/>
    </w:p>
    <w:p w14:paraId="1C9D2B62">
      <w:pPr>
        <w:spacing w:line="360" w:lineRule="auto"/>
        <w:ind w:firstLine="420" w:firstLineChars="200"/>
        <w:rPr>
          <w:color w:val="auto"/>
          <w:highlight w:val="none"/>
        </w:rPr>
      </w:pPr>
      <w:r>
        <w:rPr>
          <w:rFonts w:hint="eastAsia" w:hAnsi="宋体" w:cs="宋体"/>
          <w:color w:val="auto"/>
          <w:highlight w:val="none"/>
        </w:rPr>
        <w:t>出现工程量清单工程量偏差时，是否调整合同价格：</w:t>
      </w:r>
      <w:r>
        <w:rPr>
          <w:rFonts w:hint="eastAsia" w:ascii="宋体" w:hAnsi="宋体" w:cs="宋体"/>
          <w:color w:val="auto"/>
          <w:highlight w:val="none"/>
          <w:u w:val="single"/>
        </w:rPr>
        <w:t>□</w:t>
      </w:r>
      <w:r>
        <w:rPr>
          <w:rFonts w:hint="eastAsia" w:hAnsi="宋体" w:cs="宋体"/>
          <w:color w:val="auto"/>
          <w:highlight w:val="none"/>
          <w:u w:val="single"/>
        </w:rPr>
        <w:t xml:space="preserve">是  </w:t>
      </w:r>
      <w:r>
        <w:rPr>
          <w:rFonts w:hint="eastAsia" w:ascii="宋体" w:hAnsi="宋体" w:cs="宋体"/>
          <w:color w:val="auto"/>
          <w:highlight w:val="none"/>
          <w:u w:val="single"/>
          <w:lang w:eastAsia="zh-CN"/>
        </w:rPr>
        <w:t>☑</w:t>
      </w:r>
      <w:r>
        <w:rPr>
          <w:rFonts w:hint="eastAsia" w:hAnsi="宋体" w:cs="宋体"/>
          <w:color w:val="auto"/>
          <w:highlight w:val="none"/>
          <w:u w:val="single"/>
        </w:rPr>
        <w:t>否</w:t>
      </w:r>
      <w:r>
        <w:rPr>
          <w:rFonts w:hint="eastAsia" w:hAnsi="宋体" w:cs="宋体"/>
          <w:color w:val="auto"/>
          <w:kern w:val="0"/>
          <w:highlight w:val="none"/>
        </w:rPr>
        <w:t>。</w:t>
      </w:r>
    </w:p>
    <w:p w14:paraId="061AB0B3">
      <w:pPr>
        <w:spacing w:line="360" w:lineRule="auto"/>
        <w:ind w:firstLine="420" w:firstLineChars="200"/>
        <w:rPr>
          <w:rFonts w:hint="eastAsia" w:hAnsi="宋体" w:cs="宋体"/>
          <w:color w:val="auto"/>
          <w:highlight w:val="none"/>
        </w:rPr>
      </w:pPr>
      <w:r>
        <w:rPr>
          <w:rFonts w:hint="eastAsia" w:hAnsi="宋体" w:cs="宋体"/>
          <w:color w:val="auto"/>
          <w:highlight w:val="none"/>
        </w:rPr>
        <w:t>允许调整合同价格的工程量偏差范围及其调整办法：</w:t>
      </w:r>
    </w:p>
    <w:p w14:paraId="6762C77C">
      <w:pPr>
        <w:spacing w:line="360" w:lineRule="auto"/>
        <w:ind w:firstLine="420" w:firstLineChars="200"/>
        <w:rPr>
          <w:color w:val="auto"/>
          <w:kern w:val="0"/>
          <w:highlight w:val="none"/>
        </w:rPr>
      </w:pPr>
      <w:r>
        <w:rPr>
          <w:rFonts w:hint="eastAsia" w:ascii="宋体" w:hAnsi="宋体" w:cs="宋体"/>
          <w:color w:val="auto"/>
          <w:highlight w:val="none"/>
        </w:rPr>
        <w:t>□</w:t>
      </w:r>
      <w:r>
        <w:rPr>
          <w:color w:val="auto"/>
          <w:highlight w:val="none"/>
          <w:u w:val="single"/>
        </w:rPr>
        <w:t xml:space="preserve"> </w:t>
      </w:r>
      <w:r>
        <w:rPr>
          <w:rFonts w:hint="eastAsia"/>
          <w:color w:val="auto"/>
          <w:highlight w:val="none"/>
          <w:u w:val="single"/>
        </w:rPr>
        <w:t>除严重不平衡报价外，无论分部分项工程量清单项目中的工程量变化多少均不调整</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kern w:val="0"/>
          <w:highlight w:val="none"/>
        </w:rPr>
        <w:t>。</w:t>
      </w:r>
    </w:p>
    <w:p w14:paraId="348B9007">
      <w:pPr>
        <w:spacing w:line="360" w:lineRule="auto"/>
        <w:ind w:firstLine="420" w:firstLineChars="200"/>
        <w:rPr>
          <w:rFonts w:hint="eastAsia" w:hAnsi="宋体" w:cs="宋体"/>
          <w:color w:val="auto"/>
          <w:highlight w:val="none"/>
          <w:u w:val="single"/>
        </w:rPr>
      </w:pPr>
      <w:r>
        <w:rPr>
          <w:rFonts w:hint="eastAsia" w:ascii="宋体" w:hAnsi="宋体" w:cs="宋体"/>
          <w:color w:val="auto"/>
          <w:highlight w:val="none"/>
        </w:rPr>
        <w:t>□</w:t>
      </w:r>
      <w:r>
        <w:rPr>
          <w:rFonts w:hint="eastAsia" w:ascii="Calibri" w:hAnsi="宋体" w:cs="宋体"/>
          <w:color w:val="auto"/>
          <w:highlight w:val="none"/>
          <w:u w:val="single"/>
        </w:rPr>
        <w:t>承包人实际完成的某单项清单项目工程量与招标工程量清单工程量偏差超过    %且该单项清单造价超过合同总价  %以上的，超过后增加部分工程量或减少后剩余部分工程量的综合单价按以下方法调整：                                    。</w:t>
      </w:r>
    </w:p>
    <w:p w14:paraId="3888A43F">
      <w:pPr>
        <w:pStyle w:val="4"/>
        <w:rPr>
          <w:color w:val="auto"/>
          <w:highlight w:val="none"/>
        </w:rPr>
      </w:pPr>
      <w:bookmarkStart w:id="355" w:name="_Toc143780453"/>
      <w:bookmarkStart w:id="356" w:name="_Toc351203634"/>
      <w:bookmarkStart w:id="357" w:name="_Toc78449790"/>
      <w:bookmarkStart w:id="358" w:name="_Toc16161"/>
      <w:bookmarkStart w:id="359" w:name="_Toc407135204"/>
      <w:bookmarkStart w:id="360" w:name="_Toc373227702"/>
      <w:bookmarkStart w:id="361" w:name="_Toc389065268"/>
      <w:bookmarkStart w:id="362" w:name="_Toc373478349"/>
      <w:bookmarkStart w:id="363" w:name="_Toc1415467590"/>
      <w:bookmarkStart w:id="364" w:name="_Toc28277"/>
      <w:r>
        <w:rPr>
          <w:color w:val="auto"/>
          <w:highlight w:val="none"/>
        </w:rPr>
        <w:t>2</w:t>
      </w:r>
      <w:bookmarkStart w:id="365" w:name="_Toc296891197"/>
      <w:bookmarkStart w:id="366" w:name="_Toc297120457"/>
      <w:bookmarkStart w:id="367" w:name="_Toc297048343"/>
      <w:bookmarkStart w:id="368" w:name="_Toc292559867"/>
      <w:bookmarkStart w:id="369" w:name="_Toc296890985"/>
      <w:bookmarkStart w:id="370" w:name="_Toc296503157"/>
      <w:bookmarkStart w:id="371" w:name="_Toc296346658"/>
      <w:bookmarkStart w:id="372" w:name="_Toc292559362"/>
      <w:bookmarkStart w:id="373" w:name="_Toc296944496"/>
      <w:bookmarkStart w:id="374" w:name="_Toc296347156"/>
      <w:r>
        <w:rPr>
          <w:color w:val="auto"/>
          <w:highlight w:val="none"/>
        </w:rPr>
        <w:t xml:space="preserve">. </w:t>
      </w:r>
      <w:r>
        <w:rPr>
          <w:rFonts w:hint="eastAsia" w:hAnsi="宋体" w:cs="黑体"/>
          <w:color w:val="auto"/>
          <w:highlight w:val="none"/>
        </w:rPr>
        <w:t>发包人</w:t>
      </w:r>
      <w:bookmarkEnd w:id="355"/>
      <w:bookmarkEnd w:id="356"/>
      <w:bookmarkEnd w:id="357"/>
      <w:bookmarkEnd w:id="358"/>
      <w:bookmarkEnd w:id="359"/>
      <w:bookmarkEnd w:id="360"/>
      <w:bookmarkEnd w:id="361"/>
      <w:bookmarkEnd w:id="362"/>
      <w:bookmarkEnd w:id="363"/>
      <w:bookmarkEnd w:id="364"/>
    </w:p>
    <w:bookmarkEnd w:id="365"/>
    <w:bookmarkEnd w:id="366"/>
    <w:bookmarkEnd w:id="367"/>
    <w:bookmarkEnd w:id="368"/>
    <w:bookmarkEnd w:id="369"/>
    <w:bookmarkEnd w:id="370"/>
    <w:bookmarkEnd w:id="371"/>
    <w:bookmarkEnd w:id="372"/>
    <w:bookmarkEnd w:id="373"/>
    <w:bookmarkEnd w:id="374"/>
    <w:p w14:paraId="13A52658">
      <w:pPr>
        <w:pStyle w:val="5"/>
        <w:rPr>
          <w:color w:val="auto"/>
          <w:highlight w:val="none"/>
        </w:rPr>
      </w:pPr>
      <w:bookmarkStart w:id="375" w:name="_Toc407135205"/>
      <w:bookmarkStart w:id="376" w:name="_Toc373478350"/>
      <w:bookmarkStart w:id="377" w:name="_Toc78449791"/>
      <w:bookmarkStart w:id="378" w:name="_Toc389065269"/>
      <w:bookmarkStart w:id="379" w:name="_Toc373227703"/>
      <w:bookmarkStart w:id="380" w:name="_Toc14776"/>
      <w:bookmarkStart w:id="381" w:name="_Toc547644210"/>
      <w:bookmarkStart w:id="382" w:name="_Toc971240048"/>
      <w:r>
        <w:rPr>
          <w:color w:val="auto"/>
          <w:highlight w:val="none"/>
        </w:rPr>
        <w:t xml:space="preserve">2.2 </w:t>
      </w:r>
      <w:r>
        <w:rPr>
          <w:rFonts w:hint="eastAsia" w:hAnsi="宋体" w:cs="黑体"/>
          <w:color w:val="auto"/>
          <w:highlight w:val="none"/>
        </w:rPr>
        <w:t>发包人代表</w:t>
      </w:r>
      <w:bookmarkEnd w:id="375"/>
      <w:bookmarkEnd w:id="376"/>
      <w:bookmarkEnd w:id="377"/>
      <w:bookmarkEnd w:id="378"/>
      <w:bookmarkEnd w:id="379"/>
      <w:bookmarkEnd w:id="380"/>
      <w:bookmarkEnd w:id="381"/>
      <w:bookmarkEnd w:id="382"/>
    </w:p>
    <w:p w14:paraId="1B5B3117">
      <w:pPr>
        <w:spacing w:line="360" w:lineRule="auto"/>
        <w:ind w:firstLine="420" w:firstLineChars="200"/>
        <w:rPr>
          <w:color w:val="auto"/>
          <w:highlight w:val="none"/>
        </w:rPr>
      </w:pPr>
      <w:r>
        <w:rPr>
          <w:rFonts w:hint="eastAsia" w:hAnsi="宋体" w:cs="宋体"/>
          <w:color w:val="auto"/>
          <w:highlight w:val="none"/>
        </w:rPr>
        <w:t>发包人代表：</w:t>
      </w:r>
    </w:p>
    <w:p w14:paraId="2FC3BB13">
      <w:pPr>
        <w:spacing w:line="360" w:lineRule="auto"/>
        <w:ind w:firstLine="420" w:firstLineChars="200"/>
        <w:rPr>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int="eastAsia" w:ascii="Calibri" w:hAnsi="宋体" w:cs="宋体"/>
          <w:color w:val="auto"/>
          <w:highlight w:val="none"/>
          <w:u w:val="single"/>
        </w:rPr>
        <w:t xml:space="preserve">              </w:t>
      </w:r>
      <w:r>
        <w:rPr>
          <w:rFonts w:hint="eastAsia" w:ascii="Calibri" w:hAnsi="宋体" w:cs="宋体"/>
          <w:color w:val="auto"/>
          <w:highlight w:val="none"/>
          <w:u w:val="single"/>
          <w:lang w:val="en-US" w:eastAsia="zh-CN"/>
        </w:rPr>
        <w:t>/</w:t>
      </w:r>
      <w:r>
        <w:rPr>
          <w:rFonts w:hint="eastAsia" w:ascii="Calibri" w:hAnsi="宋体" w:cs="宋体"/>
          <w:color w:val="auto"/>
          <w:highlight w:val="none"/>
          <w:u w:val="single"/>
        </w:rPr>
        <w:t xml:space="preserve">                </w:t>
      </w:r>
      <w:r>
        <w:rPr>
          <w:rFonts w:hAnsi="宋体"/>
          <w:color w:val="auto"/>
          <w:highlight w:val="none"/>
        </w:rPr>
        <w:t>；</w:t>
      </w:r>
    </w:p>
    <w:p w14:paraId="32D89F2E">
      <w:pPr>
        <w:spacing w:line="360" w:lineRule="auto"/>
        <w:ind w:firstLine="420" w:firstLineChars="200"/>
        <w:rPr>
          <w:color w:val="auto"/>
          <w:highlight w:val="none"/>
        </w:rPr>
      </w:pPr>
      <w:r>
        <w:rPr>
          <w:rFonts w:hAnsi="宋体"/>
          <w:color w:val="auto"/>
          <w:highlight w:val="none"/>
        </w:rPr>
        <w:t>身份证号：</w:t>
      </w:r>
      <w:r>
        <w:rPr>
          <w:rFonts w:hint="eastAsia" w:ascii="Calibri" w:hAnsi="宋体" w:cs="宋体"/>
          <w:color w:val="auto"/>
          <w:highlight w:val="none"/>
          <w:u w:val="single"/>
        </w:rPr>
        <w:t xml:space="preserve">              </w:t>
      </w:r>
      <w:r>
        <w:rPr>
          <w:rFonts w:hint="eastAsia" w:ascii="Calibri" w:hAnsi="宋体" w:cs="宋体"/>
          <w:color w:val="auto"/>
          <w:highlight w:val="none"/>
          <w:u w:val="single"/>
          <w:lang w:val="en-US" w:eastAsia="zh-CN"/>
        </w:rPr>
        <w:t>/</w:t>
      </w:r>
      <w:r>
        <w:rPr>
          <w:rFonts w:hint="eastAsia" w:ascii="Calibri" w:hAnsi="宋体" w:cs="宋体"/>
          <w:color w:val="auto"/>
          <w:highlight w:val="none"/>
          <w:u w:val="single"/>
        </w:rPr>
        <w:t xml:space="preserve">                </w:t>
      </w:r>
      <w:r>
        <w:rPr>
          <w:rFonts w:hAnsi="宋体"/>
          <w:color w:val="auto"/>
          <w:highlight w:val="none"/>
        </w:rPr>
        <w:t>；</w:t>
      </w:r>
    </w:p>
    <w:p w14:paraId="00BC9E8A">
      <w:pPr>
        <w:spacing w:line="360" w:lineRule="auto"/>
        <w:ind w:firstLine="420" w:firstLineChars="200"/>
        <w:rPr>
          <w:color w:val="auto"/>
          <w:highlight w:val="none"/>
        </w:rPr>
      </w:pPr>
      <w:r>
        <w:rPr>
          <w:rFonts w:hAnsi="宋体"/>
          <w:color w:val="auto"/>
          <w:highlight w:val="none"/>
        </w:rPr>
        <w:t>职</w:t>
      </w:r>
      <w:r>
        <w:rPr>
          <w:color w:val="auto"/>
          <w:highlight w:val="none"/>
        </w:rPr>
        <w:t xml:space="preserve">    </w:t>
      </w:r>
      <w:r>
        <w:rPr>
          <w:rFonts w:hAnsi="宋体"/>
          <w:color w:val="auto"/>
          <w:highlight w:val="none"/>
        </w:rPr>
        <w:t>务：</w:t>
      </w:r>
      <w:r>
        <w:rPr>
          <w:rFonts w:hint="eastAsia" w:ascii="Calibri" w:hAnsi="宋体" w:cs="宋体"/>
          <w:color w:val="auto"/>
          <w:highlight w:val="none"/>
          <w:u w:val="single"/>
        </w:rPr>
        <w:t xml:space="preserve">              </w:t>
      </w:r>
      <w:r>
        <w:rPr>
          <w:rFonts w:hint="eastAsia" w:ascii="Calibri" w:hAnsi="宋体" w:cs="宋体"/>
          <w:color w:val="auto"/>
          <w:highlight w:val="none"/>
          <w:u w:val="single"/>
          <w:lang w:val="en-US" w:eastAsia="zh-CN"/>
        </w:rPr>
        <w:t>/</w:t>
      </w:r>
      <w:r>
        <w:rPr>
          <w:rFonts w:hint="eastAsia" w:ascii="Calibri" w:hAnsi="宋体" w:cs="宋体"/>
          <w:color w:val="auto"/>
          <w:highlight w:val="none"/>
          <w:u w:val="single"/>
        </w:rPr>
        <w:t xml:space="preserve">                </w:t>
      </w:r>
      <w:r>
        <w:rPr>
          <w:rFonts w:hAnsi="宋体"/>
          <w:color w:val="auto"/>
          <w:highlight w:val="none"/>
        </w:rPr>
        <w:t>；</w:t>
      </w:r>
    </w:p>
    <w:p w14:paraId="35B97E54">
      <w:pPr>
        <w:spacing w:line="360" w:lineRule="auto"/>
        <w:ind w:firstLine="420" w:firstLineChars="200"/>
        <w:rPr>
          <w:color w:val="auto"/>
          <w:highlight w:val="none"/>
        </w:rPr>
      </w:pPr>
      <w:r>
        <w:rPr>
          <w:rFonts w:hAnsi="宋体"/>
          <w:color w:val="auto"/>
          <w:highlight w:val="none"/>
        </w:rPr>
        <w:t>联系电话：</w:t>
      </w:r>
      <w:r>
        <w:rPr>
          <w:rFonts w:hint="eastAsia" w:ascii="Calibri" w:hAnsi="宋体" w:cs="宋体"/>
          <w:color w:val="auto"/>
          <w:highlight w:val="none"/>
          <w:u w:val="single"/>
        </w:rPr>
        <w:t xml:space="preserve">              </w:t>
      </w:r>
      <w:r>
        <w:rPr>
          <w:rFonts w:hint="eastAsia" w:ascii="Calibri" w:hAnsi="宋体" w:cs="宋体"/>
          <w:color w:val="auto"/>
          <w:highlight w:val="none"/>
          <w:u w:val="single"/>
          <w:lang w:val="en-US" w:eastAsia="zh-CN"/>
        </w:rPr>
        <w:t>/</w:t>
      </w:r>
      <w:r>
        <w:rPr>
          <w:rFonts w:hint="eastAsia" w:ascii="Calibri" w:hAnsi="宋体" w:cs="宋体"/>
          <w:color w:val="auto"/>
          <w:highlight w:val="none"/>
          <w:u w:val="single"/>
        </w:rPr>
        <w:t xml:space="preserve">                </w:t>
      </w:r>
      <w:r>
        <w:rPr>
          <w:rFonts w:hAnsi="宋体"/>
          <w:color w:val="auto"/>
          <w:highlight w:val="none"/>
        </w:rPr>
        <w:t>；</w:t>
      </w:r>
    </w:p>
    <w:p w14:paraId="6DECB80A">
      <w:pPr>
        <w:spacing w:line="360" w:lineRule="auto"/>
        <w:ind w:firstLine="420" w:firstLineChars="200"/>
        <w:rPr>
          <w:color w:val="auto"/>
          <w:highlight w:val="none"/>
        </w:rPr>
      </w:pPr>
      <w:r>
        <w:rPr>
          <w:rFonts w:hAnsi="宋体"/>
          <w:color w:val="auto"/>
          <w:highlight w:val="none"/>
        </w:rPr>
        <w:t>电子信箱：</w:t>
      </w:r>
      <w:r>
        <w:rPr>
          <w:rFonts w:hint="eastAsia" w:ascii="Calibri" w:hAnsi="宋体" w:cs="宋体"/>
          <w:color w:val="auto"/>
          <w:highlight w:val="none"/>
          <w:u w:val="single"/>
        </w:rPr>
        <w:t xml:space="preserve">              </w:t>
      </w:r>
      <w:r>
        <w:rPr>
          <w:rFonts w:hint="eastAsia" w:ascii="Calibri" w:hAnsi="宋体" w:cs="宋体"/>
          <w:color w:val="auto"/>
          <w:highlight w:val="none"/>
          <w:u w:val="single"/>
          <w:lang w:val="en-US" w:eastAsia="zh-CN"/>
        </w:rPr>
        <w:t>/</w:t>
      </w:r>
      <w:r>
        <w:rPr>
          <w:rFonts w:hint="eastAsia" w:ascii="Calibri" w:hAnsi="宋体" w:cs="宋体"/>
          <w:color w:val="auto"/>
          <w:highlight w:val="none"/>
          <w:u w:val="single"/>
        </w:rPr>
        <w:t xml:space="preserve">                </w:t>
      </w:r>
      <w:r>
        <w:rPr>
          <w:rFonts w:hAnsi="宋体"/>
          <w:color w:val="auto"/>
          <w:highlight w:val="none"/>
        </w:rPr>
        <w:t>；</w:t>
      </w:r>
    </w:p>
    <w:p w14:paraId="5E7D31E7">
      <w:pPr>
        <w:spacing w:line="360" w:lineRule="auto"/>
        <w:ind w:firstLine="420" w:firstLineChars="200"/>
        <w:rPr>
          <w:color w:val="auto"/>
          <w:highlight w:val="none"/>
        </w:rPr>
      </w:pPr>
      <w:r>
        <w:rPr>
          <w:rFonts w:hAnsi="宋体"/>
          <w:color w:val="auto"/>
          <w:highlight w:val="none"/>
        </w:rPr>
        <w:t>通信地址：</w:t>
      </w:r>
      <w:r>
        <w:rPr>
          <w:rFonts w:hint="eastAsia" w:ascii="Calibri" w:hAnsi="宋体" w:cs="宋体"/>
          <w:color w:val="auto"/>
          <w:highlight w:val="none"/>
          <w:u w:val="single"/>
        </w:rPr>
        <w:t xml:space="preserve">              </w:t>
      </w:r>
      <w:r>
        <w:rPr>
          <w:rFonts w:hint="eastAsia" w:ascii="Calibri" w:hAnsi="宋体" w:cs="宋体"/>
          <w:color w:val="auto"/>
          <w:highlight w:val="none"/>
          <w:u w:val="single"/>
          <w:lang w:val="en-US" w:eastAsia="zh-CN"/>
        </w:rPr>
        <w:t>/</w:t>
      </w:r>
      <w:r>
        <w:rPr>
          <w:rFonts w:hint="eastAsia" w:ascii="Calibri" w:hAnsi="宋体" w:cs="宋体"/>
          <w:color w:val="auto"/>
          <w:highlight w:val="none"/>
          <w:u w:val="single"/>
        </w:rPr>
        <w:t xml:space="preserve">                </w:t>
      </w:r>
      <w:r>
        <w:rPr>
          <w:rFonts w:hAnsi="宋体"/>
          <w:color w:val="auto"/>
          <w:highlight w:val="none"/>
        </w:rPr>
        <w:t>。</w:t>
      </w:r>
    </w:p>
    <w:p w14:paraId="7A59D7B2">
      <w:pPr>
        <w:spacing w:line="360" w:lineRule="auto"/>
        <w:ind w:firstLine="420" w:firstLineChars="200"/>
        <w:rPr>
          <w:color w:val="auto"/>
          <w:highlight w:val="none"/>
          <w:u w:val="single"/>
        </w:rPr>
      </w:pPr>
      <w:r>
        <w:rPr>
          <w:rFonts w:hint="eastAsia" w:hAnsi="宋体" w:cs="宋体"/>
          <w:color w:val="auto"/>
          <w:highlight w:val="none"/>
        </w:rPr>
        <w:t>发包人对发包人代表的授权范围如下：</w:t>
      </w:r>
      <w:r>
        <w:rPr>
          <w:color w:val="auto"/>
          <w:highlight w:val="none"/>
          <w:u w:val="single"/>
        </w:rPr>
        <w:t xml:space="preserve"> </w:t>
      </w:r>
      <w:r>
        <w:rPr>
          <w:rFonts w:hint="eastAsia"/>
          <w:color w:val="auto"/>
          <w:highlight w:val="none"/>
          <w:u w:val="single"/>
        </w:rPr>
        <w:t>督促指导监理工程师行使职权，协调施工现场各方面的关系，协调工程质量，进度和安全文明施工中存在的问题，解决有关设计和技术签证，办理、签认现场经济技术签证</w:t>
      </w:r>
      <w:r>
        <w:rPr>
          <w:rFonts w:hint="eastAsia"/>
          <w:color w:val="auto"/>
          <w:highlight w:val="none"/>
          <w:u w:val="single"/>
          <w:lang w:eastAsia="zh-CN"/>
        </w:rPr>
        <w:t>（</w:t>
      </w:r>
      <w:r>
        <w:rPr>
          <w:rFonts w:hint="eastAsia"/>
          <w:color w:val="auto"/>
          <w:highlight w:val="none"/>
          <w:u w:val="single"/>
        </w:rPr>
        <w:t>需加盖发包人公章方发生法律效力</w:t>
      </w:r>
      <w:r>
        <w:rPr>
          <w:rFonts w:hint="eastAsia"/>
          <w:color w:val="auto"/>
          <w:highlight w:val="none"/>
          <w:u w:val="single"/>
          <w:lang w:eastAsia="zh-CN"/>
        </w:rPr>
        <w:t>）</w:t>
      </w:r>
      <w:r>
        <w:rPr>
          <w:rFonts w:hint="eastAsia"/>
          <w:color w:val="auto"/>
          <w:highlight w:val="none"/>
          <w:u w:val="single"/>
        </w:rPr>
        <w:t>，审核工程进度报表</w:t>
      </w:r>
      <w:r>
        <w:rPr>
          <w:rFonts w:hint="eastAsia"/>
          <w:color w:val="auto"/>
          <w:highlight w:val="none"/>
          <w:u w:val="single"/>
          <w:lang w:eastAsia="zh-CN"/>
        </w:rPr>
        <w:t>（</w:t>
      </w:r>
      <w:r>
        <w:rPr>
          <w:rFonts w:hint="eastAsia"/>
          <w:color w:val="auto"/>
          <w:highlight w:val="none"/>
          <w:u w:val="single"/>
        </w:rPr>
        <w:t>需加盖发包人公章方发生法律效力</w:t>
      </w:r>
      <w:r>
        <w:rPr>
          <w:rFonts w:hint="eastAsia"/>
          <w:color w:val="auto"/>
          <w:highlight w:val="none"/>
          <w:u w:val="single"/>
          <w:lang w:eastAsia="zh-CN"/>
        </w:rPr>
        <w:t>）</w:t>
      </w:r>
      <w:r>
        <w:rPr>
          <w:rFonts w:hint="eastAsia" w:hAnsi="宋体" w:cs="宋体"/>
          <w:color w:val="auto"/>
          <w:highlight w:val="none"/>
        </w:rPr>
        <w:t>。</w:t>
      </w:r>
    </w:p>
    <w:p w14:paraId="35E53409">
      <w:pPr>
        <w:pStyle w:val="5"/>
        <w:rPr>
          <w:color w:val="auto"/>
          <w:highlight w:val="none"/>
        </w:rPr>
      </w:pPr>
      <w:bookmarkStart w:id="383" w:name="_Toc373227704"/>
      <w:bookmarkStart w:id="384" w:name="_Toc18280"/>
      <w:bookmarkStart w:id="385" w:name="_Toc78449792"/>
      <w:bookmarkStart w:id="386" w:name="_Toc2077499244"/>
      <w:bookmarkStart w:id="387" w:name="_Toc2066513957"/>
      <w:bookmarkStart w:id="388" w:name="_Toc373478351"/>
      <w:bookmarkStart w:id="389" w:name="_Toc389065270"/>
      <w:bookmarkStart w:id="390" w:name="_Toc407135206"/>
      <w:r>
        <w:rPr>
          <w:color w:val="auto"/>
          <w:highlight w:val="none"/>
        </w:rPr>
        <w:t xml:space="preserve">2.4 </w:t>
      </w:r>
      <w:r>
        <w:rPr>
          <w:rFonts w:hint="eastAsia" w:cs="黑体"/>
          <w:color w:val="auto"/>
          <w:highlight w:val="none"/>
        </w:rPr>
        <w:t>施工现场、施工条件和基础资料的提供</w:t>
      </w:r>
      <w:bookmarkEnd w:id="383"/>
      <w:bookmarkEnd w:id="384"/>
      <w:bookmarkEnd w:id="385"/>
      <w:bookmarkEnd w:id="386"/>
      <w:bookmarkEnd w:id="387"/>
      <w:bookmarkEnd w:id="388"/>
      <w:bookmarkEnd w:id="389"/>
      <w:bookmarkEnd w:id="390"/>
    </w:p>
    <w:p w14:paraId="7E71FDDB">
      <w:pPr>
        <w:spacing w:line="360" w:lineRule="auto"/>
        <w:ind w:firstLine="420" w:firstLineChars="200"/>
        <w:rPr>
          <w:color w:val="auto"/>
          <w:highlight w:val="none"/>
        </w:rPr>
      </w:pPr>
      <w:r>
        <w:rPr>
          <w:color w:val="auto"/>
          <w:highlight w:val="none"/>
        </w:rPr>
        <w:t xml:space="preserve">2.4.1 </w:t>
      </w:r>
      <w:r>
        <w:rPr>
          <w:rFonts w:hint="eastAsia" w:hAnsi="宋体" w:cs="宋体"/>
          <w:color w:val="auto"/>
          <w:highlight w:val="none"/>
        </w:rPr>
        <w:t>提供施工现场</w:t>
      </w:r>
    </w:p>
    <w:p w14:paraId="15E837CA">
      <w:pPr>
        <w:spacing w:line="360" w:lineRule="auto"/>
        <w:ind w:firstLine="420" w:firstLineChars="200"/>
        <w:jc w:val="left"/>
        <w:rPr>
          <w:color w:val="auto"/>
          <w:highlight w:val="none"/>
        </w:rPr>
      </w:pPr>
      <w:r>
        <w:rPr>
          <w:rFonts w:hint="eastAsia" w:hAnsi="宋体" w:cs="宋体"/>
          <w:color w:val="auto"/>
          <w:highlight w:val="none"/>
        </w:rPr>
        <w:t>关于发包人移交施工现场的期限要求：</w:t>
      </w:r>
      <w:r>
        <w:rPr>
          <w:rFonts w:hint="eastAsia"/>
          <w:color w:val="auto"/>
          <w:highlight w:val="none"/>
          <w:u w:val="single"/>
        </w:rPr>
        <w:t>施工场地应当在发包人发出的开工通知中载明的开工日期前三天具备施工条件并移交给承包人</w:t>
      </w:r>
      <w:r>
        <w:rPr>
          <w:rFonts w:hint="eastAsia" w:hAnsi="宋体" w:cs="宋体"/>
          <w:color w:val="auto"/>
          <w:highlight w:val="none"/>
        </w:rPr>
        <w:t>。</w:t>
      </w:r>
    </w:p>
    <w:p w14:paraId="3903C957">
      <w:pPr>
        <w:spacing w:line="360" w:lineRule="auto"/>
        <w:ind w:firstLine="420" w:firstLineChars="200"/>
        <w:rPr>
          <w:color w:val="auto"/>
          <w:highlight w:val="none"/>
        </w:rPr>
      </w:pPr>
      <w:r>
        <w:rPr>
          <w:color w:val="auto"/>
          <w:highlight w:val="none"/>
        </w:rPr>
        <w:t xml:space="preserve">2.4.2 </w:t>
      </w:r>
      <w:r>
        <w:rPr>
          <w:rFonts w:hint="eastAsia" w:hAnsi="宋体" w:cs="宋体"/>
          <w:color w:val="auto"/>
          <w:highlight w:val="none"/>
        </w:rPr>
        <w:t>提供施工条件</w:t>
      </w:r>
    </w:p>
    <w:p w14:paraId="3323498E">
      <w:pPr>
        <w:spacing w:line="360" w:lineRule="auto"/>
        <w:ind w:firstLine="420" w:firstLineChars="200"/>
        <w:rPr>
          <w:color w:val="auto"/>
          <w:highlight w:val="none"/>
          <w:u w:val="single"/>
        </w:rPr>
      </w:pPr>
      <w:r>
        <w:rPr>
          <w:rFonts w:hint="eastAsia" w:hAnsi="宋体" w:cs="宋体"/>
          <w:color w:val="auto"/>
          <w:highlight w:val="none"/>
        </w:rPr>
        <w:t>关于发包人应负责提供施工所需要的条件，包括：</w:t>
      </w:r>
      <w:r>
        <w:rPr>
          <w:color w:val="auto"/>
          <w:highlight w:val="none"/>
          <w:u w:val="single"/>
        </w:rPr>
        <w:t xml:space="preserve"> </w:t>
      </w:r>
      <w:r>
        <w:rPr>
          <w:rFonts w:hint="eastAsia"/>
          <w:color w:val="auto"/>
          <w:highlight w:val="none"/>
          <w:u w:val="single"/>
        </w:rPr>
        <w:t>施工用水、用电由发包人负责接至项目场地接入点，接入点至施工现场段由承包人根据施工需要自行考虑，施工期间产生的水、电费由承包人承担，在投标报价中自行考虑。若供电、供水部门的原因造成停电、停水，承包人必须自行解决施工用电、用水，费用自理</w:t>
      </w:r>
      <w:r>
        <w:rPr>
          <w:color w:val="auto"/>
          <w:highlight w:val="none"/>
          <w:u w:val="single"/>
        </w:rPr>
        <w:t xml:space="preserve"> </w:t>
      </w:r>
      <w:r>
        <w:rPr>
          <w:rFonts w:hint="eastAsia" w:hAnsi="宋体" w:cs="宋体"/>
          <w:color w:val="auto"/>
          <w:highlight w:val="none"/>
        </w:rPr>
        <w:t>。</w:t>
      </w:r>
    </w:p>
    <w:p w14:paraId="5584C2F2">
      <w:pPr>
        <w:pStyle w:val="5"/>
        <w:rPr>
          <w:color w:val="auto"/>
          <w:highlight w:val="none"/>
        </w:rPr>
      </w:pPr>
      <w:bookmarkStart w:id="391" w:name="_Toc373478352"/>
      <w:bookmarkStart w:id="392" w:name="_Toc389065271"/>
      <w:bookmarkStart w:id="393" w:name="_Toc1238195908"/>
      <w:bookmarkStart w:id="394" w:name="_Toc78449793"/>
      <w:bookmarkStart w:id="395" w:name="_Toc26335"/>
      <w:bookmarkStart w:id="396" w:name="_Toc373227705"/>
      <w:bookmarkStart w:id="397" w:name="_Toc407135207"/>
      <w:bookmarkStart w:id="398" w:name="_Toc672429943"/>
      <w:r>
        <w:rPr>
          <w:color w:val="auto"/>
          <w:highlight w:val="none"/>
        </w:rPr>
        <w:t xml:space="preserve">2.5 </w:t>
      </w:r>
      <w:r>
        <w:rPr>
          <w:rFonts w:hint="eastAsia" w:cs="黑体"/>
          <w:color w:val="auto"/>
          <w:highlight w:val="none"/>
        </w:rPr>
        <w:t>资金来源证明及支付担保</w:t>
      </w:r>
      <w:bookmarkEnd w:id="391"/>
      <w:bookmarkEnd w:id="392"/>
      <w:bookmarkEnd w:id="393"/>
      <w:bookmarkEnd w:id="394"/>
      <w:bookmarkEnd w:id="395"/>
      <w:bookmarkEnd w:id="396"/>
      <w:bookmarkEnd w:id="397"/>
      <w:bookmarkEnd w:id="398"/>
    </w:p>
    <w:p w14:paraId="1C243285">
      <w:pPr>
        <w:spacing w:line="360" w:lineRule="auto"/>
        <w:ind w:firstLine="420" w:firstLineChars="200"/>
        <w:rPr>
          <w:color w:val="auto"/>
          <w:highlight w:val="none"/>
        </w:rPr>
      </w:pPr>
      <w:r>
        <w:rPr>
          <w:rFonts w:hint="eastAsia" w:hAnsi="宋体" w:cs="宋体"/>
          <w:color w:val="auto"/>
          <w:highlight w:val="none"/>
        </w:rPr>
        <w:t>发包人提供资金来源证明的期限要求：</w:t>
      </w:r>
      <w:r>
        <w:rPr>
          <w:rFonts w:ascii="宋体" w:hAnsi="宋体" w:eastAsia="宋体" w:cs="宋体"/>
          <w:color w:val="auto"/>
          <w:spacing w:val="0"/>
          <w:highlight w:val="none"/>
          <w:u w:val="single"/>
        </w:rPr>
        <w:t xml:space="preserve"> 无 </w:t>
      </w:r>
      <w:r>
        <w:rPr>
          <w:rFonts w:hint="eastAsia" w:hAnsi="宋体" w:cs="宋体"/>
          <w:color w:val="auto"/>
          <w:highlight w:val="none"/>
        </w:rPr>
        <w:t>。</w:t>
      </w:r>
    </w:p>
    <w:p w14:paraId="3EF807DB">
      <w:pPr>
        <w:spacing w:line="360" w:lineRule="auto"/>
        <w:ind w:firstLine="420" w:firstLineChars="200"/>
        <w:rPr>
          <w:color w:val="auto"/>
          <w:highlight w:val="none"/>
        </w:rPr>
      </w:pPr>
      <w:r>
        <w:rPr>
          <w:rFonts w:hint="eastAsia" w:hAnsi="宋体" w:cs="宋体"/>
          <w:color w:val="auto"/>
          <w:highlight w:val="none"/>
        </w:rPr>
        <w:t>发包人是否提供支付担保：</w:t>
      </w:r>
      <w:r>
        <w:rPr>
          <w:rFonts w:ascii="宋体" w:hAnsi="宋体" w:eastAsia="宋体" w:cs="宋体"/>
          <w:color w:val="auto"/>
          <w:spacing w:val="0"/>
          <w:highlight w:val="none"/>
          <w:u w:val="single"/>
        </w:rPr>
        <w:t xml:space="preserve"> 无 </w:t>
      </w:r>
      <w:r>
        <w:rPr>
          <w:rFonts w:hint="eastAsia" w:ascii="Times New Roman" w:hAnsi="宋体" w:eastAsia="宋体" w:cs="宋体"/>
          <w:color w:val="auto"/>
          <w:highlight w:val="none"/>
        </w:rPr>
        <w:t>。【</w:t>
      </w:r>
      <w:r>
        <w:rPr>
          <w:rFonts w:hint="eastAsia" w:ascii="Times New Roman" w:hAnsi="宋体" w:eastAsia="宋体" w:cs="宋体"/>
          <w:i w:val="0"/>
          <w:caps w:val="0"/>
          <w:color w:val="auto"/>
          <w:spacing w:val="0"/>
          <w:sz w:val="21"/>
          <w:szCs w:val="21"/>
          <w:highlight w:val="none"/>
          <w:lang w:eastAsia="zh-CN"/>
        </w:rPr>
        <w:t>发包</w:t>
      </w:r>
      <w:r>
        <w:rPr>
          <w:rFonts w:hint="eastAsia" w:ascii="Times New Roman" w:hAnsi="宋体" w:eastAsia="宋体" w:cs="宋体"/>
          <w:i w:val="0"/>
          <w:caps w:val="0"/>
          <w:color w:val="auto"/>
          <w:spacing w:val="0"/>
          <w:sz w:val="21"/>
          <w:szCs w:val="21"/>
          <w:highlight w:val="none"/>
        </w:rPr>
        <w:t>人要求</w:t>
      </w:r>
      <w:r>
        <w:rPr>
          <w:rFonts w:hint="eastAsia" w:ascii="Times New Roman" w:hAnsi="宋体" w:eastAsia="宋体" w:cs="宋体"/>
          <w:i w:val="0"/>
          <w:caps w:val="0"/>
          <w:color w:val="auto"/>
          <w:spacing w:val="0"/>
          <w:sz w:val="21"/>
          <w:szCs w:val="21"/>
          <w:highlight w:val="none"/>
          <w:lang w:eastAsia="zh-CN"/>
        </w:rPr>
        <w:t>承包</w:t>
      </w:r>
      <w:r>
        <w:rPr>
          <w:rFonts w:hint="eastAsia" w:ascii="Times New Roman" w:hAnsi="宋体" w:eastAsia="宋体" w:cs="宋体"/>
          <w:i w:val="0"/>
          <w:caps w:val="0"/>
          <w:color w:val="auto"/>
          <w:spacing w:val="0"/>
          <w:sz w:val="21"/>
          <w:szCs w:val="21"/>
          <w:highlight w:val="none"/>
        </w:rPr>
        <w:t>人提供履约担保的，应当同时向</w:t>
      </w:r>
      <w:r>
        <w:rPr>
          <w:rFonts w:hint="eastAsia" w:ascii="Times New Roman" w:hAnsi="宋体" w:eastAsia="宋体" w:cs="宋体"/>
          <w:i w:val="0"/>
          <w:caps w:val="0"/>
          <w:color w:val="auto"/>
          <w:spacing w:val="0"/>
          <w:sz w:val="21"/>
          <w:szCs w:val="21"/>
          <w:highlight w:val="none"/>
          <w:lang w:eastAsia="zh-CN"/>
        </w:rPr>
        <w:t>承包</w:t>
      </w:r>
      <w:r>
        <w:rPr>
          <w:rFonts w:hint="eastAsia" w:ascii="Times New Roman" w:hAnsi="宋体" w:eastAsia="宋体" w:cs="宋体"/>
          <w:i w:val="0"/>
          <w:caps w:val="0"/>
          <w:color w:val="auto"/>
          <w:spacing w:val="0"/>
          <w:sz w:val="21"/>
          <w:szCs w:val="21"/>
          <w:highlight w:val="none"/>
        </w:rPr>
        <w:t>人提供工程款支付担保。工程款支付担保可以全额担保，也可以分阶段担保。分阶段担保的，除保修金以外的全部款项，完成一个阶段清算后再进入下一阶段，有效期截至工程竣工结算款支付完毕。</w:t>
      </w:r>
      <w:r>
        <w:rPr>
          <w:rFonts w:hint="eastAsia" w:ascii="Times New Roman" w:hAnsi="宋体" w:eastAsia="宋体" w:cs="宋体"/>
          <w:i w:val="0"/>
          <w:caps w:val="0"/>
          <w:color w:val="auto"/>
          <w:spacing w:val="0"/>
          <w:sz w:val="21"/>
          <w:szCs w:val="21"/>
          <w:highlight w:val="none"/>
          <w:lang w:eastAsia="zh-CN"/>
        </w:rPr>
        <w:t>发包</w:t>
      </w:r>
      <w:r>
        <w:rPr>
          <w:rFonts w:hint="eastAsia" w:ascii="Times New Roman" w:hAnsi="宋体" w:eastAsia="宋体" w:cs="宋体"/>
          <w:i w:val="0"/>
          <w:caps w:val="0"/>
          <w:color w:val="auto"/>
          <w:spacing w:val="0"/>
          <w:sz w:val="21"/>
          <w:szCs w:val="21"/>
          <w:highlight w:val="none"/>
        </w:rPr>
        <w:t>人未按合同约定及时支付工程款的，工程担保保证人需承担担保责任。对政府投资项目，由建设单位提供落实财政资金来源的证明文件。</w:t>
      </w:r>
      <w:r>
        <w:rPr>
          <w:rFonts w:hint="eastAsia" w:ascii="Times New Roman" w:hAnsi="宋体" w:eastAsia="宋体" w:cs="宋体"/>
          <w:color w:val="auto"/>
          <w:highlight w:val="none"/>
        </w:rPr>
        <w:t>】</w:t>
      </w:r>
    </w:p>
    <w:p w14:paraId="78E133D4">
      <w:pPr>
        <w:spacing w:line="360" w:lineRule="auto"/>
        <w:ind w:firstLine="420" w:firstLineChars="200"/>
        <w:rPr>
          <w:rFonts w:hint="eastAsia" w:hAnsi="宋体" w:cs="宋体"/>
          <w:color w:val="auto"/>
          <w:highlight w:val="none"/>
          <w:lang w:val="en" w:eastAsia="zh-CN"/>
        </w:rPr>
      </w:pPr>
      <w:r>
        <w:rPr>
          <w:rFonts w:hint="eastAsia" w:hAnsi="宋体" w:cs="宋体"/>
          <w:color w:val="auto"/>
          <w:highlight w:val="none"/>
        </w:rPr>
        <w:t>发包人提供支付担保的形式：</w:t>
      </w:r>
      <w:r>
        <w:rPr>
          <w:rFonts w:hint="eastAsia"/>
          <w:color w:val="auto"/>
          <w:highlight w:val="none"/>
          <w:u w:val="none"/>
          <w:lang w:eastAsia="zh-CN"/>
        </w:rPr>
        <w:t>可以是</w:t>
      </w:r>
      <w:r>
        <w:rPr>
          <w:rFonts w:hint="eastAsia" w:hAnsi="宋体" w:cs="宋体"/>
          <w:color w:val="auto"/>
          <w:highlight w:val="none"/>
        </w:rPr>
        <w:t>银行转账、电汇或网上支付、保函（银行保函、电子</w:t>
      </w:r>
      <w:r>
        <w:rPr>
          <w:rFonts w:hAnsi="宋体" w:cs="宋体"/>
          <w:color w:val="auto"/>
          <w:highlight w:val="none"/>
        </w:rPr>
        <w:t>保函</w:t>
      </w:r>
      <w:r>
        <w:rPr>
          <w:rFonts w:hint="eastAsia" w:hAnsi="宋体" w:cs="宋体"/>
          <w:color w:val="auto"/>
          <w:highlight w:val="none"/>
        </w:rPr>
        <w:t>、保证保险保函、工程担保保函）</w:t>
      </w:r>
      <w:r>
        <w:rPr>
          <w:rFonts w:hint="eastAsia" w:hAnsi="宋体"/>
          <w:color w:val="auto"/>
          <w:highlight w:val="none"/>
        </w:rPr>
        <w:t>等</w:t>
      </w:r>
      <w:r>
        <w:rPr>
          <w:rFonts w:hint="eastAsia" w:hAnsi="宋体" w:cs="宋体"/>
          <w:color w:val="auto"/>
          <w:highlight w:val="none"/>
        </w:rPr>
        <w:t>形</w:t>
      </w:r>
      <w:r>
        <w:rPr>
          <w:rFonts w:hint="eastAsia" w:hAnsi="宋体"/>
          <w:color w:val="auto"/>
          <w:highlight w:val="none"/>
        </w:rPr>
        <w:t>式</w:t>
      </w:r>
      <w:r>
        <w:rPr>
          <w:rFonts w:hint="eastAsia" w:hAnsi="宋体" w:cs="宋体"/>
          <w:color w:val="auto"/>
          <w:highlight w:val="none"/>
        </w:rPr>
        <w:t>。</w:t>
      </w:r>
      <w:r>
        <w:rPr>
          <w:rFonts w:hint="eastAsia" w:hAnsi="宋体" w:cs="宋体"/>
          <w:color w:val="auto"/>
          <w:highlight w:val="none"/>
          <w:lang w:eastAsia="zh-CN"/>
        </w:rPr>
        <w:t>工程担保保证人应将出具的保函相关信息录入“广西建筑市场监管云”平台（http://gxjzsc.caihcloud.com），以实现保函查询及验真功能</w:t>
      </w:r>
      <w:r>
        <w:rPr>
          <w:rFonts w:hint="eastAsia" w:hAnsi="宋体" w:cs="宋体"/>
          <w:color w:val="auto"/>
          <w:highlight w:val="none"/>
          <w:lang w:val="en" w:eastAsia="zh-CN"/>
        </w:rPr>
        <w:t>。</w:t>
      </w:r>
    </w:p>
    <w:p w14:paraId="6A03CAF6">
      <w:pPr>
        <w:spacing w:line="360" w:lineRule="auto"/>
        <w:ind w:firstLine="420" w:firstLineChars="200"/>
        <w:rPr>
          <w:color w:val="auto"/>
          <w:highlight w:val="none"/>
          <w:u w:val="single"/>
        </w:rPr>
      </w:pPr>
      <w:r>
        <w:rPr>
          <w:rFonts w:hint="eastAsia" w:hAnsi="宋体" w:cs="宋体"/>
          <w:color w:val="auto"/>
          <w:highlight w:val="none"/>
        </w:rPr>
        <w:t>发包人提供的支付担保格式见合同附件</w:t>
      </w:r>
      <w:r>
        <w:rPr>
          <w:rFonts w:hint="eastAsia" w:hAnsi="宋体"/>
          <w:color w:val="auto"/>
          <w:highlight w:val="none"/>
        </w:rPr>
        <w:t>9</w:t>
      </w:r>
      <w:r>
        <w:rPr>
          <w:rFonts w:hint="eastAsia" w:hAnsi="宋体" w:cs="宋体"/>
          <w:color w:val="auto"/>
          <w:highlight w:val="none"/>
        </w:rPr>
        <w:t>。</w:t>
      </w:r>
    </w:p>
    <w:p w14:paraId="45B7E5E4">
      <w:pPr>
        <w:pStyle w:val="4"/>
        <w:rPr>
          <w:color w:val="auto"/>
          <w:highlight w:val="none"/>
        </w:rPr>
      </w:pPr>
      <w:bookmarkStart w:id="399" w:name="_Toc729657770"/>
      <w:bookmarkStart w:id="400" w:name="_Toc407135208"/>
      <w:bookmarkStart w:id="401" w:name="_Toc389065272"/>
      <w:bookmarkStart w:id="402" w:name="_Toc27674"/>
      <w:bookmarkStart w:id="403" w:name="_Toc78449794"/>
      <w:bookmarkStart w:id="404" w:name="_Toc10779"/>
      <w:bookmarkStart w:id="405" w:name="_Toc351203635"/>
      <w:bookmarkStart w:id="406" w:name="_Toc373227706"/>
      <w:bookmarkStart w:id="407" w:name="_Toc373478353"/>
      <w:bookmarkStart w:id="408" w:name="_Toc1181400362"/>
      <w:r>
        <w:rPr>
          <w:color w:val="auto"/>
          <w:highlight w:val="none"/>
        </w:rPr>
        <w:t>3</w:t>
      </w:r>
      <w:bookmarkStart w:id="409" w:name="_Toc292559363"/>
      <w:bookmarkStart w:id="410" w:name="_Toc296891198"/>
      <w:bookmarkStart w:id="411" w:name="_Toc296503158"/>
      <w:bookmarkStart w:id="412" w:name="_Toc296890986"/>
      <w:bookmarkStart w:id="413" w:name="_Toc297048344"/>
      <w:bookmarkStart w:id="414" w:name="_Toc296944497"/>
      <w:bookmarkStart w:id="415" w:name="_Toc296346659"/>
      <w:bookmarkStart w:id="416" w:name="_Toc292559868"/>
      <w:bookmarkStart w:id="417" w:name="_Toc297120458"/>
      <w:bookmarkStart w:id="418" w:name="_Toc296347157"/>
      <w:r>
        <w:rPr>
          <w:color w:val="auto"/>
          <w:highlight w:val="none"/>
        </w:rPr>
        <w:t xml:space="preserve">. </w:t>
      </w:r>
      <w:r>
        <w:rPr>
          <w:rFonts w:hint="eastAsia" w:hAnsi="宋体" w:cs="黑体"/>
          <w:color w:val="auto"/>
          <w:highlight w:val="none"/>
        </w:rPr>
        <w:t>承包人</w:t>
      </w:r>
      <w:bookmarkEnd w:id="399"/>
      <w:bookmarkEnd w:id="400"/>
      <w:bookmarkEnd w:id="401"/>
      <w:bookmarkEnd w:id="402"/>
      <w:bookmarkEnd w:id="403"/>
      <w:bookmarkEnd w:id="404"/>
      <w:bookmarkEnd w:id="405"/>
      <w:bookmarkEnd w:id="406"/>
      <w:bookmarkEnd w:id="407"/>
      <w:bookmarkEnd w:id="408"/>
    </w:p>
    <w:bookmarkEnd w:id="409"/>
    <w:bookmarkEnd w:id="410"/>
    <w:bookmarkEnd w:id="411"/>
    <w:bookmarkEnd w:id="412"/>
    <w:bookmarkEnd w:id="413"/>
    <w:bookmarkEnd w:id="414"/>
    <w:bookmarkEnd w:id="415"/>
    <w:bookmarkEnd w:id="416"/>
    <w:bookmarkEnd w:id="417"/>
    <w:bookmarkEnd w:id="418"/>
    <w:p w14:paraId="0FC701E9">
      <w:pPr>
        <w:pStyle w:val="5"/>
        <w:rPr>
          <w:color w:val="auto"/>
          <w:highlight w:val="none"/>
        </w:rPr>
      </w:pPr>
      <w:bookmarkStart w:id="419" w:name="_Toc407135209"/>
      <w:bookmarkStart w:id="420" w:name="_Toc78449795"/>
      <w:bookmarkStart w:id="421" w:name="_Toc962678435"/>
      <w:bookmarkStart w:id="422" w:name="_Toc373478354"/>
      <w:bookmarkStart w:id="423" w:name="_Toc373227707"/>
      <w:bookmarkStart w:id="424" w:name="_Toc18931"/>
      <w:bookmarkStart w:id="425" w:name="_Toc1642190822"/>
      <w:bookmarkStart w:id="426" w:name="_Toc389065273"/>
      <w:r>
        <w:rPr>
          <w:color w:val="auto"/>
          <w:highlight w:val="none"/>
        </w:rPr>
        <w:t xml:space="preserve">3.1 </w:t>
      </w:r>
      <w:r>
        <w:rPr>
          <w:rFonts w:hint="eastAsia" w:cs="黑体"/>
          <w:color w:val="auto"/>
          <w:highlight w:val="none"/>
        </w:rPr>
        <w:t>承包人的一般义务</w:t>
      </w:r>
      <w:bookmarkEnd w:id="419"/>
      <w:bookmarkEnd w:id="420"/>
      <w:bookmarkEnd w:id="421"/>
      <w:bookmarkEnd w:id="422"/>
      <w:bookmarkEnd w:id="423"/>
      <w:bookmarkEnd w:id="424"/>
      <w:bookmarkEnd w:id="425"/>
      <w:bookmarkEnd w:id="426"/>
    </w:p>
    <w:p w14:paraId="688D7DC1">
      <w:pPr>
        <w:spacing w:line="360" w:lineRule="auto"/>
        <w:ind w:firstLine="420" w:firstLineChars="200"/>
        <w:jc w:val="left"/>
        <w:rPr>
          <w:color w:val="auto"/>
          <w:highlight w:val="none"/>
          <w:u w:val="single"/>
        </w:rPr>
      </w:pPr>
      <w:r>
        <w:rPr>
          <w:rFonts w:hint="eastAsia" w:hAnsi="宋体" w:cs="宋体"/>
          <w:color w:val="auto"/>
          <w:kern w:val="0"/>
          <w:highlight w:val="none"/>
        </w:rPr>
        <w:t>（</w:t>
      </w:r>
      <w:r>
        <w:rPr>
          <w:color w:val="auto"/>
          <w:kern w:val="0"/>
          <w:highlight w:val="none"/>
        </w:rPr>
        <w:t>9</w:t>
      </w:r>
      <w:r>
        <w:rPr>
          <w:rFonts w:hint="eastAsia" w:hAnsi="宋体" w:cs="宋体"/>
          <w:color w:val="auto"/>
          <w:kern w:val="0"/>
          <w:highlight w:val="none"/>
        </w:rPr>
        <w:t>）</w:t>
      </w:r>
      <w:r>
        <w:rPr>
          <w:rFonts w:hint="eastAsia" w:hAnsi="宋体" w:cs="宋体"/>
          <w:color w:val="auto"/>
          <w:highlight w:val="none"/>
        </w:rPr>
        <w:t>承包人提交的竣工资料的内容：</w:t>
      </w:r>
      <w:r>
        <w:rPr>
          <w:rFonts w:hint="eastAsia" w:hAnsi="宋体"/>
          <w:color w:val="auto"/>
          <w:highlight w:val="none"/>
          <w:u w:val="single"/>
        </w:rPr>
        <w:t>工程具备竣工验收条件，承包人按工程竣工验收有关规定，向发包人提交完整的竣工资料及竣工验收报告</w:t>
      </w:r>
      <w:r>
        <w:rPr>
          <w:rFonts w:hint="eastAsia" w:hAnsi="宋体" w:cs="宋体"/>
          <w:color w:val="auto"/>
          <w:highlight w:val="none"/>
        </w:rPr>
        <w:t>。</w:t>
      </w:r>
    </w:p>
    <w:p w14:paraId="5F173481">
      <w:pPr>
        <w:spacing w:line="360" w:lineRule="auto"/>
        <w:ind w:firstLine="420" w:firstLineChars="200"/>
        <w:jc w:val="left"/>
        <w:rPr>
          <w:color w:val="auto"/>
          <w:highlight w:val="none"/>
        </w:rPr>
      </w:pPr>
      <w:r>
        <w:rPr>
          <w:rFonts w:hint="eastAsia" w:hAnsi="宋体" w:cs="宋体"/>
          <w:color w:val="auto"/>
          <w:highlight w:val="none"/>
        </w:rPr>
        <w:t>承包人需要提交的竣工资料套数：</w:t>
      </w:r>
      <w:r>
        <w:rPr>
          <w:color w:val="auto"/>
          <w:highlight w:val="none"/>
          <w:u w:val="single"/>
        </w:rPr>
        <w:t xml:space="preserve"> </w:t>
      </w:r>
      <w:r>
        <w:rPr>
          <w:rFonts w:hint="eastAsia"/>
          <w:color w:val="auto"/>
          <w:highlight w:val="none"/>
          <w:u w:val="single"/>
        </w:rPr>
        <w:t xml:space="preserve"> 一式六份 </w:t>
      </w:r>
      <w:r>
        <w:rPr>
          <w:color w:val="auto"/>
          <w:highlight w:val="none"/>
          <w:u w:val="single"/>
        </w:rPr>
        <w:t xml:space="preserve"> </w:t>
      </w:r>
      <w:r>
        <w:rPr>
          <w:rFonts w:hint="eastAsia" w:hAnsi="宋体" w:cs="宋体"/>
          <w:color w:val="auto"/>
          <w:highlight w:val="none"/>
        </w:rPr>
        <w:t>。</w:t>
      </w:r>
    </w:p>
    <w:p w14:paraId="49291514">
      <w:pPr>
        <w:spacing w:line="360" w:lineRule="auto"/>
        <w:ind w:left="424" w:leftChars="202"/>
        <w:jc w:val="left"/>
        <w:rPr>
          <w:color w:val="auto"/>
          <w:highlight w:val="none"/>
        </w:rPr>
      </w:pPr>
      <w:r>
        <w:rPr>
          <w:rFonts w:hint="eastAsia" w:hAnsi="宋体" w:cs="宋体"/>
          <w:color w:val="auto"/>
          <w:highlight w:val="none"/>
        </w:rPr>
        <w:t>承包人提交的竣工资料的费用承担：</w:t>
      </w:r>
      <w:r>
        <w:rPr>
          <w:rFonts w:hint="eastAsia"/>
          <w:color w:val="auto"/>
          <w:highlight w:val="none"/>
          <w:u w:val="single"/>
        </w:rPr>
        <w:t xml:space="preserve">  由承包人承担 </w:t>
      </w:r>
      <w:r>
        <w:rPr>
          <w:rFonts w:hint="eastAsia" w:hAnsi="宋体" w:cs="宋体"/>
          <w:color w:val="auto"/>
          <w:highlight w:val="none"/>
        </w:rPr>
        <w:t>。</w:t>
      </w:r>
    </w:p>
    <w:p w14:paraId="2FFEE4F0">
      <w:pPr>
        <w:spacing w:line="360" w:lineRule="auto"/>
        <w:ind w:firstLine="420" w:firstLineChars="200"/>
        <w:jc w:val="left"/>
        <w:rPr>
          <w:color w:val="auto"/>
          <w:highlight w:val="none"/>
        </w:rPr>
      </w:pPr>
      <w:r>
        <w:rPr>
          <w:rFonts w:hint="eastAsia" w:hAnsi="宋体" w:cs="宋体"/>
          <w:color w:val="auto"/>
          <w:highlight w:val="none"/>
        </w:rPr>
        <w:t>承包人提交的竣工资料移交时间：</w:t>
      </w:r>
      <w:r>
        <w:rPr>
          <w:rFonts w:ascii="宋体" w:hAnsi="宋体" w:eastAsia="宋体" w:cs="宋体"/>
          <w:color w:val="auto"/>
          <w:highlight w:val="none"/>
          <w:u w:val="single"/>
        </w:rPr>
        <w:t xml:space="preserve"> </w:t>
      </w:r>
      <w:r>
        <w:rPr>
          <w:rFonts w:hint="eastAsia" w:ascii="宋体" w:hAnsi="宋体" w:eastAsia="宋体" w:cs="宋体"/>
          <w:color w:val="auto"/>
          <w:highlight w:val="none"/>
          <w:u w:val="single"/>
        </w:rPr>
        <w:t>竣工验收正式通过后 5 天，提供竣工图的数量分别为6 套</w:t>
      </w:r>
      <w:r>
        <w:rPr>
          <w:rFonts w:ascii="宋体" w:hAnsi="宋体" w:eastAsia="宋体" w:cs="宋体"/>
          <w:color w:val="auto"/>
          <w:highlight w:val="none"/>
          <w:u w:val="single"/>
        </w:rPr>
        <w:t xml:space="preserve"> </w:t>
      </w:r>
      <w:r>
        <w:rPr>
          <w:rFonts w:hint="eastAsia" w:hAnsi="宋体" w:cs="宋体"/>
          <w:color w:val="auto"/>
          <w:highlight w:val="none"/>
        </w:rPr>
        <w:t>。</w:t>
      </w:r>
    </w:p>
    <w:p w14:paraId="1F48E0E8">
      <w:pPr>
        <w:spacing w:line="360" w:lineRule="auto"/>
        <w:ind w:firstLine="420" w:firstLineChars="200"/>
        <w:jc w:val="left"/>
        <w:rPr>
          <w:color w:val="auto"/>
          <w:highlight w:val="none"/>
        </w:rPr>
      </w:pPr>
      <w:r>
        <w:rPr>
          <w:rFonts w:hint="eastAsia" w:hAnsi="宋体" w:cs="宋体"/>
          <w:color w:val="auto"/>
          <w:highlight w:val="none"/>
        </w:rPr>
        <w:t>承包人提交的竣工资料形式要求：</w:t>
      </w:r>
      <w:r>
        <w:rPr>
          <w:rFonts w:hint="eastAsia"/>
          <w:color w:val="auto"/>
          <w:highlight w:val="none"/>
          <w:u w:val="single"/>
        </w:rPr>
        <w:t>完整的经相关部门签字确认并加盖单位公章后的竣工材料纸质版及电子版</w:t>
      </w:r>
      <w:r>
        <w:rPr>
          <w:rFonts w:hint="eastAsia" w:hAnsi="宋体" w:cs="宋体"/>
          <w:color w:val="auto"/>
          <w:highlight w:val="none"/>
        </w:rPr>
        <w:t>。</w:t>
      </w:r>
    </w:p>
    <w:p w14:paraId="28825688">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w:t>
      </w:r>
      <w:r>
        <w:rPr>
          <w:color w:val="auto"/>
          <w:kern w:val="0"/>
          <w:highlight w:val="none"/>
        </w:rPr>
        <w:t>10</w:t>
      </w:r>
      <w:r>
        <w:rPr>
          <w:rFonts w:hint="eastAsia" w:hAnsi="宋体" w:cs="宋体"/>
          <w:color w:val="auto"/>
          <w:kern w:val="0"/>
          <w:highlight w:val="none"/>
        </w:rPr>
        <w:t>）承包人应履行的其他义务：</w:t>
      </w:r>
    </w:p>
    <w:p w14:paraId="29A52034">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1</w:t>
      </w:r>
      <w:r>
        <w:rPr>
          <w:rFonts w:hint="eastAsia" w:hAnsi="宋体" w:cs="宋体"/>
          <w:color w:val="auto"/>
          <w:kern w:val="0"/>
          <w:highlight w:val="none"/>
          <w:lang w:eastAsia="zh-CN"/>
        </w:rPr>
        <w:t>）</w:t>
      </w:r>
      <w:r>
        <w:rPr>
          <w:rFonts w:hint="eastAsia" w:hAnsi="宋体" w:cs="宋体"/>
          <w:color w:val="auto"/>
          <w:kern w:val="0"/>
          <w:highlight w:val="none"/>
        </w:rPr>
        <w:t>施工场地周围地下管线</w:t>
      </w:r>
      <w:r>
        <w:rPr>
          <w:rFonts w:hint="eastAsia" w:hAnsi="宋体" w:cs="宋体"/>
          <w:color w:val="auto"/>
          <w:kern w:val="0"/>
          <w:highlight w:val="none"/>
          <w:lang w:eastAsia="zh-CN"/>
        </w:rPr>
        <w:t>（</w:t>
      </w:r>
      <w:r>
        <w:rPr>
          <w:rFonts w:hint="eastAsia" w:hAnsi="宋体" w:cs="宋体"/>
          <w:color w:val="auto"/>
          <w:kern w:val="0"/>
          <w:highlight w:val="none"/>
        </w:rPr>
        <w:t>地下管综探测图由发包人提供</w:t>
      </w:r>
      <w:r>
        <w:rPr>
          <w:rFonts w:hint="eastAsia" w:hAnsi="宋体" w:cs="宋体"/>
          <w:color w:val="auto"/>
          <w:kern w:val="0"/>
          <w:highlight w:val="none"/>
          <w:lang w:eastAsia="zh-CN"/>
        </w:rPr>
        <w:t>）</w:t>
      </w:r>
      <w:r>
        <w:rPr>
          <w:rFonts w:hint="eastAsia" w:hAnsi="宋体" w:cs="宋体"/>
          <w:color w:val="auto"/>
          <w:kern w:val="0"/>
          <w:highlight w:val="none"/>
        </w:rPr>
        <w:t>和邻近建筑物、构筑物</w:t>
      </w:r>
      <w:r>
        <w:rPr>
          <w:rFonts w:hint="eastAsia" w:hAnsi="宋体" w:cs="宋体"/>
          <w:color w:val="auto"/>
          <w:kern w:val="0"/>
          <w:highlight w:val="none"/>
          <w:lang w:eastAsia="zh-CN"/>
        </w:rPr>
        <w:t>（</w:t>
      </w:r>
      <w:r>
        <w:rPr>
          <w:rFonts w:hint="eastAsia" w:hAnsi="宋体" w:cs="宋体"/>
          <w:color w:val="auto"/>
          <w:kern w:val="0"/>
          <w:highlight w:val="none"/>
        </w:rPr>
        <w:t>含文物保护建筑</w:t>
      </w:r>
      <w:r>
        <w:rPr>
          <w:rFonts w:hint="eastAsia" w:hAnsi="宋体" w:cs="宋体"/>
          <w:color w:val="auto"/>
          <w:kern w:val="0"/>
          <w:highlight w:val="none"/>
          <w:lang w:eastAsia="zh-CN"/>
        </w:rPr>
        <w:t>）</w:t>
      </w:r>
      <w:r>
        <w:rPr>
          <w:rFonts w:hint="eastAsia" w:hAnsi="宋体" w:cs="宋体"/>
          <w:color w:val="auto"/>
          <w:kern w:val="0"/>
          <w:highlight w:val="none"/>
        </w:rPr>
        <w:t>、古树名木的保护要求及费用承担：</w:t>
      </w:r>
      <w:r>
        <w:rPr>
          <w:rFonts w:hint="eastAsia" w:hAnsi="宋体" w:cs="宋体"/>
          <w:color w:val="auto"/>
          <w:kern w:val="0"/>
          <w:highlight w:val="none"/>
          <w:u w:val="single"/>
        </w:rPr>
        <w:t>承包人施工时应探明并负责保护且承包费用，施工时损坏地下管线、邻近建筑物、构筑物，所发生费用由承包人承担</w:t>
      </w:r>
      <w:r>
        <w:rPr>
          <w:rFonts w:hint="eastAsia" w:hAnsi="宋体" w:cs="宋体"/>
          <w:color w:val="auto"/>
          <w:kern w:val="0"/>
          <w:highlight w:val="none"/>
        </w:rPr>
        <w:t>。</w:t>
      </w:r>
    </w:p>
    <w:p w14:paraId="5F2E3968">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2</w:t>
      </w:r>
      <w:r>
        <w:rPr>
          <w:rFonts w:hint="eastAsia" w:hAnsi="宋体" w:cs="宋体"/>
          <w:color w:val="auto"/>
          <w:kern w:val="0"/>
          <w:highlight w:val="none"/>
          <w:lang w:eastAsia="zh-CN"/>
        </w:rPr>
        <w:t>）</w:t>
      </w:r>
      <w:r>
        <w:rPr>
          <w:rFonts w:hint="eastAsia" w:hAnsi="宋体" w:cs="宋体"/>
          <w:color w:val="auto"/>
          <w:kern w:val="0"/>
          <w:highlight w:val="none"/>
        </w:rPr>
        <w:t>取土场及弃土场由承包人自行解决。但不得违反相关管理规定，并承担相关费用。</w:t>
      </w:r>
    </w:p>
    <w:p w14:paraId="6F30048F">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3</w:t>
      </w:r>
      <w:r>
        <w:rPr>
          <w:rFonts w:hint="eastAsia" w:hAnsi="宋体" w:cs="宋体"/>
          <w:color w:val="auto"/>
          <w:kern w:val="0"/>
          <w:highlight w:val="none"/>
          <w:lang w:eastAsia="zh-CN"/>
        </w:rPr>
        <w:t>）</w:t>
      </w:r>
      <w:r>
        <w:rPr>
          <w:rFonts w:hint="eastAsia" w:hAnsi="宋体" w:cs="宋体"/>
          <w:color w:val="auto"/>
          <w:kern w:val="0"/>
          <w:highlight w:val="none"/>
        </w:rPr>
        <w:t>向发包人提供的办公和生活房屋及设施的要求：向发包人及监理提供办公室和休息室共3 间，费用由承包人承担。</w:t>
      </w:r>
    </w:p>
    <w:p w14:paraId="25D626EF">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4</w:t>
      </w:r>
      <w:r>
        <w:rPr>
          <w:rFonts w:hint="eastAsia" w:hAnsi="宋体" w:cs="宋体"/>
          <w:color w:val="auto"/>
          <w:kern w:val="0"/>
          <w:highlight w:val="none"/>
          <w:lang w:eastAsia="zh-CN"/>
        </w:rPr>
        <w:t>）</w:t>
      </w:r>
      <w:r>
        <w:rPr>
          <w:rFonts w:hint="eastAsia" w:hAnsi="宋体" w:cs="宋体"/>
          <w:color w:val="auto"/>
          <w:kern w:val="0"/>
          <w:highlight w:val="none"/>
        </w:rPr>
        <w:t>已完工程成品保护的特殊要求及费用承担：已竣工工程未交付发包人之前，承包人按协议条款约定负责已完成工程的成品保护工作，保护期间发生损坏，承包人自费予以修复。</w:t>
      </w:r>
    </w:p>
    <w:p w14:paraId="5C1E91B6">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5</w:t>
      </w:r>
      <w:r>
        <w:rPr>
          <w:rFonts w:hint="eastAsia" w:hAnsi="宋体" w:cs="宋体"/>
          <w:color w:val="auto"/>
          <w:kern w:val="0"/>
          <w:highlight w:val="none"/>
          <w:lang w:eastAsia="zh-CN"/>
        </w:rPr>
        <w:t>）</w:t>
      </w:r>
      <w:r>
        <w:rPr>
          <w:rFonts w:hint="eastAsia" w:hAnsi="宋体" w:cs="宋体"/>
          <w:color w:val="auto"/>
          <w:kern w:val="0"/>
          <w:highlight w:val="none"/>
        </w:rPr>
        <w:t>施工场地、水电运输通道及施工便道的修建和维护、清场等费用：</w:t>
      </w:r>
      <w:r>
        <w:rPr>
          <w:rFonts w:hint="eastAsia" w:hAnsi="宋体" w:cs="宋体"/>
          <w:color w:val="auto"/>
          <w:kern w:val="0"/>
          <w:highlight w:val="none"/>
          <w:u w:val="single"/>
        </w:rPr>
        <w:t>由承包人承担</w:t>
      </w:r>
      <w:r>
        <w:rPr>
          <w:rFonts w:hint="eastAsia" w:hAnsi="宋体" w:cs="宋体"/>
          <w:color w:val="auto"/>
          <w:kern w:val="0"/>
          <w:highlight w:val="none"/>
        </w:rPr>
        <w:t>。</w:t>
      </w:r>
    </w:p>
    <w:p w14:paraId="5D6F4892">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6</w:t>
      </w:r>
      <w:r>
        <w:rPr>
          <w:rFonts w:hint="eastAsia" w:hAnsi="宋体" w:cs="宋体"/>
          <w:color w:val="auto"/>
          <w:kern w:val="0"/>
          <w:highlight w:val="none"/>
          <w:lang w:eastAsia="zh-CN"/>
        </w:rPr>
        <w:t>）</w:t>
      </w:r>
      <w:r>
        <w:rPr>
          <w:rFonts w:hint="eastAsia" w:hAnsi="宋体" w:cs="宋体"/>
          <w:color w:val="auto"/>
          <w:kern w:val="0"/>
          <w:highlight w:val="none"/>
        </w:rPr>
        <w:t>本工程施工场地范围内水、电</w:t>
      </w:r>
      <w:r>
        <w:rPr>
          <w:rFonts w:hint="eastAsia" w:hAnsi="宋体" w:cs="宋体"/>
          <w:color w:val="auto"/>
          <w:kern w:val="0"/>
          <w:highlight w:val="none"/>
          <w:lang w:eastAsia="zh-CN"/>
        </w:rPr>
        <w:t>（</w:t>
      </w:r>
      <w:r>
        <w:rPr>
          <w:rFonts w:hint="eastAsia" w:hAnsi="宋体" w:cs="宋体"/>
          <w:color w:val="auto"/>
          <w:kern w:val="0"/>
          <w:highlight w:val="none"/>
        </w:rPr>
        <w:t>含施工过程中发包人所需的供水、供电部分设备</w:t>
      </w:r>
      <w:r>
        <w:rPr>
          <w:rFonts w:hint="eastAsia" w:hAnsi="宋体" w:cs="宋体"/>
          <w:color w:val="auto"/>
          <w:kern w:val="0"/>
          <w:highlight w:val="none"/>
          <w:lang w:eastAsia="zh-CN"/>
        </w:rPr>
        <w:t>）</w:t>
      </w:r>
      <w:r>
        <w:rPr>
          <w:rFonts w:hint="eastAsia" w:hAnsi="宋体" w:cs="宋体"/>
          <w:color w:val="auto"/>
          <w:kern w:val="0"/>
          <w:highlight w:val="none"/>
        </w:rPr>
        <w:t>使用、维护、拆除、恢复等由承包人负责，以上费用在投标报价中综合考虑。</w:t>
      </w:r>
    </w:p>
    <w:p w14:paraId="75429A94">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7</w:t>
      </w:r>
      <w:r>
        <w:rPr>
          <w:rFonts w:hint="eastAsia" w:hAnsi="宋体" w:cs="宋体"/>
          <w:color w:val="auto"/>
          <w:kern w:val="0"/>
          <w:highlight w:val="none"/>
          <w:lang w:eastAsia="zh-CN"/>
        </w:rPr>
        <w:t>）</w:t>
      </w:r>
      <w:r>
        <w:rPr>
          <w:rFonts w:hint="eastAsia" w:hAnsi="宋体" w:cs="宋体"/>
          <w:color w:val="auto"/>
          <w:kern w:val="0"/>
          <w:highlight w:val="none"/>
        </w:rPr>
        <w:t>承包人的临时占地</w:t>
      </w:r>
      <w:r>
        <w:rPr>
          <w:rFonts w:hint="eastAsia" w:hAnsi="宋体" w:cs="宋体"/>
          <w:color w:val="auto"/>
          <w:kern w:val="0"/>
          <w:highlight w:val="none"/>
          <w:lang w:eastAsia="zh-CN"/>
        </w:rPr>
        <w:t>（</w:t>
      </w:r>
      <w:r>
        <w:rPr>
          <w:rFonts w:hint="eastAsia" w:hAnsi="宋体" w:cs="宋体"/>
          <w:color w:val="auto"/>
          <w:kern w:val="0"/>
          <w:highlight w:val="none"/>
        </w:rPr>
        <w:t>含项目部驻地等</w:t>
      </w:r>
      <w:r>
        <w:rPr>
          <w:rFonts w:hint="eastAsia" w:hAnsi="宋体" w:cs="宋体"/>
          <w:color w:val="auto"/>
          <w:kern w:val="0"/>
          <w:highlight w:val="none"/>
          <w:lang w:eastAsia="zh-CN"/>
        </w:rPr>
        <w:t>）</w:t>
      </w:r>
      <w:r>
        <w:rPr>
          <w:rFonts w:hint="eastAsia" w:hAnsi="宋体" w:cs="宋体"/>
          <w:color w:val="auto"/>
          <w:kern w:val="0"/>
          <w:highlight w:val="none"/>
        </w:rPr>
        <w:t>租用费</w:t>
      </w:r>
      <w:r>
        <w:rPr>
          <w:rFonts w:hint="eastAsia" w:hAnsi="宋体" w:cs="宋体"/>
          <w:color w:val="auto"/>
          <w:kern w:val="0"/>
          <w:highlight w:val="none"/>
          <w:lang w:eastAsia="zh-CN"/>
        </w:rPr>
        <w:t>（</w:t>
      </w:r>
      <w:r>
        <w:rPr>
          <w:rFonts w:hint="eastAsia" w:hAnsi="宋体" w:cs="宋体"/>
          <w:color w:val="auto"/>
          <w:kern w:val="0"/>
          <w:highlight w:val="none"/>
        </w:rPr>
        <w:t>含拆迁补偿</w:t>
      </w:r>
      <w:r>
        <w:rPr>
          <w:rFonts w:hint="eastAsia" w:hAnsi="宋体" w:cs="宋体"/>
          <w:color w:val="auto"/>
          <w:kern w:val="0"/>
          <w:highlight w:val="none"/>
          <w:lang w:eastAsia="zh-CN"/>
        </w:rPr>
        <w:t>）</w:t>
      </w:r>
      <w:r>
        <w:rPr>
          <w:rFonts w:hint="eastAsia" w:hAnsi="宋体" w:cs="宋体"/>
          <w:color w:val="auto"/>
          <w:kern w:val="0"/>
          <w:highlight w:val="none"/>
        </w:rPr>
        <w:t>、临时用地的环保、恢复及施工范围内临时性占地的地面附着物发生的费用均由承包人负责，发生的一切费用已包含在投标报价中。</w:t>
      </w:r>
    </w:p>
    <w:p w14:paraId="2F834D63">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8</w:t>
      </w:r>
      <w:r>
        <w:rPr>
          <w:rFonts w:hint="eastAsia" w:hAnsi="宋体" w:cs="宋体"/>
          <w:color w:val="auto"/>
          <w:kern w:val="0"/>
          <w:highlight w:val="none"/>
          <w:lang w:eastAsia="zh-CN"/>
        </w:rPr>
        <w:t>）</w:t>
      </w:r>
      <w:r>
        <w:rPr>
          <w:rFonts w:hint="eastAsia" w:hAnsi="宋体" w:cs="宋体"/>
          <w:color w:val="auto"/>
          <w:kern w:val="0"/>
          <w:highlight w:val="none"/>
        </w:rPr>
        <w:t>承包人应按监理人的指示负责拆除拆迁残留基础和构筑物等，清除本工程施工范围的零星拆迁垃圾、杂物以及场地中的树根等，结算时以实际发生为准。</w:t>
      </w:r>
    </w:p>
    <w:p w14:paraId="36B0701B">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9</w:t>
      </w:r>
      <w:r>
        <w:rPr>
          <w:rFonts w:hint="eastAsia" w:hAnsi="宋体" w:cs="宋体"/>
          <w:color w:val="auto"/>
          <w:kern w:val="0"/>
          <w:highlight w:val="none"/>
          <w:lang w:eastAsia="zh-CN"/>
        </w:rPr>
        <w:t>）</w:t>
      </w:r>
      <w:r>
        <w:rPr>
          <w:rFonts w:hint="eastAsia" w:hAnsi="宋体" w:cs="宋体"/>
          <w:color w:val="auto"/>
          <w:kern w:val="0"/>
          <w:highlight w:val="none"/>
        </w:rPr>
        <w:t>本合同承包人施工场地上架设施工用电线路，线路走向由监理人会同承包人共同协商确定。</w:t>
      </w:r>
    </w:p>
    <w:p w14:paraId="5038AAF6">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10</w:t>
      </w:r>
      <w:r>
        <w:rPr>
          <w:rFonts w:hint="eastAsia" w:hAnsi="宋体" w:cs="宋体"/>
          <w:color w:val="auto"/>
          <w:kern w:val="0"/>
          <w:highlight w:val="none"/>
          <w:lang w:eastAsia="zh-CN"/>
        </w:rPr>
        <w:t>）</w:t>
      </w:r>
      <w:r>
        <w:rPr>
          <w:rFonts w:hint="eastAsia" w:hAnsi="宋体" w:cs="宋体"/>
          <w:color w:val="auto"/>
          <w:kern w:val="0"/>
          <w:highlight w:val="none"/>
        </w:rPr>
        <w:t>承包人应充分理解有一些设施</w:t>
      </w:r>
      <w:r>
        <w:rPr>
          <w:rFonts w:hint="eastAsia" w:hAnsi="宋体" w:cs="宋体"/>
          <w:color w:val="auto"/>
          <w:kern w:val="0"/>
          <w:highlight w:val="none"/>
          <w:lang w:eastAsia="zh-CN"/>
        </w:rPr>
        <w:t>（</w:t>
      </w:r>
      <w:r>
        <w:rPr>
          <w:rFonts w:hint="eastAsia" w:hAnsi="宋体" w:cs="宋体"/>
          <w:color w:val="auto"/>
          <w:kern w:val="0"/>
          <w:highlight w:val="none"/>
        </w:rPr>
        <w:t>如施工道路</w:t>
      </w:r>
      <w:r>
        <w:rPr>
          <w:rFonts w:hint="eastAsia" w:hAnsi="宋体" w:cs="宋体"/>
          <w:color w:val="auto"/>
          <w:kern w:val="0"/>
          <w:highlight w:val="none"/>
          <w:lang w:eastAsia="zh-CN"/>
        </w:rPr>
        <w:t>）</w:t>
      </w:r>
      <w:r>
        <w:rPr>
          <w:rFonts w:hint="eastAsia" w:hAnsi="宋体" w:cs="宋体"/>
          <w:color w:val="auto"/>
          <w:kern w:val="0"/>
          <w:highlight w:val="none"/>
        </w:rPr>
        <w:t>将会由一个以上的承包人使用，如果在使用过程中发生干扰时，应立即通知监理人并服从监理人的决定。</w:t>
      </w:r>
    </w:p>
    <w:p w14:paraId="115B59DC">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11</w:t>
      </w:r>
      <w:r>
        <w:rPr>
          <w:rFonts w:hint="eastAsia" w:hAnsi="宋体" w:cs="宋体"/>
          <w:color w:val="auto"/>
          <w:kern w:val="0"/>
          <w:highlight w:val="none"/>
          <w:lang w:eastAsia="zh-CN"/>
        </w:rPr>
        <w:t>）</w:t>
      </w:r>
      <w:r>
        <w:rPr>
          <w:rFonts w:hint="eastAsia" w:hAnsi="宋体" w:cs="宋体"/>
          <w:color w:val="auto"/>
          <w:kern w:val="0"/>
          <w:highlight w:val="none"/>
        </w:rPr>
        <w:t>凡属于承包人交付给其他承包人的工作面以及与其他承包人交叉作业的工作面，承包人必须服从监理人的决定，按规定的完工日期完成并将清理好的工作面移交给发包人，并取得监理人的同意。</w:t>
      </w:r>
    </w:p>
    <w:p w14:paraId="38625BF7">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12</w:t>
      </w:r>
      <w:r>
        <w:rPr>
          <w:rFonts w:hint="eastAsia" w:hAnsi="宋体" w:cs="宋体"/>
          <w:color w:val="auto"/>
          <w:kern w:val="0"/>
          <w:highlight w:val="none"/>
          <w:lang w:eastAsia="zh-CN"/>
        </w:rPr>
        <w:t>）</w:t>
      </w:r>
      <w:r>
        <w:rPr>
          <w:rFonts w:hint="eastAsia" w:hAnsi="宋体" w:cs="宋体"/>
          <w:color w:val="auto"/>
          <w:kern w:val="0"/>
          <w:highlight w:val="none"/>
        </w:rPr>
        <w:t>承包人应为监理人、发包人现场代表对施工现场的检查监督提供必要的配合，并对这种配合对施工的影响应有充分的考虑。</w:t>
      </w:r>
    </w:p>
    <w:p w14:paraId="456F9783">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对上述9</w:t>
      </w:r>
      <w:r>
        <w:rPr>
          <w:rFonts w:hint="eastAsia" w:hAnsi="宋体" w:cs="宋体"/>
          <w:color w:val="auto"/>
          <w:kern w:val="0"/>
          <w:highlight w:val="none"/>
          <w:lang w:eastAsia="zh-CN"/>
        </w:rPr>
        <w:t>）</w:t>
      </w:r>
      <w:r>
        <w:rPr>
          <w:rFonts w:hint="eastAsia" w:hAnsi="宋体" w:cs="宋体"/>
          <w:color w:val="auto"/>
          <w:kern w:val="0"/>
          <w:highlight w:val="none"/>
        </w:rPr>
        <w:t>-12</w:t>
      </w:r>
      <w:r>
        <w:rPr>
          <w:rFonts w:hint="eastAsia" w:hAnsi="宋体" w:cs="宋体"/>
          <w:color w:val="auto"/>
          <w:kern w:val="0"/>
          <w:highlight w:val="none"/>
          <w:lang w:eastAsia="zh-CN"/>
        </w:rPr>
        <w:t>）</w:t>
      </w:r>
      <w:r>
        <w:rPr>
          <w:rFonts w:hint="eastAsia" w:hAnsi="宋体" w:cs="宋体"/>
          <w:color w:val="auto"/>
          <w:kern w:val="0"/>
          <w:highlight w:val="none"/>
        </w:rPr>
        <w:t>项工作，费用已包括在有关单价和总价中，发包人不再另行支付由此所发生的一切费用。</w:t>
      </w:r>
    </w:p>
    <w:p w14:paraId="0FEEC14F">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13</w:t>
      </w:r>
      <w:r>
        <w:rPr>
          <w:rFonts w:hint="eastAsia" w:hAnsi="宋体" w:cs="宋体"/>
          <w:color w:val="auto"/>
          <w:kern w:val="0"/>
          <w:highlight w:val="none"/>
          <w:lang w:eastAsia="zh-CN"/>
        </w:rPr>
        <w:t>）</w:t>
      </w:r>
      <w:r>
        <w:rPr>
          <w:rFonts w:hint="eastAsia" w:hAnsi="宋体" w:cs="宋体"/>
          <w:color w:val="auto"/>
          <w:kern w:val="0"/>
          <w:highlight w:val="none"/>
        </w:rPr>
        <w:t>土料场由承包人自行解决，并负责提供经检测合格的土料。</w:t>
      </w:r>
    </w:p>
    <w:p w14:paraId="4A7E4B82">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14</w:t>
      </w:r>
      <w:r>
        <w:rPr>
          <w:rFonts w:hint="eastAsia" w:hAnsi="宋体" w:cs="宋体"/>
          <w:color w:val="auto"/>
          <w:kern w:val="0"/>
          <w:highlight w:val="none"/>
          <w:lang w:eastAsia="zh-CN"/>
        </w:rPr>
        <w:t>）</w:t>
      </w:r>
      <w:r>
        <w:rPr>
          <w:rFonts w:hint="eastAsia" w:hAnsi="宋体" w:cs="宋体"/>
          <w:color w:val="auto"/>
          <w:kern w:val="0"/>
          <w:highlight w:val="none"/>
        </w:rPr>
        <w:t>承包人应负责施工场内交通管制和协调通行工作。连接施工场地内外道路出口处须设洗车场，对从施工场地进入市区道路的所有车辆进行清洗，并派专人在出口处负责看守，严禁与工程施工无关的人员及车辆进出施工场地，所发生的费用由监理人负责协调有关标段共同承担。如承包人违反以上有关规定，由此所造成的一切后果由承包人负责。</w:t>
      </w:r>
    </w:p>
    <w:p w14:paraId="4A414B2F">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15</w:t>
      </w:r>
      <w:r>
        <w:rPr>
          <w:rFonts w:hint="eastAsia" w:hAnsi="宋体" w:cs="宋体"/>
          <w:color w:val="auto"/>
          <w:kern w:val="0"/>
          <w:highlight w:val="none"/>
          <w:lang w:eastAsia="zh-CN"/>
        </w:rPr>
        <w:t>）</w:t>
      </w:r>
      <w:r>
        <w:rPr>
          <w:rFonts w:hint="eastAsia" w:hAnsi="宋体" w:cs="宋体"/>
          <w:color w:val="auto"/>
          <w:kern w:val="0"/>
          <w:highlight w:val="none"/>
        </w:rPr>
        <w:t>承包人负责其本合同段在合同实施期内临时交通道路</w:t>
      </w:r>
      <w:r>
        <w:rPr>
          <w:rFonts w:hint="eastAsia" w:hAnsi="宋体" w:cs="宋体"/>
          <w:color w:val="auto"/>
          <w:kern w:val="0"/>
          <w:highlight w:val="none"/>
          <w:lang w:eastAsia="zh-CN"/>
        </w:rPr>
        <w:t>（</w:t>
      </w:r>
      <w:r>
        <w:rPr>
          <w:rFonts w:hint="eastAsia" w:hAnsi="宋体" w:cs="宋体"/>
          <w:color w:val="auto"/>
          <w:kern w:val="0"/>
          <w:highlight w:val="none"/>
        </w:rPr>
        <w:t>含场内外连接公共交通道路</w:t>
      </w:r>
      <w:r>
        <w:rPr>
          <w:rFonts w:hint="eastAsia" w:hAnsi="宋体" w:cs="宋体"/>
          <w:color w:val="auto"/>
          <w:kern w:val="0"/>
          <w:highlight w:val="none"/>
          <w:lang w:eastAsia="zh-CN"/>
        </w:rPr>
        <w:t>）</w:t>
      </w:r>
      <w:r>
        <w:rPr>
          <w:rFonts w:hint="eastAsia" w:hAnsi="宋体" w:cs="宋体"/>
          <w:color w:val="auto"/>
          <w:kern w:val="0"/>
          <w:highlight w:val="none"/>
        </w:rPr>
        <w:t>和交通设施的修建、维修、养护和交通管理工作，并承担一切费用。</w:t>
      </w:r>
    </w:p>
    <w:p w14:paraId="381F8142">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16</w:t>
      </w:r>
      <w:r>
        <w:rPr>
          <w:rFonts w:hint="eastAsia" w:hAnsi="宋体" w:cs="宋体"/>
          <w:color w:val="auto"/>
          <w:kern w:val="0"/>
          <w:highlight w:val="none"/>
          <w:lang w:eastAsia="zh-CN"/>
        </w:rPr>
        <w:t>）</w:t>
      </w:r>
      <w:r>
        <w:rPr>
          <w:rFonts w:hint="eastAsia" w:hAnsi="宋体" w:cs="宋体"/>
          <w:color w:val="auto"/>
          <w:kern w:val="0"/>
          <w:highlight w:val="none"/>
        </w:rPr>
        <w:t>承包人修建的临时道路和交通设施，应免费提供给发包人、监理人和其他合同段的承包人使用，如共同使用的路基损坏严重，发包人或监理人将负责通知有关承包人共同出资修复，若使用频率相差悬殊，则按比例分摊。</w:t>
      </w:r>
    </w:p>
    <w:p w14:paraId="2B1CC4D0">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17</w:t>
      </w:r>
      <w:r>
        <w:rPr>
          <w:rFonts w:hint="eastAsia" w:hAnsi="宋体" w:cs="宋体"/>
          <w:color w:val="auto"/>
          <w:kern w:val="0"/>
          <w:highlight w:val="none"/>
          <w:lang w:eastAsia="zh-CN"/>
        </w:rPr>
        <w:t>）</w:t>
      </w:r>
      <w:r>
        <w:rPr>
          <w:rFonts w:hint="eastAsia" w:hAnsi="宋体" w:cs="宋体"/>
          <w:color w:val="auto"/>
          <w:kern w:val="0"/>
          <w:highlight w:val="none"/>
        </w:rPr>
        <w:t>承包人在实施合同工程所使用公共道路、水源、公共设施等必须保障发包人及其他人的财产、利益和权利免受损害，造成损害的自费负责维修或赔偿。</w:t>
      </w:r>
    </w:p>
    <w:p w14:paraId="20A3E950">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18</w:t>
      </w:r>
      <w:r>
        <w:rPr>
          <w:rFonts w:hint="eastAsia" w:hAnsi="宋体" w:cs="宋体"/>
          <w:color w:val="auto"/>
          <w:kern w:val="0"/>
          <w:highlight w:val="none"/>
          <w:lang w:eastAsia="zh-CN"/>
        </w:rPr>
        <w:t>）</w:t>
      </w:r>
      <w:r>
        <w:rPr>
          <w:rFonts w:hint="eastAsia" w:hAnsi="宋体" w:cs="宋体"/>
          <w:color w:val="auto"/>
          <w:kern w:val="0"/>
          <w:highlight w:val="none"/>
        </w:rPr>
        <w:t>承包人的施工管理区及施工场地应设有临时的污水处理设施和施工排水设施，生活、施工垃圾等处置应妥当，施工材料如涂料、化学品等应妥善存放，并设有防雨、防风等措施，并承担一切费用。</w:t>
      </w:r>
    </w:p>
    <w:p w14:paraId="6C677CB7">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19</w:t>
      </w:r>
      <w:r>
        <w:rPr>
          <w:rFonts w:hint="eastAsia" w:hAnsi="宋体" w:cs="宋体"/>
          <w:color w:val="auto"/>
          <w:kern w:val="0"/>
          <w:highlight w:val="none"/>
          <w:lang w:eastAsia="zh-CN"/>
        </w:rPr>
        <w:t>）</w:t>
      </w:r>
      <w:r>
        <w:rPr>
          <w:rFonts w:hint="eastAsia" w:hAnsi="宋体" w:cs="宋体"/>
          <w:color w:val="auto"/>
          <w:kern w:val="0"/>
          <w:highlight w:val="none"/>
        </w:rPr>
        <w:t>移交证书签发后，承包人应立即从签发了移交证书的工地上将所有有关的承包人的设备、多余材料、垃圾及各种临时工程清除、移走，并使这一部分工程及工地保持清洁，使发包人满意。</w:t>
      </w:r>
    </w:p>
    <w:p w14:paraId="6CD94691">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20</w:t>
      </w:r>
      <w:r>
        <w:rPr>
          <w:rFonts w:hint="eastAsia" w:hAnsi="宋体" w:cs="宋体"/>
          <w:color w:val="auto"/>
          <w:kern w:val="0"/>
          <w:highlight w:val="none"/>
          <w:lang w:eastAsia="zh-CN"/>
        </w:rPr>
        <w:t>）</w:t>
      </w:r>
      <w:r>
        <w:rPr>
          <w:rFonts w:hint="eastAsia" w:hAnsi="宋体" w:cs="宋体"/>
          <w:color w:val="auto"/>
          <w:kern w:val="0"/>
          <w:highlight w:val="none"/>
        </w:rPr>
        <w:t>承包人应全权自费负责其劳务及职员的雇佣、工资的支付、房屋、膳食及运输的安排。承包人在任何时候应采取一切合理的预防措施，以防止其职员发生任何违法的、妨碍治安的行为，并维护治安和保护工程附近的单位、个人或财产免遭上述行为的破坏，否则，由此造成的后果和费用均由承包人承担。</w:t>
      </w:r>
    </w:p>
    <w:p w14:paraId="2F204B51">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21</w:t>
      </w:r>
      <w:r>
        <w:rPr>
          <w:rFonts w:hint="eastAsia" w:hAnsi="宋体" w:cs="宋体"/>
          <w:color w:val="auto"/>
          <w:kern w:val="0"/>
          <w:highlight w:val="none"/>
          <w:lang w:eastAsia="zh-CN"/>
        </w:rPr>
        <w:t>）</w:t>
      </w:r>
      <w:r>
        <w:rPr>
          <w:rFonts w:hint="eastAsia" w:hAnsi="宋体" w:cs="宋体"/>
          <w:color w:val="auto"/>
          <w:kern w:val="0"/>
          <w:highlight w:val="none"/>
        </w:rPr>
        <w:t>承包人应按安全施工管理有关规定，配备安全管理机构，配备合格的安全管理人员，负责处理全体工作人员和劳务人员的安全保护和防止事故等问题，如因承包人原因造成人员伤亡、财产损失等一切事故，由承包人负全责并承担费用。</w:t>
      </w:r>
    </w:p>
    <w:p w14:paraId="36521514">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22</w:t>
      </w:r>
      <w:r>
        <w:rPr>
          <w:rFonts w:hint="eastAsia" w:hAnsi="宋体" w:cs="宋体"/>
          <w:color w:val="auto"/>
          <w:kern w:val="0"/>
          <w:highlight w:val="none"/>
          <w:lang w:eastAsia="zh-CN"/>
        </w:rPr>
        <w:t>）</w:t>
      </w:r>
      <w:r>
        <w:rPr>
          <w:rFonts w:hint="eastAsia" w:hAnsi="宋体" w:cs="宋体"/>
          <w:color w:val="auto"/>
          <w:kern w:val="0"/>
          <w:highlight w:val="none"/>
        </w:rPr>
        <w:t>承包人在施工期间应协调好与邻近相关单位</w:t>
      </w:r>
      <w:r>
        <w:rPr>
          <w:rFonts w:hint="eastAsia" w:hAnsi="宋体" w:cs="宋体"/>
          <w:color w:val="auto"/>
          <w:kern w:val="0"/>
          <w:highlight w:val="none"/>
          <w:lang w:eastAsia="zh-CN"/>
        </w:rPr>
        <w:t>（</w:t>
      </w:r>
      <w:r>
        <w:rPr>
          <w:rFonts w:hint="eastAsia" w:hAnsi="宋体" w:cs="宋体"/>
          <w:color w:val="auto"/>
          <w:kern w:val="0"/>
          <w:highlight w:val="none"/>
        </w:rPr>
        <w:t>含居民、农民</w:t>
      </w:r>
      <w:r>
        <w:rPr>
          <w:rFonts w:hint="eastAsia" w:hAnsi="宋体" w:cs="宋体"/>
          <w:color w:val="auto"/>
          <w:kern w:val="0"/>
          <w:highlight w:val="none"/>
          <w:lang w:eastAsia="zh-CN"/>
        </w:rPr>
        <w:t>）</w:t>
      </w:r>
      <w:r>
        <w:rPr>
          <w:rFonts w:hint="eastAsia" w:hAnsi="宋体" w:cs="宋体"/>
          <w:color w:val="auto"/>
          <w:kern w:val="0"/>
          <w:highlight w:val="none"/>
        </w:rPr>
        <w:t>的关系、应避免发生矛盾与冲突，否则，由此造成的一切后果由承包人承担。</w:t>
      </w:r>
    </w:p>
    <w:p w14:paraId="6BBED0BB">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23</w:t>
      </w:r>
      <w:r>
        <w:rPr>
          <w:rFonts w:hint="eastAsia" w:hAnsi="宋体" w:cs="宋体"/>
          <w:color w:val="auto"/>
          <w:kern w:val="0"/>
          <w:highlight w:val="none"/>
          <w:lang w:eastAsia="zh-CN"/>
        </w:rPr>
        <w:t>）</w:t>
      </w:r>
      <w:r>
        <w:rPr>
          <w:rFonts w:hint="eastAsia" w:hAnsi="宋体" w:cs="宋体"/>
          <w:color w:val="auto"/>
          <w:kern w:val="0"/>
          <w:highlight w:val="none"/>
        </w:rPr>
        <w:t>按照《中华人民共和国工会法》、《国务院关于进一步做好为农民工服务工作的意见》</w:t>
      </w:r>
      <w:r>
        <w:rPr>
          <w:rFonts w:hint="eastAsia" w:hAnsi="宋体" w:cs="宋体"/>
          <w:color w:val="auto"/>
          <w:kern w:val="0"/>
          <w:highlight w:val="none"/>
        </w:rPr>
        <w:tab/>
      </w:r>
      <w:r>
        <w:rPr>
          <w:rFonts w:hint="eastAsia" w:hAnsi="宋体" w:cs="宋体"/>
          <w:color w:val="auto"/>
          <w:kern w:val="0"/>
          <w:highlight w:val="none"/>
          <w:lang w:eastAsia="zh-CN"/>
        </w:rPr>
        <w:t>（</w:t>
      </w:r>
      <w:r>
        <w:rPr>
          <w:rFonts w:hint="eastAsia" w:hAnsi="宋体" w:cs="宋体"/>
          <w:color w:val="auto"/>
          <w:kern w:val="0"/>
          <w:highlight w:val="none"/>
        </w:rPr>
        <w:t>国发〔2014〕40号</w:t>
      </w:r>
      <w:r>
        <w:rPr>
          <w:rFonts w:hint="eastAsia" w:hAnsi="宋体" w:cs="宋体"/>
          <w:color w:val="auto"/>
          <w:kern w:val="0"/>
          <w:highlight w:val="none"/>
          <w:lang w:eastAsia="zh-CN"/>
        </w:rPr>
        <w:t>）</w:t>
      </w:r>
      <w:r>
        <w:rPr>
          <w:rFonts w:hint="eastAsia" w:hAnsi="宋体" w:cs="宋体"/>
          <w:color w:val="auto"/>
          <w:kern w:val="0"/>
          <w:highlight w:val="none"/>
        </w:rPr>
        <w:t>、《中华全国总工会关于深入贯彻落实&lt;国务院关于进一步做好为农民工服务工作的意见&gt;的实施意见》</w:t>
      </w:r>
      <w:r>
        <w:rPr>
          <w:rFonts w:hint="eastAsia" w:hAnsi="宋体" w:cs="宋体"/>
          <w:color w:val="auto"/>
          <w:kern w:val="0"/>
          <w:highlight w:val="none"/>
          <w:lang w:eastAsia="zh-CN"/>
        </w:rPr>
        <w:t>（</w:t>
      </w:r>
      <w:r>
        <w:rPr>
          <w:rFonts w:hint="eastAsia" w:hAnsi="宋体" w:cs="宋体"/>
          <w:color w:val="auto"/>
          <w:kern w:val="0"/>
          <w:highlight w:val="none"/>
        </w:rPr>
        <w:t>总工发〔2015〕14号</w:t>
      </w:r>
      <w:r>
        <w:rPr>
          <w:rFonts w:hint="eastAsia" w:hAnsi="宋体" w:cs="宋体"/>
          <w:color w:val="auto"/>
          <w:kern w:val="0"/>
          <w:highlight w:val="none"/>
          <w:lang w:eastAsia="zh-CN"/>
        </w:rPr>
        <w:t>）</w:t>
      </w:r>
      <w:r>
        <w:rPr>
          <w:rFonts w:hint="eastAsia" w:hAnsi="宋体" w:cs="宋体"/>
          <w:color w:val="auto"/>
          <w:kern w:val="0"/>
          <w:highlight w:val="none"/>
        </w:rPr>
        <w:t>有关要求，深入开展“农民工入会集中行动”，对开工的项目，须组建项目工会。</w:t>
      </w:r>
    </w:p>
    <w:p w14:paraId="307A19F6">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24</w:t>
      </w:r>
      <w:r>
        <w:rPr>
          <w:rFonts w:hint="eastAsia" w:hAnsi="宋体" w:cs="宋体"/>
          <w:color w:val="auto"/>
          <w:kern w:val="0"/>
          <w:highlight w:val="none"/>
          <w:lang w:eastAsia="zh-CN"/>
        </w:rPr>
        <w:t>）</w:t>
      </w:r>
      <w:r>
        <w:rPr>
          <w:rFonts w:hint="eastAsia" w:hAnsi="宋体" w:cs="宋体"/>
          <w:color w:val="auto"/>
          <w:kern w:val="0"/>
          <w:highlight w:val="none"/>
        </w:rPr>
        <w:t>承担施工安全保卫工作及非夜间施工照明的责任和要求：在实施和完成本合同过程中，承包人须①时刻关注和采取适当措施保障现场所有工作人员的安全，保证工程施工安全，现场施工要保持有条不紊，避免上述人员的安全受到威胁；②为了保护本合同工程免遭损坏或为了现场附近过往群众的安全与方便，在必要的时候、地方或监理工程师要求或有关部门要求时，承包人应负责提供照明、警卫、护栏、警示标志等安全防护措施，并承担责任，费用已包含在投标报价的安全防护、文明施工措施费中。</w:t>
      </w:r>
    </w:p>
    <w:p w14:paraId="15671F7B">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25</w:t>
      </w:r>
      <w:r>
        <w:rPr>
          <w:rFonts w:hint="eastAsia" w:hAnsi="宋体" w:cs="宋体"/>
          <w:color w:val="auto"/>
          <w:kern w:val="0"/>
          <w:highlight w:val="none"/>
          <w:lang w:eastAsia="zh-CN"/>
        </w:rPr>
        <w:t>）</w:t>
      </w:r>
      <w:r>
        <w:rPr>
          <w:rFonts w:hint="eastAsia" w:hAnsi="宋体" w:cs="宋体"/>
          <w:color w:val="auto"/>
          <w:kern w:val="0"/>
          <w:highlight w:val="none"/>
        </w:rPr>
        <w:t>需承包人办理的有关施工场地交通、环卫和施工噪音管理等手续：遵守政府有关主管部门对施工场地交通、施工噪音、环境保护和安全生产等的管理规定办理相关手续，并承担费用。承包人对道路占道施工，需向交警部门进行报备，并按交警部门意见完善交通疏导方案，承包人应负责在占道施工路段提供照明、警卫、护栏、警示标志等安全防护措施，所发生费用由承包人在投标报价中综合考虑。</w:t>
      </w:r>
    </w:p>
    <w:p w14:paraId="3EF3F194">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26</w:t>
      </w:r>
      <w:r>
        <w:rPr>
          <w:rFonts w:hint="eastAsia" w:hAnsi="宋体" w:cs="宋体"/>
          <w:color w:val="auto"/>
          <w:kern w:val="0"/>
          <w:highlight w:val="none"/>
          <w:lang w:eastAsia="zh-CN"/>
        </w:rPr>
        <w:t>）</w:t>
      </w:r>
      <w:r>
        <w:rPr>
          <w:rFonts w:hint="eastAsia" w:hAnsi="宋体" w:cs="宋体"/>
          <w:color w:val="auto"/>
          <w:kern w:val="0"/>
          <w:highlight w:val="none"/>
        </w:rPr>
        <w:t>施工场地清洁卫生的要求：由于施工造成的环境污染，其责任和费用均由承包人承担。</w:t>
      </w:r>
    </w:p>
    <w:p w14:paraId="6E684A19">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27</w:t>
      </w:r>
      <w:r>
        <w:rPr>
          <w:rFonts w:hint="eastAsia" w:hAnsi="宋体" w:cs="宋体"/>
          <w:color w:val="auto"/>
          <w:kern w:val="0"/>
          <w:highlight w:val="none"/>
          <w:lang w:eastAsia="zh-CN"/>
        </w:rPr>
        <w:t>）</w:t>
      </w:r>
      <w:r>
        <w:rPr>
          <w:rFonts w:hint="eastAsia" w:hAnsi="宋体" w:cs="宋体"/>
          <w:color w:val="auto"/>
          <w:kern w:val="0"/>
          <w:highlight w:val="none"/>
        </w:rPr>
        <w:t>在办理施工许可手续前，承包人须向银行开设农民工工资支付专用账户，通过银行转账方式，确保按月足额发放农民工工资。</w:t>
      </w:r>
    </w:p>
    <w:p w14:paraId="2095ABBF">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28</w:t>
      </w:r>
      <w:r>
        <w:rPr>
          <w:rFonts w:hint="eastAsia" w:hAnsi="宋体" w:cs="宋体"/>
          <w:color w:val="auto"/>
          <w:kern w:val="0"/>
          <w:highlight w:val="none"/>
          <w:lang w:eastAsia="zh-CN"/>
        </w:rPr>
        <w:t>）</w:t>
      </w:r>
      <w:r>
        <w:rPr>
          <w:rFonts w:hint="eastAsia" w:hAnsi="宋体" w:cs="宋体"/>
          <w:color w:val="auto"/>
          <w:kern w:val="0"/>
          <w:highlight w:val="none"/>
        </w:rPr>
        <w:t>配合发包人做好安全文明宣传、领导检查宣传等工作，相关费用由承包人承担。</w:t>
      </w:r>
    </w:p>
    <w:p w14:paraId="35C71C0C">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29</w:t>
      </w:r>
      <w:r>
        <w:rPr>
          <w:rFonts w:hint="eastAsia" w:hAnsi="宋体" w:cs="宋体"/>
          <w:color w:val="auto"/>
          <w:kern w:val="0"/>
          <w:highlight w:val="none"/>
          <w:lang w:eastAsia="zh-CN"/>
        </w:rPr>
        <w:t>）</w:t>
      </w:r>
      <w:r>
        <w:rPr>
          <w:rFonts w:hint="eastAsia" w:hAnsi="宋体" w:cs="宋体"/>
          <w:color w:val="auto"/>
          <w:kern w:val="0"/>
          <w:highlight w:val="none"/>
        </w:rPr>
        <w:t>发包人对承包人无进度履约能力的部位和部分进行强制分割而形成的相关费用，须及时完善手续，列入承包人成本。发包人需及时组织监理，实施分割作业的队组负责人、承包人代表等对现场形成的费用等共同确认，但承包人人为或故意对此现场费用的缺席确认，并不能免除承包人责任。</w:t>
      </w:r>
    </w:p>
    <w:p w14:paraId="12387BE8">
      <w:pPr>
        <w:spacing w:line="360" w:lineRule="auto"/>
        <w:ind w:firstLine="420" w:firstLineChars="200"/>
        <w:rPr>
          <w:color w:val="auto"/>
          <w:kern w:val="0"/>
          <w:highlight w:val="none"/>
        </w:rPr>
      </w:pPr>
      <w:r>
        <w:rPr>
          <w:rFonts w:hint="eastAsia" w:hAnsi="宋体" w:cs="宋体"/>
          <w:color w:val="auto"/>
          <w:kern w:val="0"/>
          <w:highlight w:val="none"/>
        </w:rPr>
        <w:t>30</w:t>
      </w:r>
      <w:r>
        <w:rPr>
          <w:rFonts w:hint="eastAsia" w:hAnsi="宋体" w:cs="宋体"/>
          <w:color w:val="auto"/>
          <w:kern w:val="0"/>
          <w:highlight w:val="none"/>
          <w:lang w:eastAsia="zh-CN"/>
        </w:rPr>
        <w:t>）</w:t>
      </w:r>
      <w:r>
        <w:rPr>
          <w:rFonts w:hint="eastAsia" w:hAnsi="宋体" w:cs="宋体"/>
          <w:color w:val="auto"/>
          <w:kern w:val="0"/>
          <w:highlight w:val="none"/>
        </w:rPr>
        <w:t>双方约定承包人应做的其他工作：①发包人现场代表或监理工程师应在承包人约定时间到达现场进行隐蔽工程中间验收工作，如果在约定时间超过两小时后工程师未到现场，承包人可拍照发给监理工程师或发包人现场代表，获准后自行隐蔽继续施工。但在约定时间承包人未到现场及超过约定时间两小时，工程师可另定时间验收，承包人不得有异议且承担由此引发的责任。②承包人在签订合同之前已查看了工地及周围的环境，掌握了所有与工程施工有关或对施工有影响的情况，如征地拆迁、道路、交通流量、劳动力的提供范围等。发包人将施工场地移交给承包人后，承包人有责任和义务保护自身合法权益，应对施工场地上发生的一切负责，若发生非政府原因</w:t>
      </w:r>
      <w:r>
        <w:rPr>
          <w:rFonts w:hint="eastAsia" w:hAnsi="宋体" w:cs="宋体"/>
          <w:color w:val="auto"/>
          <w:kern w:val="0"/>
          <w:highlight w:val="none"/>
          <w:lang w:eastAsia="zh-CN"/>
        </w:rPr>
        <w:t>（</w:t>
      </w:r>
      <w:r>
        <w:rPr>
          <w:rFonts w:hint="eastAsia" w:hAnsi="宋体" w:cs="宋体"/>
          <w:color w:val="auto"/>
          <w:kern w:val="0"/>
          <w:highlight w:val="none"/>
        </w:rPr>
        <w:t>如当地居民干扰施工</w:t>
      </w:r>
      <w:r>
        <w:rPr>
          <w:rFonts w:hint="eastAsia" w:hAnsi="宋体" w:cs="宋体"/>
          <w:color w:val="auto"/>
          <w:kern w:val="0"/>
          <w:highlight w:val="none"/>
          <w:lang w:eastAsia="zh-CN"/>
        </w:rPr>
        <w:t>）</w:t>
      </w:r>
      <w:r>
        <w:rPr>
          <w:rFonts w:hint="eastAsia" w:hAnsi="宋体" w:cs="宋体"/>
          <w:color w:val="auto"/>
          <w:kern w:val="0"/>
          <w:highlight w:val="none"/>
        </w:rPr>
        <w:t>，或非发包人原因而影响施工导致工期拖延及财产损失，发包人概不负责，由承包人自行承担</w:t>
      </w:r>
    </w:p>
    <w:p w14:paraId="1BA7E5A3">
      <w:pPr>
        <w:pStyle w:val="5"/>
        <w:rPr>
          <w:color w:val="auto"/>
          <w:highlight w:val="none"/>
        </w:rPr>
      </w:pPr>
      <w:bookmarkStart w:id="427" w:name="_Toc373227708"/>
      <w:bookmarkStart w:id="428" w:name="_Toc78449796"/>
      <w:bookmarkStart w:id="429" w:name="_Toc501741485"/>
      <w:bookmarkStart w:id="430" w:name="_Toc626"/>
      <w:bookmarkStart w:id="431" w:name="_Toc407135210"/>
      <w:bookmarkStart w:id="432" w:name="_Toc373478355"/>
      <w:bookmarkStart w:id="433" w:name="_Toc389065274"/>
      <w:bookmarkStart w:id="434" w:name="_Toc1659520837"/>
      <w:r>
        <w:rPr>
          <w:color w:val="auto"/>
          <w:highlight w:val="none"/>
        </w:rPr>
        <w:t xml:space="preserve">3.2 </w:t>
      </w:r>
      <w:r>
        <w:rPr>
          <w:rFonts w:hint="eastAsia" w:hAnsi="宋体" w:cs="黑体"/>
          <w:color w:val="auto"/>
          <w:highlight w:val="none"/>
        </w:rPr>
        <w:t>项目经理</w:t>
      </w:r>
      <w:bookmarkEnd w:id="427"/>
      <w:bookmarkEnd w:id="428"/>
      <w:bookmarkEnd w:id="429"/>
      <w:bookmarkEnd w:id="430"/>
      <w:bookmarkEnd w:id="431"/>
      <w:bookmarkEnd w:id="432"/>
      <w:bookmarkEnd w:id="433"/>
      <w:bookmarkEnd w:id="434"/>
    </w:p>
    <w:p w14:paraId="03AC37B1">
      <w:pPr>
        <w:spacing w:line="360" w:lineRule="auto"/>
        <w:ind w:firstLine="420" w:firstLineChars="200"/>
        <w:rPr>
          <w:color w:val="auto"/>
          <w:highlight w:val="none"/>
        </w:rPr>
      </w:pPr>
      <w:r>
        <w:rPr>
          <w:color w:val="auto"/>
          <w:kern w:val="0"/>
          <w:highlight w:val="none"/>
        </w:rPr>
        <w:t xml:space="preserve">3.2.1 </w:t>
      </w:r>
      <w:r>
        <w:rPr>
          <w:rFonts w:hint="eastAsia" w:hAnsi="宋体" w:cs="宋体"/>
          <w:color w:val="auto"/>
          <w:highlight w:val="none"/>
        </w:rPr>
        <w:t>项目经理：</w:t>
      </w:r>
    </w:p>
    <w:p w14:paraId="2AF6FC66">
      <w:pPr>
        <w:spacing w:line="360" w:lineRule="auto"/>
        <w:ind w:firstLine="420" w:firstLineChars="200"/>
        <w:rPr>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14360BF6">
      <w:pPr>
        <w:spacing w:line="360" w:lineRule="auto"/>
        <w:ind w:firstLine="420" w:firstLineChars="200"/>
        <w:rPr>
          <w:color w:val="auto"/>
          <w:highlight w:val="none"/>
        </w:rPr>
      </w:pPr>
      <w:r>
        <w:rPr>
          <w:rFonts w:hAnsi="宋体"/>
          <w:color w:val="auto"/>
          <w:highlight w:val="none"/>
        </w:rPr>
        <w:t>身份证号：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5C2FF3AB">
      <w:pPr>
        <w:spacing w:line="360" w:lineRule="auto"/>
        <w:ind w:firstLine="420" w:firstLineChars="200"/>
        <w:rPr>
          <w:color w:val="auto"/>
          <w:highlight w:val="none"/>
        </w:rPr>
      </w:pPr>
      <w:r>
        <w:rPr>
          <w:rFonts w:hAnsi="宋体"/>
          <w:color w:val="auto"/>
          <w:highlight w:val="none"/>
        </w:rPr>
        <w:t>建造师执业资格等级：</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0AC04510">
      <w:pPr>
        <w:spacing w:line="360" w:lineRule="auto"/>
        <w:ind w:firstLine="420" w:firstLineChars="200"/>
        <w:rPr>
          <w:color w:val="auto"/>
          <w:highlight w:val="none"/>
        </w:rPr>
      </w:pPr>
      <w:r>
        <w:rPr>
          <w:rFonts w:hAnsi="宋体"/>
          <w:color w:val="auto"/>
          <w:highlight w:val="none"/>
        </w:rPr>
        <w:t>建造师注册证书号：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247DD13B">
      <w:pPr>
        <w:spacing w:line="360" w:lineRule="auto"/>
        <w:ind w:firstLine="420" w:firstLineChars="200"/>
        <w:rPr>
          <w:rFonts w:hAnsi="宋体"/>
          <w:color w:val="auto"/>
          <w:highlight w:val="none"/>
        </w:rPr>
      </w:pPr>
      <w:r>
        <w:rPr>
          <w:rFonts w:hAnsi="宋体"/>
          <w:color w:val="auto"/>
          <w:highlight w:val="none"/>
        </w:rPr>
        <w:t>安全生产考核合格证书号：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224DDD6A">
      <w:pPr>
        <w:spacing w:line="360" w:lineRule="auto"/>
        <w:ind w:firstLine="420" w:firstLineChars="200"/>
        <w:rPr>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70B63FD6">
      <w:pPr>
        <w:spacing w:line="360" w:lineRule="auto"/>
        <w:ind w:firstLine="420" w:firstLineChars="200"/>
        <w:rPr>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4FE0E99">
      <w:pPr>
        <w:spacing w:line="360" w:lineRule="auto"/>
        <w:ind w:firstLine="420" w:firstLineChars="200"/>
        <w:rPr>
          <w:rFonts w:hint="eastAsia" w:hAnsi="宋体"/>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7C45C8DE">
      <w:pPr>
        <w:keepNext w:val="0"/>
        <w:keepLines w:val="0"/>
        <w:pageBreakBefore w:val="0"/>
        <w:widowControl w:val="0"/>
        <w:kinsoku/>
        <w:wordWrap/>
        <w:overflowPunct/>
        <w:topLinePunct w:val="0"/>
        <w:autoSpaceDE/>
        <w:autoSpaceDN/>
        <w:bidi w:val="0"/>
        <w:spacing w:line="360" w:lineRule="auto"/>
        <w:ind w:firstLine="420" w:firstLineChars="200"/>
        <w:textAlignment w:val="auto"/>
        <w:rPr>
          <w:color w:val="auto"/>
          <w:highlight w:val="none"/>
        </w:rPr>
      </w:pPr>
      <w:r>
        <w:rPr>
          <w:rFonts w:hint="eastAsia" w:hAnsi="宋体" w:cs="宋体"/>
          <w:color w:val="auto"/>
          <w:highlight w:val="none"/>
        </w:rPr>
        <w:t>承包人对项目经理的授权范围如下：</w:t>
      </w:r>
      <w:r>
        <w:rPr>
          <w:color w:val="auto"/>
          <w:highlight w:val="none"/>
          <w:u w:val="single"/>
        </w:rPr>
        <w:t xml:space="preserve"> </w:t>
      </w:r>
      <w:r>
        <w:rPr>
          <w:rFonts w:hint="eastAsia"/>
          <w:color w:val="auto"/>
          <w:highlight w:val="none"/>
          <w:u w:val="single"/>
        </w:rPr>
        <w:t>项目经理仅限于工程的现场施工管理，但未经承包人盖章同意，不得以承包人名义向外采购材料设备、租用建筑周转材料、雇用劳动力、签订分包合同等从事一切为承包人设立义务或责任的行为 ，其他授权以承包人书面授权书为准</w:t>
      </w:r>
      <w:r>
        <w:rPr>
          <w:color w:val="auto"/>
          <w:highlight w:val="none"/>
          <w:u w:val="single"/>
        </w:rPr>
        <w:t xml:space="preserve"> </w:t>
      </w:r>
      <w:r>
        <w:rPr>
          <w:rFonts w:hint="eastAsia" w:hAnsi="宋体" w:cs="宋体"/>
          <w:color w:val="auto"/>
          <w:highlight w:val="none"/>
        </w:rPr>
        <w:t>。</w:t>
      </w:r>
    </w:p>
    <w:p w14:paraId="7A9C33DD">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关于项目经理每月在施工现场的时间要求：</w:t>
      </w:r>
      <w:r>
        <w:rPr>
          <w:color w:val="auto"/>
          <w:highlight w:val="none"/>
          <w:u w:val="single"/>
        </w:rPr>
        <w:t xml:space="preserve"> </w:t>
      </w:r>
      <w:r>
        <w:rPr>
          <w:rFonts w:hint="eastAsia"/>
          <w:color w:val="auto"/>
          <w:highlight w:val="none"/>
          <w:u w:val="single"/>
        </w:rPr>
        <w:t>项目经理无正当理由不得请假，到施工现场的时间每月不少于22天，无论什么理由不到位的，每少到一天支付违约金</w:t>
      </w:r>
      <w:r>
        <w:rPr>
          <w:rFonts w:hint="eastAsia"/>
          <w:color w:val="auto"/>
          <w:highlight w:val="none"/>
          <w:u w:val="single"/>
          <w:lang w:val="en-US" w:eastAsia="zh-CN"/>
        </w:rPr>
        <w:t>2</w:t>
      </w:r>
      <w:r>
        <w:rPr>
          <w:rFonts w:hint="eastAsia"/>
          <w:color w:val="auto"/>
          <w:highlight w:val="none"/>
          <w:u w:val="single"/>
        </w:rPr>
        <w:t>00元</w:t>
      </w:r>
      <w:r>
        <w:rPr>
          <w:rFonts w:hint="eastAsia"/>
          <w:color w:val="auto"/>
          <w:highlight w:val="none"/>
          <w:u w:val="single"/>
          <w:lang w:eastAsia="zh-CN"/>
        </w:rPr>
        <w:t>（</w:t>
      </w:r>
      <w:r>
        <w:rPr>
          <w:rFonts w:hint="eastAsia"/>
          <w:color w:val="auto"/>
          <w:highlight w:val="none"/>
          <w:u w:val="single"/>
        </w:rPr>
        <w:t>人民币</w:t>
      </w:r>
      <w:r>
        <w:rPr>
          <w:rFonts w:hint="eastAsia"/>
          <w:color w:val="auto"/>
          <w:highlight w:val="none"/>
          <w:u w:val="single"/>
          <w:lang w:eastAsia="zh-CN"/>
        </w:rPr>
        <w:t>）</w:t>
      </w:r>
      <w:r>
        <w:rPr>
          <w:rFonts w:hint="eastAsia"/>
          <w:color w:val="auto"/>
          <w:highlight w:val="none"/>
          <w:u w:val="single"/>
        </w:rPr>
        <w:t>，违约金须当月向发包人缴清，否则发包人有权延期支付当月工程进度款</w:t>
      </w:r>
      <w:r>
        <w:rPr>
          <w:rFonts w:hint="eastAsia"/>
          <w:color w:val="auto"/>
          <w:highlight w:val="none"/>
          <w:u w:val="single"/>
          <w:lang w:eastAsia="zh-CN"/>
        </w:rPr>
        <w:t>（</w:t>
      </w:r>
      <w:r>
        <w:rPr>
          <w:rFonts w:hint="eastAsia"/>
          <w:color w:val="auto"/>
          <w:highlight w:val="none"/>
          <w:u w:val="single"/>
        </w:rPr>
        <w:t>由发包人现场代表或监理人员以现场签到的形式确认项目经理到场天数</w:t>
      </w:r>
      <w:r>
        <w:rPr>
          <w:rFonts w:hint="eastAsia"/>
          <w:color w:val="auto"/>
          <w:highlight w:val="none"/>
          <w:u w:val="single"/>
          <w:lang w:eastAsia="zh-CN"/>
        </w:rPr>
        <w:t>）</w:t>
      </w:r>
      <w:r>
        <w:rPr>
          <w:rFonts w:hint="eastAsia"/>
          <w:color w:val="auto"/>
          <w:highlight w:val="none"/>
          <w:u w:val="single"/>
        </w:rPr>
        <w:t xml:space="preserve">，并不承担违约责任。项目经理无故连续七天不到的，发包人将本项目视为挂靠工程，有权解除合同并没收履约保证金，同时发包人有权向承包人追索因此造成的实际损失 </w:t>
      </w:r>
      <w:r>
        <w:rPr>
          <w:rFonts w:hint="eastAsia" w:hAnsi="宋体" w:cs="宋体"/>
          <w:color w:val="auto"/>
          <w:highlight w:val="none"/>
        </w:rPr>
        <w:t>。</w:t>
      </w:r>
    </w:p>
    <w:p w14:paraId="1F8C8860">
      <w:pPr>
        <w:keepNext w:val="0"/>
        <w:keepLines w:val="0"/>
        <w:pageBreakBefore w:val="0"/>
        <w:widowControl w:val="0"/>
        <w:kinsoku/>
        <w:wordWrap/>
        <w:overflowPunct/>
        <w:topLinePunct w:val="0"/>
        <w:autoSpaceDE/>
        <w:autoSpaceDN/>
        <w:bidi w:val="0"/>
        <w:spacing w:line="360" w:lineRule="auto"/>
        <w:ind w:firstLine="420" w:firstLineChars="200"/>
        <w:textAlignment w:val="auto"/>
        <w:rPr>
          <w:color w:val="auto"/>
          <w:kern w:val="0"/>
          <w:highlight w:val="none"/>
        </w:rPr>
      </w:pPr>
      <w:r>
        <w:rPr>
          <w:rFonts w:hint="eastAsia" w:hAnsi="宋体" w:cs="宋体"/>
          <w:color w:val="auto"/>
          <w:kern w:val="0"/>
          <w:highlight w:val="none"/>
        </w:rPr>
        <w:t>承包人未提交劳动合同，以及没有为项目经理缴纳社会保险证明的违约责任：</w:t>
      </w:r>
      <w:r>
        <w:rPr>
          <w:rFonts w:hint="eastAsia"/>
          <w:color w:val="auto"/>
          <w:highlight w:val="none"/>
          <w:u w:val="single"/>
        </w:rPr>
        <w:t>发包人有权对承包人处违约金1万元，并按照相关规定报行政主管部门处理</w:t>
      </w:r>
      <w:r>
        <w:rPr>
          <w:rFonts w:hint="eastAsia" w:hAnsi="宋体"/>
          <w:color w:val="auto"/>
          <w:highlight w:val="none"/>
          <w:u w:val="single"/>
        </w:rPr>
        <w:t xml:space="preserve"> </w:t>
      </w:r>
      <w:r>
        <w:rPr>
          <w:rFonts w:hint="eastAsia" w:hAnsi="宋体" w:cs="宋体"/>
          <w:color w:val="auto"/>
          <w:highlight w:val="none"/>
        </w:rPr>
        <w:t>。</w:t>
      </w:r>
    </w:p>
    <w:p w14:paraId="7A2E3FE8">
      <w:pPr>
        <w:keepNext w:val="0"/>
        <w:keepLines w:val="0"/>
        <w:pageBreakBefore w:val="0"/>
        <w:widowControl w:val="0"/>
        <w:kinsoku/>
        <w:wordWrap/>
        <w:overflowPunct/>
        <w:topLinePunct w:val="0"/>
        <w:autoSpaceDE/>
        <w:autoSpaceDN/>
        <w:bidi w:val="0"/>
        <w:spacing w:line="360" w:lineRule="auto"/>
        <w:ind w:firstLine="420" w:firstLineChars="200"/>
        <w:textAlignment w:val="auto"/>
        <w:rPr>
          <w:color w:val="auto"/>
          <w:highlight w:val="none"/>
          <w:u w:val="single"/>
        </w:rPr>
      </w:pPr>
      <w:r>
        <w:rPr>
          <w:rFonts w:hint="eastAsia" w:hAnsi="宋体" w:cs="宋体"/>
          <w:color w:val="auto"/>
          <w:kern w:val="0"/>
          <w:highlight w:val="none"/>
        </w:rPr>
        <w:t>项目经理未经批准，擅自离开施工现场的违约责任：</w:t>
      </w:r>
      <w:r>
        <w:rPr>
          <w:rFonts w:hint="eastAsia" w:hAnsi="宋体" w:cs="宋体"/>
          <w:color w:val="auto"/>
          <w:highlight w:val="none"/>
          <w:u w:val="single"/>
        </w:rPr>
        <w:t>项目经理每月在岗带班时间不得少于当月施工时间的</w:t>
      </w:r>
      <w:r>
        <w:rPr>
          <w:rFonts w:hAnsi="宋体"/>
          <w:color w:val="auto"/>
          <w:highlight w:val="none"/>
          <w:u w:val="single"/>
        </w:rPr>
        <w:t>80%</w:t>
      </w:r>
      <w:r>
        <w:rPr>
          <w:rFonts w:hint="eastAsia" w:hAnsi="宋体" w:cs="宋体"/>
          <w:color w:val="auto"/>
          <w:highlight w:val="none"/>
          <w:u w:val="single"/>
        </w:rPr>
        <w:t>。未经发包人同意或正当理由，项目经理每月在岗带班时间少于当月施工时间</w:t>
      </w:r>
      <w:r>
        <w:rPr>
          <w:rFonts w:hAnsi="宋体"/>
          <w:color w:val="auto"/>
          <w:highlight w:val="none"/>
          <w:u w:val="single"/>
        </w:rPr>
        <w:t>80%</w:t>
      </w:r>
      <w:r>
        <w:rPr>
          <w:rFonts w:hint="eastAsia" w:hAnsi="宋体" w:cs="宋体"/>
          <w:color w:val="auto"/>
          <w:highlight w:val="none"/>
          <w:u w:val="single"/>
        </w:rPr>
        <w:t>的，少在岗带班一天，发包人有权处违约金</w:t>
      </w:r>
      <w:r>
        <w:rPr>
          <w:rFonts w:hint="eastAsia"/>
          <w:color w:val="auto"/>
          <w:highlight w:val="none"/>
          <w:u w:val="single"/>
          <w:lang w:val="en-US" w:eastAsia="zh-CN"/>
        </w:rPr>
        <w:t>500</w:t>
      </w:r>
      <w:r>
        <w:rPr>
          <w:rFonts w:hint="eastAsia" w:hAnsi="宋体" w:cs="宋体"/>
          <w:color w:val="auto"/>
          <w:highlight w:val="none"/>
          <w:u w:val="single"/>
        </w:rPr>
        <w:t>元</w:t>
      </w:r>
      <w:r>
        <w:rPr>
          <w:color w:val="auto"/>
          <w:highlight w:val="none"/>
          <w:u w:val="single"/>
        </w:rPr>
        <w:t>/</w:t>
      </w:r>
      <w:r>
        <w:rPr>
          <w:rFonts w:hint="eastAsia" w:cs="宋体"/>
          <w:color w:val="auto"/>
          <w:highlight w:val="none"/>
          <w:u w:val="single"/>
        </w:rPr>
        <w:t>日（</w:t>
      </w:r>
      <w:r>
        <w:rPr>
          <w:rFonts w:hint="eastAsia" w:hAnsi="宋体" w:cs="宋体"/>
          <w:color w:val="auto"/>
          <w:highlight w:val="none"/>
          <w:u w:val="single"/>
        </w:rPr>
        <w:t>人民币</w:t>
      </w:r>
      <w:r>
        <w:rPr>
          <w:rFonts w:hint="eastAsia" w:cs="宋体"/>
          <w:color w:val="auto"/>
          <w:highlight w:val="none"/>
          <w:u w:val="single"/>
        </w:rPr>
        <w:t>）</w:t>
      </w:r>
      <w:r>
        <w:rPr>
          <w:color w:val="auto"/>
          <w:highlight w:val="none"/>
          <w:u w:val="single"/>
        </w:rPr>
        <w:t xml:space="preserve">  </w:t>
      </w:r>
      <w:r>
        <w:rPr>
          <w:rFonts w:hint="eastAsia" w:hAnsi="宋体" w:cs="宋体"/>
          <w:color w:val="auto"/>
          <w:highlight w:val="none"/>
        </w:rPr>
        <w:t>。</w:t>
      </w:r>
    </w:p>
    <w:p w14:paraId="268DC0F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Times New Roman" w:hAnsi="Times New Roman" w:eastAsia="宋体" w:cs="Times New Roman"/>
          <w:color w:val="auto"/>
          <w:highlight w:val="none"/>
        </w:rPr>
      </w:pPr>
      <w:r>
        <w:rPr>
          <w:color w:val="auto"/>
          <w:highlight w:val="none"/>
        </w:rPr>
        <w:t xml:space="preserve">3.2.3 </w:t>
      </w:r>
      <w:r>
        <w:rPr>
          <w:rFonts w:hint="eastAsia" w:hAnsi="宋体" w:cs="宋体"/>
          <w:color w:val="auto"/>
          <w:highlight w:val="none"/>
        </w:rPr>
        <w:t>承包人擅自更换项目经理的违约责任：</w:t>
      </w:r>
      <w:r>
        <w:rPr>
          <w:rFonts w:hint="eastAsia" w:hAnsi="宋体" w:cs="宋体"/>
          <w:color w:val="auto"/>
          <w:highlight w:val="none"/>
          <w:u w:val="single"/>
        </w:rPr>
        <w:t>承包人项目经理必须与承包人投标时所承诺的人员一致，并在</w:t>
      </w:r>
      <w:r>
        <w:rPr>
          <w:color w:val="auto"/>
          <w:highlight w:val="none"/>
          <w:u w:val="single"/>
        </w:rPr>
        <w:t xml:space="preserve">  </w:t>
      </w:r>
      <w:r>
        <w:rPr>
          <w:rFonts w:hint="eastAsia" w:hAnsi="宋体" w:cs="宋体"/>
          <w:color w:val="auto"/>
          <w:highlight w:val="none"/>
          <w:u w:val="single"/>
        </w:rPr>
        <w:t>（开工日期）</w:t>
      </w:r>
      <w:r>
        <w:rPr>
          <w:color w:val="auto"/>
          <w:highlight w:val="none"/>
          <w:u w:val="single"/>
        </w:rPr>
        <w:t xml:space="preserve">  </w:t>
      </w:r>
      <w:r>
        <w:rPr>
          <w:rFonts w:hint="eastAsia" w:hAnsi="宋体" w:cs="宋体"/>
          <w:color w:val="auto"/>
          <w:highlight w:val="none"/>
          <w:u w:val="single"/>
        </w:rPr>
        <w:t>前到</w:t>
      </w:r>
      <w:r>
        <w:rPr>
          <w:rFonts w:hint="default" w:ascii="Times New Roman" w:hAnsi="Times New Roman" w:eastAsia="宋体" w:cs="Times New Roman"/>
          <w:color w:val="auto"/>
          <w:highlight w:val="none"/>
          <w:u w:val="none"/>
        </w:rPr>
        <w:t>任。在监理人向承包人颁发</w:t>
      </w:r>
      <w:r>
        <w:rPr>
          <w:rFonts w:ascii="Times New Roman" w:hAnsi="Times New Roman" w:eastAsia="宋体" w:cs="Times New Roman"/>
          <w:color w:val="auto"/>
          <w:highlight w:val="none"/>
          <w:u w:val="none"/>
        </w:rPr>
        <w:t xml:space="preserve"> </w:t>
      </w:r>
      <w:r>
        <w:rPr>
          <w:rFonts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u w:val="single"/>
        </w:rPr>
        <w:t>（竣工证明材料名称）</w:t>
      </w:r>
      <w:r>
        <w:rPr>
          <w:rFonts w:ascii="Times New Roman" w:hAnsi="Times New Roman" w:eastAsia="宋体" w:cs="Times New Roman"/>
          <w:color w:val="auto"/>
          <w:highlight w:val="none"/>
          <w:u w:val="single"/>
        </w:rPr>
        <w:t xml:space="preserve">   </w:t>
      </w:r>
      <w:r>
        <w:rPr>
          <w:rFonts w:ascii="Times New Roman" w:hAnsi="Times New Roman" w:eastAsia="宋体" w:cs="Times New Roman"/>
          <w:color w:val="auto"/>
          <w:highlight w:val="none"/>
          <w:u w:val="none"/>
        </w:rPr>
        <w:t xml:space="preserve"> </w:t>
      </w:r>
      <w:r>
        <w:rPr>
          <w:rFonts w:hint="default" w:ascii="Times New Roman" w:hAnsi="Times New Roman" w:eastAsia="宋体" w:cs="Times New Roman"/>
          <w:color w:val="auto"/>
          <w:highlight w:val="none"/>
          <w:u w:val="none"/>
        </w:rPr>
        <w:t>前，项目经理不得同时兼任其他任何项目的项目经理</w:t>
      </w:r>
      <w:r>
        <w:rPr>
          <w:rFonts w:hint="default" w:ascii="Times New Roman" w:hAnsi="Times New Roman" w:eastAsia="宋体" w:cs="Times New Roman"/>
          <w:color w:val="auto"/>
          <w:kern w:val="2"/>
          <w:highlight w:val="none"/>
          <w:u w:val="none"/>
        </w:rPr>
        <w:t>（</w:t>
      </w:r>
      <w:r>
        <w:rPr>
          <w:rFonts w:hint="default" w:ascii="Times New Roman" w:hAnsi="Times New Roman" w:eastAsia="宋体" w:cs="Times New Roman"/>
          <w:color w:val="auto"/>
          <w:kern w:val="2"/>
          <w:highlight w:val="none"/>
          <w:u w:val="none"/>
          <w:lang w:eastAsia="zh-CN"/>
        </w:rPr>
        <w:t>符合</w:t>
      </w:r>
      <w:r>
        <w:rPr>
          <w:rFonts w:hint="default" w:ascii="Times New Roman" w:hAnsi="Times New Roman" w:eastAsia="宋体" w:cs="Times New Roman"/>
          <w:color w:val="auto"/>
          <w:highlight w:val="none"/>
        </w:rPr>
        <w:t>《广西壮族自治区建筑市场诚信卡管理暂行办法》第十六条第一款及桂建管</w:t>
      </w:r>
      <w:r>
        <w:rPr>
          <w:rFonts w:ascii="Times New Roman" w:hAnsi="Times New Roman" w:eastAsia="宋体" w:cs="Times New Roman"/>
          <w:color w:val="auto"/>
          <w:highlight w:val="none"/>
        </w:rPr>
        <w:t>﹝</w:t>
      </w:r>
      <w:r>
        <w:rPr>
          <w:rFonts w:hint="default" w:ascii="Times New Roman" w:hAnsi="Times New Roman" w:eastAsia="宋体" w:cs="Times New Roman"/>
          <w:color w:val="auto"/>
          <w:kern w:val="2"/>
          <w:highlight w:val="none"/>
        </w:rPr>
        <w:t>2016</w:t>
      </w:r>
      <w:r>
        <w:rPr>
          <w:rFonts w:ascii="Times New Roman" w:hAnsi="Times New Roman" w:eastAsia="宋体" w:cs="Times New Roman"/>
          <w:color w:val="auto"/>
          <w:highlight w:val="none"/>
        </w:rPr>
        <w:t>﹞</w:t>
      </w:r>
      <w:r>
        <w:rPr>
          <w:rFonts w:hint="default" w:ascii="Times New Roman" w:hAnsi="Times New Roman" w:eastAsia="宋体" w:cs="Times New Roman"/>
          <w:color w:val="auto"/>
          <w:highlight w:val="none"/>
        </w:rPr>
        <w:t>70号</w:t>
      </w:r>
      <w:r>
        <w:rPr>
          <w:rFonts w:hint="default" w:ascii="Times New Roman" w:hAnsi="Times New Roman" w:eastAsia="宋体" w:cs="Times New Roman"/>
          <w:color w:val="auto"/>
          <w:highlight w:val="none"/>
          <w:u w:val="none"/>
          <w:lang w:eastAsia="zh-CN"/>
        </w:rPr>
        <w:t>、</w:t>
      </w:r>
      <w:r>
        <w:rPr>
          <w:rFonts w:hint="default" w:ascii="Times New Roman" w:hAnsi="Times New Roman" w:eastAsia="宋体" w:cs="Times New Roman"/>
          <w:color w:val="auto"/>
          <w:sz w:val="21"/>
          <w:szCs w:val="21"/>
          <w:highlight w:val="none"/>
          <w:u w:val="none"/>
        </w:rPr>
        <w:t>桂建管〔2020〕11号</w:t>
      </w:r>
      <w:r>
        <w:rPr>
          <w:rFonts w:hint="default" w:ascii="Times New Roman" w:hAnsi="Times New Roman" w:eastAsia="宋体" w:cs="Times New Roman"/>
          <w:color w:val="auto"/>
          <w:kern w:val="2"/>
          <w:highlight w:val="none"/>
          <w:u w:val="none"/>
        </w:rPr>
        <w:t>文除外）</w:t>
      </w:r>
      <w:r>
        <w:rPr>
          <w:rFonts w:hint="default" w:ascii="Times New Roman" w:hAnsi="Times New Roman" w:eastAsia="宋体" w:cs="Times New Roman"/>
          <w:color w:val="auto"/>
          <w:highlight w:val="none"/>
          <w:u w:val="none"/>
        </w:rPr>
        <w:t>。未经发包人书面同意，承包人擅自更换项目经理的视为违约，违约金处</w:t>
      </w:r>
      <w:r>
        <w:rPr>
          <w:rFonts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u w:val="single"/>
          <w:lang w:val="en-US" w:eastAsia="zh-CN"/>
        </w:rPr>
        <w:t>500</w:t>
      </w:r>
      <w:r>
        <w:rPr>
          <w:rFonts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u w:val="none"/>
        </w:rPr>
        <w:t>元</w:t>
      </w:r>
      <w:r>
        <w:rPr>
          <w:rFonts w:ascii="Times New Roman" w:hAnsi="Times New Roman" w:eastAsia="宋体" w:cs="Times New Roman"/>
          <w:color w:val="auto"/>
          <w:highlight w:val="none"/>
          <w:u w:val="none"/>
        </w:rPr>
        <w:t>/</w:t>
      </w:r>
      <w:r>
        <w:rPr>
          <w:rFonts w:hint="default" w:ascii="Times New Roman" w:hAnsi="Times New Roman" w:eastAsia="宋体" w:cs="Times New Roman"/>
          <w:color w:val="auto"/>
          <w:highlight w:val="none"/>
          <w:u w:val="none"/>
        </w:rPr>
        <w:t>人</w:t>
      </w:r>
      <w:r>
        <w:rPr>
          <w:rFonts w:ascii="Times New Roman" w:hAnsi="Times New Roman" w:eastAsia="宋体" w:cs="Times New Roman"/>
          <w:color w:val="auto"/>
          <w:highlight w:val="none"/>
          <w:u w:val="none"/>
        </w:rPr>
        <w:t>•</w:t>
      </w:r>
      <w:r>
        <w:rPr>
          <w:rFonts w:hint="default" w:ascii="Times New Roman" w:hAnsi="Times New Roman" w:eastAsia="宋体" w:cs="Times New Roman"/>
          <w:color w:val="auto"/>
          <w:highlight w:val="none"/>
          <w:u w:val="none"/>
        </w:rPr>
        <w:t>次（人民币）</w:t>
      </w:r>
      <w:r>
        <w:rPr>
          <w:rFonts w:hint="default" w:ascii="Times New Roman" w:hAnsi="Times New Roman" w:eastAsia="宋体" w:cs="Times New Roman"/>
          <w:color w:val="auto"/>
          <w:highlight w:val="none"/>
        </w:rPr>
        <w:t>。</w:t>
      </w:r>
    </w:p>
    <w:p w14:paraId="22288FD1">
      <w:pPr>
        <w:keepNext w:val="0"/>
        <w:keepLines w:val="0"/>
        <w:pageBreakBefore w:val="0"/>
        <w:widowControl w:val="0"/>
        <w:kinsoku/>
        <w:wordWrap/>
        <w:overflowPunct/>
        <w:topLinePunct w:val="0"/>
        <w:autoSpaceDE/>
        <w:autoSpaceDN/>
        <w:bidi w:val="0"/>
        <w:spacing w:line="360" w:lineRule="auto"/>
        <w:ind w:firstLine="420" w:firstLineChars="200"/>
        <w:textAlignment w:val="auto"/>
        <w:rPr>
          <w:color w:val="auto"/>
          <w:highlight w:val="none"/>
        </w:rPr>
      </w:pPr>
      <w:r>
        <w:rPr>
          <w:color w:val="auto"/>
          <w:highlight w:val="none"/>
        </w:rPr>
        <w:t xml:space="preserve">3.2.4 </w:t>
      </w:r>
      <w:r>
        <w:rPr>
          <w:rFonts w:hint="eastAsia" w:hAnsi="宋体" w:cs="宋体"/>
          <w:color w:val="auto"/>
          <w:highlight w:val="none"/>
        </w:rPr>
        <w:t>承包人无正当理由拒绝更换项目经理的违约责任：</w:t>
      </w:r>
      <w:r>
        <w:rPr>
          <w:rFonts w:hint="eastAsia" w:hAnsi="宋体" w:cs="宋体"/>
          <w:color w:val="auto"/>
          <w:highlight w:val="none"/>
          <w:u w:val="single"/>
        </w:rPr>
        <w:t>因承包人项目经理不称职，发包人要求调换而未及时调换的，视为承包人违约，必须向发包人交纳处罚金</w:t>
      </w:r>
      <w:r>
        <w:rPr>
          <w:rFonts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u w:val="single"/>
          <w:lang w:val="en-US" w:eastAsia="zh-CN"/>
        </w:rPr>
        <w:t>500</w:t>
      </w:r>
      <w:r>
        <w:rPr>
          <w:rFonts w:ascii="Times New Roman" w:hAnsi="Times New Roman" w:eastAsia="宋体" w:cs="Times New Roman"/>
          <w:color w:val="auto"/>
          <w:highlight w:val="none"/>
          <w:u w:val="single"/>
        </w:rPr>
        <w:t xml:space="preserve"> </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rPr>
        <w:t>。</w:t>
      </w:r>
    </w:p>
    <w:p w14:paraId="6A47585A">
      <w:pPr>
        <w:pStyle w:val="5"/>
        <w:rPr>
          <w:color w:val="auto"/>
          <w:highlight w:val="none"/>
        </w:rPr>
      </w:pPr>
      <w:bookmarkStart w:id="435" w:name="_Toc389065275"/>
      <w:bookmarkStart w:id="436" w:name="_Toc1443830486"/>
      <w:bookmarkStart w:id="437" w:name="_Toc373478356"/>
      <w:bookmarkStart w:id="438" w:name="_Toc78449797"/>
      <w:bookmarkStart w:id="439" w:name="_Toc21200"/>
      <w:bookmarkStart w:id="440" w:name="_Toc373227709"/>
      <w:bookmarkStart w:id="441" w:name="_Toc747710271"/>
      <w:bookmarkStart w:id="442" w:name="_Toc407135211"/>
      <w:r>
        <w:rPr>
          <w:color w:val="auto"/>
          <w:highlight w:val="none"/>
        </w:rPr>
        <w:t xml:space="preserve">3.3 </w:t>
      </w:r>
      <w:r>
        <w:rPr>
          <w:rFonts w:hint="eastAsia" w:hAnsi="宋体" w:cs="黑体"/>
          <w:color w:val="auto"/>
          <w:highlight w:val="none"/>
        </w:rPr>
        <w:t>承包人人员</w:t>
      </w:r>
      <w:bookmarkEnd w:id="435"/>
      <w:bookmarkEnd w:id="436"/>
      <w:bookmarkEnd w:id="437"/>
      <w:bookmarkEnd w:id="438"/>
      <w:bookmarkEnd w:id="439"/>
      <w:bookmarkEnd w:id="440"/>
      <w:bookmarkEnd w:id="441"/>
      <w:bookmarkEnd w:id="442"/>
    </w:p>
    <w:p w14:paraId="0A9C83E5">
      <w:pPr>
        <w:spacing w:line="360" w:lineRule="auto"/>
        <w:ind w:firstLine="420" w:firstLineChars="200"/>
        <w:rPr>
          <w:rFonts w:hAnsi="宋体"/>
          <w:color w:val="auto"/>
          <w:highlight w:val="none"/>
        </w:rPr>
      </w:pPr>
      <w:r>
        <w:rPr>
          <w:color w:val="auto"/>
          <w:highlight w:val="none"/>
        </w:rPr>
        <w:t xml:space="preserve">3.3.1 </w:t>
      </w:r>
      <w:r>
        <w:rPr>
          <w:rFonts w:hint="eastAsia" w:hAnsi="宋体" w:cs="宋体"/>
          <w:color w:val="auto"/>
          <w:highlight w:val="none"/>
        </w:rPr>
        <w:t>承包人提交项目管理机构及施工现场管理人员安排报告（格式见合同附件</w:t>
      </w:r>
      <w:r>
        <w:rPr>
          <w:rFonts w:hint="eastAsia" w:hAnsi="宋体"/>
          <w:color w:val="auto"/>
          <w:highlight w:val="none"/>
        </w:rPr>
        <w:t>5</w:t>
      </w:r>
      <w:r>
        <w:rPr>
          <w:rFonts w:hint="eastAsia" w:hAnsi="宋体" w:cs="宋体"/>
          <w:color w:val="auto"/>
          <w:highlight w:val="none"/>
        </w:rPr>
        <w:t>）的期限：</w:t>
      </w:r>
    </w:p>
    <w:p w14:paraId="415BF8DE">
      <w:pPr>
        <w:spacing w:line="360" w:lineRule="auto"/>
        <w:rPr>
          <w:color w:val="auto"/>
          <w:highlight w:val="none"/>
        </w:rPr>
      </w:pPr>
      <w:r>
        <w:rPr>
          <w:color w:val="auto"/>
          <w:highlight w:val="none"/>
          <w:u w:val="single"/>
        </w:rPr>
        <w:t xml:space="preserve"> </w:t>
      </w:r>
      <w:r>
        <w:rPr>
          <w:rFonts w:hint="eastAsia"/>
          <w:color w:val="auto"/>
          <w:highlight w:val="none"/>
          <w:u w:val="single"/>
        </w:rPr>
        <w:t>开工前 7 日内</w:t>
      </w:r>
      <w:r>
        <w:rPr>
          <w:color w:val="auto"/>
          <w:highlight w:val="none"/>
          <w:u w:val="single"/>
        </w:rPr>
        <w:t xml:space="preserve"> </w:t>
      </w:r>
      <w:r>
        <w:rPr>
          <w:rFonts w:hint="eastAsia" w:hAnsi="宋体" w:cs="宋体"/>
          <w:color w:val="auto"/>
          <w:highlight w:val="none"/>
        </w:rPr>
        <w:t>。</w:t>
      </w:r>
    </w:p>
    <w:p w14:paraId="59E0F559">
      <w:pPr>
        <w:spacing w:line="360" w:lineRule="auto"/>
        <w:ind w:firstLine="420" w:firstLineChars="200"/>
        <w:rPr>
          <w:color w:val="auto"/>
          <w:highlight w:val="none"/>
        </w:rPr>
      </w:pPr>
      <w:r>
        <w:rPr>
          <w:color w:val="auto"/>
          <w:highlight w:val="none"/>
        </w:rPr>
        <w:t xml:space="preserve">3.3.3 </w:t>
      </w:r>
      <w:r>
        <w:rPr>
          <w:rFonts w:hint="eastAsia" w:hAnsi="宋体" w:cs="宋体"/>
          <w:color w:val="auto"/>
          <w:highlight w:val="none"/>
        </w:rPr>
        <w:t>承包人无正当理由拒绝撤换主要施工管理人员的违约责任：</w:t>
      </w:r>
      <w:r>
        <w:rPr>
          <w:rFonts w:hint="eastAsia" w:hAnsi="宋体" w:cs="宋体"/>
          <w:color w:val="auto"/>
          <w:highlight w:val="none"/>
          <w:u w:val="single"/>
        </w:rPr>
        <w:t>因承包人主要施工管理人员不称职，发包人要求调换而无正当理由拒绝撤换或未及时调换的，视为承包人违约，必须向发包人交纳处罚金，处罚标准：技术负责人</w:t>
      </w:r>
      <w:r>
        <w:rPr>
          <w:rFonts w:hint="eastAsia"/>
          <w:color w:val="auto"/>
          <w:highlight w:val="none"/>
          <w:u w:val="single"/>
          <w:lang w:val="en-US" w:eastAsia="zh-CN"/>
        </w:rPr>
        <w:t>3000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；专业工程师</w:t>
      </w:r>
      <w:r>
        <w:rPr>
          <w:rFonts w:hint="eastAsia"/>
          <w:color w:val="auto"/>
          <w:highlight w:val="none"/>
          <w:u w:val="single"/>
          <w:lang w:val="en-US" w:eastAsia="zh-CN"/>
        </w:rPr>
        <w:t>3000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rPr>
        <w:t>。</w:t>
      </w:r>
    </w:p>
    <w:p w14:paraId="575C9594">
      <w:pPr>
        <w:spacing w:line="360" w:lineRule="auto"/>
        <w:ind w:firstLine="420" w:firstLineChars="200"/>
        <w:rPr>
          <w:color w:val="auto"/>
          <w:highlight w:val="none"/>
          <w:u w:val="single"/>
        </w:rPr>
      </w:pPr>
      <w:r>
        <w:rPr>
          <w:color w:val="auto"/>
          <w:highlight w:val="none"/>
        </w:rPr>
        <w:t xml:space="preserve">3.3.4 </w:t>
      </w:r>
      <w:r>
        <w:rPr>
          <w:rFonts w:hint="eastAsia" w:hAnsi="宋体" w:cs="宋体"/>
          <w:color w:val="auto"/>
          <w:highlight w:val="none"/>
        </w:rPr>
        <w:t>承包人主要施工管理人员离开施工现场的批准要求：</w:t>
      </w:r>
      <w:r>
        <w:rPr>
          <w:color w:val="auto"/>
          <w:highlight w:val="none"/>
          <w:u w:val="single"/>
        </w:rPr>
        <w:t xml:space="preserve"> </w:t>
      </w:r>
      <w:r>
        <w:rPr>
          <w:rFonts w:hint="eastAsia"/>
          <w:color w:val="auto"/>
          <w:highlight w:val="none"/>
          <w:u w:val="single"/>
        </w:rPr>
        <w:t>由总监理工程师批准，发包人认可后方可离开</w:t>
      </w:r>
      <w:r>
        <w:rPr>
          <w:color w:val="auto"/>
          <w:highlight w:val="none"/>
          <w:u w:val="single"/>
        </w:rPr>
        <w:t xml:space="preserve"> </w:t>
      </w:r>
      <w:r>
        <w:rPr>
          <w:rFonts w:hint="eastAsia" w:hAnsi="宋体" w:cs="宋体"/>
          <w:color w:val="auto"/>
          <w:highlight w:val="none"/>
        </w:rPr>
        <w:t>。</w:t>
      </w:r>
    </w:p>
    <w:p w14:paraId="0248B70D">
      <w:pPr>
        <w:spacing w:line="360" w:lineRule="auto"/>
        <w:ind w:firstLine="420" w:firstLineChars="200"/>
        <w:rPr>
          <w:color w:val="auto"/>
          <w:highlight w:val="none"/>
        </w:rPr>
      </w:pPr>
      <w:r>
        <w:rPr>
          <w:color w:val="auto"/>
          <w:highlight w:val="none"/>
        </w:rPr>
        <w:t xml:space="preserve">3.3.5 </w:t>
      </w:r>
      <w:r>
        <w:rPr>
          <w:rFonts w:hint="eastAsia" w:hAnsi="宋体" w:cs="宋体"/>
          <w:color w:val="auto"/>
          <w:highlight w:val="none"/>
        </w:rPr>
        <w:t>承包人擅自更换主要施工管理人员的违约责任：</w:t>
      </w:r>
      <w:r>
        <w:rPr>
          <w:rFonts w:hint="eastAsia" w:hAnsi="宋体" w:cs="宋体"/>
          <w:color w:val="auto"/>
          <w:highlight w:val="none"/>
          <w:u w:val="single"/>
        </w:rPr>
        <w:t>项目技术负责人、专职安全生产管理人员及其承诺的其它在场管理人员未经发包人书面同意不准擅自更换，擅自更换项目技术负责人处</w:t>
      </w:r>
      <w:r>
        <w:rPr>
          <w:rFonts w:hint="eastAsia"/>
          <w:color w:val="auto"/>
          <w:highlight w:val="none"/>
          <w:u w:val="single"/>
          <w:lang w:val="en-US" w:eastAsia="zh-CN"/>
        </w:rPr>
        <w:t>3000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违约金；擅自更换专职安全生产管理人员处</w:t>
      </w:r>
      <w:r>
        <w:rPr>
          <w:rFonts w:hint="eastAsia"/>
          <w:color w:val="auto"/>
          <w:highlight w:val="none"/>
          <w:u w:val="single"/>
          <w:lang w:val="en-US" w:eastAsia="zh-CN"/>
        </w:rPr>
        <w:t>3000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违约金；擅自更换其它在场管理人员处</w:t>
      </w:r>
      <w:r>
        <w:rPr>
          <w:rFonts w:hint="eastAsia"/>
          <w:color w:val="auto"/>
          <w:highlight w:val="none"/>
          <w:u w:val="single"/>
          <w:lang w:val="en-US" w:eastAsia="zh-CN"/>
        </w:rPr>
        <w:t>3000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违约金</w:t>
      </w:r>
      <w:r>
        <w:rPr>
          <w:rFonts w:hint="eastAsia" w:hAnsi="宋体" w:cs="宋体"/>
          <w:color w:val="auto"/>
          <w:highlight w:val="none"/>
        </w:rPr>
        <w:t>。</w:t>
      </w:r>
    </w:p>
    <w:p w14:paraId="46B3FCBE">
      <w:pPr>
        <w:spacing w:line="360" w:lineRule="auto"/>
        <w:ind w:firstLine="420" w:firstLineChars="200"/>
        <w:rPr>
          <w:color w:val="auto"/>
          <w:highlight w:val="none"/>
        </w:rPr>
      </w:pPr>
      <w:r>
        <w:rPr>
          <w:rFonts w:hint="eastAsia" w:hAnsi="宋体" w:cs="宋体"/>
          <w:color w:val="auto"/>
          <w:highlight w:val="none"/>
        </w:rPr>
        <w:t>承包人主要施工管理人员擅自离开施工现场的违约责任：</w:t>
      </w:r>
      <w:r>
        <w:rPr>
          <w:rFonts w:hint="eastAsia" w:hAnsi="宋体" w:cs="宋体"/>
          <w:color w:val="auto"/>
          <w:highlight w:val="none"/>
          <w:u w:val="single"/>
        </w:rPr>
        <w:t>未经发包人同意，项目技术负责人擅自离岗的，视为承包人违约，发包人有权处违约金</w:t>
      </w:r>
      <w:r>
        <w:rPr>
          <w:rFonts w:hint="eastAsia"/>
          <w:color w:val="auto"/>
          <w:highlight w:val="none"/>
          <w:u w:val="single"/>
          <w:lang w:val="en-US" w:eastAsia="zh-CN"/>
        </w:rPr>
        <w:t>3000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；未经发包人同意，专职安全生产管理人员擅自离岗的，视为承包人违约，发包人有权处违约金</w:t>
      </w:r>
      <w:r>
        <w:rPr>
          <w:rFonts w:hint="eastAsia"/>
          <w:color w:val="auto"/>
          <w:highlight w:val="none"/>
          <w:u w:val="single"/>
          <w:lang w:val="en-US" w:eastAsia="zh-CN"/>
        </w:rPr>
        <w:t>2000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；其它在场管理人员擅自离岗的，视为承包人违约，发包人有权处违约金</w:t>
      </w:r>
      <w:r>
        <w:rPr>
          <w:rFonts w:hint="eastAsia"/>
          <w:color w:val="auto"/>
          <w:highlight w:val="none"/>
          <w:u w:val="single"/>
          <w:lang w:val="en-US" w:eastAsia="zh-CN"/>
        </w:rPr>
        <w:t>1000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rPr>
        <w:t>。</w:t>
      </w:r>
    </w:p>
    <w:p w14:paraId="2BB4B542">
      <w:pPr>
        <w:pStyle w:val="5"/>
        <w:rPr>
          <w:color w:val="auto"/>
          <w:highlight w:val="none"/>
        </w:rPr>
      </w:pPr>
      <w:bookmarkStart w:id="443" w:name="_Toc78449798"/>
      <w:bookmarkStart w:id="444" w:name="_Toc373227710"/>
      <w:bookmarkStart w:id="445" w:name="_Toc28250"/>
      <w:bookmarkStart w:id="446" w:name="_Toc373478357"/>
      <w:bookmarkStart w:id="447" w:name="_Toc389065276"/>
      <w:bookmarkStart w:id="448" w:name="_Toc2025600126"/>
      <w:bookmarkStart w:id="449" w:name="_Toc407135212"/>
      <w:bookmarkStart w:id="450" w:name="_Toc2066279184"/>
      <w:r>
        <w:rPr>
          <w:color w:val="auto"/>
          <w:highlight w:val="none"/>
        </w:rPr>
        <w:t>3</w:t>
      </w:r>
      <w:bookmarkStart w:id="451" w:name="_Toc303539102"/>
      <w:bookmarkStart w:id="452" w:name="_Toc297216151"/>
      <w:bookmarkStart w:id="453" w:name="_Toc296347158"/>
      <w:bookmarkStart w:id="454" w:name="_Toc304295523"/>
      <w:bookmarkStart w:id="455" w:name="_Toc296944498"/>
      <w:bookmarkStart w:id="456" w:name="_Toc296346660"/>
      <w:bookmarkStart w:id="457" w:name="_Toc296890987"/>
      <w:bookmarkStart w:id="458" w:name="_Toc296503159"/>
      <w:bookmarkStart w:id="459" w:name="_Toc312677988"/>
      <w:bookmarkStart w:id="460" w:name="_Toc296891199"/>
      <w:bookmarkStart w:id="461" w:name="_Toc292559364"/>
      <w:bookmarkStart w:id="462" w:name="_Toc300934945"/>
      <w:bookmarkStart w:id="463" w:name="_Toc292559869"/>
      <w:bookmarkStart w:id="464" w:name="_Toc297120459"/>
      <w:bookmarkStart w:id="465" w:name="_Toc297123492"/>
      <w:bookmarkStart w:id="466" w:name="_Toc297048345"/>
      <w:r>
        <w:rPr>
          <w:color w:val="auto"/>
          <w:highlight w:val="none"/>
        </w:rPr>
        <w:t xml:space="preserve">.5 </w:t>
      </w:r>
      <w:r>
        <w:rPr>
          <w:rFonts w:hint="eastAsia" w:hAnsi="宋体" w:cs="黑体"/>
          <w:color w:val="auto"/>
          <w:highlight w:val="none"/>
        </w:rPr>
        <w:t>分包</w:t>
      </w:r>
      <w:bookmarkEnd w:id="443"/>
      <w:bookmarkEnd w:id="444"/>
      <w:bookmarkEnd w:id="445"/>
      <w:bookmarkEnd w:id="446"/>
      <w:bookmarkEnd w:id="447"/>
      <w:bookmarkEnd w:id="448"/>
      <w:bookmarkEnd w:id="449"/>
      <w:bookmarkEnd w:id="450"/>
    </w:p>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14:paraId="390EBF9C">
      <w:pPr>
        <w:spacing w:line="360" w:lineRule="auto"/>
        <w:ind w:firstLine="420" w:firstLineChars="200"/>
        <w:rPr>
          <w:color w:val="auto"/>
          <w:highlight w:val="none"/>
        </w:rPr>
      </w:pPr>
      <w:r>
        <w:rPr>
          <w:color w:val="auto"/>
          <w:highlight w:val="none"/>
        </w:rPr>
        <w:t>3</w:t>
      </w:r>
      <w:bookmarkStart w:id="467" w:name="_Toc296503160"/>
      <w:bookmarkStart w:id="468" w:name="_Toc312677989"/>
      <w:bookmarkStart w:id="469" w:name="_Toc303539103"/>
      <w:bookmarkStart w:id="470" w:name="_Toc292559365"/>
      <w:bookmarkStart w:id="471" w:name="_Toc297216152"/>
      <w:bookmarkStart w:id="472" w:name="_Toc296346661"/>
      <w:bookmarkStart w:id="473" w:name="_Toc296944499"/>
      <w:bookmarkStart w:id="474" w:name="_Toc318581158"/>
      <w:bookmarkStart w:id="475" w:name="_Toc297048346"/>
      <w:bookmarkStart w:id="476" w:name="_Toc296890988"/>
      <w:bookmarkStart w:id="477" w:name="_Toc296891200"/>
      <w:bookmarkStart w:id="478" w:name="_Toc297123493"/>
      <w:bookmarkStart w:id="479" w:name="_Toc296347159"/>
      <w:bookmarkStart w:id="480" w:name="_Toc304295524"/>
      <w:bookmarkStart w:id="481" w:name="_Toc292559870"/>
      <w:bookmarkStart w:id="482" w:name="_Toc297120460"/>
      <w:bookmarkStart w:id="483" w:name="_Toc300934946"/>
      <w:r>
        <w:rPr>
          <w:color w:val="auto"/>
          <w:highlight w:val="none"/>
        </w:rPr>
        <w:t xml:space="preserve">.5.1 </w:t>
      </w:r>
      <w:r>
        <w:rPr>
          <w:rFonts w:hint="eastAsia" w:hAnsi="宋体" w:cs="宋体"/>
          <w:color w:val="auto"/>
          <w:highlight w:val="none"/>
        </w:rPr>
        <w:t>分包的一般约定</w:t>
      </w:r>
    </w:p>
    <w:p w14:paraId="653375D6">
      <w:pPr>
        <w:spacing w:line="360" w:lineRule="auto"/>
        <w:ind w:firstLine="420" w:firstLineChars="200"/>
        <w:jc w:val="left"/>
        <w:rPr>
          <w:color w:val="auto"/>
          <w:highlight w:val="none"/>
        </w:rPr>
      </w:pPr>
      <w:r>
        <w:rPr>
          <w:rFonts w:hint="eastAsia" w:hAnsi="宋体" w:cs="宋体"/>
          <w:color w:val="auto"/>
          <w:highlight w:val="none"/>
        </w:rPr>
        <w:t>禁止分包的工程包括：</w:t>
      </w:r>
      <w:r>
        <w:rPr>
          <w:rFonts w:ascii="宋体" w:hAnsi="宋体" w:eastAsia="宋体" w:cs="宋体"/>
          <w:color w:val="auto"/>
          <w:spacing w:val="0"/>
          <w:highlight w:val="none"/>
          <w:u w:val="single"/>
        </w:rPr>
        <w:t xml:space="preserve"> </w:t>
      </w:r>
      <w:r>
        <w:rPr>
          <w:rStyle w:val="22"/>
          <w:rFonts w:hint="eastAsia" w:ascii="宋体" w:hAnsi="宋体" w:eastAsia="宋体" w:cs="Times New Roman"/>
          <w:color w:val="auto"/>
          <w:szCs w:val="21"/>
          <w:highlight w:val="none"/>
          <w:u w:val="single"/>
        </w:rPr>
        <w:t>按通用条款 3.5 执行</w:t>
      </w:r>
      <w:r>
        <w:rPr>
          <w:rFonts w:ascii="宋体" w:hAnsi="宋体" w:eastAsia="宋体" w:cs="宋体"/>
          <w:color w:val="auto"/>
          <w:spacing w:val="0"/>
          <w:highlight w:val="none"/>
          <w:u w:val="single"/>
        </w:rPr>
        <w:t xml:space="preserve"> </w:t>
      </w:r>
      <w:r>
        <w:rPr>
          <w:rFonts w:hint="eastAsia" w:hAnsi="宋体" w:cs="宋体"/>
          <w:color w:val="auto"/>
          <w:highlight w:val="none"/>
        </w:rPr>
        <w:t>。</w:t>
      </w:r>
    </w:p>
    <w:p w14:paraId="1A5478FD">
      <w:pPr>
        <w:spacing w:line="360" w:lineRule="auto"/>
        <w:ind w:firstLine="420" w:firstLineChars="200"/>
        <w:jc w:val="left"/>
        <w:rPr>
          <w:rFonts w:hAnsi="宋体"/>
          <w:color w:val="auto"/>
          <w:highlight w:val="none"/>
        </w:rPr>
      </w:pPr>
      <w:r>
        <w:rPr>
          <w:rFonts w:hint="eastAsia" w:hAnsi="宋体" w:cs="宋体"/>
          <w:color w:val="auto"/>
          <w:highlight w:val="none"/>
        </w:rPr>
        <w:t>主体结构、关键性工作的范围：</w:t>
      </w:r>
      <w:r>
        <w:rPr>
          <w:color w:val="auto"/>
          <w:highlight w:val="none"/>
          <w:u w:val="single"/>
        </w:rPr>
        <w:t xml:space="preserve"> </w:t>
      </w:r>
      <w:r>
        <w:rPr>
          <w:rFonts w:hint="eastAsia"/>
          <w:color w:val="auto"/>
          <w:highlight w:val="none"/>
          <w:u w:val="single"/>
        </w:rPr>
        <w:t>按现有法律规定执行</w:t>
      </w:r>
      <w:r>
        <w:rPr>
          <w:color w:val="auto"/>
          <w:highlight w:val="none"/>
          <w:u w:val="single"/>
        </w:rPr>
        <w:t xml:space="preserve"> </w:t>
      </w:r>
      <w:r>
        <w:rPr>
          <w:rFonts w:hint="eastAsia" w:hAnsi="宋体" w:cs="宋体"/>
          <w:color w:val="auto"/>
          <w:highlight w:val="none"/>
        </w:rPr>
        <w:t>。</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53ECE0DC">
      <w:pPr>
        <w:spacing w:line="360" w:lineRule="auto"/>
        <w:ind w:firstLine="420" w:firstLineChars="200"/>
        <w:jc w:val="left"/>
        <w:rPr>
          <w:color w:val="auto"/>
          <w:highlight w:val="none"/>
        </w:rPr>
      </w:pPr>
      <w:r>
        <w:rPr>
          <w:color w:val="auto"/>
          <w:highlight w:val="none"/>
        </w:rPr>
        <w:t>3</w:t>
      </w:r>
      <w:bookmarkStart w:id="484" w:name="_Toc318581159"/>
      <w:bookmarkStart w:id="485" w:name="_Toc312677990"/>
      <w:r>
        <w:rPr>
          <w:color w:val="auto"/>
          <w:highlight w:val="none"/>
        </w:rPr>
        <w:t xml:space="preserve">.5.2 </w:t>
      </w:r>
      <w:r>
        <w:rPr>
          <w:rFonts w:hint="eastAsia" w:hAnsi="宋体" w:cs="宋体"/>
          <w:color w:val="auto"/>
          <w:highlight w:val="none"/>
        </w:rPr>
        <w:t>分包的确定</w:t>
      </w:r>
    </w:p>
    <w:p w14:paraId="67EA3BBA">
      <w:pPr>
        <w:spacing w:line="360" w:lineRule="auto"/>
        <w:ind w:firstLine="420" w:firstLineChars="200"/>
        <w:rPr>
          <w:color w:val="auto"/>
          <w:highlight w:val="none"/>
          <w:u w:val="single"/>
        </w:rPr>
      </w:pPr>
      <w:r>
        <w:rPr>
          <w:rFonts w:hint="eastAsia" w:hAnsi="宋体" w:cs="宋体"/>
          <w:color w:val="auto"/>
          <w:highlight w:val="none"/>
        </w:rPr>
        <w:t>允许分包的专业工程包括：</w:t>
      </w:r>
      <w:r>
        <w:rPr>
          <w:color w:val="auto"/>
          <w:highlight w:val="none"/>
          <w:u w:val="single"/>
        </w:rPr>
        <w:t xml:space="preserve"> </w:t>
      </w:r>
      <w:r>
        <w:rPr>
          <w:rStyle w:val="22"/>
          <w:rFonts w:hint="eastAsia" w:ascii="宋体" w:hAnsi="宋体" w:eastAsia="宋体" w:cs="Times New Roman"/>
          <w:color w:val="auto"/>
          <w:szCs w:val="21"/>
          <w:highlight w:val="none"/>
          <w:u w:val="single"/>
          <w:lang w:val="en-US" w:eastAsia="zh-CN"/>
        </w:rPr>
        <w:t>合法分包，</w:t>
      </w:r>
      <w:r>
        <w:rPr>
          <w:rStyle w:val="22"/>
          <w:rFonts w:hint="eastAsia" w:ascii="Calibri" w:hAnsi="Calibri" w:eastAsia="宋体" w:cs="Times New Roman"/>
          <w:color w:val="auto"/>
          <w:szCs w:val="21"/>
          <w:highlight w:val="none"/>
          <w:u w:val="single"/>
        </w:rPr>
        <w:t>中标人按照合同约定或者经招标人同意，可以将中标项目的部分非主体、 非关键性工作分包给他人完成</w:t>
      </w:r>
      <w:r>
        <w:rPr>
          <w:rStyle w:val="22"/>
          <w:rFonts w:hint="eastAsia" w:ascii="宋体" w:hAnsi="宋体" w:eastAsia="宋体" w:cs="Times New Roman"/>
          <w:color w:val="auto"/>
          <w:szCs w:val="21"/>
          <w:highlight w:val="none"/>
          <w:u w:val="single"/>
        </w:rPr>
        <w:t>。接受分包的单位应当具备相应的资格条件，并不得再次分包</w:t>
      </w:r>
      <w:r>
        <w:rPr>
          <w:color w:val="auto"/>
          <w:highlight w:val="none"/>
          <w:u w:val="single"/>
        </w:rPr>
        <w:t xml:space="preserve"> </w:t>
      </w:r>
      <w:r>
        <w:rPr>
          <w:rFonts w:hint="eastAsia" w:hAnsi="宋体" w:cs="宋体"/>
          <w:color w:val="auto"/>
          <w:highlight w:val="none"/>
        </w:rPr>
        <w:t>。</w:t>
      </w:r>
    </w:p>
    <w:p w14:paraId="77142E7E">
      <w:pPr>
        <w:spacing w:line="360" w:lineRule="auto"/>
        <w:ind w:firstLine="420" w:firstLineChars="200"/>
        <w:rPr>
          <w:color w:val="auto"/>
          <w:highlight w:val="none"/>
        </w:rPr>
      </w:pPr>
      <w:r>
        <w:rPr>
          <w:rFonts w:hint="eastAsia" w:hAnsi="宋体" w:cs="宋体"/>
          <w:color w:val="auto"/>
          <w:highlight w:val="none"/>
        </w:rPr>
        <w:t>其他关于分包的约定：</w:t>
      </w:r>
    </w:p>
    <w:p w14:paraId="3634B0BD">
      <w:pPr>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w:t>
      </w:r>
      <w:r>
        <w:rPr>
          <w:rFonts w:hint="eastAsia" w:hAnsi="宋体" w:cs="宋体"/>
          <w:color w:val="auto"/>
          <w:highlight w:val="non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w:t>
      </w:r>
      <w:r>
        <w:rPr>
          <w:rFonts w:hint="eastAsia" w:hAnsi="宋体"/>
          <w:color w:val="auto"/>
          <w:highlight w:val="none"/>
        </w:rPr>
        <w:t>6</w:t>
      </w:r>
      <w:r>
        <w:rPr>
          <w:rFonts w:hint="eastAsia" w:hAnsi="宋体" w:cs="宋体"/>
          <w:color w:val="auto"/>
          <w:highlight w:val="none"/>
        </w:rPr>
        <w:t>。</w:t>
      </w:r>
    </w:p>
    <w:p w14:paraId="73748681">
      <w:pPr>
        <w:spacing w:line="360" w:lineRule="auto"/>
        <w:ind w:firstLine="420" w:firstLineChars="200"/>
        <w:rPr>
          <w:color w:val="auto"/>
          <w:highlight w:val="none"/>
          <w:u w:val="single"/>
        </w:rPr>
      </w:pPr>
      <w:r>
        <w:rPr>
          <w:rFonts w:hint="eastAsia" w:cs="宋体"/>
          <w:color w:val="auto"/>
          <w:highlight w:val="none"/>
        </w:rPr>
        <w:t>（</w:t>
      </w:r>
      <w:r>
        <w:rPr>
          <w:color w:val="auto"/>
          <w:highlight w:val="none"/>
        </w:rPr>
        <w:t>2</w:t>
      </w:r>
      <w:r>
        <w:rPr>
          <w:rFonts w:hint="eastAsia" w:cs="宋体"/>
          <w:color w:val="auto"/>
          <w:highlight w:val="none"/>
        </w:rPr>
        <w:t>）</w:t>
      </w:r>
      <w:r>
        <w:rPr>
          <w:rFonts w:hint="eastAsia" w:hAnsi="宋体" w:cs="宋体"/>
          <w:color w:val="auto"/>
          <w:highlight w:val="none"/>
        </w:rPr>
        <w:t>在相关分包合同签订并报送有关建设行政主管部门备案后</w:t>
      </w:r>
      <w:r>
        <w:rPr>
          <w:color w:val="auto"/>
          <w:highlight w:val="none"/>
        </w:rPr>
        <w:t>7</w:t>
      </w:r>
      <w:r>
        <w:rPr>
          <w:rFonts w:hint="eastAsia" w:hAnsi="宋体" w:cs="宋体"/>
          <w:color w:val="auto"/>
          <w:highlight w:val="none"/>
        </w:rPr>
        <w:t>天内，承包人应当将一份副本提交给监理人，承包人应保障分包工作不得再次分包。</w:t>
      </w:r>
    </w:p>
    <w:p w14:paraId="6474C2A1">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w:t>
      </w:r>
      <w:r>
        <w:rPr>
          <w:rFonts w:hint="eastAsia" w:hAnsi="宋体" w:cs="宋体"/>
          <w:color w:val="auto"/>
          <w:highlight w:val="none"/>
        </w:rPr>
        <w:t>未经承包人和监理人审批同意的分包工程和分包人，承包人有权拒绝验收分包工程和支付相应款项，由此引起的发包人费用增加和</w:t>
      </w:r>
      <w:r>
        <w:rPr>
          <w:rFonts w:hint="eastAsia"/>
          <w:color w:val="auto"/>
          <w:highlight w:val="none"/>
          <w:lang w:eastAsia="zh-CN"/>
        </w:rPr>
        <w:t>（</w:t>
      </w:r>
      <w:r>
        <w:rPr>
          <w:rFonts w:hint="eastAsia" w:hAnsi="宋体" w:cs="宋体"/>
          <w:color w:val="auto"/>
          <w:highlight w:val="none"/>
        </w:rPr>
        <w:t>或</w:t>
      </w:r>
      <w:r>
        <w:rPr>
          <w:rFonts w:hint="eastAsia"/>
          <w:color w:val="auto"/>
          <w:highlight w:val="none"/>
          <w:lang w:eastAsia="zh-CN"/>
        </w:rPr>
        <w:t>）</w:t>
      </w:r>
      <w:r>
        <w:rPr>
          <w:rFonts w:hint="eastAsia" w:hAnsi="宋体" w:cs="宋体"/>
          <w:color w:val="auto"/>
          <w:highlight w:val="none"/>
        </w:rPr>
        <w:t>延误的工期由发包人承担。</w:t>
      </w:r>
    </w:p>
    <w:p w14:paraId="6A302DF2">
      <w:pPr>
        <w:pStyle w:val="11"/>
        <w:spacing w:line="360" w:lineRule="auto"/>
        <w:ind w:firstLine="420" w:firstLineChars="200"/>
        <w:rPr>
          <w:rFonts w:ascii="Times New Roman" w:hAnsi="Times New Roman"/>
          <w:color w:val="auto"/>
          <w:sz w:val="21"/>
          <w:szCs w:val="21"/>
          <w:highlight w:val="none"/>
        </w:rPr>
      </w:pPr>
      <w:r>
        <w:rPr>
          <w:rFonts w:hint="eastAsia" w:ascii="Times New Roman" w:hAnsi="Times New Roman"/>
          <w:color w:val="auto"/>
          <w:sz w:val="21"/>
          <w:szCs w:val="21"/>
          <w:highlight w:val="none"/>
        </w:rPr>
        <w:t>（</w:t>
      </w:r>
      <w:r>
        <w:rPr>
          <w:rFonts w:ascii="Times New Roman" w:hAnsi="Times New Roman"/>
          <w:color w:val="auto"/>
          <w:sz w:val="21"/>
          <w:szCs w:val="21"/>
          <w:highlight w:val="none"/>
        </w:rPr>
        <w:t>4</w:t>
      </w:r>
      <w:r>
        <w:rPr>
          <w:rFonts w:hint="eastAsia" w:ascii="Times New Roman" w:hAnsi="Times New Roman"/>
          <w:color w:val="auto"/>
          <w:sz w:val="21"/>
          <w:szCs w:val="21"/>
          <w:highlight w:val="none"/>
        </w:rPr>
        <w:t>）</w:t>
      </w:r>
      <w:r>
        <w:rPr>
          <w:rFonts w:hint="eastAsia" w:ascii="Times New Roman" w:hAnsi="宋体"/>
          <w:color w:val="auto"/>
          <w:sz w:val="21"/>
          <w:szCs w:val="21"/>
          <w:highlight w:val="none"/>
        </w:rPr>
        <w:t>承包人有以下情况之一者，发包人有权解除合同，并视情况扣除其履约保证金：</w:t>
      </w:r>
    </w:p>
    <w:p w14:paraId="1FA37813">
      <w:pPr>
        <w:pStyle w:val="11"/>
        <w:spacing w:line="360" w:lineRule="auto"/>
        <w:ind w:firstLine="441" w:firstLineChars="210"/>
        <w:rPr>
          <w:rFonts w:ascii="Times New Roman" w:hAnsi="Times New Roman"/>
          <w:color w:val="auto"/>
          <w:sz w:val="21"/>
          <w:szCs w:val="21"/>
          <w:highlight w:val="none"/>
        </w:rPr>
      </w:pPr>
      <w:r>
        <w:rPr>
          <w:rFonts w:hint="eastAsia" w:ascii="Times New Roman" w:hAnsi="宋体"/>
          <w:color w:val="auto"/>
          <w:sz w:val="21"/>
          <w:szCs w:val="21"/>
          <w:highlight w:val="none"/>
        </w:rPr>
        <w:t>①个人承包工程，包括本人单位及外单位人员承包，发包人不承认其个人拥有任何资质等级及营业许可资格。没收全部履约保证金。</w:t>
      </w:r>
    </w:p>
    <w:p w14:paraId="13DD5F63">
      <w:pPr>
        <w:pStyle w:val="11"/>
        <w:spacing w:line="360" w:lineRule="auto"/>
        <w:ind w:firstLine="441" w:firstLineChars="210"/>
        <w:rPr>
          <w:rFonts w:ascii="Times New Roman" w:hAnsi="Times New Roman"/>
          <w:color w:val="auto"/>
          <w:sz w:val="21"/>
          <w:szCs w:val="21"/>
          <w:highlight w:val="none"/>
        </w:rPr>
      </w:pPr>
      <w:r>
        <w:rPr>
          <w:rFonts w:hint="eastAsia" w:ascii="Times New Roman" w:hAnsi="宋体"/>
          <w:color w:val="auto"/>
          <w:sz w:val="21"/>
          <w:szCs w:val="21"/>
          <w:highlight w:val="none"/>
        </w:rPr>
        <w:t>②几个人联合承包工程，就地组织暗分包队伍，不具备完成本工程的技术、机械能力，被发包人判定为没有能力履行的承包人。没收全部履约保证金。</w:t>
      </w:r>
    </w:p>
    <w:p w14:paraId="475E33C9">
      <w:pPr>
        <w:pStyle w:val="11"/>
        <w:spacing w:line="360" w:lineRule="auto"/>
        <w:ind w:firstLine="441" w:firstLineChars="210"/>
        <w:rPr>
          <w:rFonts w:ascii="Times New Roman" w:hAnsi="Times New Roman"/>
          <w:color w:val="auto"/>
          <w:sz w:val="21"/>
          <w:szCs w:val="21"/>
          <w:highlight w:val="none"/>
        </w:rPr>
      </w:pPr>
      <w:r>
        <w:rPr>
          <w:rFonts w:hint="eastAsia" w:ascii="Times New Roman" w:hAnsi="宋体"/>
          <w:color w:val="auto"/>
          <w:sz w:val="21"/>
          <w:szCs w:val="21"/>
          <w:highlight w:val="none"/>
        </w:rPr>
        <w:t>③就地转包全部的工程，以谋取高额转让费、管理费的承包人。没收全部履约保证金。</w:t>
      </w:r>
    </w:p>
    <w:p w14:paraId="24C8A76D">
      <w:pPr>
        <w:spacing w:line="360" w:lineRule="auto"/>
        <w:ind w:firstLine="420" w:firstLineChars="200"/>
        <w:rPr>
          <w:color w:val="auto"/>
          <w:highlight w:val="none"/>
          <w:u w:val="single"/>
        </w:rPr>
      </w:pPr>
      <w:r>
        <w:rPr>
          <w:rFonts w:hint="eastAsia" w:hAnsi="宋体" w:cs="宋体"/>
          <w:color w:val="auto"/>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235B2CDA">
      <w:pPr>
        <w:spacing w:line="360" w:lineRule="auto"/>
        <w:ind w:firstLine="420" w:firstLineChars="200"/>
        <w:rPr>
          <w:color w:val="auto"/>
          <w:highlight w:val="none"/>
        </w:rPr>
      </w:pPr>
      <w:r>
        <w:rPr>
          <w:color w:val="auto"/>
          <w:highlight w:val="none"/>
        </w:rPr>
        <w:t xml:space="preserve">3.5.4 </w:t>
      </w:r>
      <w:r>
        <w:rPr>
          <w:rFonts w:hint="eastAsia" w:hAnsi="宋体" w:cs="宋体"/>
          <w:color w:val="auto"/>
          <w:highlight w:val="none"/>
        </w:rPr>
        <w:t>分包合同价款</w:t>
      </w:r>
    </w:p>
    <w:bookmarkEnd w:id="484"/>
    <w:bookmarkEnd w:id="485"/>
    <w:p w14:paraId="66196D65">
      <w:pPr>
        <w:spacing w:line="360" w:lineRule="auto"/>
        <w:ind w:firstLine="420" w:firstLineChars="200"/>
        <w:rPr>
          <w:color w:val="auto"/>
          <w:highlight w:val="none"/>
        </w:rPr>
      </w:pPr>
      <w:bookmarkStart w:id="486" w:name="_Toc389065277"/>
      <w:bookmarkStart w:id="487" w:name="_Toc373478358"/>
      <w:bookmarkStart w:id="488" w:name="_Toc373227711"/>
      <w:r>
        <w:rPr>
          <w:rFonts w:hint="eastAsia" w:hAnsi="宋体" w:cs="宋体"/>
          <w:color w:val="auto"/>
          <w:highlight w:val="none"/>
        </w:rPr>
        <w:t>关于分包合同价款支付的约定：</w:t>
      </w:r>
      <w:r>
        <w:rPr>
          <w:rFonts w:hint="eastAsia" w:hAnsi="宋体" w:cs="宋体"/>
          <w:color w:val="auto"/>
          <w:highlight w:val="none"/>
          <w:u w:val="single"/>
        </w:rPr>
        <w:t>分包工程价款由承包人与分包人</w:t>
      </w:r>
      <w:r>
        <w:rPr>
          <w:rFonts w:hint="eastAsia" w:cs="宋体"/>
          <w:color w:val="auto"/>
          <w:highlight w:val="none"/>
          <w:u w:val="single"/>
        </w:rPr>
        <w:t>（</w:t>
      </w:r>
      <w:r>
        <w:rPr>
          <w:rFonts w:hint="eastAsia" w:hAnsi="宋体" w:cs="宋体"/>
          <w:color w:val="auto"/>
          <w:highlight w:val="none"/>
          <w:u w:val="single"/>
        </w:rPr>
        <w:t>包括专业分包人</w:t>
      </w:r>
      <w:r>
        <w:rPr>
          <w:rFonts w:hint="eastAsia" w:cs="宋体"/>
          <w:color w:val="auto"/>
          <w:highlight w:val="none"/>
          <w:u w:val="single"/>
        </w:rPr>
        <w:t>）</w:t>
      </w:r>
      <w:r>
        <w:rPr>
          <w:rFonts w:hint="eastAsia" w:hAnsi="宋体" w:cs="宋体"/>
          <w:color w:val="auto"/>
          <w:highlight w:val="none"/>
          <w:u w:val="single"/>
        </w:rPr>
        <w:t>结算。发包人未经承包人同意不得以任何形式向分包人</w:t>
      </w:r>
      <w:r>
        <w:rPr>
          <w:rFonts w:hint="eastAsia" w:cs="宋体"/>
          <w:color w:val="auto"/>
          <w:highlight w:val="none"/>
          <w:u w:val="single"/>
        </w:rPr>
        <w:t>（</w:t>
      </w:r>
      <w:r>
        <w:rPr>
          <w:rFonts w:hint="eastAsia" w:hAnsi="宋体" w:cs="宋体"/>
          <w:color w:val="auto"/>
          <w:highlight w:val="none"/>
          <w:u w:val="single"/>
        </w:rPr>
        <w:t>包括专业分包人</w:t>
      </w:r>
      <w:r>
        <w:rPr>
          <w:rFonts w:hint="eastAsia" w:cs="宋体"/>
          <w:color w:val="auto"/>
          <w:highlight w:val="none"/>
          <w:u w:val="single"/>
        </w:rPr>
        <w:t>）</w:t>
      </w:r>
      <w:r>
        <w:rPr>
          <w:rFonts w:hint="eastAsia" w:hAnsi="宋体" w:cs="宋体"/>
          <w:color w:val="auto"/>
          <w:highlight w:val="none"/>
          <w:u w:val="single"/>
        </w:rPr>
        <w:t>支付相关分包合同项下的任何工程款项。因发包人未经承包人同意直接向分包人</w:t>
      </w:r>
      <w:r>
        <w:rPr>
          <w:rFonts w:hint="eastAsia" w:cs="宋体"/>
          <w:color w:val="auto"/>
          <w:highlight w:val="none"/>
          <w:u w:val="single"/>
        </w:rPr>
        <w:t>（</w:t>
      </w:r>
      <w:r>
        <w:rPr>
          <w:rFonts w:hint="eastAsia" w:hAnsi="宋体" w:cs="宋体"/>
          <w:color w:val="auto"/>
          <w:highlight w:val="none"/>
          <w:u w:val="single"/>
        </w:rPr>
        <w:t>包括专业分包人</w:t>
      </w:r>
      <w:r>
        <w:rPr>
          <w:rFonts w:hint="eastAsia" w:cs="宋体"/>
          <w:color w:val="auto"/>
          <w:highlight w:val="none"/>
          <w:u w:val="single"/>
        </w:rPr>
        <w:t>）</w:t>
      </w:r>
      <w:r>
        <w:rPr>
          <w:rFonts w:hint="eastAsia" w:hAnsi="宋体" w:cs="宋体"/>
          <w:color w:val="auto"/>
          <w:highlight w:val="none"/>
          <w:u w:val="single"/>
        </w:rPr>
        <w:t>支付相关分包合同项下的任何工程款项而影响承包人工作的，所造成的承包人费用增加和</w:t>
      </w:r>
      <w:r>
        <w:rPr>
          <w:rFonts w:hint="eastAsia" w:cs="宋体"/>
          <w:color w:val="auto"/>
          <w:highlight w:val="none"/>
          <w:u w:val="single"/>
        </w:rPr>
        <w:t>（</w:t>
      </w:r>
      <w:r>
        <w:rPr>
          <w:rFonts w:hint="eastAsia" w:hAnsi="宋体" w:cs="宋体"/>
          <w:color w:val="auto"/>
          <w:highlight w:val="none"/>
          <w:u w:val="single"/>
        </w:rPr>
        <w:t>或</w:t>
      </w:r>
      <w:r>
        <w:rPr>
          <w:rFonts w:hint="eastAsia" w:cs="宋体"/>
          <w:color w:val="auto"/>
          <w:highlight w:val="none"/>
          <w:u w:val="single"/>
        </w:rPr>
        <w:t>）</w:t>
      </w:r>
      <w:r>
        <w:rPr>
          <w:rFonts w:hint="eastAsia" w:hAnsi="宋体" w:cs="宋体"/>
          <w:color w:val="auto"/>
          <w:highlight w:val="none"/>
          <w:u w:val="single"/>
        </w:rPr>
        <w:t>延误的工期由发包人承担。</w:t>
      </w:r>
    </w:p>
    <w:p w14:paraId="67B2B9E9">
      <w:pPr>
        <w:pStyle w:val="5"/>
        <w:rPr>
          <w:color w:val="auto"/>
          <w:highlight w:val="none"/>
        </w:rPr>
      </w:pPr>
      <w:bookmarkStart w:id="489" w:name="_Toc78449799"/>
      <w:bookmarkStart w:id="490" w:name="_Toc101808609"/>
      <w:bookmarkStart w:id="491" w:name="_Toc18234"/>
      <w:bookmarkStart w:id="492" w:name="_Toc407135213"/>
      <w:bookmarkStart w:id="493" w:name="_Toc57329529"/>
      <w:r>
        <w:rPr>
          <w:color w:val="auto"/>
          <w:highlight w:val="none"/>
        </w:rPr>
        <w:t xml:space="preserve">3.6 </w:t>
      </w:r>
      <w:r>
        <w:rPr>
          <w:rFonts w:hint="eastAsia" w:cs="黑体"/>
          <w:color w:val="auto"/>
          <w:highlight w:val="none"/>
        </w:rPr>
        <w:t>工程照管与成品、半成品保护</w:t>
      </w:r>
      <w:bookmarkEnd w:id="486"/>
      <w:bookmarkEnd w:id="487"/>
      <w:bookmarkEnd w:id="488"/>
      <w:bookmarkEnd w:id="489"/>
      <w:bookmarkEnd w:id="490"/>
      <w:bookmarkEnd w:id="491"/>
      <w:bookmarkEnd w:id="492"/>
      <w:bookmarkEnd w:id="493"/>
    </w:p>
    <w:p w14:paraId="1ABED7C0">
      <w:pPr>
        <w:spacing w:line="360" w:lineRule="auto"/>
        <w:ind w:firstLine="420" w:firstLineChars="200"/>
        <w:rPr>
          <w:color w:val="auto"/>
          <w:kern w:val="0"/>
          <w:highlight w:val="none"/>
          <w:u w:val="single"/>
        </w:rPr>
      </w:pPr>
      <w:r>
        <w:rPr>
          <w:rFonts w:hint="eastAsia" w:hAnsi="宋体" w:cs="宋体"/>
          <w:color w:val="auto"/>
          <w:kern w:val="0"/>
          <w:highlight w:val="none"/>
        </w:rPr>
        <w:t>承包人负责照管工程及工程相关的材料、工程设备的起始时间：</w:t>
      </w:r>
      <w:r>
        <w:rPr>
          <w:color w:val="auto"/>
          <w:kern w:val="0"/>
          <w:highlight w:val="none"/>
          <w:u w:val="single"/>
        </w:rPr>
        <w:t xml:space="preserve"> </w:t>
      </w:r>
      <w:r>
        <w:rPr>
          <w:rFonts w:hint="eastAsia"/>
          <w:color w:val="auto"/>
          <w:kern w:val="0"/>
          <w:highlight w:val="none"/>
          <w:u w:val="single"/>
        </w:rPr>
        <w:t>从开工之日起至竣工验收合格交付使用之日止</w:t>
      </w:r>
      <w:r>
        <w:rPr>
          <w:color w:val="auto"/>
          <w:kern w:val="0"/>
          <w:highlight w:val="none"/>
          <w:u w:val="single"/>
        </w:rPr>
        <w:t xml:space="preserve"> </w:t>
      </w:r>
      <w:r>
        <w:rPr>
          <w:rFonts w:hint="eastAsia" w:hAnsi="宋体" w:cs="宋体"/>
          <w:color w:val="auto"/>
          <w:kern w:val="0"/>
          <w:highlight w:val="none"/>
        </w:rPr>
        <w:t>。</w:t>
      </w:r>
    </w:p>
    <w:p w14:paraId="406C6B03">
      <w:pPr>
        <w:pStyle w:val="5"/>
        <w:rPr>
          <w:color w:val="auto"/>
          <w:highlight w:val="none"/>
        </w:rPr>
      </w:pPr>
      <w:bookmarkStart w:id="494" w:name="_Toc373227712"/>
      <w:bookmarkStart w:id="495" w:name="_Toc389065278"/>
      <w:bookmarkStart w:id="496" w:name="_Toc373478359"/>
      <w:bookmarkStart w:id="497" w:name="_Toc407135214"/>
      <w:bookmarkStart w:id="498" w:name="_Toc1486"/>
      <w:bookmarkStart w:id="499" w:name="_Toc1042049436"/>
      <w:bookmarkStart w:id="500" w:name="_Toc1649716734"/>
      <w:bookmarkStart w:id="501" w:name="_Toc78449800"/>
      <w:r>
        <w:rPr>
          <w:color w:val="auto"/>
          <w:highlight w:val="none"/>
        </w:rPr>
        <w:t xml:space="preserve">3.7 </w:t>
      </w:r>
      <w:r>
        <w:rPr>
          <w:rFonts w:hint="eastAsia" w:hAnsi="宋体" w:cs="黑体"/>
          <w:color w:val="auto"/>
          <w:highlight w:val="none"/>
        </w:rPr>
        <w:t>履约</w:t>
      </w:r>
      <w:bookmarkEnd w:id="494"/>
      <w:bookmarkEnd w:id="495"/>
      <w:bookmarkEnd w:id="496"/>
      <w:r>
        <w:rPr>
          <w:rFonts w:hint="eastAsia" w:hAnsi="宋体" w:cs="黑体"/>
          <w:color w:val="auto"/>
          <w:highlight w:val="none"/>
        </w:rPr>
        <w:t>保证金</w:t>
      </w:r>
      <w:bookmarkEnd w:id="497"/>
      <w:bookmarkEnd w:id="498"/>
      <w:bookmarkEnd w:id="499"/>
      <w:bookmarkEnd w:id="500"/>
      <w:bookmarkEnd w:id="501"/>
    </w:p>
    <w:p w14:paraId="28C028EC">
      <w:pPr>
        <w:spacing w:line="360" w:lineRule="auto"/>
        <w:ind w:firstLine="420" w:firstLineChars="200"/>
        <w:jc w:val="left"/>
        <w:rPr>
          <w:color w:val="auto"/>
          <w:highlight w:val="none"/>
          <w:u w:val="single"/>
        </w:rPr>
      </w:pPr>
      <w:bookmarkStart w:id="502" w:name="_Toc389065279"/>
      <w:bookmarkStart w:id="503" w:name="_Toc373478360"/>
      <w:bookmarkStart w:id="504" w:name="_Toc373227713"/>
      <w:bookmarkStart w:id="505" w:name="_Toc351203636"/>
      <w:r>
        <w:rPr>
          <w:rFonts w:hint="eastAsia" w:hAnsi="宋体" w:cs="宋体"/>
          <w:color w:val="auto"/>
          <w:highlight w:val="none"/>
        </w:rPr>
        <w:t>承包人提供履约担保的形式、金额及期限的：</w:t>
      </w:r>
      <w:r>
        <w:rPr>
          <w:rFonts w:hint="eastAsia" w:hAnsi="宋体" w:cs="宋体"/>
          <w:color w:val="auto"/>
          <w:highlight w:val="none"/>
          <w:u w:val="single"/>
          <w:lang w:val="en-US" w:eastAsia="zh-CN"/>
        </w:rPr>
        <w:t>本项目不收取履约保证金</w:t>
      </w:r>
      <w:r>
        <w:rPr>
          <w:rFonts w:hint="eastAsia" w:hAnsi="宋体" w:cs="宋体"/>
          <w:color w:val="auto"/>
          <w:highlight w:val="none"/>
          <w:u w:val="single"/>
        </w:rPr>
        <w:t>。</w:t>
      </w:r>
    </w:p>
    <w:p w14:paraId="2F33B9A0">
      <w:pPr>
        <w:pStyle w:val="4"/>
        <w:rPr>
          <w:color w:val="auto"/>
          <w:highlight w:val="none"/>
        </w:rPr>
      </w:pPr>
      <w:bookmarkStart w:id="506" w:name="_Toc931514330"/>
      <w:bookmarkStart w:id="507" w:name="_Toc78449801"/>
      <w:bookmarkStart w:id="508" w:name="_Toc5908"/>
      <w:bookmarkStart w:id="509" w:name="_Toc907912356"/>
      <w:bookmarkStart w:id="510" w:name="_Toc19305"/>
      <w:bookmarkStart w:id="511" w:name="_Toc407135215"/>
      <w:r>
        <w:rPr>
          <w:color w:val="auto"/>
          <w:highlight w:val="none"/>
        </w:rPr>
        <w:t>4</w:t>
      </w:r>
      <w:bookmarkStart w:id="512" w:name="_Toc297048348"/>
      <w:bookmarkStart w:id="513" w:name="_Toc296890990"/>
      <w:bookmarkStart w:id="514" w:name="_Toc292559871"/>
      <w:bookmarkStart w:id="515" w:name="_Toc296346663"/>
      <w:bookmarkStart w:id="516" w:name="_Toc296347161"/>
      <w:bookmarkStart w:id="517" w:name="_Toc292559366"/>
      <w:bookmarkStart w:id="518" w:name="_Toc267251413"/>
      <w:bookmarkStart w:id="519" w:name="_Toc296944501"/>
      <w:bookmarkStart w:id="520" w:name="_Toc296891202"/>
      <w:bookmarkStart w:id="521" w:name="_Toc296503162"/>
      <w:bookmarkStart w:id="522" w:name="_Toc297120462"/>
      <w:r>
        <w:rPr>
          <w:color w:val="auto"/>
          <w:highlight w:val="none"/>
        </w:rPr>
        <w:t xml:space="preserve">. </w:t>
      </w:r>
      <w:r>
        <w:rPr>
          <w:rFonts w:hint="eastAsia" w:hAnsi="宋体" w:cs="黑体"/>
          <w:color w:val="auto"/>
          <w:highlight w:val="none"/>
        </w:rPr>
        <w:t>监</w:t>
      </w:r>
      <w:bookmarkEnd w:id="512"/>
      <w:bookmarkEnd w:id="513"/>
      <w:bookmarkEnd w:id="514"/>
      <w:bookmarkEnd w:id="515"/>
      <w:bookmarkEnd w:id="516"/>
      <w:bookmarkEnd w:id="517"/>
      <w:bookmarkEnd w:id="518"/>
      <w:bookmarkEnd w:id="519"/>
      <w:bookmarkEnd w:id="520"/>
      <w:bookmarkEnd w:id="521"/>
      <w:bookmarkEnd w:id="522"/>
      <w:r>
        <w:rPr>
          <w:rFonts w:hint="eastAsia" w:hAnsi="宋体" w:cs="黑体"/>
          <w:color w:val="auto"/>
          <w:highlight w:val="none"/>
        </w:rPr>
        <w:t>理人</w:t>
      </w:r>
      <w:bookmarkEnd w:id="502"/>
      <w:bookmarkEnd w:id="503"/>
      <w:bookmarkEnd w:id="504"/>
      <w:bookmarkEnd w:id="505"/>
      <w:bookmarkEnd w:id="506"/>
      <w:bookmarkEnd w:id="507"/>
      <w:bookmarkEnd w:id="508"/>
      <w:bookmarkEnd w:id="509"/>
      <w:bookmarkEnd w:id="510"/>
      <w:bookmarkEnd w:id="511"/>
    </w:p>
    <w:p w14:paraId="0FECF56D">
      <w:pPr>
        <w:pStyle w:val="5"/>
        <w:rPr>
          <w:color w:val="auto"/>
          <w:highlight w:val="none"/>
        </w:rPr>
      </w:pPr>
      <w:bookmarkStart w:id="523" w:name="_Toc1595043148"/>
      <w:bookmarkStart w:id="524" w:name="_Toc78449802"/>
      <w:bookmarkStart w:id="525" w:name="_Toc389065280"/>
      <w:bookmarkStart w:id="526" w:name="_Toc407135216"/>
      <w:bookmarkStart w:id="527" w:name="_Toc373478361"/>
      <w:bookmarkStart w:id="528" w:name="_Toc1008304989"/>
      <w:bookmarkStart w:id="529" w:name="_Toc373227714"/>
      <w:bookmarkStart w:id="530" w:name="_Toc8127"/>
      <w:r>
        <w:rPr>
          <w:color w:val="auto"/>
          <w:highlight w:val="none"/>
        </w:rPr>
        <w:t xml:space="preserve">4.1 </w:t>
      </w:r>
      <w:r>
        <w:rPr>
          <w:rFonts w:hint="eastAsia" w:cs="黑体"/>
          <w:color w:val="auto"/>
          <w:highlight w:val="none"/>
        </w:rPr>
        <w:t>监理人的一般规定</w:t>
      </w:r>
      <w:bookmarkEnd w:id="523"/>
      <w:bookmarkEnd w:id="524"/>
      <w:bookmarkEnd w:id="525"/>
      <w:bookmarkEnd w:id="526"/>
      <w:bookmarkEnd w:id="527"/>
      <w:bookmarkEnd w:id="528"/>
      <w:bookmarkEnd w:id="529"/>
      <w:bookmarkEnd w:id="530"/>
    </w:p>
    <w:p w14:paraId="786C1EE7">
      <w:pPr>
        <w:spacing w:line="360" w:lineRule="auto"/>
        <w:ind w:firstLine="420" w:firstLineChars="200"/>
        <w:jc w:val="left"/>
        <w:rPr>
          <w:color w:val="auto"/>
          <w:highlight w:val="none"/>
        </w:rPr>
      </w:pPr>
      <w:r>
        <w:rPr>
          <w:rFonts w:hint="eastAsia" w:hAnsi="宋体" w:cs="宋体"/>
          <w:color w:val="auto"/>
          <w:highlight w:val="none"/>
        </w:rPr>
        <w:t>关于监理人的监理内容：</w:t>
      </w:r>
      <w:r>
        <w:rPr>
          <w:rFonts w:hint="eastAsia"/>
          <w:color w:val="auto"/>
          <w:highlight w:val="none"/>
          <w:u w:val="single"/>
        </w:rPr>
        <w:t xml:space="preserve"> 按监理合同中约定的条款执行 </w:t>
      </w:r>
      <w:r>
        <w:rPr>
          <w:rFonts w:hint="eastAsia" w:hAnsi="宋体" w:cs="宋体"/>
          <w:color w:val="auto"/>
          <w:highlight w:val="none"/>
        </w:rPr>
        <w:t>。</w:t>
      </w:r>
    </w:p>
    <w:p w14:paraId="53893F8D">
      <w:pPr>
        <w:spacing w:line="360" w:lineRule="auto"/>
        <w:ind w:firstLine="420" w:firstLineChars="200"/>
        <w:jc w:val="left"/>
        <w:rPr>
          <w:color w:val="auto"/>
          <w:highlight w:val="none"/>
        </w:rPr>
      </w:pPr>
      <w:r>
        <w:rPr>
          <w:rFonts w:hint="eastAsia" w:hAnsi="宋体" w:cs="宋体"/>
          <w:color w:val="auto"/>
          <w:highlight w:val="none"/>
        </w:rPr>
        <w:t>关于监理人的监理权限：</w:t>
      </w:r>
      <w:r>
        <w:rPr>
          <w:rFonts w:hint="eastAsia"/>
          <w:color w:val="auto"/>
          <w:highlight w:val="none"/>
          <w:u w:val="single"/>
        </w:rPr>
        <w:t xml:space="preserve"> 按监理合同中约定的条款执行 </w:t>
      </w:r>
      <w:r>
        <w:rPr>
          <w:rFonts w:hint="eastAsia" w:hAnsi="宋体" w:cs="宋体"/>
          <w:color w:val="auto"/>
          <w:highlight w:val="none"/>
        </w:rPr>
        <w:t>。</w:t>
      </w:r>
      <w:r>
        <w:rPr>
          <w:color w:val="auto"/>
          <w:highlight w:val="none"/>
        </w:rPr>
        <w:t xml:space="preserve"> </w:t>
      </w:r>
    </w:p>
    <w:p w14:paraId="28DCE197">
      <w:pPr>
        <w:spacing w:line="360" w:lineRule="auto"/>
        <w:ind w:firstLine="420" w:firstLineChars="200"/>
        <w:rPr>
          <w:color w:val="auto"/>
          <w:highlight w:val="none"/>
        </w:rPr>
      </w:pPr>
      <w:r>
        <w:rPr>
          <w:rFonts w:hint="eastAsia" w:hAnsi="宋体" w:cs="宋体"/>
          <w:color w:val="auto"/>
          <w:highlight w:val="none"/>
        </w:rPr>
        <w:t>关于监理人在施工现场的办公场所、生活场所的提供和费用承担的约定：</w:t>
      </w:r>
      <w:r>
        <w:rPr>
          <w:rFonts w:hint="eastAsia"/>
          <w:color w:val="auto"/>
          <w:highlight w:val="none"/>
          <w:u w:val="single"/>
        </w:rPr>
        <w:t xml:space="preserve"> 按监理合同中约定的条款执行 </w:t>
      </w:r>
      <w:r>
        <w:rPr>
          <w:rFonts w:hint="eastAsia" w:hAnsi="宋体" w:cs="宋体"/>
          <w:color w:val="auto"/>
          <w:highlight w:val="none"/>
        </w:rPr>
        <w:t>。</w:t>
      </w:r>
    </w:p>
    <w:p w14:paraId="35B28239">
      <w:pPr>
        <w:pStyle w:val="5"/>
        <w:rPr>
          <w:color w:val="auto"/>
          <w:highlight w:val="none"/>
        </w:rPr>
      </w:pPr>
      <w:bookmarkStart w:id="531" w:name="_Toc1350458461"/>
      <w:bookmarkStart w:id="532" w:name="_Toc407135217"/>
      <w:bookmarkStart w:id="533" w:name="_Toc30651"/>
      <w:bookmarkStart w:id="534" w:name="_Toc389065281"/>
      <w:bookmarkStart w:id="535" w:name="_Toc373227715"/>
      <w:bookmarkStart w:id="536" w:name="_Toc78449803"/>
      <w:bookmarkStart w:id="537" w:name="_Toc373478362"/>
      <w:bookmarkStart w:id="538" w:name="_Toc386397261"/>
      <w:r>
        <w:rPr>
          <w:color w:val="auto"/>
          <w:highlight w:val="none"/>
        </w:rPr>
        <w:t xml:space="preserve">4.2 </w:t>
      </w:r>
      <w:r>
        <w:rPr>
          <w:rFonts w:hint="eastAsia" w:hAnsi="宋体" w:cs="黑体"/>
          <w:color w:val="auto"/>
          <w:highlight w:val="none"/>
        </w:rPr>
        <w:t>监理人员</w:t>
      </w:r>
      <w:bookmarkEnd w:id="531"/>
      <w:bookmarkEnd w:id="532"/>
      <w:bookmarkEnd w:id="533"/>
      <w:bookmarkEnd w:id="534"/>
      <w:bookmarkEnd w:id="535"/>
      <w:bookmarkEnd w:id="536"/>
      <w:bookmarkEnd w:id="537"/>
      <w:bookmarkEnd w:id="538"/>
    </w:p>
    <w:p w14:paraId="4F2AD299">
      <w:pPr>
        <w:spacing w:line="360" w:lineRule="auto"/>
        <w:ind w:firstLine="420" w:firstLineChars="200"/>
        <w:rPr>
          <w:color w:val="auto"/>
          <w:highlight w:val="none"/>
        </w:rPr>
      </w:pPr>
      <w:r>
        <w:rPr>
          <w:rFonts w:hint="eastAsia" w:hAnsi="宋体" w:cs="宋体"/>
          <w:color w:val="auto"/>
          <w:highlight w:val="none"/>
        </w:rPr>
        <w:t>总监理工程师：</w:t>
      </w:r>
    </w:p>
    <w:p w14:paraId="484EA167">
      <w:pPr>
        <w:spacing w:line="360" w:lineRule="auto"/>
        <w:ind w:firstLine="420" w:firstLineChars="200"/>
        <w:rPr>
          <w:color w:val="auto"/>
          <w:highlight w:val="none"/>
        </w:rPr>
      </w:pPr>
      <w:bookmarkStart w:id="539" w:name="_Toc941562442"/>
      <w:bookmarkStart w:id="540" w:name="_Toc373478363"/>
      <w:bookmarkStart w:id="541" w:name="_Toc407135218"/>
      <w:bookmarkStart w:id="542" w:name="_Toc389065282"/>
      <w:bookmarkStart w:id="543" w:name="_Toc373227716"/>
      <w:bookmarkStart w:id="544" w:name="_Toc25470"/>
      <w:bookmarkStart w:id="545" w:name="_Toc539923186"/>
      <w:bookmarkStart w:id="546" w:name="_Toc78449804"/>
      <w:r>
        <w:rPr>
          <w:rFonts w:hAnsi="宋体"/>
          <w:color w:val="auto"/>
          <w:highlight w:val="none"/>
        </w:rPr>
        <w:t>姓</w:t>
      </w:r>
      <w:r>
        <w:rPr>
          <w:color w:val="auto"/>
          <w:highlight w:val="none"/>
        </w:rPr>
        <w:t xml:space="preserve">    </w:t>
      </w:r>
      <w:r>
        <w:rPr>
          <w:rFonts w:hAnsi="宋体"/>
          <w:color w:val="auto"/>
          <w:highlight w:val="none"/>
        </w:rPr>
        <w:t>名：</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                </w:t>
      </w:r>
      <w:r>
        <w:rPr>
          <w:rFonts w:hAnsi="宋体"/>
          <w:color w:val="auto"/>
          <w:highlight w:val="none"/>
        </w:rPr>
        <w:t>；</w:t>
      </w:r>
    </w:p>
    <w:p w14:paraId="3F4B5D5C">
      <w:pPr>
        <w:spacing w:line="360" w:lineRule="auto"/>
        <w:ind w:firstLine="420" w:firstLineChars="200"/>
        <w:rPr>
          <w:color w:val="auto"/>
          <w:highlight w:val="none"/>
        </w:rPr>
      </w:pPr>
      <w:r>
        <w:rPr>
          <w:rFonts w:hAnsi="宋体"/>
          <w:color w:val="auto"/>
          <w:highlight w:val="none"/>
        </w:rPr>
        <w:t>职</w:t>
      </w:r>
      <w:r>
        <w:rPr>
          <w:color w:val="auto"/>
          <w:highlight w:val="none"/>
        </w:rPr>
        <w:t xml:space="preserve">    </w:t>
      </w:r>
      <w:r>
        <w:rPr>
          <w:rFonts w:hAnsi="宋体"/>
          <w:color w:val="auto"/>
          <w:highlight w:val="none"/>
        </w:rPr>
        <w:t>务：</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                </w:t>
      </w:r>
      <w:r>
        <w:rPr>
          <w:rFonts w:hAnsi="宋体"/>
          <w:color w:val="auto"/>
          <w:highlight w:val="none"/>
        </w:rPr>
        <w:t>；</w:t>
      </w:r>
    </w:p>
    <w:p w14:paraId="3D63656A">
      <w:pPr>
        <w:spacing w:line="360" w:lineRule="auto"/>
        <w:ind w:firstLine="420" w:firstLineChars="200"/>
        <w:rPr>
          <w:rFonts w:hAnsi="宋体"/>
          <w:color w:val="auto"/>
          <w:highlight w:val="none"/>
        </w:rPr>
      </w:pPr>
      <w:r>
        <w:rPr>
          <w:rFonts w:hAnsi="宋体"/>
          <w:color w:val="auto"/>
          <w:highlight w:val="none"/>
        </w:rPr>
        <w:t>监理工程师注册证书号：</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          </w:t>
      </w:r>
      <w:r>
        <w:rPr>
          <w:rFonts w:hAnsi="宋体"/>
          <w:color w:val="auto"/>
          <w:highlight w:val="none"/>
        </w:rPr>
        <w:t>；</w:t>
      </w:r>
    </w:p>
    <w:p w14:paraId="18E88D88">
      <w:pPr>
        <w:spacing w:line="360" w:lineRule="auto"/>
        <w:ind w:firstLine="420" w:firstLineChars="200"/>
        <w:rPr>
          <w:color w:val="auto"/>
          <w:highlight w:val="none"/>
        </w:rPr>
      </w:pPr>
      <w:r>
        <w:rPr>
          <w:rFonts w:hAnsi="宋体"/>
          <w:color w:val="auto"/>
          <w:highlight w:val="none"/>
        </w:rPr>
        <w:t>联系电话：</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                </w:t>
      </w:r>
      <w:r>
        <w:rPr>
          <w:rFonts w:hAnsi="宋体"/>
          <w:color w:val="auto"/>
          <w:highlight w:val="none"/>
        </w:rPr>
        <w:t>；</w:t>
      </w:r>
    </w:p>
    <w:p w14:paraId="7FF072B6">
      <w:pPr>
        <w:spacing w:line="360" w:lineRule="auto"/>
        <w:ind w:firstLine="420" w:firstLineChars="200"/>
        <w:rPr>
          <w:color w:val="auto"/>
          <w:highlight w:val="none"/>
        </w:rPr>
      </w:pPr>
      <w:r>
        <w:rPr>
          <w:rFonts w:hAnsi="宋体"/>
          <w:color w:val="auto"/>
          <w:highlight w:val="none"/>
        </w:rPr>
        <w:t>电子信箱：</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                </w:t>
      </w:r>
      <w:r>
        <w:rPr>
          <w:rFonts w:hAnsi="宋体"/>
          <w:color w:val="auto"/>
          <w:highlight w:val="none"/>
        </w:rPr>
        <w:t>；</w:t>
      </w:r>
    </w:p>
    <w:p w14:paraId="3C87E1CD">
      <w:pPr>
        <w:spacing w:line="360" w:lineRule="auto"/>
        <w:ind w:firstLine="420" w:firstLineChars="200"/>
        <w:rPr>
          <w:color w:val="auto"/>
          <w:highlight w:val="none"/>
        </w:rPr>
      </w:pPr>
      <w:r>
        <w:rPr>
          <w:rFonts w:hAnsi="宋体"/>
          <w:color w:val="auto"/>
          <w:highlight w:val="none"/>
        </w:rPr>
        <w:t>通信地址：</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                </w:t>
      </w:r>
      <w:r>
        <w:rPr>
          <w:rFonts w:hAnsi="宋体"/>
          <w:color w:val="auto"/>
          <w:highlight w:val="none"/>
        </w:rPr>
        <w:t>；</w:t>
      </w:r>
    </w:p>
    <w:p w14:paraId="4653D4E6">
      <w:pPr>
        <w:spacing w:line="360" w:lineRule="auto"/>
        <w:ind w:firstLine="420" w:firstLineChars="200"/>
        <w:rPr>
          <w:color w:val="auto"/>
          <w:highlight w:val="none"/>
        </w:rPr>
      </w:pPr>
      <w:r>
        <w:rPr>
          <w:rFonts w:hAnsi="宋体"/>
          <w:color w:val="auto"/>
          <w:highlight w:val="none"/>
        </w:rPr>
        <w:t>关于监理人的其他约定：</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          </w:t>
      </w:r>
      <w:r>
        <w:rPr>
          <w:rFonts w:hAnsi="宋体"/>
          <w:color w:val="auto"/>
          <w:highlight w:val="none"/>
        </w:rPr>
        <w:t>。</w:t>
      </w:r>
    </w:p>
    <w:p w14:paraId="25082965">
      <w:pPr>
        <w:pStyle w:val="5"/>
        <w:rPr>
          <w:color w:val="auto"/>
          <w:highlight w:val="none"/>
        </w:rPr>
      </w:pPr>
      <w:r>
        <w:rPr>
          <w:color w:val="auto"/>
          <w:highlight w:val="none"/>
        </w:rPr>
        <w:t xml:space="preserve">4.4 </w:t>
      </w:r>
      <w:r>
        <w:rPr>
          <w:rFonts w:hint="eastAsia" w:hAnsi="宋体" w:cs="黑体"/>
          <w:color w:val="auto"/>
          <w:highlight w:val="none"/>
        </w:rPr>
        <w:t>商定或确定</w:t>
      </w:r>
      <w:bookmarkEnd w:id="539"/>
      <w:bookmarkEnd w:id="540"/>
      <w:bookmarkEnd w:id="541"/>
      <w:bookmarkEnd w:id="542"/>
      <w:bookmarkEnd w:id="543"/>
      <w:bookmarkEnd w:id="544"/>
      <w:bookmarkEnd w:id="545"/>
      <w:bookmarkEnd w:id="546"/>
    </w:p>
    <w:p w14:paraId="548552D6">
      <w:pPr>
        <w:spacing w:line="360" w:lineRule="auto"/>
        <w:ind w:firstLine="420" w:firstLineChars="200"/>
        <w:rPr>
          <w:color w:val="auto"/>
          <w:highlight w:val="none"/>
        </w:rPr>
      </w:pPr>
      <w:bookmarkStart w:id="547" w:name="_Toc267251418"/>
      <w:r>
        <w:rPr>
          <w:rFonts w:hint="eastAsia" w:hAnsi="宋体" w:cs="宋体"/>
          <w:color w:val="auto"/>
          <w:highlight w:val="none"/>
        </w:rPr>
        <w:t>在发包人和承包人不能通过协商达成一致意见时，发包人授权监理人对以下事项进行确定：</w:t>
      </w:r>
    </w:p>
    <w:p w14:paraId="004CDE1D">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w:t>
      </w:r>
      <w:r>
        <w:rPr>
          <w:rFonts w:ascii="宋体" w:hAnsi="宋体" w:eastAsia="宋体" w:cs="宋体"/>
          <w:color w:val="auto"/>
          <w:spacing w:val="0"/>
          <w:highlight w:val="none"/>
          <w:u w:val="single"/>
        </w:rPr>
        <w:t xml:space="preserve">           无             </w:t>
      </w:r>
      <w:r>
        <w:rPr>
          <w:rFonts w:hint="eastAsia" w:hAnsi="宋体" w:cs="宋体"/>
          <w:color w:val="auto"/>
          <w:highlight w:val="none"/>
        </w:rPr>
        <w:t>；</w:t>
      </w:r>
    </w:p>
    <w:p w14:paraId="3393D8E6">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w:t>
      </w:r>
      <w:r>
        <w:rPr>
          <w:rFonts w:ascii="宋体" w:hAnsi="宋体" w:eastAsia="宋体" w:cs="宋体"/>
          <w:color w:val="auto"/>
          <w:spacing w:val="0"/>
          <w:highlight w:val="none"/>
          <w:u w:val="single"/>
        </w:rPr>
        <w:t xml:space="preserve">           无             </w:t>
      </w:r>
      <w:r>
        <w:rPr>
          <w:rFonts w:hint="eastAsia" w:hAnsi="宋体" w:cs="宋体"/>
          <w:color w:val="auto"/>
          <w:highlight w:val="none"/>
        </w:rPr>
        <w:t>；</w:t>
      </w:r>
    </w:p>
    <w:p w14:paraId="0612C4D3">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w:t>
      </w:r>
      <w:r>
        <w:rPr>
          <w:rFonts w:ascii="宋体" w:hAnsi="宋体" w:eastAsia="宋体" w:cs="宋体"/>
          <w:color w:val="auto"/>
          <w:spacing w:val="0"/>
          <w:highlight w:val="none"/>
          <w:u w:val="single"/>
        </w:rPr>
        <w:t xml:space="preserve">           无             </w:t>
      </w:r>
      <w:r>
        <w:rPr>
          <w:rFonts w:hint="eastAsia" w:hAnsi="宋体" w:cs="宋体"/>
          <w:color w:val="auto"/>
          <w:highlight w:val="none"/>
        </w:rPr>
        <w:t>。</w:t>
      </w:r>
    </w:p>
    <w:p w14:paraId="4DF03FDD">
      <w:pPr>
        <w:pStyle w:val="4"/>
        <w:rPr>
          <w:color w:val="auto"/>
          <w:highlight w:val="none"/>
        </w:rPr>
      </w:pPr>
      <w:bookmarkStart w:id="548" w:name="_Toc18278"/>
      <w:bookmarkStart w:id="549" w:name="_Toc373478364"/>
      <w:bookmarkStart w:id="550" w:name="_Toc11514"/>
      <w:bookmarkStart w:id="551" w:name="_Toc407135219"/>
      <w:bookmarkStart w:id="552" w:name="_Toc351203637"/>
      <w:bookmarkStart w:id="553" w:name="_Toc1687297496"/>
      <w:bookmarkStart w:id="554" w:name="_Toc389065283"/>
      <w:bookmarkStart w:id="555" w:name="_Toc78449805"/>
      <w:bookmarkStart w:id="556" w:name="_Toc1603077308"/>
      <w:bookmarkStart w:id="557" w:name="_Toc373227717"/>
      <w:r>
        <w:rPr>
          <w:color w:val="auto"/>
          <w:highlight w:val="none"/>
        </w:rPr>
        <w:t>5</w:t>
      </w:r>
      <w:bookmarkEnd w:id="547"/>
      <w:bookmarkStart w:id="558" w:name="_Toc296944502"/>
      <w:bookmarkStart w:id="559" w:name="_Toc296347162"/>
      <w:bookmarkStart w:id="560" w:name="_Toc292559872"/>
      <w:bookmarkStart w:id="561" w:name="_Toc292559367"/>
      <w:bookmarkStart w:id="562" w:name="_Toc297120463"/>
      <w:bookmarkStart w:id="563" w:name="_Toc296346664"/>
      <w:bookmarkStart w:id="564" w:name="_Toc297048349"/>
      <w:bookmarkStart w:id="565" w:name="_Toc296891203"/>
      <w:bookmarkStart w:id="566" w:name="_Toc296890991"/>
      <w:bookmarkStart w:id="567" w:name="_Toc296503163"/>
      <w:r>
        <w:rPr>
          <w:color w:val="auto"/>
          <w:highlight w:val="none"/>
        </w:rPr>
        <w:t xml:space="preserve">. </w:t>
      </w:r>
      <w:r>
        <w:rPr>
          <w:rFonts w:hint="eastAsia" w:hAnsi="宋体" w:cs="黑体"/>
          <w:color w:val="auto"/>
          <w:highlight w:val="none"/>
        </w:rPr>
        <w:t>工程质量</w:t>
      </w:r>
      <w:bookmarkEnd w:id="548"/>
      <w:bookmarkEnd w:id="549"/>
      <w:bookmarkEnd w:id="550"/>
      <w:bookmarkEnd w:id="551"/>
      <w:bookmarkEnd w:id="552"/>
      <w:bookmarkEnd w:id="553"/>
      <w:bookmarkEnd w:id="554"/>
      <w:bookmarkEnd w:id="555"/>
      <w:bookmarkEnd w:id="556"/>
      <w:bookmarkEnd w:id="557"/>
    </w:p>
    <w:p w14:paraId="2C1D3A57">
      <w:pPr>
        <w:pStyle w:val="5"/>
        <w:rPr>
          <w:color w:val="auto"/>
          <w:highlight w:val="none"/>
        </w:rPr>
      </w:pPr>
      <w:bookmarkStart w:id="568" w:name="_Toc407135220"/>
      <w:bookmarkStart w:id="569" w:name="_Toc373227718"/>
      <w:bookmarkStart w:id="570" w:name="_Toc78449806"/>
      <w:bookmarkStart w:id="571" w:name="_Toc1835421345"/>
      <w:bookmarkStart w:id="572" w:name="_Toc1952042622"/>
      <w:bookmarkStart w:id="573" w:name="_Toc373478365"/>
      <w:bookmarkStart w:id="574" w:name="_Toc12906"/>
      <w:bookmarkStart w:id="575" w:name="_Toc389065284"/>
      <w:r>
        <w:rPr>
          <w:color w:val="auto"/>
          <w:highlight w:val="none"/>
        </w:rPr>
        <w:t xml:space="preserve">5.1 </w:t>
      </w:r>
      <w:r>
        <w:rPr>
          <w:rFonts w:hint="eastAsia" w:hAnsi="宋体" w:cs="黑体"/>
          <w:color w:val="auto"/>
          <w:highlight w:val="none"/>
        </w:rPr>
        <w:t>质量要求</w:t>
      </w:r>
      <w:bookmarkEnd w:id="568"/>
      <w:bookmarkEnd w:id="569"/>
      <w:bookmarkEnd w:id="570"/>
      <w:bookmarkEnd w:id="571"/>
      <w:bookmarkEnd w:id="572"/>
      <w:bookmarkEnd w:id="573"/>
      <w:bookmarkEnd w:id="574"/>
      <w:bookmarkEnd w:id="575"/>
    </w:p>
    <w:p w14:paraId="6E25576F">
      <w:pPr>
        <w:spacing w:line="360" w:lineRule="auto"/>
        <w:ind w:firstLine="420" w:firstLineChars="200"/>
        <w:jc w:val="left"/>
        <w:rPr>
          <w:color w:val="auto"/>
          <w:highlight w:val="none"/>
          <w:u w:val="single"/>
        </w:rPr>
      </w:pPr>
      <w:r>
        <w:rPr>
          <w:color w:val="auto"/>
          <w:highlight w:val="none"/>
        </w:rPr>
        <w:t>5</w:t>
      </w:r>
      <w:bookmarkStart w:id="576" w:name="_Toc297216155"/>
      <w:bookmarkStart w:id="577" w:name="_Toc303539106"/>
      <w:bookmarkStart w:id="578" w:name="_Toc312677997"/>
      <w:bookmarkStart w:id="579" w:name="_Toc318581164"/>
      <w:bookmarkStart w:id="580" w:name="_Toc300934949"/>
      <w:bookmarkStart w:id="581" w:name="_Toc297123496"/>
      <w:bookmarkStart w:id="582" w:name="_Toc304295527"/>
      <w:r>
        <w:rPr>
          <w:color w:val="auto"/>
          <w:highlight w:val="none"/>
        </w:rPr>
        <w:t xml:space="preserve">.1.1 </w:t>
      </w:r>
      <w:r>
        <w:rPr>
          <w:rFonts w:hint="eastAsia" w:hAnsi="宋体" w:cs="宋体"/>
          <w:color w:val="auto"/>
          <w:highlight w:val="none"/>
        </w:rPr>
        <w:t>特殊质量标准和要求：</w:t>
      </w:r>
      <w:r>
        <w:rPr>
          <w:color w:val="auto"/>
          <w:highlight w:val="none"/>
          <w:u w:val="single"/>
        </w:rPr>
        <w:t xml:space="preserve">              </w:t>
      </w:r>
      <w:r>
        <w:rPr>
          <w:rFonts w:hint="eastAsia"/>
          <w:color w:val="auto"/>
          <w:highlight w:val="none"/>
          <w:u w:val="single"/>
          <w:lang w:val="en-US" w:eastAsia="zh-CN"/>
        </w:rPr>
        <w:t>/</w:t>
      </w:r>
      <w:r>
        <w:rPr>
          <w:color w:val="auto"/>
          <w:highlight w:val="none"/>
          <w:u w:val="single"/>
        </w:rPr>
        <w:t xml:space="preserve">              </w:t>
      </w:r>
      <w:r>
        <w:rPr>
          <w:rFonts w:hint="eastAsia" w:hAnsi="宋体" w:cs="宋体"/>
          <w:color w:val="auto"/>
          <w:highlight w:val="none"/>
        </w:rPr>
        <w:t>。</w:t>
      </w:r>
    </w:p>
    <w:p w14:paraId="1CD044B3">
      <w:pPr>
        <w:spacing w:line="360" w:lineRule="auto"/>
        <w:ind w:firstLine="420" w:firstLineChars="200"/>
        <w:jc w:val="left"/>
        <w:rPr>
          <w:color w:val="auto"/>
          <w:highlight w:val="none"/>
        </w:rPr>
      </w:pPr>
      <w:r>
        <w:rPr>
          <w:rFonts w:hint="eastAsia" w:hAnsi="宋体" w:cs="宋体"/>
          <w:color w:val="auto"/>
          <w:highlight w:val="none"/>
        </w:rPr>
        <w:t>关于工程奖项的约定：</w:t>
      </w:r>
      <w:r>
        <w:rPr>
          <w:color w:val="auto"/>
          <w:highlight w:val="none"/>
        </w:rPr>
        <w:t xml:space="preserve"> </w:t>
      </w:r>
      <w:r>
        <w:rPr>
          <w:rFonts w:hint="eastAsia"/>
          <w:color w:val="auto"/>
          <w:highlight w:val="none"/>
        </w:rPr>
        <w:t>如果</w:t>
      </w:r>
      <w:r>
        <w:rPr>
          <w:color w:val="auto"/>
          <w:highlight w:val="none"/>
        </w:rPr>
        <w:t>工程获得</w:t>
      </w:r>
      <w:r>
        <w:rPr>
          <w:rFonts w:hint="eastAsia"/>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（奖项名称）</w:t>
      </w:r>
      <w:r>
        <w:rPr>
          <w:rFonts w:hint="eastAsia"/>
          <w:color w:val="auto"/>
          <w:highlight w:val="none"/>
        </w:rPr>
        <w:t>，</w:t>
      </w:r>
      <w:r>
        <w:rPr>
          <w:color w:val="auto"/>
          <w:highlight w:val="none"/>
        </w:rPr>
        <w:t>给予</w:t>
      </w:r>
      <w:r>
        <w:rPr>
          <w:rFonts w:hint="eastAsia"/>
          <w:color w:val="auto"/>
          <w:highlight w:val="none"/>
        </w:rPr>
        <w:t>承包人</w:t>
      </w:r>
      <w:r>
        <w:rPr>
          <w:color w:val="auto"/>
          <w:highlight w:val="none"/>
        </w:rPr>
        <w:t>合同价</w:t>
      </w:r>
      <w:r>
        <w:rPr>
          <w:rFonts w:hint="eastAsia"/>
          <w:color w:val="auto"/>
          <w:highlight w:val="none"/>
          <w:u w:val="single"/>
        </w:rPr>
        <w:t xml:space="preserve"> </w:t>
      </w:r>
      <w:r>
        <w:rPr>
          <w:rFonts w:hint="eastAsia"/>
          <w:color w:val="auto"/>
          <w:highlight w:val="none"/>
          <w:u w:val="single"/>
          <w:lang w:val="en-US" w:eastAsia="zh-CN"/>
        </w:rPr>
        <w:t xml:space="preserve"> / </w:t>
      </w:r>
      <w:r>
        <w:rPr>
          <w:rFonts w:hint="eastAsia"/>
          <w:color w:val="auto"/>
          <w:highlight w:val="none"/>
          <w:u w:val="single"/>
        </w:rPr>
        <w:t xml:space="preserve"> </w:t>
      </w:r>
      <w:r>
        <w:rPr>
          <w:color w:val="auto"/>
          <w:highlight w:val="none"/>
        </w:rPr>
        <w:t>%的奖励</w:t>
      </w:r>
      <w:r>
        <w:rPr>
          <w:rFonts w:hint="eastAsia" w:hAnsi="宋体" w:cs="宋体"/>
          <w:color w:val="auto"/>
          <w:highlight w:val="none"/>
        </w:rPr>
        <w:t>。（建设单位创建优质工程的，鼓励在招标控制价和预算中按我区工程建设定额规定计列工程优质费，并在招标文件中明确工程优质费不可竞争。）</w:t>
      </w:r>
    </w:p>
    <w:p w14:paraId="54418BBB">
      <w:pPr>
        <w:spacing w:line="360" w:lineRule="auto"/>
        <w:ind w:firstLine="420" w:firstLineChars="200"/>
        <w:jc w:val="left"/>
        <w:rPr>
          <w:color w:val="auto"/>
          <w:highlight w:val="none"/>
        </w:rPr>
      </w:pPr>
      <w:r>
        <w:rPr>
          <w:color w:val="auto"/>
          <w:highlight w:val="none"/>
        </w:rPr>
        <w:t xml:space="preserve">5.3 </w:t>
      </w:r>
      <w:r>
        <w:rPr>
          <w:rFonts w:hint="eastAsia" w:hAnsi="宋体" w:cs="宋体"/>
          <w:color w:val="auto"/>
          <w:highlight w:val="none"/>
        </w:rPr>
        <w:t>隐蔽工程检查</w:t>
      </w:r>
    </w:p>
    <w:p w14:paraId="7DACD9D9">
      <w:pPr>
        <w:spacing w:line="360" w:lineRule="auto"/>
        <w:ind w:firstLine="420" w:firstLineChars="200"/>
        <w:jc w:val="left"/>
        <w:rPr>
          <w:color w:val="auto"/>
          <w:highlight w:val="none"/>
          <w:u w:val="single"/>
        </w:rPr>
      </w:pPr>
      <w:r>
        <w:rPr>
          <w:color w:val="auto"/>
          <w:highlight w:val="none"/>
        </w:rPr>
        <w:t>5.3.2</w:t>
      </w:r>
      <w:r>
        <w:rPr>
          <w:rFonts w:hint="eastAsia" w:hAnsi="宋体" w:cs="宋体"/>
          <w:color w:val="auto"/>
          <w:highlight w:val="none"/>
        </w:rPr>
        <w:t>承包人提前通知监理人隐蔽工程检查的期限的约定：工程隐蔽或中间验收前</w:t>
      </w:r>
      <w:r>
        <w:rPr>
          <w:color w:val="auto"/>
          <w:highlight w:val="none"/>
        </w:rPr>
        <w:t>12</w:t>
      </w:r>
      <w:r>
        <w:rPr>
          <w:rFonts w:hint="eastAsia" w:hAnsi="宋体" w:cs="宋体"/>
          <w:color w:val="auto"/>
          <w:highlight w:val="none"/>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2EB3E8E8">
      <w:pPr>
        <w:spacing w:line="360" w:lineRule="auto"/>
        <w:ind w:firstLine="420" w:firstLineChars="200"/>
        <w:jc w:val="left"/>
        <w:rPr>
          <w:color w:val="auto"/>
          <w:highlight w:val="none"/>
        </w:rPr>
      </w:pPr>
      <w:r>
        <w:rPr>
          <w:rFonts w:hint="eastAsia" w:hAnsi="宋体" w:cs="宋体"/>
          <w:color w:val="auto"/>
          <w:highlight w:val="none"/>
        </w:rPr>
        <w:t>监理人不能按时进行检查时，应提前</w:t>
      </w:r>
      <w:r>
        <w:rPr>
          <w:color w:val="auto"/>
          <w:highlight w:val="none"/>
          <w:u w:val="single"/>
        </w:rPr>
        <w:t xml:space="preserve">   </w:t>
      </w:r>
      <w:r>
        <w:rPr>
          <w:rFonts w:hint="eastAsia"/>
          <w:color w:val="auto"/>
          <w:highlight w:val="none"/>
          <w:u w:val="single"/>
          <w:lang w:val="en-US" w:eastAsia="zh-CN"/>
        </w:rPr>
        <w:t>12</w:t>
      </w:r>
      <w:r>
        <w:rPr>
          <w:color w:val="auto"/>
          <w:highlight w:val="none"/>
          <w:u w:val="single"/>
        </w:rPr>
        <w:t xml:space="preserve">   </w:t>
      </w:r>
      <w:r>
        <w:rPr>
          <w:rFonts w:hint="eastAsia" w:hAnsi="宋体" w:cs="宋体"/>
          <w:color w:val="auto"/>
          <w:highlight w:val="none"/>
        </w:rPr>
        <w:t>小时提交书面延期要求。</w:t>
      </w:r>
    </w:p>
    <w:p w14:paraId="24368EC0">
      <w:pPr>
        <w:spacing w:line="360" w:lineRule="auto"/>
        <w:ind w:firstLine="420" w:firstLineChars="200"/>
        <w:jc w:val="left"/>
        <w:rPr>
          <w:color w:val="auto"/>
          <w:highlight w:val="none"/>
        </w:rPr>
      </w:pPr>
      <w:r>
        <w:rPr>
          <w:rFonts w:hint="eastAsia" w:hAnsi="宋体" w:cs="宋体"/>
          <w:color w:val="auto"/>
          <w:highlight w:val="none"/>
        </w:rPr>
        <w:t>关于延期最长不得超过：</w:t>
      </w:r>
      <w:r>
        <w:rPr>
          <w:color w:val="auto"/>
          <w:highlight w:val="none"/>
          <w:u w:val="single"/>
        </w:rPr>
        <w:t xml:space="preserve">   </w:t>
      </w:r>
      <w:r>
        <w:rPr>
          <w:rFonts w:hint="eastAsia"/>
          <w:color w:val="auto"/>
          <w:highlight w:val="none"/>
          <w:u w:val="single"/>
          <w:lang w:val="en-US" w:eastAsia="zh-CN"/>
        </w:rPr>
        <w:t>12</w:t>
      </w:r>
      <w:r>
        <w:rPr>
          <w:color w:val="auto"/>
          <w:highlight w:val="none"/>
          <w:u w:val="single"/>
        </w:rPr>
        <w:t xml:space="preserve">   </w:t>
      </w:r>
      <w:r>
        <w:rPr>
          <w:rFonts w:hint="eastAsia" w:hAnsi="宋体" w:cs="宋体"/>
          <w:color w:val="auto"/>
          <w:highlight w:val="none"/>
        </w:rPr>
        <w:t>小时。</w:t>
      </w:r>
    </w:p>
    <w:p w14:paraId="2DF5633C">
      <w:pPr>
        <w:pStyle w:val="4"/>
        <w:rPr>
          <w:color w:val="auto"/>
          <w:highlight w:val="none"/>
        </w:rPr>
      </w:pPr>
      <w:bookmarkStart w:id="583" w:name="_Toc373227719"/>
      <w:bookmarkStart w:id="584" w:name="_Toc78449807"/>
      <w:bookmarkStart w:id="585" w:name="_Toc703841976"/>
      <w:bookmarkStart w:id="586" w:name="_Toc9183"/>
      <w:bookmarkStart w:id="587" w:name="_Toc3549"/>
      <w:bookmarkStart w:id="588" w:name="_Toc407135221"/>
      <w:bookmarkStart w:id="589" w:name="_Toc351203638"/>
      <w:bookmarkStart w:id="590" w:name="_Toc373478366"/>
      <w:bookmarkStart w:id="591" w:name="_Toc389065285"/>
      <w:bookmarkStart w:id="592" w:name="_Toc1259019817"/>
      <w:r>
        <w:rPr>
          <w:color w:val="auto"/>
          <w:highlight w:val="none"/>
        </w:rPr>
        <w:t xml:space="preserve">6. </w:t>
      </w:r>
      <w:r>
        <w:rPr>
          <w:rFonts w:hint="eastAsia" w:cs="黑体"/>
          <w:color w:val="auto"/>
          <w:highlight w:val="none"/>
        </w:rPr>
        <w:t>安全文明施工与环境保护</w:t>
      </w:r>
      <w:bookmarkEnd w:id="583"/>
      <w:bookmarkEnd w:id="584"/>
      <w:bookmarkEnd w:id="585"/>
      <w:bookmarkEnd w:id="586"/>
      <w:bookmarkEnd w:id="587"/>
      <w:bookmarkEnd w:id="588"/>
      <w:bookmarkEnd w:id="589"/>
      <w:bookmarkEnd w:id="590"/>
      <w:bookmarkEnd w:id="591"/>
      <w:bookmarkEnd w:id="592"/>
    </w:p>
    <w:p w14:paraId="02DF9150">
      <w:pPr>
        <w:pStyle w:val="5"/>
        <w:rPr>
          <w:color w:val="auto"/>
          <w:highlight w:val="none"/>
        </w:rPr>
      </w:pPr>
      <w:bookmarkStart w:id="593" w:name="_Toc180514231"/>
      <w:bookmarkStart w:id="594" w:name="_Toc5084"/>
      <w:bookmarkStart w:id="595" w:name="_Toc389065286"/>
      <w:bookmarkStart w:id="596" w:name="_Toc373227720"/>
      <w:bookmarkStart w:id="597" w:name="_Toc78449808"/>
      <w:bookmarkStart w:id="598" w:name="_Toc373478367"/>
      <w:bookmarkStart w:id="599" w:name="_Toc1296292062"/>
      <w:bookmarkStart w:id="600" w:name="_Toc407135222"/>
      <w:r>
        <w:rPr>
          <w:color w:val="auto"/>
          <w:highlight w:val="none"/>
        </w:rPr>
        <w:t xml:space="preserve">6.1 </w:t>
      </w:r>
      <w:r>
        <w:rPr>
          <w:rFonts w:hint="eastAsia" w:cs="黑体"/>
          <w:color w:val="auto"/>
          <w:highlight w:val="none"/>
        </w:rPr>
        <w:t>安全文明施工</w:t>
      </w:r>
      <w:bookmarkEnd w:id="593"/>
      <w:bookmarkEnd w:id="594"/>
      <w:bookmarkEnd w:id="595"/>
      <w:bookmarkEnd w:id="596"/>
      <w:bookmarkEnd w:id="597"/>
      <w:bookmarkEnd w:id="598"/>
      <w:bookmarkEnd w:id="599"/>
      <w:bookmarkEnd w:id="600"/>
    </w:p>
    <w:p w14:paraId="7B012CAE">
      <w:pPr>
        <w:spacing w:line="360" w:lineRule="auto"/>
        <w:ind w:firstLine="420" w:firstLineChars="200"/>
        <w:jc w:val="left"/>
        <w:rPr>
          <w:rFonts w:hAnsi="宋体"/>
          <w:color w:val="auto"/>
          <w:highlight w:val="none"/>
        </w:rPr>
      </w:pPr>
      <w:r>
        <w:rPr>
          <w:color w:val="auto"/>
          <w:highlight w:val="none"/>
        </w:rPr>
        <w:t xml:space="preserve">6.1.1 </w:t>
      </w:r>
      <w:r>
        <w:rPr>
          <w:rFonts w:hint="eastAsia" w:hAnsi="宋体" w:cs="宋体"/>
          <w:color w:val="auto"/>
          <w:highlight w:val="none"/>
        </w:rPr>
        <w:t>项目安全生产的达标目标及相应事项的约定：</w:t>
      </w:r>
      <w:r>
        <w:rPr>
          <w:rFonts w:hint="eastAsia"/>
          <w:color w:val="auto"/>
          <w:highlight w:val="none"/>
          <w:u w:val="single"/>
        </w:rPr>
        <w:t>要求达到《建筑施工安全检查标准》</w:t>
      </w:r>
      <w:r>
        <w:rPr>
          <w:rFonts w:hint="eastAsia"/>
          <w:color w:val="auto"/>
          <w:highlight w:val="none"/>
          <w:u w:val="single"/>
          <w:lang w:eastAsia="zh-CN"/>
        </w:rPr>
        <w:t>（</w:t>
      </w:r>
      <w:r>
        <w:rPr>
          <w:rFonts w:hint="eastAsia"/>
          <w:color w:val="auto"/>
          <w:highlight w:val="none"/>
          <w:u w:val="single"/>
        </w:rPr>
        <w:t>JGJ59-2011</w:t>
      </w:r>
      <w:r>
        <w:rPr>
          <w:rFonts w:hint="eastAsia"/>
          <w:color w:val="auto"/>
          <w:highlight w:val="none"/>
          <w:u w:val="single"/>
          <w:lang w:eastAsia="zh-CN"/>
        </w:rPr>
        <w:t>）</w:t>
      </w:r>
      <w:r>
        <w:rPr>
          <w:rFonts w:hint="eastAsia"/>
          <w:color w:val="auto"/>
          <w:highlight w:val="none"/>
          <w:u w:val="single"/>
        </w:rPr>
        <w:t>的标准，严格执行《大气污染防治法》</w:t>
      </w:r>
      <w:r>
        <w:rPr>
          <w:rFonts w:hint="eastAsia"/>
          <w:color w:val="auto"/>
          <w:highlight w:val="none"/>
          <w:u w:val="single"/>
          <w:lang w:eastAsia="zh-CN"/>
        </w:rPr>
        <w:t>（</w:t>
      </w:r>
      <w:r>
        <w:rPr>
          <w:rFonts w:hint="eastAsia"/>
          <w:color w:val="auto"/>
          <w:highlight w:val="none"/>
          <w:u w:val="single"/>
        </w:rPr>
        <w:t>主席令第三十一号</w:t>
      </w:r>
      <w:r>
        <w:rPr>
          <w:rFonts w:hint="eastAsia"/>
          <w:color w:val="auto"/>
          <w:highlight w:val="none"/>
          <w:u w:val="single"/>
          <w:lang w:eastAsia="zh-CN"/>
        </w:rPr>
        <w:t>）</w:t>
      </w:r>
      <w:r>
        <w:rPr>
          <w:rFonts w:hint="eastAsia"/>
          <w:color w:val="auto"/>
          <w:highlight w:val="none"/>
          <w:u w:val="single"/>
        </w:rPr>
        <w:t>、《南宁市建设工程质量和安全生产管理办法》</w:t>
      </w:r>
      <w:r>
        <w:rPr>
          <w:rFonts w:hint="eastAsia"/>
          <w:color w:val="auto"/>
          <w:highlight w:val="none"/>
          <w:u w:val="single"/>
          <w:lang w:eastAsia="zh-CN"/>
        </w:rPr>
        <w:t>（</w:t>
      </w:r>
      <w:r>
        <w:rPr>
          <w:rFonts w:hint="eastAsia"/>
          <w:color w:val="auto"/>
          <w:highlight w:val="none"/>
          <w:u w:val="single"/>
        </w:rPr>
        <w:t>南宁市政府令第46号</w:t>
      </w:r>
      <w:r>
        <w:rPr>
          <w:rFonts w:hint="eastAsia"/>
          <w:color w:val="auto"/>
          <w:highlight w:val="none"/>
          <w:u w:val="single"/>
          <w:lang w:eastAsia="zh-CN"/>
        </w:rPr>
        <w:t>）</w:t>
      </w:r>
      <w:r>
        <w:rPr>
          <w:rFonts w:hint="eastAsia"/>
          <w:color w:val="auto"/>
          <w:highlight w:val="none"/>
          <w:u w:val="single"/>
        </w:rPr>
        <w:t>、《关于推进建筑业改革发展提升工程治理水平的若干意见》</w:t>
      </w:r>
      <w:r>
        <w:rPr>
          <w:rFonts w:hint="eastAsia"/>
          <w:color w:val="auto"/>
          <w:highlight w:val="none"/>
          <w:u w:val="single"/>
          <w:lang w:eastAsia="zh-CN"/>
        </w:rPr>
        <w:t>（</w:t>
      </w:r>
      <w:r>
        <w:rPr>
          <w:rFonts w:hint="eastAsia"/>
          <w:color w:val="auto"/>
          <w:highlight w:val="none"/>
          <w:u w:val="single"/>
        </w:rPr>
        <w:t>南府规[2016]24号</w:t>
      </w:r>
      <w:r>
        <w:rPr>
          <w:rFonts w:hint="eastAsia"/>
          <w:color w:val="auto"/>
          <w:highlight w:val="none"/>
          <w:u w:val="single"/>
          <w:lang w:eastAsia="zh-CN"/>
        </w:rPr>
        <w:t>）</w:t>
      </w:r>
      <w:r>
        <w:rPr>
          <w:rFonts w:hint="eastAsia"/>
          <w:color w:val="auto"/>
          <w:highlight w:val="none"/>
          <w:u w:val="single"/>
        </w:rPr>
        <w:t>、《南宁市土方作业文明施工工作导则》、《南宁市建设工程质量安全标准化图集》、《广西壮族自治区建设工程安全文明施工费使用管理细则》</w:t>
      </w:r>
      <w:r>
        <w:rPr>
          <w:rFonts w:hint="eastAsia"/>
          <w:color w:val="auto"/>
          <w:highlight w:val="none"/>
          <w:u w:val="single"/>
          <w:lang w:eastAsia="zh-CN"/>
        </w:rPr>
        <w:t>（</w:t>
      </w:r>
      <w:r>
        <w:rPr>
          <w:rFonts w:hint="eastAsia"/>
          <w:color w:val="auto"/>
          <w:highlight w:val="none"/>
          <w:u w:val="single"/>
        </w:rPr>
        <w:t>桂建质[2015]16号</w:t>
      </w:r>
      <w:r>
        <w:rPr>
          <w:rFonts w:hint="eastAsia"/>
          <w:color w:val="auto"/>
          <w:highlight w:val="none"/>
          <w:u w:val="single"/>
          <w:lang w:eastAsia="zh-CN"/>
        </w:rPr>
        <w:t>）</w:t>
      </w:r>
      <w:r>
        <w:rPr>
          <w:rFonts w:hint="eastAsia"/>
          <w:color w:val="auto"/>
          <w:highlight w:val="none"/>
          <w:u w:val="single"/>
        </w:rPr>
        <w:t>、《南宁市建设工程安全防护、文明施工措施费用管理规定》的有关规定，必须与经城管部门及行业协会核查建立的合法合规运输企业名录当中的企业签订运输合同，保证车辆受管控、服务够专业、利益分配较合理；使用符合密闭规定的合法车辆进行散体物料</w:t>
      </w:r>
      <w:r>
        <w:rPr>
          <w:rFonts w:hint="eastAsia"/>
          <w:color w:val="auto"/>
          <w:highlight w:val="none"/>
          <w:u w:val="single"/>
          <w:lang w:eastAsia="zh-CN"/>
        </w:rPr>
        <w:t>（</w:t>
      </w:r>
      <w:r>
        <w:rPr>
          <w:rFonts w:hint="eastAsia"/>
          <w:color w:val="auto"/>
          <w:highlight w:val="none"/>
          <w:u w:val="single"/>
        </w:rPr>
        <w:t>建筑渣土、垃圾、砂石等</w:t>
      </w:r>
      <w:r>
        <w:rPr>
          <w:rFonts w:hint="eastAsia"/>
          <w:color w:val="auto"/>
          <w:highlight w:val="none"/>
          <w:u w:val="single"/>
          <w:lang w:eastAsia="zh-CN"/>
        </w:rPr>
        <w:t>）</w:t>
      </w:r>
      <w:r>
        <w:rPr>
          <w:rFonts w:hint="eastAsia"/>
          <w:color w:val="auto"/>
          <w:highlight w:val="none"/>
          <w:u w:val="single"/>
        </w:rPr>
        <w:t>的运输，同时与辖区卫生防疫、环卫管理部门或有合法资质资格的企业签订病媒生物消杀协议、生活垃圾清运协议、在线远程监控扬尘监测协议，采取道路硬化、裸土覆盖、洗车出门、保洁路口、在线监测、抑尘喷淋等有效措施，确保建设工程各项安全防护、文明施工措施及其费用在工地一线按标准落实到位</w:t>
      </w:r>
      <w:r>
        <w:rPr>
          <w:rFonts w:hint="eastAsia" w:hAnsi="宋体" w:cs="宋体"/>
          <w:color w:val="auto"/>
          <w:highlight w:val="none"/>
        </w:rPr>
        <w:t>。</w:t>
      </w:r>
    </w:p>
    <w:p w14:paraId="1B03D4B7">
      <w:pPr>
        <w:spacing w:line="360" w:lineRule="auto"/>
        <w:ind w:firstLine="420" w:firstLineChars="200"/>
        <w:jc w:val="left"/>
        <w:rPr>
          <w:color w:val="auto"/>
          <w:highlight w:val="none"/>
        </w:rPr>
      </w:pPr>
      <w:r>
        <w:rPr>
          <w:rFonts w:hint="eastAsia" w:hAnsi="宋体" w:cs="宋体"/>
          <w:color w:val="auto"/>
          <w:highlight w:val="none"/>
        </w:rPr>
        <w:t>关于安全文明施工奖项的约定：</w:t>
      </w:r>
      <w:r>
        <w:rPr>
          <w:rFonts w:hint="eastAsia"/>
          <w:color w:val="auto"/>
          <w:highlight w:val="none"/>
          <w:u w:val="single"/>
        </w:rPr>
        <w:t xml:space="preserve">     无    </w:t>
      </w:r>
      <w:r>
        <w:rPr>
          <w:rFonts w:hint="eastAsia" w:hAnsi="宋体" w:cs="宋体"/>
          <w:color w:val="auto"/>
          <w:highlight w:val="none"/>
        </w:rPr>
        <w:t>。</w:t>
      </w:r>
    </w:p>
    <w:p w14:paraId="070805EF">
      <w:pPr>
        <w:spacing w:line="360" w:lineRule="auto"/>
        <w:ind w:firstLine="420" w:firstLineChars="200"/>
        <w:jc w:val="left"/>
        <w:rPr>
          <w:color w:val="auto"/>
          <w:highlight w:val="none"/>
          <w:u w:val="single"/>
        </w:rPr>
      </w:pPr>
      <w:r>
        <w:rPr>
          <w:color w:val="auto"/>
          <w:highlight w:val="none"/>
        </w:rPr>
        <w:t xml:space="preserve">6.1.4 </w:t>
      </w:r>
      <w:r>
        <w:rPr>
          <w:rFonts w:hint="eastAsia" w:hAnsi="宋体" w:cs="宋体"/>
          <w:color w:val="auto"/>
          <w:highlight w:val="none"/>
        </w:rPr>
        <w:t>关于治安保卫的特别约定：</w:t>
      </w:r>
      <w:r>
        <w:rPr>
          <w:rFonts w:hint="eastAsia" w:hAnsi="宋体" w:cs="宋体"/>
          <w:color w:val="auto"/>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68A97102">
      <w:pPr>
        <w:spacing w:line="360" w:lineRule="auto"/>
        <w:ind w:firstLine="420" w:firstLineChars="200"/>
        <w:jc w:val="left"/>
        <w:rPr>
          <w:color w:val="auto"/>
          <w:highlight w:val="none"/>
        </w:rPr>
      </w:pPr>
      <w:r>
        <w:rPr>
          <w:rFonts w:hint="eastAsia" w:hAnsi="宋体" w:cs="宋体"/>
          <w:color w:val="auto"/>
          <w:highlight w:val="none"/>
        </w:rPr>
        <w:t>关于编制施工场地治安管理计划的约定：</w:t>
      </w:r>
      <w:r>
        <w:rPr>
          <w:rFonts w:ascii="宋体" w:hAnsi="宋体" w:eastAsia="宋体" w:cs="宋体"/>
          <w:color w:val="auto"/>
          <w:highlight w:val="none"/>
          <w:u w:val="single"/>
        </w:rPr>
        <w:t xml:space="preserve">    无    </w:t>
      </w:r>
      <w:r>
        <w:rPr>
          <w:rFonts w:hint="eastAsia" w:hAnsi="宋体" w:cs="宋体"/>
          <w:color w:val="auto"/>
          <w:highlight w:val="none"/>
        </w:rPr>
        <w:t>。</w:t>
      </w:r>
    </w:p>
    <w:p w14:paraId="212333B4">
      <w:pPr>
        <w:spacing w:line="360" w:lineRule="auto"/>
        <w:ind w:firstLine="420" w:firstLineChars="200"/>
        <w:jc w:val="left"/>
        <w:rPr>
          <w:color w:val="auto"/>
          <w:highlight w:val="none"/>
        </w:rPr>
      </w:pPr>
      <w:r>
        <w:rPr>
          <w:color w:val="auto"/>
          <w:highlight w:val="none"/>
        </w:rPr>
        <w:t xml:space="preserve">6.1.5 </w:t>
      </w:r>
      <w:r>
        <w:rPr>
          <w:rFonts w:hint="eastAsia" w:hAnsi="宋体" w:cs="宋体"/>
          <w:color w:val="auto"/>
          <w:highlight w:val="none"/>
        </w:rPr>
        <w:t>文明施工</w:t>
      </w:r>
    </w:p>
    <w:p w14:paraId="34682BED">
      <w:pPr>
        <w:spacing w:line="360" w:lineRule="auto"/>
        <w:ind w:firstLine="420" w:firstLineChars="200"/>
        <w:jc w:val="left"/>
        <w:rPr>
          <w:color w:val="auto"/>
          <w:highlight w:val="none"/>
        </w:rPr>
      </w:pPr>
      <w:r>
        <w:rPr>
          <w:rFonts w:hint="eastAsia" w:hAnsi="宋体" w:cs="宋体"/>
          <w:color w:val="auto"/>
          <w:highlight w:val="none"/>
        </w:rPr>
        <w:t>合同当事人对文明施工的要求：</w:t>
      </w:r>
      <w:r>
        <w:rPr>
          <w:rFonts w:hint="eastAsia"/>
          <w:color w:val="auto"/>
          <w:highlight w:val="none"/>
          <w:u w:val="single"/>
        </w:rPr>
        <w:t>严格执行《大气污染防治法》</w:t>
      </w:r>
      <w:r>
        <w:rPr>
          <w:rFonts w:hint="eastAsia"/>
          <w:color w:val="auto"/>
          <w:highlight w:val="none"/>
          <w:u w:val="single"/>
          <w:lang w:eastAsia="zh-CN"/>
        </w:rPr>
        <w:t>（</w:t>
      </w:r>
      <w:r>
        <w:rPr>
          <w:rFonts w:hint="eastAsia"/>
          <w:color w:val="auto"/>
          <w:highlight w:val="none"/>
          <w:u w:val="single"/>
        </w:rPr>
        <w:t>主席令第三十一号</w:t>
      </w:r>
      <w:r>
        <w:rPr>
          <w:rFonts w:hint="eastAsia"/>
          <w:color w:val="auto"/>
          <w:highlight w:val="none"/>
          <w:u w:val="single"/>
          <w:lang w:eastAsia="zh-CN"/>
        </w:rPr>
        <w:t>）</w:t>
      </w:r>
      <w:r>
        <w:rPr>
          <w:rFonts w:hint="eastAsia"/>
          <w:color w:val="auto"/>
          <w:highlight w:val="none"/>
          <w:u w:val="single"/>
        </w:rPr>
        <w:t>、《南宁市建设工程质量和安全生产管理办法》</w:t>
      </w:r>
      <w:r>
        <w:rPr>
          <w:rFonts w:hint="eastAsia"/>
          <w:color w:val="auto"/>
          <w:highlight w:val="none"/>
          <w:u w:val="single"/>
          <w:lang w:eastAsia="zh-CN"/>
        </w:rPr>
        <w:t>（</w:t>
      </w:r>
      <w:r>
        <w:rPr>
          <w:rFonts w:hint="eastAsia"/>
          <w:color w:val="auto"/>
          <w:highlight w:val="none"/>
          <w:u w:val="single"/>
        </w:rPr>
        <w:t>南宁市人民政府令第46号</w:t>
      </w:r>
      <w:r>
        <w:rPr>
          <w:rFonts w:hint="eastAsia"/>
          <w:color w:val="auto"/>
          <w:highlight w:val="none"/>
          <w:u w:val="single"/>
          <w:lang w:eastAsia="zh-CN"/>
        </w:rPr>
        <w:t>）</w:t>
      </w:r>
      <w:r>
        <w:rPr>
          <w:rFonts w:hint="eastAsia"/>
          <w:color w:val="auto"/>
          <w:highlight w:val="none"/>
          <w:u w:val="single"/>
        </w:rPr>
        <w:t>、《南宁市建设工程质量安全标准化图集》、《南宁市建设工程施工现场管理若干规定》</w:t>
      </w:r>
      <w:r>
        <w:rPr>
          <w:rFonts w:hint="eastAsia"/>
          <w:color w:val="auto"/>
          <w:highlight w:val="none"/>
          <w:u w:val="single"/>
          <w:lang w:eastAsia="zh-CN"/>
        </w:rPr>
        <w:t>（</w:t>
      </w:r>
      <w:r>
        <w:rPr>
          <w:rFonts w:hint="eastAsia"/>
          <w:color w:val="auto"/>
          <w:highlight w:val="none"/>
          <w:u w:val="single"/>
        </w:rPr>
        <w:t>南宁市人民政府令第8号</w:t>
      </w:r>
      <w:r>
        <w:rPr>
          <w:rFonts w:hint="eastAsia"/>
          <w:color w:val="auto"/>
          <w:highlight w:val="none"/>
          <w:u w:val="single"/>
          <w:lang w:eastAsia="zh-CN"/>
        </w:rPr>
        <w:t>）</w:t>
      </w:r>
      <w:r>
        <w:rPr>
          <w:rFonts w:hint="eastAsia"/>
          <w:color w:val="auto"/>
          <w:highlight w:val="none"/>
          <w:u w:val="single"/>
        </w:rPr>
        <w:t>的有关规定，与辖区卫生防疫、环卫管理部门或有合法资质资格的企业签订病媒生物消杀协议、生活垃圾清运协议、渣土密闭运输协议、在线远程监控扬尘监测协议，遵守“一口两池三包四协议”的有关规定，施工前办理排水许可证，严格执行排水许可，做好工地泥浆水、临时生活污水的排放管理，现场设置三级沉淀池及化粪池，避免生活污水及施工废水直排市政排水管网及内河。采取道路硬化、裸土必盖</w:t>
      </w:r>
      <w:r>
        <w:rPr>
          <w:rFonts w:hint="eastAsia"/>
          <w:color w:val="auto"/>
          <w:highlight w:val="none"/>
          <w:u w:val="single"/>
          <w:lang w:eastAsia="zh-CN"/>
        </w:rPr>
        <w:t>（</w:t>
      </w:r>
      <w:r>
        <w:rPr>
          <w:rFonts w:hint="eastAsia"/>
          <w:color w:val="auto"/>
          <w:highlight w:val="none"/>
          <w:u w:val="single"/>
        </w:rPr>
        <w:t>种草、绿网</w:t>
      </w:r>
      <w:r>
        <w:rPr>
          <w:rFonts w:hint="eastAsia"/>
          <w:color w:val="auto"/>
          <w:highlight w:val="none"/>
          <w:u w:val="single"/>
          <w:lang w:eastAsia="zh-CN"/>
        </w:rPr>
        <w:t>）</w:t>
      </w:r>
      <w:r>
        <w:rPr>
          <w:rFonts w:hint="eastAsia"/>
          <w:color w:val="auto"/>
          <w:highlight w:val="none"/>
          <w:u w:val="single"/>
        </w:rPr>
        <w:t>、洗车出门、保洁路口、在线监测、抑尘喷淋等有效措施，确保建设工程各项安全防护、文明施工措施及其费用在工地一线按标准落实到位</w:t>
      </w:r>
      <w:r>
        <w:rPr>
          <w:rFonts w:hint="eastAsia" w:cs="宋体"/>
          <w:color w:val="auto"/>
          <w:highlight w:val="none"/>
        </w:rPr>
        <w:t>。</w:t>
      </w:r>
    </w:p>
    <w:p w14:paraId="6407977F">
      <w:pPr>
        <w:spacing w:line="360" w:lineRule="auto"/>
        <w:ind w:firstLine="420" w:firstLineChars="200"/>
        <w:jc w:val="left"/>
        <w:rPr>
          <w:rFonts w:hAnsi="宋体"/>
          <w:color w:val="auto"/>
          <w:highlight w:val="none"/>
        </w:rPr>
      </w:pPr>
      <w:r>
        <w:rPr>
          <w:color w:val="auto"/>
          <w:highlight w:val="none"/>
        </w:rPr>
        <w:t>6.1.6</w:t>
      </w:r>
      <w:r>
        <w:rPr>
          <w:rFonts w:hAnsi="宋体" w:cs="宋体"/>
          <w:color w:val="auto"/>
          <w:kern w:val="0"/>
          <w:highlight w:val="none"/>
        </w:rPr>
        <w:t>关于安全</w:t>
      </w:r>
      <w:r>
        <w:rPr>
          <w:rFonts w:hint="eastAsia" w:hAnsi="宋体" w:cs="宋体"/>
          <w:color w:val="auto"/>
          <w:kern w:val="0"/>
          <w:highlight w:val="none"/>
        </w:rPr>
        <w:t>生产</w:t>
      </w:r>
      <w:r>
        <w:rPr>
          <w:rFonts w:hAnsi="宋体" w:cs="宋体"/>
          <w:color w:val="auto"/>
          <w:kern w:val="0"/>
          <w:highlight w:val="none"/>
        </w:rPr>
        <w:t>费</w:t>
      </w:r>
      <w:r>
        <w:rPr>
          <w:rFonts w:hint="eastAsia" w:hAnsi="宋体" w:cs="宋体"/>
          <w:color w:val="auto"/>
          <w:kern w:val="0"/>
          <w:highlight w:val="none"/>
        </w:rPr>
        <w:t>总额、</w:t>
      </w:r>
      <w:r>
        <w:rPr>
          <w:rFonts w:hAnsi="宋体" w:cs="宋体"/>
          <w:color w:val="auto"/>
          <w:kern w:val="0"/>
          <w:highlight w:val="none"/>
        </w:rPr>
        <w:t>支付比例</w:t>
      </w:r>
      <w:r>
        <w:rPr>
          <w:rFonts w:hint="eastAsia" w:hAnsi="宋体" w:cs="宋体"/>
          <w:color w:val="auto"/>
          <w:kern w:val="0"/>
          <w:highlight w:val="none"/>
        </w:rPr>
        <w:t>、</w:t>
      </w:r>
      <w:r>
        <w:rPr>
          <w:rFonts w:hAnsi="宋体" w:cs="宋体"/>
          <w:color w:val="auto"/>
          <w:kern w:val="0"/>
          <w:highlight w:val="none"/>
        </w:rPr>
        <w:t>支付期限</w:t>
      </w:r>
      <w:r>
        <w:rPr>
          <w:rFonts w:hint="eastAsia" w:hAnsi="宋体" w:cs="宋体"/>
          <w:color w:val="auto"/>
          <w:kern w:val="0"/>
          <w:highlight w:val="none"/>
        </w:rPr>
        <w:t>、转入和结余收回</w:t>
      </w:r>
      <w:r>
        <w:rPr>
          <w:rFonts w:hAnsi="宋体" w:cs="宋体"/>
          <w:color w:val="auto"/>
          <w:kern w:val="0"/>
          <w:highlight w:val="none"/>
        </w:rPr>
        <w:t>的约定：</w:t>
      </w:r>
    </w:p>
    <w:p w14:paraId="594F1458">
      <w:pPr>
        <w:autoSpaceDE w:val="0"/>
        <w:autoSpaceDN w:val="0"/>
        <w:adjustRightInd w:val="0"/>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rFonts w:hAnsi="宋体"/>
          <w:color w:val="auto"/>
          <w:kern w:val="0"/>
          <w:highlight w:val="none"/>
        </w:rPr>
        <w:t>1</w:t>
      </w:r>
      <w:r>
        <w:rPr>
          <w:rFonts w:hint="eastAsia" w:hAnsi="宋体" w:cs="宋体"/>
          <w:color w:val="auto"/>
          <w:kern w:val="0"/>
          <w:highlight w:val="none"/>
        </w:rPr>
        <w:t>）本合同价款已包含安全文明施工费</w:t>
      </w:r>
      <w:r>
        <w:rPr>
          <w:rFonts w:hAnsi="宋体"/>
          <w:color w:val="auto"/>
          <w:kern w:val="0"/>
          <w:highlight w:val="none"/>
          <w:u w:val="single"/>
        </w:rPr>
        <w:t xml:space="preserve">           </w:t>
      </w:r>
      <w:r>
        <w:rPr>
          <w:rFonts w:hint="eastAsia" w:hAnsi="宋体" w:cs="宋体"/>
          <w:color w:val="auto"/>
          <w:kern w:val="0"/>
          <w:highlight w:val="none"/>
        </w:rPr>
        <w:t>元。</w:t>
      </w:r>
    </w:p>
    <w:p w14:paraId="425EDD19">
      <w:pPr>
        <w:autoSpaceDE w:val="0"/>
        <w:autoSpaceDN w:val="0"/>
        <w:adjustRightInd w:val="0"/>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rFonts w:hAnsi="宋体"/>
          <w:color w:val="auto"/>
          <w:kern w:val="0"/>
          <w:highlight w:val="none"/>
        </w:rPr>
        <w:t>2</w:t>
      </w:r>
      <w:r>
        <w:rPr>
          <w:rFonts w:hint="eastAsia" w:hAnsi="宋体" w:cs="宋体"/>
          <w:color w:val="auto"/>
          <w:kern w:val="0"/>
          <w:highlight w:val="none"/>
        </w:rPr>
        <w:t>）使用要求：专款专用。具体按</w:t>
      </w:r>
      <w:r>
        <w:rPr>
          <w:rFonts w:hint="eastAsia" w:hAnsi="宋体" w:cs="宋体"/>
          <w:color w:val="auto"/>
          <w:kern w:val="0"/>
          <w:highlight w:val="none"/>
          <w:u w:val="single"/>
        </w:rPr>
        <w:t>《广西壮族自治区建设工程安全文明施工费使用管理细则》（桂建质〔</w:t>
      </w:r>
      <w:r>
        <w:rPr>
          <w:rFonts w:hAnsi="宋体"/>
          <w:color w:val="auto"/>
          <w:kern w:val="0"/>
          <w:highlight w:val="none"/>
          <w:u w:val="single"/>
        </w:rPr>
        <w:t>2015</w:t>
      </w:r>
      <w:r>
        <w:rPr>
          <w:rFonts w:hint="eastAsia" w:hAnsi="宋体" w:cs="宋体"/>
          <w:color w:val="auto"/>
          <w:kern w:val="0"/>
          <w:highlight w:val="none"/>
          <w:u w:val="single"/>
        </w:rPr>
        <w:t>〕</w:t>
      </w:r>
      <w:r>
        <w:rPr>
          <w:rFonts w:hAnsi="宋体"/>
          <w:color w:val="auto"/>
          <w:kern w:val="0"/>
          <w:highlight w:val="none"/>
          <w:u w:val="single"/>
        </w:rPr>
        <w:t>16</w:t>
      </w:r>
      <w:r>
        <w:rPr>
          <w:rFonts w:hint="eastAsia" w:hAnsi="宋体" w:cs="宋体"/>
          <w:color w:val="auto"/>
          <w:kern w:val="0"/>
          <w:highlight w:val="none"/>
          <w:u w:val="single"/>
        </w:rPr>
        <w:t>号）</w:t>
      </w:r>
      <w:r>
        <w:rPr>
          <w:rFonts w:hint="eastAsia" w:hAnsi="宋体" w:cs="宋体"/>
          <w:color w:val="auto"/>
          <w:kern w:val="0"/>
          <w:highlight w:val="none"/>
        </w:rPr>
        <w:t>和</w:t>
      </w:r>
      <w:r>
        <w:rPr>
          <w:rFonts w:hAnsi="宋体"/>
          <w:color w:val="auto"/>
          <w:kern w:val="0"/>
          <w:highlight w:val="none"/>
          <w:u w:val="single"/>
        </w:rPr>
        <w:t xml:space="preserve"> </w:t>
      </w:r>
      <w:r>
        <w:rPr>
          <w:rFonts w:hint="eastAsia" w:hAnsi="宋体"/>
          <w:color w:val="auto"/>
          <w:kern w:val="0"/>
          <w:highlight w:val="none"/>
          <w:u w:val="single"/>
          <w:lang w:val="en-US" w:eastAsia="zh-CN"/>
        </w:rPr>
        <w:t>南宁</w:t>
      </w:r>
      <w:r>
        <w:rPr>
          <w:rFonts w:hAnsi="宋体"/>
          <w:color w:val="auto"/>
          <w:kern w:val="0"/>
          <w:highlight w:val="none"/>
          <w:u w:val="single"/>
        </w:rPr>
        <w:t xml:space="preserve"> </w:t>
      </w:r>
      <w:r>
        <w:rPr>
          <w:rFonts w:hint="eastAsia" w:hAnsi="宋体" w:cs="宋体"/>
          <w:color w:val="auto"/>
          <w:kern w:val="0"/>
          <w:highlight w:val="none"/>
        </w:rPr>
        <w:t>市相关规定执行。</w:t>
      </w:r>
    </w:p>
    <w:p w14:paraId="4166D4D7">
      <w:pPr>
        <w:autoSpaceDE w:val="0"/>
        <w:autoSpaceDN w:val="0"/>
        <w:adjustRightInd w:val="0"/>
        <w:spacing w:line="360" w:lineRule="auto"/>
        <w:ind w:firstLine="420" w:firstLineChars="200"/>
        <w:jc w:val="left"/>
        <w:rPr>
          <w:rFonts w:hAnsi="宋体" w:cs="宋体"/>
          <w:color w:val="auto"/>
          <w:kern w:val="0"/>
          <w:highlight w:val="none"/>
        </w:rPr>
      </w:pPr>
      <w:r>
        <w:rPr>
          <w:rFonts w:hint="eastAsia" w:hAnsi="宋体" w:cs="宋体"/>
          <w:color w:val="auto"/>
          <w:kern w:val="0"/>
          <w:highlight w:val="none"/>
        </w:rPr>
        <w:t>（</w:t>
      </w:r>
      <w:r>
        <w:rPr>
          <w:rFonts w:hAnsi="宋体"/>
          <w:color w:val="auto"/>
          <w:kern w:val="0"/>
          <w:highlight w:val="none"/>
        </w:rPr>
        <w:t>3</w:t>
      </w:r>
      <w:r>
        <w:rPr>
          <w:rFonts w:hint="eastAsia" w:hAnsi="宋体" w:cs="宋体"/>
          <w:color w:val="auto"/>
          <w:kern w:val="0"/>
          <w:highlight w:val="none"/>
        </w:rPr>
        <w:t>）支付约定：</w:t>
      </w:r>
      <w:r>
        <w:rPr>
          <w:rFonts w:hint="eastAsia" w:cs="宋体"/>
          <w:color w:val="auto"/>
          <w:kern w:val="0"/>
          <w:highlight w:val="none"/>
        </w:rPr>
        <w:t>在本合同签订后</w:t>
      </w:r>
      <w:r>
        <w:rPr>
          <w:color w:val="auto"/>
          <w:kern w:val="0"/>
          <w:highlight w:val="none"/>
        </w:rPr>
        <w:t xml:space="preserve">    </w:t>
      </w:r>
      <w:r>
        <w:rPr>
          <w:rFonts w:hint="eastAsia" w:cs="宋体"/>
          <w:color w:val="auto"/>
          <w:kern w:val="0"/>
          <w:highlight w:val="none"/>
        </w:rPr>
        <w:t>个工作日内，预付安全文明施工费总额的   %，其余部分与进度款同期支付，安全文明施工费预付款在工程进度款累计金额超过合同价的   %时开始起扣，每月从支付给承包商的工程款内按安全文明预付款占合同总价的同一百分比扣回</w:t>
      </w:r>
      <w:r>
        <w:rPr>
          <w:rFonts w:hint="eastAsia" w:hAnsi="宋体" w:cs="宋体"/>
          <w:color w:val="auto"/>
          <w:kern w:val="0"/>
          <w:highlight w:val="none"/>
        </w:rPr>
        <w:t>。</w:t>
      </w:r>
    </w:p>
    <w:p w14:paraId="40AA7B25">
      <w:pPr>
        <w:autoSpaceDE w:val="0"/>
        <w:autoSpaceDN w:val="0"/>
        <w:adjustRightInd w:val="0"/>
        <w:spacing w:line="360" w:lineRule="auto"/>
        <w:ind w:firstLine="420" w:firstLineChars="200"/>
        <w:jc w:val="left"/>
        <w:rPr>
          <w:rFonts w:hint="eastAsia" w:hAnsi="宋体" w:cs="宋体"/>
          <w:color w:val="auto"/>
          <w:kern w:val="0"/>
          <w:highlight w:val="none"/>
        </w:rPr>
      </w:pPr>
      <w:r>
        <w:rPr>
          <w:rFonts w:hint="eastAsia" w:hAnsi="宋体" w:cs="宋体"/>
          <w:color w:val="auto"/>
          <w:kern w:val="0"/>
          <w:highlight w:val="none"/>
        </w:rPr>
        <w:t>（4）建设单位按规定将安全生产费用转入施工单位设立的安全生产费用专户。</w:t>
      </w:r>
    </w:p>
    <w:p w14:paraId="3BA1D185">
      <w:pPr>
        <w:autoSpaceDE w:val="0"/>
        <w:autoSpaceDN w:val="0"/>
        <w:adjustRightInd w:val="0"/>
        <w:spacing w:line="360" w:lineRule="auto"/>
        <w:ind w:firstLine="420" w:firstLineChars="200"/>
        <w:jc w:val="left"/>
        <w:rPr>
          <w:rFonts w:hint="eastAsia" w:hAnsi="宋体" w:cs="宋体"/>
          <w:color w:val="auto"/>
          <w:kern w:val="0"/>
          <w:highlight w:val="none"/>
        </w:rPr>
      </w:pPr>
      <w:r>
        <w:rPr>
          <w:rFonts w:hint="eastAsia" w:hAnsi="宋体" w:cs="宋体"/>
          <w:color w:val="auto"/>
          <w:kern w:val="0"/>
          <w:highlight w:val="none"/>
        </w:rPr>
        <w:t>（5）工程施工完成后安全生产费用尚有结余的，结余部分由建设单位收回。</w:t>
      </w:r>
    </w:p>
    <w:p w14:paraId="15CAB9C9">
      <w:pPr>
        <w:autoSpaceDE w:val="0"/>
        <w:autoSpaceDN w:val="0"/>
        <w:adjustRightInd w:val="0"/>
        <w:spacing w:line="360" w:lineRule="auto"/>
        <w:ind w:firstLine="420" w:firstLineChars="200"/>
        <w:jc w:val="left"/>
        <w:rPr>
          <w:rFonts w:hint="eastAsia" w:hAnsi="宋体" w:cs="宋体"/>
          <w:color w:val="auto"/>
          <w:kern w:val="0"/>
          <w:highlight w:val="none"/>
        </w:rPr>
      </w:pPr>
      <w:r>
        <w:rPr>
          <w:rFonts w:hint="eastAsia" w:hAnsi="宋体" w:cs="宋体"/>
          <w:color w:val="auto"/>
          <w:kern w:val="0"/>
          <w:highlight w:val="none"/>
        </w:rPr>
        <w:t>（6）施工单位将安全生产费用使用情况定期报告建设单位和监理单位，并提供相应的材料接受建设行政主管部门对此事项监管。</w:t>
      </w:r>
    </w:p>
    <w:p w14:paraId="73A929A5">
      <w:pPr>
        <w:autoSpaceDE w:val="0"/>
        <w:autoSpaceDN w:val="0"/>
        <w:adjustRightInd w:val="0"/>
        <w:spacing w:line="360" w:lineRule="auto"/>
        <w:ind w:firstLine="420" w:firstLineChars="200"/>
        <w:jc w:val="left"/>
        <w:rPr>
          <w:rFonts w:hint="eastAsia" w:hAnsi="宋体"/>
          <w:color w:val="auto"/>
          <w:kern w:val="0"/>
          <w:highlight w:val="none"/>
        </w:rPr>
      </w:pPr>
      <w:r>
        <w:rPr>
          <w:rFonts w:hint="eastAsia" w:hAnsi="宋体" w:cs="宋体"/>
          <w:color w:val="auto"/>
          <w:kern w:val="0"/>
          <w:highlight w:val="none"/>
        </w:rPr>
        <w:t>（7）安全生产费用专户：</w:t>
      </w:r>
      <w:r>
        <w:rPr>
          <w:rFonts w:hAnsi="宋体" w:cs="宋体"/>
          <w:color w:val="auto"/>
          <w:kern w:val="0"/>
          <w:highlight w:val="none"/>
        </w:rPr>
        <w:t>××××</w:t>
      </w:r>
      <w:r>
        <w:rPr>
          <w:rFonts w:hint="eastAsia" w:hAnsi="宋体" w:cs="宋体"/>
          <w:color w:val="auto"/>
          <w:kern w:val="0"/>
          <w:highlight w:val="none"/>
        </w:rPr>
        <w:t>公司安全生产费用专户。账号：</w:t>
      </w:r>
      <w:r>
        <w:rPr>
          <w:rFonts w:hAnsi="宋体" w:cs="宋体"/>
          <w:color w:val="auto"/>
          <w:kern w:val="0"/>
          <w:highlight w:val="none"/>
        </w:rPr>
        <w:t xml:space="preserve"> </w:t>
      </w:r>
      <w:r>
        <w:rPr>
          <w:rFonts w:hint="eastAsia" w:hAnsi="宋体" w:cs="宋体"/>
          <w:color w:val="auto"/>
          <w:kern w:val="0"/>
          <w:highlight w:val="none"/>
        </w:rPr>
        <w:t xml:space="preserve">                。</w:t>
      </w:r>
    </w:p>
    <w:p w14:paraId="7C326B77">
      <w:pPr>
        <w:pStyle w:val="5"/>
        <w:rPr>
          <w:color w:val="auto"/>
          <w:highlight w:val="none"/>
        </w:rPr>
      </w:pPr>
      <w:bookmarkStart w:id="601" w:name="_Toc78449809"/>
      <w:bookmarkStart w:id="602" w:name="_Toc373478368"/>
      <w:bookmarkStart w:id="603" w:name="_Toc1922268668"/>
      <w:bookmarkStart w:id="604" w:name="_Toc389065287"/>
      <w:bookmarkStart w:id="605" w:name="_Toc407135223"/>
      <w:bookmarkStart w:id="606" w:name="_Toc373227721"/>
      <w:bookmarkStart w:id="607" w:name="_Toc1519050792"/>
      <w:bookmarkStart w:id="608" w:name="_Toc22978"/>
      <w:r>
        <w:rPr>
          <w:color w:val="auto"/>
          <w:highlight w:val="none"/>
        </w:rPr>
        <w:t xml:space="preserve">6.3 </w:t>
      </w:r>
      <w:r>
        <w:rPr>
          <w:rFonts w:hint="eastAsia" w:hAnsi="宋体" w:cs="黑体"/>
          <w:color w:val="auto"/>
          <w:highlight w:val="none"/>
        </w:rPr>
        <w:t>环境保护</w:t>
      </w:r>
      <w:bookmarkEnd w:id="601"/>
      <w:bookmarkEnd w:id="602"/>
      <w:bookmarkEnd w:id="603"/>
      <w:bookmarkEnd w:id="604"/>
      <w:bookmarkEnd w:id="605"/>
      <w:bookmarkEnd w:id="606"/>
      <w:bookmarkEnd w:id="607"/>
      <w:bookmarkEnd w:id="608"/>
    </w:p>
    <w:p w14:paraId="3F559B38">
      <w:pPr>
        <w:spacing w:line="360" w:lineRule="auto"/>
        <w:ind w:firstLine="420" w:firstLineChars="200"/>
        <w:jc w:val="left"/>
        <w:rPr>
          <w:color w:val="auto"/>
          <w:highlight w:val="none"/>
          <w:u w:val="single"/>
        </w:rPr>
      </w:pPr>
      <w:r>
        <w:rPr>
          <w:rFonts w:hint="eastAsia" w:hAnsi="宋体" w:cs="宋体"/>
          <w:color w:val="auto"/>
          <w:highlight w:val="none"/>
          <w:u w:val="single"/>
        </w:rPr>
        <w:t>因施工需要，经发包人批准，由承包人办理有关施工场地交通、环卫和施工噪音管理等手续，费用由承包人负责。</w:t>
      </w:r>
    </w:p>
    <w:p w14:paraId="60416CD2">
      <w:pPr>
        <w:spacing w:line="360" w:lineRule="auto"/>
        <w:ind w:firstLine="420" w:firstLineChars="200"/>
        <w:jc w:val="left"/>
        <w:rPr>
          <w:color w:val="auto"/>
          <w:highlight w:val="none"/>
          <w:u w:val="single"/>
        </w:rPr>
      </w:pPr>
      <w:r>
        <w:rPr>
          <w:rFonts w:hint="eastAsia" w:hAnsi="宋体" w:cs="宋体"/>
          <w:color w:val="auto"/>
          <w:highlight w:val="none"/>
          <w:u w:val="single"/>
        </w:rPr>
        <w:t>经过城市道路的施工车辆，必须按交警、城管、运输等部门相关规定执行。由于施工车辆造成的道路、环境等污染，其责任和费用均由承包人承担。</w:t>
      </w:r>
    </w:p>
    <w:bookmarkEnd w:id="576"/>
    <w:bookmarkEnd w:id="577"/>
    <w:bookmarkEnd w:id="578"/>
    <w:bookmarkEnd w:id="579"/>
    <w:bookmarkEnd w:id="580"/>
    <w:bookmarkEnd w:id="581"/>
    <w:bookmarkEnd w:id="582"/>
    <w:p w14:paraId="202FBB1B">
      <w:pPr>
        <w:pStyle w:val="4"/>
        <w:rPr>
          <w:color w:val="auto"/>
          <w:highlight w:val="none"/>
        </w:rPr>
      </w:pPr>
      <w:bookmarkStart w:id="609" w:name="_Toc1408286886"/>
      <w:bookmarkStart w:id="610" w:name="_Toc315674767"/>
      <w:bookmarkStart w:id="611" w:name="_Toc373478369"/>
      <w:bookmarkStart w:id="612" w:name="_Toc351203639"/>
      <w:bookmarkStart w:id="613" w:name="_Toc78449810"/>
      <w:bookmarkStart w:id="614" w:name="_Toc389065288"/>
      <w:bookmarkStart w:id="615" w:name="_Toc23981"/>
      <w:bookmarkStart w:id="616" w:name="_Toc373227722"/>
      <w:bookmarkStart w:id="617" w:name="_Toc407135224"/>
      <w:bookmarkStart w:id="618" w:name="_Toc12961"/>
      <w:r>
        <w:rPr>
          <w:color w:val="auto"/>
          <w:highlight w:val="none"/>
        </w:rPr>
        <w:t xml:space="preserve">7. </w:t>
      </w:r>
      <w:r>
        <w:rPr>
          <w:rFonts w:hint="eastAsia" w:cs="黑体"/>
          <w:color w:val="auto"/>
          <w:highlight w:val="none"/>
        </w:rPr>
        <w:t>工期和进度</w:t>
      </w:r>
      <w:bookmarkEnd w:id="609"/>
      <w:bookmarkEnd w:id="610"/>
      <w:bookmarkEnd w:id="611"/>
      <w:bookmarkEnd w:id="612"/>
      <w:bookmarkEnd w:id="613"/>
      <w:bookmarkEnd w:id="614"/>
      <w:bookmarkEnd w:id="615"/>
      <w:bookmarkEnd w:id="616"/>
      <w:bookmarkEnd w:id="617"/>
      <w:bookmarkEnd w:id="618"/>
    </w:p>
    <w:p w14:paraId="0D625A59">
      <w:pPr>
        <w:pStyle w:val="5"/>
        <w:rPr>
          <w:color w:val="auto"/>
          <w:highlight w:val="none"/>
        </w:rPr>
      </w:pPr>
      <w:bookmarkStart w:id="619" w:name="_Toc664905709"/>
      <w:bookmarkStart w:id="620" w:name="_Toc1194482517"/>
      <w:bookmarkStart w:id="621" w:name="_Toc373227723"/>
      <w:bookmarkStart w:id="622" w:name="_Toc78449811"/>
      <w:bookmarkStart w:id="623" w:name="_Toc389065289"/>
      <w:bookmarkStart w:id="624" w:name="_Toc407135225"/>
      <w:bookmarkStart w:id="625" w:name="_Toc19336"/>
      <w:bookmarkStart w:id="626" w:name="_Toc373478370"/>
      <w:r>
        <w:rPr>
          <w:color w:val="auto"/>
          <w:highlight w:val="none"/>
        </w:rPr>
        <w:t xml:space="preserve">7.1 </w:t>
      </w:r>
      <w:r>
        <w:rPr>
          <w:rFonts w:hint="eastAsia" w:cs="黑体"/>
          <w:color w:val="auto"/>
          <w:highlight w:val="none"/>
        </w:rPr>
        <w:t>施工组织设计</w:t>
      </w:r>
      <w:bookmarkEnd w:id="619"/>
      <w:bookmarkEnd w:id="620"/>
      <w:bookmarkEnd w:id="621"/>
      <w:bookmarkEnd w:id="622"/>
      <w:bookmarkEnd w:id="623"/>
      <w:bookmarkEnd w:id="624"/>
      <w:bookmarkEnd w:id="625"/>
      <w:bookmarkEnd w:id="626"/>
    </w:p>
    <w:p w14:paraId="5B1A3563">
      <w:pPr>
        <w:autoSpaceDE w:val="0"/>
        <w:autoSpaceDN w:val="0"/>
        <w:adjustRightInd w:val="0"/>
        <w:spacing w:line="360" w:lineRule="auto"/>
        <w:ind w:firstLine="420" w:firstLineChars="200"/>
        <w:jc w:val="left"/>
        <w:rPr>
          <w:color w:val="auto"/>
          <w:highlight w:val="none"/>
          <w:u w:val="single"/>
        </w:rPr>
      </w:pPr>
      <w:r>
        <w:rPr>
          <w:color w:val="auto"/>
          <w:highlight w:val="none"/>
        </w:rPr>
        <w:t xml:space="preserve">7.1.1 </w:t>
      </w:r>
      <w:r>
        <w:rPr>
          <w:rFonts w:hint="eastAsia" w:hAnsi="宋体" w:cs="宋体"/>
          <w:color w:val="auto"/>
          <w:highlight w:val="none"/>
        </w:rPr>
        <w:t>合</w:t>
      </w:r>
      <w:r>
        <w:rPr>
          <w:rFonts w:hint="eastAsia" w:hAnsi="宋体" w:cs="宋体"/>
          <w:color w:val="auto"/>
          <w:kern w:val="0"/>
          <w:highlight w:val="none"/>
        </w:rPr>
        <w:t>同当事人约定的施工组织设计应包括的其他内容：</w:t>
      </w:r>
      <w:r>
        <w:rPr>
          <w:rFonts w:ascii="宋体" w:hAnsi="宋体" w:eastAsia="宋体" w:cs="宋体"/>
          <w:color w:val="auto"/>
          <w:spacing w:val="0"/>
          <w:highlight w:val="none"/>
          <w:u w:val="single"/>
        </w:rPr>
        <w:t xml:space="preserve"> 按照招标文件约定，招标文件无约定的，按通用</w:t>
      </w:r>
      <w:r>
        <w:rPr>
          <w:rFonts w:ascii="宋体" w:hAnsi="宋体" w:eastAsia="宋体" w:cs="宋体"/>
          <w:color w:val="auto"/>
          <w:highlight w:val="none"/>
          <w:u w:val="single"/>
        </w:rPr>
        <w:t xml:space="preserve">合同条款或双方另行约定 </w:t>
      </w:r>
      <w:r>
        <w:rPr>
          <w:rFonts w:hint="eastAsia" w:hAnsi="宋体" w:cs="宋体"/>
          <w:color w:val="auto"/>
          <w:highlight w:val="none"/>
        </w:rPr>
        <w:t>。</w:t>
      </w:r>
    </w:p>
    <w:p w14:paraId="326C15A7">
      <w:pPr>
        <w:autoSpaceDE w:val="0"/>
        <w:autoSpaceDN w:val="0"/>
        <w:adjustRightInd w:val="0"/>
        <w:spacing w:line="360" w:lineRule="auto"/>
        <w:ind w:firstLine="420" w:firstLineChars="200"/>
        <w:jc w:val="left"/>
        <w:rPr>
          <w:color w:val="auto"/>
          <w:kern w:val="0"/>
          <w:highlight w:val="none"/>
        </w:rPr>
      </w:pPr>
      <w:r>
        <w:rPr>
          <w:color w:val="auto"/>
          <w:highlight w:val="none"/>
        </w:rPr>
        <w:t xml:space="preserve">7.1.2 </w:t>
      </w:r>
      <w:r>
        <w:rPr>
          <w:rFonts w:hint="eastAsia" w:hAnsi="宋体" w:cs="宋体"/>
          <w:color w:val="auto"/>
          <w:kern w:val="0"/>
          <w:highlight w:val="none"/>
        </w:rPr>
        <w:t>施工组织设计的提交和修改</w:t>
      </w:r>
    </w:p>
    <w:p w14:paraId="3D36AD59">
      <w:pPr>
        <w:autoSpaceDE w:val="0"/>
        <w:autoSpaceDN w:val="0"/>
        <w:adjustRightInd w:val="0"/>
        <w:spacing w:line="360" w:lineRule="auto"/>
        <w:ind w:firstLine="420" w:firstLineChars="200"/>
        <w:jc w:val="left"/>
        <w:rPr>
          <w:color w:val="auto"/>
          <w:highlight w:val="none"/>
          <w:u w:val="single"/>
        </w:rPr>
      </w:pPr>
      <w:r>
        <w:rPr>
          <w:rFonts w:hint="eastAsia" w:hAnsi="宋体" w:cs="宋体"/>
          <w:color w:val="auto"/>
          <w:kern w:val="0"/>
          <w:highlight w:val="none"/>
        </w:rPr>
        <w:t>承包人提交详细施工组织设计的期限的约定：</w:t>
      </w:r>
      <w:r>
        <w:rPr>
          <w:rFonts w:ascii="宋体" w:hAnsi="宋体" w:eastAsia="宋体" w:cs="宋体"/>
          <w:color w:val="auto"/>
          <w:spacing w:val="0"/>
          <w:highlight w:val="none"/>
          <w:u w:val="single"/>
        </w:rPr>
        <w:t xml:space="preserve"> 在签订合同后</w:t>
      </w:r>
      <w:r>
        <w:rPr>
          <w:rFonts w:hint="eastAsia" w:ascii="Calibri" w:hAnsi="Calibri" w:eastAsia="宋体" w:cs="Calibri"/>
          <w:color w:val="auto"/>
          <w:spacing w:val="0"/>
          <w:highlight w:val="none"/>
          <w:u w:val="single"/>
          <w:lang w:val="en-US" w:eastAsia="zh-CN"/>
        </w:rPr>
        <w:t>7</w:t>
      </w:r>
      <w:r>
        <w:rPr>
          <w:rFonts w:ascii="宋体" w:hAnsi="宋体" w:eastAsia="宋体" w:cs="宋体"/>
          <w:color w:val="auto"/>
          <w:spacing w:val="0"/>
          <w:highlight w:val="none"/>
          <w:u w:val="single"/>
        </w:rPr>
        <w:t>天内提供施工组织设计</w:t>
      </w:r>
      <w:r>
        <w:rPr>
          <w:rFonts w:hint="eastAsia" w:ascii="宋体" w:hAnsi="宋体" w:eastAsia="宋体" w:cs="宋体"/>
          <w:color w:val="auto"/>
          <w:spacing w:val="0"/>
          <w:highlight w:val="none"/>
          <w:u w:val="single"/>
          <w:lang w:eastAsia="zh-CN"/>
        </w:rPr>
        <w:t>（</w:t>
      </w:r>
      <w:r>
        <w:rPr>
          <w:rFonts w:ascii="宋体" w:hAnsi="宋体" w:eastAsia="宋体" w:cs="宋体"/>
          <w:color w:val="auto"/>
          <w:spacing w:val="0"/>
          <w:highlight w:val="none"/>
          <w:u w:val="single"/>
        </w:rPr>
        <w:t>施工方案</w:t>
      </w:r>
      <w:r>
        <w:rPr>
          <w:rFonts w:hint="eastAsia" w:ascii="宋体" w:hAnsi="宋体" w:eastAsia="宋体" w:cs="宋体"/>
          <w:color w:val="auto"/>
          <w:spacing w:val="0"/>
          <w:highlight w:val="none"/>
          <w:u w:val="single"/>
          <w:lang w:eastAsia="zh-CN"/>
        </w:rPr>
        <w:t>）</w:t>
      </w:r>
      <w:r>
        <w:rPr>
          <w:rFonts w:ascii="宋体" w:hAnsi="宋体" w:eastAsia="宋体" w:cs="宋体"/>
          <w:color w:val="auto"/>
          <w:spacing w:val="0"/>
          <w:highlight w:val="none"/>
          <w:u w:val="single"/>
        </w:rPr>
        <w:t xml:space="preserve">和工程进度计划 </w:t>
      </w:r>
      <w:r>
        <w:rPr>
          <w:rFonts w:hint="eastAsia" w:hAnsi="宋体" w:cs="宋体"/>
          <w:color w:val="auto"/>
          <w:highlight w:val="none"/>
        </w:rPr>
        <w:t>。</w:t>
      </w:r>
    </w:p>
    <w:p w14:paraId="6744EE3D">
      <w:pPr>
        <w:spacing w:line="360" w:lineRule="auto"/>
        <w:ind w:firstLine="420" w:firstLineChars="200"/>
        <w:jc w:val="left"/>
        <w:rPr>
          <w:color w:val="auto"/>
          <w:highlight w:val="none"/>
        </w:rPr>
      </w:pPr>
      <w:r>
        <w:rPr>
          <w:rFonts w:hint="eastAsia" w:hAnsi="宋体" w:cs="宋体"/>
          <w:color w:val="auto"/>
          <w:highlight w:val="none"/>
        </w:rPr>
        <w:t>发包人和监理人在收到详细的施工组织设计后确认或提出修改意见的期限：</w:t>
      </w:r>
      <w:r>
        <w:rPr>
          <w:rFonts w:ascii="宋体" w:hAnsi="宋体" w:eastAsia="宋体" w:cs="宋体"/>
          <w:color w:val="auto"/>
          <w:spacing w:val="0"/>
          <w:highlight w:val="none"/>
        </w:rPr>
        <w:t xml:space="preserve"> </w:t>
      </w:r>
      <w:r>
        <w:rPr>
          <w:rFonts w:ascii="宋体" w:hAnsi="宋体" w:eastAsia="宋体" w:cs="宋体"/>
          <w:color w:val="auto"/>
          <w:spacing w:val="0"/>
          <w:highlight w:val="none"/>
          <w:u w:val="single"/>
        </w:rPr>
        <w:t>于收到之日</w:t>
      </w:r>
      <w:r>
        <w:rPr>
          <w:rFonts w:ascii="宋体" w:hAnsi="宋体" w:eastAsia="宋体" w:cs="宋体"/>
          <w:color w:val="auto"/>
          <w:highlight w:val="none"/>
          <w:u w:val="single"/>
        </w:rPr>
        <w:t>起</w:t>
      </w:r>
      <w:r>
        <w:rPr>
          <w:rFonts w:ascii="Calibri" w:hAnsi="Calibri" w:eastAsia="Calibri" w:cs="Calibri"/>
          <w:color w:val="auto"/>
          <w:spacing w:val="0"/>
          <w:highlight w:val="none"/>
          <w:u w:val="single"/>
        </w:rPr>
        <w:t>7</w:t>
      </w:r>
      <w:r>
        <w:rPr>
          <w:rFonts w:ascii="宋体" w:hAnsi="宋体" w:eastAsia="宋体" w:cs="宋体"/>
          <w:color w:val="auto"/>
          <w:spacing w:val="0"/>
          <w:highlight w:val="none"/>
          <w:u w:val="single"/>
        </w:rPr>
        <w:t>日内确认或提出意见，逾期视为同意</w:t>
      </w:r>
      <w:r>
        <w:rPr>
          <w:rFonts w:hint="eastAsia" w:hAnsi="宋体" w:cs="宋体"/>
          <w:color w:val="auto"/>
          <w:highlight w:val="none"/>
        </w:rPr>
        <w:t>。</w:t>
      </w:r>
    </w:p>
    <w:p w14:paraId="101EBE5C">
      <w:pPr>
        <w:pStyle w:val="5"/>
        <w:rPr>
          <w:color w:val="auto"/>
          <w:highlight w:val="none"/>
        </w:rPr>
      </w:pPr>
      <w:bookmarkStart w:id="627" w:name="_Toc26065"/>
      <w:bookmarkStart w:id="628" w:name="_Toc407135226"/>
      <w:bookmarkStart w:id="629" w:name="_Toc373227724"/>
      <w:bookmarkStart w:id="630" w:name="_Toc373478371"/>
      <w:bookmarkStart w:id="631" w:name="_Toc389065290"/>
      <w:bookmarkStart w:id="632" w:name="_Toc78449812"/>
      <w:bookmarkStart w:id="633" w:name="_Toc1674747833"/>
      <w:bookmarkStart w:id="634" w:name="_Toc1393005721"/>
      <w:r>
        <w:rPr>
          <w:color w:val="auto"/>
          <w:highlight w:val="none"/>
        </w:rPr>
        <w:t>7</w:t>
      </w:r>
      <w:bookmarkStart w:id="635" w:name="_Toc300934966"/>
      <w:bookmarkStart w:id="636" w:name="_Toc297216173"/>
      <w:bookmarkStart w:id="637" w:name="_Toc297123514"/>
      <w:bookmarkStart w:id="638" w:name="_Toc304295541"/>
      <w:bookmarkStart w:id="639" w:name="_Toc312678005"/>
      <w:bookmarkStart w:id="640" w:name="_Toc303539123"/>
      <w:bookmarkStart w:id="641" w:name="_Toc312677479"/>
      <w:r>
        <w:rPr>
          <w:color w:val="auto"/>
          <w:highlight w:val="none"/>
        </w:rPr>
        <w:t xml:space="preserve">.2 </w:t>
      </w:r>
      <w:r>
        <w:rPr>
          <w:rFonts w:hint="eastAsia" w:cs="黑体"/>
          <w:color w:val="auto"/>
          <w:highlight w:val="none"/>
        </w:rPr>
        <w:t>施工进度计划</w:t>
      </w:r>
      <w:bookmarkEnd w:id="627"/>
      <w:bookmarkEnd w:id="628"/>
      <w:bookmarkEnd w:id="629"/>
      <w:bookmarkEnd w:id="630"/>
      <w:bookmarkEnd w:id="631"/>
      <w:bookmarkEnd w:id="632"/>
      <w:bookmarkEnd w:id="633"/>
      <w:bookmarkEnd w:id="634"/>
    </w:p>
    <w:p w14:paraId="202CE880">
      <w:pPr>
        <w:spacing w:line="360" w:lineRule="auto"/>
        <w:ind w:firstLine="420" w:firstLineChars="200"/>
        <w:jc w:val="left"/>
        <w:rPr>
          <w:color w:val="auto"/>
          <w:highlight w:val="none"/>
        </w:rPr>
      </w:pPr>
      <w:r>
        <w:rPr>
          <w:color w:val="auto"/>
          <w:highlight w:val="none"/>
        </w:rPr>
        <w:t xml:space="preserve">7.2.2 </w:t>
      </w:r>
      <w:r>
        <w:rPr>
          <w:rFonts w:hint="eastAsia" w:hAnsi="宋体" w:cs="宋体"/>
          <w:color w:val="auto"/>
          <w:highlight w:val="none"/>
        </w:rPr>
        <w:t>施工进度计划的修订</w:t>
      </w:r>
    </w:p>
    <w:p w14:paraId="62C9A52E">
      <w:pPr>
        <w:spacing w:line="360" w:lineRule="auto"/>
        <w:ind w:firstLine="420" w:firstLineChars="200"/>
        <w:jc w:val="left"/>
        <w:rPr>
          <w:color w:val="auto"/>
          <w:highlight w:val="none"/>
        </w:rPr>
      </w:pPr>
      <w:r>
        <w:rPr>
          <w:rFonts w:hint="eastAsia" w:hAnsi="宋体" w:cs="宋体"/>
          <w:color w:val="auto"/>
          <w:highlight w:val="none"/>
        </w:rPr>
        <w:t>发包人和监理人在收到修订的施工进度计划后确认或提出修改意见的期限：</w:t>
      </w:r>
      <w:r>
        <w:rPr>
          <w:rFonts w:ascii="Calibri" w:hAnsi="Calibri" w:eastAsia="Calibri" w:cs="Calibri"/>
          <w:color w:val="auto"/>
          <w:spacing w:val="0"/>
          <w:highlight w:val="none"/>
          <w:u w:val="single"/>
        </w:rPr>
        <w:t xml:space="preserve"> 10 </w:t>
      </w:r>
      <w:r>
        <w:rPr>
          <w:rFonts w:ascii="宋体" w:hAnsi="宋体" w:eastAsia="宋体" w:cs="宋体"/>
          <w:color w:val="auto"/>
          <w:spacing w:val="0"/>
          <w:highlight w:val="none"/>
          <w:u w:val="single"/>
        </w:rPr>
        <w:t xml:space="preserve">个工作日 </w:t>
      </w:r>
      <w:r>
        <w:rPr>
          <w:rFonts w:hint="eastAsia" w:hAnsi="宋体" w:cs="宋体"/>
          <w:color w:val="auto"/>
          <w:highlight w:val="none"/>
        </w:rPr>
        <w:t>。</w:t>
      </w:r>
    </w:p>
    <w:p w14:paraId="7FC6E0B4">
      <w:pPr>
        <w:pStyle w:val="5"/>
        <w:rPr>
          <w:color w:val="auto"/>
          <w:highlight w:val="none"/>
        </w:rPr>
      </w:pPr>
      <w:bookmarkStart w:id="642" w:name="_Toc78449813"/>
      <w:bookmarkStart w:id="643" w:name="_Toc407135227"/>
      <w:bookmarkStart w:id="644" w:name="_Toc1498273563"/>
      <w:bookmarkStart w:id="645" w:name="_Toc373478372"/>
      <w:bookmarkStart w:id="646" w:name="_Toc373227725"/>
      <w:bookmarkStart w:id="647" w:name="_Toc389065291"/>
      <w:bookmarkStart w:id="648" w:name="_Toc423062567"/>
      <w:bookmarkStart w:id="649" w:name="_Toc14679"/>
      <w:r>
        <w:rPr>
          <w:color w:val="auto"/>
          <w:highlight w:val="none"/>
        </w:rPr>
        <w:t xml:space="preserve">7.3 </w:t>
      </w:r>
      <w:r>
        <w:rPr>
          <w:rFonts w:hint="eastAsia" w:cs="黑体"/>
          <w:color w:val="auto"/>
          <w:highlight w:val="none"/>
        </w:rPr>
        <w:t>开工</w:t>
      </w:r>
      <w:bookmarkEnd w:id="642"/>
      <w:bookmarkEnd w:id="643"/>
      <w:bookmarkEnd w:id="644"/>
      <w:bookmarkEnd w:id="645"/>
      <w:bookmarkEnd w:id="646"/>
      <w:bookmarkEnd w:id="647"/>
      <w:bookmarkEnd w:id="648"/>
      <w:bookmarkEnd w:id="649"/>
    </w:p>
    <w:p w14:paraId="365B3DF2">
      <w:pPr>
        <w:spacing w:line="360" w:lineRule="auto"/>
        <w:ind w:firstLine="420" w:firstLineChars="200"/>
        <w:jc w:val="left"/>
        <w:rPr>
          <w:color w:val="auto"/>
          <w:highlight w:val="none"/>
        </w:rPr>
      </w:pPr>
      <w:r>
        <w:rPr>
          <w:color w:val="auto"/>
          <w:highlight w:val="none"/>
        </w:rPr>
        <w:t xml:space="preserve">7.3.1 </w:t>
      </w:r>
      <w:r>
        <w:rPr>
          <w:rFonts w:hint="eastAsia" w:hAnsi="宋体" w:cs="宋体"/>
          <w:color w:val="auto"/>
          <w:highlight w:val="none"/>
        </w:rPr>
        <w:t>开工准备</w:t>
      </w:r>
    </w:p>
    <w:p w14:paraId="3DCEAC68">
      <w:pPr>
        <w:spacing w:before="0" w:line="360" w:lineRule="auto"/>
        <w:ind w:left="0" w:firstLine="420" w:firstLineChars="200"/>
        <w:rPr>
          <w:rFonts w:ascii="宋体" w:hAnsi="宋体" w:eastAsia="宋体" w:cs="宋体"/>
          <w:color w:val="auto"/>
          <w:highlight w:val="none"/>
        </w:rPr>
      </w:pPr>
      <w:r>
        <w:rPr>
          <w:rFonts w:ascii="宋体" w:hAnsi="宋体" w:eastAsia="宋体" w:cs="宋体"/>
          <w:color w:val="auto"/>
          <w:spacing w:val="0"/>
          <w:highlight w:val="none"/>
        </w:rPr>
        <w:t xml:space="preserve">关于承包人提交工程开工报审表的期限： </w:t>
      </w:r>
      <w:r>
        <w:rPr>
          <w:rFonts w:ascii="宋体" w:hAnsi="宋体" w:eastAsia="宋体" w:cs="宋体"/>
          <w:color w:val="auto"/>
          <w:spacing w:val="0"/>
          <w:highlight w:val="none"/>
          <w:u w:val="single"/>
        </w:rPr>
        <w:t xml:space="preserve"> 按通用合同条款执行 </w:t>
      </w:r>
      <w:r>
        <w:rPr>
          <w:rFonts w:ascii="宋体" w:hAnsi="宋体" w:eastAsia="宋体" w:cs="宋体"/>
          <w:color w:val="auto"/>
          <w:spacing w:val="0"/>
          <w:highlight w:val="none"/>
        </w:rPr>
        <w:t>。</w:t>
      </w:r>
    </w:p>
    <w:p w14:paraId="245B7417">
      <w:pPr>
        <w:spacing w:before="0" w:line="360" w:lineRule="auto"/>
        <w:ind w:left="0" w:right="0" w:firstLine="420" w:firstLineChars="200"/>
        <w:rPr>
          <w:rFonts w:ascii="宋体" w:hAnsi="宋体" w:eastAsia="宋体" w:cs="宋体"/>
          <w:color w:val="auto"/>
          <w:highlight w:val="none"/>
        </w:rPr>
      </w:pPr>
      <w:r>
        <w:rPr>
          <w:rFonts w:ascii="宋体" w:hAnsi="宋体" w:eastAsia="宋体" w:cs="宋体"/>
          <w:color w:val="auto"/>
          <w:spacing w:val="0"/>
          <w:highlight w:val="none"/>
        </w:rPr>
        <w:t>关于发包人应完成的其他开工准备工作及期限：</w:t>
      </w:r>
      <w:r>
        <w:rPr>
          <w:rFonts w:ascii="宋体" w:hAnsi="宋体" w:eastAsia="宋体" w:cs="宋体"/>
          <w:color w:val="auto"/>
          <w:spacing w:val="0"/>
          <w:highlight w:val="none"/>
          <w:u w:val="single"/>
        </w:rPr>
        <w:t xml:space="preserve"> 办公、住宿等临时用房、用地由承包人自行负责，用电及报装费用由承包人负责，费用均包含在投标报价中，其他按通用合同条款执行 </w:t>
      </w:r>
      <w:r>
        <w:rPr>
          <w:rFonts w:ascii="宋体" w:hAnsi="宋体" w:eastAsia="宋体" w:cs="宋体"/>
          <w:color w:val="auto"/>
          <w:spacing w:val="0"/>
          <w:highlight w:val="none"/>
        </w:rPr>
        <w:t>。</w:t>
      </w:r>
    </w:p>
    <w:p w14:paraId="0B55528B">
      <w:pPr>
        <w:spacing w:before="0" w:line="360" w:lineRule="auto"/>
        <w:ind w:left="0" w:right="0" w:firstLine="420" w:firstLineChars="200"/>
        <w:rPr>
          <w:color w:val="auto"/>
          <w:highlight w:val="none"/>
          <w:u w:val="single"/>
        </w:rPr>
      </w:pPr>
      <w:r>
        <w:rPr>
          <w:rFonts w:ascii="宋体" w:hAnsi="宋体" w:eastAsia="宋体" w:cs="宋体"/>
          <w:color w:val="auto"/>
          <w:spacing w:val="0"/>
          <w:highlight w:val="none"/>
        </w:rPr>
        <w:t>关于承包人应完成的其他开工准备工作及期限：</w:t>
      </w:r>
      <w:r>
        <w:rPr>
          <w:rFonts w:ascii="宋体" w:hAnsi="宋体" w:eastAsia="宋体" w:cs="宋体"/>
          <w:color w:val="auto"/>
          <w:spacing w:val="0"/>
          <w:highlight w:val="none"/>
          <w:u w:val="single"/>
        </w:rPr>
        <w:t xml:space="preserve"> 按通用合同条款执行 </w:t>
      </w:r>
      <w:r>
        <w:rPr>
          <w:rFonts w:ascii="宋体" w:hAnsi="宋体" w:eastAsia="宋体" w:cs="宋体"/>
          <w:color w:val="auto"/>
          <w:spacing w:val="0"/>
          <w:highlight w:val="none"/>
        </w:rPr>
        <w:t>。</w:t>
      </w:r>
      <w:r>
        <w:rPr>
          <w:rFonts w:ascii="宋体" w:hAnsi="宋体" w:eastAsia="宋体" w:cs="宋体"/>
          <w:color w:val="auto"/>
          <w:highlight w:val="none"/>
        </w:rPr>
        <w:t xml:space="preserve"> </w:t>
      </w:r>
    </w:p>
    <w:p w14:paraId="60B7CF2B">
      <w:pPr>
        <w:spacing w:line="360" w:lineRule="auto"/>
        <w:ind w:firstLine="420" w:firstLineChars="200"/>
        <w:jc w:val="left"/>
        <w:rPr>
          <w:color w:val="auto"/>
          <w:highlight w:val="none"/>
        </w:rPr>
      </w:pPr>
      <w:r>
        <w:rPr>
          <w:color w:val="auto"/>
          <w:highlight w:val="none"/>
        </w:rPr>
        <w:t xml:space="preserve">7.3.2 </w:t>
      </w:r>
      <w:r>
        <w:rPr>
          <w:rFonts w:hint="eastAsia" w:hAnsi="宋体" w:cs="宋体"/>
          <w:color w:val="auto"/>
          <w:highlight w:val="none"/>
        </w:rPr>
        <w:t>开工通知</w:t>
      </w:r>
    </w:p>
    <w:p w14:paraId="0FF00041">
      <w:pPr>
        <w:spacing w:line="360" w:lineRule="auto"/>
        <w:ind w:firstLine="420" w:firstLineChars="200"/>
        <w:jc w:val="left"/>
        <w:rPr>
          <w:color w:val="auto"/>
          <w:highlight w:val="none"/>
        </w:rPr>
      </w:pPr>
      <w:r>
        <w:rPr>
          <w:rFonts w:hint="eastAsia" w:hAnsi="宋体" w:cs="宋体"/>
          <w:color w:val="auto"/>
          <w:highlight w:val="none"/>
        </w:rPr>
        <w:t>因发包人原因造成监理人未能在计划开工日期之日起</w:t>
      </w:r>
      <w:r>
        <w:rPr>
          <w:color w:val="auto"/>
          <w:highlight w:val="none"/>
          <w:u w:val="single"/>
        </w:rPr>
        <w:t xml:space="preserve"> </w:t>
      </w:r>
      <w:r>
        <w:rPr>
          <w:rFonts w:hint="eastAsia"/>
          <w:color w:val="auto"/>
          <w:highlight w:val="none"/>
          <w:u w:val="single"/>
          <w:lang w:val="en-US" w:eastAsia="zh-CN"/>
        </w:rPr>
        <w:t>90</w:t>
      </w:r>
      <w:r>
        <w:rPr>
          <w:color w:val="auto"/>
          <w:highlight w:val="none"/>
          <w:u w:val="single"/>
        </w:rPr>
        <w:t xml:space="preserve"> </w:t>
      </w:r>
      <w:r>
        <w:rPr>
          <w:rFonts w:hint="eastAsia" w:hAnsi="宋体" w:cs="宋体"/>
          <w:color w:val="auto"/>
          <w:highlight w:val="none"/>
        </w:rPr>
        <w:t>天内发出开工通知的，承包人有权提出价格调整要求，或者解除合同。</w:t>
      </w:r>
    </w:p>
    <w:bookmarkEnd w:id="635"/>
    <w:bookmarkEnd w:id="636"/>
    <w:bookmarkEnd w:id="637"/>
    <w:bookmarkEnd w:id="638"/>
    <w:bookmarkEnd w:id="639"/>
    <w:bookmarkEnd w:id="640"/>
    <w:bookmarkEnd w:id="641"/>
    <w:p w14:paraId="32C637F8">
      <w:pPr>
        <w:pStyle w:val="5"/>
        <w:rPr>
          <w:color w:val="auto"/>
          <w:highlight w:val="none"/>
        </w:rPr>
      </w:pPr>
      <w:bookmarkStart w:id="650" w:name="_Toc373227726"/>
      <w:bookmarkStart w:id="651" w:name="_Toc11734"/>
      <w:bookmarkStart w:id="652" w:name="_Toc407135228"/>
      <w:bookmarkStart w:id="653" w:name="_Toc373478373"/>
      <w:bookmarkStart w:id="654" w:name="_Toc389065292"/>
      <w:bookmarkStart w:id="655" w:name="_Toc86855608"/>
      <w:bookmarkStart w:id="656" w:name="_Toc78449814"/>
      <w:bookmarkStart w:id="657" w:name="_Toc741356765"/>
      <w:r>
        <w:rPr>
          <w:color w:val="auto"/>
          <w:highlight w:val="none"/>
        </w:rPr>
        <w:t xml:space="preserve">7.4 </w:t>
      </w:r>
      <w:r>
        <w:rPr>
          <w:rFonts w:hint="eastAsia" w:hAnsi="宋体" w:cs="黑体"/>
          <w:color w:val="auto"/>
          <w:highlight w:val="none"/>
        </w:rPr>
        <w:t>测量放线</w:t>
      </w:r>
      <w:bookmarkEnd w:id="650"/>
      <w:bookmarkEnd w:id="651"/>
      <w:bookmarkEnd w:id="652"/>
      <w:bookmarkEnd w:id="653"/>
      <w:bookmarkEnd w:id="654"/>
      <w:bookmarkEnd w:id="655"/>
      <w:bookmarkEnd w:id="656"/>
      <w:bookmarkEnd w:id="657"/>
    </w:p>
    <w:p w14:paraId="70B53FF7">
      <w:pPr>
        <w:spacing w:line="360" w:lineRule="auto"/>
        <w:ind w:firstLine="420" w:firstLineChars="200"/>
        <w:jc w:val="left"/>
        <w:rPr>
          <w:rFonts w:hAnsi="宋体"/>
          <w:color w:val="auto"/>
          <w:highlight w:val="none"/>
        </w:rPr>
      </w:pPr>
      <w:r>
        <w:rPr>
          <w:color w:val="auto"/>
          <w:highlight w:val="none"/>
        </w:rPr>
        <w:t>7.4.1</w:t>
      </w:r>
      <w:r>
        <w:rPr>
          <w:rFonts w:hint="eastAsia" w:hAnsi="宋体" w:cs="宋体"/>
          <w:color w:val="auto"/>
          <w:highlight w:val="none"/>
        </w:rPr>
        <w:t>发包人通过监理人向承包人提供测量基准点、基准线和水准点及其书面资料的期限：</w:t>
      </w:r>
    </w:p>
    <w:p w14:paraId="64777EA9">
      <w:pPr>
        <w:spacing w:line="360" w:lineRule="auto"/>
        <w:jc w:val="left"/>
        <w:rPr>
          <w:color w:val="auto"/>
          <w:highlight w:val="none"/>
          <w:u w:val="single"/>
        </w:rPr>
      </w:pPr>
      <w:r>
        <w:rPr>
          <w:rFonts w:hint="eastAsia"/>
          <w:color w:val="auto"/>
          <w:highlight w:val="none"/>
          <w:u w:val="single"/>
        </w:rPr>
        <w:t xml:space="preserve">开工日期前 7 天通过监理人向承包人提供测量基准点、基准线和水准点及其书面资料 </w:t>
      </w:r>
      <w:r>
        <w:rPr>
          <w:rFonts w:hint="eastAsia" w:hAnsi="宋体" w:cs="宋体"/>
          <w:color w:val="auto"/>
          <w:highlight w:val="none"/>
        </w:rPr>
        <w:t>。</w:t>
      </w:r>
    </w:p>
    <w:p w14:paraId="3EC55492">
      <w:pPr>
        <w:pStyle w:val="5"/>
        <w:rPr>
          <w:color w:val="auto"/>
          <w:highlight w:val="none"/>
        </w:rPr>
      </w:pPr>
      <w:bookmarkStart w:id="658" w:name="_Toc1863025072"/>
      <w:bookmarkStart w:id="659" w:name="_Toc389065293"/>
      <w:bookmarkStart w:id="660" w:name="_Toc373478374"/>
      <w:bookmarkStart w:id="661" w:name="_Toc407135229"/>
      <w:bookmarkStart w:id="662" w:name="_Toc1417437583"/>
      <w:bookmarkStart w:id="663" w:name="_Toc78449815"/>
      <w:bookmarkStart w:id="664" w:name="_Toc373227727"/>
      <w:bookmarkStart w:id="665" w:name="_Toc16536"/>
      <w:r>
        <w:rPr>
          <w:color w:val="auto"/>
          <w:highlight w:val="none"/>
        </w:rPr>
        <w:t>7</w:t>
      </w:r>
      <w:bookmarkStart w:id="666" w:name="_Toc312677484"/>
      <w:bookmarkStart w:id="667" w:name="_Toc304295546"/>
      <w:bookmarkStart w:id="668" w:name="_Toc297216175"/>
      <w:bookmarkStart w:id="669" w:name="_Toc300934968"/>
      <w:bookmarkStart w:id="670" w:name="_Toc297123516"/>
      <w:bookmarkStart w:id="671" w:name="_Toc312678010"/>
      <w:bookmarkStart w:id="672" w:name="_Toc303539125"/>
      <w:r>
        <w:rPr>
          <w:color w:val="auto"/>
          <w:highlight w:val="none"/>
        </w:rPr>
        <w:t xml:space="preserve">.5 </w:t>
      </w:r>
      <w:r>
        <w:rPr>
          <w:rFonts w:hint="eastAsia" w:hAnsi="宋体" w:cs="黑体"/>
          <w:color w:val="auto"/>
          <w:highlight w:val="none"/>
        </w:rPr>
        <w:t>工期延误</w:t>
      </w:r>
      <w:bookmarkEnd w:id="658"/>
      <w:bookmarkEnd w:id="659"/>
      <w:bookmarkEnd w:id="660"/>
      <w:bookmarkEnd w:id="661"/>
      <w:bookmarkEnd w:id="662"/>
      <w:bookmarkEnd w:id="663"/>
      <w:bookmarkEnd w:id="664"/>
      <w:bookmarkEnd w:id="665"/>
    </w:p>
    <w:bookmarkEnd w:id="666"/>
    <w:bookmarkEnd w:id="667"/>
    <w:bookmarkEnd w:id="668"/>
    <w:bookmarkEnd w:id="669"/>
    <w:bookmarkEnd w:id="670"/>
    <w:bookmarkEnd w:id="671"/>
    <w:bookmarkEnd w:id="672"/>
    <w:p w14:paraId="765572F8">
      <w:pPr>
        <w:spacing w:line="360" w:lineRule="auto"/>
        <w:ind w:firstLine="420" w:firstLineChars="200"/>
        <w:jc w:val="left"/>
        <w:rPr>
          <w:color w:val="auto"/>
          <w:highlight w:val="none"/>
        </w:rPr>
      </w:pPr>
      <w:r>
        <w:rPr>
          <w:color w:val="auto"/>
          <w:highlight w:val="none"/>
        </w:rPr>
        <w:t xml:space="preserve">7.5.1 </w:t>
      </w:r>
      <w:r>
        <w:rPr>
          <w:rFonts w:hint="eastAsia" w:hAnsi="宋体" w:cs="宋体"/>
          <w:color w:val="auto"/>
          <w:highlight w:val="none"/>
        </w:rPr>
        <w:t>因发包人原因导致工期延误</w:t>
      </w:r>
    </w:p>
    <w:p w14:paraId="2241367E">
      <w:pPr>
        <w:spacing w:line="360" w:lineRule="auto"/>
        <w:ind w:firstLine="420" w:firstLineChars="200"/>
        <w:jc w:val="left"/>
        <w:rPr>
          <w:color w:val="auto"/>
          <w:highlight w:val="none"/>
          <w:u w:val="single"/>
        </w:rPr>
      </w:pPr>
      <w:r>
        <w:rPr>
          <w:rFonts w:hint="eastAsia" w:hAnsi="宋体" w:cs="宋体"/>
          <w:color w:val="auto"/>
          <w:highlight w:val="none"/>
        </w:rPr>
        <w:t>（</w:t>
      </w:r>
      <w:r>
        <w:rPr>
          <w:color w:val="auto"/>
          <w:highlight w:val="none"/>
        </w:rPr>
        <w:t>7</w:t>
      </w:r>
      <w:r>
        <w:rPr>
          <w:rFonts w:hint="eastAsia" w:hAnsi="宋体" w:cs="宋体"/>
          <w:color w:val="auto"/>
          <w:highlight w:val="none"/>
        </w:rPr>
        <w:t>）因发包人原因导致工期延误的其他情形：</w:t>
      </w:r>
      <w:r>
        <w:rPr>
          <w:rFonts w:hint="eastAsia" w:ascii="宋体" w:hAnsi="宋体" w:cs="宋体"/>
          <w:color w:val="auto"/>
          <w:highlight w:val="none"/>
          <w:u w:val="single"/>
        </w:rPr>
        <w:t>①重大图纸变更影响关健线路工序施工；②施工期间如因停电、停水连续</w:t>
      </w:r>
      <w:r>
        <w:rPr>
          <w:rFonts w:ascii="宋体" w:hAnsi="宋体" w:cs="宋体"/>
          <w:color w:val="auto"/>
          <w:highlight w:val="none"/>
          <w:u w:val="single"/>
        </w:rPr>
        <w:t>8</w:t>
      </w:r>
      <w:r>
        <w:rPr>
          <w:rFonts w:hint="eastAsia" w:ascii="宋体" w:hAnsi="宋体" w:cs="宋体"/>
          <w:color w:val="auto"/>
          <w:highlight w:val="none"/>
          <w:u w:val="single"/>
        </w:rPr>
        <w:t>小时以上或一周内间歇性停水、停电累计</w:t>
      </w:r>
      <w:r>
        <w:rPr>
          <w:rFonts w:ascii="宋体" w:hAnsi="宋体" w:cs="宋体"/>
          <w:color w:val="auto"/>
          <w:highlight w:val="none"/>
          <w:u w:val="single"/>
        </w:rPr>
        <w:t>8</w:t>
      </w:r>
      <w:r>
        <w:rPr>
          <w:rFonts w:hint="eastAsia" w:ascii="宋体" w:hAnsi="宋体" w:cs="宋体"/>
          <w:color w:val="auto"/>
          <w:highlight w:val="none"/>
          <w:u w:val="single"/>
        </w:rPr>
        <w:t>小时（含</w:t>
      </w:r>
      <w:r>
        <w:rPr>
          <w:rFonts w:ascii="宋体" w:hAnsi="宋体" w:cs="宋体"/>
          <w:color w:val="auto"/>
          <w:highlight w:val="none"/>
          <w:u w:val="single"/>
        </w:rPr>
        <w:t>8</w:t>
      </w:r>
      <w:r>
        <w:rPr>
          <w:rFonts w:hint="eastAsia" w:ascii="宋体" w:hAnsi="宋体" w:cs="宋体"/>
          <w:color w:val="auto"/>
          <w:highlight w:val="none"/>
          <w:u w:val="single"/>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Ansi="宋体"/>
          <w:color w:val="auto"/>
          <w:highlight w:val="none"/>
        </w:rPr>
        <w:t xml:space="preserve"> </w:t>
      </w:r>
      <w:r>
        <w:rPr>
          <w:rFonts w:hint="eastAsia" w:hAnsi="宋体" w:cs="宋体"/>
          <w:color w:val="auto"/>
          <w:highlight w:val="none"/>
        </w:rPr>
        <w:t>。</w:t>
      </w:r>
    </w:p>
    <w:p w14:paraId="418C395C">
      <w:pPr>
        <w:spacing w:line="360" w:lineRule="auto"/>
        <w:ind w:firstLine="420" w:firstLineChars="200"/>
        <w:jc w:val="left"/>
        <w:rPr>
          <w:color w:val="auto"/>
          <w:highlight w:val="none"/>
        </w:rPr>
      </w:pPr>
      <w:r>
        <w:rPr>
          <w:color w:val="auto"/>
          <w:highlight w:val="none"/>
        </w:rPr>
        <w:t>7</w:t>
      </w:r>
      <w:bookmarkStart w:id="673" w:name="_Toc312677486"/>
      <w:bookmarkStart w:id="674" w:name="_Toc318581169"/>
      <w:bookmarkStart w:id="675" w:name="_Toc312678012"/>
      <w:bookmarkStart w:id="676" w:name="_Toc304295548"/>
      <w:bookmarkStart w:id="677" w:name="_Toc297216177"/>
      <w:bookmarkStart w:id="678" w:name="_Toc303539127"/>
      <w:bookmarkStart w:id="679" w:name="_Toc300934970"/>
      <w:bookmarkStart w:id="680" w:name="_Toc297123518"/>
      <w:r>
        <w:rPr>
          <w:color w:val="auto"/>
          <w:highlight w:val="none"/>
        </w:rPr>
        <w:t xml:space="preserve">.5.2 </w:t>
      </w:r>
      <w:r>
        <w:rPr>
          <w:rFonts w:hint="eastAsia" w:hAnsi="宋体" w:cs="宋体"/>
          <w:color w:val="auto"/>
          <w:highlight w:val="none"/>
        </w:rPr>
        <w:t>因承包人原因导致工期延误</w:t>
      </w:r>
    </w:p>
    <w:bookmarkEnd w:id="673"/>
    <w:bookmarkEnd w:id="674"/>
    <w:bookmarkEnd w:id="675"/>
    <w:p w14:paraId="13C8BCCE">
      <w:pPr>
        <w:spacing w:line="360" w:lineRule="auto"/>
        <w:ind w:firstLine="420" w:firstLineChars="200"/>
        <w:jc w:val="left"/>
        <w:rPr>
          <w:color w:val="auto"/>
          <w:highlight w:val="none"/>
        </w:rPr>
      </w:pPr>
      <w:r>
        <w:rPr>
          <w:rFonts w:hint="eastAsia" w:hAnsi="宋体" w:cs="宋体"/>
          <w:color w:val="auto"/>
          <w:highlight w:val="none"/>
        </w:rPr>
        <w:t>双方约定经监理工程师确认，工期相应顺延的情况：</w:t>
      </w:r>
      <w:r>
        <w:rPr>
          <w:rFonts w:hint="eastAsia"/>
          <w:color w:val="auto"/>
          <w:highlight w:val="none"/>
          <w:u w:val="single"/>
        </w:rPr>
        <w:t xml:space="preserve">按通用条款和第7.5.1条款及以及7.6条约定办理。其他不可抗力的原因，发生工期顺延时应在30日内通知发包方和监理方确认，否则视为工期不延误 </w:t>
      </w:r>
      <w:r>
        <w:rPr>
          <w:rFonts w:hint="eastAsia" w:hAnsi="宋体" w:cs="宋体"/>
          <w:color w:val="auto"/>
          <w:highlight w:val="none"/>
        </w:rPr>
        <w:t>。</w:t>
      </w:r>
    </w:p>
    <w:p w14:paraId="764F741F">
      <w:pPr>
        <w:spacing w:line="360" w:lineRule="auto"/>
        <w:ind w:firstLine="420" w:firstLineChars="200"/>
        <w:jc w:val="left"/>
        <w:rPr>
          <w:color w:val="auto"/>
          <w:highlight w:val="none"/>
        </w:rPr>
      </w:pPr>
      <w:r>
        <w:rPr>
          <w:rFonts w:hint="eastAsia" w:hAnsi="宋体" w:cs="宋体"/>
          <w:color w:val="auto"/>
          <w:highlight w:val="none"/>
        </w:rPr>
        <w:t>因</w:t>
      </w:r>
      <w:bookmarkStart w:id="681" w:name="_Toc312677487"/>
      <w:bookmarkStart w:id="682" w:name="_Toc312678013"/>
      <w:bookmarkStart w:id="683" w:name="_Toc318581170"/>
      <w:r>
        <w:rPr>
          <w:rFonts w:hint="eastAsia" w:hAnsi="宋体" w:cs="宋体"/>
          <w:color w:val="auto"/>
          <w:highlight w:val="none"/>
        </w:rPr>
        <w:t>承包人原因造成工期延误，逾期竣工违约金的计算方法为：</w:t>
      </w:r>
      <w:r>
        <w:rPr>
          <w:rFonts w:hint="eastAsia" w:ascii="宋体" w:hAnsi="宋体" w:cs="宋体"/>
          <w:color w:val="auto"/>
          <w:highlight w:val="none"/>
          <w:u w:val="single"/>
        </w:rPr>
        <w:t>按逾期竣工的单项工程罚款，每延误一天</w:t>
      </w:r>
      <w:r>
        <w:rPr>
          <w:rFonts w:ascii="宋体" w:cs="宋体"/>
          <w:color w:val="auto"/>
          <w:highlight w:val="none"/>
          <w:u w:val="single"/>
        </w:rPr>
        <w:t>,</w:t>
      </w:r>
      <w:r>
        <w:rPr>
          <w:rFonts w:hint="eastAsia" w:ascii="宋体" w:hAnsi="宋体" w:cs="宋体"/>
          <w:color w:val="auto"/>
          <w:highlight w:val="none"/>
          <w:u w:val="single"/>
        </w:rPr>
        <w:t>按单项工程应支付给承包人的结算造价的万分之</w:t>
      </w:r>
      <w:r>
        <w:rPr>
          <w:rFonts w:hint="eastAsia" w:ascii="宋体" w:hAnsi="宋体" w:cs="宋体"/>
          <w:color w:val="auto"/>
          <w:highlight w:val="none"/>
          <w:u w:val="single"/>
          <w:lang w:val="en-US" w:eastAsia="zh-CN"/>
        </w:rPr>
        <w:t>一</w:t>
      </w:r>
      <w:r>
        <w:rPr>
          <w:rFonts w:hint="eastAsia" w:ascii="宋体" w:hAnsi="宋体" w:cs="宋体"/>
          <w:color w:val="auto"/>
          <w:highlight w:val="none"/>
          <w:u w:val="single"/>
        </w:rPr>
        <w:t>处罚</w:t>
      </w:r>
      <w:r>
        <w:rPr>
          <w:rFonts w:ascii="宋体" w:cs="宋体"/>
          <w:color w:val="auto"/>
          <w:highlight w:val="none"/>
          <w:u w:val="single"/>
        </w:rPr>
        <w:t>,</w:t>
      </w:r>
      <w:r>
        <w:rPr>
          <w:rFonts w:hint="eastAsia" w:ascii="宋体" w:hAnsi="宋体" w:cs="宋体"/>
          <w:color w:val="auto"/>
          <w:highlight w:val="none"/>
          <w:u w:val="single"/>
        </w:rPr>
        <w:t>罚款直接从结算款中扣除。</w:t>
      </w:r>
      <w:r>
        <w:rPr>
          <w:rFonts w:hint="eastAsia" w:hAnsi="宋体" w:cs="宋体"/>
          <w:color w:val="auto"/>
          <w:highlight w:val="none"/>
          <w:u w:val="single"/>
        </w:rPr>
        <w:t>误期时间从规定竣工日期起直到实际竣工日期的天数（扣除发包人批准顺延的工期）。</w:t>
      </w:r>
      <w:bookmarkEnd w:id="676"/>
      <w:bookmarkEnd w:id="677"/>
      <w:bookmarkEnd w:id="678"/>
      <w:bookmarkEnd w:id="679"/>
      <w:bookmarkEnd w:id="680"/>
      <w:bookmarkEnd w:id="681"/>
      <w:bookmarkEnd w:id="682"/>
      <w:bookmarkEnd w:id="683"/>
      <w:r>
        <w:rPr>
          <w:rFonts w:hint="eastAsia" w:hAnsi="宋体" w:cs="宋体"/>
          <w:color w:val="auto"/>
          <w:highlight w:val="none"/>
        </w:rPr>
        <w:t>因承包人原因造成工期延误，逾</w:t>
      </w:r>
      <w:bookmarkStart w:id="684" w:name="_Toc312678014"/>
      <w:bookmarkStart w:id="685" w:name="_Toc318581171"/>
      <w:r>
        <w:rPr>
          <w:rFonts w:hint="eastAsia" w:hAnsi="宋体" w:cs="宋体"/>
          <w:color w:val="auto"/>
          <w:highlight w:val="none"/>
        </w:rPr>
        <w:t>期竣工违约金的上限：</w:t>
      </w:r>
      <w:r>
        <w:rPr>
          <w:rFonts w:hint="eastAsia" w:ascii="宋体" w:hAnsi="宋体" w:cs="宋体"/>
          <w:color w:val="auto"/>
          <w:highlight w:val="none"/>
          <w:u w:val="single"/>
        </w:rPr>
        <w:t>逾期竣工的单项工程结算造价</w:t>
      </w:r>
      <w:r>
        <w:rPr>
          <w:rFonts w:hint="eastAsia" w:hAnsi="宋体" w:cs="宋体"/>
          <w:color w:val="auto"/>
          <w:highlight w:val="none"/>
          <w:u w:val="single"/>
        </w:rPr>
        <w:t>的</w:t>
      </w:r>
      <w:r>
        <w:rPr>
          <w:rFonts w:hint="eastAsia"/>
          <w:color w:val="auto"/>
          <w:highlight w:val="none"/>
          <w:u w:val="single"/>
          <w:lang w:val="en-US" w:eastAsia="zh-CN"/>
        </w:rPr>
        <w:t>5</w:t>
      </w:r>
      <w:r>
        <w:rPr>
          <w:color w:val="auto"/>
          <w:highlight w:val="none"/>
          <w:u w:val="single"/>
        </w:rPr>
        <w:t>%</w:t>
      </w:r>
      <w:r>
        <w:rPr>
          <w:rFonts w:hint="eastAsia" w:hAnsi="宋体" w:cs="宋体"/>
          <w:color w:val="auto"/>
          <w:highlight w:val="none"/>
        </w:rPr>
        <w:t>。</w:t>
      </w:r>
    </w:p>
    <w:bookmarkEnd w:id="684"/>
    <w:bookmarkEnd w:id="685"/>
    <w:p w14:paraId="16B14D99">
      <w:pPr>
        <w:pStyle w:val="5"/>
        <w:rPr>
          <w:color w:val="auto"/>
          <w:highlight w:val="none"/>
        </w:rPr>
      </w:pPr>
      <w:bookmarkStart w:id="686" w:name="_Toc407135230"/>
      <w:bookmarkStart w:id="687" w:name="_Toc1954543271"/>
      <w:bookmarkStart w:id="688" w:name="_Toc373227728"/>
      <w:bookmarkStart w:id="689" w:name="_Toc16199"/>
      <w:bookmarkStart w:id="690" w:name="_Toc78449816"/>
      <w:bookmarkStart w:id="691" w:name="_Toc389065294"/>
      <w:bookmarkStart w:id="692" w:name="_Toc373478375"/>
      <w:bookmarkStart w:id="693" w:name="_Toc888037017"/>
      <w:r>
        <w:rPr>
          <w:color w:val="auto"/>
          <w:highlight w:val="none"/>
        </w:rPr>
        <w:t>7</w:t>
      </w:r>
      <w:bookmarkStart w:id="694" w:name="_Toc297123519"/>
      <w:bookmarkStart w:id="695" w:name="_Toc312678015"/>
      <w:bookmarkStart w:id="696" w:name="_Toc303539128"/>
      <w:bookmarkStart w:id="697" w:name="_Toc297216178"/>
      <w:bookmarkStart w:id="698" w:name="_Toc304295549"/>
      <w:bookmarkStart w:id="699" w:name="_Toc300934971"/>
      <w:r>
        <w:rPr>
          <w:color w:val="auto"/>
          <w:highlight w:val="none"/>
        </w:rPr>
        <w:t xml:space="preserve">.6 </w:t>
      </w:r>
      <w:r>
        <w:rPr>
          <w:rFonts w:hint="eastAsia" w:cs="黑体"/>
          <w:color w:val="auto"/>
          <w:highlight w:val="none"/>
        </w:rPr>
        <w:t>不</w:t>
      </w:r>
      <w:bookmarkEnd w:id="694"/>
      <w:bookmarkEnd w:id="695"/>
      <w:bookmarkEnd w:id="696"/>
      <w:bookmarkEnd w:id="697"/>
      <w:bookmarkEnd w:id="698"/>
      <w:bookmarkEnd w:id="699"/>
      <w:r>
        <w:rPr>
          <w:rFonts w:hint="eastAsia" w:cs="黑体"/>
          <w:color w:val="auto"/>
          <w:highlight w:val="none"/>
        </w:rPr>
        <w:t>利物质条件</w:t>
      </w:r>
      <w:bookmarkEnd w:id="686"/>
      <w:bookmarkEnd w:id="687"/>
      <w:bookmarkEnd w:id="688"/>
      <w:bookmarkEnd w:id="689"/>
      <w:bookmarkEnd w:id="690"/>
      <w:bookmarkEnd w:id="691"/>
      <w:bookmarkEnd w:id="692"/>
      <w:bookmarkEnd w:id="693"/>
    </w:p>
    <w:p w14:paraId="277AEC0E">
      <w:pPr>
        <w:spacing w:line="360" w:lineRule="auto"/>
        <w:ind w:firstLine="420" w:firstLineChars="200"/>
        <w:jc w:val="left"/>
        <w:rPr>
          <w:color w:val="auto"/>
          <w:highlight w:val="none"/>
          <w:u w:val="single"/>
        </w:rPr>
      </w:pPr>
      <w:bookmarkStart w:id="700" w:name="_Toc300934972"/>
      <w:bookmarkStart w:id="701" w:name="_Toc303539129"/>
      <w:bookmarkStart w:id="702" w:name="_Toc318581172"/>
      <w:bookmarkStart w:id="703" w:name="_Toc297216179"/>
      <w:bookmarkStart w:id="704" w:name="_Toc297123520"/>
      <w:bookmarkStart w:id="705" w:name="_Toc304295550"/>
      <w:bookmarkStart w:id="706" w:name="_Toc312678016"/>
      <w:r>
        <w:rPr>
          <w:rFonts w:hint="eastAsia" w:hAnsi="宋体" w:cs="宋体"/>
          <w:color w:val="auto"/>
          <w:highlight w:val="none"/>
        </w:rPr>
        <w:t>不利物质条件的其他情形和有关约定：</w:t>
      </w:r>
      <w:r>
        <w:rPr>
          <w:rFonts w:ascii="宋体" w:hAnsi="宋体" w:eastAsia="宋体" w:cs="宋体"/>
          <w:color w:val="auto"/>
          <w:highlight w:val="none"/>
          <w:u w:val="single"/>
        </w:rPr>
        <w:t xml:space="preserve"> 以有关部门发布的文告或文件为准 </w:t>
      </w:r>
      <w:r>
        <w:rPr>
          <w:rFonts w:hint="eastAsia" w:hAnsi="宋体" w:cs="宋体"/>
          <w:color w:val="auto"/>
          <w:highlight w:val="none"/>
        </w:rPr>
        <w:t>。</w:t>
      </w:r>
    </w:p>
    <w:bookmarkEnd w:id="700"/>
    <w:bookmarkEnd w:id="701"/>
    <w:bookmarkEnd w:id="702"/>
    <w:bookmarkEnd w:id="703"/>
    <w:bookmarkEnd w:id="704"/>
    <w:bookmarkEnd w:id="705"/>
    <w:bookmarkEnd w:id="706"/>
    <w:p w14:paraId="7487AE7D">
      <w:pPr>
        <w:pStyle w:val="5"/>
        <w:rPr>
          <w:color w:val="auto"/>
          <w:highlight w:val="none"/>
        </w:rPr>
      </w:pPr>
      <w:bookmarkStart w:id="707" w:name="_Toc389065295"/>
      <w:bookmarkStart w:id="708" w:name="_Toc373478376"/>
      <w:bookmarkStart w:id="709" w:name="_Toc2031116443"/>
      <w:bookmarkStart w:id="710" w:name="_Toc851880484"/>
      <w:bookmarkStart w:id="711" w:name="_Toc78449817"/>
      <w:bookmarkStart w:id="712" w:name="_Toc373227729"/>
      <w:bookmarkStart w:id="713" w:name="_Toc18248"/>
      <w:bookmarkStart w:id="714" w:name="_Toc407135231"/>
      <w:r>
        <w:rPr>
          <w:color w:val="auto"/>
          <w:highlight w:val="none"/>
        </w:rPr>
        <w:t>7</w:t>
      </w:r>
      <w:bookmarkStart w:id="715" w:name="_Toc297216180"/>
      <w:bookmarkStart w:id="716" w:name="_Toc304295551"/>
      <w:bookmarkStart w:id="717" w:name="_Toc300934973"/>
      <w:bookmarkStart w:id="718" w:name="_Toc303539130"/>
      <w:bookmarkStart w:id="719" w:name="_Toc297123521"/>
      <w:bookmarkStart w:id="720" w:name="_Toc312678017"/>
      <w:r>
        <w:rPr>
          <w:color w:val="auto"/>
          <w:highlight w:val="none"/>
        </w:rPr>
        <w:t xml:space="preserve">.7 </w:t>
      </w:r>
      <w:r>
        <w:rPr>
          <w:rFonts w:hint="eastAsia" w:cs="黑体"/>
          <w:color w:val="auto"/>
          <w:highlight w:val="none"/>
        </w:rPr>
        <w:t>异常恶劣的气候条件</w:t>
      </w:r>
      <w:bookmarkEnd w:id="707"/>
      <w:bookmarkEnd w:id="708"/>
      <w:bookmarkEnd w:id="709"/>
      <w:bookmarkEnd w:id="710"/>
      <w:bookmarkEnd w:id="711"/>
      <w:bookmarkEnd w:id="712"/>
      <w:bookmarkEnd w:id="713"/>
      <w:bookmarkEnd w:id="714"/>
    </w:p>
    <w:bookmarkEnd w:id="715"/>
    <w:bookmarkEnd w:id="716"/>
    <w:bookmarkEnd w:id="717"/>
    <w:bookmarkEnd w:id="718"/>
    <w:bookmarkEnd w:id="719"/>
    <w:bookmarkEnd w:id="720"/>
    <w:p w14:paraId="77716C4E">
      <w:pPr>
        <w:spacing w:line="360" w:lineRule="auto"/>
        <w:ind w:firstLine="420" w:firstLineChars="200"/>
        <w:jc w:val="left"/>
        <w:rPr>
          <w:color w:val="auto"/>
          <w:highlight w:val="none"/>
        </w:rPr>
      </w:pPr>
      <w:r>
        <w:rPr>
          <w:rFonts w:hint="eastAsia" w:hAnsi="宋体" w:cs="宋体"/>
          <w:color w:val="auto"/>
          <w:highlight w:val="none"/>
        </w:rPr>
        <w:t>发包人和承包人同意以下情形视为异常恶劣的气候条件：</w:t>
      </w:r>
    </w:p>
    <w:p w14:paraId="1B827B6B">
      <w:pPr>
        <w:spacing w:line="360" w:lineRule="auto"/>
        <w:ind w:firstLine="420" w:firstLineChars="200"/>
        <w:jc w:val="left"/>
        <w:rPr>
          <w:rFonts w:hint="eastAsia"/>
          <w:color w:val="auto"/>
          <w:highlight w:val="none"/>
          <w:u w:val="none"/>
        </w:rPr>
      </w:pPr>
      <w:r>
        <w:rPr>
          <w:rFonts w:hint="eastAsia"/>
          <w:color w:val="auto"/>
          <w:highlight w:val="none"/>
          <w:u w:val="none"/>
          <w:lang w:eastAsia="zh-CN"/>
        </w:rPr>
        <w:t>（</w:t>
      </w:r>
      <w:r>
        <w:rPr>
          <w:rFonts w:hint="eastAsia"/>
          <w:color w:val="auto"/>
          <w:highlight w:val="none"/>
          <w:u w:val="none"/>
        </w:rPr>
        <w:t>1</w:t>
      </w:r>
      <w:r>
        <w:rPr>
          <w:rFonts w:hint="eastAsia"/>
          <w:color w:val="auto"/>
          <w:highlight w:val="none"/>
          <w:u w:val="none"/>
          <w:lang w:eastAsia="zh-CN"/>
        </w:rPr>
        <w:t>）</w:t>
      </w:r>
      <w:r>
        <w:rPr>
          <w:rFonts w:hint="eastAsia"/>
          <w:color w:val="auto"/>
          <w:highlight w:val="none"/>
          <w:u w:val="none"/>
        </w:rPr>
        <w:t>6级以上地震；</w:t>
      </w:r>
    </w:p>
    <w:p w14:paraId="2D95BA30">
      <w:pPr>
        <w:spacing w:line="360" w:lineRule="auto"/>
        <w:ind w:firstLine="420" w:firstLineChars="200"/>
        <w:jc w:val="left"/>
        <w:rPr>
          <w:rFonts w:hint="eastAsia"/>
          <w:color w:val="auto"/>
          <w:highlight w:val="none"/>
          <w:u w:val="none"/>
        </w:rPr>
      </w:pPr>
      <w:r>
        <w:rPr>
          <w:rFonts w:hint="eastAsia"/>
          <w:color w:val="auto"/>
          <w:highlight w:val="none"/>
          <w:u w:val="none"/>
          <w:lang w:eastAsia="zh-CN"/>
        </w:rPr>
        <w:t>（</w:t>
      </w:r>
      <w:r>
        <w:rPr>
          <w:rFonts w:hint="eastAsia"/>
          <w:color w:val="auto"/>
          <w:highlight w:val="none"/>
          <w:u w:val="none"/>
        </w:rPr>
        <w:t>2</w:t>
      </w:r>
      <w:r>
        <w:rPr>
          <w:rFonts w:hint="eastAsia"/>
          <w:color w:val="auto"/>
          <w:highlight w:val="none"/>
          <w:u w:val="none"/>
          <w:lang w:eastAsia="zh-CN"/>
        </w:rPr>
        <w:t>）</w:t>
      </w:r>
      <w:r>
        <w:rPr>
          <w:rFonts w:hint="eastAsia"/>
          <w:color w:val="auto"/>
          <w:highlight w:val="none"/>
          <w:u w:val="none"/>
        </w:rPr>
        <w:t>10级以上持续1天的大风；</w:t>
      </w:r>
    </w:p>
    <w:p w14:paraId="7F3D74DF">
      <w:pPr>
        <w:spacing w:line="360" w:lineRule="auto"/>
        <w:ind w:firstLine="420" w:firstLineChars="200"/>
        <w:jc w:val="left"/>
        <w:rPr>
          <w:rFonts w:hint="eastAsia"/>
          <w:color w:val="auto"/>
          <w:highlight w:val="none"/>
          <w:u w:val="none"/>
        </w:rPr>
      </w:pPr>
      <w:r>
        <w:rPr>
          <w:rFonts w:hint="eastAsia"/>
          <w:color w:val="auto"/>
          <w:highlight w:val="none"/>
          <w:u w:val="none"/>
          <w:lang w:eastAsia="zh-CN"/>
        </w:rPr>
        <w:t>（</w:t>
      </w:r>
      <w:r>
        <w:rPr>
          <w:rFonts w:hint="eastAsia"/>
          <w:color w:val="auto"/>
          <w:highlight w:val="none"/>
          <w:u w:val="none"/>
        </w:rPr>
        <w:t>3</w:t>
      </w:r>
      <w:r>
        <w:rPr>
          <w:rFonts w:hint="eastAsia"/>
          <w:color w:val="auto"/>
          <w:highlight w:val="none"/>
          <w:u w:val="none"/>
          <w:lang w:eastAsia="zh-CN"/>
        </w:rPr>
        <w:t>）</w:t>
      </w:r>
      <w:r>
        <w:rPr>
          <w:rFonts w:hint="eastAsia"/>
          <w:color w:val="auto"/>
          <w:highlight w:val="none"/>
          <w:u w:val="none"/>
        </w:rPr>
        <w:t>台风及暴雨天级以上持续1天的大雨；</w:t>
      </w:r>
    </w:p>
    <w:p w14:paraId="4BE797C7">
      <w:pPr>
        <w:spacing w:line="360" w:lineRule="auto"/>
        <w:ind w:firstLine="420" w:firstLineChars="200"/>
        <w:jc w:val="left"/>
        <w:rPr>
          <w:rFonts w:hint="eastAsia"/>
          <w:color w:val="auto"/>
          <w:highlight w:val="none"/>
          <w:u w:val="none"/>
        </w:rPr>
      </w:pPr>
      <w:r>
        <w:rPr>
          <w:rFonts w:hint="eastAsia"/>
          <w:color w:val="auto"/>
          <w:highlight w:val="none"/>
          <w:u w:val="none"/>
          <w:lang w:eastAsia="zh-CN"/>
        </w:rPr>
        <w:t>（</w:t>
      </w:r>
      <w:r>
        <w:rPr>
          <w:rFonts w:hint="eastAsia"/>
          <w:color w:val="auto"/>
          <w:highlight w:val="none"/>
          <w:u w:val="none"/>
        </w:rPr>
        <w:t>4</w:t>
      </w:r>
      <w:r>
        <w:rPr>
          <w:rFonts w:hint="eastAsia"/>
          <w:color w:val="auto"/>
          <w:highlight w:val="none"/>
          <w:u w:val="none"/>
          <w:lang w:eastAsia="zh-CN"/>
        </w:rPr>
        <w:t>）</w:t>
      </w:r>
      <w:r>
        <w:rPr>
          <w:rFonts w:hint="eastAsia"/>
          <w:color w:val="auto"/>
          <w:highlight w:val="none"/>
          <w:u w:val="none"/>
        </w:rPr>
        <w:t>50年以上未发生过，持续2天的高温天气；</w:t>
      </w:r>
    </w:p>
    <w:p w14:paraId="0FAA516F">
      <w:pPr>
        <w:spacing w:line="360" w:lineRule="auto"/>
        <w:ind w:firstLine="420" w:firstLineChars="200"/>
        <w:jc w:val="left"/>
        <w:rPr>
          <w:rFonts w:hint="eastAsia"/>
          <w:color w:val="auto"/>
          <w:highlight w:val="none"/>
          <w:u w:val="none"/>
        </w:rPr>
      </w:pPr>
      <w:r>
        <w:rPr>
          <w:rFonts w:hint="eastAsia"/>
          <w:color w:val="auto"/>
          <w:highlight w:val="none"/>
          <w:u w:val="none"/>
          <w:lang w:eastAsia="zh-CN"/>
        </w:rPr>
        <w:t>（</w:t>
      </w:r>
      <w:r>
        <w:rPr>
          <w:rFonts w:hint="eastAsia"/>
          <w:color w:val="auto"/>
          <w:highlight w:val="none"/>
          <w:u w:val="none"/>
        </w:rPr>
        <w:t>5</w:t>
      </w:r>
      <w:r>
        <w:rPr>
          <w:rFonts w:hint="eastAsia"/>
          <w:color w:val="auto"/>
          <w:highlight w:val="none"/>
          <w:u w:val="none"/>
          <w:lang w:eastAsia="zh-CN"/>
        </w:rPr>
        <w:t>）</w:t>
      </w:r>
      <w:r>
        <w:rPr>
          <w:rFonts w:hint="eastAsia"/>
          <w:color w:val="auto"/>
          <w:highlight w:val="none"/>
          <w:u w:val="none"/>
        </w:rPr>
        <w:t>50年以上未发生过，持续2天的低温天气；</w:t>
      </w:r>
    </w:p>
    <w:p w14:paraId="542E519A">
      <w:pPr>
        <w:spacing w:line="360" w:lineRule="auto"/>
        <w:ind w:firstLine="420" w:firstLineChars="200"/>
        <w:jc w:val="left"/>
        <w:rPr>
          <w:rFonts w:hint="eastAsia"/>
          <w:color w:val="auto"/>
          <w:highlight w:val="none"/>
          <w:u w:val="none"/>
        </w:rPr>
      </w:pPr>
      <w:r>
        <w:rPr>
          <w:rFonts w:hint="eastAsia"/>
          <w:color w:val="auto"/>
          <w:highlight w:val="none"/>
          <w:u w:val="none"/>
          <w:lang w:eastAsia="zh-CN"/>
        </w:rPr>
        <w:t>（</w:t>
      </w:r>
      <w:r>
        <w:rPr>
          <w:rFonts w:hint="eastAsia"/>
          <w:color w:val="auto"/>
          <w:highlight w:val="none"/>
          <w:u w:val="none"/>
        </w:rPr>
        <w:t>6</w:t>
      </w:r>
      <w:r>
        <w:rPr>
          <w:rFonts w:hint="eastAsia"/>
          <w:color w:val="auto"/>
          <w:highlight w:val="none"/>
          <w:u w:val="none"/>
          <w:lang w:eastAsia="zh-CN"/>
        </w:rPr>
        <w:t>）</w:t>
      </w:r>
      <w:r>
        <w:rPr>
          <w:rFonts w:hint="eastAsia"/>
          <w:color w:val="auto"/>
          <w:highlight w:val="none"/>
          <w:u w:val="none"/>
        </w:rPr>
        <w:t>50年以上未发生过的洪水。</w:t>
      </w:r>
    </w:p>
    <w:p w14:paraId="59CAB532">
      <w:pPr>
        <w:spacing w:line="360" w:lineRule="auto"/>
        <w:ind w:firstLine="420" w:firstLineChars="200"/>
        <w:jc w:val="left"/>
        <w:rPr>
          <w:color w:val="auto"/>
          <w:highlight w:val="none"/>
          <w:u w:val="none"/>
        </w:rPr>
      </w:pPr>
      <w:r>
        <w:rPr>
          <w:rFonts w:hint="eastAsia"/>
          <w:color w:val="auto"/>
          <w:highlight w:val="none"/>
          <w:u w:val="none"/>
        </w:rPr>
        <w:t>以上标准均按南宁市气象、地震部门公布为准。</w:t>
      </w:r>
    </w:p>
    <w:p w14:paraId="70BBDCE7">
      <w:pPr>
        <w:pStyle w:val="5"/>
        <w:rPr>
          <w:color w:val="auto"/>
          <w:highlight w:val="none"/>
          <w:lang w:val="en-US"/>
        </w:rPr>
      </w:pPr>
      <w:bookmarkStart w:id="721" w:name="_Toc389065296"/>
      <w:bookmarkStart w:id="722" w:name="_Toc373478377"/>
      <w:bookmarkStart w:id="723" w:name="_Toc657185480"/>
      <w:bookmarkStart w:id="724" w:name="_Toc2087373611"/>
      <w:bookmarkStart w:id="725" w:name="_Toc373227730"/>
      <w:bookmarkStart w:id="726" w:name="_Toc407135232"/>
      <w:bookmarkStart w:id="727" w:name="_Toc26696"/>
      <w:bookmarkStart w:id="728" w:name="_Toc78449818"/>
      <w:r>
        <w:rPr>
          <w:color w:val="auto"/>
          <w:highlight w:val="none"/>
          <w:lang w:val="en-US"/>
        </w:rPr>
        <w:t xml:space="preserve">7.9 </w:t>
      </w:r>
      <w:r>
        <w:rPr>
          <w:rFonts w:hint="eastAsia" w:hAnsi="宋体" w:cs="黑体"/>
          <w:color w:val="auto"/>
          <w:highlight w:val="none"/>
        </w:rPr>
        <w:t>提前竣工</w:t>
      </w:r>
      <w:bookmarkEnd w:id="721"/>
      <w:bookmarkEnd w:id="722"/>
      <w:bookmarkEnd w:id="723"/>
      <w:bookmarkEnd w:id="724"/>
      <w:bookmarkEnd w:id="725"/>
      <w:bookmarkEnd w:id="726"/>
      <w:bookmarkEnd w:id="727"/>
      <w:bookmarkEnd w:id="728"/>
    </w:p>
    <w:p w14:paraId="552F7FA4">
      <w:pPr>
        <w:spacing w:line="360" w:lineRule="auto"/>
        <w:ind w:firstLine="420" w:firstLineChars="200"/>
        <w:jc w:val="left"/>
        <w:rPr>
          <w:rFonts w:hAnsi="宋体"/>
          <w:color w:val="auto"/>
          <w:highlight w:val="none"/>
        </w:rPr>
      </w:pPr>
      <w:r>
        <w:rPr>
          <w:color w:val="auto"/>
          <w:highlight w:val="none"/>
        </w:rPr>
        <w:t>7.9.2</w:t>
      </w:r>
      <w:r>
        <w:rPr>
          <w:rFonts w:hint="eastAsia" w:hAnsi="宋体" w:cs="宋体"/>
          <w:color w:val="auto"/>
          <w:highlight w:val="none"/>
        </w:rPr>
        <w:t>提前竣工（赶工）增加费的计算方法：</w:t>
      </w:r>
      <w:r>
        <w:rPr>
          <w:rFonts w:ascii="宋体" w:hAnsi="宋体" w:eastAsia="宋体" w:cs="宋体"/>
          <w:color w:val="auto"/>
          <w:spacing w:val="0"/>
          <w:highlight w:val="none"/>
          <w:u w:val="single"/>
        </w:rPr>
        <w:t xml:space="preserve"> 无 </w:t>
      </w:r>
      <w:r>
        <w:rPr>
          <w:rFonts w:hint="eastAsia" w:hAnsi="宋体" w:cs="宋体"/>
          <w:color w:val="auto"/>
          <w:highlight w:val="none"/>
        </w:rPr>
        <w:t>。</w:t>
      </w:r>
    </w:p>
    <w:p w14:paraId="1EFFB916">
      <w:pPr>
        <w:pStyle w:val="4"/>
        <w:rPr>
          <w:color w:val="auto"/>
          <w:highlight w:val="none"/>
        </w:rPr>
      </w:pPr>
      <w:bookmarkStart w:id="729" w:name="_Toc407135233"/>
      <w:bookmarkStart w:id="730" w:name="_Toc373227731"/>
      <w:bookmarkStart w:id="731" w:name="_Toc351203640"/>
      <w:bookmarkStart w:id="732" w:name="_Toc389065297"/>
      <w:bookmarkStart w:id="733" w:name="_Toc78449819"/>
      <w:bookmarkStart w:id="734" w:name="_Toc19122"/>
      <w:bookmarkStart w:id="735" w:name="_Toc8330"/>
      <w:bookmarkStart w:id="736" w:name="_Toc373478378"/>
      <w:bookmarkStart w:id="737" w:name="_Toc1302158431"/>
      <w:bookmarkStart w:id="738" w:name="_Toc1400878670"/>
      <w:r>
        <w:rPr>
          <w:color w:val="auto"/>
          <w:highlight w:val="none"/>
        </w:rPr>
        <w:t xml:space="preserve">8. </w:t>
      </w:r>
      <w:r>
        <w:rPr>
          <w:rFonts w:hint="eastAsia" w:cs="黑体"/>
          <w:color w:val="auto"/>
          <w:highlight w:val="none"/>
        </w:rPr>
        <w:t>材料与设备</w:t>
      </w:r>
      <w:bookmarkEnd w:id="729"/>
      <w:bookmarkEnd w:id="730"/>
      <w:bookmarkEnd w:id="731"/>
      <w:bookmarkEnd w:id="732"/>
      <w:bookmarkEnd w:id="733"/>
      <w:bookmarkEnd w:id="734"/>
      <w:bookmarkEnd w:id="735"/>
      <w:bookmarkEnd w:id="736"/>
      <w:bookmarkEnd w:id="737"/>
      <w:bookmarkEnd w:id="738"/>
    </w:p>
    <w:bookmarkEnd w:id="558"/>
    <w:bookmarkEnd w:id="559"/>
    <w:bookmarkEnd w:id="560"/>
    <w:bookmarkEnd w:id="561"/>
    <w:bookmarkEnd w:id="562"/>
    <w:bookmarkEnd w:id="563"/>
    <w:bookmarkEnd w:id="564"/>
    <w:bookmarkEnd w:id="565"/>
    <w:bookmarkEnd w:id="566"/>
    <w:bookmarkEnd w:id="567"/>
    <w:p w14:paraId="56D0EA40">
      <w:pPr>
        <w:pStyle w:val="5"/>
        <w:rPr>
          <w:color w:val="auto"/>
          <w:highlight w:val="none"/>
        </w:rPr>
      </w:pPr>
      <w:bookmarkStart w:id="739" w:name="_Toc16865"/>
      <w:bookmarkStart w:id="740" w:name="_Toc78449820"/>
      <w:bookmarkStart w:id="741" w:name="_Toc373478379"/>
      <w:bookmarkStart w:id="742" w:name="_Toc1119561048"/>
      <w:bookmarkStart w:id="743" w:name="_Toc1078610395"/>
      <w:bookmarkStart w:id="744" w:name="_Toc373227732"/>
      <w:bookmarkStart w:id="745" w:name="_Toc389065298"/>
      <w:bookmarkStart w:id="746" w:name="_Toc407135234"/>
      <w:r>
        <w:rPr>
          <w:color w:val="auto"/>
          <w:highlight w:val="none"/>
        </w:rPr>
        <w:t xml:space="preserve">8.2 </w:t>
      </w:r>
      <w:r>
        <w:rPr>
          <w:rFonts w:hint="eastAsia" w:cs="黑体"/>
          <w:color w:val="auto"/>
          <w:highlight w:val="none"/>
        </w:rPr>
        <w:t>承包人采购材料与工程设备</w:t>
      </w:r>
      <w:bookmarkEnd w:id="739"/>
      <w:bookmarkEnd w:id="740"/>
      <w:bookmarkEnd w:id="741"/>
      <w:bookmarkEnd w:id="742"/>
      <w:bookmarkEnd w:id="743"/>
      <w:bookmarkEnd w:id="744"/>
      <w:bookmarkEnd w:id="745"/>
      <w:bookmarkEnd w:id="746"/>
    </w:p>
    <w:p w14:paraId="5B3E3CFC">
      <w:pPr>
        <w:autoSpaceDE w:val="0"/>
        <w:autoSpaceDN w:val="0"/>
        <w:adjustRightInd w:val="0"/>
        <w:spacing w:line="360" w:lineRule="auto"/>
        <w:ind w:firstLine="420" w:firstLineChars="200"/>
        <w:jc w:val="left"/>
        <w:rPr>
          <w:rFonts w:hint="eastAsia" w:cs="宋体"/>
          <w:color w:val="auto"/>
          <w:highlight w:val="none"/>
        </w:rPr>
      </w:pPr>
      <w:r>
        <w:rPr>
          <w:rFonts w:hint="eastAsia" w:cs="宋体"/>
          <w:color w:val="auto"/>
          <w:kern w:val="0"/>
          <w:highlight w:val="none"/>
        </w:rPr>
        <w:t>除已标价工程量清单《发包人提供主要材料和工程设备一览表》（表</w:t>
      </w:r>
      <w:r>
        <w:rPr>
          <w:color w:val="auto"/>
          <w:kern w:val="0"/>
          <w:highlight w:val="none"/>
        </w:rPr>
        <w:t>-21</w:t>
      </w:r>
      <w:r>
        <w:rPr>
          <w:rFonts w:hint="eastAsia" w:cs="宋体"/>
          <w:color w:val="auto"/>
          <w:kern w:val="0"/>
          <w:highlight w:val="none"/>
        </w:rPr>
        <w:t>）中明确的材料、工程设备外，由承包人负责材料和工程设备的采购、运输和保管。</w:t>
      </w:r>
      <w:bookmarkStart w:id="747" w:name="_Toc373478380"/>
      <w:bookmarkStart w:id="748" w:name="_Toc373227733"/>
      <w:bookmarkStart w:id="749" w:name="_Toc389065299"/>
    </w:p>
    <w:p w14:paraId="08C974CE">
      <w:pPr>
        <w:autoSpaceDE w:val="0"/>
        <w:autoSpaceDN w:val="0"/>
        <w:adjustRightInd w:val="0"/>
        <w:spacing w:line="360" w:lineRule="auto"/>
        <w:ind w:firstLine="420" w:firstLineChars="200"/>
        <w:jc w:val="left"/>
        <w:rPr>
          <w:rFonts w:cs="宋体"/>
          <w:color w:val="auto"/>
          <w:highlight w:val="none"/>
        </w:rPr>
      </w:pPr>
      <w:r>
        <w:rPr>
          <w:rFonts w:hint="eastAsia" w:cs="宋体"/>
          <w:color w:val="auto"/>
          <w:highlight w:val="none"/>
        </w:rPr>
        <w:t>对发包人在招标时有“参照或相当于</w:t>
      </w:r>
      <w:r>
        <w:rPr>
          <w:color w:val="auto"/>
          <w:highlight w:val="none"/>
        </w:rPr>
        <w:t>**</w:t>
      </w:r>
      <w:r>
        <w:rPr>
          <w:rFonts w:hint="eastAsia" w:cs="宋体"/>
          <w:color w:val="auto"/>
          <w:highlight w:val="none"/>
        </w:rPr>
        <w:t>品牌、级别”约定的材料或设备，承包人采购时必须按类似于或优于所约定品牌、等级进行采购，施工期间该部分材料或设备如未超过招标约定的风险幅度的，结算时按投标单价支付，不得调整。</w:t>
      </w:r>
    </w:p>
    <w:p w14:paraId="66A1CD9B">
      <w:pPr>
        <w:autoSpaceDE w:val="0"/>
        <w:autoSpaceDN w:val="0"/>
        <w:adjustRightInd w:val="0"/>
        <w:spacing w:line="360" w:lineRule="auto"/>
        <w:ind w:firstLine="420" w:firstLineChars="200"/>
        <w:jc w:val="left"/>
        <w:rPr>
          <w:rFonts w:hint="eastAsia"/>
          <w:color w:val="auto"/>
          <w:highlight w:val="none"/>
        </w:rPr>
      </w:pPr>
      <w:r>
        <w:rPr>
          <w:rFonts w:hint="eastAsia"/>
          <w:color w:val="auto"/>
          <w:highlight w:val="none"/>
        </w:rPr>
        <w:t>禁止使用松木、松木包装材料设备、种子、苗木、花卉及繁殖材料。</w:t>
      </w:r>
    </w:p>
    <w:p w14:paraId="10E6DD53">
      <w:pPr>
        <w:pStyle w:val="5"/>
        <w:rPr>
          <w:color w:val="auto"/>
          <w:highlight w:val="none"/>
        </w:rPr>
      </w:pPr>
      <w:bookmarkStart w:id="750" w:name="_Toc29952"/>
      <w:bookmarkStart w:id="751" w:name="_Toc800965933"/>
      <w:bookmarkStart w:id="752" w:name="_Toc1355357553"/>
      <w:bookmarkStart w:id="753" w:name="_Toc78449821"/>
      <w:bookmarkStart w:id="754" w:name="_Toc407135235"/>
      <w:r>
        <w:rPr>
          <w:color w:val="auto"/>
          <w:highlight w:val="none"/>
        </w:rPr>
        <w:t>8</w:t>
      </w:r>
      <w:bookmarkStart w:id="755" w:name="_Toc300934979"/>
      <w:bookmarkStart w:id="756" w:name="_Toc280868654"/>
      <w:bookmarkStart w:id="757" w:name="_Toc296890995"/>
      <w:bookmarkStart w:id="758" w:name="_Toc296891207"/>
      <w:bookmarkStart w:id="759" w:name="_Toc303539136"/>
      <w:bookmarkStart w:id="760" w:name="_Toc296503167"/>
      <w:bookmarkStart w:id="761" w:name="_Toc312677493"/>
      <w:bookmarkStart w:id="762" w:name="_Toc297120467"/>
      <w:bookmarkStart w:id="763" w:name="_Toc296944506"/>
      <w:bookmarkStart w:id="764" w:name="_Toc312678019"/>
      <w:bookmarkStart w:id="765" w:name="_Toc292559877"/>
      <w:bookmarkStart w:id="766" w:name="_Toc297216186"/>
      <w:bookmarkStart w:id="767" w:name="_Toc297123527"/>
      <w:bookmarkStart w:id="768" w:name="_Toc297048353"/>
      <w:bookmarkStart w:id="769" w:name="_Toc296346668"/>
      <w:bookmarkStart w:id="770" w:name="_Toc292559372"/>
      <w:bookmarkStart w:id="771" w:name="_Toc304295556"/>
      <w:bookmarkStart w:id="772" w:name="_Toc296347166"/>
      <w:bookmarkStart w:id="773" w:name="_Toc280868656"/>
      <w:bookmarkStart w:id="774" w:name="_Toc280868655"/>
      <w:bookmarkStart w:id="775" w:name="_Toc267251424"/>
      <w:r>
        <w:rPr>
          <w:color w:val="auto"/>
          <w:highlight w:val="none"/>
        </w:rPr>
        <w:t xml:space="preserve">.4 </w:t>
      </w:r>
      <w:r>
        <w:rPr>
          <w:rFonts w:hint="eastAsia" w:cs="黑体"/>
          <w:color w:val="auto"/>
          <w:highlight w:val="none"/>
        </w:rPr>
        <w:t>材料与工程设备的保管与使用</w:t>
      </w:r>
      <w:bookmarkEnd w:id="747"/>
      <w:bookmarkEnd w:id="748"/>
      <w:bookmarkEnd w:id="749"/>
      <w:bookmarkEnd w:id="750"/>
      <w:bookmarkEnd w:id="751"/>
      <w:bookmarkEnd w:id="752"/>
      <w:bookmarkEnd w:id="753"/>
      <w:bookmarkEnd w:id="754"/>
    </w:p>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14:paraId="40AE3E10">
      <w:pPr>
        <w:spacing w:line="360" w:lineRule="auto"/>
        <w:ind w:firstLine="420" w:firstLineChars="200"/>
        <w:jc w:val="left"/>
        <w:rPr>
          <w:color w:val="auto"/>
          <w:highlight w:val="none"/>
          <w:u w:val="single"/>
        </w:rPr>
      </w:pPr>
      <w:r>
        <w:rPr>
          <w:color w:val="auto"/>
          <w:highlight w:val="none"/>
        </w:rPr>
        <w:t>8</w:t>
      </w:r>
      <w:bookmarkStart w:id="776" w:name="_Toc292559878"/>
      <w:bookmarkStart w:id="777" w:name="_Toc292559373"/>
      <w:bookmarkStart w:id="778" w:name="_Toc312678020"/>
      <w:bookmarkStart w:id="779" w:name="_Toc296503168"/>
      <w:bookmarkStart w:id="780" w:name="_Toc303539137"/>
      <w:bookmarkStart w:id="781" w:name="_Toc297123528"/>
      <w:bookmarkStart w:id="782" w:name="_Toc296944507"/>
      <w:bookmarkStart w:id="783" w:name="_Toc296346669"/>
      <w:bookmarkStart w:id="784" w:name="_Toc318581173"/>
      <w:bookmarkStart w:id="785" w:name="_Toc296891208"/>
      <w:bookmarkStart w:id="786" w:name="_Toc304295557"/>
      <w:bookmarkStart w:id="787" w:name="_Toc297120468"/>
      <w:bookmarkStart w:id="788" w:name="_Toc296890996"/>
      <w:bookmarkStart w:id="789" w:name="_Toc297216187"/>
      <w:bookmarkStart w:id="790" w:name="_Toc296347167"/>
      <w:bookmarkStart w:id="791" w:name="_Toc312677494"/>
      <w:bookmarkStart w:id="792" w:name="_Toc300934980"/>
      <w:bookmarkStart w:id="793" w:name="_Toc297048354"/>
      <w:r>
        <w:rPr>
          <w:color w:val="auto"/>
          <w:highlight w:val="none"/>
        </w:rPr>
        <w:t>.4.1</w:t>
      </w:r>
      <w:r>
        <w:rPr>
          <w:rFonts w:hint="eastAsia" w:hAnsi="宋体" w:cs="宋体"/>
          <w:color w:val="auto"/>
          <w:highlight w:val="none"/>
        </w:rPr>
        <w:t>发包人供应的材料设备的保管费用的承担：</w:t>
      </w:r>
      <w:r>
        <w:rPr>
          <w:rFonts w:ascii="宋体" w:hAnsi="宋体" w:eastAsia="宋体" w:cs="宋体"/>
          <w:color w:val="auto"/>
          <w:spacing w:val="0"/>
          <w:highlight w:val="none"/>
          <w:u w:val="single"/>
        </w:rPr>
        <w:t xml:space="preserve"> 移交前由发包人承担，移交后由承包人承担</w:t>
      </w:r>
      <w:r>
        <w:rPr>
          <w:rFonts w:hint="eastAsia" w:hAnsi="宋体" w:cs="宋体"/>
          <w:color w:val="auto"/>
          <w:highlight w:val="none"/>
        </w:rPr>
        <w:t>。</w:t>
      </w:r>
    </w:p>
    <w:bookmarkEnd w:id="776"/>
    <w:bookmarkEnd w:id="777"/>
    <w:p w14:paraId="12E5D85E">
      <w:pPr>
        <w:pStyle w:val="5"/>
        <w:rPr>
          <w:color w:val="auto"/>
          <w:highlight w:val="none"/>
        </w:rPr>
      </w:pPr>
      <w:bookmarkStart w:id="794" w:name="_Toc373227734"/>
      <w:bookmarkStart w:id="795" w:name="_Toc78449822"/>
      <w:bookmarkStart w:id="796" w:name="_Toc125914831"/>
      <w:bookmarkStart w:id="797" w:name="_Toc389065300"/>
      <w:bookmarkStart w:id="798" w:name="_Toc407135236"/>
      <w:bookmarkStart w:id="799" w:name="_Toc373478381"/>
      <w:bookmarkStart w:id="800" w:name="_Toc30161"/>
      <w:bookmarkStart w:id="801" w:name="_Toc1948522881"/>
      <w:r>
        <w:rPr>
          <w:color w:val="auto"/>
          <w:highlight w:val="none"/>
        </w:rPr>
        <w:t xml:space="preserve">8.6 </w:t>
      </w:r>
      <w:r>
        <w:rPr>
          <w:rFonts w:hint="eastAsia" w:hAnsi="宋体" w:cs="黑体"/>
          <w:color w:val="auto"/>
          <w:highlight w:val="none"/>
        </w:rPr>
        <w:t>样品</w:t>
      </w:r>
      <w:bookmarkEnd w:id="794"/>
      <w:bookmarkEnd w:id="795"/>
      <w:bookmarkEnd w:id="796"/>
      <w:bookmarkEnd w:id="797"/>
      <w:bookmarkEnd w:id="798"/>
      <w:bookmarkEnd w:id="799"/>
      <w:bookmarkEnd w:id="800"/>
      <w:bookmarkEnd w:id="801"/>
    </w:p>
    <w:p w14:paraId="4E5B5FDA">
      <w:pPr>
        <w:autoSpaceDE w:val="0"/>
        <w:autoSpaceDN w:val="0"/>
        <w:adjustRightInd w:val="0"/>
        <w:spacing w:line="360" w:lineRule="auto"/>
        <w:ind w:firstLine="420" w:firstLineChars="200"/>
        <w:jc w:val="left"/>
        <w:rPr>
          <w:color w:val="auto"/>
          <w:kern w:val="0"/>
          <w:highlight w:val="none"/>
        </w:rPr>
      </w:pPr>
      <w:r>
        <w:rPr>
          <w:color w:val="auto"/>
          <w:kern w:val="0"/>
          <w:highlight w:val="none"/>
        </w:rPr>
        <w:t xml:space="preserve">8.6.1 </w:t>
      </w:r>
      <w:r>
        <w:rPr>
          <w:rFonts w:hint="eastAsia" w:hAnsi="宋体" w:cs="宋体"/>
          <w:color w:val="auto"/>
          <w:kern w:val="0"/>
          <w:highlight w:val="none"/>
        </w:rPr>
        <w:t>样品的报送与封存</w:t>
      </w:r>
    </w:p>
    <w:p w14:paraId="0399DA61">
      <w:pPr>
        <w:autoSpaceDE w:val="0"/>
        <w:autoSpaceDN w:val="0"/>
        <w:adjustRightInd w:val="0"/>
        <w:spacing w:line="360" w:lineRule="auto"/>
        <w:ind w:firstLine="420" w:firstLineChars="200"/>
        <w:jc w:val="left"/>
        <w:rPr>
          <w:color w:val="auto"/>
          <w:highlight w:val="none"/>
          <w:u w:val="single"/>
        </w:rPr>
      </w:pPr>
      <w:r>
        <w:rPr>
          <w:rFonts w:hint="eastAsia" w:hAnsi="宋体" w:cs="宋体"/>
          <w:color w:val="auto"/>
          <w:kern w:val="0"/>
          <w:highlight w:val="none"/>
        </w:rPr>
        <w:t>需要承包人报送样品的材料或工程设备，样品的种类、名称、规格、数量要求：</w:t>
      </w:r>
      <w:r>
        <w:rPr>
          <w:rFonts w:hint="eastAsia" w:hAnsi="宋体" w:cs="宋体"/>
          <w:color w:val="auto"/>
          <w:highlight w:val="none"/>
          <w:u w:val="single"/>
        </w:rPr>
        <w:t>主要材料涉及品种、款式、颜色等方面内容的，承包人应提交准备合格的材料样品送发包人选定。</w:t>
      </w:r>
    </w:p>
    <w:p w14:paraId="674AB381">
      <w:pPr>
        <w:pStyle w:val="5"/>
        <w:rPr>
          <w:color w:val="auto"/>
          <w:highlight w:val="none"/>
        </w:rPr>
      </w:pPr>
      <w:bookmarkStart w:id="802" w:name="_Toc373478382"/>
      <w:bookmarkStart w:id="803" w:name="_Toc373227735"/>
      <w:bookmarkStart w:id="804" w:name="_Toc1049576644"/>
      <w:bookmarkStart w:id="805" w:name="_Toc997640704"/>
      <w:bookmarkStart w:id="806" w:name="_Toc14404"/>
      <w:bookmarkStart w:id="807" w:name="_Toc407135237"/>
      <w:bookmarkStart w:id="808" w:name="_Toc389065301"/>
      <w:bookmarkStart w:id="809" w:name="_Toc78449823"/>
      <w:r>
        <w:rPr>
          <w:color w:val="auto"/>
          <w:highlight w:val="none"/>
        </w:rPr>
        <w:t xml:space="preserve">8.8 </w:t>
      </w:r>
      <w:r>
        <w:rPr>
          <w:rFonts w:hint="eastAsia" w:cs="黑体"/>
          <w:color w:val="auto"/>
          <w:highlight w:val="none"/>
        </w:rPr>
        <w:t>施工设备和临时设施</w:t>
      </w:r>
      <w:bookmarkEnd w:id="802"/>
      <w:bookmarkEnd w:id="803"/>
      <w:bookmarkEnd w:id="804"/>
      <w:bookmarkEnd w:id="805"/>
      <w:bookmarkEnd w:id="806"/>
      <w:bookmarkEnd w:id="807"/>
      <w:bookmarkEnd w:id="808"/>
      <w:bookmarkEnd w:id="809"/>
    </w:p>
    <w:p w14:paraId="3C63DA0B">
      <w:pPr>
        <w:autoSpaceDE w:val="0"/>
        <w:autoSpaceDN w:val="0"/>
        <w:adjustRightInd w:val="0"/>
        <w:spacing w:line="360" w:lineRule="auto"/>
        <w:ind w:firstLine="420" w:firstLineChars="200"/>
        <w:jc w:val="left"/>
        <w:rPr>
          <w:color w:val="auto"/>
          <w:highlight w:val="none"/>
        </w:rPr>
      </w:pPr>
      <w:r>
        <w:rPr>
          <w:color w:val="auto"/>
          <w:highlight w:val="none"/>
        </w:rPr>
        <w:t xml:space="preserve">8.8.1 </w:t>
      </w:r>
      <w:r>
        <w:rPr>
          <w:rFonts w:hint="eastAsia" w:hAnsi="宋体" w:cs="宋体"/>
          <w:color w:val="auto"/>
          <w:highlight w:val="none"/>
        </w:rPr>
        <w:t>承包人提供的施工设备和临时设施</w:t>
      </w:r>
    </w:p>
    <w:p w14:paraId="64865FFA">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除专用合同条款另有约定的其他独立承包人和监理人指示的他人提供条件外，承包人运入施工场地的所有施工设备以及在施工场地建设的临时设施仅限于用于合同工程。</w:t>
      </w:r>
      <w:r>
        <w:rPr>
          <w:rFonts w:hint="eastAsia" w:ascii="宋体" w:hAnsi="宋体" w:cs="宋体"/>
          <w:color w:val="auto"/>
          <w:highlight w:val="none"/>
        </w:rPr>
        <w:t>承包人用于本工程的主要机械设备清单见合同附件4。</w:t>
      </w:r>
    </w:p>
    <w:p w14:paraId="35A87F58">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关于修建临时设施费用承担的约定：</w:t>
      </w:r>
    </w:p>
    <w:p w14:paraId="77D373EB">
      <w:pPr>
        <w:autoSpaceDE w:val="0"/>
        <w:autoSpaceDN w:val="0"/>
        <w:adjustRightInd w:val="0"/>
        <w:spacing w:line="360" w:lineRule="auto"/>
        <w:ind w:firstLine="420" w:firstLineChars="200"/>
        <w:jc w:val="left"/>
        <w:rPr>
          <w:rFonts w:hint="eastAsia" w:hAnsi="宋体"/>
          <w:color w:val="auto"/>
          <w:highlight w:val="none"/>
          <w:u w:val="single"/>
        </w:rPr>
      </w:pPr>
      <w:r>
        <w:rPr>
          <w:rFonts w:hint="eastAsia" w:hAnsi="宋体"/>
          <w:color w:val="auto"/>
          <w:highlight w:val="none"/>
          <w:u w:val="single"/>
        </w:rPr>
        <w:t>①承包人的临时用地(含项目部驻地等)租用费(含拆迁补偿)、临时用地的环保、恢复、临时用地的青苗补偿及地面附着物拆除等费用均由承包人负责，以上费用在投标报价中综合考虑。</w:t>
      </w:r>
    </w:p>
    <w:p w14:paraId="08AE2C0C">
      <w:pPr>
        <w:autoSpaceDE w:val="0"/>
        <w:autoSpaceDN w:val="0"/>
        <w:adjustRightInd w:val="0"/>
        <w:spacing w:line="360" w:lineRule="auto"/>
        <w:ind w:firstLine="420" w:firstLineChars="200"/>
        <w:jc w:val="left"/>
        <w:rPr>
          <w:rFonts w:hint="eastAsia" w:hAnsi="宋体"/>
          <w:color w:val="auto"/>
          <w:highlight w:val="none"/>
          <w:u w:val="single"/>
        </w:rPr>
      </w:pPr>
      <w:r>
        <w:rPr>
          <w:rFonts w:hint="eastAsia" w:hAnsi="宋体"/>
          <w:color w:val="auto"/>
          <w:highlight w:val="none"/>
          <w:u w:val="single"/>
        </w:rPr>
        <w:t>②承包人负责合同实施期间其合同段内临时交通道路(含场内外连接公共交通道路)和交通设施的修建、维修、养护和交通管理工作，并承担一切费用。</w:t>
      </w:r>
    </w:p>
    <w:p w14:paraId="7FB6D678">
      <w:pPr>
        <w:autoSpaceDE w:val="0"/>
        <w:autoSpaceDN w:val="0"/>
        <w:adjustRightInd w:val="0"/>
        <w:spacing w:line="360" w:lineRule="auto"/>
        <w:ind w:firstLine="420" w:firstLineChars="200"/>
        <w:jc w:val="left"/>
        <w:rPr>
          <w:rFonts w:hint="eastAsia" w:hAnsi="宋体"/>
          <w:color w:val="auto"/>
          <w:highlight w:val="none"/>
          <w:u w:val="single"/>
        </w:rPr>
      </w:pPr>
      <w:r>
        <w:rPr>
          <w:rFonts w:hint="eastAsia" w:hAnsi="宋体"/>
          <w:color w:val="auto"/>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1245E99A">
      <w:pPr>
        <w:autoSpaceDE w:val="0"/>
        <w:autoSpaceDN w:val="0"/>
        <w:adjustRightInd w:val="0"/>
        <w:spacing w:line="360" w:lineRule="auto"/>
        <w:ind w:firstLine="420" w:firstLineChars="200"/>
        <w:jc w:val="left"/>
        <w:rPr>
          <w:color w:val="auto"/>
          <w:highlight w:val="none"/>
        </w:rPr>
      </w:pPr>
      <w:r>
        <w:rPr>
          <w:color w:val="auto"/>
          <w:highlight w:val="none"/>
        </w:rPr>
        <w:t xml:space="preserve">8.8.2 </w:t>
      </w:r>
      <w:r>
        <w:rPr>
          <w:rFonts w:hint="eastAsia" w:hAnsi="宋体" w:cs="宋体"/>
          <w:color w:val="auto"/>
          <w:highlight w:val="none"/>
        </w:rPr>
        <w:t>发包人提供的施工设备和临时设施</w:t>
      </w:r>
    </w:p>
    <w:p w14:paraId="5F9E5A6D">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发包人提供的施工设备和临时设施：</w:t>
      </w:r>
      <w:r>
        <w:rPr>
          <w:rFonts w:ascii="宋体" w:hAnsi="宋体" w:eastAsia="宋体" w:cs="宋体"/>
          <w:color w:val="auto"/>
          <w:highlight w:val="none"/>
          <w:u w:val="single"/>
        </w:rPr>
        <w:t xml:space="preserve"> 无 </w:t>
      </w:r>
      <w:r>
        <w:rPr>
          <w:rFonts w:hint="eastAsia" w:hAnsi="宋体" w:cs="宋体"/>
          <w:color w:val="auto"/>
          <w:highlight w:val="none"/>
        </w:rPr>
        <w:t>。</w:t>
      </w:r>
    </w:p>
    <w:p w14:paraId="2CEE72BC">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发包人提供的施工设备和临时设施的运行、维护、拆除、清运费用的承担人：</w:t>
      </w:r>
      <w:r>
        <w:rPr>
          <w:rFonts w:ascii="宋体" w:hAnsi="宋体" w:eastAsia="宋体" w:cs="宋体"/>
          <w:color w:val="auto"/>
          <w:highlight w:val="none"/>
          <w:u w:val="single"/>
        </w:rPr>
        <w:t xml:space="preserve"> 无 </w:t>
      </w:r>
      <w:r>
        <w:rPr>
          <w:rFonts w:hint="eastAsia" w:hAnsi="宋体" w:cs="宋体"/>
          <w:color w:val="auto"/>
          <w:highlight w:val="none"/>
        </w:rPr>
        <w:t>。</w:t>
      </w:r>
    </w:p>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14:paraId="4748CB54">
      <w:pPr>
        <w:pStyle w:val="4"/>
        <w:rPr>
          <w:color w:val="auto"/>
          <w:highlight w:val="none"/>
        </w:rPr>
      </w:pPr>
      <w:bookmarkStart w:id="810" w:name="_Toc78449824"/>
      <w:bookmarkStart w:id="811" w:name="_Toc351203641"/>
      <w:bookmarkStart w:id="812" w:name="_Toc13348"/>
      <w:bookmarkStart w:id="813" w:name="_Toc373227736"/>
      <w:bookmarkStart w:id="814" w:name="_Toc407135238"/>
      <w:bookmarkStart w:id="815" w:name="_Toc389065302"/>
      <w:bookmarkStart w:id="816" w:name="_Toc373478383"/>
      <w:bookmarkStart w:id="817" w:name="_Toc2039161841"/>
      <w:bookmarkStart w:id="818" w:name="_Toc2027787496"/>
      <w:bookmarkStart w:id="819" w:name="_Toc10217"/>
      <w:r>
        <w:rPr>
          <w:color w:val="auto"/>
          <w:highlight w:val="none"/>
        </w:rPr>
        <w:t>9</w:t>
      </w:r>
      <w:bookmarkEnd w:id="773"/>
      <w:bookmarkEnd w:id="774"/>
      <w:bookmarkEnd w:id="775"/>
      <w:bookmarkStart w:id="820" w:name="_Toc312677495"/>
      <w:bookmarkStart w:id="821" w:name="_Toc297123533"/>
      <w:bookmarkStart w:id="822" w:name="_Toc297216192"/>
      <w:bookmarkStart w:id="823" w:name="_Toc304295559"/>
      <w:bookmarkStart w:id="824" w:name="_Toc312678021"/>
      <w:bookmarkStart w:id="825" w:name="_Toc303539139"/>
      <w:bookmarkStart w:id="826" w:name="_Toc300934982"/>
      <w:bookmarkStart w:id="827" w:name="_Toc267251428"/>
      <w:bookmarkStart w:id="828" w:name="_Toc296503173"/>
      <w:bookmarkStart w:id="829" w:name="_Toc297048359"/>
      <w:bookmarkStart w:id="830" w:name="_Toc296891001"/>
      <w:bookmarkStart w:id="831" w:name="_Toc296944512"/>
      <w:bookmarkStart w:id="832" w:name="_Toc292559883"/>
      <w:bookmarkStart w:id="833" w:name="_Toc292559378"/>
      <w:bookmarkStart w:id="834" w:name="_Toc296346674"/>
      <w:bookmarkStart w:id="835" w:name="_Toc296891213"/>
      <w:bookmarkStart w:id="836" w:name="_Toc267251427"/>
      <w:bookmarkStart w:id="837" w:name="_Toc297120473"/>
      <w:bookmarkStart w:id="838" w:name="_Toc296347172"/>
      <w:r>
        <w:rPr>
          <w:color w:val="auto"/>
          <w:highlight w:val="none"/>
        </w:rPr>
        <w:t xml:space="preserve">. </w:t>
      </w:r>
      <w:r>
        <w:rPr>
          <w:rFonts w:hint="eastAsia" w:cs="黑体"/>
          <w:color w:val="auto"/>
          <w:highlight w:val="none"/>
        </w:rPr>
        <w:t>试验与检验</w:t>
      </w:r>
      <w:bookmarkEnd w:id="810"/>
      <w:bookmarkEnd w:id="811"/>
      <w:bookmarkEnd w:id="812"/>
      <w:bookmarkEnd w:id="813"/>
      <w:bookmarkEnd w:id="814"/>
      <w:bookmarkEnd w:id="815"/>
      <w:bookmarkEnd w:id="816"/>
      <w:bookmarkEnd w:id="817"/>
      <w:bookmarkEnd w:id="818"/>
      <w:bookmarkEnd w:id="819"/>
    </w:p>
    <w:bookmarkEnd w:id="820"/>
    <w:bookmarkEnd w:id="821"/>
    <w:bookmarkEnd w:id="822"/>
    <w:bookmarkEnd w:id="823"/>
    <w:bookmarkEnd w:id="824"/>
    <w:bookmarkEnd w:id="825"/>
    <w:bookmarkEnd w:id="826"/>
    <w:p w14:paraId="25EBDBFA">
      <w:pPr>
        <w:pStyle w:val="5"/>
        <w:rPr>
          <w:color w:val="auto"/>
          <w:highlight w:val="none"/>
        </w:rPr>
      </w:pPr>
      <w:bookmarkStart w:id="839" w:name="_Toc25325"/>
      <w:bookmarkStart w:id="840" w:name="_Toc530697003"/>
      <w:bookmarkStart w:id="841" w:name="_Toc389065303"/>
      <w:bookmarkStart w:id="842" w:name="_Toc1307315193"/>
      <w:bookmarkStart w:id="843" w:name="_Toc373227737"/>
      <w:bookmarkStart w:id="844" w:name="_Toc407135239"/>
      <w:bookmarkStart w:id="845" w:name="_Toc373478384"/>
      <w:bookmarkStart w:id="846" w:name="_Toc78449825"/>
      <w:r>
        <w:rPr>
          <w:color w:val="auto"/>
          <w:highlight w:val="none"/>
        </w:rPr>
        <w:t>9</w:t>
      </w:r>
      <w:bookmarkStart w:id="847" w:name="_Toc312678022"/>
      <w:bookmarkStart w:id="848" w:name="_Toc303539140"/>
      <w:bookmarkStart w:id="849" w:name="_Toc300934983"/>
      <w:bookmarkStart w:id="850" w:name="_Toc297123534"/>
      <w:bookmarkStart w:id="851" w:name="_Toc297216193"/>
      <w:bookmarkStart w:id="852" w:name="_Toc304295560"/>
      <w:bookmarkStart w:id="853" w:name="_Toc312677496"/>
      <w:r>
        <w:rPr>
          <w:color w:val="auto"/>
          <w:highlight w:val="none"/>
        </w:rPr>
        <w:t xml:space="preserve">.1 </w:t>
      </w:r>
      <w:r>
        <w:rPr>
          <w:rFonts w:hint="eastAsia" w:cs="黑体"/>
          <w:color w:val="auto"/>
          <w:highlight w:val="none"/>
        </w:rPr>
        <w:t>试验设备与试验人员</w:t>
      </w:r>
      <w:bookmarkEnd w:id="839"/>
      <w:bookmarkEnd w:id="840"/>
      <w:bookmarkEnd w:id="841"/>
      <w:bookmarkEnd w:id="842"/>
      <w:bookmarkEnd w:id="843"/>
      <w:bookmarkEnd w:id="844"/>
      <w:bookmarkEnd w:id="845"/>
      <w:bookmarkEnd w:id="846"/>
    </w:p>
    <w:bookmarkEnd w:id="847"/>
    <w:bookmarkEnd w:id="848"/>
    <w:bookmarkEnd w:id="849"/>
    <w:bookmarkEnd w:id="850"/>
    <w:bookmarkEnd w:id="851"/>
    <w:bookmarkEnd w:id="852"/>
    <w:bookmarkEnd w:id="853"/>
    <w:p w14:paraId="797B0D75">
      <w:pPr>
        <w:spacing w:line="360" w:lineRule="auto"/>
        <w:ind w:firstLine="420" w:firstLineChars="200"/>
        <w:jc w:val="left"/>
        <w:rPr>
          <w:color w:val="auto"/>
          <w:highlight w:val="none"/>
        </w:rPr>
      </w:pPr>
      <w:r>
        <w:rPr>
          <w:color w:val="auto"/>
          <w:highlight w:val="none"/>
        </w:rPr>
        <w:t>9</w:t>
      </w:r>
      <w:bookmarkStart w:id="854" w:name="_Toc297123535"/>
      <w:bookmarkStart w:id="855" w:name="_Toc303539141"/>
      <w:bookmarkStart w:id="856" w:name="_Toc300934984"/>
      <w:bookmarkStart w:id="857" w:name="_Toc312678023"/>
      <w:bookmarkStart w:id="858" w:name="_Toc304295561"/>
      <w:bookmarkStart w:id="859" w:name="_Toc312677497"/>
      <w:bookmarkStart w:id="860" w:name="_Toc297216194"/>
      <w:bookmarkStart w:id="861" w:name="_Toc318581174"/>
      <w:r>
        <w:rPr>
          <w:color w:val="auto"/>
          <w:highlight w:val="none"/>
        </w:rPr>
        <w:t xml:space="preserve">.1.2 </w:t>
      </w:r>
      <w:r>
        <w:rPr>
          <w:rFonts w:hint="eastAsia" w:hAnsi="宋体" w:cs="宋体"/>
          <w:color w:val="auto"/>
          <w:highlight w:val="none"/>
        </w:rPr>
        <w:t>试验设备</w:t>
      </w:r>
    </w:p>
    <w:p w14:paraId="601B86DE">
      <w:pPr>
        <w:spacing w:line="360" w:lineRule="auto"/>
        <w:ind w:firstLine="420" w:firstLineChars="200"/>
        <w:jc w:val="left"/>
        <w:rPr>
          <w:color w:val="auto"/>
          <w:highlight w:val="none"/>
          <w:u w:val="single"/>
        </w:rPr>
      </w:pPr>
      <w:r>
        <w:rPr>
          <w:rFonts w:hint="eastAsia" w:hAnsi="宋体" w:cs="宋体"/>
          <w:color w:val="auto"/>
          <w:highlight w:val="none"/>
        </w:rPr>
        <w:t>施工现场需要配置的试验场所：</w:t>
      </w:r>
      <w:bookmarkEnd w:id="854"/>
      <w:bookmarkEnd w:id="855"/>
      <w:bookmarkEnd w:id="856"/>
      <w:bookmarkEnd w:id="857"/>
      <w:bookmarkEnd w:id="858"/>
      <w:bookmarkEnd w:id="859"/>
      <w:bookmarkEnd w:id="860"/>
      <w:bookmarkStart w:id="862" w:name="_Toc300934985"/>
      <w:bookmarkStart w:id="863" w:name="_Toc297123536"/>
      <w:bookmarkStart w:id="864" w:name="_Toc312677498"/>
      <w:bookmarkStart w:id="865" w:name="_Toc303539142"/>
      <w:bookmarkStart w:id="866" w:name="_Toc312678024"/>
      <w:bookmarkStart w:id="867" w:name="_Toc297216195"/>
      <w:bookmarkStart w:id="868" w:name="_Toc304295562"/>
      <w:r>
        <w:rPr>
          <w:rFonts w:ascii="宋体" w:hAnsi="宋体" w:eastAsia="宋体" w:cs="宋体"/>
          <w:color w:val="auto"/>
          <w:spacing w:val="0"/>
          <w:highlight w:val="none"/>
          <w:u w:val="single"/>
        </w:rPr>
        <w:t xml:space="preserve"> 承包人根据施工需要自行确定 </w:t>
      </w:r>
      <w:r>
        <w:rPr>
          <w:rFonts w:hint="eastAsia" w:hAnsi="宋体" w:cs="宋体"/>
          <w:color w:val="auto"/>
          <w:highlight w:val="none"/>
        </w:rPr>
        <w:t>。</w:t>
      </w:r>
    </w:p>
    <w:p w14:paraId="157DBBB1">
      <w:pPr>
        <w:spacing w:line="360" w:lineRule="auto"/>
        <w:ind w:firstLine="420" w:firstLineChars="200"/>
        <w:jc w:val="left"/>
        <w:rPr>
          <w:color w:val="auto"/>
          <w:highlight w:val="none"/>
          <w:u w:val="single"/>
        </w:rPr>
      </w:pPr>
      <w:r>
        <w:rPr>
          <w:rFonts w:hint="eastAsia" w:hAnsi="宋体" w:cs="宋体"/>
          <w:color w:val="auto"/>
          <w:highlight w:val="none"/>
        </w:rPr>
        <w:t>施工现场需要配备的试验设备：</w:t>
      </w:r>
      <w:r>
        <w:rPr>
          <w:rFonts w:ascii="宋体" w:hAnsi="宋体" w:eastAsia="宋体" w:cs="宋体"/>
          <w:color w:val="auto"/>
          <w:spacing w:val="0"/>
          <w:highlight w:val="none"/>
          <w:u w:val="single"/>
        </w:rPr>
        <w:t xml:space="preserve"> 承包人根据施工需要自行确定 </w:t>
      </w:r>
      <w:r>
        <w:rPr>
          <w:rFonts w:hint="eastAsia" w:hAnsi="宋体" w:cs="宋体"/>
          <w:color w:val="auto"/>
          <w:highlight w:val="none"/>
        </w:rPr>
        <w:t>。</w:t>
      </w:r>
    </w:p>
    <w:p w14:paraId="64DAECF1">
      <w:pPr>
        <w:spacing w:line="360" w:lineRule="auto"/>
        <w:ind w:firstLine="420" w:firstLineChars="200"/>
        <w:jc w:val="left"/>
        <w:rPr>
          <w:color w:val="auto"/>
          <w:highlight w:val="none"/>
          <w:u w:val="single"/>
        </w:rPr>
      </w:pPr>
      <w:r>
        <w:rPr>
          <w:rFonts w:hint="eastAsia" w:hAnsi="宋体" w:cs="宋体"/>
          <w:color w:val="auto"/>
          <w:highlight w:val="none"/>
        </w:rPr>
        <w:t>施工现场需要具备的其他试验条件：</w:t>
      </w:r>
      <w:r>
        <w:rPr>
          <w:rFonts w:ascii="宋体" w:hAnsi="宋体" w:eastAsia="宋体" w:cs="宋体"/>
          <w:color w:val="auto"/>
          <w:spacing w:val="0"/>
          <w:highlight w:val="none"/>
          <w:u w:val="single"/>
        </w:rPr>
        <w:t xml:space="preserve"> 承包人根据施工需要自行确定 </w:t>
      </w:r>
      <w:r>
        <w:rPr>
          <w:rFonts w:hint="eastAsia" w:hAnsi="宋体" w:cs="宋体"/>
          <w:color w:val="auto"/>
          <w:highlight w:val="none"/>
        </w:rPr>
        <w:t>。</w:t>
      </w:r>
    </w:p>
    <w:p w14:paraId="4EA548CC">
      <w:pPr>
        <w:pStyle w:val="5"/>
        <w:rPr>
          <w:color w:val="auto"/>
          <w:highlight w:val="none"/>
        </w:rPr>
      </w:pPr>
      <w:bookmarkStart w:id="869" w:name="_Toc18231"/>
      <w:bookmarkStart w:id="870" w:name="_Toc389065304"/>
      <w:bookmarkStart w:id="871" w:name="_Toc78449826"/>
      <w:bookmarkStart w:id="872" w:name="_Toc2012255079"/>
      <w:bookmarkStart w:id="873" w:name="_Toc373227738"/>
      <w:bookmarkStart w:id="874" w:name="_Toc373478385"/>
      <w:bookmarkStart w:id="875" w:name="_Toc492347879"/>
      <w:bookmarkStart w:id="876" w:name="_Toc407135240"/>
      <w:r>
        <w:rPr>
          <w:color w:val="auto"/>
          <w:highlight w:val="none"/>
        </w:rPr>
        <w:t xml:space="preserve">9.4 </w:t>
      </w:r>
      <w:r>
        <w:rPr>
          <w:rFonts w:hint="eastAsia" w:hAnsi="宋体" w:cs="黑体"/>
          <w:color w:val="auto"/>
          <w:highlight w:val="none"/>
        </w:rPr>
        <w:t>现场工艺试验</w:t>
      </w:r>
      <w:bookmarkEnd w:id="869"/>
      <w:bookmarkEnd w:id="870"/>
      <w:bookmarkEnd w:id="871"/>
      <w:bookmarkEnd w:id="872"/>
      <w:bookmarkEnd w:id="873"/>
      <w:bookmarkEnd w:id="874"/>
      <w:bookmarkEnd w:id="875"/>
      <w:bookmarkEnd w:id="876"/>
      <w:r>
        <w:rPr>
          <w:color w:val="auto"/>
          <w:highlight w:val="none"/>
        </w:rPr>
        <w:t xml:space="preserve"> </w:t>
      </w:r>
    </w:p>
    <w:p w14:paraId="6D4B38F1">
      <w:pPr>
        <w:spacing w:line="360" w:lineRule="auto"/>
        <w:ind w:firstLine="420" w:firstLineChars="200"/>
        <w:jc w:val="left"/>
        <w:rPr>
          <w:color w:val="auto"/>
          <w:highlight w:val="none"/>
        </w:rPr>
      </w:pPr>
      <w:r>
        <w:rPr>
          <w:rFonts w:hint="eastAsia" w:hAnsi="宋体" w:cs="宋体"/>
          <w:color w:val="auto"/>
          <w:highlight w:val="none"/>
        </w:rPr>
        <w:t>现场工艺试验的有关约定：</w:t>
      </w:r>
      <w:r>
        <w:rPr>
          <w:rFonts w:ascii="宋体" w:hAnsi="宋体" w:eastAsia="宋体" w:cs="宋体"/>
          <w:color w:val="auto"/>
          <w:spacing w:val="0"/>
          <w:highlight w:val="none"/>
          <w:u w:val="single"/>
        </w:rPr>
        <w:t xml:space="preserve"> 需要时双方协商 </w:t>
      </w:r>
      <w:r>
        <w:rPr>
          <w:rFonts w:hint="eastAsia" w:hAnsi="宋体" w:cs="宋体"/>
          <w:color w:val="auto"/>
          <w:highlight w:val="none"/>
        </w:rPr>
        <w:t>。</w:t>
      </w:r>
    </w:p>
    <w:p w14:paraId="03417D09">
      <w:pPr>
        <w:pStyle w:val="5"/>
        <w:rPr>
          <w:color w:val="auto"/>
          <w:highlight w:val="none"/>
        </w:rPr>
      </w:pPr>
      <w:bookmarkStart w:id="877" w:name="_Toc407135241"/>
      <w:bookmarkStart w:id="878" w:name="_Toc197"/>
      <w:bookmarkStart w:id="879" w:name="_Toc393419678"/>
      <w:bookmarkStart w:id="880" w:name="_Toc1539824686"/>
      <w:bookmarkStart w:id="881" w:name="_Toc78449827"/>
      <w:bookmarkStart w:id="882" w:name="OLE_LINK1"/>
      <w:r>
        <w:rPr>
          <w:color w:val="auto"/>
          <w:highlight w:val="none"/>
        </w:rPr>
        <w:t xml:space="preserve">9.5 </w:t>
      </w:r>
      <w:r>
        <w:rPr>
          <w:rFonts w:hint="eastAsia" w:hAnsi="宋体" w:cs="黑体"/>
          <w:color w:val="auto"/>
          <w:highlight w:val="none"/>
        </w:rPr>
        <w:t>检验费用</w:t>
      </w:r>
      <w:bookmarkEnd w:id="877"/>
      <w:bookmarkEnd w:id="878"/>
      <w:bookmarkEnd w:id="879"/>
      <w:bookmarkEnd w:id="880"/>
      <w:bookmarkEnd w:id="881"/>
    </w:p>
    <w:p w14:paraId="76060C79">
      <w:pPr>
        <w:spacing w:line="360" w:lineRule="auto"/>
        <w:ind w:firstLine="411" w:firstLineChars="196"/>
        <w:rPr>
          <w:color w:val="auto"/>
          <w:highlight w:val="none"/>
        </w:rPr>
      </w:pPr>
      <w:r>
        <w:rPr>
          <w:rFonts w:hint="eastAsia" w:hAnsi="宋体" w:cs="宋体"/>
          <w:color w:val="auto"/>
          <w:highlight w:val="none"/>
        </w:rPr>
        <w:t>根据《建设工程质量检测管理办法》（建设部令第</w:t>
      </w:r>
      <w:r>
        <w:rPr>
          <w:color w:val="auto"/>
          <w:highlight w:val="none"/>
        </w:rPr>
        <w:t>141</w:t>
      </w:r>
      <w:r>
        <w:rPr>
          <w:rFonts w:hint="eastAsia" w:hAnsi="宋体" w:cs="宋体"/>
          <w:color w:val="auto"/>
          <w:highlight w:val="none"/>
        </w:rPr>
        <w:t>号）以及《广西壮族自治区建设工程质量检测管理规定》</w:t>
      </w:r>
      <w:r>
        <w:rPr>
          <w:rFonts w:hint="eastAsia" w:cs="宋体"/>
          <w:color w:val="auto"/>
          <w:highlight w:val="none"/>
        </w:rPr>
        <w:t>（</w:t>
      </w:r>
      <w:r>
        <w:rPr>
          <w:rFonts w:hint="eastAsia" w:hAnsi="宋体" w:cs="宋体"/>
          <w:color w:val="auto"/>
          <w:highlight w:val="none"/>
        </w:rPr>
        <w:t>桂建管</w:t>
      </w:r>
      <w:r>
        <w:rPr>
          <w:rFonts w:hint="eastAsia" w:cs="宋体"/>
          <w:color w:val="auto"/>
          <w:highlight w:val="none"/>
        </w:rPr>
        <w:t>〔</w:t>
      </w:r>
      <w:r>
        <w:rPr>
          <w:color w:val="auto"/>
          <w:highlight w:val="none"/>
        </w:rPr>
        <w:t>2013</w:t>
      </w:r>
      <w:r>
        <w:rPr>
          <w:rFonts w:hint="eastAsia" w:cs="宋体"/>
          <w:color w:val="auto"/>
          <w:highlight w:val="none"/>
        </w:rPr>
        <w:t>〕</w:t>
      </w:r>
      <w:r>
        <w:rPr>
          <w:color w:val="auto"/>
          <w:highlight w:val="none"/>
        </w:rPr>
        <w:t>11</w:t>
      </w:r>
      <w:r>
        <w:rPr>
          <w:rFonts w:hint="eastAsia" w:hAnsi="宋体" w:cs="宋体"/>
          <w:color w:val="auto"/>
          <w:highlight w:val="none"/>
        </w:rPr>
        <w:t>号</w:t>
      </w:r>
      <w:r>
        <w:rPr>
          <w:rFonts w:hint="eastAsia" w:cs="宋体"/>
          <w:color w:val="auto"/>
          <w:highlight w:val="none"/>
        </w:rPr>
        <w:t>）</w:t>
      </w:r>
      <w:r>
        <w:rPr>
          <w:rFonts w:hint="eastAsia" w:hAnsi="宋体" w:cs="宋体"/>
          <w:color w:val="auto"/>
          <w:highlight w:val="none"/>
        </w:rPr>
        <w:t>规定，工程质量检测业务由发包人委托有相应资质的检测机构检测。费用从发包人的项目建设经费中支出并直接支付给检测机构，不计入合同价款内。</w:t>
      </w:r>
    </w:p>
    <w:bookmarkEnd w:id="861"/>
    <w:bookmarkEnd w:id="862"/>
    <w:bookmarkEnd w:id="863"/>
    <w:bookmarkEnd w:id="864"/>
    <w:bookmarkEnd w:id="865"/>
    <w:bookmarkEnd w:id="866"/>
    <w:bookmarkEnd w:id="867"/>
    <w:bookmarkEnd w:id="868"/>
    <w:bookmarkEnd w:id="882"/>
    <w:p w14:paraId="374ED5C9">
      <w:pPr>
        <w:pStyle w:val="4"/>
        <w:rPr>
          <w:color w:val="auto"/>
          <w:highlight w:val="none"/>
        </w:rPr>
      </w:pPr>
      <w:bookmarkStart w:id="883" w:name="_Toc19335"/>
      <w:bookmarkStart w:id="884" w:name="_Toc389065305"/>
      <w:bookmarkStart w:id="885" w:name="_Toc407135242"/>
      <w:bookmarkStart w:id="886" w:name="_Toc373227739"/>
      <w:bookmarkStart w:id="887" w:name="_Toc351203642"/>
      <w:bookmarkStart w:id="888" w:name="_Toc373478386"/>
      <w:bookmarkStart w:id="889" w:name="_Toc603662032"/>
      <w:bookmarkStart w:id="890" w:name="_Toc78449828"/>
      <w:bookmarkStart w:id="891" w:name="_Toc28042"/>
      <w:bookmarkStart w:id="892" w:name="_Toc1278407274"/>
      <w:r>
        <w:rPr>
          <w:color w:val="auto"/>
          <w:highlight w:val="none"/>
        </w:rPr>
        <w:t>1</w:t>
      </w:r>
      <w:bookmarkEnd w:id="827"/>
      <w:bookmarkEnd w:id="828"/>
      <w:bookmarkEnd w:id="829"/>
      <w:bookmarkEnd w:id="830"/>
      <w:bookmarkEnd w:id="831"/>
      <w:bookmarkEnd w:id="832"/>
      <w:bookmarkEnd w:id="833"/>
      <w:bookmarkEnd w:id="834"/>
      <w:bookmarkEnd w:id="835"/>
      <w:bookmarkEnd w:id="836"/>
      <w:bookmarkEnd w:id="837"/>
      <w:bookmarkEnd w:id="838"/>
      <w:bookmarkStart w:id="893" w:name="_Toc296944532"/>
      <w:bookmarkStart w:id="894" w:name="_Toc292559903"/>
      <w:bookmarkStart w:id="895" w:name="_Toc296347192"/>
      <w:bookmarkStart w:id="896" w:name="_Toc304295566"/>
      <w:bookmarkStart w:id="897" w:name="_Toc296891233"/>
      <w:bookmarkStart w:id="898" w:name="_Toc296503193"/>
      <w:bookmarkStart w:id="899" w:name="_Toc303539146"/>
      <w:bookmarkStart w:id="900" w:name="_Toc297123540"/>
      <w:bookmarkStart w:id="901" w:name="_Toc297216199"/>
      <w:bookmarkStart w:id="902" w:name="_Toc297120493"/>
      <w:bookmarkStart w:id="903" w:name="_Toc296891021"/>
      <w:bookmarkStart w:id="904" w:name="_Toc300934989"/>
      <w:bookmarkStart w:id="905" w:name="_Toc297048379"/>
      <w:bookmarkStart w:id="906" w:name="_Toc296346694"/>
      <w:bookmarkStart w:id="907" w:name="_Toc292559398"/>
      <w:bookmarkStart w:id="908" w:name="_Toc312678025"/>
      <w:bookmarkStart w:id="909" w:name="_Toc312677499"/>
      <w:bookmarkStart w:id="910" w:name="_Toc267251440"/>
      <w:bookmarkStart w:id="911" w:name="_Toc267251439"/>
      <w:bookmarkStart w:id="912" w:name="_Toc267251433"/>
      <w:bookmarkStart w:id="913" w:name="_Toc267251437"/>
      <w:bookmarkStart w:id="914" w:name="_Toc267251435"/>
      <w:bookmarkStart w:id="915" w:name="_Toc267251441"/>
      <w:bookmarkStart w:id="916" w:name="_Toc267251442"/>
      <w:r>
        <w:rPr>
          <w:color w:val="auto"/>
          <w:highlight w:val="none"/>
        </w:rPr>
        <w:t xml:space="preserve">0. </w:t>
      </w:r>
      <w:r>
        <w:rPr>
          <w:rFonts w:hint="eastAsia" w:hAnsi="宋体" w:cs="黑体"/>
          <w:color w:val="auto"/>
          <w:highlight w:val="none"/>
        </w:rPr>
        <w:t>变更</w:t>
      </w:r>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p>
    <w:bookmarkEnd w:id="908"/>
    <w:bookmarkEnd w:id="909"/>
    <w:p w14:paraId="6AAB720A">
      <w:pPr>
        <w:pStyle w:val="5"/>
        <w:rPr>
          <w:color w:val="auto"/>
          <w:highlight w:val="none"/>
        </w:rPr>
      </w:pPr>
      <w:bookmarkStart w:id="917" w:name="_Toc389065306"/>
      <w:bookmarkStart w:id="918" w:name="_Toc411143415"/>
      <w:bookmarkStart w:id="919" w:name="_Toc1890371558"/>
      <w:bookmarkStart w:id="920" w:name="_Toc407135243"/>
      <w:bookmarkStart w:id="921" w:name="_Toc373227740"/>
      <w:bookmarkStart w:id="922" w:name="_Toc78449829"/>
      <w:bookmarkStart w:id="923" w:name="_Toc373478387"/>
      <w:bookmarkStart w:id="924" w:name="_Toc13538"/>
      <w:r>
        <w:rPr>
          <w:color w:val="auto"/>
          <w:highlight w:val="none"/>
        </w:rPr>
        <w:t>1</w:t>
      </w:r>
      <w:bookmarkStart w:id="925" w:name="_Toc303539147"/>
      <w:bookmarkStart w:id="926" w:name="_Toc292559399"/>
      <w:bookmarkStart w:id="927" w:name="_Toc297048380"/>
      <w:bookmarkStart w:id="928" w:name="_Toc297216200"/>
      <w:bookmarkStart w:id="929" w:name="_Toc304295567"/>
      <w:bookmarkStart w:id="930" w:name="_Toc296503194"/>
      <w:bookmarkStart w:id="931" w:name="_Toc296346695"/>
      <w:bookmarkStart w:id="932" w:name="_Toc292559904"/>
      <w:bookmarkStart w:id="933" w:name="_Toc297120494"/>
      <w:bookmarkStart w:id="934" w:name="_Toc296347193"/>
      <w:bookmarkStart w:id="935" w:name="_Toc297123541"/>
      <w:bookmarkStart w:id="936" w:name="_Toc300934990"/>
      <w:bookmarkStart w:id="937" w:name="_Toc312677500"/>
      <w:bookmarkStart w:id="938" w:name="_Toc296891022"/>
      <w:bookmarkStart w:id="939" w:name="_Toc296891234"/>
      <w:bookmarkStart w:id="940" w:name="_Toc296944533"/>
      <w:bookmarkStart w:id="941" w:name="_Toc312678026"/>
      <w:r>
        <w:rPr>
          <w:color w:val="auto"/>
          <w:highlight w:val="none"/>
        </w:rPr>
        <w:t xml:space="preserve">0.1 </w:t>
      </w:r>
      <w:r>
        <w:rPr>
          <w:rFonts w:hint="eastAsia" w:hAnsi="宋体" w:cs="黑体"/>
          <w:color w:val="auto"/>
          <w:highlight w:val="none"/>
        </w:rPr>
        <w:t>变更的范围</w:t>
      </w:r>
      <w:bookmarkEnd w:id="917"/>
      <w:bookmarkEnd w:id="918"/>
      <w:bookmarkEnd w:id="919"/>
      <w:bookmarkEnd w:id="920"/>
      <w:bookmarkEnd w:id="921"/>
      <w:bookmarkEnd w:id="922"/>
      <w:bookmarkEnd w:id="923"/>
      <w:bookmarkEnd w:id="924"/>
    </w:p>
    <w:p w14:paraId="6C4CEE4B">
      <w:pPr>
        <w:spacing w:line="360" w:lineRule="auto"/>
        <w:ind w:firstLine="426"/>
        <w:jc w:val="left"/>
        <w:rPr>
          <w:color w:val="auto"/>
          <w:highlight w:val="none"/>
        </w:rPr>
      </w:pPr>
      <w:r>
        <w:rPr>
          <w:rFonts w:hint="eastAsia" w:hAnsi="宋体" w:cs="宋体"/>
          <w:color w:val="auto"/>
          <w:highlight w:val="none"/>
        </w:rPr>
        <w:t>关于变更的范围的约定：</w:t>
      </w:r>
      <w:r>
        <w:rPr>
          <w:rFonts w:ascii="宋体" w:hAnsi="宋体" w:eastAsia="宋体" w:cs="宋体"/>
          <w:color w:val="auto"/>
          <w:spacing w:val="0"/>
          <w:highlight w:val="none"/>
          <w:u w:val="single"/>
        </w:rPr>
        <w:t xml:space="preserve"> 执行通用合同条款</w:t>
      </w:r>
      <w:r>
        <w:rPr>
          <w:rFonts w:ascii="Calibri" w:hAnsi="Calibri" w:eastAsia="Calibri" w:cs="Calibri"/>
          <w:color w:val="auto"/>
          <w:spacing w:val="0"/>
          <w:highlight w:val="none"/>
          <w:u w:val="single"/>
        </w:rPr>
        <w:t>10.1</w:t>
      </w:r>
      <w:r>
        <w:rPr>
          <w:rFonts w:ascii="宋体" w:hAnsi="宋体" w:eastAsia="宋体" w:cs="宋体"/>
          <w:color w:val="auto"/>
          <w:spacing w:val="0"/>
          <w:highlight w:val="none"/>
          <w:u w:val="single"/>
        </w:rPr>
        <w:t>款并经发包人、监理单位、设计单位等有关单位签字</w:t>
      </w:r>
      <w:r>
        <w:rPr>
          <w:rFonts w:ascii="宋体" w:hAnsi="宋体" w:eastAsia="宋体" w:cs="宋体"/>
          <w:color w:val="auto"/>
          <w:highlight w:val="none"/>
          <w:u w:val="single"/>
        </w:rPr>
        <w:t xml:space="preserve">确认后，方可作为工程结算依据 </w:t>
      </w:r>
      <w:r>
        <w:rPr>
          <w:rFonts w:hint="eastAsia" w:hAnsi="宋体" w:cs="宋体"/>
          <w:color w:val="auto"/>
          <w:highlight w:val="none"/>
        </w:rPr>
        <w:t>。</w:t>
      </w:r>
    </w:p>
    <w:p w14:paraId="5D17A051">
      <w:pPr>
        <w:pStyle w:val="5"/>
        <w:rPr>
          <w:color w:val="auto"/>
          <w:highlight w:val="none"/>
        </w:rPr>
      </w:pPr>
      <w:bookmarkStart w:id="942" w:name="_Toc389065307"/>
      <w:bookmarkStart w:id="943" w:name="_Toc26644"/>
      <w:bookmarkStart w:id="944" w:name="_Toc373478388"/>
      <w:bookmarkStart w:id="945" w:name="_Toc407135244"/>
      <w:bookmarkStart w:id="946" w:name="_Toc373227741"/>
      <w:bookmarkStart w:id="947" w:name="_Toc1641633295"/>
      <w:bookmarkStart w:id="948" w:name="_Toc450749207"/>
      <w:bookmarkStart w:id="949" w:name="_Toc78449830"/>
      <w:r>
        <w:rPr>
          <w:color w:val="auto"/>
          <w:highlight w:val="none"/>
        </w:rPr>
        <w:t xml:space="preserve">10.3 </w:t>
      </w:r>
      <w:r>
        <w:rPr>
          <w:rFonts w:hint="eastAsia" w:hAnsi="宋体" w:cs="黑体"/>
          <w:color w:val="auto"/>
          <w:highlight w:val="none"/>
        </w:rPr>
        <w:t>变更程序</w:t>
      </w:r>
      <w:bookmarkEnd w:id="942"/>
      <w:bookmarkEnd w:id="943"/>
      <w:bookmarkEnd w:id="944"/>
      <w:bookmarkEnd w:id="945"/>
      <w:bookmarkEnd w:id="946"/>
      <w:bookmarkEnd w:id="947"/>
      <w:bookmarkEnd w:id="948"/>
      <w:bookmarkEnd w:id="949"/>
    </w:p>
    <w:p w14:paraId="4DD085D1">
      <w:pPr>
        <w:pStyle w:val="11"/>
        <w:spacing w:line="360" w:lineRule="auto"/>
        <w:ind w:firstLine="441" w:firstLineChars="210"/>
        <w:rPr>
          <w:rFonts w:ascii="Times New Roman" w:hAnsi="Times New Roman"/>
          <w:color w:val="auto"/>
          <w:sz w:val="21"/>
          <w:szCs w:val="21"/>
          <w:highlight w:val="none"/>
        </w:rPr>
      </w:pPr>
      <w:r>
        <w:rPr>
          <w:rFonts w:ascii="Times New Roman" w:hAnsi="Times New Roman"/>
          <w:color w:val="auto"/>
          <w:sz w:val="21"/>
          <w:szCs w:val="21"/>
          <w:highlight w:val="none"/>
        </w:rPr>
        <w:t>10.3.1</w:t>
      </w:r>
      <w:r>
        <w:rPr>
          <w:rFonts w:hint="eastAsia" w:ascii="Times New Roman" w:hAnsi="Times New Roman"/>
          <w:color w:val="auto"/>
          <w:sz w:val="21"/>
          <w:szCs w:val="21"/>
          <w:highlight w:val="none"/>
        </w:rPr>
        <w:t>国有投资项目：</w:t>
      </w:r>
    </w:p>
    <w:p w14:paraId="39431C40">
      <w:pPr>
        <w:pStyle w:val="11"/>
        <w:spacing w:line="360" w:lineRule="auto"/>
        <w:ind w:firstLine="441" w:firstLineChars="210"/>
        <w:rPr>
          <w:rFonts w:ascii="Times New Roman" w:hAnsi="宋体"/>
          <w:bCs/>
          <w:color w:val="auto"/>
          <w:sz w:val="21"/>
          <w:szCs w:val="21"/>
          <w:highlight w:val="none"/>
        </w:rPr>
      </w:pPr>
      <w:r>
        <w:rPr>
          <w:rFonts w:hint="eastAsia" w:ascii="Times New Roman" w:hAnsi="宋体"/>
          <w:bCs/>
          <w:color w:val="auto"/>
          <w:sz w:val="21"/>
          <w:szCs w:val="21"/>
          <w:highlight w:val="none"/>
        </w:rPr>
        <w:t>⑴设计变更和工程签证，按各市政府或相关部门的规定办理。属不可抗力（自然灾害、突发事件等）造成变更的，按特事特办原则予以办理。</w:t>
      </w:r>
    </w:p>
    <w:p w14:paraId="075A2462">
      <w:pPr>
        <w:pStyle w:val="11"/>
        <w:spacing w:line="360" w:lineRule="auto"/>
        <w:ind w:firstLine="441" w:firstLineChars="210"/>
        <w:rPr>
          <w:rFonts w:ascii="Times New Roman" w:hAnsi="宋体"/>
          <w:bCs/>
          <w:color w:val="auto"/>
          <w:sz w:val="21"/>
          <w:szCs w:val="21"/>
          <w:highlight w:val="none"/>
        </w:rPr>
      </w:pPr>
      <w:r>
        <w:rPr>
          <w:rFonts w:hint="eastAsia" w:ascii="Times New Roman" w:hAnsi="宋体"/>
          <w:bCs/>
          <w:color w:val="auto"/>
          <w:sz w:val="21"/>
          <w:szCs w:val="21"/>
          <w:highlight w:val="none"/>
        </w:rPr>
        <w:t>⑵建设单位在实施项目过程中，若发生单价变动，由发包人、承包人、监理或造价咨询等单位共同商定并签字确认。</w:t>
      </w:r>
    </w:p>
    <w:p w14:paraId="1A18FE0E">
      <w:pPr>
        <w:pStyle w:val="11"/>
        <w:spacing w:line="360" w:lineRule="auto"/>
        <w:ind w:firstLine="441" w:firstLineChars="210"/>
        <w:rPr>
          <w:rFonts w:ascii="Times New Roman" w:hAnsi="宋体"/>
          <w:bCs/>
          <w:color w:val="auto"/>
          <w:sz w:val="21"/>
          <w:szCs w:val="21"/>
          <w:highlight w:val="none"/>
        </w:rPr>
      </w:pPr>
      <w:r>
        <w:rPr>
          <w:rFonts w:hint="eastAsia" w:ascii="Times New Roman" w:hAnsi="宋体"/>
          <w:bCs/>
          <w:color w:val="auto"/>
          <w:sz w:val="21"/>
          <w:szCs w:val="21"/>
          <w:highlight w:val="none"/>
        </w:rPr>
        <w:t>⑶</w:t>
      </w:r>
      <w:r>
        <w:rPr>
          <w:rFonts w:ascii="Times New Roman" w:hAnsi="宋体"/>
          <w:bCs/>
          <w:color w:val="auto"/>
          <w:sz w:val="21"/>
          <w:szCs w:val="21"/>
          <w:highlight w:val="none"/>
        </w:rPr>
        <w:t xml:space="preserve"> </w:t>
      </w:r>
      <w:r>
        <w:rPr>
          <w:rFonts w:hint="eastAsia" w:ascii="Times New Roman" w:hAnsi="宋体"/>
          <w:bCs/>
          <w:color w:val="auto"/>
          <w:sz w:val="21"/>
          <w:szCs w:val="21"/>
          <w:highlight w:val="none"/>
        </w:rPr>
        <w:t>当合同规定的合同价款调整情况发生后，承包人未在规定时间内通知发包人，或者未在规定时间内提出调整报告，发包人可以根据有关资料，决定是否调整和调整的金额，并书面通知承包人。</w:t>
      </w:r>
    </w:p>
    <w:p w14:paraId="5936AE08">
      <w:pPr>
        <w:spacing w:line="360" w:lineRule="auto"/>
        <w:ind w:firstLine="420" w:firstLineChars="200"/>
        <w:jc w:val="left"/>
        <w:rPr>
          <w:color w:val="auto"/>
          <w:highlight w:val="none"/>
        </w:rPr>
      </w:pPr>
      <w:r>
        <w:rPr>
          <w:color w:val="auto"/>
          <w:highlight w:val="none"/>
        </w:rPr>
        <w:t xml:space="preserve">10.3.2 </w:t>
      </w:r>
      <w:r>
        <w:rPr>
          <w:rFonts w:hint="eastAsia" w:cs="宋体"/>
          <w:color w:val="auto"/>
          <w:highlight w:val="none"/>
        </w:rPr>
        <w:t>非国有投资项目：</w:t>
      </w:r>
      <w:r>
        <w:rPr>
          <w:color w:val="auto"/>
          <w:highlight w:val="non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s="宋体"/>
          <w:color w:val="auto"/>
          <w:highlight w:val="none"/>
        </w:rPr>
        <w:t>。</w:t>
      </w:r>
    </w:p>
    <w:p w14:paraId="74AE361A">
      <w:pPr>
        <w:pStyle w:val="5"/>
        <w:rPr>
          <w:color w:val="auto"/>
          <w:highlight w:val="none"/>
        </w:rPr>
      </w:pPr>
      <w:bookmarkStart w:id="950" w:name="_Toc373478389"/>
      <w:bookmarkStart w:id="951" w:name="_Toc373227742"/>
      <w:bookmarkStart w:id="952" w:name="_Toc407135245"/>
      <w:bookmarkStart w:id="953" w:name="_Toc78449831"/>
      <w:bookmarkStart w:id="954" w:name="_Toc1645711468"/>
      <w:bookmarkStart w:id="955" w:name="_Toc780640360"/>
      <w:bookmarkStart w:id="956" w:name="_Toc23611"/>
      <w:bookmarkStart w:id="957" w:name="_Toc389065308"/>
      <w:r>
        <w:rPr>
          <w:color w:val="auto"/>
          <w:highlight w:val="none"/>
        </w:rPr>
        <w:t xml:space="preserve">10.4 </w:t>
      </w:r>
      <w:r>
        <w:rPr>
          <w:rFonts w:hint="eastAsia" w:hAnsi="宋体" w:cs="黑体"/>
          <w:color w:val="auto"/>
          <w:highlight w:val="none"/>
        </w:rPr>
        <w:t>变更估价</w:t>
      </w:r>
      <w:bookmarkEnd w:id="950"/>
      <w:bookmarkEnd w:id="951"/>
      <w:bookmarkEnd w:id="952"/>
      <w:bookmarkEnd w:id="953"/>
      <w:bookmarkEnd w:id="954"/>
      <w:bookmarkEnd w:id="955"/>
      <w:bookmarkEnd w:id="956"/>
      <w:bookmarkEnd w:id="957"/>
    </w:p>
    <w:p w14:paraId="6154936B">
      <w:pPr>
        <w:spacing w:line="360" w:lineRule="auto"/>
        <w:ind w:firstLine="420" w:firstLineChars="200"/>
        <w:jc w:val="left"/>
        <w:rPr>
          <w:color w:val="auto"/>
          <w:highlight w:val="none"/>
        </w:rPr>
      </w:pPr>
      <w:r>
        <w:rPr>
          <w:color w:val="auto"/>
          <w:highlight w:val="none"/>
        </w:rPr>
        <w:t xml:space="preserve">10.4.1 </w:t>
      </w:r>
      <w:r>
        <w:rPr>
          <w:rFonts w:hint="eastAsia" w:hAnsi="宋体" w:cs="宋体"/>
          <w:color w:val="auto"/>
          <w:highlight w:val="none"/>
        </w:rPr>
        <w:t>变更估价原则</w:t>
      </w:r>
    </w:p>
    <w:p w14:paraId="78EBBA87">
      <w:pPr>
        <w:spacing w:line="360" w:lineRule="auto"/>
        <w:ind w:firstLine="420" w:firstLineChars="200"/>
        <w:jc w:val="left"/>
        <w:rPr>
          <w:rFonts w:hAnsi="宋体"/>
          <w:color w:val="auto"/>
          <w:highlight w:val="none"/>
        </w:rPr>
      </w:pPr>
      <w:r>
        <w:rPr>
          <w:rFonts w:hint="eastAsia" w:hAnsi="宋体" w:cs="宋体"/>
          <w:color w:val="auto"/>
          <w:highlight w:val="none"/>
        </w:rPr>
        <w:t>关于变更估价的约定</w:t>
      </w:r>
      <w:r>
        <w:rPr>
          <w:rFonts w:hint="eastAsia"/>
          <w:color w:val="auto"/>
          <w:highlight w:val="none"/>
          <w:lang w:eastAsia="zh-CN"/>
        </w:rPr>
        <w:t>：</w:t>
      </w:r>
      <w:bookmarkStart w:id="958" w:name="_Toc251051742"/>
      <w:r>
        <w:rPr>
          <w:rFonts w:hint="eastAsia" w:hAnsi="宋体" w:cs="宋体"/>
          <w:color w:val="auto"/>
          <w:highlight w:val="none"/>
          <w:u w:val="single"/>
        </w:rPr>
        <w:t>工程变更合同价款按下列方法进行：（</w:t>
      </w:r>
      <w:r>
        <w:rPr>
          <w:color w:val="auto"/>
          <w:highlight w:val="none"/>
          <w:u w:val="single"/>
        </w:rPr>
        <w:t>1</w:t>
      </w:r>
      <w:r>
        <w:rPr>
          <w:rFonts w:hint="eastAsia" w:hAnsi="宋体" w:cs="宋体"/>
          <w:color w:val="auto"/>
          <w:highlight w:val="none"/>
          <w:u w:val="single"/>
        </w:rPr>
        <w:t>）合同中已有相同清单项目的，按合同该清单项目价格进行计算；（</w:t>
      </w:r>
      <w:r>
        <w:rPr>
          <w:color w:val="auto"/>
          <w:highlight w:val="none"/>
          <w:u w:val="single"/>
        </w:rPr>
        <w:t>2</w:t>
      </w:r>
      <w:r>
        <w:rPr>
          <w:rFonts w:hint="eastAsia" w:hAnsi="宋体" w:cs="宋体"/>
          <w:color w:val="auto"/>
          <w:highlight w:val="none"/>
          <w:u w:val="single"/>
        </w:rPr>
        <w:t>）合同中只有类似清单项目的，参照该类似清单项目价格进行计算；（</w:t>
      </w:r>
      <w:r>
        <w:rPr>
          <w:color w:val="auto"/>
          <w:highlight w:val="none"/>
          <w:u w:val="single"/>
        </w:rPr>
        <w:t>3</w:t>
      </w:r>
      <w:r>
        <w:rPr>
          <w:rFonts w:hint="eastAsia" w:hAnsi="宋体" w:cs="宋体"/>
          <w:color w:val="auto"/>
          <w:highlight w:val="none"/>
          <w:u w:val="single"/>
        </w:rPr>
        <w:t>）合同中没有适用或类似清单项目的价格计算方法：有定额的套定额，并（</w:t>
      </w:r>
      <w:r>
        <w:rPr>
          <w:rFonts w:hint="eastAsia" w:cs="宋体"/>
          <w:b/>
          <w:bCs/>
          <w:color w:val="auto"/>
          <w:highlight w:val="none"/>
          <w:u w:val="single"/>
          <w:lang w:eastAsia="zh-CN"/>
        </w:rPr>
        <w:t>☑</w:t>
      </w:r>
      <w:r>
        <w:rPr>
          <w:rFonts w:hint="eastAsia" w:hAnsi="宋体" w:cs="宋体"/>
          <w:color w:val="auto"/>
          <w:highlight w:val="none"/>
          <w:u w:val="single"/>
        </w:rPr>
        <w:t>乘以下浮系数</w:t>
      </w:r>
      <w:r>
        <w:rPr>
          <w:color w:val="auto"/>
          <w:highlight w:val="none"/>
          <w:u w:val="single"/>
        </w:rPr>
        <w:t xml:space="preserve">      %</w:t>
      </w:r>
      <w:r>
        <w:rPr>
          <w:rFonts w:hint="eastAsia" w:ascii="宋体" w:hAnsi="宋体" w:eastAsia="宋体" w:cs="宋体"/>
          <w:color w:val="auto"/>
          <w:highlight w:val="none"/>
          <w:u w:val="single"/>
          <w:lang w:eastAsia="zh-CN"/>
        </w:rPr>
        <w:t>【</w:t>
      </w:r>
      <w:r>
        <w:rPr>
          <w:rFonts w:hint="eastAsia" w:hAnsi="宋体" w:cs="宋体"/>
          <w:color w:val="auto"/>
          <w:highlight w:val="none"/>
          <w:u w:val="single"/>
        </w:rPr>
        <w:t>下浮系数</w:t>
      </w:r>
      <w:r>
        <w:rPr>
          <w:rFonts w:hint="eastAsia" w:hAnsi="宋体" w:cs="宋体"/>
          <w:color w:val="auto"/>
          <w:highlight w:val="none"/>
          <w:u w:val="single"/>
          <w:lang w:val="en-US" w:eastAsia="zh-CN"/>
        </w:rPr>
        <w:t>=（招标控制价-中标价）/招标控制价*100%</w:t>
      </w:r>
      <w:r>
        <w:rPr>
          <w:rFonts w:hint="eastAsia" w:ascii="宋体" w:hAnsi="宋体" w:eastAsia="宋体" w:cs="宋体"/>
          <w:color w:val="auto"/>
          <w:highlight w:val="none"/>
          <w:u w:val="single"/>
          <w:lang w:val="en-US" w:eastAsia="zh-CN"/>
        </w:rPr>
        <w:t>】</w:t>
      </w:r>
      <w:r>
        <w:rPr>
          <w:rFonts w:hint="eastAsia" w:cs="宋体"/>
          <w:color w:val="auto"/>
          <w:highlight w:val="none"/>
          <w:u w:val="single"/>
        </w:rPr>
        <w:t>，</w:t>
      </w:r>
      <w:r>
        <w:rPr>
          <w:rFonts w:hint="eastAsia" w:cs="宋体"/>
          <w:b/>
          <w:bCs/>
          <w:color w:val="auto"/>
          <w:highlight w:val="none"/>
          <w:u w:val="single"/>
        </w:rPr>
        <w:t>□</w:t>
      </w:r>
      <w:r>
        <w:rPr>
          <w:rFonts w:hint="eastAsia" w:hAnsi="宋体" w:cs="宋体"/>
          <w:color w:val="auto"/>
          <w:highlight w:val="none"/>
          <w:u w:val="single"/>
        </w:rPr>
        <w:t>不乘下浮系数）计算，其中：材料设备价格按施工期间的《</w:t>
      </w:r>
      <w:r>
        <w:rPr>
          <w:rFonts w:hint="eastAsia"/>
          <w:color w:val="auto"/>
          <w:highlight w:val="none"/>
          <w:u w:val="single"/>
          <w:lang w:val="en-US" w:eastAsia="zh-CN"/>
        </w:rPr>
        <w:t>南宁</w:t>
      </w:r>
      <w:r>
        <w:rPr>
          <w:rFonts w:hint="eastAsia" w:hAnsi="宋体" w:cs="宋体"/>
          <w:color w:val="auto"/>
          <w:highlight w:val="none"/>
          <w:u w:val="single"/>
        </w:rPr>
        <w:t>市建设工程造价信息》相应信息价的加权平均值计算，《</w:t>
      </w:r>
      <w:r>
        <w:rPr>
          <w:rFonts w:hint="eastAsia"/>
          <w:color w:val="auto"/>
          <w:highlight w:val="none"/>
          <w:u w:val="single"/>
          <w:lang w:val="en-US" w:eastAsia="zh-CN"/>
        </w:rPr>
        <w:t>南宁</w:t>
      </w:r>
      <w:r>
        <w:rPr>
          <w:rFonts w:hint="eastAsia" w:hAnsi="宋体" w:cs="宋体"/>
          <w:color w:val="auto"/>
          <w:highlight w:val="none"/>
          <w:u w:val="single"/>
        </w:rPr>
        <w:t>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bookmarkEnd w:id="958"/>
      <w:r>
        <w:rPr>
          <w:rFonts w:hint="eastAsia" w:hAnsi="宋体" w:cs="宋体"/>
          <w:color w:val="auto"/>
          <w:highlight w:val="none"/>
        </w:rPr>
        <w:t>。以上约定同时适用于招标工程量清单缺项以及工程量清单项目特征与图纸不符时的价款确定。</w:t>
      </w:r>
    </w:p>
    <w:p w14:paraId="2C873003">
      <w:pPr>
        <w:spacing w:line="360" w:lineRule="auto"/>
        <w:ind w:firstLine="420" w:firstLineChars="200"/>
        <w:jc w:val="left"/>
        <w:rPr>
          <w:rFonts w:hint="eastAsia" w:cs="宋体"/>
          <w:color w:val="auto"/>
          <w:highlight w:val="none"/>
          <w:u w:val="single"/>
        </w:rPr>
      </w:pPr>
      <w:r>
        <w:rPr>
          <w:rFonts w:hint="eastAsia" w:cs="宋体"/>
          <w:color w:val="auto"/>
          <w:highlight w:val="none"/>
          <w:u w:val="single"/>
        </w:rPr>
        <w:t>工程变更导致实际完成的变更工程量与已标价清单或预算书中列明的该项目工程量有偏差时，其综合单价的确定按专用条款“</w:t>
      </w:r>
      <w:r>
        <w:rPr>
          <w:color w:val="auto"/>
          <w:highlight w:val="none"/>
          <w:u w:val="single"/>
        </w:rPr>
        <w:t>1.13</w:t>
      </w:r>
      <w:r>
        <w:rPr>
          <w:rFonts w:hint="eastAsia" w:cs="宋体"/>
          <w:color w:val="auto"/>
          <w:highlight w:val="none"/>
          <w:u w:val="single"/>
        </w:rPr>
        <w:t>工程量清单错误的修正”执行。</w:t>
      </w:r>
    </w:p>
    <w:p w14:paraId="0AAD6173">
      <w:pPr>
        <w:pStyle w:val="5"/>
        <w:rPr>
          <w:color w:val="auto"/>
          <w:highlight w:val="none"/>
        </w:rPr>
      </w:pPr>
      <w:bookmarkStart w:id="959" w:name="_Toc6719"/>
      <w:bookmarkStart w:id="960" w:name="_Toc1342657745"/>
      <w:bookmarkStart w:id="961" w:name="_Toc373478390"/>
      <w:bookmarkStart w:id="962" w:name="_Toc373227743"/>
      <w:bookmarkStart w:id="963" w:name="_Toc389065309"/>
      <w:bookmarkStart w:id="964" w:name="_Toc78449832"/>
      <w:bookmarkStart w:id="965" w:name="_Toc650800266"/>
      <w:bookmarkStart w:id="966" w:name="_Toc407135246"/>
      <w:r>
        <w:rPr>
          <w:color w:val="auto"/>
          <w:highlight w:val="none"/>
        </w:rPr>
        <w:t>1</w:t>
      </w:r>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Start w:id="967" w:name="_Toc297123544"/>
      <w:bookmarkStart w:id="968" w:name="_Toc296346698"/>
      <w:bookmarkStart w:id="969" w:name="_Toc296347196"/>
      <w:bookmarkStart w:id="970" w:name="_Toc297120497"/>
      <w:bookmarkStart w:id="971" w:name="_Toc292559402"/>
      <w:bookmarkStart w:id="972" w:name="_Toc297216203"/>
      <w:bookmarkStart w:id="973" w:name="_Toc297048383"/>
      <w:bookmarkStart w:id="974" w:name="_Toc300934993"/>
      <w:bookmarkStart w:id="975" w:name="_Toc303539150"/>
      <w:bookmarkStart w:id="976" w:name="_Toc296944536"/>
      <w:bookmarkStart w:id="977" w:name="_Toc296891025"/>
      <w:bookmarkStart w:id="978" w:name="_Toc296891237"/>
      <w:bookmarkStart w:id="979" w:name="_Toc296503197"/>
      <w:bookmarkStart w:id="980" w:name="_Toc292559907"/>
      <w:bookmarkStart w:id="981" w:name="_Toc312677503"/>
      <w:bookmarkStart w:id="982" w:name="_Toc312678029"/>
      <w:bookmarkStart w:id="983" w:name="_Toc304295570"/>
      <w:r>
        <w:rPr>
          <w:color w:val="auto"/>
          <w:highlight w:val="none"/>
        </w:rPr>
        <w:t xml:space="preserve">0.5 </w:t>
      </w:r>
      <w:r>
        <w:rPr>
          <w:rFonts w:hint="eastAsia" w:cs="黑体"/>
          <w:color w:val="auto"/>
          <w:highlight w:val="none"/>
        </w:rPr>
        <w:t>承</w:t>
      </w:r>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Start w:id="984" w:name="_Toc296503203"/>
      <w:bookmarkStart w:id="985" w:name="_Toc296891031"/>
      <w:bookmarkStart w:id="986" w:name="_Toc297048389"/>
      <w:bookmarkStart w:id="987" w:name="_Toc292559408"/>
      <w:bookmarkStart w:id="988" w:name="_Toc297123545"/>
      <w:bookmarkStart w:id="989" w:name="_Toc303539151"/>
      <w:bookmarkStart w:id="990" w:name="_Toc300934994"/>
      <w:bookmarkStart w:id="991" w:name="_Toc296347202"/>
      <w:bookmarkStart w:id="992" w:name="_Toc292559913"/>
      <w:bookmarkStart w:id="993" w:name="_Toc297120503"/>
      <w:bookmarkStart w:id="994" w:name="_Toc296944542"/>
      <w:bookmarkStart w:id="995" w:name="_Toc296891243"/>
      <w:bookmarkStart w:id="996" w:name="_Toc297216204"/>
      <w:bookmarkStart w:id="997" w:name="_Toc296346704"/>
      <w:r>
        <w:rPr>
          <w:rFonts w:hint="eastAsia" w:cs="黑体"/>
          <w:color w:val="auto"/>
          <w:highlight w:val="none"/>
        </w:rPr>
        <w:t>包人的合理化建议</w:t>
      </w:r>
      <w:bookmarkEnd w:id="959"/>
      <w:bookmarkEnd w:id="960"/>
      <w:bookmarkEnd w:id="961"/>
      <w:bookmarkEnd w:id="962"/>
      <w:bookmarkEnd w:id="963"/>
      <w:bookmarkEnd w:id="964"/>
      <w:bookmarkEnd w:id="965"/>
      <w:bookmarkEnd w:id="966"/>
    </w:p>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p w14:paraId="2C14642A">
      <w:pPr>
        <w:spacing w:line="360" w:lineRule="auto"/>
        <w:ind w:firstLine="420" w:firstLineChars="200"/>
        <w:jc w:val="left"/>
        <w:rPr>
          <w:color w:val="auto"/>
          <w:highlight w:val="none"/>
        </w:rPr>
      </w:pPr>
      <w:r>
        <w:rPr>
          <w:rFonts w:hint="eastAsia" w:hAnsi="宋体" w:cs="宋体"/>
          <w:color w:val="auto"/>
          <w:highlight w:val="none"/>
        </w:rPr>
        <w:t>监理人审查承包人合理化建议的期限：</w:t>
      </w:r>
      <w:r>
        <w:rPr>
          <w:rFonts w:hint="eastAsia"/>
          <w:color w:val="auto"/>
          <w:highlight w:val="none"/>
          <w:u w:val="single"/>
        </w:rPr>
        <w:t>监理人应在收到承包人提交的合理化建议后7天内审查完毕并报送发包人，发现其中存在技术上的缺陷，应通知承包人修改</w:t>
      </w:r>
      <w:r>
        <w:rPr>
          <w:rFonts w:hint="eastAsia" w:hAnsi="宋体" w:cs="宋体"/>
          <w:color w:val="auto"/>
          <w:highlight w:val="none"/>
        </w:rPr>
        <w:t>。</w:t>
      </w:r>
    </w:p>
    <w:p w14:paraId="664FE459">
      <w:pPr>
        <w:spacing w:line="360" w:lineRule="auto"/>
        <w:ind w:firstLine="420" w:firstLineChars="200"/>
        <w:jc w:val="left"/>
        <w:rPr>
          <w:color w:val="auto"/>
          <w:highlight w:val="none"/>
        </w:rPr>
      </w:pPr>
      <w:r>
        <w:rPr>
          <w:rFonts w:hint="eastAsia" w:hAnsi="宋体" w:cs="宋体"/>
          <w:color w:val="auto"/>
          <w:highlight w:val="none"/>
        </w:rPr>
        <w:t>发包人审批承包人合理化建议的期限：</w:t>
      </w:r>
      <w:r>
        <w:rPr>
          <w:rFonts w:hint="eastAsia"/>
          <w:color w:val="auto"/>
          <w:highlight w:val="none"/>
          <w:u w:val="single"/>
        </w:rPr>
        <w:t>发包人应在收到监理人报送的合理化建议后7天内审批完毕</w:t>
      </w:r>
      <w:r>
        <w:rPr>
          <w:rFonts w:hint="eastAsia" w:hAnsi="宋体" w:cs="宋体"/>
          <w:color w:val="auto"/>
          <w:highlight w:val="none"/>
        </w:rPr>
        <w:t>。</w:t>
      </w:r>
    </w:p>
    <w:p w14:paraId="53BF04F8">
      <w:pPr>
        <w:spacing w:line="360" w:lineRule="auto"/>
        <w:ind w:firstLine="420" w:firstLineChars="200"/>
        <w:jc w:val="left"/>
        <w:rPr>
          <w:color w:val="auto"/>
          <w:highlight w:val="none"/>
          <w:u w:val="single"/>
        </w:rPr>
      </w:pPr>
      <w:r>
        <w:rPr>
          <w:rFonts w:hint="eastAsia" w:hAnsi="宋体" w:cs="宋体"/>
          <w:color w:val="auto"/>
          <w:highlight w:val="none"/>
        </w:rPr>
        <w:t>承</w:t>
      </w:r>
      <w:bookmarkStart w:id="998" w:name="_Toc296503204"/>
      <w:bookmarkStart w:id="999" w:name="_Toc296944543"/>
      <w:bookmarkStart w:id="1000" w:name="_Toc312678030"/>
      <w:bookmarkStart w:id="1001" w:name="_Toc318581175"/>
      <w:bookmarkStart w:id="1002" w:name="_Toc296891244"/>
      <w:bookmarkStart w:id="1003" w:name="_Toc312677504"/>
      <w:bookmarkStart w:id="1004" w:name="_Toc296347203"/>
      <w:bookmarkStart w:id="1005" w:name="_Toc296346705"/>
      <w:bookmarkStart w:id="1006" w:name="_Toc297120504"/>
      <w:bookmarkStart w:id="1007" w:name="_Toc296891032"/>
      <w:bookmarkStart w:id="1008" w:name="_Toc303539152"/>
      <w:bookmarkStart w:id="1009" w:name="_Toc297123546"/>
      <w:bookmarkStart w:id="1010" w:name="_Toc292559409"/>
      <w:bookmarkStart w:id="1011" w:name="_Toc300934995"/>
      <w:bookmarkStart w:id="1012" w:name="_Toc304295571"/>
      <w:bookmarkStart w:id="1013" w:name="_Toc297048390"/>
      <w:bookmarkStart w:id="1014" w:name="_Toc292559914"/>
      <w:bookmarkStart w:id="1015" w:name="_Toc297216205"/>
      <w:r>
        <w:rPr>
          <w:rFonts w:hint="eastAsia" w:hAnsi="宋体" w:cs="宋体"/>
          <w:color w:val="auto"/>
          <w:highlight w:val="none"/>
        </w:rPr>
        <w:t>包人提出的合理化建议降低了合同价格或者提高了工程经济效益的奖励的方法和金额为：</w:t>
      </w:r>
      <w:r>
        <w:rPr>
          <w:rFonts w:hint="eastAsia"/>
          <w:color w:val="auto"/>
          <w:highlight w:val="none"/>
          <w:u w:val="single"/>
        </w:rPr>
        <w:t>无</w:t>
      </w:r>
      <w:r>
        <w:rPr>
          <w:rFonts w:hint="eastAsia" w:hAnsi="宋体" w:cs="宋体"/>
          <w:color w:val="auto"/>
          <w:highlight w:val="none"/>
        </w:rPr>
        <w:t>。</w:t>
      </w:r>
    </w:p>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p w14:paraId="17652AE4">
      <w:pPr>
        <w:pStyle w:val="5"/>
        <w:rPr>
          <w:color w:val="auto"/>
          <w:highlight w:val="none"/>
        </w:rPr>
      </w:pPr>
      <w:bookmarkStart w:id="1016" w:name="_Toc373478391"/>
      <w:bookmarkStart w:id="1017" w:name="_Toc78449833"/>
      <w:bookmarkStart w:id="1018" w:name="_Toc2045792355"/>
      <w:bookmarkStart w:id="1019" w:name="_Toc1466"/>
      <w:bookmarkStart w:id="1020" w:name="_Toc502454636"/>
      <w:bookmarkStart w:id="1021" w:name="_Toc389065310"/>
      <w:bookmarkStart w:id="1022" w:name="_Toc373227744"/>
      <w:bookmarkStart w:id="1023" w:name="_Toc407135247"/>
      <w:r>
        <w:rPr>
          <w:color w:val="auto"/>
          <w:highlight w:val="none"/>
        </w:rPr>
        <w:t>1</w:t>
      </w:r>
      <w:bookmarkStart w:id="1024" w:name="_Toc296891027"/>
      <w:bookmarkStart w:id="1025" w:name="_Toc296346700"/>
      <w:bookmarkStart w:id="1026" w:name="_Toc292559909"/>
      <w:bookmarkStart w:id="1027" w:name="_Toc304295574"/>
      <w:bookmarkStart w:id="1028" w:name="_Toc303539154"/>
      <w:bookmarkStart w:id="1029" w:name="_Toc296944538"/>
      <w:bookmarkStart w:id="1030" w:name="_Toc297120499"/>
      <w:bookmarkStart w:id="1031" w:name="_Toc296503199"/>
      <w:bookmarkStart w:id="1032" w:name="_Toc297216207"/>
      <w:bookmarkStart w:id="1033" w:name="_Toc292559404"/>
      <w:bookmarkStart w:id="1034" w:name="_Toc312677507"/>
      <w:bookmarkStart w:id="1035" w:name="_Toc300934997"/>
      <w:bookmarkStart w:id="1036" w:name="_Toc312678033"/>
      <w:bookmarkStart w:id="1037" w:name="_Toc296891239"/>
      <w:bookmarkStart w:id="1038" w:name="_Toc297048385"/>
      <w:bookmarkStart w:id="1039" w:name="_Toc296347198"/>
      <w:bookmarkStart w:id="1040" w:name="_Toc297123548"/>
      <w:r>
        <w:rPr>
          <w:color w:val="auto"/>
          <w:highlight w:val="none"/>
        </w:rPr>
        <w:t xml:space="preserve">0.7 </w:t>
      </w:r>
      <w:r>
        <w:rPr>
          <w:rFonts w:hint="eastAsia" w:hAnsi="宋体" w:cs="黑体"/>
          <w:color w:val="auto"/>
          <w:highlight w:val="none"/>
        </w:rPr>
        <w:t>暂估价</w:t>
      </w:r>
      <w:bookmarkEnd w:id="1016"/>
      <w:bookmarkEnd w:id="1017"/>
      <w:bookmarkEnd w:id="1018"/>
      <w:bookmarkEnd w:id="1019"/>
      <w:bookmarkEnd w:id="1020"/>
      <w:bookmarkEnd w:id="1021"/>
      <w:bookmarkEnd w:id="1022"/>
      <w:bookmarkEnd w:id="1023"/>
    </w:p>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p w14:paraId="7AECE27A">
      <w:pPr>
        <w:spacing w:line="360" w:lineRule="auto"/>
        <w:ind w:firstLine="420" w:firstLineChars="200"/>
        <w:jc w:val="left"/>
        <w:rPr>
          <w:color w:val="auto"/>
          <w:highlight w:val="none"/>
        </w:rPr>
      </w:pPr>
      <w:r>
        <w:rPr>
          <w:rFonts w:hint="eastAsia" w:hAnsi="宋体" w:cs="宋体"/>
          <w:color w:val="auto"/>
          <w:kern w:val="0"/>
          <w:highlight w:val="none"/>
        </w:rPr>
        <w:t>暂</w:t>
      </w:r>
      <w:bookmarkStart w:id="1041" w:name="_Toc312678034"/>
      <w:bookmarkStart w:id="1042" w:name="_Toc312677508"/>
      <w:bookmarkStart w:id="1043" w:name="_Toc318581176"/>
      <w:r>
        <w:rPr>
          <w:rFonts w:hint="eastAsia" w:hAnsi="宋体" w:cs="宋体"/>
          <w:color w:val="auto"/>
          <w:kern w:val="0"/>
          <w:highlight w:val="none"/>
        </w:rPr>
        <w:t>估价材料和工程设备的明细详见已标价工程量清单《</w:t>
      </w:r>
      <w:r>
        <w:rPr>
          <w:rFonts w:hint="eastAsia" w:cs="宋体"/>
          <w:color w:val="auto"/>
          <w:highlight w:val="none"/>
        </w:rPr>
        <w:t>材料（工程设备）暂估价格及调整表》</w:t>
      </w:r>
      <w:r>
        <w:rPr>
          <w:rFonts w:hint="eastAsia" w:hAnsi="宋体" w:cs="宋体"/>
          <w:color w:val="auto"/>
          <w:kern w:val="0"/>
          <w:highlight w:val="none"/>
        </w:rPr>
        <w:t>（表</w:t>
      </w:r>
      <w:r>
        <w:rPr>
          <w:rFonts w:hAnsi="宋体"/>
          <w:color w:val="auto"/>
          <w:kern w:val="0"/>
          <w:highlight w:val="none"/>
        </w:rPr>
        <w:t>12-2</w:t>
      </w:r>
      <w:r>
        <w:rPr>
          <w:rFonts w:hint="eastAsia" w:hAnsi="宋体" w:cs="宋体"/>
          <w:color w:val="auto"/>
          <w:kern w:val="0"/>
          <w:highlight w:val="none"/>
        </w:rPr>
        <w:t>）和《</w:t>
      </w:r>
      <w:r>
        <w:rPr>
          <w:rFonts w:hint="eastAsia" w:cs="宋体"/>
          <w:color w:val="auto"/>
          <w:highlight w:val="none"/>
        </w:rPr>
        <w:t>专业工程暂估价表》（</w:t>
      </w:r>
      <w:r>
        <w:rPr>
          <w:rFonts w:hint="eastAsia" w:hAnsi="宋体" w:cs="宋体"/>
          <w:color w:val="auto"/>
          <w:kern w:val="0"/>
          <w:highlight w:val="none"/>
        </w:rPr>
        <w:t>表</w:t>
      </w:r>
      <w:r>
        <w:rPr>
          <w:rFonts w:hAnsi="宋体"/>
          <w:color w:val="auto"/>
          <w:kern w:val="0"/>
          <w:highlight w:val="none"/>
        </w:rPr>
        <w:t>12-3</w:t>
      </w:r>
      <w:r>
        <w:rPr>
          <w:rFonts w:hint="eastAsia" w:hAnsi="宋体" w:cs="宋体"/>
          <w:color w:val="auto"/>
          <w:kern w:val="0"/>
          <w:highlight w:val="none"/>
        </w:rPr>
        <w:t>）。</w:t>
      </w:r>
    </w:p>
    <w:bookmarkEnd w:id="1041"/>
    <w:bookmarkEnd w:id="1042"/>
    <w:bookmarkEnd w:id="1043"/>
    <w:p w14:paraId="1B71EC1E">
      <w:pPr>
        <w:spacing w:line="360" w:lineRule="auto"/>
        <w:ind w:firstLine="420" w:firstLineChars="200"/>
        <w:jc w:val="left"/>
        <w:rPr>
          <w:color w:val="auto"/>
          <w:highlight w:val="none"/>
        </w:rPr>
      </w:pPr>
      <w:r>
        <w:rPr>
          <w:color w:val="auto"/>
          <w:highlight w:val="none"/>
        </w:rPr>
        <w:t>1</w:t>
      </w:r>
      <w:bookmarkStart w:id="1044" w:name="_Toc318581177"/>
      <w:bookmarkStart w:id="1045" w:name="_Toc312678035"/>
      <w:bookmarkStart w:id="1046" w:name="_Toc312677509"/>
      <w:r>
        <w:rPr>
          <w:color w:val="auto"/>
          <w:highlight w:val="none"/>
        </w:rPr>
        <w:t xml:space="preserve">0.7.1 </w:t>
      </w:r>
      <w:r>
        <w:rPr>
          <w:rFonts w:hint="eastAsia" w:hAnsi="宋体" w:cs="宋体"/>
          <w:color w:val="auto"/>
          <w:highlight w:val="none"/>
        </w:rPr>
        <w:t>依法必须招标的暂估价项目</w:t>
      </w:r>
    </w:p>
    <w:bookmarkEnd w:id="1044"/>
    <w:bookmarkEnd w:id="1045"/>
    <w:bookmarkEnd w:id="1046"/>
    <w:p w14:paraId="68BA6B3C">
      <w:pPr>
        <w:spacing w:line="360" w:lineRule="auto"/>
        <w:ind w:firstLine="420" w:firstLineChars="200"/>
        <w:jc w:val="left"/>
        <w:rPr>
          <w:color w:val="auto"/>
          <w:highlight w:val="none"/>
        </w:rPr>
      </w:pPr>
      <w:r>
        <w:rPr>
          <w:rFonts w:hint="eastAsia" w:hAnsi="宋体" w:cs="宋体"/>
          <w:color w:val="auto"/>
          <w:highlight w:val="none"/>
        </w:rPr>
        <w:t>对于依法必须招标的暂估价项目的确认和批准采取第</w:t>
      </w:r>
      <w:r>
        <w:rPr>
          <w:rFonts w:hint="eastAsia"/>
          <w:color w:val="auto"/>
          <w:highlight w:val="none"/>
          <w:u w:val="single"/>
        </w:rPr>
        <w:t xml:space="preserve">    /    </w:t>
      </w:r>
      <w:r>
        <w:rPr>
          <w:rFonts w:hint="eastAsia" w:hAnsi="宋体" w:cs="宋体"/>
          <w:color w:val="auto"/>
          <w:highlight w:val="none"/>
        </w:rPr>
        <w:t>种方式确定。</w:t>
      </w:r>
    </w:p>
    <w:p w14:paraId="6524516A">
      <w:pPr>
        <w:spacing w:line="360" w:lineRule="auto"/>
        <w:ind w:firstLine="420" w:firstLineChars="200"/>
        <w:jc w:val="left"/>
        <w:rPr>
          <w:color w:val="auto"/>
          <w:highlight w:val="none"/>
        </w:rPr>
      </w:pPr>
      <w:r>
        <w:rPr>
          <w:color w:val="auto"/>
          <w:highlight w:val="none"/>
        </w:rPr>
        <w:t xml:space="preserve">10.7.2 </w:t>
      </w:r>
      <w:r>
        <w:rPr>
          <w:rFonts w:hint="eastAsia" w:hAnsi="宋体" w:cs="宋体"/>
          <w:color w:val="auto"/>
          <w:highlight w:val="none"/>
        </w:rPr>
        <w:t>不属于依法必须招标的暂估价项目</w:t>
      </w:r>
    </w:p>
    <w:p w14:paraId="6A94216D">
      <w:pPr>
        <w:spacing w:line="360" w:lineRule="auto"/>
        <w:ind w:firstLine="420" w:firstLineChars="200"/>
        <w:jc w:val="left"/>
        <w:rPr>
          <w:color w:val="auto"/>
          <w:highlight w:val="none"/>
        </w:rPr>
      </w:pPr>
      <w:r>
        <w:rPr>
          <w:rFonts w:hint="eastAsia" w:hAnsi="宋体" w:cs="宋体"/>
          <w:color w:val="auto"/>
          <w:highlight w:val="none"/>
        </w:rPr>
        <w:t>对于不属于依法必须招标的暂估价项目的确认和批准采取第</w:t>
      </w:r>
      <w:r>
        <w:rPr>
          <w:rFonts w:hint="eastAsia"/>
          <w:color w:val="auto"/>
          <w:highlight w:val="none"/>
          <w:u w:val="single"/>
        </w:rPr>
        <w:t xml:space="preserve">    /    </w:t>
      </w:r>
      <w:r>
        <w:rPr>
          <w:rFonts w:hint="eastAsia" w:hAnsi="宋体" w:cs="宋体"/>
          <w:color w:val="auto"/>
          <w:highlight w:val="none"/>
        </w:rPr>
        <w:t>种方式确定。</w:t>
      </w:r>
    </w:p>
    <w:p w14:paraId="067E7D23">
      <w:pPr>
        <w:spacing w:line="360" w:lineRule="auto"/>
        <w:ind w:firstLine="420" w:firstLineChars="200"/>
        <w:jc w:val="left"/>
        <w:rPr>
          <w:color w:val="auto"/>
          <w:kern w:val="0"/>
          <w:highlight w:val="none"/>
        </w:rPr>
      </w:pPr>
      <w:r>
        <w:rPr>
          <w:rFonts w:hint="eastAsia" w:hAnsi="宋体" w:cs="宋体"/>
          <w:color w:val="auto"/>
          <w:highlight w:val="none"/>
        </w:rPr>
        <w:t>第</w:t>
      </w:r>
      <w:r>
        <w:rPr>
          <w:color w:val="auto"/>
          <w:highlight w:val="none"/>
        </w:rPr>
        <w:t>3</w:t>
      </w:r>
      <w:r>
        <w:rPr>
          <w:rFonts w:hint="eastAsia" w:hAnsi="宋体" w:cs="宋体"/>
          <w:color w:val="auto"/>
          <w:highlight w:val="none"/>
        </w:rPr>
        <w:t>种方式：</w:t>
      </w:r>
      <w:r>
        <w:rPr>
          <w:rFonts w:hint="eastAsia" w:hAnsi="宋体" w:cs="宋体"/>
          <w:color w:val="auto"/>
          <w:kern w:val="0"/>
          <w:highlight w:val="none"/>
        </w:rPr>
        <w:t>承包人直接实施的暂估价项目</w:t>
      </w:r>
    </w:p>
    <w:p w14:paraId="5B813502">
      <w:pPr>
        <w:spacing w:line="360" w:lineRule="auto"/>
        <w:ind w:firstLine="420" w:firstLineChars="200"/>
        <w:jc w:val="left"/>
        <w:rPr>
          <w:color w:val="auto"/>
          <w:highlight w:val="none"/>
        </w:rPr>
      </w:pPr>
      <w:r>
        <w:rPr>
          <w:rFonts w:hint="eastAsia" w:hAnsi="宋体" w:cs="宋体"/>
          <w:color w:val="auto"/>
          <w:highlight w:val="none"/>
        </w:rPr>
        <w:t>承包人直接实施的暂估价项目的约定：</w:t>
      </w:r>
      <w:r>
        <w:rPr>
          <w:rFonts w:hint="eastAsia"/>
          <w:color w:val="auto"/>
          <w:highlight w:val="none"/>
          <w:u w:val="single"/>
        </w:rPr>
        <w:t xml:space="preserve">    /    </w:t>
      </w:r>
      <w:r>
        <w:rPr>
          <w:rFonts w:hint="eastAsia" w:hAnsi="宋体" w:cs="宋体"/>
          <w:color w:val="auto"/>
          <w:highlight w:val="none"/>
        </w:rPr>
        <w:t>。</w:t>
      </w:r>
    </w:p>
    <w:p w14:paraId="586346CB">
      <w:pPr>
        <w:pStyle w:val="5"/>
        <w:rPr>
          <w:color w:val="auto"/>
          <w:highlight w:val="none"/>
        </w:rPr>
      </w:pPr>
      <w:bookmarkStart w:id="1047" w:name="_Toc389065311"/>
      <w:bookmarkStart w:id="1048" w:name="_Toc2032108729"/>
      <w:bookmarkStart w:id="1049" w:name="_Toc13284"/>
      <w:bookmarkStart w:id="1050" w:name="_Toc373478392"/>
      <w:bookmarkStart w:id="1051" w:name="_Toc373227745"/>
      <w:bookmarkStart w:id="1052" w:name="_Toc78449834"/>
      <w:bookmarkStart w:id="1053" w:name="_Toc2131098822"/>
      <w:bookmarkStart w:id="1054" w:name="_Toc407135248"/>
      <w:r>
        <w:rPr>
          <w:color w:val="auto"/>
          <w:highlight w:val="none"/>
        </w:rPr>
        <w:t xml:space="preserve">10.8 </w:t>
      </w:r>
      <w:r>
        <w:rPr>
          <w:rFonts w:hint="eastAsia" w:hAnsi="宋体" w:cs="黑体"/>
          <w:color w:val="auto"/>
          <w:highlight w:val="none"/>
        </w:rPr>
        <w:t>暂列金额</w:t>
      </w:r>
      <w:bookmarkEnd w:id="1047"/>
      <w:bookmarkEnd w:id="1048"/>
      <w:bookmarkEnd w:id="1049"/>
      <w:bookmarkEnd w:id="1050"/>
      <w:bookmarkEnd w:id="1051"/>
      <w:bookmarkEnd w:id="1052"/>
      <w:bookmarkEnd w:id="1053"/>
      <w:bookmarkEnd w:id="1054"/>
    </w:p>
    <w:p w14:paraId="563C842E">
      <w:pPr>
        <w:autoSpaceDE w:val="0"/>
        <w:autoSpaceDN w:val="0"/>
        <w:adjustRightInd w:val="0"/>
        <w:spacing w:line="360" w:lineRule="auto"/>
        <w:ind w:firstLine="420" w:firstLineChars="200"/>
        <w:jc w:val="left"/>
        <w:rPr>
          <w:color w:val="auto"/>
          <w:highlight w:val="none"/>
          <w:u w:val="single"/>
        </w:rPr>
      </w:pPr>
      <w:r>
        <w:rPr>
          <w:rFonts w:hint="eastAsia" w:hAnsi="宋体" w:cs="宋体"/>
          <w:color w:val="auto"/>
          <w:kern w:val="0"/>
          <w:highlight w:val="none"/>
        </w:rPr>
        <w:t>合同当事人关于暂列金额使用的约定：</w:t>
      </w:r>
      <w:r>
        <w:rPr>
          <w:rFonts w:hint="eastAsia"/>
          <w:color w:val="auto"/>
          <w:highlight w:val="none"/>
          <w:u w:val="single"/>
        </w:rPr>
        <w:t>暂列金额是指发包人为可能发生工程变更而暂列的金额，包括因发包人提供的工程量清单漏项、清单有误引起的工程数量增加引起新的清单项目或工程数量增加等需要增加的金额，发包人委托具有建设行政主管部门颁发资质的造价咨询机构审定后，按照审定造价支付部分暂列金。暂列金额是发包人自行确定设立的，承包人无权使用此笔费用。此费用按实际发生经发包人签证后确定全部使用、部分使用或不使用，不足部分发包人另行支付。暂列金额不计入工程款付款的基数。发包人按照规定所作支付后，暂列金额如有余额归发包人</w:t>
      </w:r>
      <w:r>
        <w:rPr>
          <w:rFonts w:hint="eastAsia" w:hAnsi="宋体" w:cs="宋体"/>
          <w:color w:val="auto"/>
          <w:kern w:val="0"/>
          <w:highlight w:val="none"/>
        </w:rPr>
        <w:t>。</w:t>
      </w:r>
    </w:p>
    <w:p w14:paraId="782ACEF8">
      <w:pPr>
        <w:pStyle w:val="4"/>
        <w:numPr>
          <w:ilvl w:val="0"/>
          <w:numId w:val="5"/>
        </w:numPr>
        <w:rPr>
          <w:color w:val="auto"/>
          <w:highlight w:val="none"/>
        </w:rPr>
      </w:pPr>
      <w:bookmarkStart w:id="1055" w:name="_Toc373227746"/>
      <w:bookmarkStart w:id="1056" w:name="_Toc373478393"/>
      <w:bookmarkStart w:id="1057" w:name="_Toc389065312"/>
      <w:bookmarkStart w:id="1058" w:name="_Toc351203643"/>
      <w:bookmarkStart w:id="1059" w:name="_Toc1190723452"/>
      <w:bookmarkStart w:id="1060" w:name="_Toc4154"/>
      <w:bookmarkStart w:id="1061" w:name="_Toc29697"/>
      <w:bookmarkStart w:id="1062" w:name="_Toc136736539"/>
      <w:bookmarkStart w:id="1063" w:name="_Toc407135249"/>
      <w:bookmarkStart w:id="1064" w:name="_Toc78449835"/>
      <w:r>
        <w:rPr>
          <w:rFonts w:hint="eastAsia" w:hAnsi="宋体" w:cs="黑体"/>
          <w:color w:val="auto"/>
          <w:highlight w:val="none"/>
        </w:rPr>
        <w:t>价格调整</w:t>
      </w:r>
      <w:bookmarkEnd w:id="1055"/>
      <w:bookmarkEnd w:id="1056"/>
      <w:bookmarkEnd w:id="1057"/>
      <w:bookmarkEnd w:id="1058"/>
      <w:bookmarkEnd w:id="1059"/>
      <w:bookmarkEnd w:id="1060"/>
      <w:bookmarkEnd w:id="1061"/>
      <w:bookmarkEnd w:id="1062"/>
      <w:bookmarkEnd w:id="1063"/>
      <w:bookmarkEnd w:id="1064"/>
    </w:p>
    <w:p w14:paraId="23886996">
      <w:pPr>
        <w:pStyle w:val="5"/>
        <w:rPr>
          <w:color w:val="auto"/>
          <w:highlight w:val="none"/>
        </w:rPr>
      </w:pPr>
      <w:bookmarkStart w:id="1065" w:name="_Toc1501386015"/>
      <w:bookmarkStart w:id="1066" w:name="_Toc407135250"/>
      <w:bookmarkStart w:id="1067" w:name="_Toc42268484"/>
      <w:bookmarkStart w:id="1068" w:name="_Toc16011"/>
      <w:bookmarkStart w:id="1069" w:name="_Toc373478394"/>
      <w:bookmarkStart w:id="1070" w:name="_Toc78449836"/>
      <w:bookmarkStart w:id="1071" w:name="_Toc389065313"/>
      <w:bookmarkStart w:id="1072" w:name="_Toc373227747"/>
      <w:bookmarkStart w:id="1073" w:name="_Toc297216209"/>
      <w:bookmarkStart w:id="1074" w:name="_Toc312678039"/>
      <w:bookmarkStart w:id="1075" w:name="_Toc296503201"/>
      <w:bookmarkStart w:id="1076" w:name="_Toc296346702"/>
      <w:bookmarkStart w:id="1077" w:name="_Toc292559911"/>
      <w:bookmarkStart w:id="1078" w:name="_Toc292559406"/>
      <w:bookmarkStart w:id="1079" w:name="_Toc300935000"/>
      <w:bookmarkStart w:id="1080" w:name="_Toc296347200"/>
      <w:bookmarkStart w:id="1081" w:name="_Toc296891241"/>
      <w:bookmarkStart w:id="1082" w:name="_Toc297048387"/>
      <w:bookmarkStart w:id="1083" w:name="_Toc297120501"/>
      <w:bookmarkStart w:id="1084" w:name="_Toc296944540"/>
      <w:bookmarkStart w:id="1085" w:name="_Toc304295577"/>
      <w:bookmarkStart w:id="1086" w:name="_Toc297123550"/>
      <w:bookmarkStart w:id="1087" w:name="_Toc296891029"/>
      <w:bookmarkStart w:id="1088" w:name="_Toc303539157"/>
      <w:r>
        <w:rPr>
          <w:color w:val="auto"/>
          <w:highlight w:val="none"/>
        </w:rPr>
        <w:t xml:space="preserve">11.1 </w:t>
      </w:r>
      <w:r>
        <w:rPr>
          <w:rFonts w:hint="eastAsia" w:cs="黑体"/>
          <w:color w:val="auto"/>
          <w:highlight w:val="none"/>
        </w:rPr>
        <w:t>市场价格波动引起的调整</w:t>
      </w:r>
      <w:bookmarkEnd w:id="1065"/>
      <w:bookmarkEnd w:id="1066"/>
      <w:bookmarkEnd w:id="1067"/>
      <w:bookmarkEnd w:id="1068"/>
      <w:bookmarkEnd w:id="1069"/>
      <w:bookmarkEnd w:id="1070"/>
      <w:bookmarkEnd w:id="1071"/>
      <w:bookmarkEnd w:id="1072"/>
    </w:p>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p w14:paraId="12980496">
      <w:pPr>
        <w:spacing w:line="360" w:lineRule="auto"/>
        <w:ind w:firstLine="420" w:firstLineChars="200"/>
        <w:jc w:val="left"/>
        <w:rPr>
          <w:color w:val="auto"/>
          <w:highlight w:val="none"/>
        </w:rPr>
      </w:pPr>
      <w:r>
        <w:rPr>
          <w:rFonts w:hint="eastAsia" w:hAnsi="宋体" w:cs="宋体"/>
          <w:color w:val="auto"/>
          <w:kern w:val="0"/>
          <w:highlight w:val="none"/>
        </w:rPr>
        <w:t>市场价格波动是否调整合同价格的约定：</w:t>
      </w:r>
      <w:r>
        <w:rPr>
          <w:rFonts w:hint="eastAsia"/>
          <w:color w:val="auto"/>
          <w:highlight w:val="none"/>
          <w:u w:val="single"/>
        </w:rPr>
        <w:t>非施工单位原因造成的主要材料价差在 5%以内（含 5%）的，由施工单位承担；超过 5%部分的价差，由建设单位承担</w:t>
      </w:r>
      <w:r>
        <w:rPr>
          <w:rFonts w:hint="eastAsia"/>
          <w:color w:val="auto"/>
          <w:highlight w:val="none"/>
          <w:u w:val="single"/>
          <w:lang w:eastAsia="zh-CN"/>
        </w:rPr>
        <w:t>；</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s="宋体"/>
          <w:color w:val="auto"/>
          <w:highlight w:val="none"/>
        </w:rPr>
        <w:t>。</w:t>
      </w:r>
    </w:p>
    <w:p w14:paraId="03BB1DC1">
      <w:pPr>
        <w:spacing w:line="360" w:lineRule="auto"/>
        <w:ind w:firstLine="420" w:firstLineChars="200"/>
        <w:jc w:val="left"/>
        <w:rPr>
          <w:color w:val="auto"/>
          <w:highlight w:val="none"/>
        </w:rPr>
      </w:pPr>
      <w:r>
        <w:rPr>
          <w:rFonts w:hint="eastAsia" w:hAnsi="宋体" w:cs="宋体"/>
          <w:color w:val="auto"/>
          <w:highlight w:val="none"/>
        </w:rPr>
        <w:t>因市场价格波动调整合同价格，采用以下第</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种方式对合同价格进行调整：</w:t>
      </w:r>
    </w:p>
    <w:p w14:paraId="153DC65D">
      <w:pPr>
        <w:spacing w:line="360" w:lineRule="auto"/>
        <w:ind w:firstLine="420" w:firstLineChars="200"/>
        <w:jc w:val="left"/>
        <w:rPr>
          <w:color w:val="auto"/>
          <w:highlight w:val="none"/>
        </w:rPr>
      </w:pPr>
      <w:r>
        <w:rPr>
          <w:rFonts w:hint="eastAsia" w:hAnsi="宋体" w:cs="宋体"/>
          <w:color w:val="auto"/>
          <w:highlight w:val="none"/>
        </w:rPr>
        <w:t>第</w:t>
      </w:r>
      <w:r>
        <w:rPr>
          <w:color w:val="auto"/>
          <w:highlight w:val="none"/>
        </w:rPr>
        <w:t>1</w:t>
      </w:r>
      <w:r>
        <w:rPr>
          <w:rFonts w:hint="eastAsia" w:hAnsi="宋体" w:cs="宋体"/>
          <w:color w:val="auto"/>
          <w:highlight w:val="none"/>
        </w:rPr>
        <w:t>种方式：采用价格指数进行价格调整。</w:t>
      </w:r>
    </w:p>
    <w:p w14:paraId="2188F816">
      <w:pPr>
        <w:spacing w:line="360" w:lineRule="auto"/>
        <w:ind w:firstLine="420" w:firstLineChars="200"/>
        <w:jc w:val="left"/>
        <w:rPr>
          <w:color w:val="auto"/>
          <w:highlight w:val="none"/>
          <w:u w:val="single"/>
        </w:rPr>
      </w:pPr>
      <w:r>
        <w:rPr>
          <w:rFonts w:hint="eastAsia" w:hAnsi="宋体" w:cs="宋体"/>
          <w:color w:val="auto"/>
          <w:highlight w:val="none"/>
        </w:rPr>
        <w:t>关于各可调因子、定值和变值权重，以及基本价格指数及其来源的约定：</w:t>
      </w:r>
      <w:r>
        <w:rPr>
          <w:rFonts w:ascii="宋体" w:hAnsi="宋体" w:eastAsia="宋体" w:cs="宋体"/>
          <w:color w:val="auto"/>
          <w:spacing w:val="0"/>
          <w:highlight w:val="none"/>
          <w:u w:val="single"/>
        </w:rPr>
        <w:t xml:space="preserve">       </w:t>
      </w:r>
      <w:r>
        <w:rPr>
          <w:rFonts w:hint="eastAsia" w:ascii="宋体" w:hAnsi="宋体" w:eastAsia="宋体" w:cs="宋体"/>
          <w:color w:val="auto"/>
          <w:spacing w:val="0"/>
          <w:highlight w:val="none"/>
          <w:u w:val="single"/>
          <w:lang w:val="en-US" w:eastAsia="zh-CN"/>
        </w:rPr>
        <w:t>/</w:t>
      </w:r>
      <w:r>
        <w:rPr>
          <w:rFonts w:ascii="宋体" w:hAnsi="宋体" w:eastAsia="宋体" w:cs="宋体"/>
          <w:color w:val="auto"/>
          <w:spacing w:val="0"/>
          <w:highlight w:val="none"/>
          <w:u w:val="single"/>
        </w:rPr>
        <w:t xml:space="preserve">       </w:t>
      </w:r>
      <w:r>
        <w:rPr>
          <w:rFonts w:hint="eastAsia" w:hAnsi="宋体" w:cs="宋体"/>
          <w:color w:val="auto"/>
          <w:highlight w:val="none"/>
        </w:rPr>
        <w:t>；</w:t>
      </w:r>
      <w:r>
        <w:rPr>
          <w:color w:val="auto"/>
          <w:highlight w:val="none"/>
        </w:rPr>
        <w:t xml:space="preserve">  </w:t>
      </w:r>
    </w:p>
    <w:p w14:paraId="3D38FC19">
      <w:pPr>
        <w:spacing w:line="360" w:lineRule="auto"/>
        <w:ind w:firstLine="420" w:firstLineChars="200"/>
        <w:jc w:val="left"/>
        <w:rPr>
          <w:rFonts w:hAnsi="宋体"/>
          <w:color w:val="auto"/>
          <w:highlight w:val="none"/>
        </w:rPr>
      </w:pPr>
      <w:r>
        <w:rPr>
          <w:rFonts w:hint="eastAsia" w:hAnsi="宋体" w:cs="宋体"/>
          <w:color w:val="auto"/>
          <w:highlight w:val="none"/>
        </w:rPr>
        <w:t>第</w:t>
      </w:r>
      <w:r>
        <w:rPr>
          <w:color w:val="auto"/>
          <w:highlight w:val="none"/>
        </w:rPr>
        <w:t>2</w:t>
      </w:r>
      <w:r>
        <w:rPr>
          <w:rFonts w:hint="eastAsia" w:hAnsi="宋体" w:cs="宋体"/>
          <w:color w:val="auto"/>
          <w:highlight w:val="none"/>
        </w:rPr>
        <w:t>种方式：采用造价信息进行价格调整。</w:t>
      </w:r>
    </w:p>
    <w:p w14:paraId="6D932339">
      <w:pPr>
        <w:spacing w:line="360" w:lineRule="auto"/>
        <w:ind w:firstLine="420" w:firstLineChars="200"/>
        <w:jc w:val="left"/>
        <w:rPr>
          <w:rFonts w:hAnsi="宋体"/>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）允许调整主要材料和</w:t>
      </w:r>
      <w:r>
        <w:rPr>
          <w:rFonts w:hint="default" w:hAnsi="宋体" w:cs="宋体"/>
          <w:color w:val="auto"/>
          <w:highlight w:val="none"/>
          <w:lang w:val="en"/>
        </w:rPr>
        <w:t>工程</w:t>
      </w:r>
      <w:r>
        <w:rPr>
          <w:rFonts w:hint="eastAsia" w:hAnsi="宋体" w:cs="宋体"/>
          <w:color w:val="auto"/>
          <w:highlight w:val="none"/>
        </w:rPr>
        <w:t>设备、基期价格、风险系数、投标报价详见《</w:t>
      </w:r>
      <w:r>
        <w:rPr>
          <w:rFonts w:hint="default" w:hAnsi="宋体" w:cs="宋体"/>
          <w:color w:val="auto"/>
          <w:highlight w:val="none"/>
          <w:lang w:val="en" w:eastAsia="zh-CN"/>
        </w:rPr>
        <w:t>允许调整</w:t>
      </w:r>
      <w:r>
        <w:rPr>
          <w:rFonts w:hint="eastAsia" w:hAnsi="宋体" w:cs="宋体"/>
          <w:color w:val="auto"/>
          <w:highlight w:val="none"/>
        </w:rPr>
        <w:t>主要材料和</w:t>
      </w:r>
      <w:r>
        <w:rPr>
          <w:rFonts w:hint="default" w:hAnsi="宋体" w:cs="宋体"/>
          <w:color w:val="auto"/>
          <w:highlight w:val="none"/>
          <w:lang w:val="en"/>
        </w:rPr>
        <w:t>工程</w:t>
      </w:r>
      <w:r>
        <w:rPr>
          <w:rFonts w:hint="eastAsia" w:hAnsi="宋体" w:cs="宋体"/>
          <w:color w:val="auto"/>
          <w:highlight w:val="none"/>
        </w:rPr>
        <w:t>设备一览表》</w:t>
      </w:r>
      <w:r>
        <w:rPr>
          <w:rFonts w:hint="eastAsia" w:ascii="宋体" w:hAnsi="宋体"/>
          <w:color w:val="auto"/>
          <w:kern w:val="0"/>
          <w:sz w:val="20"/>
          <w:highlight w:val="none"/>
        </w:rPr>
        <w:t>（表</w:t>
      </w:r>
      <w:r>
        <w:rPr>
          <w:rFonts w:ascii="宋体" w:hAnsi="宋体"/>
          <w:color w:val="auto"/>
          <w:kern w:val="0"/>
          <w:sz w:val="20"/>
          <w:highlight w:val="none"/>
        </w:rPr>
        <w:t>-22</w:t>
      </w:r>
      <w:r>
        <w:rPr>
          <w:rFonts w:hint="eastAsia" w:ascii="宋体" w:hAnsi="宋体"/>
          <w:color w:val="auto"/>
          <w:kern w:val="0"/>
          <w:sz w:val="20"/>
          <w:highlight w:val="none"/>
        </w:rPr>
        <w:t>）</w:t>
      </w:r>
      <w:r>
        <w:rPr>
          <w:rFonts w:hint="eastAsia" w:hAnsi="宋体" w:cs="宋体"/>
          <w:color w:val="auto"/>
          <w:highlight w:val="none"/>
        </w:rPr>
        <w:t>,价</w:t>
      </w:r>
      <w:r>
        <w:rPr>
          <w:rFonts w:hAnsi="宋体" w:cs="宋体"/>
          <w:color w:val="auto"/>
          <w:highlight w:val="none"/>
        </w:rPr>
        <w:t>差</w:t>
      </w:r>
      <w:r>
        <w:rPr>
          <w:rFonts w:hint="eastAsia" w:ascii="Calibri" w:hAnsi="宋体" w:cs="宋体"/>
          <w:color w:val="auto"/>
          <w:highlight w:val="none"/>
        </w:rPr>
        <w:t>调整部分仅计算税金，除此表列明的材料、设备外，其余材料设备价差原则上不予调整。</w:t>
      </w:r>
    </w:p>
    <w:p w14:paraId="75D82BA5">
      <w:pPr>
        <w:spacing w:line="360" w:lineRule="auto"/>
        <w:ind w:firstLine="420" w:firstLineChars="200"/>
        <w:jc w:val="left"/>
        <w:rPr>
          <w:rFonts w:hAnsi="宋体"/>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）主要材料和</w:t>
      </w:r>
      <w:r>
        <w:rPr>
          <w:rFonts w:hint="default" w:hAnsi="宋体" w:cs="宋体"/>
          <w:color w:val="auto"/>
          <w:highlight w:val="none"/>
          <w:lang w:val="en"/>
        </w:rPr>
        <w:t>工程</w:t>
      </w:r>
      <w:r>
        <w:rPr>
          <w:rFonts w:hint="eastAsia" w:hAnsi="宋体" w:cs="宋体"/>
          <w:color w:val="auto"/>
          <w:highlight w:val="none"/>
        </w:rPr>
        <w:t>设备确认价：</w:t>
      </w:r>
    </w:p>
    <w:p w14:paraId="13E3232D">
      <w:pPr>
        <w:spacing w:line="360" w:lineRule="auto"/>
        <w:ind w:firstLine="420" w:firstLineChars="200"/>
        <w:jc w:val="left"/>
        <w:rPr>
          <w:color w:val="auto"/>
          <w:highlight w:val="none"/>
        </w:rPr>
      </w:pPr>
      <w:r>
        <w:rPr>
          <w:rFonts w:hint="eastAsia" w:hAnsi="宋体" w:cs="宋体"/>
          <w:color w:val="auto"/>
          <w:highlight w:val="none"/>
        </w:rPr>
        <w:t>按施工期间《</w:t>
      </w:r>
      <w:r>
        <w:rPr>
          <w:color w:val="auto"/>
          <w:highlight w:val="none"/>
          <w:u w:val="single"/>
        </w:rPr>
        <w:t xml:space="preserve"> </w:t>
      </w:r>
      <w:r>
        <w:rPr>
          <w:rFonts w:hint="eastAsia"/>
          <w:color w:val="auto"/>
          <w:highlight w:val="none"/>
          <w:u w:val="single"/>
          <w:lang w:val="en-US" w:eastAsia="zh-CN"/>
        </w:rPr>
        <w:t>南宁</w:t>
      </w:r>
      <w:r>
        <w:rPr>
          <w:color w:val="auto"/>
          <w:highlight w:val="none"/>
          <w:u w:val="single"/>
        </w:rPr>
        <w:t xml:space="preserve"> </w:t>
      </w:r>
      <w:r>
        <w:rPr>
          <w:rFonts w:hint="eastAsia" w:hAnsi="宋体" w:cs="宋体"/>
          <w:color w:val="auto"/>
          <w:highlight w:val="none"/>
        </w:rPr>
        <w:t>市建设工程造价信息》材料信息价的加权平均价计算，信息价没有的按通用条款规定确定。</w:t>
      </w:r>
    </w:p>
    <w:p w14:paraId="1F4D1115">
      <w:pPr>
        <w:spacing w:line="360" w:lineRule="auto"/>
        <w:ind w:firstLine="420" w:firstLineChars="200"/>
        <w:jc w:val="left"/>
        <w:rPr>
          <w:rFonts w:hAnsi="宋体"/>
          <w:color w:val="auto"/>
          <w:highlight w:val="none"/>
        </w:rPr>
      </w:pPr>
      <w:r>
        <w:rPr>
          <w:rFonts w:hint="eastAsia" w:hAnsi="宋体" w:cs="宋体"/>
          <w:color w:val="auto"/>
          <w:highlight w:val="none"/>
        </w:rPr>
        <w:t>（</w:t>
      </w:r>
      <w:r>
        <w:rPr>
          <w:color w:val="auto"/>
          <w:highlight w:val="none"/>
        </w:rPr>
        <w:t>3</w:t>
      </w:r>
      <w:r>
        <w:rPr>
          <w:rFonts w:hint="eastAsia" w:hAnsi="宋体" w:cs="宋体"/>
          <w:color w:val="auto"/>
          <w:highlight w:val="none"/>
        </w:rPr>
        <w:t>）价差计算方法：</w:t>
      </w:r>
    </w:p>
    <w:p w14:paraId="2148BEFE">
      <w:pPr>
        <w:spacing w:line="360" w:lineRule="auto"/>
        <w:ind w:firstLine="420" w:firstLineChars="200"/>
        <w:jc w:val="left"/>
        <w:rPr>
          <w:rFonts w:hAnsi="宋体"/>
          <w:color w:val="auto"/>
          <w:highlight w:val="none"/>
        </w:rPr>
      </w:pPr>
      <w:r>
        <w:rPr>
          <w:rFonts w:hint="eastAsia" w:hAnsi="宋体" w:cs="宋体"/>
          <w:color w:val="auto"/>
          <w:highlight w:val="none"/>
        </w:rPr>
        <w:t>①《</w:t>
      </w:r>
      <w:r>
        <w:rPr>
          <w:rFonts w:hint="default" w:hAnsi="宋体" w:cs="宋体"/>
          <w:color w:val="auto"/>
          <w:highlight w:val="none"/>
          <w:lang w:val="en" w:eastAsia="zh-CN"/>
        </w:rPr>
        <w:t>允许调整</w:t>
      </w:r>
      <w:r>
        <w:rPr>
          <w:rFonts w:hint="eastAsia" w:hAnsi="宋体" w:cs="宋体"/>
          <w:color w:val="auto"/>
          <w:highlight w:val="none"/>
        </w:rPr>
        <w:t>主要材料和</w:t>
      </w:r>
      <w:r>
        <w:rPr>
          <w:rFonts w:hint="eastAsia" w:hAnsi="宋体" w:cs="宋体"/>
          <w:color w:val="auto"/>
          <w:highlight w:val="none"/>
          <w:lang w:eastAsia="zh-CN"/>
        </w:rPr>
        <w:t>工程</w:t>
      </w:r>
      <w:r>
        <w:rPr>
          <w:rFonts w:hint="eastAsia" w:hAnsi="宋体" w:cs="宋体"/>
          <w:color w:val="auto"/>
          <w:highlight w:val="none"/>
        </w:rPr>
        <w:t>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73B1E71D">
      <w:pPr>
        <w:spacing w:line="360" w:lineRule="auto"/>
        <w:ind w:firstLine="420" w:firstLineChars="200"/>
        <w:jc w:val="left"/>
        <w:rPr>
          <w:rFonts w:hAnsi="宋体"/>
          <w:color w:val="auto"/>
          <w:highlight w:val="none"/>
        </w:rPr>
      </w:pPr>
      <w:r>
        <w:rPr>
          <w:rFonts w:hint="eastAsia" w:hAnsi="宋体" w:cs="宋体"/>
          <w:color w:val="auto"/>
          <w:highlight w:val="none"/>
        </w:rPr>
        <w:t>②承包人在《</w:t>
      </w:r>
      <w:r>
        <w:rPr>
          <w:rFonts w:hint="default" w:hAnsi="宋体" w:cs="宋体"/>
          <w:color w:val="auto"/>
          <w:highlight w:val="none"/>
          <w:lang w:val="en" w:eastAsia="zh-CN"/>
        </w:rPr>
        <w:t>允许调整</w:t>
      </w:r>
      <w:r>
        <w:rPr>
          <w:rFonts w:hint="eastAsia" w:hAnsi="宋体" w:cs="宋体"/>
          <w:color w:val="auto"/>
          <w:highlight w:val="none"/>
        </w:rPr>
        <w:t>主要材料和</w:t>
      </w:r>
      <w:r>
        <w:rPr>
          <w:rFonts w:hint="eastAsia" w:hAnsi="宋体" w:cs="宋体"/>
          <w:color w:val="auto"/>
          <w:highlight w:val="none"/>
          <w:lang w:eastAsia="zh-CN"/>
        </w:rPr>
        <w:t>工程</w:t>
      </w:r>
      <w:r>
        <w:rPr>
          <w:rFonts w:hint="eastAsia" w:hAnsi="宋体" w:cs="宋体"/>
          <w:color w:val="auto"/>
          <w:highlight w:val="none"/>
        </w:rPr>
        <w:t>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536B9BB3">
      <w:pPr>
        <w:spacing w:line="360" w:lineRule="auto"/>
        <w:ind w:firstLine="420" w:firstLineChars="200"/>
        <w:jc w:val="left"/>
        <w:rPr>
          <w:color w:val="auto"/>
          <w:highlight w:val="none"/>
        </w:rPr>
      </w:pPr>
      <w:r>
        <w:rPr>
          <w:rFonts w:hint="eastAsia" w:hAnsi="宋体" w:cs="宋体"/>
          <w:color w:val="auto"/>
          <w:highlight w:val="none"/>
        </w:rPr>
        <w:t>③承包人在《</w:t>
      </w:r>
      <w:r>
        <w:rPr>
          <w:rFonts w:hint="default" w:hAnsi="宋体" w:cs="宋体"/>
          <w:color w:val="auto"/>
          <w:highlight w:val="none"/>
          <w:lang w:val="en" w:eastAsia="zh-CN"/>
        </w:rPr>
        <w:t>允许调整</w:t>
      </w:r>
      <w:r>
        <w:rPr>
          <w:rFonts w:hint="eastAsia" w:hAnsi="宋体" w:cs="宋体"/>
          <w:color w:val="auto"/>
          <w:highlight w:val="none"/>
        </w:rPr>
        <w:t>主要材料和</w:t>
      </w:r>
      <w:r>
        <w:rPr>
          <w:rFonts w:hint="eastAsia" w:hAnsi="宋体" w:cs="宋体"/>
          <w:color w:val="auto"/>
          <w:highlight w:val="none"/>
          <w:lang w:eastAsia="zh-CN"/>
        </w:rPr>
        <w:t>工程</w:t>
      </w:r>
      <w:r>
        <w:rPr>
          <w:rFonts w:hint="eastAsia" w:hAnsi="宋体" w:cs="宋体"/>
          <w:color w:val="auto"/>
          <w:highlight w:val="none"/>
        </w:rPr>
        <w:t>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00ACBEC6">
      <w:pPr>
        <w:spacing w:line="360" w:lineRule="auto"/>
        <w:ind w:firstLine="645"/>
        <w:jc w:val="left"/>
        <w:rPr>
          <w:color w:val="auto"/>
          <w:highlight w:val="none"/>
        </w:rPr>
      </w:pPr>
      <w:r>
        <w:rPr>
          <w:rFonts w:hint="eastAsia" w:hAnsi="宋体" w:cs="宋体"/>
          <w:color w:val="auto"/>
          <w:highlight w:val="none"/>
        </w:rPr>
        <w:t>第</w:t>
      </w:r>
      <w:r>
        <w:rPr>
          <w:rFonts w:hAnsi="宋体"/>
          <w:color w:val="auto"/>
          <w:highlight w:val="none"/>
        </w:rPr>
        <w:t>3</w:t>
      </w:r>
      <w:r>
        <w:rPr>
          <w:rFonts w:hint="eastAsia" w:hAnsi="宋体" w:cs="宋体"/>
          <w:color w:val="auto"/>
          <w:highlight w:val="none"/>
        </w:rPr>
        <w:t>种方式：</w:t>
      </w:r>
      <w:r>
        <w:rPr>
          <w:rFonts w:ascii="Calibri" w:hAnsi="Calibri" w:eastAsia="Calibri" w:cs="Calibri"/>
          <w:color w:val="auto"/>
          <w:spacing w:val="0"/>
          <w:highlight w:val="none"/>
          <w:u w:val="single"/>
        </w:rPr>
        <w:t xml:space="preserve">        /        </w:t>
      </w:r>
      <w:r>
        <w:rPr>
          <w:rFonts w:hint="eastAsia" w:cs="宋体"/>
          <w:color w:val="auto"/>
          <w:highlight w:val="none"/>
        </w:rPr>
        <w:t>。</w:t>
      </w:r>
    </w:p>
    <w:bookmarkEnd w:id="910"/>
    <w:bookmarkEnd w:id="911"/>
    <w:bookmarkEnd w:id="912"/>
    <w:bookmarkEnd w:id="913"/>
    <w:bookmarkEnd w:id="914"/>
    <w:bookmarkEnd w:id="915"/>
    <w:p w14:paraId="2F2740D6">
      <w:pPr>
        <w:pStyle w:val="4"/>
        <w:rPr>
          <w:color w:val="auto"/>
          <w:highlight w:val="none"/>
        </w:rPr>
      </w:pPr>
      <w:bookmarkStart w:id="1089" w:name="_Toc292559915"/>
      <w:bookmarkStart w:id="1090" w:name="_Toc296347204"/>
      <w:bookmarkStart w:id="1091" w:name="_Toc296503205"/>
      <w:bookmarkStart w:id="1092" w:name="_Toc292559410"/>
      <w:bookmarkStart w:id="1093" w:name="_Toc296891245"/>
      <w:bookmarkStart w:id="1094" w:name="_Toc296346706"/>
      <w:bookmarkStart w:id="1095" w:name="_Toc297120505"/>
      <w:bookmarkStart w:id="1096" w:name="_Toc296891033"/>
      <w:bookmarkStart w:id="1097" w:name="_Toc297048391"/>
      <w:bookmarkStart w:id="1098" w:name="_Toc296944544"/>
      <w:bookmarkStart w:id="1099" w:name="_Toc407135251"/>
      <w:bookmarkStart w:id="1100" w:name="_Toc15935"/>
      <w:bookmarkStart w:id="1101" w:name="_Toc373478395"/>
      <w:bookmarkStart w:id="1102" w:name="_Toc23872"/>
      <w:bookmarkStart w:id="1103" w:name="_Toc1935657796"/>
      <w:bookmarkStart w:id="1104" w:name="_Toc78449837"/>
      <w:bookmarkStart w:id="1105" w:name="_Toc373227748"/>
      <w:bookmarkStart w:id="1106" w:name="_Toc1720046426"/>
      <w:bookmarkStart w:id="1107" w:name="_Toc351203644"/>
      <w:bookmarkStart w:id="1108" w:name="_Toc300935002"/>
      <w:bookmarkStart w:id="1109" w:name="_Toc304295579"/>
      <w:bookmarkStart w:id="1110" w:name="_Toc297123552"/>
      <w:bookmarkStart w:id="1111" w:name="_Toc297216211"/>
      <w:bookmarkStart w:id="1112" w:name="_Toc303539159"/>
      <w:bookmarkStart w:id="1113" w:name="_Toc312678040"/>
      <w:r>
        <w:rPr>
          <w:color w:val="auto"/>
          <w:highlight w:val="none"/>
        </w:rPr>
        <w:t xml:space="preserve">12. </w:t>
      </w:r>
      <w:bookmarkEnd w:id="1089"/>
      <w:bookmarkEnd w:id="1090"/>
      <w:bookmarkEnd w:id="1091"/>
      <w:bookmarkEnd w:id="1092"/>
      <w:bookmarkEnd w:id="1093"/>
      <w:bookmarkEnd w:id="1094"/>
      <w:bookmarkEnd w:id="1095"/>
      <w:bookmarkEnd w:id="1096"/>
      <w:bookmarkEnd w:id="1097"/>
      <w:bookmarkEnd w:id="1098"/>
      <w:r>
        <w:rPr>
          <w:rFonts w:hint="eastAsia" w:cs="黑体"/>
          <w:color w:val="auto"/>
          <w:highlight w:val="none"/>
        </w:rPr>
        <w:t>合同价格、计量与支付</w:t>
      </w:r>
      <w:bookmarkEnd w:id="1099"/>
      <w:bookmarkEnd w:id="1100"/>
      <w:bookmarkEnd w:id="1101"/>
      <w:bookmarkEnd w:id="1102"/>
      <w:bookmarkEnd w:id="1103"/>
      <w:bookmarkEnd w:id="1104"/>
      <w:bookmarkEnd w:id="1105"/>
      <w:bookmarkEnd w:id="1106"/>
      <w:bookmarkEnd w:id="1107"/>
    </w:p>
    <w:bookmarkEnd w:id="1108"/>
    <w:bookmarkEnd w:id="1109"/>
    <w:bookmarkEnd w:id="1110"/>
    <w:bookmarkEnd w:id="1111"/>
    <w:bookmarkEnd w:id="1112"/>
    <w:bookmarkEnd w:id="1113"/>
    <w:p w14:paraId="5E8AFE56">
      <w:pPr>
        <w:pStyle w:val="5"/>
        <w:rPr>
          <w:color w:val="auto"/>
          <w:highlight w:val="none"/>
        </w:rPr>
      </w:pPr>
      <w:bookmarkStart w:id="1114" w:name="_Toc267251461"/>
      <w:bookmarkStart w:id="1115" w:name="_Toc292559411"/>
      <w:bookmarkStart w:id="1116" w:name="_Toc292559916"/>
      <w:bookmarkStart w:id="1117" w:name="_Toc296346707"/>
      <w:bookmarkStart w:id="1118" w:name="_Toc296944545"/>
      <w:bookmarkStart w:id="1119" w:name="_Toc296891034"/>
      <w:bookmarkStart w:id="1120" w:name="_Toc296347205"/>
      <w:bookmarkStart w:id="1121" w:name="_Toc296503206"/>
      <w:bookmarkStart w:id="1122" w:name="_Toc297120506"/>
      <w:bookmarkStart w:id="1123" w:name="_Toc296891246"/>
      <w:bookmarkStart w:id="1124" w:name="_Toc297048392"/>
      <w:bookmarkStart w:id="1125" w:name="_Toc24925"/>
      <w:bookmarkStart w:id="1126" w:name="_Toc78449838"/>
      <w:bookmarkStart w:id="1127" w:name="_Toc407135252"/>
      <w:bookmarkStart w:id="1128" w:name="_Toc1395756356"/>
      <w:bookmarkStart w:id="1129" w:name="_Toc373227749"/>
      <w:bookmarkStart w:id="1130" w:name="_Toc389065314"/>
      <w:bookmarkStart w:id="1131" w:name="_Toc1894565429"/>
      <w:bookmarkStart w:id="1132" w:name="_Toc373478396"/>
      <w:bookmarkStart w:id="1133" w:name="_Toc304295580"/>
      <w:bookmarkStart w:id="1134" w:name="_Toc297123553"/>
      <w:bookmarkStart w:id="1135" w:name="_Toc312678041"/>
      <w:bookmarkStart w:id="1136" w:name="_Toc303539160"/>
      <w:bookmarkStart w:id="1137" w:name="_Toc300935003"/>
      <w:bookmarkStart w:id="1138" w:name="_Toc297216212"/>
      <w:r>
        <w:rPr>
          <w:color w:val="auto"/>
          <w:highlight w:val="none"/>
        </w:rPr>
        <w:t xml:space="preserve">12.1 </w:t>
      </w:r>
      <w:r>
        <w:rPr>
          <w:rFonts w:hint="eastAsia" w:hAnsi="宋体" w:cs="黑体"/>
          <w:color w:val="auto"/>
          <w:highlight w:val="none"/>
        </w:rPr>
        <w:t>合</w:t>
      </w:r>
      <w:bookmarkEnd w:id="1114"/>
      <w:bookmarkEnd w:id="1115"/>
      <w:bookmarkEnd w:id="1116"/>
      <w:r>
        <w:rPr>
          <w:rFonts w:hint="eastAsia" w:hAnsi="宋体" w:cs="黑体"/>
          <w:color w:val="auto"/>
          <w:highlight w:val="none"/>
        </w:rPr>
        <w:t>同价</w:t>
      </w:r>
      <w:bookmarkEnd w:id="1117"/>
      <w:bookmarkEnd w:id="1118"/>
      <w:bookmarkEnd w:id="1119"/>
      <w:bookmarkEnd w:id="1120"/>
      <w:bookmarkEnd w:id="1121"/>
      <w:bookmarkEnd w:id="1122"/>
      <w:bookmarkEnd w:id="1123"/>
      <w:bookmarkEnd w:id="1124"/>
      <w:r>
        <w:rPr>
          <w:rFonts w:hint="eastAsia" w:hAnsi="宋体" w:cs="黑体"/>
          <w:color w:val="auto"/>
          <w:highlight w:val="none"/>
        </w:rPr>
        <w:t>格形式</w:t>
      </w:r>
      <w:bookmarkEnd w:id="1125"/>
      <w:bookmarkEnd w:id="1126"/>
      <w:bookmarkEnd w:id="1127"/>
      <w:bookmarkEnd w:id="1128"/>
      <w:bookmarkEnd w:id="1129"/>
      <w:bookmarkEnd w:id="1130"/>
      <w:bookmarkEnd w:id="1131"/>
      <w:bookmarkEnd w:id="1132"/>
    </w:p>
    <w:bookmarkEnd w:id="1133"/>
    <w:bookmarkEnd w:id="1134"/>
    <w:bookmarkEnd w:id="1135"/>
    <w:bookmarkEnd w:id="1136"/>
    <w:bookmarkEnd w:id="1137"/>
    <w:bookmarkEnd w:id="1138"/>
    <w:p w14:paraId="5652E6B5">
      <w:pPr>
        <w:spacing w:line="360" w:lineRule="auto"/>
        <w:ind w:firstLine="420" w:firstLineChars="200"/>
        <w:jc w:val="left"/>
        <w:rPr>
          <w:rFonts w:hAnsi="宋体"/>
          <w:color w:val="auto"/>
          <w:highlight w:val="none"/>
        </w:rPr>
      </w:pPr>
      <w:bookmarkStart w:id="1139" w:name="_Toc373478397"/>
      <w:bookmarkStart w:id="1140" w:name="_Toc373227750"/>
      <w:bookmarkStart w:id="1141" w:name="_Toc389065315"/>
      <w:bookmarkStart w:id="1142" w:name="_Toc304295581"/>
      <w:bookmarkStart w:id="1143" w:name="_Toc300935004"/>
      <w:bookmarkStart w:id="1144" w:name="_Toc312678042"/>
      <w:bookmarkStart w:id="1145" w:name="_Toc303539161"/>
      <w:bookmarkStart w:id="1146" w:name="_Toc297216213"/>
      <w:bookmarkStart w:id="1147" w:name="_Toc297123554"/>
      <w:bookmarkStart w:id="1148" w:name="_Toc296944546"/>
      <w:bookmarkStart w:id="1149" w:name="_Toc297048393"/>
      <w:bookmarkStart w:id="1150" w:name="_Toc296347206"/>
      <w:bookmarkStart w:id="1151" w:name="_Toc296891247"/>
      <w:bookmarkStart w:id="1152" w:name="_Toc296346708"/>
      <w:bookmarkStart w:id="1153" w:name="_Toc292559917"/>
      <w:bookmarkStart w:id="1154" w:name="_Toc292559412"/>
      <w:bookmarkStart w:id="1155" w:name="_Toc296503207"/>
      <w:bookmarkStart w:id="1156" w:name="_Toc297120507"/>
      <w:bookmarkStart w:id="1157" w:name="_Toc296891035"/>
      <w:r>
        <w:rPr>
          <w:rFonts w:hint="eastAsia" w:hAnsi="宋体" w:cs="宋体"/>
          <w:color w:val="auto"/>
          <w:highlight w:val="none"/>
        </w:rPr>
        <w:t>本工程采用</w:t>
      </w:r>
      <w:r>
        <w:rPr>
          <w:rFonts w:hAnsi="宋体"/>
          <w:color w:val="auto"/>
          <w:highlight w:val="none"/>
          <w:u w:val="single"/>
        </w:rPr>
        <w:t xml:space="preserve"> </w:t>
      </w:r>
      <w:r>
        <w:rPr>
          <w:rFonts w:hint="eastAsia" w:hAnsi="宋体"/>
          <w:color w:val="auto"/>
          <w:highlight w:val="none"/>
          <w:u w:val="single"/>
        </w:rPr>
        <w:t>固定综合单价方式</w:t>
      </w:r>
      <w:r>
        <w:rPr>
          <w:rFonts w:hAnsi="宋体"/>
          <w:color w:val="auto"/>
          <w:highlight w:val="none"/>
          <w:u w:val="single"/>
        </w:rPr>
        <w:t xml:space="preserve"> </w:t>
      </w:r>
      <w:r>
        <w:rPr>
          <w:rFonts w:hint="eastAsia" w:hAnsi="宋体" w:cs="宋体"/>
          <w:color w:val="auto"/>
          <w:highlight w:val="none"/>
        </w:rPr>
        <w:t>合同价格形式，合同价格包含增值税，本工程计价时采用的增值税计税方法为：</w:t>
      </w:r>
      <w:r>
        <w:rPr>
          <w:rFonts w:hint="eastAsia" w:ascii="宋体" w:hAnsi="宋体" w:cs="宋体"/>
          <w:color w:val="auto"/>
          <w:highlight w:val="none"/>
          <w:lang w:eastAsia="zh-CN"/>
        </w:rPr>
        <w:t>☑</w:t>
      </w:r>
      <w:r>
        <w:rPr>
          <w:rFonts w:hint="eastAsia" w:hAnsi="宋体" w:cs="宋体"/>
          <w:color w:val="auto"/>
          <w:highlight w:val="none"/>
        </w:rPr>
        <w:t xml:space="preserve">一般计税法   </w:t>
      </w:r>
      <w:r>
        <w:rPr>
          <w:rFonts w:hint="eastAsia" w:ascii="宋体" w:hAnsi="宋体" w:cs="宋体"/>
          <w:color w:val="auto"/>
          <w:highlight w:val="none"/>
        </w:rPr>
        <w:t>□</w:t>
      </w:r>
      <w:r>
        <w:rPr>
          <w:rFonts w:hint="eastAsia" w:hAnsi="宋体" w:cs="宋体"/>
          <w:color w:val="auto"/>
          <w:highlight w:val="none"/>
        </w:rPr>
        <w:t>简易计税法。</w:t>
      </w:r>
    </w:p>
    <w:p w14:paraId="437C14F3">
      <w:pPr>
        <w:spacing w:line="360" w:lineRule="auto"/>
        <w:ind w:firstLine="420" w:firstLineChars="200"/>
        <w:jc w:val="left"/>
        <w:rPr>
          <w:rFonts w:hAnsi="宋体"/>
          <w:color w:val="auto"/>
          <w:highlight w:val="none"/>
        </w:rPr>
      </w:pPr>
      <w:r>
        <w:rPr>
          <w:rFonts w:hint="eastAsia" w:hAnsi="宋体" w:cs="宋体"/>
          <w:color w:val="auto"/>
          <w:highlight w:val="none"/>
        </w:rPr>
        <w:t>（</w:t>
      </w:r>
      <w:r>
        <w:rPr>
          <w:rFonts w:hAnsi="宋体"/>
          <w:color w:val="auto"/>
          <w:highlight w:val="none"/>
        </w:rPr>
        <w:t>1</w:t>
      </w:r>
      <w:r>
        <w:rPr>
          <w:rFonts w:hint="eastAsia" w:hAnsi="宋体" w:cs="宋体"/>
          <w:color w:val="auto"/>
          <w:highlight w:val="none"/>
        </w:rPr>
        <w:t>）单价合同。</w:t>
      </w:r>
    </w:p>
    <w:p w14:paraId="41F3A6B7">
      <w:pPr>
        <w:spacing w:line="360" w:lineRule="auto"/>
        <w:ind w:firstLine="420" w:firstLineChars="200"/>
        <w:jc w:val="left"/>
        <w:rPr>
          <w:rFonts w:hAnsi="宋体"/>
          <w:color w:val="auto"/>
          <w:highlight w:val="none"/>
        </w:rPr>
      </w:pPr>
      <w:r>
        <w:rPr>
          <w:rFonts w:hint="eastAsia" w:hAnsi="宋体" w:cs="宋体"/>
          <w:color w:val="auto"/>
          <w:highlight w:val="none"/>
        </w:rPr>
        <w:t>采用综合单价合同方式时，工程量按建设单位、监理单位、施工单位三方确认的竣工图结算。</w:t>
      </w:r>
    </w:p>
    <w:p w14:paraId="6B51D63A">
      <w:pPr>
        <w:spacing w:line="360" w:lineRule="auto"/>
        <w:ind w:firstLine="420" w:firstLineChars="200"/>
        <w:jc w:val="left"/>
        <w:rPr>
          <w:rFonts w:hAnsi="宋体"/>
          <w:color w:val="auto"/>
          <w:highlight w:val="none"/>
        </w:rPr>
      </w:pPr>
      <w:r>
        <w:rPr>
          <w:rFonts w:hint="eastAsia" w:hAnsi="宋体" w:cs="宋体"/>
          <w:color w:val="auto"/>
          <w:highlight w:val="none"/>
        </w:rPr>
        <w:t>综合单价包含的风险范围：</w:t>
      </w:r>
      <w:r>
        <w:rPr>
          <w:rFonts w:hint="eastAsia" w:hAnsi="宋体" w:cs="宋体"/>
          <w:color w:val="auto"/>
          <w:highlight w:val="none"/>
          <w:u w:val="single"/>
        </w:rPr>
        <w:t>除工程变更、项目特征不符、工程量清单缺项、工程量偏差、政策性调整、市场价格波动。</w:t>
      </w:r>
    </w:p>
    <w:p w14:paraId="672FC2ED">
      <w:pPr>
        <w:spacing w:line="360" w:lineRule="auto"/>
        <w:ind w:firstLine="420" w:firstLineChars="200"/>
        <w:jc w:val="left"/>
        <w:rPr>
          <w:rFonts w:hAnsi="宋体" w:cs="宋体"/>
          <w:color w:val="auto"/>
          <w:highlight w:val="none"/>
        </w:rPr>
      </w:pPr>
      <w:r>
        <w:rPr>
          <w:rFonts w:hint="eastAsia" w:hAnsi="宋体" w:cs="宋体"/>
          <w:color w:val="auto"/>
          <w:highlight w:val="none"/>
        </w:rPr>
        <w:t>风险范围以外合同价格的调整方法：</w:t>
      </w:r>
    </w:p>
    <w:p w14:paraId="545E7E70">
      <w:pPr>
        <w:spacing w:line="360" w:lineRule="auto"/>
        <w:ind w:firstLine="420" w:firstLineChars="200"/>
        <w:jc w:val="left"/>
        <w:rPr>
          <w:rFonts w:hint="eastAsia" w:hAnsi="宋体" w:cs="宋体"/>
          <w:color w:val="auto"/>
          <w:highlight w:val="none"/>
        </w:rPr>
      </w:pPr>
      <w:r>
        <w:rPr>
          <w:rFonts w:hint="eastAsia" w:hAnsi="宋体" w:cs="宋体"/>
          <w:color w:val="auto"/>
          <w:highlight w:val="none"/>
        </w:rPr>
        <w:t>①工程变更</w:t>
      </w:r>
      <w:r>
        <w:rPr>
          <w:rFonts w:hint="eastAsia" w:ascii="Calibri" w:hAnsi="宋体" w:cs="宋体"/>
          <w:color w:val="auto"/>
          <w:highlight w:val="none"/>
        </w:rPr>
        <w:t>、项目特征不符、工程量清单缺项</w:t>
      </w:r>
      <w:r>
        <w:rPr>
          <w:rFonts w:hint="eastAsia" w:hAnsi="宋体" w:cs="宋体"/>
          <w:color w:val="auto"/>
          <w:highlight w:val="none"/>
        </w:rPr>
        <w:t>：按</w:t>
      </w:r>
      <w:r>
        <w:rPr>
          <w:rFonts w:hAnsi="宋体" w:cs="宋体"/>
          <w:color w:val="auto"/>
          <w:highlight w:val="none"/>
        </w:rPr>
        <w:t>10.4.1</w:t>
      </w:r>
      <w:r>
        <w:rPr>
          <w:rFonts w:hint="eastAsia" w:hAnsi="宋体" w:cs="宋体"/>
          <w:color w:val="auto"/>
          <w:highlight w:val="none"/>
        </w:rPr>
        <w:t>变更估价原则的约定调整。</w:t>
      </w:r>
    </w:p>
    <w:p w14:paraId="02E31B08">
      <w:pPr>
        <w:spacing w:line="360" w:lineRule="auto"/>
        <w:ind w:firstLine="420" w:firstLineChars="200"/>
        <w:jc w:val="left"/>
        <w:rPr>
          <w:rFonts w:hint="eastAsia" w:hAnsi="宋体" w:cs="宋体"/>
          <w:color w:val="auto"/>
          <w:highlight w:val="none"/>
        </w:rPr>
      </w:pPr>
      <w:r>
        <w:rPr>
          <w:rFonts w:hint="eastAsia" w:hAnsi="宋体" w:cs="宋体"/>
          <w:color w:val="auto"/>
          <w:highlight w:val="none"/>
        </w:rPr>
        <w:t>②</w:t>
      </w:r>
      <w:r>
        <w:rPr>
          <w:rFonts w:hint="eastAsia" w:ascii="Calibri" w:hAnsi="宋体" w:cs="宋体"/>
          <w:color w:val="auto"/>
          <w:highlight w:val="none"/>
        </w:rPr>
        <w:t>工程量偏差：按1.13工程量清单错误修正的约定调整。</w:t>
      </w:r>
    </w:p>
    <w:p w14:paraId="02204986">
      <w:pPr>
        <w:spacing w:line="360" w:lineRule="auto"/>
        <w:ind w:firstLine="420" w:firstLineChars="200"/>
        <w:jc w:val="left"/>
        <w:rPr>
          <w:rFonts w:hAnsi="宋体" w:cs="宋体"/>
          <w:color w:val="auto"/>
          <w:highlight w:val="none"/>
        </w:rPr>
      </w:pPr>
      <w:r>
        <w:rPr>
          <w:rFonts w:hint="eastAsia" w:hAnsi="宋体" w:cs="宋体"/>
          <w:color w:val="auto"/>
          <w:highlight w:val="none"/>
        </w:rPr>
        <w:t>③政策性调整：</w:t>
      </w:r>
      <w:r>
        <w:rPr>
          <w:rFonts w:hint="eastAsia" w:ascii="仿宋_GB2312" w:hAnsi="宋体"/>
          <w:color w:val="auto"/>
          <w:highlight w:val="none"/>
        </w:rPr>
        <w:t>按国家、自治区住房城乡建设厅或工程所在地</w:t>
      </w:r>
      <w:r>
        <w:rPr>
          <w:rFonts w:hint="eastAsia" w:ascii="仿宋_GB2312" w:hAnsi="宋体" w:eastAsia="宋体"/>
          <w:color w:val="auto"/>
          <w:sz w:val="21"/>
          <w:szCs w:val="21"/>
          <w:highlight w:val="none"/>
        </w:rPr>
        <w:t>市级</w:t>
      </w:r>
      <w:r>
        <w:rPr>
          <w:rFonts w:hint="eastAsia" w:ascii="仿宋_GB2312" w:hAnsi="宋体"/>
          <w:color w:val="auto"/>
          <w:highlight w:val="none"/>
        </w:rPr>
        <w:t>住房城乡建设主管部门颁布的文件执行</w:t>
      </w:r>
      <w:r>
        <w:rPr>
          <w:rFonts w:hint="eastAsia" w:hAnsi="宋体" w:cs="宋体"/>
          <w:color w:val="auto"/>
          <w:highlight w:val="none"/>
        </w:rPr>
        <w:t>。</w:t>
      </w:r>
    </w:p>
    <w:p w14:paraId="3305A100">
      <w:pPr>
        <w:spacing w:line="360" w:lineRule="auto"/>
        <w:ind w:firstLine="420" w:firstLineChars="200"/>
        <w:jc w:val="left"/>
        <w:rPr>
          <w:rFonts w:hAnsi="宋体" w:cs="宋体"/>
          <w:color w:val="auto"/>
          <w:highlight w:val="none"/>
        </w:rPr>
      </w:pPr>
      <w:r>
        <w:rPr>
          <w:rFonts w:hint="eastAsia" w:hAnsi="宋体" w:cs="宋体"/>
          <w:color w:val="auto"/>
          <w:highlight w:val="none"/>
        </w:rPr>
        <w:t>④市场波动引起的调整：按</w:t>
      </w:r>
      <w:r>
        <w:rPr>
          <w:rFonts w:hAnsi="宋体" w:cs="宋体"/>
          <w:color w:val="auto"/>
          <w:highlight w:val="none"/>
        </w:rPr>
        <w:t>11.1</w:t>
      </w:r>
      <w:r>
        <w:rPr>
          <w:rFonts w:hint="eastAsia" w:hAnsi="宋体" w:cs="宋体"/>
          <w:color w:val="auto"/>
          <w:highlight w:val="none"/>
        </w:rPr>
        <w:t>的约定调整。</w:t>
      </w:r>
    </w:p>
    <w:p w14:paraId="00085D52">
      <w:pPr>
        <w:spacing w:line="360" w:lineRule="auto"/>
        <w:ind w:firstLine="420" w:firstLineChars="200"/>
        <w:jc w:val="left"/>
        <w:rPr>
          <w:rFonts w:hAnsi="宋体"/>
          <w:color w:val="auto"/>
          <w:highlight w:val="none"/>
        </w:rPr>
      </w:pPr>
      <w:r>
        <w:rPr>
          <w:rFonts w:hint="eastAsia" w:hAnsi="宋体" w:cs="宋体"/>
          <w:color w:val="auto"/>
          <w:highlight w:val="none"/>
        </w:rPr>
        <w:t>⑤其它：</w:t>
      </w:r>
      <w:r>
        <w:rPr>
          <w:rFonts w:ascii="宋体" w:hAnsi="宋体" w:eastAsia="宋体" w:cs="宋体"/>
          <w:color w:val="auto"/>
          <w:spacing w:val="0"/>
          <w:highlight w:val="none"/>
          <w:u w:val="single"/>
        </w:rPr>
        <w:t xml:space="preserve">   无  </w:t>
      </w:r>
      <w:r>
        <w:rPr>
          <w:rFonts w:hint="eastAsia" w:hAnsi="宋体" w:cs="宋体"/>
          <w:color w:val="auto"/>
          <w:highlight w:val="none"/>
        </w:rPr>
        <w:t>。</w:t>
      </w:r>
    </w:p>
    <w:p w14:paraId="4E78AFAB">
      <w:pPr>
        <w:spacing w:line="360" w:lineRule="auto"/>
        <w:ind w:firstLine="420" w:firstLineChars="200"/>
        <w:jc w:val="left"/>
        <w:rPr>
          <w:rFonts w:hAnsi="宋体"/>
          <w:color w:val="auto"/>
          <w:highlight w:val="none"/>
        </w:rPr>
      </w:pPr>
      <w:r>
        <w:rPr>
          <w:rFonts w:hint="eastAsia" w:hAnsi="宋体" w:cs="宋体"/>
          <w:color w:val="auto"/>
          <w:highlight w:val="none"/>
        </w:rPr>
        <w:t>（</w:t>
      </w:r>
      <w:r>
        <w:rPr>
          <w:rFonts w:hAnsi="宋体"/>
          <w:color w:val="auto"/>
          <w:highlight w:val="none"/>
        </w:rPr>
        <w:t>2</w:t>
      </w:r>
      <w:r>
        <w:rPr>
          <w:rFonts w:hint="eastAsia" w:hAnsi="宋体" w:cs="宋体"/>
          <w:color w:val="auto"/>
          <w:highlight w:val="none"/>
        </w:rPr>
        <w:t>）总价合同。</w:t>
      </w:r>
    </w:p>
    <w:p w14:paraId="06A8EBB0">
      <w:pPr>
        <w:spacing w:line="360" w:lineRule="auto"/>
        <w:ind w:firstLine="420" w:firstLineChars="200"/>
        <w:jc w:val="left"/>
        <w:rPr>
          <w:rFonts w:hAnsi="宋体"/>
          <w:color w:val="auto"/>
          <w:highlight w:val="none"/>
        </w:rPr>
      </w:pPr>
      <w:r>
        <w:rPr>
          <w:rFonts w:hint="eastAsia" w:hAnsi="宋体" w:cs="宋体"/>
          <w:color w:val="auto"/>
          <w:highlight w:val="none"/>
        </w:rPr>
        <w:t>总价包含的风险范围：包含除工程变更、政策性调整、</w:t>
      </w:r>
      <w:r>
        <w:rPr>
          <w:rFonts w:hint="eastAsia" w:hAnsi="宋体" w:cs="宋体"/>
          <w:color w:val="auto"/>
          <w:highlight w:val="none"/>
          <w:u w:val="single"/>
        </w:rPr>
        <w:t>市场价格波动。除工程变更外，结算时不再对招标施工图对应的工程量重新计量</w:t>
      </w:r>
      <w:r>
        <w:rPr>
          <w:rFonts w:hAnsi="宋体"/>
          <w:color w:val="auto"/>
          <w:highlight w:val="none"/>
          <w:u w:val="single"/>
        </w:rPr>
        <w:t xml:space="preserve">    </w:t>
      </w:r>
      <w:r>
        <w:rPr>
          <w:rFonts w:hint="eastAsia" w:hAnsi="宋体" w:cs="宋体"/>
          <w:color w:val="auto"/>
          <w:highlight w:val="none"/>
        </w:rPr>
        <w:t>。</w:t>
      </w:r>
    </w:p>
    <w:p w14:paraId="6E234302">
      <w:pPr>
        <w:spacing w:line="360" w:lineRule="auto"/>
        <w:ind w:firstLine="420" w:firstLineChars="200"/>
        <w:jc w:val="left"/>
        <w:rPr>
          <w:rFonts w:hint="eastAsia" w:cs="宋体"/>
          <w:color w:val="auto"/>
          <w:highlight w:val="none"/>
        </w:rPr>
      </w:pPr>
      <w:r>
        <w:rPr>
          <w:rFonts w:hint="eastAsia" w:cs="宋体"/>
          <w:color w:val="auto"/>
          <w:highlight w:val="none"/>
        </w:rPr>
        <w:t>风险范围以外合同价格的调整方法：</w:t>
      </w:r>
    </w:p>
    <w:p w14:paraId="1A5D63E0">
      <w:pPr>
        <w:numPr>
          <w:ilvl w:val="0"/>
          <w:numId w:val="0"/>
        </w:numPr>
        <w:spacing w:line="360" w:lineRule="auto"/>
        <w:ind w:firstLine="420" w:firstLineChars="200"/>
        <w:jc w:val="left"/>
        <w:rPr>
          <w:rFonts w:hint="eastAsia" w:hAnsi="宋体" w:cs="宋体"/>
          <w:color w:val="auto"/>
          <w:highlight w:val="none"/>
        </w:rPr>
      </w:pPr>
      <w:r>
        <w:rPr>
          <w:rFonts w:hint="eastAsia" w:hAnsi="宋体" w:cs="宋体"/>
          <w:color w:val="auto"/>
          <w:highlight w:val="none"/>
        </w:rPr>
        <w:t>①工程变更：按</w:t>
      </w:r>
      <w:r>
        <w:rPr>
          <w:rFonts w:hAnsi="宋体" w:cs="宋体"/>
          <w:color w:val="auto"/>
          <w:highlight w:val="none"/>
        </w:rPr>
        <w:t>10.4.1</w:t>
      </w:r>
      <w:r>
        <w:rPr>
          <w:rFonts w:hint="eastAsia" w:hAnsi="宋体" w:cs="宋体"/>
          <w:color w:val="auto"/>
          <w:highlight w:val="none"/>
        </w:rPr>
        <w:t>变更估价原则的约定调整。</w:t>
      </w:r>
    </w:p>
    <w:p w14:paraId="0878093C">
      <w:pPr>
        <w:spacing w:line="360" w:lineRule="auto"/>
        <w:ind w:firstLine="420" w:firstLineChars="200"/>
        <w:jc w:val="left"/>
        <w:rPr>
          <w:rFonts w:hAnsi="宋体" w:cs="宋体"/>
          <w:color w:val="auto"/>
          <w:highlight w:val="none"/>
        </w:rPr>
      </w:pPr>
      <w:r>
        <w:rPr>
          <w:rFonts w:hint="eastAsia" w:hAnsi="宋体" w:cs="宋体"/>
          <w:color w:val="auto"/>
          <w:highlight w:val="none"/>
        </w:rPr>
        <w:t>②政策性调整：</w:t>
      </w:r>
      <w:r>
        <w:rPr>
          <w:rFonts w:hint="eastAsia" w:ascii="仿宋_GB2312" w:hAnsi="宋体"/>
          <w:color w:val="auto"/>
          <w:highlight w:val="none"/>
        </w:rPr>
        <w:t>按国</w:t>
      </w:r>
      <w:r>
        <w:rPr>
          <w:rFonts w:ascii="仿宋_GB2312" w:hAnsi="宋体"/>
          <w:color w:val="auto"/>
          <w:highlight w:val="none"/>
        </w:rPr>
        <w:t>家、</w:t>
      </w:r>
      <w:r>
        <w:rPr>
          <w:rFonts w:hint="eastAsia" w:ascii="仿宋_GB2312" w:hAnsi="宋体"/>
          <w:color w:val="auto"/>
          <w:highlight w:val="none"/>
        </w:rPr>
        <w:t>自治区住房城乡建设厅或工程所在地市级住房城乡建设主管部门颁布的文件执行</w:t>
      </w:r>
      <w:r>
        <w:rPr>
          <w:rFonts w:hint="eastAsia" w:hAnsi="宋体" w:cs="宋体"/>
          <w:color w:val="auto"/>
          <w:highlight w:val="none"/>
        </w:rPr>
        <w:t>。</w:t>
      </w:r>
    </w:p>
    <w:p w14:paraId="4E24269F">
      <w:pPr>
        <w:spacing w:line="360" w:lineRule="auto"/>
        <w:ind w:firstLine="420" w:firstLineChars="200"/>
        <w:jc w:val="left"/>
        <w:rPr>
          <w:rFonts w:hAnsi="宋体" w:cs="宋体"/>
          <w:color w:val="auto"/>
          <w:highlight w:val="none"/>
        </w:rPr>
      </w:pPr>
      <w:r>
        <w:rPr>
          <w:rFonts w:hint="eastAsia" w:hAnsi="宋体" w:cs="宋体"/>
          <w:color w:val="auto"/>
          <w:highlight w:val="none"/>
        </w:rPr>
        <w:t>③市场波动引起的调整：按</w:t>
      </w:r>
      <w:r>
        <w:rPr>
          <w:rFonts w:hAnsi="宋体" w:cs="宋体"/>
          <w:color w:val="auto"/>
          <w:highlight w:val="none"/>
        </w:rPr>
        <w:t>11.1</w:t>
      </w:r>
      <w:r>
        <w:rPr>
          <w:rFonts w:hint="eastAsia" w:hAnsi="宋体" w:cs="宋体"/>
          <w:color w:val="auto"/>
          <w:highlight w:val="none"/>
        </w:rPr>
        <w:t>的约定调整。</w:t>
      </w:r>
    </w:p>
    <w:p w14:paraId="3E1656FC">
      <w:pPr>
        <w:spacing w:line="360" w:lineRule="auto"/>
        <w:ind w:firstLine="420" w:firstLineChars="200"/>
        <w:jc w:val="left"/>
        <w:rPr>
          <w:rFonts w:hAnsi="宋体"/>
          <w:color w:val="auto"/>
          <w:highlight w:val="none"/>
        </w:rPr>
      </w:pPr>
      <w:r>
        <w:rPr>
          <w:rFonts w:hAnsi="宋体" w:cs="宋体"/>
          <w:color w:val="auto"/>
          <w:highlight w:val="none"/>
        </w:rPr>
        <w:fldChar w:fldCharType="begin"/>
      </w:r>
      <w:r>
        <w:rPr>
          <w:rFonts w:hAnsi="宋体" w:cs="宋体"/>
          <w:color w:val="auto"/>
          <w:highlight w:val="none"/>
        </w:rPr>
        <w:instrText xml:space="preserve"> </w:instrText>
      </w:r>
      <w:r>
        <w:rPr>
          <w:rFonts w:hint="eastAsia" w:hAnsi="宋体" w:cs="宋体"/>
          <w:color w:val="auto"/>
          <w:highlight w:val="none"/>
        </w:rPr>
        <w:instrText xml:space="preserve">= 4 \* GB3</w:instrText>
      </w:r>
      <w:r>
        <w:rPr>
          <w:rFonts w:hAnsi="宋体" w:cs="宋体"/>
          <w:color w:val="auto"/>
          <w:highlight w:val="none"/>
        </w:rPr>
        <w:instrText xml:space="preserve"> </w:instrText>
      </w:r>
      <w:r>
        <w:rPr>
          <w:rFonts w:hAnsi="宋体" w:cs="宋体"/>
          <w:color w:val="auto"/>
          <w:highlight w:val="none"/>
        </w:rPr>
        <w:fldChar w:fldCharType="separate"/>
      </w:r>
      <w:r>
        <w:rPr>
          <w:rFonts w:hint="eastAsia" w:hAnsi="宋体" w:cs="宋体"/>
          <w:color w:val="auto"/>
          <w:highlight w:val="none"/>
        </w:rPr>
        <w:t>④</w:t>
      </w:r>
      <w:r>
        <w:rPr>
          <w:rFonts w:hAnsi="宋体" w:cs="宋体"/>
          <w:color w:val="auto"/>
          <w:highlight w:val="none"/>
        </w:rPr>
        <w:fldChar w:fldCharType="end"/>
      </w:r>
      <w:r>
        <w:rPr>
          <w:rFonts w:hint="eastAsia" w:hAnsi="宋体" w:cs="宋体"/>
          <w:color w:val="auto"/>
          <w:highlight w:val="none"/>
        </w:rPr>
        <w:t>其它：</w:t>
      </w:r>
      <w:r>
        <w:rPr>
          <w:rFonts w:ascii="宋体" w:hAnsi="宋体" w:eastAsia="宋体" w:cs="宋体"/>
          <w:color w:val="auto"/>
          <w:spacing w:val="0"/>
          <w:highlight w:val="none"/>
          <w:u w:val="single"/>
        </w:rPr>
        <w:t xml:space="preserve">  无  </w:t>
      </w:r>
      <w:r>
        <w:rPr>
          <w:rFonts w:hint="eastAsia" w:hAnsi="宋体" w:cs="宋体"/>
          <w:color w:val="auto"/>
          <w:highlight w:val="none"/>
        </w:rPr>
        <w:t>。</w:t>
      </w:r>
    </w:p>
    <w:p w14:paraId="3AEB0E99">
      <w:pPr>
        <w:spacing w:line="360" w:lineRule="auto"/>
        <w:ind w:firstLine="420" w:firstLineChars="200"/>
        <w:jc w:val="left"/>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）其他价格方式：</w:t>
      </w:r>
      <w:r>
        <w:rPr>
          <w:rFonts w:ascii="宋体" w:hAnsi="宋体" w:eastAsia="宋体" w:cs="宋体"/>
          <w:color w:val="auto"/>
          <w:spacing w:val="0"/>
          <w:highlight w:val="none"/>
          <w:u w:val="single"/>
        </w:rPr>
        <w:t xml:space="preserve">  无  </w:t>
      </w:r>
      <w:r>
        <w:rPr>
          <w:rFonts w:hint="eastAsia" w:cs="宋体"/>
          <w:color w:val="auto"/>
          <w:highlight w:val="none"/>
        </w:rPr>
        <w:t>。</w:t>
      </w:r>
    </w:p>
    <w:p w14:paraId="5B78B0CD">
      <w:pPr>
        <w:pStyle w:val="5"/>
        <w:rPr>
          <w:color w:val="auto"/>
          <w:highlight w:val="none"/>
        </w:rPr>
      </w:pPr>
      <w:bookmarkStart w:id="1158" w:name="_Toc78449839"/>
      <w:bookmarkStart w:id="1159" w:name="_Toc1681900246"/>
      <w:bookmarkStart w:id="1160" w:name="_Toc1338560546"/>
      <w:bookmarkStart w:id="1161" w:name="_Toc407135253"/>
      <w:bookmarkStart w:id="1162" w:name="_Toc4295"/>
      <w:r>
        <w:rPr>
          <w:color w:val="auto"/>
          <w:highlight w:val="none"/>
        </w:rPr>
        <w:t xml:space="preserve">12.2 </w:t>
      </w:r>
      <w:r>
        <w:rPr>
          <w:rFonts w:hint="eastAsia" w:hAnsi="宋体" w:cs="黑体"/>
          <w:color w:val="auto"/>
          <w:highlight w:val="none"/>
        </w:rPr>
        <w:t>预付款</w:t>
      </w:r>
      <w:bookmarkEnd w:id="1139"/>
      <w:bookmarkEnd w:id="1140"/>
      <w:bookmarkEnd w:id="1141"/>
      <w:bookmarkEnd w:id="1158"/>
      <w:bookmarkEnd w:id="1159"/>
      <w:bookmarkEnd w:id="1160"/>
      <w:bookmarkEnd w:id="1161"/>
      <w:bookmarkEnd w:id="1162"/>
    </w:p>
    <w:bookmarkEnd w:id="1142"/>
    <w:bookmarkEnd w:id="1143"/>
    <w:bookmarkEnd w:id="1144"/>
    <w:bookmarkEnd w:id="1145"/>
    <w:bookmarkEnd w:id="1146"/>
    <w:bookmarkEnd w:id="1147"/>
    <w:p w14:paraId="44DBC094">
      <w:pPr>
        <w:spacing w:line="360" w:lineRule="auto"/>
        <w:ind w:firstLine="420" w:firstLineChars="200"/>
        <w:jc w:val="left"/>
        <w:rPr>
          <w:color w:val="auto"/>
          <w:highlight w:val="none"/>
        </w:rPr>
      </w:pPr>
      <w:r>
        <w:rPr>
          <w:color w:val="auto"/>
          <w:highlight w:val="none"/>
        </w:rPr>
        <w:t xml:space="preserve">12.2.1 </w:t>
      </w:r>
      <w:r>
        <w:rPr>
          <w:rFonts w:hint="eastAsia" w:hAnsi="宋体" w:cs="宋体"/>
          <w:color w:val="auto"/>
          <w:highlight w:val="none"/>
        </w:rPr>
        <w:t>预付款的支付</w:t>
      </w:r>
    </w:p>
    <w:p w14:paraId="4F513D1C">
      <w:pPr>
        <w:spacing w:line="360" w:lineRule="auto"/>
        <w:ind w:firstLine="420" w:firstLineChars="200"/>
        <w:jc w:val="left"/>
        <w:rPr>
          <w:color w:val="auto"/>
          <w:highlight w:val="none"/>
        </w:rPr>
      </w:pPr>
      <w:r>
        <w:rPr>
          <w:rFonts w:hint="eastAsia" w:hAnsi="宋体" w:cs="宋体"/>
          <w:color w:val="auto"/>
          <w:highlight w:val="none"/>
        </w:rPr>
        <w:t>预付款支付比例或金额：</w:t>
      </w:r>
      <w:r>
        <w:rPr>
          <w:rFonts w:hint="eastAsia"/>
          <w:color w:val="auto"/>
          <w:highlight w:val="none"/>
          <w:u w:val="single"/>
          <w:lang w:val="en-US" w:eastAsia="zh-CN"/>
        </w:rPr>
        <w:t>本项目工程预付款30%</w:t>
      </w:r>
      <w:r>
        <w:rPr>
          <w:rFonts w:hint="eastAsia" w:hAnsi="宋体" w:cs="宋体"/>
          <w:color w:val="auto"/>
          <w:highlight w:val="none"/>
        </w:rPr>
        <w:t>。</w:t>
      </w:r>
    </w:p>
    <w:p w14:paraId="0A71D74C">
      <w:pPr>
        <w:spacing w:line="360" w:lineRule="auto"/>
        <w:ind w:firstLine="420" w:firstLineChars="200"/>
        <w:jc w:val="left"/>
        <w:rPr>
          <w:color w:val="auto"/>
          <w:highlight w:val="none"/>
        </w:rPr>
      </w:pPr>
      <w:r>
        <w:rPr>
          <w:rFonts w:hint="eastAsia" w:hAnsi="宋体" w:cs="宋体"/>
          <w:color w:val="auto"/>
          <w:highlight w:val="none"/>
        </w:rPr>
        <w:t>预付款支付期限：</w:t>
      </w:r>
      <w:r>
        <w:rPr>
          <w:color w:val="auto"/>
          <w:highlight w:val="none"/>
          <w:u w:val="single"/>
        </w:rPr>
        <w:t xml:space="preserve"> </w:t>
      </w:r>
      <w:r>
        <w:rPr>
          <w:rFonts w:hint="eastAsia"/>
          <w:color w:val="auto"/>
          <w:highlight w:val="none"/>
          <w:u w:val="single"/>
          <w:lang w:val="en-US" w:eastAsia="zh-CN"/>
        </w:rPr>
        <w:t>/</w:t>
      </w:r>
      <w:r>
        <w:rPr>
          <w:color w:val="auto"/>
          <w:highlight w:val="none"/>
          <w:u w:val="single"/>
        </w:rPr>
        <w:t xml:space="preserve"> </w:t>
      </w:r>
      <w:r>
        <w:rPr>
          <w:rFonts w:hint="eastAsia" w:hAnsi="宋体" w:cs="宋体"/>
          <w:color w:val="auto"/>
          <w:highlight w:val="none"/>
        </w:rPr>
        <w:t>。</w:t>
      </w:r>
    </w:p>
    <w:p w14:paraId="29E1E746">
      <w:pPr>
        <w:spacing w:line="360" w:lineRule="auto"/>
        <w:ind w:firstLine="420" w:firstLineChars="200"/>
        <w:jc w:val="left"/>
        <w:rPr>
          <w:color w:val="auto"/>
          <w:highlight w:val="none"/>
        </w:rPr>
      </w:pPr>
      <w:r>
        <w:rPr>
          <w:rFonts w:hint="eastAsia" w:hAnsi="宋体" w:cs="宋体"/>
          <w:color w:val="auto"/>
          <w:highlight w:val="none"/>
        </w:rPr>
        <w:t>预付款扣回的方式：</w:t>
      </w:r>
      <w:r>
        <w:rPr>
          <w:rFonts w:hint="eastAsia"/>
          <w:color w:val="auto"/>
          <w:highlight w:val="none"/>
          <w:u w:val="single"/>
          <w:lang w:val="en-US" w:eastAsia="zh-CN"/>
        </w:rPr>
        <w:t>/</w:t>
      </w:r>
      <w:r>
        <w:rPr>
          <w:rFonts w:hint="eastAsia" w:hAnsi="宋体" w:cs="宋体"/>
          <w:color w:val="auto"/>
          <w:highlight w:val="none"/>
        </w:rPr>
        <w:t>。</w:t>
      </w:r>
    </w:p>
    <w:p w14:paraId="5AFA7F4F">
      <w:pPr>
        <w:spacing w:line="360" w:lineRule="auto"/>
        <w:ind w:firstLine="420" w:firstLineChars="200"/>
        <w:jc w:val="left"/>
        <w:rPr>
          <w:color w:val="auto"/>
          <w:highlight w:val="none"/>
        </w:rPr>
      </w:pPr>
      <w:r>
        <w:rPr>
          <w:color w:val="auto"/>
          <w:highlight w:val="none"/>
        </w:rPr>
        <w:t xml:space="preserve">12.2.2 </w:t>
      </w:r>
      <w:r>
        <w:rPr>
          <w:rFonts w:hint="eastAsia" w:hAnsi="宋体" w:cs="宋体"/>
          <w:color w:val="auto"/>
          <w:highlight w:val="none"/>
        </w:rPr>
        <w:t>预付款担保</w:t>
      </w:r>
    </w:p>
    <w:p w14:paraId="2DF94D31">
      <w:pPr>
        <w:spacing w:line="360" w:lineRule="auto"/>
        <w:ind w:firstLine="420" w:firstLineChars="200"/>
        <w:jc w:val="left"/>
        <w:rPr>
          <w:color w:val="auto"/>
          <w:highlight w:val="none"/>
        </w:rPr>
      </w:pPr>
      <w:r>
        <w:rPr>
          <w:rFonts w:hint="eastAsia" w:hAnsi="宋体" w:cs="宋体"/>
          <w:color w:val="auto"/>
          <w:highlight w:val="none"/>
        </w:rPr>
        <w:t>承包人提交预付款担保的期限：</w:t>
      </w:r>
      <w:r>
        <w:rPr>
          <w:rFonts w:ascii="宋体" w:hAnsi="宋体" w:eastAsia="宋体" w:cs="宋体"/>
          <w:color w:val="auto"/>
          <w:spacing w:val="0"/>
          <w:highlight w:val="none"/>
          <w:u w:val="single"/>
        </w:rPr>
        <w:t xml:space="preserve">  无  </w:t>
      </w:r>
      <w:r>
        <w:rPr>
          <w:rFonts w:hint="eastAsia" w:hAnsi="宋体" w:cs="宋体"/>
          <w:color w:val="auto"/>
          <w:highlight w:val="none"/>
        </w:rPr>
        <w:t>。</w:t>
      </w:r>
    </w:p>
    <w:p w14:paraId="6D4F41B0">
      <w:pPr>
        <w:spacing w:line="360" w:lineRule="auto"/>
        <w:ind w:firstLine="420" w:firstLineChars="200"/>
        <w:jc w:val="left"/>
        <w:rPr>
          <w:rFonts w:hint="eastAsia" w:ascii="Times New Roman" w:hAnsi="宋体" w:eastAsia="宋体" w:cs="宋体"/>
          <w:color w:val="auto"/>
          <w:highlight w:val="none"/>
        </w:rPr>
      </w:pPr>
      <w:r>
        <w:rPr>
          <w:rFonts w:hint="eastAsia" w:hAnsi="宋体" w:cs="宋体"/>
          <w:color w:val="auto"/>
          <w:highlight w:val="none"/>
        </w:rPr>
        <w:t>预付款担保的形式为：</w:t>
      </w:r>
      <w:r>
        <w:rPr>
          <w:rFonts w:hint="eastAsia"/>
          <w:color w:val="auto"/>
          <w:highlight w:val="none"/>
          <w:u w:val="none"/>
          <w:lang w:eastAsia="zh-CN"/>
        </w:rPr>
        <w:t>可以是</w:t>
      </w:r>
      <w:r>
        <w:rPr>
          <w:rFonts w:hint="eastAsia" w:ascii="Times New Roman" w:hAnsi="宋体" w:eastAsia="宋体" w:cs="宋体"/>
          <w:color w:val="auto"/>
          <w:highlight w:val="none"/>
        </w:rPr>
        <w:t>银行转账、电汇或网上支付、保函（银行保函、电子保函、保证保险保函、工程担保保函）等</w:t>
      </w:r>
      <w:r>
        <w:rPr>
          <w:rFonts w:hint="eastAsia" w:ascii="Times New Roman" w:hAnsi="宋体" w:eastAsia="宋体" w:cs="宋体"/>
          <w:color w:val="auto"/>
          <w:highlight w:val="none"/>
          <w:lang w:eastAsia="zh-CN"/>
        </w:rPr>
        <w:t>形</w:t>
      </w:r>
      <w:r>
        <w:rPr>
          <w:rFonts w:hint="eastAsia" w:ascii="Times New Roman" w:hAnsi="宋体" w:eastAsia="宋体" w:cs="宋体"/>
          <w:color w:val="auto"/>
          <w:highlight w:val="none"/>
        </w:rPr>
        <w:t>式。工程担保保证人应将出具的保函相关信息录入“广西建筑市场监管云”平台（http://gxjzsc.caihcloud.com），以实现保函查询及验真功能</w:t>
      </w:r>
      <w:r>
        <w:rPr>
          <w:rFonts w:hint="eastAsia" w:ascii="Times New Roman" w:hAnsi="宋体" w:eastAsia="宋体" w:cs="宋体"/>
          <w:color w:val="auto"/>
          <w:highlight w:val="none"/>
          <w:lang w:eastAsia="zh-CN"/>
        </w:rPr>
        <w:t>。</w:t>
      </w:r>
    </w:p>
    <w:p w14:paraId="3E02FEE3">
      <w:pPr>
        <w:spacing w:line="360" w:lineRule="auto"/>
        <w:ind w:firstLine="420" w:firstLineChars="200"/>
        <w:jc w:val="left"/>
        <w:rPr>
          <w:color w:val="auto"/>
          <w:highlight w:val="none"/>
        </w:rPr>
      </w:pPr>
      <w:r>
        <w:rPr>
          <w:rFonts w:hint="eastAsia" w:ascii="宋体" w:hAnsi="宋体" w:cs="宋体"/>
          <w:color w:val="auto"/>
          <w:highlight w:val="none"/>
        </w:rPr>
        <w:t>预付款担保格式见合同附件8。预付款支付申请（核准）表见合同附件10</w:t>
      </w:r>
    </w:p>
    <w:bookmarkEnd w:id="1148"/>
    <w:bookmarkEnd w:id="1149"/>
    <w:bookmarkEnd w:id="1150"/>
    <w:bookmarkEnd w:id="1151"/>
    <w:bookmarkEnd w:id="1152"/>
    <w:bookmarkEnd w:id="1153"/>
    <w:bookmarkEnd w:id="1154"/>
    <w:bookmarkEnd w:id="1155"/>
    <w:bookmarkEnd w:id="1156"/>
    <w:bookmarkEnd w:id="1157"/>
    <w:p w14:paraId="4DC58147">
      <w:pPr>
        <w:pStyle w:val="5"/>
        <w:rPr>
          <w:color w:val="auto"/>
          <w:highlight w:val="none"/>
        </w:rPr>
      </w:pPr>
      <w:bookmarkStart w:id="1163" w:name="_Toc373478398"/>
      <w:bookmarkStart w:id="1164" w:name="_Toc389065316"/>
      <w:bookmarkStart w:id="1165" w:name="_Toc373227751"/>
      <w:bookmarkStart w:id="1166" w:name="_Toc1307224940"/>
      <w:bookmarkStart w:id="1167" w:name="_Toc31211"/>
      <w:bookmarkStart w:id="1168" w:name="_Toc1494831447"/>
      <w:bookmarkStart w:id="1169" w:name="_Toc407135254"/>
      <w:bookmarkStart w:id="1170" w:name="_Toc78449840"/>
      <w:r>
        <w:rPr>
          <w:color w:val="auto"/>
          <w:highlight w:val="none"/>
        </w:rPr>
        <w:t xml:space="preserve">12.3 </w:t>
      </w:r>
      <w:r>
        <w:rPr>
          <w:rFonts w:hint="eastAsia" w:hAnsi="宋体" w:cs="黑体"/>
          <w:color w:val="auto"/>
          <w:highlight w:val="none"/>
        </w:rPr>
        <w:t>计量</w:t>
      </w:r>
      <w:bookmarkEnd w:id="1163"/>
      <w:bookmarkEnd w:id="1164"/>
      <w:bookmarkEnd w:id="1165"/>
      <w:bookmarkEnd w:id="1166"/>
      <w:bookmarkEnd w:id="1167"/>
      <w:bookmarkEnd w:id="1168"/>
      <w:bookmarkEnd w:id="1169"/>
      <w:bookmarkEnd w:id="1170"/>
    </w:p>
    <w:p w14:paraId="585EA676">
      <w:pPr>
        <w:spacing w:line="360" w:lineRule="auto"/>
        <w:ind w:firstLine="420" w:firstLineChars="200"/>
        <w:jc w:val="left"/>
        <w:rPr>
          <w:color w:val="auto"/>
          <w:highlight w:val="none"/>
        </w:rPr>
      </w:pPr>
      <w:r>
        <w:rPr>
          <w:color w:val="auto"/>
          <w:highlight w:val="none"/>
        </w:rPr>
        <w:t xml:space="preserve">12.3.1 </w:t>
      </w:r>
      <w:r>
        <w:rPr>
          <w:rFonts w:hint="eastAsia" w:hAnsi="宋体" w:cs="宋体"/>
          <w:color w:val="auto"/>
          <w:highlight w:val="none"/>
        </w:rPr>
        <w:t>计量原则</w:t>
      </w:r>
    </w:p>
    <w:p w14:paraId="501E9B3F">
      <w:pPr>
        <w:spacing w:line="360" w:lineRule="auto"/>
        <w:ind w:firstLine="420" w:firstLineChars="200"/>
        <w:jc w:val="left"/>
        <w:rPr>
          <w:color w:val="auto"/>
          <w:highlight w:val="none"/>
        </w:rPr>
      </w:pPr>
      <w:r>
        <w:rPr>
          <w:rFonts w:hint="eastAsia" w:hAnsi="宋体" w:cs="宋体"/>
          <w:color w:val="auto"/>
          <w:highlight w:val="none"/>
        </w:rPr>
        <w:t>工程量计算规则：</w:t>
      </w:r>
      <w:r>
        <w:rPr>
          <w:rFonts w:hint="eastAsia" w:hAnsi="宋体" w:cs="宋体"/>
          <w:color w:val="auto"/>
          <w:highlight w:val="none"/>
          <w:u w:val="single"/>
        </w:rPr>
        <w:t>工程的计量均以《建设工程工程量清单计价规范》（</w:t>
      </w:r>
      <w:r>
        <w:rPr>
          <w:color w:val="auto"/>
          <w:highlight w:val="none"/>
          <w:u w:val="single"/>
        </w:rPr>
        <w:t>GB50500</w:t>
      </w:r>
      <w:r>
        <w:rPr>
          <w:rFonts w:hint="eastAsia" w:hAnsi="宋体" w:cs="宋体"/>
          <w:color w:val="auto"/>
          <w:highlight w:val="none"/>
          <w:u w:val="single"/>
        </w:rPr>
        <w:t>－</w:t>
      </w:r>
      <w:r>
        <w:rPr>
          <w:color w:val="auto"/>
          <w:highlight w:val="none"/>
          <w:u w:val="single"/>
        </w:rPr>
        <w:t>2013</w:t>
      </w:r>
      <w:r>
        <w:rPr>
          <w:rFonts w:hint="eastAsia" w:hAnsi="宋体" w:cs="宋体"/>
          <w:color w:val="auto"/>
          <w:highlight w:val="none"/>
          <w:u w:val="single"/>
        </w:rPr>
        <w:t>）及广西壮族自治区实施细则、《建设工程工程量清单计算规范》（</w:t>
      </w:r>
      <w:r>
        <w:rPr>
          <w:color w:val="auto"/>
          <w:highlight w:val="none"/>
          <w:u w:val="single"/>
        </w:rPr>
        <w:t>GB50854~50862</w:t>
      </w:r>
      <w:r>
        <w:rPr>
          <w:rFonts w:hint="eastAsia" w:hAnsi="宋体" w:cs="宋体"/>
          <w:color w:val="auto"/>
          <w:highlight w:val="none"/>
          <w:u w:val="single"/>
        </w:rPr>
        <w:t>－</w:t>
      </w:r>
      <w:r>
        <w:rPr>
          <w:color w:val="auto"/>
          <w:highlight w:val="none"/>
          <w:u w:val="single"/>
        </w:rPr>
        <w:t>2013</w:t>
      </w:r>
      <w:r>
        <w:rPr>
          <w:rFonts w:hint="eastAsia" w:hAnsi="宋体" w:cs="宋体"/>
          <w:color w:val="auto"/>
          <w:highlight w:val="none"/>
          <w:u w:val="single"/>
        </w:rPr>
        <w:t>）及广西实施细则、本工程补充项目清单为准。</w:t>
      </w:r>
    </w:p>
    <w:p w14:paraId="0B4494A8">
      <w:pPr>
        <w:spacing w:line="360" w:lineRule="auto"/>
        <w:ind w:firstLine="420" w:firstLineChars="200"/>
        <w:jc w:val="left"/>
        <w:rPr>
          <w:color w:val="auto"/>
          <w:highlight w:val="none"/>
        </w:rPr>
      </w:pPr>
      <w:r>
        <w:rPr>
          <w:color w:val="auto"/>
          <w:highlight w:val="none"/>
        </w:rPr>
        <w:t xml:space="preserve">12.3.2 </w:t>
      </w:r>
      <w:r>
        <w:rPr>
          <w:rFonts w:hint="eastAsia" w:hAnsi="宋体" w:cs="宋体"/>
          <w:color w:val="auto"/>
          <w:highlight w:val="none"/>
        </w:rPr>
        <w:t>计量周期</w:t>
      </w:r>
    </w:p>
    <w:p w14:paraId="30715942">
      <w:pPr>
        <w:spacing w:line="360" w:lineRule="auto"/>
        <w:ind w:firstLine="420" w:firstLineChars="200"/>
        <w:jc w:val="left"/>
        <w:rPr>
          <w:color w:val="auto"/>
          <w:highlight w:val="none"/>
        </w:rPr>
      </w:pPr>
      <w:r>
        <w:rPr>
          <w:rFonts w:hint="eastAsia" w:hAnsi="宋体" w:cs="宋体"/>
          <w:color w:val="auto"/>
          <w:highlight w:val="none"/>
        </w:rPr>
        <w:t>关于计量周期的约定：</w:t>
      </w:r>
      <w:r>
        <w:rPr>
          <w:rFonts w:hint="eastAsia" w:hAnsi="宋体" w:cs="宋体"/>
          <w:color w:val="auto"/>
          <w:highlight w:val="none"/>
          <w:u w:val="single"/>
        </w:rPr>
        <w:t>每月</w:t>
      </w:r>
      <w:r>
        <w:rPr>
          <w:color w:val="auto"/>
          <w:highlight w:val="none"/>
          <w:u w:val="single"/>
        </w:rPr>
        <w:t>25</w:t>
      </w:r>
      <w:r>
        <w:rPr>
          <w:rFonts w:hint="eastAsia" w:hAnsi="宋体" w:cs="宋体"/>
          <w:color w:val="auto"/>
          <w:highlight w:val="none"/>
          <w:u w:val="single"/>
        </w:rPr>
        <w:t>日前</w:t>
      </w:r>
      <w:r>
        <w:rPr>
          <w:rFonts w:hint="eastAsia" w:hAnsi="宋体" w:cs="宋体"/>
          <w:color w:val="auto"/>
          <w:highlight w:val="none"/>
        </w:rPr>
        <w:t>。</w:t>
      </w:r>
    </w:p>
    <w:p w14:paraId="781FBFDF">
      <w:pPr>
        <w:spacing w:line="360" w:lineRule="auto"/>
        <w:ind w:firstLine="420" w:firstLineChars="200"/>
        <w:jc w:val="left"/>
        <w:outlineLvl w:val="0"/>
        <w:rPr>
          <w:color w:val="auto"/>
          <w:highlight w:val="none"/>
        </w:rPr>
      </w:pPr>
      <w:bookmarkStart w:id="1171" w:name="_Toc12738"/>
      <w:bookmarkStart w:id="1172" w:name="_Toc21322"/>
      <w:r>
        <w:rPr>
          <w:color w:val="auto"/>
          <w:highlight w:val="none"/>
        </w:rPr>
        <w:t xml:space="preserve">12.3.3 </w:t>
      </w:r>
      <w:r>
        <w:rPr>
          <w:rFonts w:hint="eastAsia" w:hAnsi="宋体" w:cs="宋体"/>
          <w:color w:val="auto"/>
          <w:highlight w:val="none"/>
        </w:rPr>
        <w:t>单价合同的计量</w:t>
      </w:r>
      <w:bookmarkEnd w:id="1171"/>
      <w:bookmarkEnd w:id="1172"/>
    </w:p>
    <w:p w14:paraId="4C3040A5">
      <w:pPr>
        <w:spacing w:line="360" w:lineRule="auto"/>
        <w:ind w:firstLine="420" w:firstLineChars="200"/>
        <w:jc w:val="left"/>
        <w:rPr>
          <w:color w:val="auto"/>
          <w:highlight w:val="none"/>
        </w:rPr>
      </w:pPr>
      <w:r>
        <w:rPr>
          <w:rFonts w:hint="eastAsia" w:hAnsi="宋体" w:cs="宋体"/>
          <w:color w:val="auto"/>
          <w:highlight w:val="none"/>
        </w:rPr>
        <w:t>关于单价合同计量的约定：</w:t>
      </w:r>
    </w:p>
    <w:p w14:paraId="14E23255">
      <w:pPr>
        <w:spacing w:line="360" w:lineRule="auto"/>
        <w:ind w:firstLine="441" w:firstLineChars="210"/>
        <w:rPr>
          <w:color w:val="auto"/>
          <w:highlight w:val="none"/>
        </w:rPr>
      </w:pPr>
      <w:r>
        <w:rPr>
          <w:rFonts w:hint="eastAsia"/>
          <w:color w:val="auto"/>
          <w:highlight w:val="none"/>
          <w:lang w:eastAsia="zh-CN"/>
        </w:rPr>
        <w:t>（</w:t>
      </w:r>
      <w:r>
        <w:rPr>
          <w:color w:val="auto"/>
          <w:highlight w:val="none"/>
        </w:rPr>
        <w:t>1</w:t>
      </w:r>
      <w:r>
        <w:rPr>
          <w:rFonts w:hint="eastAsia"/>
          <w:color w:val="auto"/>
          <w:highlight w:val="none"/>
          <w:lang w:eastAsia="zh-CN"/>
        </w:rPr>
        <w:t>）</w:t>
      </w:r>
      <w:r>
        <w:rPr>
          <w:rFonts w:hint="eastAsia" w:hAnsi="宋体" w:cs="宋体"/>
          <w:color w:val="auto"/>
          <w:highlight w:val="none"/>
        </w:rPr>
        <w:t>工程量清单所列的工程量，不能作为承包人按合同履行其责任依据，实际施工中发生的工程量增加或减少并不影响承包人履行合同的责任，工程结算以完成的实际工程量为准。</w:t>
      </w:r>
    </w:p>
    <w:p w14:paraId="3F0DA2BD">
      <w:pPr>
        <w:spacing w:line="360" w:lineRule="auto"/>
        <w:ind w:firstLine="441" w:firstLineChars="210"/>
        <w:rPr>
          <w:color w:val="auto"/>
          <w:highlight w:val="none"/>
        </w:rPr>
      </w:pPr>
      <w:r>
        <w:rPr>
          <w:rFonts w:hint="eastAsia"/>
          <w:color w:val="auto"/>
          <w:highlight w:val="none"/>
          <w:lang w:eastAsia="zh-CN"/>
        </w:rPr>
        <w:t>（</w:t>
      </w:r>
      <w:r>
        <w:rPr>
          <w:color w:val="auto"/>
          <w:highlight w:val="none"/>
        </w:rPr>
        <w:t>2</w:t>
      </w:r>
      <w:r>
        <w:rPr>
          <w:rFonts w:hint="eastAsia"/>
          <w:color w:val="auto"/>
          <w:highlight w:val="none"/>
          <w:lang w:eastAsia="zh-CN"/>
        </w:rPr>
        <w:t>）</w:t>
      </w:r>
      <w:r>
        <w:rPr>
          <w:rFonts w:hint="eastAsia" w:hAnsi="宋体" w:cs="宋体"/>
          <w:color w:val="auto"/>
          <w:highlight w:val="none"/>
        </w:rPr>
        <w:t>除另有规定外，工程师应按照合同通过计量来核实确定已完成的工程量和价款，承包人应得到该价款扣除保留金后的金额。当工程师要对已完工的工程量进行计量时，应适时地通知承包人参加。</w:t>
      </w:r>
    </w:p>
    <w:p w14:paraId="34A6E2EC">
      <w:pPr>
        <w:spacing w:line="360" w:lineRule="auto"/>
        <w:ind w:firstLine="420" w:firstLineChars="200"/>
        <w:jc w:val="left"/>
        <w:rPr>
          <w:color w:val="auto"/>
          <w:highlight w:val="none"/>
        </w:rPr>
      </w:pPr>
      <w:r>
        <w:rPr>
          <w:color w:val="auto"/>
          <w:highlight w:val="none"/>
        </w:rPr>
        <w:t xml:space="preserve">12.3.4 </w:t>
      </w:r>
      <w:r>
        <w:rPr>
          <w:rFonts w:hint="eastAsia" w:hAnsi="宋体" w:cs="宋体"/>
          <w:color w:val="auto"/>
          <w:highlight w:val="none"/>
        </w:rPr>
        <w:t>总价合同的计量</w:t>
      </w:r>
    </w:p>
    <w:p w14:paraId="450DFFB1">
      <w:pPr>
        <w:spacing w:line="360" w:lineRule="auto"/>
        <w:ind w:firstLine="420" w:firstLineChars="200"/>
        <w:jc w:val="left"/>
        <w:rPr>
          <w:rFonts w:cs="宋体"/>
          <w:color w:val="auto"/>
          <w:highlight w:val="none"/>
        </w:rPr>
      </w:pPr>
      <w:r>
        <w:rPr>
          <w:rFonts w:hint="eastAsia" w:ascii="Calibri" w:hAnsi="宋体" w:cs="宋体"/>
          <w:color w:val="auto"/>
          <w:highlight w:val="none"/>
        </w:rPr>
        <w:t>（1）总价合同计量约定：</w:t>
      </w:r>
      <w:r>
        <w:rPr>
          <w:rFonts w:hint="eastAsia" w:hAnsi="宋体" w:cs="宋体"/>
          <w:color w:val="auto"/>
          <w:highlight w:val="none"/>
        </w:rPr>
        <w:t>进度款按支付分解表支付</w:t>
      </w:r>
      <w:r>
        <w:rPr>
          <w:rFonts w:hint="eastAsia" w:ascii="宋体" w:hAnsi="宋体" w:cs="宋体"/>
          <w:color w:val="auto"/>
          <w:kern w:val="0"/>
          <w:highlight w:val="none"/>
        </w:rPr>
        <w:t>，</w:t>
      </w:r>
      <w:r>
        <w:rPr>
          <w:rFonts w:hint="eastAsia" w:cs="宋体"/>
          <w:color w:val="auto"/>
          <w:highlight w:val="none"/>
        </w:rPr>
        <w:t>支付分解表在招标完成后签合同之前制定，具体详见本专用合同条款12.4.6。</w:t>
      </w:r>
    </w:p>
    <w:p w14:paraId="2B37DA43">
      <w:pPr>
        <w:spacing w:line="360" w:lineRule="auto"/>
        <w:ind w:firstLine="420" w:firstLineChars="200"/>
        <w:jc w:val="left"/>
        <w:rPr>
          <w:color w:val="auto"/>
          <w:highlight w:val="none"/>
        </w:rPr>
      </w:pPr>
      <w:r>
        <w:rPr>
          <w:color w:val="auto"/>
          <w:highlight w:val="none"/>
        </w:rPr>
        <w:t xml:space="preserve">12.3.6 </w:t>
      </w:r>
      <w:r>
        <w:rPr>
          <w:rFonts w:hint="eastAsia" w:hAnsi="宋体" w:cs="宋体"/>
          <w:color w:val="auto"/>
          <w:highlight w:val="none"/>
        </w:rPr>
        <w:t>其他价格形式合同的计量</w:t>
      </w:r>
    </w:p>
    <w:p w14:paraId="3F26BA54">
      <w:pPr>
        <w:spacing w:line="360" w:lineRule="auto"/>
        <w:ind w:firstLine="420" w:firstLineChars="200"/>
        <w:jc w:val="left"/>
        <w:rPr>
          <w:color w:val="auto"/>
          <w:highlight w:val="none"/>
          <w:u w:val="single"/>
        </w:rPr>
      </w:pPr>
      <w:r>
        <w:rPr>
          <w:rFonts w:hint="eastAsia" w:hAnsi="宋体" w:cs="宋体"/>
          <w:color w:val="auto"/>
          <w:highlight w:val="none"/>
        </w:rPr>
        <w:t>其他价格形式的计量方式和程序：</w:t>
      </w:r>
      <w:r>
        <w:rPr>
          <w:rFonts w:ascii="宋体" w:hAnsi="宋体" w:eastAsia="宋体" w:cs="宋体"/>
          <w:color w:val="auto"/>
          <w:highlight w:val="none"/>
          <w:u w:val="single"/>
        </w:rPr>
        <w:t xml:space="preserve">     无     </w:t>
      </w:r>
      <w:r>
        <w:rPr>
          <w:rFonts w:hint="eastAsia" w:hAnsi="宋体" w:cs="宋体"/>
          <w:color w:val="auto"/>
          <w:highlight w:val="none"/>
        </w:rPr>
        <w:t>。</w:t>
      </w:r>
    </w:p>
    <w:p w14:paraId="7E3B763C">
      <w:pPr>
        <w:pStyle w:val="5"/>
        <w:rPr>
          <w:color w:val="auto"/>
          <w:highlight w:val="none"/>
        </w:rPr>
      </w:pPr>
      <w:bookmarkStart w:id="1173" w:name="_Toc373227752"/>
      <w:bookmarkStart w:id="1174" w:name="_Toc1155368667"/>
      <w:bookmarkStart w:id="1175" w:name="_Toc389065317"/>
      <w:bookmarkStart w:id="1176" w:name="_Toc22527"/>
      <w:bookmarkStart w:id="1177" w:name="_Toc78449841"/>
      <w:bookmarkStart w:id="1178" w:name="_Toc1711431123"/>
      <w:bookmarkStart w:id="1179" w:name="_Toc373478399"/>
      <w:bookmarkStart w:id="1180" w:name="_Toc407135255"/>
      <w:r>
        <w:rPr>
          <w:color w:val="auto"/>
          <w:highlight w:val="none"/>
        </w:rPr>
        <w:t xml:space="preserve">12.4 </w:t>
      </w:r>
      <w:r>
        <w:rPr>
          <w:rFonts w:hint="eastAsia" w:cs="黑体"/>
          <w:color w:val="auto"/>
          <w:highlight w:val="none"/>
        </w:rPr>
        <w:t>工程进度款支付</w:t>
      </w:r>
      <w:bookmarkEnd w:id="1173"/>
      <w:bookmarkEnd w:id="1174"/>
      <w:bookmarkEnd w:id="1175"/>
      <w:bookmarkEnd w:id="1176"/>
      <w:bookmarkEnd w:id="1177"/>
      <w:bookmarkEnd w:id="1178"/>
      <w:bookmarkEnd w:id="1179"/>
      <w:bookmarkEnd w:id="1180"/>
    </w:p>
    <w:p w14:paraId="5DBD4BA6">
      <w:pPr>
        <w:spacing w:line="360" w:lineRule="auto"/>
        <w:ind w:firstLine="420" w:firstLineChars="200"/>
        <w:jc w:val="left"/>
        <w:rPr>
          <w:color w:val="auto"/>
          <w:highlight w:val="none"/>
        </w:rPr>
      </w:pPr>
      <w:bookmarkStart w:id="1181" w:name="_Toc296346712"/>
      <w:bookmarkStart w:id="1182" w:name="_Toc297120511"/>
      <w:bookmarkStart w:id="1183" w:name="_Toc292559921"/>
      <w:bookmarkStart w:id="1184" w:name="_Toc296944550"/>
      <w:bookmarkStart w:id="1185" w:name="_Toc300935006"/>
      <w:bookmarkStart w:id="1186" w:name="_Toc296347210"/>
      <w:bookmarkStart w:id="1187" w:name="_Toc303539163"/>
      <w:bookmarkStart w:id="1188" w:name="_Toc296503211"/>
      <w:bookmarkStart w:id="1189" w:name="_Toc297048397"/>
      <w:bookmarkStart w:id="1190" w:name="_Toc296891039"/>
      <w:bookmarkStart w:id="1191" w:name="_Toc297216215"/>
      <w:bookmarkStart w:id="1192" w:name="_Toc296891251"/>
      <w:bookmarkStart w:id="1193" w:name="_Toc292559416"/>
      <w:bookmarkStart w:id="1194" w:name="_Toc297123556"/>
      <w:r>
        <w:rPr>
          <w:color w:val="auto"/>
          <w:highlight w:val="none"/>
        </w:rPr>
        <w:t xml:space="preserve">12.4.1 </w:t>
      </w:r>
      <w:r>
        <w:rPr>
          <w:rFonts w:hint="eastAsia" w:hAnsi="宋体" w:cs="宋体"/>
          <w:color w:val="auto"/>
          <w:highlight w:val="none"/>
        </w:rPr>
        <w:t>付款周期</w:t>
      </w:r>
    </w:p>
    <w:p w14:paraId="03D006A0">
      <w:pPr>
        <w:spacing w:line="360" w:lineRule="auto"/>
        <w:ind w:firstLine="420" w:firstLineChars="200"/>
        <w:jc w:val="left"/>
        <w:rPr>
          <w:rFonts w:hint="eastAsia" w:hAnsi="宋体" w:cs="宋体"/>
          <w:color w:val="auto"/>
          <w:highlight w:val="none"/>
          <w:u w:val="single"/>
        </w:rPr>
      </w:pPr>
      <w:r>
        <w:rPr>
          <w:rFonts w:hAnsi="宋体" w:cs="宋体"/>
          <w:color w:val="auto"/>
          <w:highlight w:val="none"/>
        </w:rPr>
        <w:fldChar w:fldCharType="begin"/>
      </w:r>
      <w:r>
        <w:rPr>
          <w:rFonts w:hAnsi="宋体" w:cs="宋体"/>
          <w:color w:val="auto"/>
          <w:highlight w:val="none"/>
        </w:rPr>
        <w:instrText xml:space="preserve"> </w:instrText>
      </w:r>
      <w:r>
        <w:rPr>
          <w:rFonts w:hint="eastAsia" w:hAnsi="宋体" w:cs="宋体"/>
          <w:color w:val="auto"/>
          <w:highlight w:val="none"/>
        </w:rPr>
        <w:instrText xml:space="preserve">= 1 \* GB3</w:instrText>
      </w:r>
      <w:r>
        <w:rPr>
          <w:rFonts w:hAnsi="宋体" w:cs="宋体"/>
          <w:color w:val="auto"/>
          <w:highlight w:val="none"/>
        </w:rPr>
        <w:instrText xml:space="preserve"> </w:instrText>
      </w:r>
      <w:r>
        <w:rPr>
          <w:rFonts w:hAnsi="宋体" w:cs="宋体"/>
          <w:color w:val="auto"/>
          <w:highlight w:val="none"/>
        </w:rPr>
        <w:fldChar w:fldCharType="separate"/>
      </w:r>
      <w:r>
        <w:rPr>
          <w:rFonts w:hint="eastAsia" w:hAnsi="宋体" w:cs="宋体"/>
          <w:color w:val="auto"/>
          <w:highlight w:val="none"/>
        </w:rPr>
        <w:t>①</w:t>
      </w:r>
      <w:r>
        <w:rPr>
          <w:rFonts w:hAnsi="宋体" w:cs="宋体"/>
          <w:color w:val="auto"/>
          <w:highlight w:val="none"/>
        </w:rPr>
        <w:fldChar w:fldCharType="end"/>
      </w:r>
      <w:r>
        <w:rPr>
          <w:rFonts w:hint="eastAsia" w:hAnsi="宋体" w:cs="宋体"/>
          <w:color w:val="auto"/>
          <w:highlight w:val="none"/>
          <w:u w:val="single"/>
        </w:rPr>
        <w:t>工程款原则上按月支付，工程进度款支付限额为已完成工程量的</w:t>
      </w:r>
      <w:r>
        <w:rPr>
          <w:rFonts w:hint="eastAsia" w:hAnsi="宋体" w:cs="宋体"/>
          <w:color w:val="auto"/>
          <w:highlight w:val="none"/>
          <w:u w:val="single"/>
          <w:lang w:val="en-US" w:eastAsia="zh-CN"/>
        </w:rPr>
        <w:t>90</w:t>
      </w:r>
      <w:r>
        <w:rPr>
          <w:rFonts w:hint="eastAsia" w:hAnsi="宋体" w:cs="宋体"/>
          <w:color w:val="auto"/>
          <w:highlight w:val="none"/>
          <w:u w:val="single"/>
        </w:rPr>
        <w:t>%，累计不超过合同价的</w:t>
      </w:r>
      <w:r>
        <w:rPr>
          <w:rFonts w:hint="eastAsia" w:hAnsi="宋体" w:cs="宋体"/>
          <w:color w:val="auto"/>
          <w:highlight w:val="none"/>
          <w:u w:val="single"/>
          <w:lang w:val="en-US" w:eastAsia="zh-CN"/>
        </w:rPr>
        <w:t>90</w:t>
      </w:r>
      <w:r>
        <w:rPr>
          <w:rFonts w:hint="eastAsia" w:hAnsi="宋体" w:cs="宋体"/>
          <w:color w:val="auto"/>
          <w:highlight w:val="none"/>
          <w:u w:val="single"/>
        </w:rPr>
        <w:t>%；合同外(设计变更)部分进度款支付限额为：累计增加的变更金额在合同价10%以内(含10%)按照当期计量的60%支付，累计增加的变更金额超出合同价的10%部分不进行进度款计量支付，留待工程结算时一并支付</w:t>
      </w:r>
      <w:r>
        <w:rPr>
          <w:rFonts w:hint="eastAsia" w:hAnsi="宋体" w:cs="宋体"/>
          <w:color w:val="auto"/>
          <w:highlight w:val="none"/>
          <w:u w:val="none"/>
          <w:lang w:eastAsia="zh-CN"/>
        </w:rPr>
        <w:t>。</w:t>
      </w:r>
      <w:r>
        <w:rPr>
          <w:rFonts w:hint="eastAsia" w:hAnsi="宋体" w:cs="宋体"/>
          <w:color w:val="auto"/>
          <w:highlight w:val="none"/>
          <w:u w:val="none"/>
        </w:rPr>
        <w:t>（</w:t>
      </w:r>
      <w:r>
        <w:rPr>
          <w:rFonts w:ascii="宋体" w:hAnsi="宋体" w:eastAsia="宋体" w:cs="宋体"/>
          <w:color w:val="auto"/>
          <w:kern w:val="0"/>
          <w:sz w:val="21"/>
          <w:szCs w:val="21"/>
          <w:highlight w:val="none"/>
          <w:u w:val="none"/>
          <w:lang w:val="en-US" w:eastAsia="zh-CN" w:bidi="ar"/>
        </w:rPr>
        <w:t>政府机关、事业单位、国有企业建设工程进度款支付应不低于已完成工程价款的</w:t>
      </w:r>
      <w:r>
        <w:rPr>
          <w:rFonts w:hAnsi="宋体" w:cs="宋体"/>
          <w:color w:val="auto"/>
          <w:highlight w:val="none"/>
          <w:u w:val="none"/>
        </w:rPr>
        <w:t>80</w:t>
      </w:r>
      <w:r>
        <w:rPr>
          <w:color w:val="auto"/>
          <w:highlight w:val="none"/>
          <w:u w:val="none"/>
        </w:rPr>
        <w:t>%</w:t>
      </w:r>
      <w:r>
        <w:rPr>
          <w:rFonts w:hint="eastAsia" w:hAnsi="宋体" w:cs="宋体"/>
          <w:color w:val="auto"/>
          <w:highlight w:val="none"/>
          <w:u w:val="none"/>
        </w:rPr>
        <w:t>）</w:t>
      </w:r>
    </w:p>
    <w:p w14:paraId="49D8F9D6">
      <w:pPr>
        <w:spacing w:line="360" w:lineRule="auto"/>
        <w:ind w:firstLine="420" w:firstLineChars="200"/>
        <w:jc w:val="left"/>
        <w:rPr>
          <w:rFonts w:hint="eastAsia" w:hAnsi="宋体" w:cs="宋体"/>
          <w:color w:val="auto"/>
          <w:highlight w:val="none"/>
          <w:u w:val="single"/>
        </w:rPr>
      </w:pPr>
      <w:r>
        <w:rPr>
          <w:rFonts w:hAnsi="宋体" w:cs="宋体"/>
          <w:color w:val="auto"/>
          <w:highlight w:val="none"/>
          <w:u w:val="single"/>
        </w:rPr>
        <w:fldChar w:fldCharType="begin"/>
      </w:r>
      <w:r>
        <w:rPr>
          <w:rFonts w:hAnsi="宋体" w:cs="宋体"/>
          <w:color w:val="auto"/>
          <w:highlight w:val="none"/>
          <w:u w:val="single"/>
        </w:rPr>
        <w:instrText xml:space="preserve"> </w:instrText>
      </w:r>
      <w:r>
        <w:rPr>
          <w:rFonts w:hint="eastAsia" w:hAnsi="宋体" w:cs="宋体"/>
          <w:color w:val="auto"/>
          <w:highlight w:val="none"/>
          <w:u w:val="single"/>
        </w:rPr>
        <w:instrText xml:space="preserve">= 2 \* GB3</w:instrText>
      </w:r>
      <w:r>
        <w:rPr>
          <w:rFonts w:hAnsi="宋体" w:cs="宋体"/>
          <w:color w:val="auto"/>
          <w:highlight w:val="none"/>
          <w:u w:val="single"/>
        </w:rPr>
        <w:instrText xml:space="preserve"> </w:instrText>
      </w:r>
      <w:r>
        <w:rPr>
          <w:rFonts w:hAnsi="宋体" w:cs="宋体"/>
          <w:color w:val="auto"/>
          <w:highlight w:val="none"/>
          <w:u w:val="single"/>
        </w:rPr>
        <w:fldChar w:fldCharType="separate"/>
      </w:r>
      <w:r>
        <w:rPr>
          <w:rFonts w:hint="eastAsia" w:hAnsi="宋体" w:cs="宋体"/>
          <w:color w:val="auto"/>
          <w:highlight w:val="none"/>
          <w:u w:val="single"/>
        </w:rPr>
        <w:t>②</w:t>
      </w:r>
      <w:r>
        <w:rPr>
          <w:rFonts w:hAnsi="宋体" w:cs="宋体"/>
          <w:color w:val="auto"/>
          <w:highlight w:val="none"/>
          <w:u w:val="single"/>
        </w:rPr>
        <w:fldChar w:fldCharType="end"/>
      </w:r>
      <w:r>
        <w:rPr>
          <w:rFonts w:hint="eastAsia" w:hAnsi="宋体" w:cs="宋体"/>
          <w:color w:val="auto"/>
          <w:highlight w:val="none"/>
          <w:u w:val="single"/>
        </w:rPr>
        <w:t>工程完工验收达到质量要求，结算经业主及合同约定的财政或审计部门（如有）审定后，工程款支付至结算总价的</w:t>
      </w:r>
      <w:r>
        <w:rPr>
          <w:rFonts w:hint="eastAsia" w:hAnsi="宋体" w:cs="宋体"/>
          <w:color w:val="auto"/>
          <w:highlight w:val="none"/>
          <w:u w:val="single"/>
          <w:lang w:val="en-US" w:eastAsia="zh-CN"/>
        </w:rPr>
        <w:t>97</w:t>
      </w:r>
      <w:r>
        <w:rPr>
          <w:color w:val="auto"/>
          <w:highlight w:val="none"/>
          <w:u w:val="single"/>
        </w:rPr>
        <w:t>%</w:t>
      </w:r>
      <w:r>
        <w:rPr>
          <w:rFonts w:hint="eastAsia" w:hAnsi="宋体" w:cs="宋体"/>
          <w:color w:val="auto"/>
          <w:highlight w:val="none"/>
          <w:u w:val="single"/>
        </w:rPr>
        <w:t>（不得低于</w:t>
      </w:r>
      <w:r>
        <w:rPr>
          <w:color w:val="auto"/>
          <w:highlight w:val="none"/>
          <w:u w:val="single"/>
        </w:rPr>
        <w:t>9</w:t>
      </w:r>
      <w:r>
        <w:rPr>
          <w:rFonts w:hint="eastAsia"/>
          <w:color w:val="auto"/>
          <w:highlight w:val="none"/>
          <w:u w:val="single"/>
        </w:rPr>
        <w:t>7</w:t>
      </w:r>
      <w:r>
        <w:rPr>
          <w:color w:val="auto"/>
          <w:highlight w:val="none"/>
          <w:u w:val="single"/>
        </w:rPr>
        <w:t>%</w:t>
      </w:r>
      <w:r>
        <w:rPr>
          <w:rFonts w:hint="eastAsia" w:cs="宋体"/>
          <w:color w:val="auto"/>
          <w:highlight w:val="none"/>
          <w:u w:val="single"/>
        </w:rPr>
        <w:t>）。</w:t>
      </w:r>
      <w:r>
        <w:rPr>
          <w:rFonts w:hint="eastAsia" w:hAnsi="宋体" w:cs="宋体"/>
          <w:color w:val="auto"/>
          <w:highlight w:val="none"/>
          <w:u w:val="single"/>
        </w:rPr>
        <w:t>发包人按工程价款结算总额的</w:t>
      </w:r>
      <w:r>
        <w:rPr>
          <w:rFonts w:hint="eastAsia"/>
          <w:color w:val="auto"/>
          <w:highlight w:val="none"/>
          <w:u w:val="single"/>
          <w:lang w:val="en-US" w:eastAsia="zh-CN"/>
        </w:rPr>
        <w:t>3</w:t>
      </w:r>
      <w:r>
        <w:rPr>
          <w:color w:val="auto"/>
          <w:highlight w:val="none"/>
          <w:u w:val="single"/>
        </w:rPr>
        <w:t xml:space="preserve"> %</w:t>
      </w:r>
      <w:r>
        <w:rPr>
          <w:rFonts w:hint="eastAsia" w:hAnsi="宋体" w:cs="宋体"/>
          <w:color w:val="auto"/>
          <w:highlight w:val="none"/>
          <w:u w:val="single"/>
        </w:rPr>
        <w:t>（最高不超过</w:t>
      </w:r>
      <w:r>
        <w:rPr>
          <w:rFonts w:hAnsi="宋体"/>
          <w:color w:val="auto"/>
          <w:highlight w:val="none"/>
          <w:u w:val="single"/>
        </w:rPr>
        <w:t>3%</w:t>
      </w:r>
      <w:r>
        <w:rPr>
          <w:rFonts w:hint="eastAsia" w:cs="宋体"/>
          <w:color w:val="auto"/>
          <w:highlight w:val="none"/>
          <w:u w:val="single"/>
        </w:rPr>
        <w:t>）</w:t>
      </w:r>
      <w:r>
        <w:rPr>
          <w:rFonts w:hint="eastAsia" w:hAnsi="宋体" w:cs="宋体"/>
          <w:color w:val="auto"/>
          <w:highlight w:val="none"/>
          <w:u w:val="single"/>
        </w:rPr>
        <w:t>预留工程质量保证金</w:t>
      </w:r>
      <w:r>
        <w:rPr>
          <w:rFonts w:hint="eastAsia" w:hAnsi="宋体" w:cs="宋体"/>
          <w:color w:val="auto"/>
          <w:highlight w:val="none"/>
          <w:u w:val="single"/>
          <w:lang w:eastAsia="zh-CN"/>
        </w:rPr>
        <w:t>，</w:t>
      </w:r>
      <w:r>
        <w:rPr>
          <w:rFonts w:hint="eastAsia" w:hAnsi="宋体" w:cs="宋体"/>
          <w:color w:val="auto"/>
          <w:highlight w:val="none"/>
          <w:u w:val="single"/>
          <w:lang w:val="en-US" w:eastAsia="zh-CN"/>
        </w:rPr>
        <w:t>缺陷责任期到期后，由建设单位组织工程质量检查验收，验收合格无质量问题的，则根据质保金退付流程办理</w:t>
      </w:r>
      <w:r>
        <w:rPr>
          <w:rFonts w:hint="eastAsia" w:hAnsi="宋体" w:cs="宋体"/>
          <w:color w:val="auto"/>
          <w:highlight w:val="none"/>
          <w:u w:val="none"/>
        </w:rPr>
        <w:t>。</w:t>
      </w:r>
    </w:p>
    <w:p w14:paraId="3C33E3B7">
      <w:pPr>
        <w:spacing w:line="360" w:lineRule="auto"/>
        <w:ind w:firstLine="420" w:firstLineChars="200"/>
        <w:jc w:val="left"/>
        <w:rPr>
          <w:rFonts w:hint="eastAsia" w:hAnsi="宋体" w:eastAsia="宋体" w:cs="宋体"/>
          <w:color w:val="auto"/>
          <w:highlight w:val="none"/>
          <w:u w:val="single"/>
          <w:lang w:val="en-US" w:eastAsia="zh-CN"/>
        </w:rPr>
      </w:pPr>
      <w:r>
        <w:rPr>
          <w:rFonts w:hint="eastAsia" w:hAnsi="宋体" w:cs="宋体"/>
          <w:color w:val="auto"/>
          <w:highlight w:val="none"/>
          <w:u w:val="single"/>
          <w:lang w:val="en-US" w:eastAsia="zh-CN"/>
        </w:rPr>
        <w:t>注：本合同约定发包人向承包人支付合同款的时间以财政审批支付确定的时间为准，如因财政迟延审批付款，发包人不因此承担逾期付款的违约责任</w:t>
      </w:r>
      <w:r>
        <w:rPr>
          <w:rFonts w:hint="eastAsia" w:hAnsi="宋体" w:cs="宋体"/>
          <w:color w:val="auto"/>
          <w:highlight w:val="none"/>
          <w:u w:val="none"/>
          <w:lang w:val="en-US" w:eastAsia="zh-CN"/>
        </w:rPr>
        <w:t>。</w:t>
      </w:r>
    </w:p>
    <w:p w14:paraId="425E52B0">
      <w:pPr>
        <w:spacing w:line="360" w:lineRule="auto"/>
        <w:ind w:firstLine="420" w:firstLineChars="200"/>
        <w:jc w:val="left"/>
        <w:rPr>
          <w:color w:val="auto"/>
          <w:highlight w:val="none"/>
        </w:rPr>
      </w:pPr>
      <w:r>
        <w:rPr>
          <w:color w:val="auto"/>
          <w:highlight w:val="none"/>
        </w:rPr>
        <w:t xml:space="preserve">12.4.2 </w:t>
      </w:r>
      <w:r>
        <w:rPr>
          <w:rFonts w:hint="eastAsia" w:hAnsi="宋体" w:cs="宋体"/>
          <w:color w:val="auto"/>
          <w:highlight w:val="none"/>
        </w:rPr>
        <w:t>进度付款申请单的编制</w:t>
      </w:r>
    </w:p>
    <w:p w14:paraId="1D53BFD3">
      <w:pPr>
        <w:spacing w:line="360" w:lineRule="auto"/>
        <w:ind w:firstLine="420" w:firstLineChars="200"/>
        <w:jc w:val="left"/>
        <w:rPr>
          <w:color w:val="auto"/>
          <w:highlight w:val="none"/>
          <w:u w:val="single"/>
        </w:rPr>
      </w:pPr>
      <w:r>
        <w:rPr>
          <w:rFonts w:hint="eastAsia" w:hAnsi="宋体" w:cs="宋体"/>
          <w:color w:val="auto"/>
          <w:highlight w:val="none"/>
        </w:rPr>
        <w:t>关于进度付款申请单编制的约定：</w:t>
      </w:r>
      <w:r>
        <w:rPr>
          <w:rFonts w:hint="eastAsia"/>
          <w:color w:val="auto"/>
          <w:highlight w:val="none"/>
          <w:u w:val="single"/>
        </w:rPr>
        <w:t xml:space="preserve">  按发包人要求版本进行编制  </w:t>
      </w:r>
      <w:r>
        <w:rPr>
          <w:rFonts w:hint="eastAsia" w:hAnsi="宋体" w:cs="宋体"/>
          <w:color w:val="auto"/>
          <w:highlight w:val="none"/>
        </w:rPr>
        <w:t>。</w:t>
      </w:r>
    </w:p>
    <w:p w14:paraId="2691B114">
      <w:pPr>
        <w:spacing w:line="360" w:lineRule="auto"/>
        <w:ind w:firstLine="420" w:firstLineChars="200"/>
        <w:jc w:val="left"/>
        <w:rPr>
          <w:color w:val="auto"/>
          <w:highlight w:val="none"/>
        </w:rPr>
      </w:pPr>
      <w:r>
        <w:rPr>
          <w:color w:val="auto"/>
          <w:highlight w:val="none"/>
        </w:rPr>
        <w:t>1</w:t>
      </w:r>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r>
        <w:rPr>
          <w:color w:val="auto"/>
          <w:highlight w:val="none"/>
        </w:rPr>
        <w:t xml:space="preserve">2.4.3 </w:t>
      </w:r>
      <w:r>
        <w:rPr>
          <w:rFonts w:hint="eastAsia" w:hAnsi="宋体" w:cs="宋体"/>
          <w:color w:val="auto"/>
          <w:highlight w:val="none"/>
        </w:rPr>
        <w:t>进度付款申请单的提交</w:t>
      </w:r>
    </w:p>
    <w:p w14:paraId="68EDF7F7">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）单价合同进度付款申请单提交的约定：</w:t>
      </w:r>
      <w:r>
        <w:rPr>
          <w:rFonts w:ascii="宋体" w:hAnsi="宋体" w:eastAsia="宋体" w:cs="宋体"/>
          <w:color w:val="auto"/>
          <w:spacing w:val="0"/>
          <w:highlight w:val="none"/>
          <w:u w:val="single"/>
        </w:rPr>
        <w:t xml:space="preserve"> 承包人应配合发包人提供以下资料：①工程项目资金申请审批表；②监理支付凭证；③工程量计量报表；④《施工形象进度现场核实表》；⑤新增项目需提交审核后的新增预算书；⑥合同复印件；⑦经监理单位确认的工程质保证明</w:t>
      </w:r>
      <w:r>
        <w:rPr>
          <w:rFonts w:ascii="宋体" w:hAnsi="宋体" w:eastAsia="宋体" w:cs="宋体"/>
          <w:color w:val="auto"/>
          <w:highlight w:val="none"/>
          <w:u w:val="single"/>
        </w:rPr>
        <w:t>材</w:t>
      </w:r>
      <w:r>
        <w:rPr>
          <w:rFonts w:ascii="宋体" w:hAnsi="宋体" w:eastAsia="宋体" w:cs="宋体"/>
          <w:color w:val="auto"/>
          <w:spacing w:val="0"/>
          <w:highlight w:val="none"/>
          <w:u w:val="single"/>
        </w:rPr>
        <w:t>料；⑧开具与应付金额等额的发包人指定的增值税发票；⑨发包人要求的其他材料或其他需</w:t>
      </w:r>
      <w:r>
        <w:rPr>
          <w:rFonts w:ascii="宋体" w:hAnsi="宋体" w:eastAsia="宋体" w:cs="宋体"/>
          <w:color w:val="auto"/>
          <w:highlight w:val="none"/>
          <w:u w:val="single"/>
        </w:rPr>
        <w:t>要</w:t>
      </w:r>
      <w:r>
        <w:rPr>
          <w:rFonts w:ascii="宋体" w:hAnsi="宋体" w:eastAsia="宋体" w:cs="宋体"/>
          <w:color w:val="auto"/>
          <w:spacing w:val="0"/>
          <w:highlight w:val="none"/>
          <w:u w:val="single"/>
        </w:rPr>
        <w:t>补充说明的</w:t>
      </w:r>
      <w:r>
        <w:rPr>
          <w:rFonts w:ascii="宋体" w:hAnsi="宋体" w:eastAsia="宋体" w:cs="宋体"/>
          <w:color w:val="auto"/>
          <w:highlight w:val="none"/>
          <w:u w:val="single"/>
        </w:rPr>
        <w:t xml:space="preserve">材料 </w:t>
      </w:r>
      <w:r>
        <w:rPr>
          <w:rFonts w:hint="eastAsia" w:hAnsi="宋体" w:cs="宋体"/>
          <w:color w:val="auto"/>
          <w:highlight w:val="none"/>
        </w:rPr>
        <w:t>。</w:t>
      </w:r>
    </w:p>
    <w:p w14:paraId="4B64175F">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）总价合同进度付款申请单提交的约定：</w:t>
      </w:r>
      <w:r>
        <w:rPr>
          <w:rFonts w:ascii="宋体" w:hAnsi="宋体" w:eastAsia="宋体" w:cs="宋体"/>
          <w:color w:val="auto"/>
          <w:spacing w:val="0"/>
          <w:highlight w:val="none"/>
          <w:u w:val="single"/>
        </w:rPr>
        <w:t xml:space="preserve">  无</w:t>
      </w:r>
      <w:r>
        <w:rPr>
          <w:rFonts w:hint="eastAsia" w:ascii="宋体" w:hAnsi="宋体" w:eastAsia="宋体" w:cs="宋体"/>
          <w:color w:val="auto"/>
          <w:spacing w:val="0"/>
          <w:highlight w:val="none"/>
          <w:u w:val="single"/>
          <w:lang w:val="en-US" w:eastAsia="zh-CN"/>
        </w:rPr>
        <w:t xml:space="preserve"> </w:t>
      </w:r>
      <w:r>
        <w:rPr>
          <w:rFonts w:ascii="宋体" w:hAnsi="宋体" w:eastAsia="宋体" w:cs="宋体"/>
          <w:color w:val="auto"/>
          <w:spacing w:val="0"/>
          <w:highlight w:val="none"/>
          <w:u w:val="single"/>
        </w:rPr>
        <w:t xml:space="preserve"> </w:t>
      </w:r>
      <w:r>
        <w:rPr>
          <w:rFonts w:hint="eastAsia" w:hAnsi="宋体" w:cs="宋体"/>
          <w:color w:val="auto"/>
          <w:highlight w:val="none"/>
        </w:rPr>
        <w:t>。</w:t>
      </w:r>
    </w:p>
    <w:p w14:paraId="6A5DA525">
      <w:pPr>
        <w:spacing w:line="360" w:lineRule="auto"/>
        <w:ind w:firstLine="420" w:firstLineChars="200"/>
        <w:jc w:val="left"/>
        <w:rPr>
          <w:color w:val="auto"/>
          <w:highlight w:val="none"/>
          <w:u w:val="single"/>
        </w:rPr>
      </w:pPr>
      <w:r>
        <w:rPr>
          <w:rFonts w:hint="eastAsia" w:hAnsi="宋体" w:cs="宋体"/>
          <w:color w:val="auto"/>
          <w:highlight w:val="none"/>
        </w:rPr>
        <w:t>（</w:t>
      </w:r>
      <w:r>
        <w:rPr>
          <w:color w:val="auto"/>
          <w:highlight w:val="none"/>
        </w:rPr>
        <w:t>3</w:t>
      </w:r>
      <w:r>
        <w:rPr>
          <w:rFonts w:hint="eastAsia" w:hAnsi="宋体" w:cs="宋体"/>
          <w:color w:val="auto"/>
          <w:highlight w:val="none"/>
        </w:rPr>
        <w:t>）其他价格形式合同进度付款申请单提交的约定：</w:t>
      </w:r>
      <w:r>
        <w:rPr>
          <w:rFonts w:ascii="宋体" w:hAnsi="宋体" w:eastAsia="宋体" w:cs="宋体"/>
          <w:color w:val="auto"/>
          <w:spacing w:val="0"/>
          <w:highlight w:val="none"/>
          <w:u w:val="single"/>
        </w:rPr>
        <w:t xml:space="preserve">  无</w:t>
      </w:r>
      <w:r>
        <w:rPr>
          <w:rFonts w:hint="eastAsia" w:ascii="宋体" w:hAnsi="宋体" w:eastAsia="宋体" w:cs="宋体"/>
          <w:color w:val="auto"/>
          <w:spacing w:val="0"/>
          <w:highlight w:val="none"/>
          <w:u w:val="single"/>
          <w:lang w:val="en-US" w:eastAsia="zh-CN"/>
        </w:rPr>
        <w:t xml:space="preserve"> </w:t>
      </w:r>
      <w:r>
        <w:rPr>
          <w:rFonts w:ascii="宋体" w:hAnsi="宋体" w:eastAsia="宋体" w:cs="宋体"/>
          <w:color w:val="auto"/>
          <w:spacing w:val="0"/>
          <w:highlight w:val="none"/>
          <w:u w:val="single"/>
        </w:rPr>
        <w:t xml:space="preserve"> </w:t>
      </w:r>
      <w:r>
        <w:rPr>
          <w:rFonts w:hint="eastAsia" w:hAnsi="宋体" w:cs="宋体"/>
          <w:color w:val="auto"/>
          <w:highlight w:val="none"/>
        </w:rPr>
        <w:t>。</w:t>
      </w:r>
    </w:p>
    <w:p w14:paraId="491FB640">
      <w:pPr>
        <w:spacing w:line="360" w:lineRule="auto"/>
        <w:ind w:firstLine="420" w:firstLineChars="200"/>
        <w:jc w:val="left"/>
        <w:rPr>
          <w:color w:val="auto"/>
          <w:highlight w:val="none"/>
        </w:rPr>
      </w:pPr>
      <w:r>
        <w:rPr>
          <w:color w:val="auto"/>
          <w:highlight w:val="none"/>
        </w:rPr>
        <w:t xml:space="preserve">12.4.4 </w:t>
      </w:r>
      <w:r>
        <w:rPr>
          <w:rFonts w:hint="eastAsia" w:hAnsi="宋体" w:cs="宋体"/>
          <w:color w:val="auto"/>
          <w:highlight w:val="none"/>
        </w:rPr>
        <w:t>进度款审核和支付</w:t>
      </w:r>
    </w:p>
    <w:p w14:paraId="46BB45BD">
      <w:pPr>
        <w:spacing w:line="360" w:lineRule="auto"/>
        <w:ind w:firstLine="420" w:firstLineChars="200"/>
        <w:jc w:val="left"/>
        <w:rPr>
          <w:color w:val="auto"/>
          <w:highlight w:val="none"/>
          <w:u w:val="single"/>
        </w:rPr>
      </w:pPr>
      <w:r>
        <w:rPr>
          <w:rFonts w:hint="eastAsia" w:hAnsi="宋体" w:cs="宋体"/>
          <w:color w:val="auto"/>
          <w:highlight w:val="none"/>
        </w:rPr>
        <w:t>（</w:t>
      </w:r>
      <w:r>
        <w:rPr>
          <w:color w:val="auto"/>
          <w:highlight w:val="none"/>
        </w:rPr>
        <w:t>1</w:t>
      </w:r>
      <w:r>
        <w:rPr>
          <w:rFonts w:hint="eastAsia" w:hAnsi="宋体" w:cs="宋体"/>
          <w:color w:val="auto"/>
          <w:highlight w:val="none"/>
        </w:rPr>
        <w:t>）监理人审查并报送发包人的期限：</w:t>
      </w:r>
      <w:r>
        <w:rPr>
          <w:rFonts w:ascii="宋体" w:hAnsi="宋体" w:eastAsia="宋体" w:cs="宋体"/>
          <w:color w:val="auto"/>
          <w:spacing w:val="0"/>
          <w:highlight w:val="none"/>
          <w:u w:val="single"/>
        </w:rPr>
        <w:t xml:space="preserve"> 监理人应在收到承包人进度付款申请单以及相关资料后</w:t>
      </w:r>
      <w:r>
        <w:rPr>
          <w:rFonts w:ascii="Calibri" w:hAnsi="Calibri" w:eastAsia="Calibri" w:cs="Calibri"/>
          <w:color w:val="auto"/>
          <w:spacing w:val="0"/>
          <w:highlight w:val="none"/>
          <w:u w:val="single"/>
        </w:rPr>
        <w:t>3</w:t>
      </w:r>
      <w:r>
        <w:rPr>
          <w:rFonts w:ascii="宋体" w:hAnsi="宋体" w:eastAsia="宋体" w:cs="宋体"/>
          <w:color w:val="auto"/>
          <w:highlight w:val="none"/>
          <w:u w:val="single"/>
        </w:rPr>
        <w:t xml:space="preserve">天内完成审查并报送发包人 </w:t>
      </w:r>
      <w:r>
        <w:rPr>
          <w:rFonts w:hint="eastAsia" w:hAnsi="宋体" w:cs="宋体"/>
          <w:color w:val="auto"/>
          <w:highlight w:val="none"/>
        </w:rPr>
        <w:t>。</w:t>
      </w:r>
    </w:p>
    <w:p w14:paraId="6F3B1A0E">
      <w:pPr>
        <w:spacing w:line="360" w:lineRule="auto"/>
        <w:ind w:firstLine="420" w:firstLineChars="200"/>
        <w:jc w:val="left"/>
        <w:rPr>
          <w:color w:val="auto"/>
          <w:highlight w:val="none"/>
          <w:u w:val="single"/>
        </w:rPr>
      </w:pPr>
      <w:r>
        <w:rPr>
          <w:rFonts w:hint="eastAsia" w:hAnsi="宋体" w:cs="宋体"/>
          <w:color w:val="auto"/>
          <w:highlight w:val="none"/>
        </w:rPr>
        <w:t>发包人完成审批并签发进度款支付证书的期限：</w:t>
      </w:r>
      <w:r>
        <w:rPr>
          <w:rFonts w:ascii="宋体" w:hAnsi="宋体" w:eastAsia="宋体" w:cs="宋体"/>
          <w:color w:val="auto"/>
          <w:spacing w:val="0"/>
          <w:highlight w:val="none"/>
          <w:u w:val="single"/>
        </w:rPr>
        <w:t xml:space="preserve"> 发包人应在收到后 </w:t>
      </w:r>
      <w:r>
        <w:rPr>
          <w:rFonts w:ascii="Calibri" w:hAnsi="Calibri" w:eastAsia="Calibri" w:cs="Calibri"/>
          <w:color w:val="auto"/>
          <w:spacing w:val="0"/>
          <w:highlight w:val="none"/>
          <w:u w:val="single"/>
        </w:rPr>
        <w:t xml:space="preserve">15 </w:t>
      </w:r>
      <w:r>
        <w:rPr>
          <w:rFonts w:ascii="宋体" w:hAnsi="宋体" w:eastAsia="宋体" w:cs="宋体"/>
          <w:color w:val="auto"/>
          <w:spacing w:val="0"/>
          <w:highlight w:val="none"/>
          <w:u w:val="single"/>
        </w:rPr>
        <w:t xml:space="preserve">天内完成审批并签发进度款支付证书 </w:t>
      </w:r>
      <w:r>
        <w:rPr>
          <w:rFonts w:hint="eastAsia" w:hAnsi="宋体" w:cs="宋体"/>
          <w:color w:val="auto"/>
          <w:highlight w:val="none"/>
        </w:rPr>
        <w:t>。</w:t>
      </w:r>
    </w:p>
    <w:p w14:paraId="2CD325F1">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）发包人支付进度款的期限：</w:t>
      </w:r>
      <w:r>
        <w:rPr>
          <w:rFonts w:ascii="宋体" w:hAnsi="宋体" w:eastAsia="宋体" w:cs="宋体"/>
          <w:color w:val="auto"/>
          <w:spacing w:val="0"/>
          <w:highlight w:val="none"/>
          <w:u w:val="single"/>
        </w:rPr>
        <w:t xml:space="preserve"> 收到承包人递交的申请单并报送财政审核通过后</w:t>
      </w:r>
      <w:r>
        <w:rPr>
          <w:rFonts w:ascii="Calibri" w:hAnsi="Calibri" w:eastAsia="Calibri" w:cs="Calibri"/>
          <w:color w:val="auto"/>
          <w:highlight w:val="none"/>
          <w:u w:val="single"/>
        </w:rPr>
        <w:t>15</w:t>
      </w:r>
      <w:r>
        <w:rPr>
          <w:rFonts w:ascii="宋体" w:hAnsi="宋体" w:eastAsia="宋体" w:cs="宋体"/>
          <w:color w:val="auto"/>
          <w:highlight w:val="none"/>
          <w:u w:val="single"/>
        </w:rPr>
        <w:t>个工作日内(注：资金支付需要财政审核，承包人需提供相关结算资料报发包人，由发包人向</w:t>
      </w:r>
      <w:r>
        <w:rPr>
          <w:rFonts w:ascii="宋体" w:hAnsi="宋体" w:eastAsia="宋体" w:cs="宋体"/>
          <w:color w:val="auto"/>
          <w:spacing w:val="0"/>
          <w:highlight w:val="none"/>
          <w:u w:val="single"/>
        </w:rPr>
        <w:t>财政申请资金支付审核，审核通过后</w:t>
      </w:r>
      <w:r>
        <w:rPr>
          <w:rFonts w:ascii="Calibri" w:hAnsi="Calibri" w:eastAsia="Calibri" w:cs="Calibri"/>
          <w:color w:val="auto"/>
          <w:spacing w:val="0"/>
          <w:highlight w:val="none"/>
          <w:u w:val="single"/>
        </w:rPr>
        <w:t>15</w:t>
      </w:r>
      <w:r>
        <w:rPr>
          <w:rFonts w:ascii="宋体" w:hAnsi="宋体" w:eastAsia="宋体" w:cs="宋体"/>
          <w:color w:val="auto"/>
          <w:spacing w:val="0"/>
          <w:highlight w:val="none"/>
          <w:u w:val="single"/>
        </w:rPr>
        <w:t xml:space="preserve">个工作日内，由发包人支付给承包人) </w:t>
      </w:r>
      <w:r>
        <w:rPr>
          <w:rFonts w:hint="eastAsia" w:hAnsi="宋体" w:cs="宋体"/>
          <w:color w:val="auto"/>
          <w:highlight w:val="none"/>
        </w:rPr>
        <w:t>。</w:t>
      </w:r>
    </w:p>
    <w:p w14:paraId="6A9AA654">
      <w:pPr>
        <w:spacing w:line="360" w:lineRule="auto"/>
        <w:ind w:firstLine="525" w:firstLineChars="250"/>
        <w:jc w:val="left"/>
        <w:rPr>
          <w:color w:val="auto"/>
          <w:highlight w:val="none"/>
        </w:rPr>
      </w:pPr>
      <w:r>
        <w:rPr>
          <w:rFonts w:hint="eastAsia" w:hAnsi="宋体" w:cs="宋体"/>
          <w:color w:val="auto"/>
          <w:highlight w:val="none"/>
        </w:rPr>
        <w:t>发包人逾期支付进度款的违约金的计算方式：</w:t>
      </w:r>
      <w:r>
        <w:rPr>
          <w:rFonts w:ascii="宋体" w:hAnsi="宋体" w:eastAsia="宋体" w:cs="宋体"/>
          <w:color w:val="auto"/>
          <w:spacing w:val="0"/>
          <w:highlight w:val="none"/>
          <w:u w:val="single"/>
        </w:rPr>
        <w:t xml:space="preserve">    无     </w:t>
      </w:r>
      <w:r>
        <w:rPr>
          <w:rFonts w:hint="eastAsia" w:hAnsi="宋体" w:cs="宋体"/>
          <w:color w:val="auto"/>
          <w:highlight w:val="none"/>
        </w:rPr>
        <w:t>。</w:t>
      </w:r>
    </w:p>
    <w:p w14:paraId="61B4AC05">
      <w:pPr>
        <w:spacing w:line="360" w:lineRule="auto"/>
        <w:ind w:firstLine="630" w:firstLineChars="300"/>
        <w:rPr>
          <w:rFonts w:hAnsi="宋体" w:cs="宋体"/>
          <w:color w:val="auto"/>
          <w:highlight w:val="none"/>
        </w:rPr>
      </w:pPr>
      <w:r>
        <w:rPr>
          <w:rFonts w:hint="eastAsia" w:hAnsi="宋体" w:cs="宋体"/>
          <w:color w:val="auto"/>
          <w:highlight w:val="none"/>
        </w:rPr>
        <w:t>进度款支付方式：</w:t>
      </w:r>
      <w:r>
        <w:rPr>
          <w:rFonts w:hint="eastAsia" w:hAnsi="宋体" w:cs="宋体"/>
          <w:color w:val="auto"/>
          <w:highlight w:val="none"/>
          <w:u w:val="single"/>
        </w:rPr>
        <w:t>银行转账</w:t>
      </w:r>
      <w:r>
        <w:rPr>
          <w:rFonts w:hint="eastAsia" w:hAnsi="宋体" w:cs="宋体"/>
          <w:color w:val="auto"/>
          <w:highlight w:val="none"/>
        </w:rPr>
        <w:t>。</w:t>
      </w:r>
      <w:r>
        <w:rPr>
          <w:rFonts w:hint="eastAsia"/>
          <w:color w:val="auto"/>
          <w:highlight w:val="none"/>
        </w:rPr>
        <w:t>进度款支付申请（核准）表见合同附件11。</w:t>
      </w:r>
    </w:p>
    <w:p w14:paraId="052B0F04">
      <w:pPr>
        <w:spacing w:line="360" w:lineRule="auto"/>
        <w:ind w:firstLine="525" w:firstLineChars="250"/>
        <w:jc w:val="left"/>
        <w:rPr>
          <w:rFonts w:hint="eastAsia" w:hAnsi="宋体"/>
          <w:color w:val="auto"/>
          <w:highlight w:val="none"/>
        </w:rPr>
      </w:pPr>
      <w:r>
        <w:rPr>
          <w:rFonts w:hint="eastAsia" w:hAnsi="宋体"/>
          <w:color w:val="auto"/>
          <w:highlight w:val="none"/>
        </w:rPr>
        <w:t>（3） 农民工工资支付</w:t>
      </w:r>
    </w:p>
    <w:p w14:paraId="5E0448E8">
      <w:pPr>
        <w:spacing w:line="360" w:lineRule="auto"/>
        <w:ind w:firstLine="525" w:firstLineChars="250"/>
        <w:jc w:val="left"/>
        <w:rPr>
          <w:rFonts w:hint="eastAsia" w:hAnsi="宋体" w:cs="宋体"/>
          <w:color w:val="auto"/>
          <w:kern w:val="0"/>
          <w:highlight w:val="none"/>
        </w:rPr>
      </w:pPr>
      <w:r>
        <w:rPr>
          <w:rFonts w:hint="eastAsia" w:hAnsi="宋体" w:cs="宋体"/>
          <w:color w:val="auto"/>
          <w:kern w:val="0"/>
          <w:highlight w:val="none"/>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77D8D9F4">
      <w:pPr>
        <w:spacing w:line="360" w:lineRule="auto"/>
        <w:ind w:firstLine="525" w:firstLineChars="250"/>
        <w:jc w:val="left"/>
        <w:rPr>
          <w:rFonts w:hint="eastAsia" w:hAnsi="宋体" w:cs="宋体"/>
          <w:color w:val="auto"/>
          <w:kern w:val="0"/>
          <w:highlight w:val="none"/>
        </w:rPr>
      </w:pPr>
      <w:r>
        <w:rPr>
          <w:rFonts w:hint="eastAsia" w:hAnsi="宋体" w:cs="宋体"/>
          <w:color w:val="auto"/>
          <w:kern w:val="0"/>
          <w:highlight w:val="none"/>
        </w:rPr>
        <w:t>2）人工费应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23A6CA20">
      <w:pPr>
        <w:spacing w:line="360" w:lineRule="auto"/>
        <w:ind w:firstLine="525" w:firstLineChars="250"/>
        <w:jc w:val="left"/>
        <w:rPr>
          <w:rFonts w:hint="eastAsia" w:hAnsi="宋体" w:cs="宋体"/>
          <w:color w:val="auto"/>
          <w:kern w:val="0"/>
          <w:highlight w:val="none"/>
        </w:rPr>
      </w:pPr>
      <w:r>
        <w:rPr>
          <w:rFonts w:hint="eastAsia" w:hAnsi="宋体" w:cs="宋体"/>
          <w:color w:val="auto"/>
          <w:kern w:val="0"/>
          <w:highlight w:val="none"/>
        </w:rPr>
        <w:t xml:space="preserve">3）发包人依据工程进度，审核承包人申报的工程进度款，按照与承包人约定的人工费支付比例 </w:t>
      </w:r>
      <w:r>
        <w:rPr>
          <w:rFonts w:hint="eastAsia" w:hAnsi="宋体" w:cs="宋体"/>
          <w:color w:val="auto"/>
          <w:kern w:val="0"/>
          <w:highlight w:val="none"/>
          <w:lang w:val="en-US" w:eastAsia="zh-CN"/>
        </w:rPr>
        <w:t>20</w:t>
      </w:r>
      <w:r>
        <w:rPr>
          <w:rFonts w:hint="eastAsia" w:hAnsi="宋体" w:cs="宋体"/>
          <w:color w:val="auto"/>
          <w:kern w:val="0"/>
          <w:highlight w:val="none"/>
        </w:rPr>
        <w:t>%</w:t>
      </w:r>
      <w:r>
        <w:rPr>
          <w:rFonts w:hint="eastAsia" w:hAnsi="宋体" w:cs="宋体"/>
          <w:color w:val="auto"/>
          <w:kern w:val="0"/>
          <w:highlight w:val="none"/>
          <w:lang w:eastAsia="zh-CN"/>
        </w:rPr>
        <w:t>（房建项目不少于</w:t>
      </w:r>
      <w:r>
        <w:rPr>
          <w:rFonts w:hint="eastAsia" w:hAnsi="宋体" w:cs="宋体"/>
          <w:color w:val="auto"/>
          <w:kern w:val="0"/>
          <w:highlight w:val="none"/>
          <w:lang w:val="en-US" w:eastAsia="zh-CN"/>
        </w:rPr>
        <w:t>20%，市政项目不少于15%）</w:t>
      </w:r>
      <w:r>
        <w:rPr>
          <w:rFonts w:hint="eastAsia" w:hAnsi="宋体" w:cs="宋体"/>
          <w:color w:val="auto"/>
          <w:kern w:val="0"/>
          <w:highlight w:val="none"/>
        </w:rPr>
        <w:t>，将人工费及时足额拨付至承包人的农民工工资专用账户，其余工程进度款项由发包人支付到承包人的单位基本户。</w:t>
      </w:r>
    </w:p>
    <w:p w14:paraId="0D143DDA">
      <w:pPr>
        <w:spacing w:line="360" w:lineRule="auto"/>
        <w:ind w:firstLine="525" w:firstLineChars="250"/>
        <w:jc w:val="left"/>
        <w:rPr>
          <w:rFonts w:hint="eastAsia" w:hAnsi="宋体" w:cs="宋体"/>
          <w:color w:val="auto"/>
          <w:kern w:val="0"/>
          <w:highlight w:val="none"/>
        </w:rPr>
      </w:pPr>
      <w:r>
        <w:rPr>
          <w:rFonts w:hint="eastAsia" w:hAnsi="宋体" w:cs="宋体"/>
          <w:color w:val="auto"/>
          <w:kern w:val="0"/>
          <w:highlight w:val="none"/>
        </w:rPr>
        <w:t xml:space="preserve">4）工程建设领域总包单位对农民工工资支付负总责，推行分包单位农民工工资委托总包单位代发制度（以下简称总包代发制度）。工程建设项目施行总包代发制度的，总包单位与分包单位签订委托工资支付协议。 </w:t>
      </w:r>
    </w:p>
    <w:p w14:paraId="0AA45D51">
      <w:pPr>
        <w:spacing w:line="360" w:lineRule="auto"/>
        <w:ind w:firstLine="525" w:firstLineChars="250"/>
        <w:jc w:val="left"/>
        <w:rPr>
          <w:rFonts w:hint="eastAsia" w:hAnsi="宋体" w:cs="宋体"/>
          <w:color w:val="auto"/>
          <w:kern w:val="0"/>
          <w:highlight w:val="none"/>
        </w:rPr>
      </w:pPr>
      <w:r>
        <w:rPr>
          <w:rFonts w:hint="eastAsia" w:hAnsi="宋体" w:cs="宋体"/>
          <w:color w:val="auto"/>
          <w:kern w:val="0"/>
          <w:highlight w:val="none"/>
        </w:rPr>
        <w:t>5）凡未向付款单位提供农民工工资专用账户的，或者请款单位在申请工程进度款时未将人工费单列的，付款单位有权拒绝支付工程进度款。</w:t>
      </w:r>
    </w:p>
    <w:p w14:paraId="7A870404">
      <w:pPr>
        <w:spacing w:line="360" w:lineRule="auto"/>
        <w:ind w:firstLine="525" w:firstLineChars="250"/>
        <w:jc w:val="left"/>
        <w:rPr>
          <w:rFonts w:hint="eastAsia" w:hAnsi="宋体" w:cs="宋体"/>
          <w:color w:val="auto"/>
          <w:kern w:val="0"/>
          <w:highlight w:val="none"/>
        </w:rPr>
      </w:pPr>
      <w:r>
        <w:rPr>
          <w:rFonts w:hint="eastAsia" w:hAnsi="宋体" w:cs="宋体"/>
          <w:color w:val="auto"/>
          <w:kern w:val="0"/>
          <w:highlight w:val="none"/>
        </w:rPr>
        <w:t>6）人工费使用要求：专款专用，除发放农民工工资外，不得用于其他用途。</w:t>
      </w:r>
    </w:p>
    <w:p w14:paraId="29845701">
      <w:pPr>
        <w:spacing w:line="360" w:lineRule="auto"/>
        <w:ind w:firstLine="525" w:firstLineChars="250"/>
        <w:jc w:val="left"/>
        <w:rPr>
          <w:rFonts w:hint="eastAsia" w:hAnsi="宋体" w:cs="宋体"/>
          <w:color w:val="auto"/>
          <w:kern w:val="0"/>
          <w:highlight w:val="none"/>
        </w:rPr>
      </w:pPr>
      <w:r>
        <w:rPr>
          <w:rFonts w:hint="eastAsia" w:hAnsi="宋体" w:cs="宋体"/>
          <w:color w:val="auto"/>
          <w:kern w:val="0"/>
          <w:highlight w:val="none"/>
        </w:rPr>
        <w:t>7）承包人将人工费支付情况定期报告发包人和监理单位，并提供相应的材料接受建设行政主管部门和劳动保障行政主管部门对此事项监管。</w:t>
      </w:r>
    </w:p>
    <w:p w14:paraId="2B0A5A76">
      <w:pPr>
        <w:spacing w:line="360" w:lineRule="auto"/>
        <w:ind w:firstLine="525" w:firstLineChars="250"/>
        <w:jc w:val="left"/>
        <w:rPr>
          <w:rFonts w:hint="eastAsia" w:hAnsi="宋体" w:cs="宋体"/>
          <w:color w:val="auto"/>
          <w:kern w:val="0"/>
          <w:highlight w:val="none"/>
        </w:rPr>
      </w:pPr>
      <w:r>
        <w:rPr>
          <w:rFonts w:hint="eastAsia" w:hAnsi="宋体" w:cs="宋体"/>
          <w:color w:val="auto"/>
          <w:kern w:val="0"/>
          <w:highlight w:val="none"/>
        </w:rPr>
        <w:t>8）人工费支付专用账户：××××公司农民工工资支付专用账户。账号：</w:t>
      </w:r>
      <w:r>
        <w:rPr>
          <w:rFonts w:hint="eastAsia" w:hAnsi="宋体" w:cs="宋体"/>
          <w:color w:val="auto"/>
          <w:kern w:val="0"/>
          <w:highlight w:val="none"/>
          <w:u w:val="single"/>
        </w:rPr>
        <w:t xml:space="preserve">       </w:t>
      </w:r>
      <w:r>
        <w:rPr>
          <w:rFonts w:hint="eastAsia" w:hAnsi="宋体" w:cs="宋体"/>
          <w:color w:val="auto"/>
          <w:kern w:val="0"/>
          <w:highlight w:val="none"/>
        </w:rPr>
        <w:t>。</w:t>
      </w:r>
    </w:p>
    <w:p w14:paraId="7F6A04F7">
      <w:pPr>
        <w:spacing w:line="360" w:lineRule="auto"/>
        <w:ind w:firstLine="525" w:firstLineChars="250"/>
        <w:jc w:val="left"/>
        <w:rPr>
          <w:rFonts w:hAnsi="宋体"/>
          <w:color w:val="auto"/>
          <w:highlight w:val="none"/>
        </w:rPr>
      </w:pPr>
      <w:r>
        <w:rPr>
          <w:color w:val="auto"/>
          <w:highlight w:val="none"/>
        </w:rPr>
        <w:t xml:space="preserve">12.4.6 </w:t>
      </w:r>
      <w:r>
        <w:rPr>
          <w:rFonts w:hint="eastAsia" w:hAnsi="宋体" w:cs="宋体"/>
          <w:color w:val="auto"/>
          <w:highlight w:val="none"/>
        </w:rPr>
        <w:t>支付分解表的编制</w:t>
      </w:r>
    </w:p>
    <w:p w14:paraId="4949EE9A">
      <w:pPr>
        <w:spacing w:line="360" w:lineRule="auto"/>
        <w:ind w:firstLine="525" w:firstLineChars="250"/>
        <w:jc w:val="left"/>
        <w:rPr>
          <w:color w:val="auto"/>
          <w:highlight w:val="none"/>
          <w:u w:val="single"/>
        </w:rPr>
      </w:pPr>
      <w:r>
        <w:rPr>
          <w:rFonts w:hint="eastAsia"/>
          <w:color w:val="auto"/>
          <w:highlight w:val="none"/>
        </w:rPr>
        <w:t>（</w:t>
      </w:r>
      <w:r>
        <w:rPr>
          <w:color w:val="auto"/>
          <w:highlight w:val="none"/>
        </w:rPr>
        <w:t>1</w:t>
      </w:r>
      <w:r>
        <w:rPr>
          <w:rFonts w:hint="eastAsia"/>
          <w:color w:val="auto"/>
          <w:highlight w:val="none"/>
        </w:rPr>
        <w:t>）</w:t>
      </w:r>
      <w:r>
        <w:rPr>
          <w:rFonts w:hAnsi="宋体"/>
          <w:color w:val="auto"/>
          <w:highlight w:val="none"/>
        </w:rPr>
        <w:t xml:space="preserve"> </w:t>
      </w:r>
      <w:r>
        <w:rPr>
          <w:rFonts w:hint="eastAsia" w:hAnsi="宋体" w:cs="宋体"/>
          <w:color w:val="auto"/>
          <w:highlight w:val="none"/>
        </w:rPr>
        <w:t>总价合同支付分解表的编制与审批：</w:t>
      </w:r>
      <w:r>
        <w:rPr>
          <w:color w:val="auto"/>
          <w:highlight w:val="none"/>
          <w:u w:val="single"/>
        </w:rPr>
        <w:t xml:space="preserve">  </w:t>
      </w:r>
      <w:r>
        <w:rPr>
          <w:rFonts w:hint="eastAsia"/>
          <w:color w:val="auto"/>
          <w:highlight w:val="none"/>
          <w:u w:val="single"/>
        </w:rPr>
        <w:t>总价合同支付分分解表在招标完成后由发包人和承包人共同编制，发包人审批，并作为本合同内容，具体详见合同附件14</w:t>
      </w:r>
      <w:r>
        <w:rPr>
          <w:rFonts w:hint="eastAsia"/>
          <w:color w:val="auto"/>
          <w:highlight w:val="none"/>
          <w:u w:val="single"/>
          <w:lang w:val="en-US" w:eastAsia="zh-CN"/>
        </w:rPr>
        <w:t xml:space="preserve"> </w:t>
      </w:r>
      <w:r>
        <w:rPr>
          <w:rFonts w:hint="eastAsia"/>
          <w:color w:val="auto"/>
          <w:highlight w:val="none"/>
          <w:u w:val="none"/>
        </w:rPr>
        <w:t>。</w:t>
      </w:r>
    </w:p>
    <w:p w14:paraId="4E1ED30A">
      <w:pPr>
        <w:spacing w:line="360" w:lineRule="auto"/>
        <w:ind w:firstLine="525" w:firstLineChars="250"/>
        <w:jc w:val="left"/>
        <w:rPr>
          <w:color w:val="auto"/>
          <w:highlight w:val="none"/>
          <w:u w:val="single"/>
        </w:rPr>
      </w:pPr>
      <w:r>
        <w:rPr>
          <w:rFonts w:hint="eastAsia"/>
          <w:color w:val="auto"/>
          <w:highlight w:val="none"/>
        </w:rPr>
        <w:t>（2）</w:t>
      </w:r>
      <w:r>
        <w:rPr>
          <w:rFonts w:hint="eastAsia" w:hAnsi="宋体" w:cs="宋体"/>
          <w:color w:val="auto"/>
          <w:highlight w:val="none"/>
        </w:rPr>
        <w:t>单价合同的总价项目支付分解表的编制与审批：总价项目不采用支付分解表的方式计算，而按《建设工程工程量清单计价规范（</w:t>
      </w:r>
      <w:r>
        <w:rPr>
          <w:rFonts w:hAnsi="宋体"/>
          <w:color w:val="auto"/>
          <w:highlight w:val="none"/>
        </w:rPr>
        <w:t>GB50500-2013</w:t>
      </w:r>
      <w:r>
        <w:rPr>
          <w:rFonts w:hint="eastAsia" w:hAnsi="宋体" w:cs="宋体"/>
          <w:color w:val="auto"/>
          <w:highlight w:val="none"/>
        </w:rPr>
        <w:t>）广西壮族自治区实施细则》的规定执行。</w:t>
      </w:r>
    </w:p>
    <w:bookmarkEnd w:id="916"/>
    <w:p w14:paraId="1589E90B">
      <w:pPr>
        <w:pStyle w:val="4"/>
        <w:rPr>
          <w:color w:val="auto"/>
          <w:highlight w:val="none"/>
        </w:rPr>
      </w:pPr>
      <w:bookmarkStart w:id="1195" w:name="_Toc728899116"/>
      <w:bookmarkStart w:id="1196" w:name="_Toc351203645"/>
      <w:bookmarkStart w:id="1197" w:name="_Toc6828"/>
      <w:bookmarkStart w:id="1198" w:name="_Toc389065318"/>
      <w:bookmarkStart w:id="1199" w:name="_Toc27098"/>
      <w:bookmarkStart w:id="1200" w:name="_Toc2003466256"/>
      <w:bookmarkStart w:id="1201" w:name="_Toc407135256"/>
      <w:bookmarkStart w:id="1202" w:name="_Toc373478400"/>
      <w:bookmarkStart w:id="1203" w:name="_Toc373227753"/>
      <w:bookmarkStart w:id="1204" w:name="_Toc78449842"/>
      <w:bookmarkStart w:id="1205" w:name="_Toc296891259"/>
      <w:bookmarkStart w:id="1206" w:name="_Toc300935015"/>
      <w:bookmarkStart w:id="1207" w:name="_Toc297216223"/>
      <w:bookmarkStart w:id="1208" w:name="_Toc304295593"/>
      <w:bookmarkStart w:id="1209" w:name="_Toc296346720"/>
      <w:bookmarkStart w:id="1210" w:name="_Toc312678053"/>
      <w:bookmarkStart w:id="1211" w:name="_Toc296347218"/>
      <w:bookmarkStart w:id="1212" w:name="_Toc292559424"/>
      <w:bookmarkStart w:id="1213" w:name="_Toc296891047"/>
      <w:bookmarkStart w:id="1214" w:name="_Toc297120519"/>
      <w:bookmarkStart w:id="1215" w:name="_Toc292559929"/>
      <w:bookmarkStart w:id="1216" w:name="_Toc297048405"/>
      <w:bookmarkStart w:id="1217" w:name="_Toc296944558"/>
      <w:bookmarkStart w:id="1218" w:name="_Toc297123564"/>
      <w:bookmarkStart w:id="1219" w:name="_Toc296503219"/>
      <w:bookmarkStart w:id="1220" w:name="_Toc303539172"/>
      <w:r>
        <w:rPr>
          <w:color w:val="auto"/>
          <w:highlight w:val="none"/>
        </w:rPr>
        <w:t xml:space="preserve">13. </w:t>
      </w:r>
      <w:r>
        <w:rPr>
          <w:rFonts w:hint="eastAsia" w:cs="黑体"/>
          <w:color w:val="auto"/>
          <w:highlight w:val="none"/>
        </w:rPr>
        <w:t>验收和工程试车</w:t>
      </w:r>
      <w:bookmarkEnd w:id="1195"/>
      <w:bookmarkEnd w:id="1196"/>
      <w:bookmarkEnd w:id="1197"/>
      <w:bookmarkEnd w:id="1198"/>
      <w:bookmarkEnd w:id="1199"/>
      <w:bookmarkEnd w:id="1200"/>
      <w:bookmarkEnd w:id="1201"/>
      <w:bookmarkEnd w:id="1202"/>
      <w:bookmarkEnd w:id="1203"/>
      <w:bookmarkEnd w:id="1204"/>
    </w:p>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p w14:paraId="58AF1632">
      <w:pPr>
        <w:pStyle w:val="5"/>
        <w:rPr>
          <w:color w:val="auto"/>
          <w:highlight w:val="none"/>
        </w:rPr>
      </w:pPr>
      <w:bookmarkStart w:id="1221" w:name="_Toc389065319"/>
      <w:bookmarkStart w:id="1222" w:name="_Toc373227754"/>
      <w:bookmarkStart w:id="1223" w:name="_Toc407135257"/>
      <w:bookmarkStart w:id="1224" w:name="_Toc78449843"/>
      <w:bookmarkStart w:id="1225" w:name="_Toc373478401"/>
      <w:bookmarkStart w:id="1226" w:name="_Toc740353520"/>
      <w:bookmarkStart w:id="1227" w:name="_Toc834489126"/>
      <w:bookmarkStart w:id="1228" w:name="_Toc7433"/>
      <w:r>
        <w:rPr>
          <w:color w:val="auto"/>
          <w:highlight w:val="none"/>
        </w:rPr>
        <w:t xml:space="preserve">13.1 </w:t>
      </w:r>
      <w:r>
        <w:rPr>
          <w:rFonts w:hint="eastAsia" w:cs="黑体"/>
          <w:color w:val="auto"/>
          <w:highlight w:val="none"/>
        </w:rPr>
        <w:t>分部分项工程验收</w:t>
      </w:r>
      <w:bookmarkEnd w:id="1221"/>
      <w:bookmarkEnd w:id="1222"/>
      <w:bookmarkEnd w:id="1223"/>
      <w:bookmarkEnd w:id="1224"/>
      <w:bookmarkEnd w:id="1225"/>
      <w:bookmarkEnd w:id="1226"/>
      <w:bookmarkEnd w:id="1227"/>
      <w:bookmarkEnd w:id="1228"/>
    </w:p>
    <w:p w14:paraId="58CD08A2">
      <w:pPr>
        <w:spacing w:line="360" w:lineRule="auto"/>
        <w:ind w:firstLine="420" w:firstLineChars="200"/>
        <w:jc w:val="left"/>
        <w:rPr>
          <w:color w:val="auto"/>
          <w:highlight w:val="none"/>
        </w:rPr>
      </w:pPr>
      <w:r>
        <w:rPr>
          <w:color w:val="auto"/>
          <w:highlight w:val="none"/>
        </w:rPr>
        <w:t>13.1.2</w:t>
      </w:r>
      <w:r>
        <w:rPr>
          <w:rFonts w:hint="eastAsia" w:hAnsi="宋体" w:cs="宋体"/>
          <w:color w:val="auto"/>
          <w:highlight w:val="none"/>
        </w:rPr>
        <w:t>监理人不能按时进行验收时，应提前</w:t>
      </w:r>
      <w:r>
        <w:rPr>
          <w:color w:val="auto"/>
          <w:highlight w:val="none"/>
          <w:u w:val="single"/>
        </w:rPr>
        <w:t xml:space="preserve">  </w:t>
      </w:r>
      <w:r>
        <w:rPr>
          <w:rFonts w:hint="eastAsia"/>
          <w:color w:val="auto"/>
          <w:highlight w:val="none"/>
          <w:u w:val="single"/>
          <w:lang w:val="en-US" w:eastAsia="zh-CN"/>
        </w:rPr>
        <w:t>24</w:t>
      </w:r>
      <w:r>
        <w:rPr>
          <w:color w:val="auto"/>
          <w:highlight w:val="none"/>
          <w:u w:val="single"/>
        </w:rPr>
        <w:t xml:space="preserve">  </w:t>
      </w:r>
      <w:r>
        <w:rPr>
          <w:rFonts w:hint="eastAsia" w:hAnsi="宋体" w:cs="宋体"/>
          <w:color w:val="auto"/>
          <w:highlight w:val="none"/>
        </w:rPr>
        <w:t>小时提交书面延期要求。</w:t>
      </w:r>
    </w:p>
    <w:p w14:paraId="112CA8EC">
      <w:pPr>
        <w:spacing w:line="360" w:lineRule="auto"/>
        <w:ind w:firstLine="420" w:firstLineChars="200"/>
        <w:jc w:val="left"/>
        <w:rPr>
          <w:b/>
          <w:bCs/>
          <w:color w:val="auto"/>
          <w:highlight w:val="none"/>
        </w:rPr>
      </w:pPr>
      <w:r>
        <w:rPr>
          <w:rFonts w:hint="eastAsia" w:hAnsi="宋体" w:cs="宋体"/>
          <w:color w:val="auto"/>
          <w:highlight w:val="none"/>
        </w:rPr>
        <w:t>关于延期最长不得超过：</w:t>
      </w:r>
      <w:r>
        <w:rPr>
          <w:color w:val="auto"/>
          <w:highlight w:val="none"/>
          <w:u w:val="single"/>
        </w:rPr>
        <w:t xml:space="preserve">  </w:t>
      </w:r>
      <w:r>
        <w:rPr>
          <w:rFonts w:hint="eastAsia"/>
          <w:color w:val="auto"/>
          <w:highlight w:val="none"/>
          <w:u w:val="single"/>
          <w:lang w:val="en-US" w:eastAsia="zh-CN"/>
        </w:rPr>
        <w:t>48</w:t>
      </w:r>
      <w:r>
        <w:rPr>
          <w:color w:val="auto"/>
          <w:highlight w:val="none"/>
          <w:u w:val="single"/>
        </w:rPr>
        <w:t xml:space="preserve">  </w:t>
      </w:r>
      <w:r>
        <w:rPr>
          <w:rFonts w:hint="eastAsia" w:hAnsi="宋体" w:cs="宋体"/>
          <w:color w:val="auto"/>
          <w:highlight w:val="none"/>
        </w:rPr>
        <w:t>小时。</w:t>
      </w:r>
    </w:p>
    <w:p w14:paraId="6457133E">
      <w:pPr>
        <w:pStyle w:val="5"/>
        <w:rPr>
          <w:color w:val="auto"/>
          <w:highlight w:val="none"/>
        </w:rPr>
      </w:pPr>
      <w:bookmarkStart w:id="1229" w:name="_Toc1062221039"/>
      <w:bookmarkStart w:id="1230" w:name="_Toc389065320"/>
      <w:bookmarkStart w:id="1231" w:name="_Toc78449844"/>
      <w:bookmarkStart w:id="1232" w:name="_Toc1578431234"/>
      <w:bookmarkStart w:id="1233" w:name="_Toc373478402"/>
      <w:bookmarkStart w:id="1234" w:name="_Toc373227755"/>
      <w:bookmarkStart w:id="1235" w:name="_Toc407135258"/>
      <w:bookmarkStart w:id="1236" w:name="_Toc12075"/>
      <w:bookmarkStart w:id="1237" w:name="_Toc312678056"/>
      <w:bookmarkStart w:id="1238" w:name="_Toc296347222"/>
      <w:bookmarkStart w:id="1239" w:name="_Toc297123565"/>
      <w:bookmarkStart w:id="1240" w:name="_Toc292559428"/>
      <w:bookmarkStart w:id="1241" w:name="_Toc292559933"/>
      <w:bookmarkStart w:id="1242" w:name="_Toc296891051"/>
      <w:bookmarkStart w:id="1243" w:name="_Toc296944562"/>
      <w:bookmarkStart w:id="1244" w:name="_Toc296346724"/>
      <w:bookmarkStart w:id="1245" w:name="_Toc297048409"/>
      <w:bookmarkStart w:id="1246" w:name="_Toc297216224"/>
      <w:bookmarkStart w:id="1247" w:name="_Toc304295596"/>
      <w:bookmarkStart w:id="1248" w:name="_Toc296503223"/>
      <w:bookmarkStart w:id="1249" w:name="_Toc303539173"/>
      <w:bookmarkStart w:id="1250" w:name="_Toc300935016"/>
      <w:bookmarkStart w:id="1251" w:name="_Toc297120523"/>
      <w:bookmarkStart w:id="1252" w:name="_Toc296891263"/>
      <w:bookmarkStart w:id="1253" w:name="_Toc267251470"/>
      <w:bookmarkStart w:id="1254" w:name="_Toc267251471"/>
      <w:bookmarkStart w:id="1255" w:name="_Toc267251472"/>
      <w:bookmarkStart w:id="1256" w:name="_Toc267251476"/>
      <w:bookmarkStart w:id="1257" w:name="_Toc267251474"/>
      <w:bookmarkStart w:id="1258" w:name="_Toc267251473"/>
      <w:bookmarkStart w:id="1259" w:name="_Toc267251475"/>
      <w:r>
        <w:rPr>
          <w:color w:val="auto"/>
          <w:highlight w:val="none"/>
        </w:rPr>
        <w:t xml:space="preserve">13.2 </w:t>
      </w:r>
      <w:r>
        <w:rPr>
          <w:rFonts w:hint="eastAsia" w:hAnsi="宋体" w:cs="黑体"/>
          <w:color w:val="auto"/>
          <w:highlight w:val="none"/>
        </w:rPr>
        <w:t>竣工验收</w:t>
      </w:r>
      <w:bookmarkEnd w:id="1229"/>
      <w:bookmarkEnd w:id="1230"/>
      <w:bookmarkEnd w:id="1231"/>
      <w:bookmarkEnd w:id="1232"/>
      <w:bookmarkEnd w:id="1233"/>
      <w:bookmarkEnd w:id="1234"/>
      <w:bookmarkEnd w:id="1235"/>
      <w:bookmarkEnd w:id="1236"/>
    </w:p>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p w14:paraId="34402451">
      <w:pPr>
        <w:spacing w:line="360" w:lineRule="auto"/>
        <w:ind w:firstLine="420" w:firstLineChars="200"/>
        <w:jc w:val="left"/>
        <w:rPr>
          <w:color w:val="auto"/>
          <w:highlight w:val="none"/>
        </w:rPr>
      </w:pPr>
      <w:bookmarkStart w:id="1260" w:name="_Toc280868704"/>
      <w:bookmarkStart w:id="1261" w:name="_Toc280868705"/>
      <w:bookmarkStart w:id="1262" w:name="_Toc280868706"/>
      <w:bookmarkStart w:id="1263" w:name="_Toc280868707"/>
      <w:bookmarkStart w:id="1264" w:name="_Toc280868708"/>
      <w:bookmarkStart w:id="1265" w:name="_Toc280868709"/>
      <w:r>
        <w:rPr>
          <w:color w:val="auto"/>
          <w:highlight w:val="none"/>
        </w:rPr>
        <w:t>13.2.1</w:t>
      </w:r>
      <w:r>
        <w:rPr>
          <w:rFonts w:hint="eastAsia" w:hAnsi="宋体" w:cs="宋体"/>
          <w:color w:val="auto"/>
          <w:highlight w:val="none"/>
        </w:rPr>
        <w:t>竣工验收条件</w:t>
      </w:r>
    </w:p>
    <w:p w14:paraId="7486594D">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w:t>
      </w:r>
      <w:r>
        <w:rPr>
          <w:rFonts w:hint="eastAsia" w:hAnsi="宋体" w:cs="宋体"/>
          <w:color w:val="auto"/>
          <w:highlight w:val="none"/>
        </w:rPr>
        <w:t>承包人负责整理和提交的竣工验收资料应当符合工程所在地建设行政主管部门和</w:t>
      </w:r>
      <w:r>
        <w:rPr>
          <w:rFonts w:hint="eastAsia"/>
          <w:color w:val="auto"/>
          <w:highlight w:val="none"/>
          <w:lang w:eastAsia="zh-CN"/>
        </w:rPr>
        <w:t>（</w:t>
      </w:r>
      <w:r>
        <w:rPr>
          <w:rFonts w:hint="eastAsia" w:hAnsi="宋体" w:cs="宋体"/>
          <w:color w:val="auto"/>
          <w:highlight w:val="none"/>
        </w:rPr>
        <w:t>或</w:t>
      </w:r>
      <w:r>
        <w:rPr>
          <w:rFonts w:hint="eastAsia"/>
          <w:color w:val="auto"/>
          <w:highlight w:val="none"/>
          <w:lang w:eastAsia="zh-CN"/>
        </w:rPr>
        <w:t>）</w:t>
      </w:r>
      <w:r>
        <w:rPr>
          <w:rFonts w:hint="eastAsia" w:hAnsi="宋体" w:cs="宋体"/>
          <w:color w:val="auto"/>
          <w:highlight w:val="none"/>
        </w:rPr>
        <w:t>城市建设档案管理机构有关施工资料的要求，具体内容包括：</w:t>
      </w:r>
      <w:r>
        <w:rPr>
          <w:rFonts w:hint="eastAsia"/>
          <w:color w:val="auto"/>
          <w:highlight w:val="none"/>
          <w:u w:val="single"/>
        </w:rPr>
        <w:t xml:space="preserve"> 按通用条款 13.2.1  条及施工竣工图、设计变更、施工日记、各项质保资料及相关竣工资料等满足发包人要求 </w:t>
      </w:r>
      <w:r>
        <w:rPr>
          <w:rFonts w:hint="eastAsia" w:hAnsi="宋体" w:cs="宋体"/>
          <w:color w:val="auto"/>
          <w:highlight w:val="none"/>
        </w:rPr>
        <w:t>。</w:t>
      </w:r>
    </w:p>
    <w:p w14:paraId="6600EE6C">
      <w:pPr>
        <w:spacing w:line="360" w:lineRule="auto"/>
        <w:ind w:firstLine="420" w:firstLineChars="200"/>
        <w:rPr>
          <w:color w:val="auto"/>
          <w:highlight w:val="none"/>
        </w:rPr>
      </w:pPr>
      <w:r>
        <w:rPr>
          <w:rFonts w:hint="eastAsia" w:hAnsi="宋体" w:cs="宋体"/>
          <w:color w:val="auto"/>
          <w:highlight w:val="none"/>
        </w:rPr>
        <w:t>竣工验收资料的份数：</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rPr>
        <w:t>6 套</w:t>
      </w:r>
      <w:r>
        <w:rPr>
          <w:rFonts w:hint="eastAsia" w:hAnsi="宋体" w:cs="宋体"/>
          <w:color w:val="auto"/>
          <w:highlight w:val="none"/>
        </w:rPr>
        <w:t>。</w:t>
      </w:r>
    </w:p>
    <w:p w14:paraId="61D01245">
      <w:pPr>
        <w:spacing w:line="360" w:lineRule="auto"/>
        <w:ind w:firstLine="420" w:firstLineChars="200"/>
        <w:jc w:val="left"/>
        <w:rPr>
          <w:color w:val="auto"/>
          <w:highlight w:val="none"/>
        </w:rPr>
      </w:pPr>
      <w:r>
        <w:rPr>
          <w:rFonts w:hint="eastAsia" w:hAnsi="宋体" w:cs="宋体"/>
          <w:color w:val="auto"/>
          <w:highlight w:val="none"/>
        </w:rPr>
        <w:t>承包人提供竣工图的约定：</w:t>
      </w:r>
      <w:r>
        <w:rPr>
          <w:rFonts w:hint="eastAsia" w:hAnsi="宋体" w:cs="宋体"/>
          <w:color w:val="auto"/>
          <w:highlight w:val="none"/>
          <w:u w:val="single"/>
        </w:rPr>
        <w:t>竣工验收正式通过后</w:t>
      </w:r>
      <w:r>
        <w:rPr>
          <w:color w:val="auto"/>
          <w:highlight w:val="none"/>
          <w:u w:val="single"/>
        </w:rPr>
        <w:t>5</w:t>
      </w:r>
      <w:r>
        <w:rPr>
          <w:rFonts w:hint="eastAsia" w:hAnsi="宋体" w:cs="宋体"/>
          <w:color w:val="auto"/>
          <w:highlight w:val="none"/>
          <w:u w:val="single"/>
        </w:rPr>
        <w:t>天，提供竣工图的数量分别为</w:t>
      </w:r>
      <w:r>
        <w:rPr>
          <w:color w:val="auto"/>
          <w:highlight w:val="none"/>
          <w:u w:val="single"/>
        </w:rPr>
        <w:t>6</w:t>
      </w:r>
      <w:r>
        <w:rPr>
          <w:rFonts w:hint="eastAsia" w:hAnsi="宋体" w:cs="宋体"/>
          <w:color w:val="auto"/>
          <w:highlight w:val="none"/>
          <w:u w:val="single"/>
        </w:rPr>
        <w:t>套。</w:t>
      </w:r>
    </w:p>
    <w:p w14:paraId="0F50150F">
      <w:pPr>
        <w:spacing w:line="360" w:lineRule="auto"/>
        <w:ind w:firstLine="420" w:firstLineChars="200"/>
        <w:jc w:val="left"/>
        <w:rPr>
          <w:color w:val="auto"/>
          <w:highlight w:val="none"/>
        </w:rPr>
      </w:pPr>
      <w:r>
        <w:rPr>
          <w:color w:val="auto"/>
          <w:highlight w:val="none"/>
        </w:rPr>
        <w:t>13.2.2</w:t>
      </w:r>
      <w:r>
        <w:rPr>
          <w:rFonts w:hint="eastAsia" w:hAnsi="宋体" w:cs="宋体"/>
          <w:color w:val="auto"/>
          <w:highlight w:val="none"/>
        </w:rPr>
        <w:t>竣工验收程序</w:t>
      </w:r>
    </w:p>
    <w:bookmarkEnd w:id="1260"/>
    <w:p w14:paraId="5E3C4F21">
      <w:pPr>
        <w:spacing w:line="360" w:lineRule="auto"/>
        <w:ind w:firstLine="420" w:firstLineChars="200"/>
        <w:jc w:val="left"/>
        <w:rPr>
          <w:color w:val="auto"/>
          <w:highlight w:val="none"/>
          <w:u w:val="single"/>
        </w:rPr>
      </w:pPr>
      <w:r>
        <w:rPr>
          <w:rFonts w:hint="eastAsia" w:hAnsi="宋体" w:cs="宋体"/>
          <w:color w:val="auto"/>
          <w:kern w:val="0"/>
          <w:highlight w:val="none"/>
        </w:rPr>
        <w:t>关于竣工验收程序的约定：</w:t>
      </w:r>
      <w:r>
        <w:rPr>
          <w:rFonts w:ascii="宋体" w:hAnsi="宋体" w:eastAsia="宋体" w:cs="宋体"/>
          <w:color w:val="auto"/>
          <w:spacing w:val="0"/>
          <w:highlight w:val="none"/>
          <w:u w:val="single"/>
        </w:rPr>
        <w:t xml:space="preserve"> 按通用条款执行 </w:t>
      </w:r>
      <w:r>
        <w:rPr>
          <w:rFonts w:hint="eastAsia" w:hAnsi="宋体" w:cs="宋体"/>
          <w:color w:val="auto"/>
          <w:highlight w:val="none"/>
        </w:rPr>
        <w:t>。</w:t>
      </w:r>
    </w:p>
    <w:p w14:paraId="69C9F46C">
      <w:pPr>
        <w:spacing w:line="360" w:lineRule="auto"/>
        <w:jc w:val="left"/>
        <w:rPr>
          <w:color w:val="auto"/>
          <w:highlight w:val="none"/>
        </w:rPr>
      </w:pPr>
      <w:r>
        <w:rPr>
          <w:rFonts w:hint="eastAsia" w:hAnsi="宋体" w:cs="宋体"/>
          <w:color w:val="auto"/>
          <w:kern w:val="0"/>
          <w:highlight w:val="none"/>
        </w:rPr>
        <w:t>发包人不按照本项约定组织竣工验收、颁发工程接收证书的违约金的计算方法：</w:t>
      </w:r>
      <w:r>
        <w:rPr>
          <w:rFonts w:ascii="宋体" w:hAnsi="宋体" w:eastAsia="宋体" w:cs="宋体"/>
          <w:color w:val="auto"/>
          <w:highlight w:val="none"/>
          <w:u w:val="single"/>
        </w:rPr>
        <w:t xml:space="preserve"> 无 </w:t>
      </w:r>
      <w:r>
        <w:rPr>
          <w:rFonts w:hint="eastAsia" w:hAnsi="宋体" w:cs="宋体"/>
          <w:color w:val="auto"/>
          <w:highlight w:val="none"/>
        </w:rPr>
        <w:t>。</w:t>
      </w:r>
    </w:p>
    <w:bookmarkEnd w:id="1261"/>
    <w:p w14:paraId="6CF6DF22">
      <w:pPr>
        <w:spacing w:line="360" w:lineRule="auto"/>
        <w:ind w:firstLine="420" w:firstLineChars="200"/>
        <w:jc w:val="left"/>
        <w:rPr>
          <w:color w:val="auto"/>
          <w:highlight w:val="none"/>
        </w:rPr>
      </w:pPr>
      <w:r>
        <w:rPr>
          <w:color w:val="auto"/>
          <w:highlight w:val="none"/>
        </w:rPr>
        <w:t>13.2.5</w:t>
      </w:r>
      <w:r>
        <w:rPr>
          <w:rFonts w:hint="eastAsia" w:hAnsi="宋体" w:cs="宋体"/>
          <w:color w:val="auto"/>
          <w:highlight w:val="none"/>
        </w:rPr>
        <w:t>移交、接收全部与部分工程</w:t>
      </w:r>
    </w:p>
    <w:bookmarkEnd w:id="1262"/>
    <w:p w14:paraId="24F8EEE1">
      <w:pPr>
        <w:spacing w:line="360" w:lineRule="auto"/>
        <w:ind w:firstLine="420" w:firstLineChars="200"/>
        <w:jc w:val="left"/>
        <w:rPr>
          <w:color w:val="auto"/>
          <w:kern w:val="0"/>
          <w:highlight w:val="none"/>
        </w:rPr>
      </w:pPr>
      <w:r>
        <w:rPr>
          <w:rFonts w:hint="eastAsia" w:hAnsi="宋体" w:cs="宋体"/>
          <w:color w:val="auto"/>
          <w:kern w:val="0"/>
          <w:highlight w:val="none"/>
        </w:rPr>
        <w:t>承包人向发包人移交工程的期限：</w:t>
      </w:r>
      <w:r>
        <w:rPr>
          <w:color w:val="auto"/>
          <w:highlight w:val="none"/>
          <w:u w:val="single"/>
        </w:rPr>
        <w:t xml:space="preserve"> </w:t>
      </w:r>
      <w:r>
        <w:rPr>
          <w:rFonts w:hint="eastAsia"/>
          <w:color w:val="auto"/>
          <w:highlight w:val="none"/>
          <w:u w:val="single"/>
        </w:rPr>
        <w:t>颁发工程接收合格证书后 7 天内</w:t>
      </w:r>
      <w:r>
        <w:rPr>
          <w:color w:val="auto"/>
          <w:highlight w:val="none"/>
          <w:u w:val="single"/>
        </w:rPr>
        <w:t xml:space="preserve"> </w:t>
      </w:r>
      <w:r>
        <w:rPr>
          <w:rFonts w:hint="eastAsia" w:hAnsi="宋体" w:cs="宋体"/>
          <w:color w:val="auto"/>
          <w:highlight w:val="none"/>
        </w:rPr>
        <w:t>。</w:t>
      </w:r>
    </w:p>
    <w:p w14:paraId="51115848">
      <w:pPr>
        <w:spacing w:line="360" w:lineRule="auto"/>
        <w:ind w:firstLine="420" w:firstLineChars="200"/>
        <w:jc w:val="left"/>
        <w:rPr>
          <w:color w:val="auto"/>
          <w:highlight w:val="none"/>
          <w:u w:val="single"/>
        </w:rPr>
      </w:pPr>
      <w:r>
        <w:rPr>
          <w:rFonts w:hint="eastAsia" w:hAnsi="宋体" w:cs="宋体"/>
          <w:color w:val="auto"/>
          <w:kern w:val="0"/>
          <w:highlight w:val="none"/>
        </w:rPr>
        <w:t>发包人未按本合同约定接收全部或部分工程的，违约金的计算方法为：</w:t>
      </w:r>
      <w:r>
        <w:rPr>
          <w:rFonts w:ascii="宋体" w:hAnsi="宋体" w:eastAsia="宋体" w:cs="宋体"/>
          <w:color w:val="auto"/>
          <w:highlight w:val="none"/>
          <w:u w:val="single"/>
        </w:rPr>
        <w:t xml:space="preserve"> 无 </w:t>
      </w:r>
      <w:r>
        <w:rPr>
          <w:rFonts w:hint="eastAsia" w:hAnsi="宋体" w:cs="宋体"/>
          <w:color w:val="auto"/>
          <w:highlight w:val="none"/>
        </w:rPr>
        <w:t>。</w:t>
      </w:r>
    </w:p>
    <w:bookmarkEnd w:id="1263"/>
    <w:p w14:paraId="43E137E5">
      <w:pPr>
        <w:spacing w:line="360" w:lineRule="auto"/>
        <w:ind w:firstLine="420" w:firstLineChars="200"/>
        <w:jc w:val="left"/>
        <w:rPr>
          <w:color w:val="auto"/>
          <w:highlight w:val="none"/>
          <w:u w:val="single"/>
        </w:rPr>
      </w:pPr>
      <w:r>
        <w:rPr>
          <w:rFonts w:hint="eastAsia" w:hAnsi="宋体" w:cs="宋体"/>
          <w:color w:val="auto"/>
          <w:highlight w:val="none"/>
        </w:rPr>
        <w:t>承包人未按时移交工程的，违约金的计算方法为：</w:t>
      </w:r>
      <w:r>
        <w:rPr>
          <w:color w:val="auto"/>
          <w:highlight w:val="none"/>
          <w:u w:val="single"/>
        </w:rPr>
        <w:t xml:space="preserve"> </w:t>
      </w:r>
      <w:r>
        <w:rPr>
          <w:rFonts w:hint="eastAsia"/>
          <w:color w:val="auto"/>
          <w:highlight w:val="none"/>
          <w:u w:val="single"/>
        </w:rPr>
        <w:t>承包人应承担工程照管、成品保护、保管等与工程有关的各项费用，每逾期一天，承包人向发包人支付0.5万/天，总金额不超过10万元</w:t>
      </w:r>
      <w:r>
        <w:rPr>
          <w:color w:val="auto"/>
          <w:highlight w:val="none"/>
          <w:u w:val="single"/>
        </w:rPr>
        <w:t xml:space="preserve"> </w:t>
      </w:r>
      <w:r>
        <w:rPr>
          <w:rFonts w:hint="eastAsia" w:hAnsi="宋体" w:cs="宋体"/>
          <w:color w:val="auto"/>
          <w:highlight w:val="none"/>
        </w:rPr>
        <w:t>。</w:t>
      </w:r>
    </w:p>
    <w:p w14:paraId="1B308D38">
      <w:pPr>
        <w:pStyle w:val="5"/>
        <w:rPr>
          <w:color w:val="auto"/>
          <w:highlight w:val="none"/>
        </w:rPr>
      </w:pPr>
      <w:bookmarkStart w:id="1266" w:name="_Toc2090321864"/>
      <w:bookmarkStart w:id="1267" w:name="_Toc373227756"/>
      <w:bookmarkStart w:id="1268" w:name="_Toc1470255881"/>
      <w:bookmarkStart w:id="1269" w:name="_Toc389065321"/>
      <w:bookmarkStart w:id="1270" w:name="_Toc373478403"/>
      <w:bookmarkStart w:id="1271" w:name="_Toc407135259"/>
      <w:bookmarkStart w:id="1272" w:name="_Toc78449845"/>
      <w:bookmarkStart w:id="1273" w:name="_Toc1003"/>
      <w:r>
        <w:rPr>
          <w:color w:val="auto"/>
          <w:highlight w:val="none"/>
        </w:rPr>
        <w:t xml:space="preserve">13.3 </w:t>
      </w:r>
      <w:r>
        <w:rPr>
          <w:rFonts w:hint="eastAsia" w:hAnsi="宋体" w:cs="黑体"/>
          <w:color w:val="auto"/>
          <w:highlight w:val="none"/>
        </w:rPr>
        <w:t>工程试车</w:t>
      </w:r>
      <w:bookmarkEnd w:id="1266"/>
      <w:bookmarkEnd w:id="1267"/>
      <w:bookmarkEnd w:id="1268"/>
      <w:bookmarkEnd w:id="1269"/>
      <w:bookmarkEnd w:id="1270"/>
      <w:bookmarkEnd w:id="1271"/>
      <w:bookmarkEnd w:id="1272"/>
      <w:bookmarkEnd w:id="1273"/>
    </w:p>
    <w:bookmarkEnd w:id="1264"/>
    <w:p w14:paraId="7D0DE758">
      <w:pPr>
        <w:spacing w:line="360" w:lineRule="auto"/>
        <w:ind w:firstLine="420" w:firstLineChars="200"/>
        <w:jc w:val="left"/>
        <w:rPr>
          <w:color w:val="auto"/>
          <w:kern w:val="0"/>
          <w:highlight w:val="none"/>
        </w:rPr>
      </w:pPr>
      <w:r>
        <w:rPr>
          <w:color w:val="auto"/>
          <w:kern w:val="0"/>
          <w:highlight w:val="none"/>
        </w:rPr>
        <w:t xml:space="preserve">13.3.1 </w:t>
      </w:r>
      <w:r>
        <w:rPr>
          <w:rFonts w:hint="eastAsia" w:hAnsi="宋体" w:cs="宋体"/>
          <w:color w:val="auto"/>
          <w:kern w:val="0"/>
          <w:highlight w:val="none"/>
        </w:rPr>
        <w:t>试车程序</w:t>
      </w:r>
    </w:p>
    <w:p w14:paraId="21EAD270">
      <w:pPr>
        <w:spacing w:line="360" w:lineRule="auto"/>
        <w:ind w:firstLine="420" w:firstLineChars="200"/>
        <w:jc w:val="left"/>
        <w:rPr>
          <w:color w:val="auto"/>
          <w:highlight w:val="none"/>
          <w:u w:val="single"/>
        </w:rPr>
      </w:pPr>
      <w:r>
        <w:rPr>
          <w:rFonts w:hint="eastAsia" w:hAnsi="宋体" w:cs="宋体"/>
          <w:color w:val="auto"/>
          <w:kern w:val="0"/>
          <w:highlight w:val="none"/>
        </w:rPr>
        <w:t>工程试车内容：</w:t>
      </w:r>
      <w:r>
        <w:rPr>
          <w:color w:val="auto"/>
          <w:highlight w:val="none"/>
          <w:u w:val="single"/>
        </w:rPr>
        <w:t xml:space="preserve"> </w:t>
      </w:r>
      <w:r>
        <w:rPr>
          <w:rFonts w:hint="eastAsia"/>
          <w:color w:val="auto"/>
          <w:highlight w:val="none"/>
          <w:u w:val="single"/>
        </w:rPr>
        <w:t>按通用条款 13.3.1  条执行</w:t>
      </w:r>
      <w:r>
        <w:rPr>
          <w:color w:val="auto"/>
          <w:highlight w:val="none"/>
          <w:u w:val="single"/>
        </w:rPr>
        <w:t xml:space="preserve"> </w:t>
      </w:r>
      <w:r>
        <w:rPr>
          <w:rFonts w:hint="eastAsia" w:hAnsi="宋体" w:cs="宋体"/>
          <w:color w:val="auto"/>
          <w:highlight w:val="none"/>
        </w:rPr>
        <w:t>。</w:t>
      </w:r>
    </w:p>
    <w:p w14:paraId="4B99AF2D">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）单机无负荷试车费用由</w:t>
      </w:r>
      <w:r>
        <w:rPr>
          <w:rFonts w:ascii="宋体" w:hAnsi="宋体" w:eastAsia="宋体" w:cs="宋体"/>
          <w:color w:val="auto"/>
          <w:spacing w:val="0"/>
          <w:highlight w:val="none"/>
          <w:u w:val="single"/>
        </w:rPr>
        <w:t xml:space="preserve">  承包人 </w:t>
      </w:r>
      <w:r>
        <w:rPr>
          <w:rFonts w:hint="eastAsia" w:hAnsi="宋体" w:cs="宋体"/>
          <w:color w:val="auto"/>
          <w:kern w:val="0"/>
          <w:highlight w:val="none"/>
        </w:rPr>
        <w:t>承担；</w:t>
      </w:r>
    </w:p>
    <w:p w14:paraId="4BF5889F">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）无负荷联动试车费用由</w:t>
      </w:r>
      <w:r>
        <w:rPr>
          <w:rFonts w:ascii="宋体" w:hAnsi="宋体" w:eastAsia="宋体" w:cs="宋体"/>
          <w:color w:val="auto"/>
          <w:spacing w:val="0"/>
          <w:highlight w:val="none"/>
          <w:u w:val="single"/>
        </w:rPr>
        <w:t xml:space="preserve">  承包人 </w:t>
      </w:r>
      <w:r>
        <w:rPr>
          <w:rFonts w:hint="eastAsia" w:hAnsi="宋体" w:cs="宋体"/>
          <w:color w:val="auto"/>
          <w:kern w:val="0"/>
          <w:highlight w:val="none"/>
        </w:rPr>
        <w:t>承担。</w:t>
      </w:r>
    </w:p>
    <w:p w14:paraId="36CE7C37">
      <w:pPr>
        <w:spacing w:line="360" w:lineRule="auto"/>
        <w:ind w:firstLine="420" w:firstLineChars="200"/>
        <w:jc w:val="left"/>
        <w:rPr>
          <w:color w:val="auto"/>
          <w:kern w:val="0"/>
          <w:highlight w:val="none"/>
        </w:rPr>
      </w:pPr>
      <w:r>
        <w:rPr>
          <w:color w:val="auto"/>
          <w:kern w:val="0"/>
          <w:highlight w:val="none"/>
        </w:rPr>
        <w:t xml:space="preserve">13.3.3 </w:t>
      </w:r>
      <w:r>
        <w:rPr>
          <w:rFonts w:hint="eastAsia" w:hAnsi="宋体" w:cs="宋体"/>
          <w:color w:val="auto"/>
          <w:kern w:val="0"/>
          <w:highlight w:val="none"/>
        </w:rPr>
        <w:t>投料试车</w:t>
      </w:r>
    </w:p>
    <w:p w14:paraId="7FAFD1F1">
      <w:pPr>
        <w:spacing w:line="360" w:lineRule="auto"/>
        <w:ind w:firstLine="420" w:firstLineChars="200"/>
        <w:jc w:val="left"/>
        <w:rPr>
          <w:color w:val="auto"/>
          <w:highlight w:val="none"/>
          <w:u w:val="single"/>
        </w:rPr>
      </w:pPr>
      <w:r>
        <w:rPr>
          <w:rFonts w:hint="eastAsia" w:hAnsi="宋体" w:cs="宋体"/>
          <w:color w:val="auto"/>
          <w:kern w:val="0"/>
          <w:highlight w:val="none"/>
        </w:rPr>
        <w:t>关于投料试车相关事项的约定：</w:t>
      </w:r>
      <w:r>
        <w:rPr>
          <w:rFonts w:hint="eastAsia" w:hAnsi="宋体" w:cs="宋体"/>
          <w:color w:val="auto"/>
          <w:kern w:val="0"/>
          <w:highlight w:val="none"/>
          <w:u w:val="single"/>
        </w:rPr>
        <w:t xml:space="preserve"> 按通用条款第 13.3 条执行 </w:t>
      </w:r>
      <w:r>
        <w:rPr>
          <w:rFonts w:hint="eastAsia" w:hAnsi="宋体" w:cs="宋体"/>
          <w:color w:val="auto"/>
          <w:highlight w:val="none"/>
        </w:rPr>
        <w:t>。</w:t>
      </w:r>
    </w:p>
    <w:p w14:paraId="032F6F29">
      <w:pPr>
        <w:pStyle w:val="5"/>
        <w:rPr>
          <w:color w:val="auto"/>
          <w:highlight w:val="none"/>
        </w:rPr>
      </w:pPr>
      <w:bookmarkStart w:id="1274" w:name="_Toc373227757"/>
      <w:bookmarkStart w:id="1275" w:name="_Toc389065322"/>
      <w:bookmarkStart w:id="1276" w:name="_Toc78449846"/>
      <w:bookmarkStart w:id="1277" w:name="_Toc31142"/>
      <w:bookmarkStart w:id="1278" w:name="_Toc550030550"/>
      <w:bookmarkStart w:id="1279" w:name="_Toc10307455"/>
      <w:bookmarkStart w:id="1280" w:name="_Toc407135260"/>
      <w:bookmarkStart w:id="1281" w:name="_Toc373478404"/>
      <w:r>
        <w:rPr>
          <w:color w:val="auto"/>
          <w:highlight w:val="none"/>
        </w:rPr>
        <w:t xml:space="preserve">13.6 </w:t>
      </w:r>
      <w:r>
        <w:rPr>
          <w:rFonts w:hint="eastAsia" w:hAnsi="宋体" w:cs="黑体"/>
          <w:color w:val="auto"/>
          <w:highlight w:val="none"/>
        </w:rPr>
        <w:t>竣工退场</w:t>
      </w:r>
      <w:bookmarkEnd w:id="1274"/>
      <w:bookmarkEnd w:id="1275"/>
      <w:bookmarkEnd w:id="1276"/>
      <w:bookmarkEnd w:id="1277"/>
      <w:bookmarkEnd w:id="1278"/>
      <w:bookmarkEnd w:id="1279"/>
      <w:bookmarkEnd w:id="1280"/>
      <w:bookmarkEnd w:id="1281"/>
    </w:p>
    <w:p w14:paraId="1D33B287">
      <w:pPr>
        <w:spacing w:line="360" w:lineRule="auto"/>
        <w:ind w:firstLine="420" w:firstLineChars="200"/>
        <w:jc w:val="left"/>
        <w:outlineLvl w:val="0"/>
        <w:rPr>
          <w:color w:val="auto"/>
          <w:kern w:val="0"/>
          <w:highlight w:val="none"/>
        </w:rPr>
      </w:pPr>
      <w:bookmarkStart w:id="1282" w:name="_Toc15410"/>
      <w:bookmarkStart w:id="1283" w:name="_Toc8456"/>
      <w:r>
        <w:rPr>
          <w:color w:val="auto"/>
          <w:kern w:val="0"/>
          <w:highlight w:val="none"/>
        </w:rPr>
        <w:t xml:space="preserve">13.6.1 </w:t>
      </w:r>
      <w:r>
        <w:rPr>
          <w:rFonts w:hint="eastAsia" w:hAnsi="宋体" w:cs="宋体"/>
          <w:color w:val="auto"/>
          <w:kern w:val="0"/>
          <w:highlight w:val="none"/>
        </w:rPr>
        <w:t>竣工退场</w:t>
      </w:r>
      <w:bookmarkEnd w:id="1282"/>
      <w:bookmarkEnd w:id="1283"/>
    </w:p>
    <w:p w14:paraId="3EA4FDEE">
      <w:pPr>
        <w:spacing w:line="360" w:lineRule="auto"/>
        <w:ind w:firstLine="420" w:firstLineChars="200"/>
        <w:jc w:val="left"/>
        <w:rPr>
          <w:color w:val="auto"/>
          <w:kern w:val="0"/>
          <w:highlight w:val="none"/>
        </w:rPr>
      </w:pPr>
      <w:r>
        <w:rPr>
          <w:rFonts w:hint="eastAsia" w:hAnsi="宋体" w:cs="宋体"/>
          <w:color w:val="auto"/>
          <w:kern w:val="0"/>
          <w:highlight w:val="none"/>
        </w:rPr>
        <w:t>承包人完成竣工退场的期限：</w:t>
      </w:r>
      <w:r>
        <w:rPr>
          <w:color w:val="auto"/>
          <w:highlight w:val="none"/>
          <w:u w:val="single"/>
        </w:rPr>
        <w:t xml:space="preserve"> </w:t>
      </w:r>
      <w:r>
        <w:rPr>
          <w:rFonts w:hint="eastAsia"/>
          <w:color w:val="auto"/>
          <w:highlight w:val="none"/>
          <w:u w:val="single"/>
        </w:rPr>
        <w:t>监理人颁发(出具)工程接收证书后，承包人负责按照通用合同条款本项约定的要求对施工场地进行清理并承担相关费用，直至监理人检验合格后7日内，如承包人到期后不退场，发包人有权安排其他人员进行清理，费用从承包人工程款中扣除</w:t>
      </w:r>
      <w:r>
        <w:rPr>
          <w:color w:val="auto"/>
          <w:highlight w:val="none"/>
          <w:u w:val="single"/>
        </w:rPr>
        <w:t xml:space="preserve">  </w:t>
      </w:r>
      <w:r>
        <w:rPr>
          <w:rFonts w:hint="eastAsia" w:hAnsi="宋体" w:cs="宋体"/>
          <w:color w:val="auto"/>
          <w:kern w:val="0"/>
          <w:highlight w:val="none"/>
        </w:rPr>
        <w:t>。</w:t>
      </w:r>
    </w:p>
    <w:p w14:paraId="249B720F">
      <w:pPr>
        <w:pStyle w:val="4"/>
        <w:rPr>
          <w:color w:val="auto"/>
          <w:highlight w:val="none"/>
        </w:rPr>
      </w:pPr>
      <w:bookmarkStart w:id="1284" w:name="_Toc19018"/>
      <w:bookmarkStart w:id="1285" w:name="_Toc389065323"/>
      <w:bookmarkStart w:id="1286" w:name="_Toc11610"/>
      <w:bookmarkStart w:id="1287" w:name="_Toc373227758"/>
      <w:bookmarkStart w:id="1288" w:name="_Toc1385490858"/>
      <w:bookmarkStart w:id="1289" w:name="_Toc407135261"/>
      <w:bookmarkStart w:id="1290" w:name="_Toc373478405"/>
      <w:bookmarkStart w:id="1291" w:name="_Toc351203646"/>
      <w:bookmarkStart w:id="1292" w:name="_Toc78449847"/>
      <w:bookmarkStart w:id="1293" w:name="_Toc1950258056"/>
      <w:r>
        <w:rPr>
          <w:color w:val="auto"/>
          <w:highlight w:val="none"/>
        </w:rPr>
        <w:t xml:space="preserve">14. </w:t>
      </w:r>
      <w:r>
        <w:rPr>
          <w:rFonts w:hint="eastAsia" w:hAnsi="宋体" w:cs="黑体"/>
          <w:color w:val="auto"/>
          <w:highlight w:val="none"/>
        </w:rPr>
        <w:t>竣工结算</w:t>
      </w:r>
      <w:bookmarkEnd w:id="1284"/>
      <w:bookmarkEnd w:id="1285"/>
      <w:bookmarkEnd w:id="1286"/>
      <w:bookmarkEnd w:id="1287"/>
      <w:bookmarkEnd w:id="1288"/>
      <w:bookmarkEnd w:id="1289"/>
      <w:bookmarkEnd w:id="1290"/>
      <w:bookmarkEnd w:id="1291"/>
      <w:bookmarkEnd w:id="1292"/>
      <w:bookmarkEnd w:id="1293"/>
    </w:p>
    <w:p w14:paraId="2B10D0C2">
      <w:pPr>
        <w:pStyle w:val="5"/>
        <w:rPr>
          <w:color w:val="auto"/>
          <w:highlight w:val="none"/>
        </w:rPr>
      </w:pPr>
      <w:bookmarkStart w:id="1294" w:name="_Toc7160"/>
      <w:bookmarkStart w:id="1295" w:name="_Toc407135262"/>
      <w:bookmarkStart w:id="1296" w:name="_Toc373227759"/>
      <w:bookmarkStart w:id="1297" w:name="_Toc78449848"/>
      <w:bookmarkStart w:id="1298" w:name="_Toc373478406"/>
      <w:bookmarkStart w:id="1299" w:name="_Toc174652718"/>
      <w:bookmarkStart w:id="1300" w:name="_Toc1973954660"/>
      <w:bookmarkStart w:id="1301" w:name="_Toc389065324"/>
      <w:r>
        <w:rPr>
          <w:color w:val="auto"/>
          <w:highlight w:val="none"/>
        </w:rPr>
        <w:t xml:space="preserve">14.1 </w:t>
      </w:r>
      <w:r>
        <w:rPr>
          <w:rFonts w:hint="eastAsia" w:hAnsi="宋体" w:cs="黑体"/>
          <w:color w:val="auto"/>
          <w:highlight w:val="none"/>
        </w:rPr>
        <w:t>竣工付款申请</w:t>
      </w:r>
      <w:bookmarkEnd w:id="1294"/>
      <w:bookmarkEnd w:id="1295"/>
      <w:bookmarkEnd w:id="1296"/>
      <w:bookmarkEnd w:id="1297"/>
      <w:bookmarkEnd w:id="1298"/>
      <w:bookmarkEnd w:id="1299"/>
      <w:bookmarkEnd w:id="1300"/>
      <w:bookmarkEnd w:id="1301"/>
    </w:p>
    <w:p w14:paraId="018084D2">
      <w:pPr>
        <w:spacing w:line="360" w:lineRule="auto"/>
        <w:ind w:firstLine="420" w:firstLineChars="200"/>
        <w:jc w:val="left"/>
        <w:rPr>
          <w:color w:val="auto"/>
          <w:highlight w:val="none"/>
        </w:rPr>
      </w:pPr>
      <w:r>
        <w:rPr>
          <w:rFonts w:hint="eastAsia" w:hAnsi="宋体" w:cs="宋体"/>
          <w:color w:val="auto"/>
          <w:highlight w:val="none"/>
        </w:rPr>
        <w:t>承包人提交竣工付款申请单的期限：</w:t>
      </w:r>
      <w:r>
        <w:rPr>
          <w:color w:val="auto"/>
          <w:highlight w:val="none"/>
          <w:u w:val="single"/>
        </w:rPr>
        <w:t xml:space="preserve">  </w:t>
      </w:r>
      <w:r>
        <w:rPr>
          <w:rFonts w:hint="eastAsia"/>
          <w:color w:val="auto"/>
          <w:highlight w:val="none"/>
          <w:u w:val="single"/>
        </w:rPr>
        <w:t>承包人应在工程竣工验收合格后28天内向发包人和监理人提交竣工结算申请单，并提交完整的结算资料</w:t>
      </w:r>
      <w:r>
        <w:rPr>
          <w:color w:val="auto"/>
          <w:highlight w:val="none"/>
          <w:u w:val="single"/>
        </w:rPr>
        <w:t xml:space="preserve"> </w:t>
      </w:r>
      <w:r>
        <w:rPr>
          <w:rFonts w:hint="eastAsia" w:hAnsi="宋体" w:cs="宋体"/>
          <w:color w:val="auto"/>
          <w:highlight w:val="none"/>
        </w:rPr>
        <w:t>。</w:t>
      </w:r>
    </w:p>
    <w:p w14:paraId="21F6AC2E">
      <w:pPr>
        <w:spacing w:line="360" w:lineRule="auto"/>
        <w:ind w:firstLine="420" w:firstLineChars="200"/>
        <w:jc w:val="left"/>
        <w:rPr>
          <w:color w:val="auto"/>
          <w:highlight w:val="none"/>
          <w:u w:val="single"/>
        </w:rPr>
      </w:pPr>
      <w:r>
        <w:rPr>
          <w:rFonts w:hint="eastAsia" w:hAnsi="宋体" w:cs="宋体"/>
          <w:color w:val="auto"/>
          <w:highlight w:val="none"/>
        </w:rPr>
        <w:t>竣工付款申请单应包括的内容：</w:t>
      </w:r>
      <w:r>
        <w:rPr>
          <w:color w:val="auto"/>
          <w:highlight w:val="none"/>
          <w:u w:val="single"/>
        </w:rPr>
        <w:t xml:space="preserve"> </w:t>
      </w:r>
      <w:r>
        <w:rPr>
          <w:rFonts w:hint="eastAsia"/>
          <w:color w:val="auto"/>
          <w:highlight w:val="none"/>
          <w:u w:val="single"/>
        </w:rPr>
        <w:t>按通用条款 14.1 执行</w:t>
      </w:r>
      <w:r>
        <w:rPr>
          <w:color w:val="auto"/>
          <w:highlight w:val="none"/>
          <w:u w:val="single"/>
        </w:rPr>
        <w:t xml:space="preserve">  </w:t>
      </w:r>
      <w:r>
        <w:rPr>
          <w:rFonts w:hint="eastAsia" w:hAnsi="宋体" w:cs="宋体"/>
          <w:color w:val="auto"/>
          <w:highlight w:val="none"/>
        </w:rPr>
        <w:t>。竣工结算款支付申请（核准）表见合同附件12。</w:t>
      </w:r>
    </w:p>
    <w:p w14:paraId="7424BD2F">
      <w:pPr>
        <w:pStyle w:val="5"/>
        <w:rPr>
          <w:color w:val="auto"/>
          <w:highlight w:val="none"/>
        </w:rPr>
      </w:pPr>
      <w:bookmarkStart w:id="1302" w:name="_Toc373227760"/>
      <w:bookmarkStart w:id="1303" w:name="_Toc667492935"/>
      <w:bookmarkStart w:id="1304" w:name="_Toc31609"/>
      <w:bookmarkStart w:id="1305" w:name="_Toc373478407"/>
      <w:bookmarkStart w:id="1306" w:name="_Toc407135263"/>
      <w:bookmarkStart w:id="1307" w:name="_Toc78449849"/>
      <w:bookmarkStart w:id="1308" w:name="_Toc389065325"/>
      <w:bookmarkStart w:id="1309" w:name="_Toc489920513"/>
      <w:r>
        <w:rPr>
          <w:color w:val="auto"/>
          <w:highlight w:val="none"/>
        </w:rPr>
        <w:t xml:space="preserve">14.2 </w:t>
      </w:r>
      <w:r>
        <w:rPr>
          <w:rFonts w:hint="eastAsia" w:hAnsi="宋体" w:cs="黑体"/>
          <w:color w:val="auto"/>
          <w:highlight w:val="none"/>
        </w:rPr>
        <w:t>竣工结算审核</w:t>
      </w:r>
      <w:bookmarkEnd w:id="1302"/>
      <w:bookmarkEnd w:id="1303"/>
      <w:bookmarkEnd w:id="1304"/>
      <w:bookmarkEnd w:id="1305"/>
      <w:bookmarkEnd w:id="1306"/>
      <w:bookmarkEnd w:id="1307"/>
      <w:bookmarkEnd w:id="1308"/>
      <w:bookmarkEnd w:id="1309"/>
    </w:p>
    <w:p w14:paraId="3B2FCDF9">
      <w:pPr>
        <w:spacing w:line="360" w:lineRule="auto"/>
        <w:ind w:firstLine="420" w:firstLineChars="200"/>
        <w:jc w:val="left"/>
        <w:rPr>
          <w:color w:val="auto"/>
          <w:highlight w:val="none"/>
        </w:rPr>
      </w:pPr>
      <w:r>
        <w:rPr>
          <w:rFonts w:hint="eastAsia" w:hAnsi="宋体" w:cs="宋体"/>
          <w:color w:val="auto"/>
          <w:highlight w:val="none"/>
        </w:rPr>
        <w:t>发包人审批竣工付款申请单的期限：</w:t>
      </w:r>
    </w:p>
    <w:tbl>
      <w:tblPr>
        <w:tblStyle w:val="20"/>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7747E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51B067C">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color w:val="auto"/>
                <w:highlight w:val="none"/>
              </w:rPr>
            </w:pPr>
          </w:p>
        </w:tc>
        <w:tc>
          <w:tcPr>
            <w:tcW w:w="2466" w:type="dxa"/>
            <w:noWrap w:val="0"/>
            <w:vAlign w:val="center"/>
          </w:tcPr>
          <w:p w14:paraId="218FDD7B">
            <w:pPr>
              <w:keepNext w:val="0"/>
              <w:keepLines w:val="0"/>
              <w:pageBreakBefore w:val="0"/>
              <w:widowControl w:val="0"/>
              <w:kinsoku/>
              <w:wordWrap/>
              <w:overflowPunct/>
              <w:topLinePunct w:val="0"/>
              <w:autoSpaceDE/>
              <w:autoSpaceDN/>
              <w:bidi w:val="0"/>
              <w:adjustRightInd/>
              <w:snapToGrid/>
              <w:spacing w:line="360" w:lineRule="atLeast"/>
              <w:ind w:firstLine="27" w:firstLineChars="13"/>
              <w:jc w:val="center"/>
              <w:textAlignment w:val="auto"/>
              <w:rPr>
                <w:color w:val="auto"/>
                <w:highlight w:val="none"/>
              </w:rPr>
            </w:pPr>
            <w:r>
              <w:rPr>
                <w:rFonts w:hint="eastAsia" w:hAnsi="宋体" w:cs="宋体"/>
                <w:color w:val="auto"/>
                <w:highlight w:val="none"/>
              </w:rPr>
              <w:t>工程竣工结算报告金额</w:t>
            </w:r>
          </w:p>
        </w:tc>
        <w:tc>
          <w:tcPr>
            <w:tcW w:w="5967" w:type="dxa"/>
            <w:noWrap w:val="0"/>
            <w:vAlign w:val="center"/>
          </w:tcPr>
          <w:p w14:paraId="29B0F6A8">
            <w:pPr>
              <w:keepNext w:val="0"/>
              <w:keepLines w:val="0"/>
              <w:pageBreakBefore w:val="0"/>
              <w:widowControl w:val="0"/>
              <w:kinsoku/>
              <w:wordWrap/>
              <w:overflowPunct/>
              <w:topLinePunct w:val="0"/>
              <w:autoSpaceDE/>
              <w:autoSpaceDN/>
              <w:bidi w:val="0"/>
              <w:adjustRightInd/>
              <w:snapToGrid/>
              <w:spacing w:line="360" w:lineRule="atLeast"/>
              <w:ind w:firstLine="441" w:firstLineChars="210"/>
              <w:jc w:val="center"/>
              <w:textAlignment w:val="auto"/>
              <w:rPr>
                <w:color w:val="auto"/>
                <w:highlight w:val="none"/>
              </w:rPr>
            </w:pPr>
            <w:r>
              <w:rPr>
                <w:rFonts w:hint="eastAsia" w:hAnsi="宋体" w:cs="宋体"/>
                <w:color w:val="auto"/>
                <w:highlight w:val="none"/>
              </w:rPr>
              <w:t>发包人审查时间</w:t>
            </w:r>
          </w:p>
        </w:tc>
      </w:tr>
      <w:tr w14:paraId="2CD4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46ED4DA">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color w:val="auto"/>
                <w:highlight w:val="none"/>
              </w:rPr>
            </w:pPr>
            <w:r>
              <w:rPr>
                <w:color w:val="auto"/>
                <w:highlight w:val="none"/>
              </w:rPr>
              <w:t>1</w:t>
            </w:r>
          </w:p>
        </w:tc>
        <w:tc>
          <w:tcPr>
            <w:tcW w:w="2466" w:type="dxa"/>
            <w:noWrap w:val="0"/>
            <w:vAlign w:val="center"/>
          </w:tcPr>
          <w:p w14:paraId="6F96C31A">
            <w:pPr>
              <w:keepNext w:val="0"/>
              <w:keepLines w:val="0"/>
              <w:pageBreakBefore w:val="0"/>
              <w:widowControl w:val="0"/>
              <w:kinsoku/>
              <w:wordWrap/>
              <w:overflowPunct/>
              <w:topLinePunct w:val="0"/>
              <w:autoSpaceDE/>
              <w:autoSpaceDN/>
              <w:bidi w:val="0"/>
              <w:adjustRightInd/>
              <w:snapToGrid/>
              <w:spacing w:line="360" w:lineRule="atLeast"/>
              <w:ind w:firstLine="27" w:firstLineChars="13"/>
              <w:jc w:val="center"/>
              <w:textAlignment w:val="auto"/>
              <w:rPr>
                <w:color w:val="auto"/>
                <w:highlight w:val="none"/>
              </w:rPr>
            </w:pPr>
            <w:r>
              <w:rPr>
                <w:color w:val="auto"/>
                <w:highlight w:val="none"/>
              </w:rPr>
              <w:t>500</w:t>
            </w:r>
            <w:r>
              <w:rPr>
                <w:rFonts w:hint="eastAsia" w:hAnsi="宋体" w:cs="宋体"/>
                <w:color w:val="auto"/>
                <w:highlight w:val="none"/>
              </w:rPr>
              <w:t>万元以下</w:t>
            </w:r>
          </w:p>
        </w:tc>
        <w:tc>
          <w:tcPr>
            <w:tcW w:w="5967" w:type="dxa"/>
            <w:noWrap w:val="0"/>
            <w:vAlign w:val="center"/>
          </w:tcPr>
          <w:p w14:paraId="7FF03892">
            <w:pPr>
              <w:keepNext w:val="0"/>
              <w:keepLines w:val="0"/>
              <w:pageBreakBefore w:val="0"/>
              <w:widowControl w:val="0"/>
              <w:kinsoku/>
              <w:wordWrap/>
              <w:overflowPunct/>
              <w:topLinePunct w:val="0"/>
              <w:autoSpaceDE/>
              <w:autoSpaceDN/>
              <w:bidi w:val="0"/>
              <w:adjustRightInd/>
              <w:snapToGrid/>
              <w:spacing w:line="360" w:lineRule="atLeast"/>
              <w:ind w:firstLine="441" w:firstLineChars="210"/>
              <w:jc w:val="center"/>
              <w:textAlignment w:val="auto"/>
              <w:rPr>
                <w:color w:val="auto"/>
                <w:highlight w:val="none"/>
              </w:rPr>
            </w:pPr>
            <w:r>
              <w:rPr>
                <w:rFonts w:hint="eastAsia" w:hAnsi="宋体" w:cs="宋体"/>
                <w:color w:val="auto"/>
                <w:highlight w:val="none"/>
              </w:rPr>
              <w:t>从接到竣工结算报告和完整的竣工结算资料之日起</w:t>
            </w:r>
            <w:r>
              <w:rPr>
                <w:color w:val="auto"/>
                <w:highlight w:val="none"/>
              </w:rPr>
              <w:t>20</w:t>
            </w:r>
            <w:r>
              <w:rPr>
                <w:rFonts w:hint="eastAsia" w:hAnsi="宋体" w:cs="宋体"/>
                <w:color w:val="auto"/>
                <w:highlight w:val="none"/>
              </w:rPr>
              <w:t>天</w:t>
            </w:r>
          </w:p>
        </w:tc>
      </w:tr>
      <w:tr w14:paraId="0A0EF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9CA9F13">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color w:val="auto"/>
                <w:highlight w:val="none"/>
              </w:rPr>
            </w:pPr>
            <w:r>
              <w:rPr>
                <w:color w:val="auto"/>
                <w:highlight w:val="none"/>
              </w:rPr>
              <w:t>2</w:t>
            </w:r>
          </w:p>
        </w:tc>
        <w:tc>
          <w:tcPr>
            <w:tcW w:w="2466" w:type="dxa"/>
            <w:noWrap w:val="0"/>
            <w:vAlign w:val="center"/>
          </w:tcPr>
          <w:p w14:paraId="1018FC77">
            <w:pPr>
              <w:keepNext w:val="0"/>
              <w:keepLines w:val="0"/>
              <w:pageBreakBefore w:val="0"/>
              <w:widowControl w:val="0"/>
              <w:kinsoku/>
              <w:wordWrap/>
              <w:overflowPunct/>
              <w:topLinePunct w:val="0"/>
              <w:autoSpaceDE/>
              <w:autoSpaceDN/>
              <w:bidi w:val="0"/>
              <w:adjustRightInd/>
              <w:snapToGrid/>
              <w:spacing w:line="360" w:lineRule="atLeast"/>
              <w:ind w:firstLine="27" w:firstLineChars="13"/>
              <w:jc w:val="center"/>
              <w:textAlignment w:val="auto"/>
              <w:rPr>
                <w:color w:val="auto"/>
                <w:highlight w:val="none"/>
              </w:rPr>
            </w:pPr>
            <w:r>
              <w:rPr>
                <w:color w:val="auto"/>
                <w:highlight w:val="none"/>
              </w:rPr>
              <w:t>500</w:t>
            </w:r>
            <w:r>
              <w:rPr>
                <w:rFonts w:hint="eastAsia" w:hAnsi="宋体" w:cs="宋体"/>
                <w:color w:val="auto"/>
                <w:highlight w:val="none"/>
              </w:rPr>
              <w:t>万元</w:t>
            </w:r>
            <w:r>
              <w:rPr>
                <w:color w:val="auto"/>
                <w:highlight w:val="none"/>
              </w:rPr>
              <w:t>-2000</w:t>
            </w:r>
            <w:r>
              <w:rPr>
                <w:rFonts w:hint="eastAsia" w:hAnsi="宋体" w:cs="宋体"/>
                <w:color w:val="auto"/>
                <w:highlight w:val="none"/>
              </w:rPr>
              <w:t>万元</w:t>
            </w:r>
          </w:p>
        </w:tc>
        <w:tc>
          <w:tcPr>
            <w:tcW w:w="5967" w:type="dxa"/>
            <w:noWrap w:val="0"/>
            <w:vAlign w:val="center"/>
          </w:tcPr>
          <w:p w14:paraId="417BD2A6">
            <w:pPr>
              <w:keepNext w:val="0"/>
              <w:keepLines w:val="0"/>
              <w:pageBreakBefore w:val="0"/>
              <w:widowControl w:val="0"/>
              <w:kinsoku/>
              <w:wordWrap/>
              <w:overflowPunct/>
              <w:topLinePunct w:val="0"/>
              <w:autoSpaceDE/>
              <w:autoSpaceDN/>
              <w:bidi w:val="0"/>
              <w:adjustRightInd/>
              <w:snapToGrid/>
              <w:spacing w:line="360" w:lineRule="atLeast"/>
              <w:ind w:firstLine="441" w:firstLineChars="210"/>
              <w:jc w:val="center"/>
              <w:textAlignment w:val="auto"/>
              <w:rPr>
                <w:color w:val="auto"/>
                <w:highlight w:val="none"/>
              </w:rPr>
            </w:pPr>
            <w:r>
              <w:rPr>
                <w:rFonts w:hint="eastAsia" w:hAnsi="宋体" w:cs="宋体"/>
                <w:color w:val="auto"/>
                <w:highlight w:val="none"/>
              </w:rPr>
              <w:t>从接到竣工结算报告和完整的竣工结算资料之日起</w:t>
            </w:r>
            <w:r>
              <w:rPr>
                <w:color w:val="auto"/>
                <w:highlight w:val="none"/>
              </w:rPr>
              <w:t>30</w:t>
            </w:r>
            <w:r>
              <w:rPr>
                <w:rFonts w:hint="eastAsia" w:hAnsi="宋体" w:cs="宋体"/>
                <w:color w:val="auto"/>
                <w:highlight w:val="none"/>
              </w:rPr>
              <w:t>天</w:t>
            </w:r>
          </w:p>
        </w:tc>
      </w:tr>
      <w:tr w14:paraId="57758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6C9D9C9">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color w:val="auto"/>
                <w:highlight w:val="none"/>
              </w:rPr>
            </w:pPr>
            <w:r>
              <w:rPr>
                <w:color w:val="auto"/>
                <w:highlight w:val="none"/>
              </w:rPr>
              <w:t>3</w:t>
            </w:r>
          </w:p>
        </w:tc>
        <w:tc>
          <w:tcPr>
            <w:tcW w:w="2466" w:type="dxa"/>
            <w:noWrap w:val="0"/>
            <w:vAlign w:val="center"/>
          </w:tcPr>
          <w:p w14:paraId="0300C1CE">
            <w:pPr>
              <w:keepNext w:val="0"/>
              <w:keepLines w:val="0"/>
              <w:pageBreakBefore w:val="0"/>
              <w:widowControl w:val="0"/>
              <w:kinsoku/>
              <w:wordWrap/>
              <w:overflowPunct/>
              <w:topLinePunct w:val="0"/>
              <w:autoSpaceDE/>
              <w:autoSpaceDN/>
              <w:bidi w:val="0"/>
              <w:adjustRightInd/>
              <w:snapToGrid/>
              <w:spacing w:line="360" w:lineRule="atLeast"/>
              <w:ind w:firstLine="27" w:firstLineChars="13"/>
              <w:jc w:val="center"/>
              <w:textAlignment w:val="auto"/>
              <w:rPr>
                <w:color w:val="auto"/>
                <w:highlight w:val="none"/>
              </w:rPr>
            </w:pPr>
            <w:r>
              <w:rPr>
                <w:color w:val="auto"/>
                <w:highlight w:val="none"/>
              </w:rPr>
              <w:t>2000</w:t>
            </w:r>
            <w:r>
              <w:rPr>
                <w:rFonts w:hint="eastAsia" w:hAnsi="宋体" w:cs="宋体"/>
                <w:color w:val="auto"/>
                <w:highlight w:val="none"/>
              </w:rPr>
              <w:t>万元</w:t>
            </w:r>
            <w:r>
              <w:rPr>
                <w:color w:val="auto"/>
                <w:highlight w:val="none"/>
              </w:rPr>
              <w:t>-5000</w:t>
            </w:r>
            <w:r>
              <w:rPr>
                <w:rFonts w:hint="eastAsia" w:hAnsi="宋体" w:cs="宋体"/>
                <w:color w:val="auto"/>
                <w:highlight w:val="none"/>
              </w:rPr>
              <w:t>万元</w:t>
            </w:r>
          </w:p>
        </w:tc>
        <w:tc>
          <w:tcPr>
            <w:tcW w:w="5967" w:type="dxa"/>
            <w:noWrap w:val="0"/>
            <w:vAlign w:val="center"/>
          </w:tcPr>
          <w:p w14:paraId="33FA2808">
            <w:pPr>
              <w:keepNext w:val="0"/>
              <w:keepLines w:val="0"/>
              <w:pageBreakBefore w:val="0"/>
              <w:widowControl w:val="0"/>
              <w:kinsoku/>
              <w:wordWrap/>
              <w:overflowPunct/>
              <w:topLinePunct w:val="0"/>
              <w:autoSpaceDE/>
              <w:autoSpaceDN/>
              <w:bidi w:val="0"/>
              <w:adjustRightInd/>
              <w:snapToGrid/>
              <w:spacing w:line="360" w:lineRule="atLeast"/>
              <w:ind w:firstLine="441" w:firstLineChars="210"/>
              <w:jc w:val="center"/>
              <w:textAlignment w:val="auto"/>
              <w:rPr>
                <w:color w:val="auto"/>
                <w:highlight w:val="none"/>
              </w:rPr>
            </w:pPr>
            <w:r>
              <w:rPr>
                <w:rFonts w:hint="eastAsia" w:hAnsi="宋体" w:cs="宋体"/>
                <w:color w:val="auto"/>
                <w:highlight w:val="none"/>
              </w:rPr>
              <w:t>从接到竣工结算报告和完整的竣工结算资料之日起</w:t>
            </w:r>
            <w:r>
              <w:rPr>
                <w:color w:val="auto"/>
                <w:highlight w:val="none"/>
              </w:rPr>
              <w:t>45</w:t>
            </w:r>
            <w:r>
              <w:rPr>
                <w:rFonts w:hint="eastAsia" w:hAnsi="宋体" w:cs="宋体"/>
                <w:color w:val="auto"/>
                <w:highlight w:val="none"/>
              </w:rPr>
              <w:t>天</w:t>
            </w:r>
          </w:p>
        </w:tc>
      </w:tr>
      <w:tr w14:paraId="34F72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7E794AD9">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color w:val="auto"/>
                <w:highlight w:val="none"/>
              </w:rPr>
            </w:pPr>
            <w:r>
              <w:rPr>
                <w:color w:val="auto"/>
                <w:highlight w:val="none"/>
              </w:rPr>
              <w:t>4</w:t>
            </w:r>
          </w:p>
        </w:tc>
        <w:tc>
          <w:tcPr>
            <w:tcW w:w="2466" w:type="dxa"/>
            <w:noWrap w:val="0"/>
            <w:vAlign w:val="center"/>
          </w:tcPr>
          <w:p w14:paraId="08488159">
            <w:pPr>
              <w:keepNext w:val="0"/>
              <w:keepLines w:val="0"/>
              <w:pageBreakBefore w:val="0"/>
              <w:widowControl w:val="0"/>
              <w:kinsoku/>
              <w:wordWrap/>
              <w:overflowPunct/>
              <w:topLinePunct w:val="0"/>
              <w:autoSpaceDE/>
              <w:autoSpaceDN/>
              <w:bidi w:val="0"/>
              <w:adjustRightInd/>
              <w:snapToGrid/>
              <w:spacing w:line="360" w:lineRule="atLeast"/>
              <w:ind w:firstLine="27" w:firstLineChars="13"/>
              <w:jc w:val="center"/>
              <w:textAlignment w:val="auto"/>
              <w:rPr>
                <w:color w:val="auto"/>
                <w:highlight w:val="none"/>
              </w:rPr>
            </w:pPr>
            <w:r>
              <w:rPr>
                <w:color w:val="auto"/>
                <w:highlight w:val="none"/>
              </w:rPr>
              <w:t>5000</w:t>
            </w:r>
            <w:r>
              <w:rPr>
                <w:rFonts w:hint="eastAsia" w:hAnsi="宋体" w:cs="宋体"/>
                <w:color w:val="auto"/>
                <w:highlight w:val="none"/>
              </w:rPr>
              <w:t>万元以上</w:t>
            </w:r>
          </w:p>
        </w:tc>
        <w:tc>
          <w:tcPr>
            <w:tcW w:w="5967" w:type="dxa"/>
            <w:noWrap w:val="0"/>
            <w:vAlign w:val="center"/>
          </w:tcPr>
          <w:p w14:paraId="497739E8">
            <w:pPr>
              <w:keepNext w:val="0"/>
              <w:keepLines w:val="0"/>
              <w:pageBreakBefore w:val="0"/>
              <w:widowControl w:val="0"/>
              <w:kinsoku/>
              <w:wordWrap/>
              <w:overflowPunct/>
              <w:topLinePunct w:val="0"/>
              <w:autoSpaceDE/>
              <w:autoSpaceDN/>
              <w:bidi w:val="0"/>
              <w:adjustRightInd/>
              <w:snapToGrid/>
              <w:spacing w:line="360" w:lineRule="atLeast"/>
              <w:ind w:firstLine="441" w:firstLineChars="210"/>
              <w:jc w:val="center"/>
              <w:textAlignment w:val="auto"/>
              <w:rPr>
                <w:color w:val="auto"/>
                <w:highlight w:val="none"/>
              </w:rPr>
            </w:pPr>
            <w:r>
              <w:rPr>
                <w:rFonts w:hint="eastAsia" w:hAnsi="宋体" w:cs="宋体"/>
                <w:color w:val="auto"/>
                <w:highlight w:val="none"/>
              </w:rPr>
              <w:t>从接到竣工结算报告和完整的竣工结算资料之日起</w:t>
            </w:r>
            <w:r>
              <w:rPr>
                <w:color w:val="auto"/>
                <w:highlight w:val="none"/>
              </w:rPr>
              <w:t>60</w:t>
            </w:r>
            <w:r>
              <w:rPr>
                <w:rFonts w:hint="eastAsia" w:hAnsi="宋体" w:cs="宋体"/>
                <w:color w:val="auto"/>
                <w:highlight w:val="none"/>
              </w:rPr>
              <w:t>天</w:t>
            </w:r>
          </w:p>
        </w:tc>
      </w:tr>
      <w:tr w14:paraId="4B2B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1E334D7">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color w:val="auto"/>
                <w:highlight w:val="none"/>
              </w:rPr>
            </w:pPr>
            <w:r>
              <w:rPr>
                <w:rFonts w:hint="eastAsia"/>
                <w:color w:val="auto"/>
                <w:highlight w:val="none"/>
              </w:rPr>
              <w:t>5</w:t>
            </w:r>
          </w:p>
        </w:tc>
        <w:tc>
          <w:tcPr>
            <w:tcW w:w="2466" w:type="dxa"/>
            <w:noWrap w:val="0"/>
            <w:vAlign w:val="center"/>
          </w:tcPr>
          <w:p w14:paraId="5B9D7154">
            <w:pPr>
              <w:keepNext w:val="0"/>
              <w:keepLines w:val="0"/>
              <w:pageBreakBefore w:val="0"/>
              <w:widowControl w:val="0"/>
              <w:kinsoku/>
              <w:wordWrap/>
              <w:overflowPunct/>
              <w:topLinePunct w:val="0"/>
              <w:autoSpaceDE/>
              <w:autoSpaceDN/>
              <w:bidi w:val="0"/>
              <w:adjustRightInd/>
              <w:snapToGrid/>
              <w:spacing w:line="360" w:lineRule="atLeast"/>
              <w:ind w:firstLine="27" w:firstLineChars="13"/>
              <w:jc w:val="center"/>
              <w:textAlignment w:val="auto"/>
              <w:rPr>
                <w:rFonts w:hint="eastAsia" w:eastAsia="宋体"/>
                <w:color w:val="auto"/>
                <w:highlight w:val="none"/>
                <w:lang w:eastAsia="zh-CN"/>
              </w:rPr>
            </w:pPr>
            <w:r>
              <w:rPr>
                <w:rFonts w:hint="eastAsia"/>
                <w:color w:val="auto"/>
                <w:highlight w:val="none"/>
              </w:rPr>
              <w:t>5000万以上每增加</w:t>
            </w:r>
            <w:r>
              <w:rPr>
                <w:color w:val="auto"/>
                <w:highlight w:val="none"/>
              </w:rPr>
              <w:t>0.5</w:t>
            </w:r>
            <w:r>
              <w:rPr>
                <w:rFonts w:hint="eastAsia"/>
                <w:color w:val="auto"/>
                <w:highlight w:val="none"/>
              </w:rPr>
              <w:t>亿</w:t>
            </w:r>
            <w:r>
              <w:rPr>
                <w:rFonts w:hint="eastAsia"/>
                <w:color w:val="auto"/>
                <w:highlight w:val="none"/>
                <w:lang w:eastAsia="zh-CN"/>
              </w:rPr>
              <w:t>（</w:t>
            </w:r>
            <w:r>
              <w:rPr>
                <w:rFonts w:hint="eastAsia"/>
                <w:color w:val="auto"/>
                <w:highlight w:val="none"/>
              </w:rPr>
              <w:t>不足0.5亿不增加</w:t>
            </w:r>
            <w:r>
              <w:rPr>
                <w:rFonts w:hint="eastAsia"/>
                <w:color w:val="auto"/>
                <w:highlight w:val="none"/>
                <w:lang w:eastAsia="zh-CN"/>
              </w:rPr>
              <w:t>）</w:t>
            </w:r>
          </w:p>
        </w:tc>
        <w:tc>
          <w:tcPr>
            <w:tcW w:w="5967" w:type="dxa"/>
            <w:noWrap w:val="0"/>
            <w:vAlign w:val="center"/>
          </w:tcPr>
          <w:p w14:paraId="4F5C0C9A">
            <w:pPr>
              <w:keepNext w:val="0"/>
              <w:keepLines w:val="0"/>
              <w:pageBreakBefore w:val="0"/>
              <w:widowControl w:val="0"/>
              <w:kinsoku/>
              <w:wordWrap/>
              <w:overflowPunct/>
              <w:topLinePunct w:val="0"/>
              <w:autoSpaceDE/>
              <w:autoSpaceDN/>
              <w:bidi w:val="0"/>
              <w:adjustRightInd/>
              <w:snapToGrid/>
              <w:spacing w:line="360" w:lineRule="atLeast"/>
              <w:ind w:firstLine="441" w:firstLineChars="210"/>
              <w:jc w:val="center"/>
              <w:textAlignment w:val="auto"/>
              <w:rPr>
                <w:rFonts w:hint="eastAsia" w:hAnsi="宋体" w:cs="宋体"/>
                <w:color w:val="auto"/>
                <w:highlight w:val="none"/>
              </w:rPr>
            </w:pPr>
            <w:r>
              <w:rPr>
                <w:rFonts w:hint="eastAsia" w:hAnsi="宋体" w:cs="宋体"/>
                <w:color w:val="auto"/>
                <w:highlight w:val="none"/>
              </w:rPr>
              <w:t>增加10天</w:t>
            </w:r>
          </w:p>
        </w:tc>
      </w:tr>
    </w:tbl>
    <w:p w14:paraId="69865AC3">
      <w:pPr>
        <w:keepNext w:val="0"/>
        <w:keepLines w:val="0"/>
        <w:pageBreakBefore w:val="0"/>
        <w:widowControl w:val="0"/>
        <w:kinsoku/>
        <w:wordWrap/>
        <w:overflowPunct/>
        <w:topLinePunct w:val="0"/>
        <w:autoSpaceDE/>
        <w:autoSpaceDN/>
        <w:bidi w:val="0"/>
        <w:adjustRightInd/>
        <w:snapToGrid/>
        <w:spacing w:line="360" w:lineRule="atLeast"/>
        <w:ind w:firstLine="420" w:firstLineChars="200"/>
        <w:jc w:val="left"/>
        <w:textAlignment w:val="auto"/>
        <w:rPr>
          <w:rFonts w:hint="eastAsia" w:hAnsi="宋体" w:cs="宋体"/>
          <w:color w:val="auto"/>
          <w:highlight w:val="none"/>
        </w:rPr>
      </w:pPr>
    </w:p>
    <w:p w14:paraId="08E9AAAC">
      <w:pPr>
        <w:spacing w:line="360" w:lineRule="auto"/>
        <w:ind w:firstLine="420" w:firstLineChars="200"/>
        <w:jc w:val="left"/>
        <w:rPr>
          <w:rFonts w:hAnsi="宋体"/>
          <w:color w:val="auto"/>
          <w:highlight w:val="none"/>
        </w:rPr>
      </w:pPr>
      <w:r>
        <w:rPr>
          <w:rFonts w:hint="eastAsia" w:hAnsi="宋体" w:cs="宋体"/>
          <w:color w:val="auto"/>
          <w:highlight w:val="none"/>
        </w:rPr>
        <w:t>因承包人提供的结算资料不完整而需要补充或承包人不按时对账耽误时间时，审查时间应相应顺延。</w:t>
      </w:r>
    </w:p>
    <w:p w14:paraId="59CCD94F">
      <w:pPr>
        <w:spacing w:line="400" w:lineRule="exact"/>
        <w:ind w:firstLine="411" w:firstLineChars="196"/>
        <w:rPr>
          <w:rFonts w:hint="eastAsia" w:ascii="Times New Roman" w:hAnsi="宋体" w:eastAsia="宋体" w:cs="宋体"/>
          <w:i w:val="0"/>
          <w:caps w:val="0"/>
          <w:color w:val="auto"/>
          <w:spacing w:val="0"/>
          <w:sz w:val="21"/>
          <w:szCs w:val="21"/>
          <w:highlight w:val="none"/>
        </w:rPr>
      </w:pPr>
      <w:r>
        <w:rPr>
          <w:rFonts w:hint="eastAsia" w:hAnsi="宋体" w:cs="宋体"/>
          <w:color w:val="auto"/>
          <w:highlight w:val="none"/>
        </w:rPr>
        <w:t>竣工结算审核约定：</w:t>
      </w:r>
      <w:r>
        <w:rPr>
          <w:rFonts w:hint="eastAsia" w:ascii="Times New Roman" w:hAnsi="宋体" w:eastAsia="宋体" w:cs="宋体"/>
          <w:i w:val="0"/>
          <w:caps w:val="0"/>
          <w:color w:val="auto"/>
          <w:spacing w:val="0"/>
          <w:sz w:val="21"/>
          <w:szCs w:val="21"/>
          <w:highlight w:val="none"/>
        </w:rPr>
        <w:t>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6AA19EBB">
      <w:pPr>
        <w:spacing w:line="400" w:lineRule="exact"/>
        <w:ind w:firstLine="411" w:firstLineChars="196"/>
        <w:rPr>
          <w:rFonts w:hint="eastAsia" w:ascii="Times New Roman" w:hAnsi="宋体" w:eastAsia="宋体" w:cs="宋体"/>
          <w:color w:val="auto"/>
          <w:highlight w:val="none"/>
        </w:rPr>
      </w:pPr>
      <w:r>
        <w:rPr>
          <w:rFonts w:hint="eastAsia" w:ascii="Times New Roman" w:hAnsi="宋体" w:eastAsia="宋体" w:cs="宋体"/>
          <w:color w:val="auto"/>
          <w:highlight w:val="none"/>
          <w:lang w:val="en-US" w:eastAsia="zh-CN"/>
        </w:rPr>
        <w:t>当年开工、当年不能竣工的新开工项目可以推行过程结算。发承包双方通过合同约定，将施工过程按时间或进度节点划分施工周期，对周期内已完成且无争议的工程量（含变更、签证、索赔等）进行价款计算、确认和支付，支付金额不得超出已完工部分对应的批复（预）算。经双方确认的过程结算文件作为竣工结算文件的组成部分，竣工后原则上不再重复审核。</w:t>
      </w:r>
    </w:p>
    <w:p w14:paraId="77866139">
      <w:pPr>
        <w:spacing w:line="400" w:lineRule="exact"/>
        <w:ind w:firstLine="411" w:firstLineChars="196"/>
        <w:rPr>
          <w:rFonts w:hAnsi="宋体"/>
          <w:color w:val="auto"/>
          <w:highlight w:val="none"/>
          <w:u w:val="single"/>
        </w:rPr>
      </w:pPr>
      <w:r>
        <w:rPr>
          <w:rFonts w:hAnsi="宋体"/>
          <w:color w:val="auto"/>
          <w:highlight w:val="none"/>
          <w:u w:val="single"/>
        </w:rPr>
        <w:t>1</w:t>
      </w:r>
      <w:r>
        <w:rPr>
          <w:rFonts w:hint="eastAsia" w:hAnsi="宋体" w:cs="宋体"/>
          <w:color w:val="auto"/>
          <w:highlight w:val="none"/>
          <w:u w:val="single"/>
        </w:rPr>
        <w:t>、工程竣工验收报告经发包人认可后</w:t>
      </w:r>
      <w:r>
        <w:rPr>
          <w:rFonts w:hint="eastAsia" w:hAnsi="宋体"/>
          <w:color w:val="auto"/>
          <w:highlight w:val="none"/>
          <w:u w:val="single"/>
          <w:lang w:val="en-US" w:eastAsia="zh-CN"/>
        </w:rPr>
        <w:t>20</w:t>
      </w:r>
      <w:r>
        <w:rPr>
          <w:rFonts w:hint="eastAsia" w:hAnsi="宋体" w:cs="宋体"/>
          <w:color w:val="auto"/>
          <w:highlight w:val="none"/>
          <w:u w:val="single"/>
        </w:rPr>
        <w:t>天内，承包人向发包人递交竣工验收合格资料及完整的结算资料和报告，双方按照本工程合同约定的价格形式及价款调整办法进行工程竣工结算。</w:t>
      </w:r>
      <w:r>
        <w:rPr>
          <w:rFonts w:hAnsi="宋体"/>
          <w:color w:val="auto"/>
          <w:highlight w:val="none"/>
          <w:u w:val="single"/>
        </w:rPr>
        <w:t>2</w:t>
      </w:r>
      <w:r>
        <w:rPr>
          <w:rFonts w:hint="eastAsia" w:hAnsi="宋体" w:cs="宋体"/>
          <w:color w:val="auto"/>
          <w:highlight w:val="none"/>
          <w:u w:val="single"/>
        </w:rPr>
        <w:t>、发包人收到承包人递交的竣工结算报告及结算资料之日起</w:t>
      </w:r>
      <w:r>
        <w:rPr>
          <w:rFonts w:hint="eastAsia" w:hAnsi="宋体"/>
          <w:color w:val="auto"/>
          <w:highlight w:val="none"/>
          <w:u w:val="single"/>
          <w:lang w:val="en-US" w:eastAsia="zh-CN"/>
        </w:rPr>
        <w:t>60</w:t>
      </w:r>
      <w:r>
        <w:rPr>
          <w:rFonts w:hint="eastAsia" w:hAnsi="宋体" w:cs="宋体"/>
          <w:color w:val="auto"/>
          <w:highlight w:val="none"/>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w:t>
      </w:r>
      <w:r>
        <w:rPr>
          <w:rFonts w:hint="eastAsia" w:hAnsi="宋体" w:cs="宋体"/>
          <w:color w:val="auto"/>
          <w:highlight w:val="none"/>
          <w:u w:val="single"/>
          <w:lang w:val="en-US" w:eastAsia="zh-CN"/>
        </w:rPr>
        <w:t>7</w:t>
      </w:r>
      <w:r>
        <w:rPr>
          <w:rFonts w:hint="eastAsia" w:hAnsi="宋体" w:cs="宋体"/>
          <w:color w:val="auto"/>
          <w:highlight w:val="none"/>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hAnsi="宋体"/>
          <w:color w:val="auto"/>
          <w:highlight w:val="none"/>
          <w:u w:val="single"/>
          <w:lang w:val="en-US" w:eastAsia="zh-CN"/>
        </w:rPr>
        <w:t>20</w:t>
      </w:r>
      <w:r>
        <w:rPr>
          <w:rFonts w:hint="eastAsia" w:hAnsi="宋体" w:cs="宋体"/>
          <w:color w:val="auto"/>
          <w:highlight w:val="none"/>
          <w:u w:val="single"/>
        </w:rPr>
        <w:t>天内，发包人按审定后的竣工结算价款，通知经办银行向承包人支付结算价款。</w:t>
      </w:r>
    </w:p>
    <w:p w14:paraId="27DA3CE4">
      <w:pPr>
        <w:spacing w:line="360" w:lineRule="auto"/>
        <w:ind w:firstLine="420" w:firstLineChars="200"/>
        <w:jc w:val="left"/>
        <w:rPr>
          <w:color w:val="auto"/>
          <w:highlight w:val="none"/>
          <w:u w:val="single"/>
        </w:rPr>
      </w:pPr>
      <w:r>
        <w:rPr>
          <w:rFonts w:hint="eastAsia" w:hAnsi="宋体" w:cs="宋体"/>
          <w:color w:val="auto"/>
          <w:highlight w:val="none"/>
        </w:rPr>
        <w:t>备注：对于国有投资项目结算审核约定，双方可结合各地政府或有关部门出台的管理规定进行局部调整</w:t>
      </w:r>
    </w:p>
    <w:p w14:paraId="4CBD3CDE">
      <w:pPr>
        <w:pStyle w:val="5"/>
        <w:rPr>
          <w:color w:val="auto"/>
          <w:highlight w:val="none"/>
        </w:rPr>
      </w:pPr>
      <w:bookmarkStart w:id="1310" w:name="_Toc540165641"/>
      <w:bookmarkStart w:id="1311" w:name="_Toc78449850"/>
      <w:bookmarkStart w:id="1312" w:name="_Toc389065326"/>
      <w:bookmarkStart w:id="1313" w:name="_Toc1203653078"/>
      <w:bookmarkStart w:id="1314" w:name="_Toc373227761"/>
      <w:bookmarkStart w:id="1315" w:name="_Toc17930"/>
      <w:bookmarkStart w:id="1316" w:name="_Toc373478408"/>
      <w:bookmarkStart w:id="1317" w:name="_Toc407135264"/>
      <w:r>
        <w:rPr>
          <w:color w:val="auto"/>
          <w:highlight w:val="none"/>
        </w:rPr>
        <w:t xml:space="preserve">14.4 </w:t>
      </w:r>
      <w:r>
        <w:rPr>
          <w:rFonts w:hint="eastAsia" w:hAnsi="宋体" w:cs="黑体"/>
          <w:color w:val="auto"/>
          <w:highlight w:val="none"/>
        </w:rPr>
        <w:t>最终结清</w:t>
      </w:r>
      <w:bookmarkEnd w:id="1310"/>
      <w:bookmarkEnd w:id="1311"/>
      <w:bookmarkEnd w:id="1312"/>
      <w:bookmarkEnd w:id="1313"/>
      <w:bookmarkEnd w:id="1314"/>
      <w:bookmarkEnd w:id="1315"/>
      <w:bookmarkEnd w:id="1316"/>
      <w:bookmarkEnd w:id="1317"/>
    </w:p>
    <w:p w14:paraId="1CBF4FF5">
      <w:pPr>
        <w:spacing w:line="360" w:lineRule="auto"/>
        <w:ind w:firstLine="420" w:firstLineChars="200"/>
        <w:jc w:val="left"/>
        <w:rPr>
          <w:color w:val="auto"/>
          <w:kern w:val="0"/>
          <w:highlight w:val="none"/>
        </w:rPr>
      </w:pPr>
      <w:r>
        <w:rPr>
          <w:color w:val="auto"/>
          <w:kern w:val="0"/>
          <w:highlight w:val="none"/>
        </w:rPr>
        <w:t xml:space="preserve">14.4.1 </w:t>
      </w:r>
      <w:r>
        <w:rPr>
          <w:rFonts w:hint="eastAsia" w:hAnsi="宋体" w:cs="宋体"/>
          <w:color w:val="auto"/>
          <w:kern w:val="0"/>
          <w:highlight w:val="none"/>
        </w:rPr>
        <w:t>最终结清申请单</w:t>
      </w:r>
    </w:p>
    <w:p w14:paraId="70757265">
      <w:pPr>
        <w:spacing w:line="360" w:lineRule="auto"/>
        <w:ind w:firstLine="420" w:firstLineChars="200"/>
        <w:jc w:val="left"/>
        <w:rPr>
          <w:color w:val="auto"/>
          <w:kern w:val="0"/>
          <w:highlight w:val="none"/>
        </w:rPr>
      </w:pPr>
      <w:r>
        <w:rPr>
          <w:rFonts w:hint="eastAsia" w:hAnsi="宋体" w:cs="宋体"/>
          <w:color w:val="auto"/>
          <w:kern w:val="0"/>
          <w:highlight w:val="none"/>
        </w:rPr>
        <w:t>承包人提交最终结清申请单的份数：</w:t>
      </w:r>
      <w:r>
        <w:rPr>
          <w:rFonts w:ascii="宋体" w:hAnsi="宋体" w:eastAsia="宋体" w:cs="宋体"/>
          <w:color w:val="auto"/>
          <w:spacing w:val="0"/>
          <w:highlight w:val="none"/>
          <w:u w:val="single"/>
        </w:rPr>
        <w:t>一式六份</w:t>
      </w:r>
      <w:r>
        <w:rPr>
          <w:rFonts w:hint="eastAsia" w:hAnsi="宋体" w:cs="宋体"/>
          <w:color w:val="auto"/>
          <w:highlight w:val="none"/>
        </w:rPr>
        <w:t>。</w:t>
      </w:r>
    </w:p>
    <w:p w14:paraId="3F7FFD92">
      <w:pPr>
        <w:spacing w:line="360" w:lineRule="auto"/>
        <w:ind w:firstLine="420" w:firstLineChars="200"/>
        <w:jc w:val="left"/>
        <w:rPr>
          <w:color w:val="auto"/>
          <w:highlight w:val="none"/>
        </w:rPr>
      </w:pPr>
      <w:r>
        <w:rPr>
          <w:rFonts w:hint="eastAsia" w:hAnsi="宋体" w:cs="宋体"/>
          <w:color w:val="auto"/>
          <w:kern w:val="0"/>
          <w:highlight w:val="none"/>
        </w:rPr>
        <w:t>承包人提交最终结算申请单的期限：</w:t>
      </w:r>
      <w:r>
        <w:rPr>
          <w:rFonts w:ascii="宋体" w:hAnsi="宋体" w:eastAsia="宋体" w:cs="宋体"/>
          <w:color w:val="auto"/>
          <w:spacing w:val="0"/>
          <w:highlight w:val="none"/>
          <w:u w:val="single"/>
        </w:rPr>
        <w:t>质量保修期期满后 14 天内</w:t>
      </w:r>
      <w:r>
        <w:rPr>
          <w:rFonts w:hint="eastAsia" w:hAnsi="宋体" w:cs="宋体"/>
          <w:color w:val="auto"/>
          <w:highlight w:val="none"/>
        </w:rPr>
        <w:t>。</w:t>
      </w:r>
      <w:r>
        <w:rPr>
          <w:color w:val="auto"/>
          <w:highlight w:val="none"/>
        </w:rPr>
        <w:t xml:space="preserve"> </w:t>
      </w:r>
    </w:p>
    <w:p w14:paraId="6BA8430C">
      <w:pPr>
        <w:spacing w:line="360" w:lineRule="auto"/>
        <w:ind w:firstLine="420" w:firstLineChars="200"/>
        <w:jc w:val="left"/>
        <w:rPr>
          <w:color w:val="auto"/>
          <w:highlight w:val="none"/>
        </w:rPr>
      </w:pPr>
      <w:r>
        <w:rPr>
          <w:rFonts w:hint="eastAsia"/>
          <w:color w:val="auto"/>
          <w:highlight w:val="none"/>
        </w:rPr>
        <w:t>最终结算款支付申请（核准）表见合同附件13。</w:t>
      </w:r>
    </w:p>
    <w:p w14:paraId="7AC48B4F">
      <w:pPr>
        <w:spacing w:line="360" w:lineRule="auto"/>
        <w:ind w:firstLine="420" w:firstLineChars="200"/>
        <w:jc w:val="left"/>
        <w:rPr>
          <w:color w:val="auto"/>
          <w:highlight w:val="none"/>
        </w:rPr>
      </w:pPr>
      <w:r>
        <w:rPr>
          <w:color w:val="auto"/>
          <w:highlight w:val="none"/>
        </w:rPr>
        <w:t xml:space="preserve">14.4.2 </w:t>
      </w:r>
      <w:r>
        <w:rPr>
          <w:rFonts w:hint="eastAsia" w:hAnsi="宋体" w:cs="宋体"/>
          <w:color w:val="auto"/>
          <w:highlight w:val="none"/>
        </w:rPr>
        <w:t>最终结清证书和支付</w:t>
      </w:r>
    </w:p>
    <w:p w14:paraId="3C3195B4">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）发包人完成最终结清申请单的审批并颁发最终结清证书的期限：</w:t>
      </w:r>
      <w:r>
        <w:rPr>
          <w:rFonts w:hint="eastAsia"/>
          <w:color w:val="auto"/>
          <w:highlight w:val="none"/>
          <w:u w:val="single"/>
        </w:rPr>
        <w:t>收到该申请 14</w:t>
      </w:r>
      <w:r>
        <w:rPr>
          <w:rFonts w:hint="eastAsia"/>
          <w:color w:val="auto"/>
          <w:highlight w:val="none"/>
          <w:u w:val="single"/>
          <w:lang w:val="en-US" w:eastAsia="zh-CN"/>
        </w:rPr>
        <w:t>天内</w:t>
      </w:r>
      <w:r>
        <w:rPr>
          <w:rFonts w:hint="eastAsia" w:hAnsi="宋体" w:cs="宋体"/>
          <w:color w:val="auto"/>
          <w:highlight w:val="none"/>
        </w:rPr>
        <w:t>。</w:t>
      </w:r>
    </w:p>
    <w:p w14:paraId="28BF68F0">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）发包人完成支付的期限：</w:t>
      </w:r>
      <w:r>
        <w:rPr>
          <w:color w:val="auto"/>
          <w:highlight w:val="none"/>
          <w:u w:val="single"/>
        </w:rPr>
        <w:t xml:space="preserve"> </w:t>
      </w:r>
      <w:r>
        <w:rPr>
          <w:rFonts w:hint="eastAsia"/>
          <w:color w:val="auto"/>
          <w:highlight w:val="none"/>
          <w:u w:val="single"/>
        </w:rPr>
        <w:t>如无质量问题，在质量保修期期满2年后，退付工程质量保修金70%(无息)；质量保修期期满5年后，退付至工程质量保修金100% (无息)</w:t>
      </w:r>
      <w:r>
        <w:rPr>
          <w:color w:val="auto"/>
          <w:highlight w:val="none"/>
          <w:u w:val="single"/>
        </w:rPr>
        <w:t xml:space="preserve"> </w:t>
      </w:r>
      <w:r>
        <w:rPr>
          <w:rFonts w:hint="eastAsia" w:hAnsi="宋体" w:cs="宋体"/>
          <w:color w:val="auto"/>
          <w:highlight w:val="none"/>
        </w:rPr>
        <w:t>。</w:t>
      </w:r>
    </w:p>
    <w:bookmarkEnd w:id="1253"/>
    <w:bookmarkEnd w:id="1254"/>
    <w:bookmarkEnd w:id="1255"/>
    <w:bookmarkEnd w:id="1256"/>
    <w:bookmarkEnd w:id="1257"/>
    <w:bookmarkEnd w:id="1258"/>
    <w:bookmarkEnd w:id="1259"/>
    <w:bookmarkEnd w:id="1265"/>
    <w:p w14:paraId="1FFB6E78">
      <w:pPr>
        <w:pStyle w:val="4"/>
        <w:rPr>
          <w:color w:val="auto"/>
          <w:highlight w:val="none"/>
        </w:rPr>
      </w:pPr>
      <w:bookmarkStart w:id="1318" w:name="_Toc78449851"/>
      <w:bookmarkStart w:id="1319" w:name="_Toc351203647"/>
      <w:bookmarkStart w:id="1320" w:name="_Toc389065327"/>
      <w:bookmarkStart w:id="1321" w:name="_Toc373227762"/>
      <w:bookmarkStart w:id="1322" w:name="_Toc14095"/>
      <w:bookmarkStart w:id="1323" w:name="_Toc373478409"/>
      <w:bookmarkStart w:id="1324" w:name="_Toc407135265"/>
      <w:bookmarkStart w:id="1325" w:name="_Toc1294213766"/>
      <w:bookmarkStart w:id="1326" w:name="_Toc16932"/>
      <w:bookmarkStart w:id="1327" w:name="_Toc905081407"/>
      <w:bookmarkStart w:id="1328" w:name="_Toc267251483"/>
      <w:bookmarkStart w:id="1329" w:name="_Toc267251482"/>
      <w:bookmarkStart w:id="1330" w:name="_Toc267251484"/>
      <w:bookmarkStart w:id="1331" w:name="_Toc267251485"/>
      <w:bookmarkStart w:id="1332" w:name="_Toc267251488"/>
      <w:bookmarkStart w:id="1333" w:name="_Toc267251490"/>
      <w:bookmarkStart w:id="1334" w:name="_Toc267251486"/>
      <w:bookmarkStart w:id="1335" w:name="_Toc267251489"/>
      <w:bookmarkStart w:id="1336" w:name="_Toc267251502"/>
      <w:bookmarkStart w:id="1337" w:name="_Toc267251492"/>
      <w:bookmarkStart w:id="1338" w:name="_Toc267251503"/>
      <w:bookmarkStart w:id="1339" w:name="_Toc267251495"/>
      <w:bookmarkStart w:id="1340" w:name="_Toc267251491"/>
      <w:bookmarkStart w:id="1341" w:name="_Toc267251496"/>
      <w:bookmarkStart w:id="1342" w:name="_Toc267251494"/>
      <w:bookmarkStart w:id="1343" w:name="_Toc267251499"/>
      <w:bookmarkStart w:id="1344" w:name="_Toc267251497"/>
      <w:bookmarkStart w:id="1345" w:name="_Toc267251493"/>
      <w:bookmarkStart w:id="1346" w:name="_Toc267251501"/>
      <w:bookmarkStart w:id="1347" w:name="_Toc267251498"/>
      <w:bookmarkStart w:id="1348" w:name="_Toc267251504"/>
      <w:bookmarkStart w:id="1349" w:name="_Toc267251506"/>
      <w:bookmarkStart w:id="1350" w:name="_Toc267251507"/>
      <w:bookmarkStart w:id="1351" w:name="_Toc267251508"/>
      <w:bookmarkStart w:id="1352" w:name="_Toc267251515"/>
      <w:bookmarkStart w:id="1353" w:name="_Toc267251509"/>
      <w:bookmarkStart w:id="1354" w:name="_Toc267251511"/>
      <w:bookmarkStart w:id="1355" w:name="_Toc267251513"/>
      <w:bookmarkStart w:id="1356" w:name="_Toc267251510"/>
      <w:bookmarkStart w:id="1357" w:name="_Toc267251514"/>
      <w:r>
        <w:rPr>
          <w:color w:val="auto"/>
          <w:highlight w:val="none"/>
        </w:rPr>
        <w:t xml:space="preserve">15. </w:t>
      </w:r>
      <w:r>
        <w:rPr>
          <w:rFonts w:hint="eastAsia" w:cs="黑体"/>
          <w:color w:val="auto"/>
          <w:highlight w:val="none"/>
        </w:rPr>
        <w:t>缺陷责任期与保修</w:t>
      </w:r>
      <w:bookmarkEnd w:id="1318"/>
      <w:bookmarkEnd w:id="1319"/>
      <w:bookmarkEnd w:id="1320"/>
      <w:bookmarkEnd w:id="1321"/>
      <w:bookmarkEnd w:id="1322"/>
      <w:bookmarkEnd w:id="1323"/>
      <w:bookmarkEnd w:id="1324"/>
      <w:bookmarkEnd w:id="1325"/>
      <w:bookmarkEnd w:id="1326"/>
      <w:bookmarkEnd w:id="1327"/>
    </w:p>
    <w:p w14:paraId="55C75CF7">
      <w:pPr>
        <w:pStyle w:val="5"/>
        <w:rPr>
          <w:color w:val="auto"/>
          <w:highlight w:val="none"/>
        </w:rPr>
      </w:pPr>
      <w:bookmarkStart w:id="1358" w:name="_Toc373478410"/>
      <w:bookmarkStart w:id="1359" w:name="_Toc3588"/>
      <w:bookmarkStart w:id="1360" w:name="_Toc407135266"/>
      <w:bookmarkStart w:id="1361" w:name="_Toc1468458868"/>
      <w:bookmarkStart w:id="1362" w:name="_Toc389065328"/>
      <w:bookmarkStart w:id="1363" w:name="_Toc1845278067"/>
      <w:bookmarkStart w:id="1364" w:name="_Toc373227763"/>
      <w:bookmarkStart w:id="1365" w:name="_Toc78449852"/>
      <w:r>
        <w:rPr>
          <w:color w:val="auto"/>
          <w:highlight w:val="none"/>
        </w:rPr>
        <w:t xml:space="preserve">15.2 </w:t>
      </w:r>
      <w:r>
        <w:rPr>
          <w:rFonts w:hint="eastAsia" w:hAnsi="宋体" w:cs="黑体"/>
          <w:color w:val="auto"/>
          <w:highlight w:val="none"/>
        </w:rPr>
        <w:t>缺陷责任期</w:t>
      </w:r>
      <w:bookmarkEnd w:id="1328"/>
      <w:bookmarkEnd w:id="1358"/>
      <w:bookmarkEnd w:id="1359"/>
      <w:bookmarkEnd w:id="1360"/>
      <w:bookmarkEnd w:id="1361"/>
      <w:bookmarkEnd w:id="1362"/>
      <w:bookmarkEnd w:id="1363"/>
      <w:bookmarkEnd w:id="1364"/>
      <w:bookmarkEnd w:id="1365"/>
    </w:p>
    <w:p w14:paraId="11DF87F3">
      <w:pPr>
        <w:spacing w:line="360" w:lineRule="auto"/>
        <w:ind w:firstLine="420" w:firstLineChars="200"/>
        <w:jc w:val="left"/>
        <w:rPr>
          <w:color w:val="auto"/>
          <w:highlight w:val="none"/>
          <w:u w:val="single"/>
        </w:rPr>
      </w:pPr>
      <w:r>
        <w:rPr>
          <w:rFonts w:hint="eastAsia" w:hAnsi="宋体" w:cs="宋体"/>
          <w:color w:val="auto"/>
          <w:highlight w:val="none"/>
        </w:rPr>
        <w:t>缺陷责任期的具体期限：</w:t>
      </w:r>
      <w:r>
        <w:rPr>
          <w:color w:val="auto"/>
          <w:highlight w:val="none"/>
          <w:u w:val="single"/>
        </w:rPr>
        <w:t xml:space="preserve">  </w:t>
      </w:r>
      <w:r>
        <w:rPr>
          <w:rStyle w:val="22"/>
          <w:rFonts w:hint="eastAsia" w:ascii="宋体" w:hAnsi="宋体" w:eastAsia="宋体" w:cs="宋体"/>
          <w:color w:val="auto"/>
          <w:szCs w:val="21"/>
          <w:highlight w:val="none"/>
          <w:u w:val="single"/>
          <w:lang w:eastAsia="zh-CN"/>
        </w:rPr>
        <w:t>自工程竣工验收合格之日起</w:t>
      </w:r>
      <w:r>
        <w:rPr>
          <w:rStyle w:val="22"/>
          <w:rFonts w:hint="eastAsia" w:ascii="宋体" w:hAnsi="宋体" w:eastAsia="宋体" w:cs="宋体"/>
          <w:color w:val="auto"/>
          <w:szCs w:val="21"/>
          <w:highlight w:val="none"/>
          <w:u w:val="single"/>
          <w:lang w:val="en-US" w:eastAsia="zh-CN"/>
        </w:rPr>
        <w:t>24个月</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4C183CAB">
      <w:pPr>
        <w:pStyle w:val="5"/>
        <w:rPr>
          <w:color w:val="auto"/>
          <w:highlight w:val="none"/>
        </w:rPr>
      </w:pPr>
      <w:bookmarkStart w:id="1366" w:name="_Toc373227764"/>
      <w:bookmarkStart w:id="1367" w:name="_Toc30345"/>
      <w:bookmarkStart w:id="1368" w:name="_Toc373478411"/>
      <w:bookmarkStart w:id="1369" w:name="_Toc78449853"/>
      <w:bookmarkStart w:id="1370" w:name="_Toc407135267"/>
      <w:bookmarkStart w:id="1371" w:name="_Toc389065329"/>
      <w:bookmarkStart w:id="1372" w:name="_Toc1004692311"/>
      <w:bookmarkStart w:id="1373" w:name="_Toc666080472"/>
      <w:r>
        <w:rPr>
          <w:color w:val="auto"/>
          <w:highlight w:val="none"/>
        </w:rPr>
        <w:t xml:space="preserve">15.3 </w:t>
      </w:r>
      <w:r>
        <w:rPr>
          <w:rFonts w:hint="eastAsia" w:hAnsi="宋体" w:cs="黑体"/>
          <w:color w:val="auto"/>
          <w:highlight w:val="none"/>
        </w:rPr>
        <w:t>质量保证金</w:t>
      </w:r>
      <w:bookmarkEnd w:id="1366"/>
      <w:bookmarkEnd w:id="1367"/>
      <w:bookmarkEnd w:id="1368"/>
      <w:bookmarkEnd w:id="1369"/>
      <w:bookmarkEnd w:id="1370"/>
      <w:bookmarkEnd w:id="1371"/>
      <w:bookmarkEnd w:id="1372"/>
      <w:bookmarkEnd w:id="1373"/>
    </w:p>
    <w:p w14:paraId="327DC850">
      <w:pPr>
        <w:spacing w:line="360" w:lineRule="auto"/>
        <w:ind w:firstLine="420" w:firstLineChars="200"/>
        <w:jc w:val="left"/>
        <w:rPr>
          <w:rFonts w:hint="eastAsia" w:hAnsi="宋体" w:cs="宋体"/>
          <w:color w:val="auto"/>
          <w:highlight w:val="none"/>
        </w:rPr>
      </w:pPr>
      <w:r>
        <w:rPr>
          <w:rFonts w:hint="eastAsia" w:hAnsi="宋体" w:cs="宋体"/>
          <w:color w:val="auto"/>
          <w:highlight w:val="none"/>
        </w:rPr>
        <w:t>关于是否扣留质量保证金的约定：</w:t>
      </w:r>
      <w:r>
        <w:rPr>
          <w:rStyle w:val="22"/>
          <w:rFonts w:hint="eastAsia" w:ascii="宋体" w:hAnsi="宋体" w:eastAsia="宋体" w:cs="宋体"/>
          <w:color w:val="auto"/>
          <w:highlight w:val="none"/>
          <w:u w:val="single"/>
        </w:rPr>
        <w:t>按工程价款结算总额的3%预留工程质量保修金</w:t>
      </w:r>
      <w:r>
        <w:rPr>
          <w:rFonts w:hint="eastAsia" w:hAnsi="宋体" w:cs="宋体"/>
          <w:color w:val="auto"/>
          <w:highlight w:val="none"/>
        </w:rPr>
        <w:t>。</w:t>
      </w:r>
    </w:p>
    <w:p w14:paraId="5E8C3E29">
      <w:pPr>
        <w:spacing w:line="360" w:lineRule="auto"/>
        <w:ind w:firstLine="420" w:firstLineChars="200"/>
        <w:jc w:val="left"/>
        <w:rPr>
          <w:color w:val="auto"/>
          <w:highlight w:val="none"/>
        </w:rPr>
      </w:pPr>
      <w:r>
        <w:rPr>
          <w:rFonts w:hint="eastAsia" w:hAnsi="宋体" w:cs="宋体"/>
          <w:color w:val="auto"/>
          <w:highlight w:val="none"/>
        </w:rPr>
        <w:t>在工程项目竣工前，承包人按专用合同条款第3.7条提供履约担保的，发包人不得同时预留工程质量保证金。</w:t>
      </w:r>
    </w:p>
    <w:p w14:paraId="0D96E9B4">
      <w:pPr>
        <w:spacing w:line="360" w:lineRule="auto"/>
        <w:ind w:firstLine="420" w:firstLineChars="200"/>
        <w:jc w:val="left"/>
        <w:outlineLvl w:val="0"/>
        <w:rPr>
          <w:color w:val="auto"/>
          <w:highlight w:val="none"/>
        </w:rPr>
      </w:pPr>
      <w:bookmarkStart w:id="1374" w:name="_Toc20148"/>
      <w:bookmarkStart w:id="1375" w:name="_Toc29310"/>
      <w:r>
        <w:rPr>
          <w:color w:val="auto"/>
          <w:highlight w:val="none"/>
        </w:rPr>
        <w:t xml:space="preserve">15.3.1 </w:t>
      </w:r>
      <w:r>
        <w:rPr>
          <w:rFonts w:hint="eastAsia" w:hAnsi="宋体" w:cs="宋体"/>
          <w:color w:val="auto"/>
          <w:highlight w:val="none"/>
        </w:rPr>
        <w:t>承包人提供质量保证金的方式</w:t>
      </w:r>
      <w:bookmarkEnd w:id="1374"/>
      <w:bookmarkEnd w:id="1375"/>
    </w:p>
    <w:p w14:paraId="0A298DFB">
      <w:pPr>
        <w:spacing w:line="360" w:lineRule="auto"/>
        <w:ind w:firstLine="420" w:firstLineChars="200"/>
        <w:jc w:val="left"/>
        <w:rPr>
          <w:color w:val="auto"/>
          <w:highlight w:val="none"/>
        </w:rPr>
      </w:pPr>
      <w:r>
        <w:rPr>
          <w:rFonts w:hint="eastAsia" w:hAnsi="宋体" w:cs="宋体"/>
          <w:color w:val="auto"/>
          <w:highlight w:val="none"/>
        </w:rPr>
        <w:t>质量保证金采用以下第</w:t>
      </w:r>
      <w:r>
        <w:rPr>
          <w:color w:val="auto"/>
          <w:highlight w:val="none"/>
          <w:u w:val="single"/>
        </w:rPr>
        <w:t xml:space="preserve"> </w:t>
      </w:r>
      <w:r>
        <w:rPr>
          <w:rFonts w:hint="eastAsia"/>
          <w:color w:val="auto"/>
          <w:highlight w:val="none"/>
          <w:u w:val="single"/>
          <w:lang w:eastAsia="zh-CN"/>
        </w:rPr>
        <w:t>（</w:t>
      </w:r>
      <w:r>
        <w:rPr>
          <w:rFonts w:hint="eastAsia"/>
          <w:color w:val="auto"/>
          <w:highlight w:val="none"/>
          <w:u w:val="single"/>
          <w:lang w:val="en-US" w:eastAsia="zh-CN"/>
        </w:rPr>
        <w:t>2</w:t>
      </w:r>
      <w:r>
        <w:rPr>
          <w:rFonts w:hint="eastAsia"/>
          <w:color w:val="auto"/>
          <w:highlight w:val="none"/>
          <w:u w:val="single"/>
          <w:lang w:eastAsia="zh-CN"/>
        </w:rPr>
        <w:t>）</w:t>
      </w:r>
      <w:r>
        <w:rPr>
          <w:color w:val="auto"/>
          <w:highlight w:val="none"/>
          <w:u w:val="single"/>
        </w:rPr>
        <w:t xml:space="preserve"> </w:t>
      </w:r>
      <w:r>
        <w:rPr>
          <w:rFonts w:hint="eastAsia" w:hAnsi="宋体" w:cs="宋体"/>
          <w:color w:val="auto"/>
          <w:highlight w:val="none"/>
        </w:rPr>
        <w:t>种方式：</w:t>
      </w:r>
    </w:p>
    <w:p w14:paraId="62432152">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）质量保证金保函</w:t>
      </w:r>
      <w:r>
        <w:rPr>
          <w:rFonts w:hint="eastAsia" w:ascii="Times New Roman" w:hAnsi="宋体" w:eastAsia="宋体" w:cs="宋体"/>
          <w:color w:val="auto"/>
          <w:highlight w:val="none"/>
        </w:rPr>
        <w:t>（银行保函、电子保函、保证保险保函、工程担保保函</w:t>
      </w:r>
      <w:r>
        <w:rPr>
          <w:rFonts w:hint="eastAsia" w:ascii="Times New Roman" w:hAnsi="宋体" w:eastAsia="宋体" w:cs="宋体"/>
          <w:color w:val="auto"/>
          <w:highlight w:val="none"/>
          <w:lang w:eastAsia="zh-CN"/>
        </w:rPr>
        <w:t>，</w:t>
      </w:r>
      <w:r>
        <w:rPr>
          <w:rFonts w:hint="eastAsia" w:hAnsi="宋体" w:cs="宋体"/>
          <w:color w:val="auto"/>
          <w:kern w:val="0"/>
          <w:highlight w:val="none"/>
        </w:rPr>
        <w:t>工程担保保证人应将出具的保函相关信息录入“广西建筑市场监管云”平台（http://gxjzsc.caihcloud.com），以实现保函查询及验真功能</w:t>
      </w:r>
      <w:r>
        <w:rPr>
          <w:rFonts w:hint="eastAsia" w:hAnsi="宋体" w:cs="宋体"/>
          <w:color w:val="auto"/>
          <w:kern w:val="0"/>
          <w:highlight w:val="none"/>
          <w:lang w:eastAsia="zh-CN"/>
        </w:rPr>
        <w:t>。</w:t>
      </w:r>
      <w:r>
        <w:rPr>
          <w:rFonts w:hint="eastAsia" w:ascii="Times New Roman" w:hAnsi="宋体" w:eastAsia="宋体" w:cs="宋体"/>
          <w:color w:val="auto"/>
          <w:highlight w:val="none"/>
        </w:rPr>
        <w:t>）</w:t>
      </w:r>
      <w:r>
        <w:rPr>
          <w:rFonts w:hint="eastAsia" w:hAnsi="宋体" w:cs="宋体"/>
          <w:color w:val="auto"/>
          <w:kern w:val="0"/>
          <w:highlight w:val="none"/>
        </w:rPr>
        <w:t>，保证金额为：</w:t>
      </w:r>
      <w:r>
        <w:rPr>
          <w:color w:val="auto"/>
          <w:kern w:val="0"/>
          <w:highlight w:val="none"/>
          <w:u w:val="single"/>
        </w:rPr>
        <w:t xml:space="preserve">                   </w:t>
      </w:r>
      <w:r>
        <w:rPr>
          <w:rFonts w:hint="eastAsia" w:hAnsi="宋体" w:cs="宋体"/>
          <w:color w:val="auto"/>
          <w:kern w:val="0"/>
          <w:highlight w:val="none"/>
        </w:rPr>
        <w:t>；</w:t>
      </w:r>
    </w:p>
    <w:p w14:paraId="6582AD6B">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w:t>
      </w:r>
      <w:r>
        <w:rPr>
          <w:rFonts w:hint="eastAsia" w:hAnsi="宋体" w:cs="宋体"/>
          <w:color w:val="auto"/>
          <w:highlight w:val="none"/>
        </w:rPr>
        <w:t>发包人按工程价款结算总额的</w:t>
      </w:r>
      <w:r>
        <w:rPr>
          <w:rFonts w:hAnsi="宋体"/>
          <w:color w:val="auto"/>
          <w:highlight w:val="none"/>
          <w:u w:val="single"/>
        </w:rPr>
        <w:t xml:space="preserve"> </w:t>
      </w:r>
      <w:r>
        <w:rPr>
          <w:rFonts w:hint="eastAsia" w:hAnsi="宋体"/>
          <w:color w:val="auto"/>
          <w:highlight w:val="none"/>
          <w:u w:val="single"/>
          <w:lang w:val="en-US" w:eastAsia="zh-CN"/>
        </w:rPr>
        <w:t>3</w:t>
      </w:r>
      <w:r>
        <w:rPr>
          <w:rFonts w:hAnsi="宋体"/>
          <w:color w:val="auto"/>
          <w:highlight w:val="none"/>
          <w:u w:val="single"/>
        </w:rPr>
        <w:t xml:space="preserve">  </w:t>
      </w:r>
      <w:r>
        <w:rPr>
          <w:color w:val="auto"/>
          <w:highlight w:val="none"/>
        </w:rPr>
        <w:t>%</w:t>
      </w:r>
      <w:r>
        <w:rPr>
          <w:rFonts w:hint="eastAsia" w:cs="宋体"/>
          <w:color w:val="auto"/>
          <w:highlight w:val="none"/>
        </w:rPr>
        <w:t>（不得超过</w:t>
      </w:r>
      <w:r>
        <w:rPr>
          <w:color w:val="auto"/>
          <w:highlight w:val="none"/>
        </w:rPr>
        <w:t>3%</w:t>
      </w:r>
      <w:r>
        <w:rPr>
          <w:rFonts w:hint="eastAsia" w:cs="宋体"/>
          <w:color w:val="auto"/>
          <w:highlight w:val="none"/>
        </w:rPr>
        <w:t>）</w:t>
      </w:r>
      <w:r>
        <w:rPr>
          <w:rFonts w:hint="eastAsia" w:hAnsi="宋体" w:cs="宋体"/>
          <w:color w:val="auto"/>
          <w:highlight w:val="none"/>
        </w:rPr>
        <w:t>预留工程质量保证金，待缺陷责任期满后返还，是否付息及利息计算方式为：</w:t>
      </w:r>
      <w:r>
        <w:rPr>
          <w:rFonts w:hint="eastAsia" w:hAnsi="宋体" w:cs="宋体"/>
          <w:color w:val="auto"/>
          <w:highlight w:val="none"/>
          <w:u w:val="single"/>
        </w:rPr>
        <w:t xml:space="preserve">                    </w:t>
      </w:r>
      <w:r>
        <w:rPr>
          <w:rFonts w:hint="eastAsia" w:hAnsi="宋体" w:cs="宋体"/>
          <w:color w:val="auto"/>
          <w:highlight w:val="none"/>
          <w:u w:val="single"/>
          <w:lang w:val="en-US" w:eastAsia="zh-CN"/>
        </w:rPr>
        <w:t>/</w:t>
      </w:r>
      <w:r>
        <w:rPr>
          <w:rFonts w:hint="eastAsia" w:hAnsi="宋体" w:cs="宋体"/>
          <w:color w:val="auto"/>
          <w:highlight w:val="none"/>
          <w:u w:val="single"/>
        </w:rPr>
        <w:t xml:space="preserve">                  </w:t>
      </w:r>
      <w:r>
        <w:rPr>
          <w:rFonts w:hint="eastAsia" w:hAnsi="宋体" w:cs="宋体"/>
          <w:color w:val="auto"/>
          <w:kern w:val="0"/>
          <w:highlight w:val="none"/>
        </w:rPr>
        <w:t>；</w:t>
      </w:r>
    </w:p>
    <w:p w14:paraId="10B99C12">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）其他方式</w:t>
      </w:r>
      <w:r>
        <w:rPr>
          <w:rFonts w:hint="eastAsia" w:cs="宋体"/>
          <w:color w:val="auto"/>
          <w:kern w:val="0"/>
          <w:highlight w:val="none"/>
        </w:rPr>
        <w:t>：</w:t>
      </w:r>
      <w:r>
        <w:rPr>
          <w:rFonts w:hint="eastAsia" w:ascii="Times New Roman" w:hAnsi="宋体" w:eastAsia="宋体" w:cs="宋体"/>
          <w:color w:val="auto"/>
          <w:highlight w:val="none"/>
        </w:rPr>
        <w:t>银行转账、电汇或网上支付等</w:t>
      </w:r>
      <w:r>
        <w:rPr>
          <w:rFonts w:hint="eastAsia" w:ascii="Times New Roman" w:hAnsi="宋体" w:eastAsia="宋体" w:cs="宋体"/>
          <w:color w:val="auto"/>
          <w:highlight w:val="none"/>
          <w:lang w:eastAsia="zh-CN"/>
        </w:rPr>
        <w:t>形</w:t>
      </w:r>
      <w:r>
        <w:rPr>
          <w:rFonts w:hint="eastAsia" w:ascii="Times New Roman" w:hAnsi="宋体" w:eastAsia="宋体" w:cs="宋体"/>
          <w:color w:val="auto"/>
          <w:highlight w:val="none"/>
        </w:rPr>
        <w:t>式</w:t>
      </w:r>
      <w:r>
        <w:rPr>
          <w:rFonts w:hint="eastAsia" w:hAnsi="宋体" w:cs="宋体"/>
          <w:color w:val="auto"/>
          <w:highlight w:val="none"/>
        </w:rPr>
        <w:t>。</w:t>
      </w:r>
    </w:p>
    <w:p w14:paraId="2745A84C">
      <w:pPr>
        <w:spacing w:line="360" w:lineRule="auto"/>
        <w:ind w:firstLine="420" w:firstLineChars="200"/>
        <w:jc w:val="left"/>
        <w:rPr>
          <w:color w:val="auto"/>
          <w:highlight w:val="none"/>
        </w:rPr>
      </w:pPr>
      <w:r>
        <w:rPr>
          <w:color w:val="auto"/>
          <w:highlight w:val="none"/>
        </w:rPr>
        <w:t xml:space="preserve">15.3.2 </w:t>
      </w:r>
      <w:r>
        <w:rPr>
          <w:rFonts w:hint="eastAsia" w:hAnsi="宋体" w:cs="宋体"/>
          <w:color w:val="auto"/>
          <w:highlight w:val="none"/>
        </w:rPr>
        <w:t>质量保证金的扣留</w:t>
      </w:r>
    </w:p>
    <w:p w14:paraId="1EA6A0B5">
      <w:pPr>
        <w:spacing w:line="360" w:lineRule="auto"/>
        <w:ind w:firstLine="420" w:firstLineChars="200"/>
        <w:jc w:val="left"/>
        <w:rPr>
          <w:color w:val="auto"/>
          <w:highlight w:val="none"/>
        </w:rPr>
      </w:pPr>
      <w:r>
        <w:rPr>
          <w:rFonts w:hint="eastAsia" w:hAnsi="宋体" w:cs="宋体"/>
          <w:color w:val="auto"/>
          <w:highlight w:val="none"/>
        </w:rPr>
        <w:t>质量保证金的扣留采取以下第</w:t>
      </w:r>
      <w:r>
        <w:rPr>
          <w:color w:val="auto"/>
          <w:highlight w:val="none"/>
          <w:u w:val="single"/>
        </w:rPr>
        <w:t xml:space="preserve"> </w:t>
      </w:r>
      <w:r>
        <w:rPr>
          <w:rFonts w:hint="eastAsia"/>
          <w:color w:val="auto"/>
          <w:highlight w:val="none"/>
          <w:u w:val="single"/>
          <w:lang w:eastAsia="zh-CN"/>
        </w:rPr>
        <w:t>（</w:t>
      </w:r>
      <w:r>
        <w:rPr>
          <w:rFonts w:hint="eastAsia"/>
          <w:color w:val="auto"/>
          <w:highlight w:val="none"/>
          <w:u w:val="single"/>
          <w:lang w:val="en-US" w:eastAsia="zh-CN"/>
        </w:rPr>
        <w:t>2</w:t>
      </w:r>
      <w:r>
        <w:rPr>
          <w:rFonts w:hint="eastAsia"/>
          <w:color w:val="auto"/>
          <w:highlight w:val="none"/>
          <w:u w:val="single"/>
          <w:lang w:eastAsia="zh-CN"/>
        </w:rPr>
        <w:t>）</w:t>
      </w:r>
      <w:r>
        <w:rPr>
          <w:color w:val="auto"/>
          <w:highlight w:val="none"/>
          <w:u w:val="single"/>
        </w:rPr>
        <w:t xml:space="preserve"> </w:t>
      </w:r>
      <w:r>
        <w:rPr>
          <w:rFonts w:hint="eastAsia" w:hAnsi="宋体" w:cs="宋体"/>
          <w:color w:val="auto"/>
          <w:highlight w:val="none"/>
        </w:rPr>
        <w:t>种方式：</w:t>
      </w:r>
    </w:p>
    <w:p w14:paraId="143A520C">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）在</w:t>
      </w:r>
      <w:r>
        <w:rPr>
          <w:rFonts w:hAnsi="宋体" w:cs="宋体"/>
          <w:color w:val="auto"/>
          <w:kern w:val="0"/>
          <w:highlight w:val="none"/>
        </w:rPr>
        <w:t>不缴纳履</w:t>
      </w:r>
      <w:r>
        <w:rPr>
          <w:rFonts w:hint="eastAsia" w:hAnsi="宋体" w:cs="宋体"/>
          <w:color w:val="auto"/>
          <w:kern w:val="0"/>
          <w:highlight w:val="none"/>
        </w:rPr>
        <w:t>保</w:t>
      </w:r>
      <w:r>
        <w:rPr>
          <w:rFonts w:hAnsi="宋体" w:cs="宋体"/>
          <w:color w:val="auto"/>
          <w:kern w:val="0"/>
          <w:highlight w:val="none"/>
        </w:rPr>
        <w:t>证金情况下</w:t>
      </w:r>
      <w:r>
        <w:rPr>
          <w:rFonts w:hint="eastAsia" w:hAnsi="宋体" w:cs="宋体"/>
          <w:color w:val="auto"/>
          <w:kern w:val="0"/>
          <w:highlight w:val="none"/>
        </w:rPr>
        <w:t>，按支付工程进度款时逐次扣留，质量保证金的计算基数不包括预付款的支付、扣回以及价格调整的金额；</w:t>
      </w:r>
    </w:p>
    <w:p w14:paraId="60FE89E6">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）工程竣工结算时，一次性扣留质量保证金，</w:t>
      </w:r>
      <w:r>
        <w:rPr>
          <w:rFonts w:hAnsi="宋体" w:cs="宋体"/>
          <w:color w:val="auto"/>
          <w:kern w:val="0"/>
          <w:highlight w:val="none"/>
        </w:rPr>
        <w:t>由承包人以银行保函</w:t>
      </w:r>
      <w:r>
        <w:rPr>
          <w:rFonts w:hint="eastAsia" w:hAnsi="宋体" w:cs="宋体"/>
          <w:color w:val="auto"/>
          <w:kern w:val="0"/>
          <w:highlight w:val="none"/>
        </w:rPr>
        <w:t>、保证保险</w:t>
      </w:r>
      <w:r>
        <w:rPr>
          <w:rFonts w:hAnsi="宋体" w:cs="宋体"/>
          <w:color w:val="auto"/>
          <w:kern w:val="0"/>
          <w:highlight w:val="none"/>
        </w:rPr>
        <w:t>替代预留</w:t>
      </w:r>
      <w:r>
        <w:rPr>
          <w:rFonts w:hint="eastAsia" w:hAnsi="宋体" w:cs="宋体"/>
          <w:color w:val="auto"/>
          <w:kern w:val="0"/>
          <w:highlight w:val="none"/>
        </w:rPr>
        <w:t>质量</w:t>
      </w:r>
      <w:r>
        <w:rPr>
          <w:rFonts w:hAnsi="宋体" w:cs="宋体"/>
          <w:color w:val="auto"/>
          <w:kern w:val="0"/>
          <w:highlight w:val="none"/>
        </w:rPr>
        <w:t>保证金</w:t>
      </w:r>
      <w:r>
        <w:rPr>
          <w:rFonts w:hint="eastAsia" w:hAnsi="宋体" w:cs="宋体"/>
          <w:color w:val="auto"/>
          <w:kern w:val="0"/>
          <w:highlight w:val="none"/>
        </w:rPr>
        <w:t>，</w:t>
      </w:r>
      <w:r>
        <w:rPr>
          <w:rFonts w:hAnsi="宋体" w:cs="宋体"/>
          <w:color w:val="auto"/>
          <w:kern w:val="0"/>
          <w:highlight w:val="none"/>
        </w:rPr>
        <w:t>保函金额不得高</w:t>
      </w:r>
      <w:r>
        <w:rPr>
          <w:rFonts w:hint="eastAsia" w:hAnsi="宋体" w:cs="宋体"/>
          <w:color w:val="auto"/>
          <w:kern w:val="0"/>
          <w:highlight w:val="none"/>
        </w:rPr>
        <w:t>于</w:t>
      </w:r>
      <w:r>
        <w:rPr>
          <w:rFonts w:hAnsi="宋体" w:cs="宋体"/>
          <w:color w:val="auto"/>
          <w:kern w:val="0"/>
          <w:highlight w:val="none"/>
        </w:rPr>
        <w:t>工程价款结算总额的</w:t>
      </w:r>
      <w:r>
        <w:rPr>
          <w:rFonts w:hint="eastAsia" w:hAnsi="宋体" w:cs="宋体"/>
          <w:color w:val="auto"/>
          <w:kern w:val="0"/>
          <w:highlight w:val="none"/>
        </w:rPr>
        <w:t>3</w:t>
      </w:r>
      <w:r>
        <w:rPr>
          <w:rFonts w:hAnsi="宋体" w:cs="宋体"/>
          <w:color w:val="auto"/>
          <w:kern w:val="0"/>
          <w:highlight w:val="none"/>
        </w:rPr>
        <w:t>%</w:t>
      </w:r>
      <w:r>
        <w:rPr>
          <w:rFonts w:hint="eastAsia" w:hAnsi="宋体" w:cs="宋体"/>
          <w:color w:val="auto"/>
          <w:kern w:val="0"/>
          <w:highlight w:val="none"/>
        </w:rPr>
        <w:t>；</w:t>
      </w:r>
    </w:p>
    <w:p w14:paraId="2209C6D7">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）其他扣留方式</w:t>
      </w:r>
      <w:r>
        <w:rPr>
          <w:rFonts w:hint="eastAsia"/>
          <w:color w:val="auto"/>
          <w:kern w:val="0"/>
          <w:highlight w:val="none"/>
          <w:lang w:eastAsia="zh-CN"/>
        </w:rPr>
        <w:t>：</w:t>
      </w:r>
      <w:r>
        <w:rPr>
          <w:rFonts w:hint="eastAsia" w:ascii="Times New Roman" w:hAnsi="宋体" w:eastAsia="宋体" w:cs="宋体"/>
          <w:color w:val="auto"/>
          <w:highlight w:val="none"/>
        </w:rPr>
        <w:t>银行转账、电汇或网上支付、保函（银行保函、电子保函、保证保险保函、工程担保保函）等</w:t>
      </w:r>
      <w:r>
        <w:rPr>
          <w:rFonts w:hint="eastAsia" w:ascii="Times New Roman" w:hAnsi="宋体" w:eastAsia="宋体" w:cs="宋体"/>
          <w:color w:val="auto"/>
          <w:highlight w:val="none"/>
          <w:lang w:eastAsia="zh-CN"/>
        </w:rPr>
        <w:t>形</w:t>
      </w:r>
      <w:r>
        <w:rPr>
          <w:rFonts w:hint="eastAsia" w:ascii="Times New Roman" w:hAnsi="宋体" w:eastAsia="宋体" w:cs="宋体"/>
          <w:color w:val="auto"/>
          <w:highlight w:val="none"/>
        </w:rPr>
        <w:t>式</w:t>
      </w:r>
      <w:r>
        <w:rPr>
          <w:rFonts w:hint="eastAsia" w:hAnsi="宋体" w:cs="宋体"/>
          <w:color w:val="auto"/>
          <w:kern w:val="0"/>
          <w:highlight w:val="none"/>
        </w:rPr>
        <w:t>。</w:t>
      </w:r>
    </w:p>
    <w:p w14:paraId="48D0E864">
      <w:pPr>
        <w:spacing w:line="360" w:lineRule="auto"/>
        <w:ind w:firstLine="420" w:firstLineChars="200"/>
        <w:jc w:val="left"/>
        <w:rPr>
          <w:color w:val="auto"/>
          <w:kern w:val="0"/>
          <w:highlight w:val="none"/>
          <w:u w:val="single"/>
        </w:rPr>
      </w:pPr>
      <w:r>
        <w:rPr>
          <w:rFonts w:hint="eastAsia" w:hAnsi="宋体" w:cs="宋体"/>
          <w:color w:val="auto"/>
          <w:highlight w:val="none"/>
        </w:rPr>
        <w:t>关于质量保证金的补充约定：</w:t>
      </w:r>
      <w:r>
        <w:rPr>
          <w:color w:val="auto"/>
          <w:kern w:val="0"/>
          <w:highlight w:val="none"/>
          <w:u w:val="single"/>
        </w:rPr>
        <w:t xml:space="preserve">                            </w:t>
      </w:r>
      <w:r>
        <w:rPr>
          <w:rFonts w:hint="eastAsia" w:hAnsi="宋体" w:cs="宋体"/>
          <w:color w:val="auto"/>
          <w:kern w:val="0"/>
          <w:highlight w:val="none"/>
        </w:rPr>
        <w:t>。</w:t>
      </w:r>
    </w:p>
    <w:bookmarkEnd w:id="1329"/>
    <w:bookmarkEnd w:id="1330"/>
    <w:p w14:paraId="3C24CF6E">
      <w:pPr>
        <w:pStyle w:val="5"/>
        <w:rPr>
          <w:color w:val="auto"/>
          <w:highlight w:val="none"/>
        </w:rPr>
      </w:pPr>
      <w:bookmarkStart w:id="1376" w:name="_Toc78449854"/>
      <w:bookmarkStart w:id="1377" w:name="_Toc1902722111"/>
      <w:bookmarkStart w:id="1378" w:name="_Toc196306762"/>
      <w:bookmarkStart w:id="1379" w:name="_Toc9472"/>
      <w:bookmarkStart w:id="1380" w:name="_Toc389065330"/>
      <w:bookmarkStart w:id="1381" w:name="_Toc373478412"/>
      <w:bookmarkStart w:id="1382" w:name="_Toc373227765"/>
      <w:bookmarkStart w:id="1383" w:name="_Toc407135268"/>
      <w:r>
        <w:rPr>
          <w:color w:val="auto"/>
          <w:highlight w:val="none"/>
        </w:rPr>
        <w:t xml:space="preserve">15.4 </w:t>
      </w:r>
      <w:r>
        <w:rPr>
          <w:rFonts w:hint="eastAsia" w:hAnsi="宋体" w:cs="黑体"/>
          <w:color w:val="auto"/>
          <w:highlight w:val="none"/>
        </w:rPr>
        <w:t>保修</w:t>
      </w:r>
      <w:bookmarkEnd w:id="1376"/>
      <w:bookmarkEnd w:id="1377"/>
      <w:bookmarkEnd w:id="1378"/>
      <w:bookmarkEnd w:id="1379"/>
      <w:bookmarkEnd w:id="1380"/>
      <w:bookmarkEnd w:id="1381"/>
      <w:bookmarkEnd w:id="1382"/>
      <w:bookmarkEnd w:id="1383"/>
    </w:p>
    <w:bookmarkEnd w:id="1331"/>
    <w:p w14:paraId="6783320B">
      <w:pPr>
        <w:spacing w:line="360" w:lineRule="auto"/>
        <w:ind w:firstLine="409" w:firstLineChars="195"/>
        <w:jc w:val="left"/>
        <w:outlineLvl w:val="0"/>
        <w:rPr>
          <w:color w:val="auto"/>
          <w:highlight w:val="none"/>
        </w:rPr>
      </w:pPr>
      <w:bookmarkStart w:id="1384" w:name="_Toc1416"/>
      <w:bookmarkStart w:id="1385" w:name="_Toc8103"/>
      <w:r>
        <w:rPr>
          <w:color w:val="auto"/>
          <w:highlight w:val="none"/>
        </w:rPr>
        <w:t xml:space="preserve">15.4.1 </w:t>
      </w:r>
      <w:r>
        <w:rPr>
          <w:rFonts w:hint="eastAsia" w:hAnsi="宋体" w:cs="宋体"/>
          <w:color w:val="auto"/>
          <w:highlight w:val="none"/>
        </w:rPr>
        <w:t>保修责任</w:t>
      </w:r>
      <w:bookmarkEnd w:id="1384"/>
      <w:bookmarkEnd w:id="1385"/>
    </w:p>
    <w:p w14:paraId="0D9BA495">
      <w:pPr>
        <w:spacing w:line="360" w:lineRule="auto"/>
        <w:ind w:firstLine="409" w:firstLineChars="195"/>
        <w:jc w:val="left"/>
        <w:rPr>
          <w:rFonts w:hAnsi="宋体"/>
          <w:color w:val="auto"/>
          <w:kern w:val="0"/>
          <w:highlight w:val="none"/>
        </w:rPr>
      </w:pPr>
      <w:r>
        <w:rPr>
          <w:rFonts w:hint="eastAsia" w:hAnsi="宋体" w:cs="宋体"/>
          <w:color w:val="auto"/>
          <w:highlight w:val="none"/>
        </w:rPr>
        <w:t>工程保修期为：</w:t>
      </w:r>
      <w:r>
        <w:rPr>
          <w:rFonts w:hint="eastAsia"/>
          <w:color w:val="auto"/>
          <w:kern w:val="0"/>
          <w:highlight w:val="none"/>
          <w:u w:val="single"/>
        </w:rPr>
        <w:t xml:space="preserve">见工程质量保修书 </w:t>
      </w:r>
      <w:r>
        <w:rPr>
          <w:rFonts w:hint="eastAsia" w:hAnsi="宋体" w:cs="宋体"/>
          <w:color w:val="auto"/>
          <w:kern w:val="0"/>
          <w:highlight w:val="none"/>
        </w:rPr>
        <w:t>。</w:t>
      </w:r>
    </w:p>
    <w:p w14:paraId="6C8179AE">
      <w:pPr>
        <w:spacing w:line="360" w:lineRule="auto"/>
        <w:ind w:firstLine="409" w:firstLineChars="195"/>
        <w:jc w:val="left"/>
        <w:rPr>
          <w:color w:val="auto"/>
          <w:kern w:val="0"/>
          <w:highlight w:val="none"/>
          <w:u w:val="single"/>
        </w:rPr>
      </w:pPr>
      <w:r>
        <w:rPr>
          <w:rFonts w:hint="eastAsia" w:ascii="宋体" w:hAnsi="宋体" w:cs="宋体"/>
          <w:color w:val="auto"/>
          <w:highlight w:val="none"/>
        </w:rPr>
        <w:t>工程保修书具体内容见合同附件2。</w:t>
      </w:r>
    </w:p>
    <w:p w14:paraId="5006EE4B">
      <w:pPr>
        <w:spacing w:line="360" w:lineRule="auto"/>
        <w:ind w:firstLine="409" w:firstLineChars="195"/>
        <w:jc w:val="left"/>
        <w:rPr>
          <w:color w:val="auto"/>
          <w:highlight w:val="none"/>
        </w:rPr>
      </w:pPr>
      <w:r>
        <w:rPr>
          <w:color w:val="auto"/>
          <w:highlight w:val="none"/>
        </w:rPr>
        <w:t xml:space="preserve">15.4.3 </w:t>
      </w:r>
      <w:r>
        <w:rPr>
          <w:rFonts w:hint="eastAsia" w:hAnsi="宋体" w:cs="宋体"/>
          <w:color w:val="auto"/>
          <w:highlight w:val="none"/>
        </w:rPr>
        <w:t>修复通知</w:t>
      </w:r>
    </w:p>
    <w:p w14:paraId="3D38126C">
      <w:pPr>
        <w:spacing w:line="360" w:lineRule="auto"/>
        <w:ind w:firstLine="409" w:firstLineChars="195"/>
        <w:jc w:val="left"/>
        <w:rPr>
          <w:color w:val="auto"/>
          <w:kern w:val="0"/>
          <w:highlight w:val="none"/>
          <w:u w:val="single"/>
        </w:rPr>
      </w:pPr>
      <w:r>
        <w:rPr>
          <w:rFonts w:hint="eastAsia" w:hAnsi="宋体" w:cs="宋体"/>
          <w:color w:val="auto"/>
          <w:kern w:val="0"/>
          <w:highlight w:val="none"/>
        </w:rPr>
        <w:t>承包人收到保修通知并到达工程现场的合理时间：</w:t>
      </w:r>
      <w:r>
        <w:rPr>
          <w:rFonts w:hint="eastAsia"/>
          <w:color w:val="auto"/>
          <w:kern w:val="0"/>
          <w:highlight w:val="none"/>
          <w:u w:val="single"/>
        </w:rPr>
        <w:t xml:space="preserve"> 收到通知后 24 小时内 </w:t>
      </w:r>
      <w:r>
        <w:rPr>
          <w:rFonts w:hint="eastAsia" w:hAnsi="宋体" w:cs="宋体"/>
          <w:color w:val="auto"/>
          <w:kern w:val="0"/>
          <w:highlight w:val="none"/>
        </w:rPr>
        <w:t>。</w:t>
      </w:r>
    </w:p>
    <w:bookmarkEnd w:id="1332"/>
    <w:bookmarkEnd w:id="1333"/>
    <w:bookmarkEnd w:id="1334"/>
    <w:bookmarkEnd w:id="1335"/>
    <w:p w14:paraId="2EDB54EC">
      <w:pPr>
        <w:pStyle w:val="4"/>
        <w:rPr>
          <w:color w:val="auto"/>
          <w:highlight w:val="none"/>
        </w:rPr>
      </w:pPr>
      <w:bookmarkStart w:id="1386" w:name="_Toc1360137061"/>
      <w:bookmarkStart w:id="1387" w:name="_Toc389065331"/>
      <w:bookmarkStart w:id="1388" w:name="_Toc78449855"/>
      <w:bookmarkStart w:id="1389" w:name="_Toc351203648"/>
      <w:bookmarkStart w:id="1390" w:name="_Toc31289"/>
      <w:bookmarkStart w:id="1391" w:name="_Toc373227766"/>
      <w:bookmarkStart w:id="1392" w:name="_Toc663"/>
      <w:bookmarkStart w:id="1393" w:name="_Toc373478413"/>
      <w:bookmarkStart w:id="1394" w:name="_Toc1725581915"/>
      <w:bookmarkStart w:id="1395" w:name="_Toc407135269"/>
      <w:bookmarkStart w:id="1396" w:name="_Toc280868717"/>
      <w:bookmarkStart w:id="1397" w:name="_Toc280868718"/>
      <w:r>
        <w:rPr>
          <w:color w:val="auto"/>
          <w:highlight w:val="none"/>
        </w:rPr>
        <w:t xml:space="preserve">16. </w:t>
      </w:r>
      <w:r>
        <w:rPr>
          <w:rFonts w:hint="eastAsia" w:hAnsi="宋体" w:cs="黑体"/>
          <w:color w:val="auto"/>
          <w:highlight w:val="none"/>
        </w:rPr>
        <w:t>违约</w:t>
      </w:r>
      <w:bookmarkEnd w:id="1386"/>
      <w:bookmarkEnd w:id="1387"/>
      <w:bookmarkEnd w:id="1388"/>
      <w:bookmarkEnd w:id="1389"/>
      <w:bookmarkEnd w:id="1390"/>
      <w:bookmarkEnd w:id="1391"/>
      <w:bookmarkEnd w:id="1392"/>
      <w:bookmarkEnd w:id="1393"/>
      <w:bookmarkEnd w:id="1394"/>
      <w:bookmarkEnd w:id="1395"/>
    </w:p>
    <w:p w14:paraId="63508C5C">
      <w:pPr>
        <w:pStyle w:val="5"/>
        <w:rPr>
          <w:color w:val="auto"/>
          <w:highlight w:val="none"/>
        </w:rPr>
      </w:pPr>
      <w:bookmarkStart w:id="1398" w:name="_Toc78449856"/>
      <w:bookmarkStart w:id="1399" w:name="_Toc7675"/>
      <w:bookmarkStart w:id="1400" w:name="_Toc373478414"/>
      <w:bookmarkStart w:id="1401" w:name="_Toc1973395665"/>
      <w:bookmarkStart w:id="1402" w:name="_Toc373227767"/>
      <w:bookmarkStart w:id="1403" w:name="_Toc1535389315"/>
      <w:bookmarkStart w:id="1404" w:name="_Toc389065332"/>
      <w:bookmarkStart w:id="1405" w:name="_Toc407135270"/>
      <w:r>
        <w:rPr>
          <w:color w:val="auto"/>
          <w:highlight w:val="none"/>
        </w:rPr>
        <w:t xml:space="preserve">16.1 </w:t>
      </w:r>
      <w:r>
        <w:rPr>
          <w:rFonts w:hint="eastAsia" w:hAnsi="宋体" w:cs="黑体"/>
          <w:color w:val="auto"/>
          <w:highlight w:val="none"/>
        </w:rPr>
        <w:t>发包人违约</w:t>
      </w:r>
      <w:bookmarkEnd w:id="1398"/>
      <w:bookmarkEnd w:id="1399"/>
      <w:bookmarkEnd w:id="1400"/>
      <w:bookmarkEnd w:id="1401"/>
      <w:bookmarkEnd w:id="1402"/>
      <w:bookmarkEnd w:id="1403"/>
      <w:bookmarkEnd w:id="1404"/>
      <w:bookmarkEnd w:id="1405"/>
    </w:p>
    <w:p w14:paraId="70C97C42">
      <w:pPr>
        <w:spacing w:line="360" w:lineRule="auto"/>
        <w:ind w:firstLine="420" w:firstLineChars="200"/>
        <w:jc w:val="left"/>
        <w:rPr>
          <w:color w:val="auto"/>
          <w:highlight w:val="none"/>
        </w:rPr>
      </w:pPr>
      <w:r>
        <w:rPr>
          <w:color w:val="auto"/>
          <w:highlight w:val="none"/>
        </w:rPr>
        <w:t>16.1.1</w:t>
      </w:r>
      <w:r>
        <w:rPr>
          <w:rFonts w:hint="eastAsia" w:hAnsi="宋体" w:cs="宋体"/>
          <w:color w:val="auto"/>
          <w:highlight w:val="none"/>
        </w:rPr>
        <w:t>发包人违约的情形</w:t>
      </w:r>
    </w:p>
    <w:p w14:paraId="2E6B35F2">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发包人违约的其他情形：</w:t>
      </w:r>
      <w:r>
        <w:rPr>
          <w:rFonts w:hint="eastAsia"/>
          <w:color w:val="auto"/>
          <w:kern w:val="0"/>
          <w:highlight w:val="none"/>
          <w:u w:val="single"/>
        </w:rPr>
        <w:t xml:space="preserve">    无   </w:t>
      </w:r>
      <w:r>
        <w:rPr>
          <w:rFonts w:hint="eastAsia" w:hAnsi="宋体" w:cs="宋体"/>
          <w:color w:val="auto"/>
          <w:kern w:val="0"/>
          <w:highlight w:val="none"/>
        </w:rPr>
        <w:t>。</w:t>
      </w:r>
    </w:p>
    <w:p w14:paraId="7DAD92B1">
      <w:pPr>
        <w:spacing w:line="360" w:lineRule="auto"/>
        <w:ind w:firstLine="420" w:firstLineChars="200"/>
        <w:jc w:val="left"/>
        <w:outlineLvl w:val="0"/>
        <w:rPr>
          <w:color w:val="auto"/>
          <w:kern w:val="0"/>
          <w:highlight w:val="none"/>
        </w:rPr>
      </w:pPr>
      <w:bookmarkStart w:id="1406" w:name="_Toc7977"/>
      <w:bookmarkStart w:id="1407" w:name="_Toc27486"/>
      <w:r>
        <w:rPr>
          <w:color w:val="auto"/>
          <w:kern w:val="0"/>
          <w:highlight w:val="none"/>
        </w:rPr>
        <w:t xml:space="preserve">16.1.2 </w:t>
      </w:r>
      <w:r>
        <w:rPr>
          <w:rFonts w:hint="eastAsia" w:hAnsi="宋体" w:cs="宋体"/>
          <w:color w:val="auto"/>
          <w:kern w:val="0"/>
          <w:highlight w:val="none"/>
        </w:rPr>
        <w:t>发包人违约的责任</w:t>
      </w:r>
      <w:bookmarkEnd w:id="1406"/>
      <w:bookmarkEnd w:id="1407"/>
    </w:p>
    <w:p w14:paraId="12D8A4C0">
      <w:pPr>
        <w:spacing w:line="360" w:lineRule="auto"/>
        <w:ind w:firstLine="420" w:firstLineChars="200"/>
        <w:jc w:val="left"/>
        <w:rPr>
          <w:color w:val="auto"/>
          <w:kern w:val="0"/>
          <w:highlight w:val="none"/>
        </w:rPr>
      </w:pPr>
      <w:r>
        <w:rPr>
          <w:rFonts w:hint="eastAsia" w:hAnsi="宋体" w:cs="宋体"/>
          <w:color w:val="auto"/>
          <w:kern w:val="0"/>
          <w:highlight w:val="none"/>
        </w:rPr>
        <w:t>发包人违约责任的承担方式和计算方法：</w:t>
      </w:r>
    </w:p>
    <w:p w14:paraId="5513960C">
      <w:pPr>
        <w:spacing w:line="360" w:lineRule="auto"/>
        <w:ind w:firstLine="420" w:firstLineChars="200"/>
        <w:jc w:val="left"/>
        <w:rPr>
          <w:color w:val="auto"/>
          <w:kern w:val="0"/>
          <w:highlight w:val="none"/>
          <w:u w:val="singl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）因发包人原因未能在计划开工日期前</w:t>
      </w:r>
      <w:r>
        <w:rPr>
          <w:color w:val="auto"/>
          <w:kern w:val="0"/>
          <w:highlight w:val="none"/>
        </w:rPr>
        <w:t>7</w:t>
      </w:r>
      <w:r>
        <w:rPr>
          <w:rFonts w:hint="eastAsia" w:hAnsi="宋体" w:cs="宋体"/>
          <w:color w:val="auto"/>
          <w:kern w:val="0"/>
          <w:highlight w:val="none"/>
        </w:rPr>
        <w:t>天内下达开工通知的违约责任：</w:t>
      </w:r>
      <w:r>
        <w:rPr>
          <w:rFonts w:ascii="宋体" w:hAnsi="宋体" w:eastAsia="宋体" w:cs="宋体"/>
          <w:color w:val="auto"/>
          <w:spacing w:val="0"/>
          <w:highlight w:val="none"/>
          <w:u w:val="single"/>
        </w:rPr>
        <w:t xml:space="preserve"> 顺延工期 </w:t>
      </w:r>
      <w:r>
        <w:rPr>
          <w:rFonts w:hint="eastAsia" w:hAnsi="宋体" w:cs="宋体"/>
          <w:color w:val="auto"/>
          <w:kern w:val="0"/>
          <w:highlight w:val="none"/>
        </w:rPr>
        <w:t>。</w:t>
      </w:r>
    </w:p>
    <w:p w14:paraId="1F37F6E3">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）因发包人原因未能按合同约定支付合同价款的违约责任：</w:t>
      </w:r>
      <w:r>
        <w:rPr>
          <w:color w:val="auto"/>
          <w:kern w:val="0"/>
          <w:highlight w:val="none"/>
          <w:u w:val="single"/>
        </w:rPr>
        <w:t xml:space="preserve"> </w:t>
      </w:r>
      <w:r>
        <w:rPr>
          <w:rFonts w:ascii="宋体" w:hAnsi="宋体" w:eastAsia="宋体" w:cs="宋体"/>
          <w:color w:val="auto"/>
          <w:spacing w:val="0"/>
          <w:highlight w:val="none"/>
          <w:u w:val="single"/>
        </w:rPr>
        <w:t>承包人与发包人签订延期付款协议，延期付款协议须经承包人认可</w:t>
      </w:r>
      <w:r>
        <w:rPr>
          <w:color w:val="auto"/>
          <w:kern w:val="0"/>
          <w:highlight w:val="none"/>
          <w:u w:val="single"/>
        </w:rPr>
        <w:t xml:space="preserve"> </w:t>
      </w:r>
      <w:r>
        <w:rPr>
          <w:rFonts w:hint="eastAsia" w:hAnsi="宋体" w:cs="宋体"/>
          <w:color w:val="auto"/>
          <w:kern w:val="0"/>
          <w:highlight w:val="none"/>
        </w:rPr>
        <w:t>。</w:t>
      </w:r>
    </w:p>
    <w:p w14:paraId="7CA8E27A">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）发包人违反第</w:t>
      </w:r>
      <w:r>
        <w:rPr>
          <w:color w:val="auto"/>
          <w:kern w:val="0"/>
          <w:highlight w:val="none"/>
        </w:rPr>
        <w:t>10.1</w:t>
      </w:r>
      <w:r>
        <w:rPr>
          <w:rFonts w:hint="eastAsia" w:hAnsi="宋体" w:cs="宋体"/>
          <w:color w:val="auto"/>
          <w:kern w:val="0"/>
          <w:highlight w:val="none"/>
        </w:rPr>
        <w:t>款〔变更的范围〕第（</w:t>
      </w:r>
      <w:r>
        <w:rPr>
          <w:color w:val="auto"/>
          <w:kern w:val="0"/>
          <w:highlight w:val="none"/>
        </w:rPr>
        <w:t>2</w:t>
      </w:r>
      <w:r>
        <w:rPr>
          <w:rFonts w:hint="eastAsia" w:hAnsi="宋体" w:cs="宋体"/>
          <w:color w:val="auto"/>
          <w:kern w:val="0"/>
          <w:highlight w:val="none"/>
        </w:rPr>
        <w:t>）项约定，自行实施被取消的工作或转由他人实施的违约责任：</w:t>
      </w:r>
      <w:r>
        <w:rPr>
          <w:color w:val="auto"/>
          <w:kern w:val="0"/>
          <w:highlight w:val="none"/>
          <w:u w:val="single"/>
        </w:rPr>
        <w:t xml:space="preserve"> </w:t>
      </w:r>
      <w:r>
        <w:rPr>
          <w:rFonts w:ascii="宋体" w:hAnsi="宋体" w:eastAsia="宋体" w:cs="宋体"/>
          <w:color w:val="auto"/>
          <w:highlight w:val="none"/>
          <w:u w:val="single"/>
        </w:rPr>
        <w:t>双方另行协商</w:t>
      </w:r>
      <w:r>
        <w:rPr>
          <w:color w:val="auto"/>
          <w:kern w:val="0"/>
          <w:highlight w:val="none"/>
          <w:u w:val="single"/>
        </w:rPr>
        <w:t xml:space="preserve"> </w:t>
      </w:r>
      <w:r>
        <w:rPr>
          <w:rFonts w:hint="eastAsia" w:hAnsi="宋体" w:cs="宋体"/>
          <w:color w:val="auto"/>
          <w:kern w:val="0"/>
          <w:highlight w:val="none"/>
        </w:rPr>
        <w:t>。</w:t>
      </w:r>
    </w:p>
    <w:p w14:paraId="3369EF40">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4</w:t>
      </w:r>
      <w:r>
        <w:rPr>
          <w:rFonts w:hint="eastAsia" w:hAnsi="宋体" w:cs="宋体"/>
          <w:color w:val="auto"/>
          <w:kern w:val="0"/>
          <w:highlight w:val="none"/>
        </w:rPr>
        <w:t>）发包人提供的材料、工程设备的规格、数量或质量不符合合同约定，或因发包人原因导致交货日期延误或交货地点变更等情况的违约责任：</w:t>
      </w:r>
      <w:r>
        <w:rPr>
          <w:color w:val="auto"/>
          <w:kern w:val="0"/>
          <w:highlight w:val="none"/>
          <w:u w:val="single"/>
        </w:rPr>
        <w:t xml:space="preserve"> </w:t>
      </w:r>
      <w:r>
        <w:rPr>
          <w:rFonts w:ascii="宋体" w:hAnsi="宋体" w:eastAsia="宋体" w:cs="宋体"/>
          <w:color w:val="auto"/>
          <w:spacing w:val="0"/>
          <w:highlight w:val="none"/>
          <w:u w:val="single"/>
        </w:rPr>
        <w:t>工期相应顺延</w:t>
      </w:r>
      <w:r>
        <w:rPr>
          <w:color w:val="auto"/>
          <w:kern w:val="0"/>
          <w:highlight w:val="none"/>
          <w:u w:val="single"/>
        </w:rPr>
        <w:t xml:space="preserve"> </w:t>
      </w:r>
      <w:r>
        <w:rPr>
          <w:rFonts w:hint="eastAsia" w:hAnsi="宋体" w:cs="宋体"/>
          <w:color w:val="auto"/>
          <w:kern w:val="0"/>
          <w:highlight w:val="none"/>
        </w:rPr>
        <w:t>。</w:t>
      </w:r>
    </w:p>
    <w:p w14:paraId="3544668C">
      <w:pPr>
        <w:spacing w:line="360" w:lineRule="auto"/>
        <w:ind w:firstLine="420" w:firstLineChars="200"/>
        <w:jc w:val="left"/>
        <w:rPr>
          <w:color w:val="auto"/>
          <w:kern w:val="0"/>
          <w:highlight w:val="none"/>
          <w:u w:val="single"/>
        </w:rPr>
      </w:pPr>
      <w:r>
        <w:rPr>
          <w:rFonts w:hint="eastAsia" w:hAnsi="宋体" w:cs="宋体"/>
          <w:color w:val="auto"/>
          <w:kern w:val="0"/>
          <w:highlight w:val="none"/>
        </w:rPr>
        <w:t>（</w:t>
      </w:r>
      <w:r>
        <w:rPr>
          <w:color w:val="auto"/>
          <w:kern w:val="0"/>
          <w:highlight w:val="none"/>
        </w:rPr>
        <w:t>5</w:t>
      </w:r>
      <w:r>
        <w:rPr>
          <w:rFonts w:hint="eastAsia" w:hAnsi="宋体" w:cs="宋体"/>
          <w:color w:val="auto"/>
          <w:kern w:val="0"/>
          <w:highlight w:val="none"/>
        </w:rPr>
        <w:t>）因发包人违反合同约定造成暂停施工的违约责任：</w:t>
      </w:r>
      <w:r>
        <w:rPr>
          <w:color w:val="auto"/>
          <w:kern w:val="0"/>
          <w:highlight w:val="none"/>
          <w:u w:val="single"/>
        </w:rPr>
        <w:t xml:space="preserve"> </w:t>
      </w:r>
      <w:r>
        <w:rPr>
          <w:rFonts w:ascii="宋体" w:hAnsi="宋体" w:eastAsia="宋体" w:cs="宋体"/>
          <w:color w:val="auto"/>
          <w:spacing w:val="0"/>
          <w:highlight w:val="none"/>
          <w:u w:val="single"/>
        </w:rPr>
        <w:t>工期相应顺延</w:t>
      </w:r>
      <w:r>
        <w:rPr>
          <w:color w:val="auto"/>
          <w:kern w:val="0"/>
          <w:highlight w:val="none"/>
          <w:u w:val="single"/>
        </w:rPr>
        <w:t xml:space="preserve"> </w:t>
      </w:r>
      <w:r>
        <w:rPr>
          <w:rFonts w:hint="eastAsia" w:hAnsi="宋体" w:cs="宋体"/>
          <w:color w:val="auto"/>
          <w:kern w:val="0"/>
          <w:highlight w:val="none"/>
        </w:rPr>
        <w:t>。</w:t>
      </w:r>
    </w:p>
    <w:p w14:paraId="5483ACDC">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6</w:t>
      </w:r>
      <w:r>
        <w:rPr>
          <w:rFonts w:hint="eastAsia" w:hAnsi="宋体" w:cs="宋体"/>
          <w:color w:val="auto"/>
          <w:kern w:val="0"/>
          <w:highlight w:val="none"/>
        </w:rPr>
        <w:t>）发包人无正当理由没有在约定期限内发出复工指示，导致承包人无法复工的违约责任：</w:t>
      </w:r>
      <w:r>
        <w:rPr>
          <w:color w:val="auto"/>
          <w:kern w:val="0"/>
          <w:highlight w:val="none"/>
          <w:u w:val="single"/>
        </w:rPr>
        <w:t xml:space="preserve">  </w:t>
      </w:r>
      <w:r>
        <w:rPr>
          <w:rFonts w:ascii="宋体" w:hAnsi="宋体" w:eastAsia="宋体" w:cs="宋体"/>
          <w:color w:val="auto"/>
          <w:spacing w:val="0"/>
          <w:highlight w:val="none"/>
          <w:u w:val="single"/>
        </w:rPr>
        <w:t>工期相应顺延</w:t>
      </w:r>
      <w:r>
        <w:rPr>
          <w:color w:val="auto"/>
          <w:kern w:val="0"/>
          <w:highlight w:val="none"/>
          <w:u w:val="single"/>
        </w:rPr>
        <w:t xml:space="preserve"> </w:t>
      </w:r>
      <w:r>
        <w:rPr>
          <w:rFonts w:hint="eastAsia" w:hAnsi="宋体" w:cs="宋体"/>
          <w:color w:val="auto"/>
          <w:kern w:val="0"/>
          <w:highlight w:val="none"/>
        </w:rPr>
        <w:t>。</w:t>
      </w:r>
    </w:p>
    <w:p w14:paraId="683AAE7C">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7</w:t>
      </w:r>
      <w:r>
        <w:rPr>
          <w:rFonts w:hint="eastAsia" w:hAnsi="宋体" w:cs="宋体"/>
          <w:color w:val="auto"/>
          <w:kern w:val="0"/>
          <w:highlight w:val="none"/>
        </w:rPr>
        <w:t>）其他：</w:t>
      </w:r>
      <w:r>
        <w:rPr>
          <w:color w:val="auto"/>
          <w:kern w:val="0"/>
          <w:highlight w:val="none"/>
          <w:u w:val="single"/>
        </w:rPr>
        <w:t xml:space="preserve"> </w:t>
      </w:r>
      <w:r>
        <w:rPr>
          <w:rFonts w:hint="eastAsia"/>
          <w:color w:val="auto"/>
          <w:kern w:val="0"/>
          <w:highlight w:val="none"/>
          <w:u w:val="single"/>
        </w:rPr>
        <w:t>按本合同《通用合同条款》的相关规定执行</w:t>
      </w:r>
      <w:r>
        <w:rPr>
          <w:color w:val="auto"/>
          <w:kern w:val="0"/>
          <w:highlight w:val="none"/>
          <w:u w:val="single"/>
        </w:rPr>
        <w:t xml:space="preserve"> </w:t>
      </w:r>
      <w:r>
        <w:rPr>
          <w:rFonts w:hint="eastAsia" w:hAnsi="宋体" w:cs="宋体"/>
          <w:color w:val="auto"/>
          <w:kern w:val="0"/>
          <w:highlight w:val="none"/>
        </w:rPr>
        <w:t>。</w:t>
      </w:r>
    </w:p>
    <w:p w14:paraId="697C255C">
      <w:pPr>
        <w:spacing w:line="360" w:lineRule="auto"/>
        <w:ind w:firstLine="420" w:firstLineChars="200"/>
        <w:jc w:val="left"/>
        <w:rPr>
          <w:color w:val="auto"/>
          <w:highlight w:val="none"/>
        </w:rPr>
      </w:pPr>
      <w:r>
        <w:rPr>
          <w:color w:val="auto"/>
          <w:highlight w:val="none"/>
        </w:rPr>
        <w:t xml:space="preserve">16.1.3 </w:t>
      </w:r>
      <w:r>
        <w:rPr>
          <w:rFonts w:hint="eastAsia" w:hAnsi="宋体" w:cs="宋体"/>
          <w:color w:val="auto"/>
          <w:highlight w:val="none"/>
        </w:rPr>
        <w:t>因发包人违约解除合同</w:t>
      </w:r>
    </w:p>
    <w:p w14:paraId="5A550663">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承包人按</w:t>
      </w:r>
      <w:r>
        <w:rPr>
          <w:color w:val="auto"/>
          <w:kern w:val="0"/>
          <w:highlight w:val="none"/>
        </w:rPr>
        <w:t>16.1.1</w:t>
      </w:r>
      <w:r>
        <w:rPr>
          <w:rFonts w:hint="eastAsia" w:hAnsi="宋体" w:cs="宋体"/>
          <w:color w:val="auto"/>
          <w:kern w:val="0"/>
          <w:highlight w:val="none"/>
        </w:rPr>
        <w:t>项〔发包人违约的情形〕约定暂停施工满</w:t>
      </w:r>
      <w:r>
        <w:rPr>
          <w:color w:val="auto"/>
          <w:kern w:val="0"/>
          <w:highlight w:val="none"/>
          <w:u w:val="single"/>
        </w:rPr>
        <w:t xml:space="preserve"> </w:t>
      </w:r>
      <w:r>
        <w:rPr>
          <w:rFonts w:hint="eastAsia"/>
          <w:color w:val="auto"/>
          <w:kern w:val="0"/>
          <w:highlight w:val="none"/>
          <w:u w:val="single"/>
          <w:lang w:val="en-US" w:eastAsia="zh-CN"/>
        </w:rPr>
        <w:t>28</w:t>
      </w:r>
      <w:r>
        <w:rPr>
          <w:color w:val="auto"/>
          <w:kern w:val="0"/>
          <w:highlight w:val="none"/>
          <w:u w:val="single"/>
        </w:rPr>
        <w:t xml:space="preserve"> </w:t>
      </w:r>
      <w:r>
        <w:rPr>
          <w:rFonts w:hint="eastAsia" w:hAnsi="宋体" w:cs="宋体"/>
          <w:color w:val="auto"/>
          <w:kern w:val="0"/>
          <w:highlight w:val="none"/>
        </w:rPr>
        <w:t>天后发包人仍不纠正其违约行为并致使合同目的不能实现的，承包人有权解除合同。</w:t>
      </w:r>
    </w:p>
    <w:p w14:paraId="7C63D10C">
      <w:pPr>
        <w:pStyle w:val="5"/>
        <w:rPr>
          <w:color w:val="auto"/>
          <w:highlight w:val="none"/>
        </w:rPr>
      </w:pPr>
      <w:bookmarkStart w:id="1408" w:name="_Toc247586342"/>
      <w:bookmarkStart w:id="1409" w:name="_Toc407135271"/>
      <w:bookmarkStart w:id="1410" w:name="_Toc373227768"/>
      <w:bookmarkStart w:id="1411" w:name="_Toc61078193"/>
      <w:bookmarkStart w:id="1412" w:name="_Toc78449857"/>
      <w:bookmarkStart w:id="1413" w:name="_Toc16495"/>
      <w:bookmarkStart w:id="1414" w:name="_Toc389065333"/>
      <w:bookmarkStart w:id="1415" w:name="_Toc373478415"/>
      <w:r>
        <w:rPr>
          <w:color w:val="auto"/>
          <w:highlight w:val="none"/>
        </w:rPr>
        <w:t xml:space="preserve">16.2 </w:t>
      </w:r>
      <w:r>
        <w:rPr>
          <w:rFonts w:hint="eastAsia" w:hAnsi="宋体" w:cs="黑体"/>
          <w:color w:val="auto"/>
          <w:highlight w:val="none"/>
        </w:rPr>
        <w:t>承包人违约</w:t>
      </w:r>
      <w:bookmarkEnd w:id="1408"/>
      <w:bookmarkEnd w:id="1409"/>
      <w:bookmarkEnd w:id="1410"/>
      <w:bookmarkEnd w:id="1411"/>
      <w:bookmarkEnd w:id="1412"/>
      <w:bookmarkEnd w:id="1413"/>
      <w:bookmarkEnd w:id="1414"/>
      <w:bookmarkEnd w:id="1415"/>
    </w:p>
    <w:p w14:paraId="28083253">
      <w:pPr>
        <w:spacing w:line="360" w:lineRule="auto"/>
        <w:ind w:firstLine="420" w:firstLineChars="200"/>
        <w:jc w:val="left"/>
        <w:rPr>
          <w:color w:val="auto"/>
          <w:kern w:val="0"/>
          <w:highlight w:val="none"/>
        </w:rPr>
      </w:pPr>
      <w:r>
        <w:rPr>
          <w:color w:val="auto"/>
          <w:kern w:val="0"/>
          <w:highlight w:val="none"/>
        </w:rPr>
        <w:t xml:space="preserve">16.2.1 </w:t>
      </w:r>
      <w:r>
        <w:rPr>
          <w:rFonts w:hint="eastAsia" w:hAnsi="宋体" w:cs="宋体"/>
          <w:color w:val="auto"/>
          <w:kern w:val="0"/>
          <w:highlight w:val="none"/>
        </w:rPr>
        <w:t>承包人违约的情形</w:t>
      </w:r>
    </w:p>
    <w:p w14:paraId="5F9BFE97">
      <w:pPr>
        <w:spacing w:line="360" w:lineRule="auto"/>
        <w:ind w:firstLine="420" w:firstLineChars="200"/>
        <w:jc w:val="left"/>
        <w:outlineLvl w:val="0"/>
        <w:rPr>
          <w:rFonts w:hint="eastAsia" w:hAnsi="宋体" w:cs="宋体"/>
          <w:color w:val="auto"/>
          <w:kern w:val="0"/>
          <w:highlight w:val="none"/>
        </w:rPr>
      </w:pPr>
      <w:bookmarkStart w:id="1416" w:name="_Toc28568"/>
      <w:bookmarkStart w:id="1417" w:name="_Toc882"/>
      <w:r>
        <w:rPr>
          <w:rFonts w:hint="eastAsia" w:hAnsi="宋体" w:cs="宋体"/>
          <w:color w:val="auto"/>
          <w:kern w:val="0"/>
          <w:highlight w:val="none"/>
        </w:rPr>
        <w:t>承包人除本合同通用条款 16.2.1 约定的承包人违约的情形外违约的其他情形：</w:t>
      </w:r>
      <w:bookmarkEnd w:id="1416"/>
      <w:bookmarkEnd w:id="1417"/>
    </w:p>
    <w:p w14:paraId="1EDBDC78">
      <w:pPr>
        <w:spacing w:line="360" w:lineRule="auto"/>
        <w:ind w:firstLine="420" w:firstLineChars="200"/>
        <w:jc w:val="left"/>
        <w:outlineLvl w:val="0"/>
        <w:rPr>
          <w:rFonts w:hint="eastAsia" w:hAnsi="宋体" w:cs="宋体"/>
          <w:color w:val="auto"/>
          <w:kern w:val="0"/>
          <w:highlight w:val="none"/>
        </w:rPr>
      </w:pPr>
      <w:r>
        <w:rPr>
          <w:rFonts w:hint="eastAsia" w:hAnsi="宋体" w:cs="宋体"/>
          <w:color w:val="auto"/>
          <w:kern w:val="0"/>
          <w:highlight w:val="none"/>
        </w:rPr>
        <w:tab/>
      </w:r>
      <w:bookmarkStart w:id="1418" w:name="_Toc28269"/>
      <w:bookmarkStart w:id="1419" w:name="_Toc25821"/>
      <w:r>
        <w:rPr>
          <w:rFonts w:hint="eastAsia" w:hAnsi="宋体" w:cs="宋体"/>
          <w:color w:val="auto"/>
          <w:kern w:val="0"/>
          <w:highlight w:val="none"/>
        </w:rPr>
        <w:t>(1) 承包人在保修期内拒绝按规定进行修复，或经监理人或发包人检验认为修复质量不合格而承包人拒绝再进行修补的，发包人将扣除承包人全部质量保修金；</w:t>
      </w:r>
      <w:bookmarkEnd w:id="1418"/>
      <w:bookmarkEnd w:id="1419"/>
      <w:r>
        <w:rPr>
          <w:rFonts w:hint="eastAsia" w:hAnsi="宋体" w:cs="宋体"/>
          <w:color w:val="auto"/>
          <w:kern w:val="0"/>
          <w:highlight w:val="none"/>
        </w:rPr>
        <w:t xml:space="preserve">  </w:t>
      </w:r>
    </w:p>
    <w:p w14:paraId="6F6E6B64">
      <w:pPr>
        <w:spacing w:line="360" w:lineRule="auto"/>
        <w:ind w:firstLine="420" w:firstLineChars="200"/>
        <w:jc w:val="left"/>
        <w:outlineLvl w:val="0"/>
        <w:rPr>
          <w:rFonts w:hint="eastAsia" w:hAnsi="宋体" w:cs="宋体"/>
          <w:color w:val="auto"/>
          <w:kern w:val="0"/>
          <w:highlight w:val="none"/>
        </w:rPr>
      </w:pPr>
      <w:r>
        <w:rPr>
          <w:rFonts w:hint="eastAsia" w:hAnsi="宋体" w:cs="宋体"/>
          <w:color w:val="auto"/>
          <w:kern w:val="0"/>
          <w:highlight w:val="none"/>
        </w:rPr>
        <w:tab/>
      </w:r>
      <w:bookmarkStart w:id="1420" w:name="_Toc2497"/>
      <w:bookmarkStart w:id="1421" w:name="_Toc21637"/>
      <w:r>
        <w:rPr>
          <w:rFonts w:hint="eastAsia" w:hAnsi="宋体" w:cs="宋体"/>
          <w:color w:val="auto"/>
          <w:kern w:val="0"/>
          <w:highlight w:val="none"/>
        </w:rPr>
        <w:t>(2) 承包人违约有以下情况之一者，发包人有权采取合同规定的以下措施处理，并视情节轻重予以罚款：</w:t>
      </w:r>
      <w:bookmarkEnd w:id="1420"/>
      <w:bookmarkEnd w:id="1421"/>
      <w:r>
        <w:rPr>
          <w:rFonts w:hint="eastAsia" w:hAnsi="宋体" w:cs="宋体"/>
          <w:color w:val="auto"/>
          <w:kern w:val="0"/>
          <w:highlight w:val="none"/>
        </w:rPr>
        <w:t xml:space="preserve">  </w:t>
      </w:r>
    </w:p>
    <w:p w14:paraId="37AF6547">
      <w:pPr>
        <w:spacing w:line="360" w:lineRule="auto"/>
        <w:ind w:firstLine="420" w:firstLineChars="200"/>
        <w:jc w:val="left"/>
        <w:outlineLvl w:val="0"/>
        <w:rPr>
          <w:rFonts w:hint="eastAsia" w:hAnsi="宋体" w:cs="宋体"/>
          <w:color w:val="auto"/>
          <w:kern w:val="0"/>
          <w:highlight w:val="none"/>
        </w:rPr>
      </w:pPr>
      <w:bookmarkStart w:id="1422" w:name="_Toc9769"/>
      <w:bookmarkStart w:id="1423" w:name="_Toc11032"/>
      <w:r>
        <w:rPr>
          <w:rFonts w:hint="eastAsia" w:hAnsi="宋体" w:cs="宋体"/>
          <w:color w:val="auto"/>
          <w:kern w:val="0"/>
          <w:highlight w:val="none"/>
        </w:rPr>
        <w:t>a、未经监理工程师审查批准，施工期内自行调走主要施工机械，经发现不及时调回的，视为承包人违约，发包人有权收取违约金，金额为履约保证金的10％~50％(视情节严重而定)。</w:t>
      </w:r>
      <w:bookmarkEnd w:id="1422"/>
      <w:bookmarkEnd w:id="1423"/>
    </w:p>
    <w:p w14:paraId="1E696929">
      <w:pPr>
        <w:spacing w:line="360" w:lineRule="auto"/>
        <w:ind w:firstLine="420" w:firstLineChars="200"/>
        <w:jc w:val="left"/>
        <w:outlineLvl w:val="0"/>
        <w:rPr>
          <w:rFonts w:hint="eastAsia" w:hAnsi="宋体" w:cs="宋体"/>
          <w:color w:val="auto"/>
          <w:kern w:val="0"/>
          <w:highlight w:val="none"/>
        </w:rPr>
      </w:pPr>
      <w:bookmarkStart w:id="1424" w:name="_Toc21242"/>
      <w:bookmarkStart w:id="1425" w:name="_Toc9258"/>
      <w:r>
        <w:rPr>
          <w:rFonts w:hint="eastAsia" w:hAnsi="宋体" w:cs="宋体"/>
          <w:color w:val="auto"/>
          <w:kern w:val="0"/>
          <w:highlight w:val="none"/>
        </w:rPr>
        <w:t>b、所有违约金金额均在承包人的履约保证金及计量支付款内扣除。监理工程师预先下发含有罚款意向的指令，如承包人不及时采取措施纠正，则在指令下达后15天内下发罚款通知书</w:t>
      </w:r>
      <w:r>
        <w:rPr>
          <w:rFonts w:hint="eastAsia" w:hAnsi="宋体" w:cs="宋体"/>
          <w:color w:val="auto"/>
          <w:kern w:val="0"/>
          <w:highlight w:val="none"/>
        </w:rPr>
        <w:tab/>
      </w:r>
      <w:r>
        <w:rPr>
          <w:rFonts w:hint="eastAsia" w:hAnsi="宋体" w:cs="宋体"/>
          <w:color w:val="auto"/>
          <w:kern w:val="0"/>
          <w:highlight w:val="none"/>
        </w:rPr>
        <w:t>(不再陈述罚款理由)，承包人履约保证金被罚款后由发包人从最后一次计量支付时扣相应金额补足履约保证金。</w:t>
      </w:r>
      <w:bookmarkEnd w:id="1424"/>
      <w:bookmarkEnd w:id="1425"/>
    </w:p>
    <w:p w14:paraId="0BFAA208">
      <w:pPr>
        <w:spacing w:line="360" w:lineRule="auto"/>
        <w:ind w:firstLine="420" w:firstLineChars="200"/>
        <w:jc w:val="left"/>
        <w:outlineLvl w:val="0"/>
        <w:rPr>
          <w:rFonts w:hint="eastAsia" w:hAnsi="宋体" w:cs="宋体"/>
          <w:color w:val="auto"/>
          <w:kern w:val="0"/>
          <w:highlight w:val="none"/>
        </w:rPr>
      </w:pPr>
      <w:bookmarkStart w:id="1426" w:name="_Toc17903"/>
      <w:bookmarkStart w:id="1427" w:name="_Toc4907"/>
      <w:r>
        <w:rPr>
          <w:rFonts w:hint="eastAsia" w:hAnsi="宋体" w:cs="宋体"/>
          <w:color w:val="auto"/>
          <w:kern w:val="0"/>
          <w:highlight w:val="none"/>
        </w:rPr>
        <w:t>C、承包人在合同期内完成合同规定的全部工程且质量合格,可于工程竣工验收后15天内申请返还全部或部分罚款，返还金额由监理工程师审核，发包人批准，罚款金额返还时不包括银行利息。</w:t>
      </w:r>
      <w:bookmarkEnd w:id="1426"/>
      <w:bookmarkEnd w:id="1427"/>
    </w:p>
    <w:p w14:paraId="71A2236F">
      <w:pPr>
        <w:spacing w:line="360" w:lineRule="auto"/>
        <w:ind w:firstLine="420" w:firstLineChars="200"/>
        <w:jc w:val="left"/>
        <w:outlineLvl w:val="0"/>
        <w:rPr>
          <w:color w:val="auto"/>
          <w:kern w:val="0"/>
          <w:highlight w:val="none"/>
        </w:rPr>
      </w:pPr>
      <w:bookmarkStart w:id="1428" w:name="_Toc9457"/>
      <w:bookmarkStart w:id="1429" w:name="_Toc8970"/>
      <w:r>
        <w:rPr>
          <w:color w:val="auto"/>
          <w:kern w:val="0"/>
          <w:highlight w:val="none"/>
        </w:rPr>
        <w:t>16.2.2</w:t>
      </w:r>
      <w:r>
        <w:rPr>
          <w:rFonts w:hint="eastAsia" w:hAnsi="宋体" w:cs="宋体"/>
          <w:color w:val="auto"/>
          <w:kern w:val="0"/>
          <w:highlight w:val="none"/>
        </w:rPr>
        <w:t>承包人违约的责任</w:t>
      </w:r>
      <w:bookmarkEnd w:id="1428"/>
      <w:bookmarkEnd w:id="1429"/>
    </w:p>
    <w:p w14:paraId="434CDE28">
      <w:pPr>
        <w:spacing w:line="360" w:lineRule="auto"/>
        <w:ind w:firstLine="420" w:firstLineChars="200"/>
        <w:jc w:val="left"/>
        <w:rPr>
          <w:color w:val="auto"/>
          <w:kern w:val="0"/>
          <w:highlight w:val="none"/>
        </w:rPr>
      </w:pPr>
      <w:r>
        <w:rPr>
          <w:rFonts w:hint="eastAsia" w:hAnsi="宋体" w:cs="宋体"/>
          <w:color w:val="auto"/>
          <w:kern w:val="0"/>
          <w:highlight w:val="none"/>
        </w:rPr>
        <w:t>承包人违约责任的承担方式和计算方法：</w:t>
      </w:r>
    </w:p>
    <w:p w14:paraId="2C6F099A">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）承包人有本合同通用条款第</w:t>
      </w:r>
      <w:r>
        <w:rPr>
          <w:color w:val="auto"/>
          <w:kern w:val="0"/>
          <w:highlight w:val="none"/>
        </w:rPr>
        <w:t>16.2.1</w:t>
      </w: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）条内容情形的，承包人无条件返工处理，修复至工程质量要求并承担相关费用，并在发包人规定的时间内完成返工，否则发包人有权扣罚该分项工程</w:t>
      </w:r>
      <w:r>
        <w:rPr>
          <w:color w:val="auto"/>
          <w:kern w:val="0"/>
          <w:highlight w:val="none"/>
        </w:rPr>
        <w:t>10%</w:t>
      </w:r>
      <w:r>
        <w:rPr>
          <w:rFonts w:hint="eastAsia" w:hAnsi="宋体" w:cs="宋体"/>
          <w:color w:val="auto"/>
          <w:kern w:val="0"/>
          <w:highlight w:val="none"/>
        </w:rPr>
        <w:t>的工程款作为处罚。</w:t>
      </w:r>
    </w:p>
    <w:p w14:paraId="18D27195">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）承包人有本合同通用条款第</w:t>
      </w:r>
      <w:r>
        <w:rPr>
          <w:color w:val="auto"/>
          <w:kern w:val="0"/>
          <w:highlight w:val="none"/>
        </w:rPr>
        <w:t>16.2.1</w:t>
      </w:r>
      <w:r>
        <w:rPr>
          <w:rFonts w:hint="eastAsia" w:hAnsi="宋体" w:cs="宋体"/>
          <w:color w:val="auto"/>
          <w:kern w:val="0"/>
          <w:highlight w:val="none"/>
        </w:rPr>
        <w:t>（</w:t>
      </w:r>
      <w:r>
        <w:rPr>
          <w:color w:val="auto"/>
          <w:kern w:val="0"/>
          <w:highlight w:val="none"/>
        </w:rPr>
        <w:t>6</w:t>
      </w:r>
      <w:r>
        <w:rPr>
          <w:rFonts w:hint="eastAsia" w:hAnsi="宋体" w:cs="宋体"/>
          <w:color w:val="auto"/>
          <w:kern w:val="0"/>
          <w:highlight w:val="none"/>
        </w:rPr>
        <w:t>）条情形的，或经监理人检验认为修复质量不合格而承包人拒绝再进行修补的，发包人将扣除承包人全部质量保证金。</w:t>
      </w:r>
    </w:p>
    <w:p w14:paraId="496F3BDB">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）承包人有本专用合同条款</w:t>
      </w:r>
      <w:r>
        <w:rPr>
          <w:color w:val="auto"/>
          <w:kern w:val="0"/>
          <w:highlight w:val="none"/>
        </w:rPr>
        <w:t>3.2</w:t>
      </w:r>
      <w:r>
        <w:rPr>
          <w:rFonts w:hint="eastAsia" w:hAnsi="宋体" w:cs="宋体"/>
          <w:color w:val="auto"/>
          <w:kern w:val="0"/>
          <w:highlight w:val="none"/>
        </w:rPr>
        <w:t>、</w:t>
      </w:r>
      <w:r>
        <w:rPr>
          <w:color w:val="auto"/>
          <w:kern w:val="0"/>
          <w:highlight w:val="none"/>
        </w:rPr>
        <w:t>3.3</w:t>
      </w:r>
      <w:r>
        <w:rPr>
          <w:rFonts w:hint="eastAsia" w:hAnsi="宋体" w:cs="宋体"/>
          <w:color w:val="auto"/>
          <w:kern w:val="0"/>
          <w:highlight w:val="none"/>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348A082D">
      <w:pPr>
        <w:spacing w:line="360" w:lineRule="auto"/>
        <w:ind w:firstLine="420" w:firstLineChars="200"/>
        <w:jc w:val="left"/>
        <w:rPr>
          <w:rFonts w:hAnsi="宋体"/>
          <w:color w:val="auto"/>
          <w:highlight w:val="none"/>
        </w:rPr>
      </w:pPr>
      <w:r>
        <w:rPr>
          <w:color w:val="auto"/>
          <w:highlight w:val="none"/>
        </w:rPr>
        <w:t xml:space="preserve">16.2.3 </w:t>
      </w:r>
      <w:r>
        <w:rPr>
          <w:rFonts w:hint="eastAsia" w:hAnsi="宋体" w:cs="宋体"/>
          <w:color w:val="auto"/>
          <w:highlight w:val="none"/>
        </w:rPr>
        <w:t>因承包人违约解除合同</w:t>
      </w:r>
    </w:p>
    <w:p w14:paraId="7CED4161">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关于承包人违约解除合同的特别约定：</w:t>
      </w:r>
      <w:r>
        <w:rPr>
          <w:rFonts w:hint="eastAsia" w:hAnsi="宋体" w:cs="宋体"/>
          <w:color w:val="auto"/>
          <w:kern w:val="0"/>
          <w:highlight w:val="none"/>
          <w:u w:val="single"/>
        </w:rPr>
        <w:t>承包人有违反以下情况之一的，发包人有权解除合同，并没收其全部履约保证金</w:t>
      </w:r>
      <w:r>
        <w:rPr>
          <w:rFonts w:hint="eastAsia" w:hAnsi="宋体" w:cs="宋体"/>
          <w:color w:val="auto"/>
          <w:kern w:val="0"/>
          <w:highlight w:val="none"/>
        </w:rPr>
        <w:t>。</w:t>
      </w:r>
    </w:p>
    <w:p w14:paraId="1E5D5A0B">
      <w:pPr>
        <w:spacing w:line="360" w:lineRule="auto"/>
        <w:ind w:firstLine="420" w:firstLineChars="200"/>
        <w:jc w:val="left"/>
        <w:rPr>
          <w:rFonts w:hAnsi="宋体"/>
          <w:color w:val="auto"/>
          <w:kern w:val="0"/>
          <w:highlight w:val="none"/>
        </w:rPr>
      </w:pPr>
      <w:r>
        <w:rPr>
          <w:rFonts w:hint="eastAsia"/>
          <w:color w:val="auto"/>
          <w:kern w:val="0"/>
          <w:highlight w:val="none"/>
          <w:lang w:eastAsia="zh-CN"/>
        </w:rPr>
        <w:t>（</w:t>
      </w:r>
      <w:r>
        <w:rPr>
          <w:color w:val="auto"/>
          <w:kern w:val="0"/>
          <w:highlight w:val="none"/>
        </w:rPr>
        <w:t>1</w:t>
      </w:r>
      <w:r>
        <w:rPr>
          <w:rFonts w:hint="eastAsia"/>
          <w:color w:val="auto"/>
          <w:kern w:val="0"/>
          <w:highlight w:val="none"/>
          <w:lang w:eastAsia="zh-CN"/>
        </w:rPr>
        <w:t>）</w:t>
      </w:r>
      <w:r>
        <w:rPr>
          <w:rFonts w:hint="eastAsia" w:hAnsi="宋体" w:cs="宋体"/>
          <w:color w:val="auto"/>
          <w:kern w:val="0"/>
          <w:highlight w:val="none"/>
        </w:rPr>
        <w:t>承包人无正当理由不按开工通知的要求及时进场组织施工和不按签订协议书时商定的进度计划有效地开展施工准备，造成工期延误的；</w:t>
      </w:r>
    </w:p>
    <w:p w14:paraId="63D96469">
      <w:pPr>
        <w:spacing w:line="360" w:lineRule="auto"/>
        <w:ind w:firstLine="420" w:firstLineChars="200"/>
        <w:jc w:val="left"/>
        <w:rPr>
          <w:rFonts w:hAnsi="宋体"/>
          <w:color w:val="auto"/>
          <w:kern w:val="0"/>
          <w:highlight w:val="none"/>
        </w:rPr>
      </w:pPr>
      <w:r>
        <w:rPr>
          <w:rFonts w:hint="eastAsia"/>
          <w:color w:val="auto"/>
          <w:kern w:val="0"/>
          <w:highlight w:val="none"/>
          <w:lang w:eastAsia="zh-CN"/>
        </w:rPr>
        <w:t>（</w:t>
      </w:r>
      <w:r>
        <w:rPr>
          <w:color w:val="auto"/>
          <w:kern w:val="0"/>
          <w:highlight w:val="none"/>
        </w:rPr>
        <w:t>2</w:t>
      </w:r>
      <w:r>
        <w:rPr>
          <w:rFonts w:hint="eastAsia"/>
          <w:color w:val="auto"/>
          <w:kern w:val="0"/>
          <w:highlight w:val="none"/>
          <w:lang w:eastAsia="zh-CN"/>
        </w:rPr>
        <w:t>）</w:t>
      </w:r>
      <w:r>
        <w:rPr>
          <w:rFonts w:hint="eastAsia" w:hAnsi="宋体" w:cs="宋体"/>
          <w:color w:val="auto"/>
          <w:kern w:val="0"/>
          <w:highlight w:val="none"/>
        </w:rPr>
        <w:t>承包人违反本合同通用条款第</w:t>
      </w:r>
      <w:r>
        <w:rPr>
          <w:color w:val="auto"/>
          <w:kern w:val="0"/>
          <w:highlight w:val="none"/>
        </w:rPr>
        <w:t>3.5</w:t>
      </w:r>
      <w:r>
        <w:rPr>
          <w:rFonts w:hint="eastAsia" w:hAnsi="宋体" w:cs="宋体"/>
          <w:color w:val="auto"/>
          <w:kern w:val="0"/>
          <w:highlight w:val="none"/>
        </w:rPr>
        <w:t>条规定私自将合同或合同的任何部分或任何权利转让给其他人，或私自将工程或工程的一部分分包出去的；</w:t>
      </w:r>
    </w:p>
    <w:p w14:paraId="4357BEDC">
      <w:pPr>
        <w:spacing w:line="360" w:lineRule="auto"/>
        <w:ind w:firstLine="420" w:firstLineChars="200"/>
        <w:jc w:val="left"/>
        <w:rPr>
          <w:rFonts w:hAnsi="宋体"/>
          <w:color w:val="auto"/>
          <w:kern w:val="0"/>
          <w:highlight w:val="none"/>
        </w:rPr>
      </w:pPr>
      <w:r>
        <w:rPr>
          <w:rFonts w:hint="eastAsia"/>
          <w:color w:val="auto"/>
          <w:kern w:val="0"/>
          <w:highlight w:val="none"/>
          <w:lang w:eastAsia="zh-CN"/>
        </w:rPr>
        <w:t>（</w:t>
      </w:r>
      <w:r>
        <w:rPr>
          <w:color w:val="auto"/>
          <w:kern w:val="0"/>
          <w:highlight w:val="none"/>
        </w:rPr>
        <w:t>3</w:t>
      </w:r>
      <w:r>
        <w:rPr>
          <w:rFonts w:hint="eastAsia"/>
          <w:color w:val="auto"/>
          <w:kern w:val="0"/>
          <w:highlight w:val="none"/>
          <w:lang w:eastAsia="zh-CN"/>
        </w:rPr>
        <w:t>）</w:t>
      </w:r>
      <w:r>
        <w:rPr>
          <w:rFonts w:hint="eastAsia" w:hAnsi="宋体" w:cs="宋体"/>
          <w:color w:val="auto"/>
          <w:kern w:val="0"/>
          <w:highlight w:val="none"/>
        </w:rPr>
        <w:t>未经监理人批准，承包人私自将已按投标文件承诺进入工地的工程设备、施工设备、临时工程或材料撤离工地的；</w:t>
      </w:r>
    </w:p>
    <w:p w14:paraId="2B894795">
      <w:pPr>
        <w:spacing w:line="360" w:lineRule="auto"/>
        <w:ind w:firstLine="420" w:firstLineChars="200"/>
        <w:jc w:val="left"/>
        <w:rPr>
          <w:color w:val="auto"/>
          <w:kern w:val="0"/>
          <w:highlight w:val="none"/>
        </w:rPr>
      </w:pPr>
      <w:r>
        <w:rPr>
          <w:rFonts w:hint="eastAsia"/>
          <w:color w:val="auto"/>
          <w:kern w:val="0"/>
          <w:highlight w:val="none"/>
          <w:lang w:eastAsia="zh-CN"/>
        </w:rPr>
        <w:t>（</w:t>
      </w:r>
      <w:r>
        <w:rPr>
          <w:color w:val="auto"/>
          <w:kern w:val="0"/>
          <w:highlight w:val="none"/>
        </w:rPr>
        <w:t>4</w:t>
      </w:r>
      <w:r>
        <w:rPr>
          <w:rFonts w:hint="eastAsia"/>
          <w:color w:val="auto"/>
          <w:kern w:val="0"/>
          <w:highlight w:val="none"/>
          <w:lang w:eastAsia="zh-CN"/>
        </w:rPr>
        <w:t>）</w:t>
      </w:r>
      <w:r>
        <w:rPr>
          <w:rFonts w:hint="eastAsia" w:hAnsi="宋体" w:cs="宋体"/>
          <w:color w:val="auto"/>
          <w:kern w:val="0"/>
          <w:highlight w:val="none"/>
        </w:rPr>
        <w:t>由于承包人原因拒绝按合同进度计划及时完成合同规定的工程，而又未采取有效措施赶上进度，造成工期严重延误的；</w:t>
      </w:r>
    </w:p>
    <w:p w14:paraId="72FF090E">
      <w:pPr>
        <w:spacing w:line="360" w:lineRule="auto"/>
        <w:ind w:firstLine="420" w:firstLineChars="200"/>
        <w:rPr>
          <w:color w:val="auto"/>
          <w:kern w:val="0"/>
          <w:highlight w:val="none"/>
        </w:rPr>
      </w:pPr>
      <w:r>
        <w:rPr>
          <w:rFonts w:hint="eastAsia"/>
          <w:color w:val="auto"/>
          <w:kern w:val="0"/>
          <w:highlight w:val="none"/>
          <w:lang w:eastAsia="zh-CN"/>
        </w:rPr>
        <w:t>（</w:t>
      </w:r>
      <w:r>
        <w:rPr>
          <w:color w:val="auto"/>
          <w:kern w:val="0"/>
          <w:highlight w:val="none"/>
        </w:rPr>
        <w:t>5</w:t>
      </w:r>
      <w:r>
        <w:rPr>
          <w:rFonts w:hint="eastAsia"/>
          <w:color w:val="auto"/>
          <w:kern w:val="0"/>
          <w:highlight w:val="none"/>
          <w:lang w:eastAsia="zh-CN"/>
        </w:rPr>
        <w:t>）</w:t>
      </w:r>
      <w:r>
        <w:rPr>
          <w:rFonts w:hint="eastAsia" w:hAnsi="宋体" w:cs="宋体"/>
          <w:color w:val="auto"/>
          <w:kern w:val="0"/>
          <w:highlight w:val="none"/>
        </w:rPr>
        <w:t>承包人否认合同有效或拒绝履行合同规定的承包人义务，或由于法律、财务等原因导致承包人无法继续履行或实质上已停止履行合同的义务的；</w:t>
      </w:r>
    </w:p>
    <w:p w14:paraId="5BD9CF64">
      <w:pPr>
        <w:spacing w:line="360" w:lineRule="auto"/>
        <w:ind w:firstLine="420" w:firstLineChars="200"/>
        <w:rPr>
          <w:color w:val="auto"/>
          <w:kern w:val="0"/>
          <w:highlight w:val="none"/>
        </w:rPr>
      </w:pPr>
      <w:r>
        <w:rPr>
          <w:rFonts w:hint="eastAsia"/>
          <w:color w:val="auto"/>
          <w:kern w:val="0"/>
          <w:highlight w:val="none"/>
          <w:lang w:eastAsia="zh-CN"/>
        </w:rPr>
        <w:t>（</w:t>
      </w:r>
      <w:r>
        <w:rPr>
          <w:color w:val="auto"/>
          <w:kern w:val="0"/>
          <w:highlight w:val="none"/>
        </w:rPr>
        <w:t>6</w:t>
      </w:r>
      <w:r>
        <w:rPr>
          <w:rFonts w:hint="eastAsia"/>
          <w:color w:val="auto"/>
          <w:kern w:val="0"/>
          <w:highlight w:val="none"/>
          <w:lang w:eastAsia="zh-CN"/>
        </w:rPr>
        <w:t>）</w:t>
      </w:r>
      <w:r>
        <w:rPr>
          <w:rFonts w:hint="eastAsia" w:hAnsi="宋体" w:cs="宋体"/>
          <w:color w:val="auto"/>
          <w:kern w:val="0"/>
          <w:highlight w:val="none"/>
        </w:rPr>
        <w:t>合同签订</w:t>
      </w:r>
      <w:r>
        <w:rPr>
          <w:rFonts w:hint="eastAsia" w:ascii="仿宋_GB2312" w:hAnsi="宋体" w:cs="宋体"/>
          <w:color w:val="auto"/>
          <w:highlight w:val="none"/>
        </w:rPr>
        <w:t>且具备法定开工条件后</w:t>
      </w:r>
      <w:r>
        <w:rPr>
          <w:rFonts w:hint="eastAsia" w:hAnsi="宋体" w:cs="宋体"/>
          <w:color w:val="auto"/>
          <w:kern w:val="0"/>
          <w:highlight w:val="none"/>
        </w:rPr>
        <w:t>之日起十五日内，承包人无法按合同规定及投标文件的承诺进场经监理工程师认可的该</w:t>
      </w:r>
      <w:r>
        <w:rPr>
          <w:rFonts w:hAnsi="宋体" w:cs="宋体"/>
          <w:color w:val="auto"/>
          <w:kern w:val="0"/>
          <w:highlight w:val="none"/>
        </w:rPr>
        <w:t>施工</w:t>
      </w:r>
      <w:r>
        <w:rPr>
          <w:rFonts w:hint="eastAsia" w:hAnsi="宋体" w:cs="宋体"/>
          <w:color w:val="auto"/>
          <w:kern w:val="0"/>
          <w:highlight w:val="none"/>
        </w:rPr>
        <w:t>阶段</w:t>
      </w:r>
      <w:r>
        <w:rPr>
          <w:rFonts w:hAnsi="宋体" w:cs="宋体"/>
          <w:color w:val="auto"/>
          <w:kern w:val="0"/>
          <w:highlight w:val="none"/>
        </w:rPr>
        <w:t>应有的</w:t>
      </w:r>
      <w:r>
        <w:rPr>
          <w:rFonts w:hint="eastAsia" w:hAnsi="宋体" w:cs="宋体"/>
          <w:color w:val="auto"/>
          <w:kern w:val="0"/>
          <w:highlight w:val="none"/>
        </w:rPr>
        <w:t>全部人员和机械的。</w:t>
      </w:r>
    </w:p>
    <w:p w14:paraId="5458F4AF">
      <w:pPr>
        <w:spacing w:line="360" w:lineRule="auto"/>
        <w:ind w:firstLine="420" w:firstLineChars="200"/>
        <w:rPr>
          <w:color w:val="auto"/>
          <w:kern w:val="0"/>
          <w:highlight w:val="none"/>
        </w:rPr>
      </w:pPr>
      <w:r>
        <w:rPr>
          <w:rFonts w:hint="eastAsia" w:hAnsi="宋体" w:cs="宋体"/>
          <w:color w:val="auto"/>
          <w:kern w:val="0"/>
          <w:highlight w:val="none"/>
        </w:rPr>
        <w:t>发包人继续使用承包人在施工现场的材料、设备、临时工程、承包人文件和由承包人或以其名义编制的其他文件的费用承担方式：</w:t>
      </w:r>
      <w:r>
        <w:rPr>
          <w:rFonts w:hint="eastAsia" w:hAnsi="宋体" w:cs="宋体"/>
          <w:color w:val="auto"/>
          <w:kern w:val="0"/>
          <w:highlight w:val="none"/>
          <w:u w:val="single"/>
          <w:lang w:val="en-US" w:eastAsia="zh-CN"/>
        </w:rPr>
        <w:t xml:space="preserve"> </w:t>
      </w:r>
      <w:r>
        <w:rPr>
          <w:rFonts w:hint="eastAsia"/>
          <w:color w:val="auto"/>
          <w:kern w:val="0"/>
          <w:highlight w:val="none"/>
          <w:u w:val="single"/>
        </w:rPr>
        <w:t xml:space="preserve">承包人承担 </w:t>
      </w:r>
      <w:r>
        <w:rPr>
          <w:rFonts w:hint="eastAsia" w:hAnsi="宋体" w:cs="宋体"/>
          <w:color w:val="auto"/>
          <w:kern w:val="0"/>
          <w:highlight w:val="none"/>
        </w:rPr>
        <w:t>。</w:t>
      </w:r>
    </w:p>
    <w:p w14:paraId="78BEE413">
      <w:pPr>
        <w:pStyle w:val="4"/>
        <w:rPr>
          <w:color w:val="auto"/>
          <w:highlight w:val="none"/>
        </w:rPr>
      </w:pPr>
      <w:bookmarkStart w:id="1430" w:name="_Toc389065334"/>
      <w:bookmarkStart w:id="1431" w:name="_Toc78449858"/>
      <w:bookmarkStart w:id="1432" w:name="_Toc373478416"/>
      <w:bookmarkStart w:id="1433" w:name="_Toc14647"/>
      <w:bookmarkStart w:id="1434" w:name="_Toc21755"/>
      <w:bookmarkStart w:id="1435" w:name="_Toc351203649"/>
      <w:bookmarkStart w:id="1436" w:name="_Toc407135272"/>
      <w:bookmarkStart w:id="1437" w:name="_Toc1117922953"/>
      <w:bookmarkStart w:id="1438" w:name="_Toc1753556740"/>
      <w:bookmarkStart w:id="1439" w:name="_Toc373227769"/>
      <w:r>
        <w:rPr>
          <w:color w:val="auto"/>
          <w:highlight w:val="none"/>
        </w:rPr>
        <w:t xml:space="preserve">17. </w:t>
      </w:r>
      <w:r>
        <w:rPr>
          <w:rFonts w:hint="eastAsia" w:hAnsi="宋体" w:cs="黑体"/>
          <w:color w:val="auto"/>
          <w:highlight w:val="none"/>
        </w:rPr>
        <w:t>不可抗力</w:t>
      </w:r>
      <w:bookmarkEnd w:id="1430"/>
      <w:bookmarkEnd w:id="1431"/>
      <w:bookmarkEnd w:id="1432"/>
      <w:bookmarkEnd w:id="1433"/>
      <w:bookmarkEnd w:id="1434"/>
      <w:bookmarkEnd w:id="1435"/>
      <w:bookmarkEnd w:id="1436"/>
      <w:bookmarkEnd w:id="1437"/>
      <w:bookmarkEnd w:id="1438"/>
      <w:bookmarkEnd w:id="1439"/>
      <w:r>
        <w:rPr>
          <w:color w:val="auto"/>
          <w:highlight w:val="none"/>
        </w:rPr>
        <w:t xml:space="preserve"> </w:t>
      </w:r>
      <w:bookmarkEnd w:id="1396"/>
    </w:p>
    <w:p w14:paraId="1813723D">
      <w:pPr>
        <w:pStyle w:val="5"/>
        <w:rPr>
          <w:color w:val="auto"/>
          <w:highlight w:val="none"/>
        </w:rPr>
      </w:pPr>
      <w:bookmarkStart w:id="1440" w:name="_Toc373227770"/>
      <w:bookmarkStart w:id="1441" w:name="_Toc389065335"/>
      <w:bookmarkStart w:id="1442" w:name="_Toc29164"/>
      <w:bookmarkStart w:id="1443" w:name="_Toc407135273"/>
      <w:bookmarkStart w:id="1444" w:name="_Toc429574049"/>
      <w:bookmarkStart w:id="1445" w:name="_Toc373478417"/>
      <w:bookmarkStart w:id="1446" w:name="_Toc78449859"/>
      <w:bookmarkStart w:id="1447" w:name="_Toc666312941"/>
      <w:r>
        <w:rPr>
          <w:color w:val="auto"/>
          <w:highlight w:val="none"/>
        </w:rPr>
        <w:t xml:space="preserve">17.1 </w:t>
      </w:r>
      <w:r>
        <w:rPr>
          <w:rFonts w:hint="eastAsia" w:cs="黑体"/>
          <w:color w:val="auto"/>
          <w:highlight w:val="none"/>
        </w:rPr>
        <w:t>不可抗力的确认</w:t>
      </w:r>
      <w:bookmarkEnd w:id="1440"/>
      <w:bookmarkEnd w:id="1441"/>
      <w:bookmarkEnd w:id="1442"/>
      <w:bookmarkEnd w:id="1443"/>
      <w:bookmarkEnd w:id="1444"/>
      <w:bookmarkEnd w:id="1445"/>
      <w:bookmarkEnd w:id="1446"/>
      <w:bookmarkEnd w:id="1447"/>
    </w:p>
    <w:p w14:paraId="04ED1D1E">
      <w:pPr>
        <w:spacing w:line="360" w:lineRule="auto"/>
        <w:ind w:firstLine="420" w:firstLineChars="200"/>
        <w:jc w:val="left"/>
        <w:rPr>
          <w:color w:val="auto"/>
          <w:kern w:val="0"/>
          <w:highlight w:val="none"/>
          <w:u w:val="single"/>
        </w:rPr>
      </w:pPr>
      <w:r>
        <w:rPr>
          <w:rFonts w:hint="eastAsia" w:hAnsi="宋体" w:cs="宋体"/>
          <w:color w:val="auto"/>
          <w:highlight w:val="none"/>
        </w:rPr>
        <w:t>除通用合同条款约定的不可抗力事件之外，视为不可抗力的其他情形：</w:t>
      </w:r>
      <w:r>
        <w:rPr>
          <w:color w:val="auto"/>
          <w:kern w:val="0"/>
          <w:highlight w:val="none"/>
          <w:u w:val="single"/>
        </w:rPr>
        <w:t xml:space="preserve"> </w:t>
      </w:r>
      <w:r>
        <w:rPr>
          <w:rFonts w:hint="eastAsia"/>
          <w:color w:val="auto"/>
          <w:kern w:val="0"/>
          <w:highlight w:val="none"/>
          <w:u w:val="single"/>
        </w:rPr>
        <w:t>(1)不可抗力的自然灾害认定标准，以政府有关部门的规定为准且必须得到相关权威部门的书面认定方可视为有效；(2)因政府或相关主管部门要求导致项目中断施工</w:t>
      </w:r>
      <w:r>
        <w:rPr>
          <w:color w:val="auto"/>
          <w:kern w:val="0"/>
          <w:highlight w:val="none"/>
          <w:u w:val="single"/>
        </w:rPr>
        <w:t xml:space="preserve"> </w:t>
      </w:r>
      <w:r>
        <w:rPr>
          <w:rFonts w:hint="eastAsia" w:hAnsi="宋体" w:cs="宋体"/>
          <w:color w:val="auto"/>
          <w:kern w:val="0"/>
          <w:highlight w:val="none"/>
        </w:rPr>
        <w:t>。</w:t>
      </w:r>
    </w:p>
    <w:p w14:paraId="28FBA206">
      <w:pPr>
        <w:pStyle w:val="5"/>
        <w:rPr>
          <w:color w:val="auto"/>
          <w:highlight w:val="none"/>
        </w:rPr>
      </w:pPr>
      <w:bookmarkStart w:id="1448" w:name="_Toc407135274"/>
      <w:bookmarkStart w:id="1449" w:name="_Toc373227771"/>
      <w:bookmarkStart w:id="1450" w:name="_Toc78449860"/>
      <w:bookmarkStart w:id="1451" w:name="_Toc15489"/>
      <w:bookmarkStart w:id="1452" w:name="_Toc373478418"/>
      <w:bookmarkStart w:id="1453" w:name="_Toc658729758"/>
      <w:bookmarkStart w:id="1454" w:name="_Toc1951449751"/>
      <w:bookmarkStart w:id="1455" w:name="_Toc389065336"/>
      <w:r>
        <w:rPr>
          <w:color w:val="auto"/>
          <w:highlight w:val="none"/>
        </w:rPr>
        <w:t xml:space="preserve">17.4 </w:t>
      </w:r>
      <w:r>
        <w:rPr>
          <w:rFonts w:hint="eastAsia" w:cs="黑体"/>
          <w:color w:val="auto"/>
          <w:highlight w:val="none"/>
        </w:rPr>
        <w:t>因不可抗力解除合同</w:t>
      </w:r>
      <w:bookmarkEnd w:id="1448"/>
      <w:bookmarkEnd w:id="1449"/>
      <w:bookmarkEnd w:id="1450"/>
      <w:bookmarkEnd w:id="1451"/>
      <w:bookmarkEnd w:id="1452"/>
      <w:bookmarkEnd w:id="1453"/>
      <w:bookmarkEnd w:id="1454"/>
      <w:bookmarkEnd w:id="1455"/>
    </w:p>
    <w:p w14:paraId="232C2B35">
      <w:pPr>
        <w:spacing w:line="360" w:lineRule="auto"/>
        <w:ind w:firstLine="420" w:firstLineChars="200"/>
        <w:jc w:val="left"/>
        <w:rPr>
          <w:color w:val="auto"/>
          <w:highlight w:val="none"/>
        </w:rPr>
      </w:pPr>
      <w:r>
        <w:rPr>
          <w:rFonts w:hint="eastAsia" w:hAnsi="宋体" w:cs="宋体"/>
          <w:color w:val="auto"/>
          <w:highlight w:val="none"/>
        </w:rPr>
        <w:t>合同解除后，发包人应在商定或确定发包人应支付款项后</w:t>
      </w:r>
      <w:r>
        <w:rPr>
          <w:color w:val="auto"/>
          <w:highlight w:val="none"/>
          <w:u w:val="single"/>
        </w:rPr>
        <w:t xml:space="preserve"> </w:t>
      </w:r>
      <w:r>
        <w:rPr>
          <w:rFonts w:hint="eastAsia"/>
          <w:color w:val="auto"/>
          <w:highlight w:val="none"/>
          <w:u w:val="single"/>
          <w:lang w:val="en-US" w:eastAsia="zh-CN"/>
        </w:rPr>
        <w:t>28</w:t>
      </w:r>
      <w:r>
        <w:rPr>
          <w:color w:val="auto"/>
          <w:highlight w:val="none"/>
          <w:u w:val="single"/>
        </w:rPr>
        <w:t xml:space="preserve"> </w:t>
      </w:r>
      <w:r>
        <w:rPr>
          <w:rFonts w:hint="eastAsia" w:hAnsi="宋体" w:cs="宋体"/>
          <w:color w:val="auto"/>
          <w:highlight w:val="none"/>
        </w:rPr>
        <w:t>天内完成款项的支付。</w:t>
      </w:r>
    </w:p>
    <w:p w14:paraId="29FEAEE6">
      <w:pPr>
        <w:pStyle w:val="4"/>
        <w:rPr>
          <w:color w:val="auto"/>
          <w:highlight w:val="none"/>
        </w:rPr>
      </w:pPr>
      <w:bookmarkStart w:id="1456" w:name="_Toc373227772"/>
      <w:bookmarkStart w:id="1457" w:name="_Toc7603"/>
      <w:bookmarkStart w:id="1458" w:name="_Toc407135275"/>
      <w:bookmarkStart w:id="1459" w:name="_Toc612072600"/>
      <w:bookmarkStart w:id="1460" w:name="_Toc373478419"/>
      <w:bookmarkStart w:id="1461" w:name="_Toc78449861"/>
      <w:bookmarkStart w:id="1462" w:name="_Toc56822299"/>
      <w:bookmarkStart w:id="1463" w:name="_Toc389065337"/>
      <w:bookmarkStart w:id="1464" w:name="_Toc351203650"/>
      <w:bookmarkStart w:id="1465" w:name="_Toc2937"/>
      <w:r>
        <w:rPr>
          <w:color w:val="auto"/>
          <w:highlight w:val="none"/>
        </w:rPr>
        <w:t xml:space="preserve">18. </w:t>
      </w:r>
      <w:r>
        <w:rPr>
          <w:rFonts w:hint="eastAsia" w:hAnsi="宋体" w:cs="黑体"/>
          <w:color w:val="auto"/>
          <w:highlight w:val="none"/>
        </w:rPr>
        <w:t>保险</w:t>
      </w:r>
      <w:bookmarkEnd w:id="1456"/>
      <w:bookmarkEnd w:id="1457"/>
      <w:bookmarkEnd w:id="1458"/>
      <w:bookmarkEnd w:id="1459"/>
      <w:bookmarkEnd w:id="1460"/>
      <w:bookmarkEnd w:id="1461"/>
      <w:bookmarkEnd w:id="1462"/>
      <w:bookmarkEnd w:id="1463"/>
      <w:bookmarkEnd w:id="1464"/>
      <w:bookmarkEnd w:id="1465"/>
    </w:p>
    <w:bookmarkEnd w:id="1397"/>
    <w:p w14:paraId="0E4ADE7E">
      <w:pPr>
        <w:pStyle w:val="5"/>
        <w:rPr>
          <w:color w:val="auto"/>
          <w:highlight w:val="none"/>
        </w:rPr>
      </w:pPr>
      <w:bookmarkStart w:id="1466" w:name="_Toc407135276"/>
      <w:bookmarkStart w:id="1467" w:name="_Toc1446953302"/>
      <w:bookmarkStart w:id="1468" w:name="_Toc373227773"/>
      <w:bookmarkStart w:id="1469" w:name="_Toc2075285517"/>
      <w:bookmarkStart w:id="1470" w:name="_Toc389065338"/>
      <w:bookmarkStart w:id="1471" w:name="_Toc6553"/>
      <w:bookmarkStart w:id="1472" w:name="_Toc373478420"/>
      <w:bookmarkStart w:id="1473" w:name="_Toc78449862"/>
      <w:r>
        <w:rPr>
          <w:color w:val="auto"/>
          <w:highlight w:val="none"/>
        </w:rPr>
        <w:t xml:space="preserve">18.1 </w:t>
      </w:r>
      <w:r>
        <w:rPr>
          <w:rFonts w:hint="eastAsia" w:hAnsi="宋体" w:cs="黑体"/>
          <w:color w:val="auto"/>
          <w:highlight w:val="none"/>
        </w:rPr>
        <w:t>工程保险</w:t>
      </w:r>
      <w:bookmarkEnd w:id="1466"/>
      <w:bookmarkEnd w:id="1467"/>
      <w:bookmarkEnd w:id="1468"/>
      <w:bookmarkEnd w:id="1469"/>
      <w:bookmarkEnd w:id="1470"/>
      <w:bookmarkEnd w:id="1471"/>
      <w:bookmarkEnd w:id="1472"/>
      <w:bookmarkEnd w:id="1473"/>
    </w:p>
    <w:p w14:paraId="47E5C319">
      <w:pPr>
        <w:spacing w:line="360" w:lineRule="auto"/>
        <w:ind w:firstLine="420" w:firstLineChars="200"/>
        <w:jc w:val="left"/>
        <w:rPr>
          <w:color w:val="auto"/>
          <w:highlight w:val="none"/>
        </w:rPr>
      </w:pPr>
      <w:r>
        <w:rPr>
          <w:rFonts w:hint="eastAsia" w:hAnsi="宋体" w:cs="宋体"/>
          <w:color w:val="auto"/>
          <w:highlight w:val="none"/>
        </w:rPr>
        <w:t>关于工程保险的特别约定：</w:t>
      </w:r>
      <w:r>
        <w:rPr>
          <w:rFonts w:ascii="宋体" w:hAnsi="宋体" w:eastAsia="宋体" w:cs="宋体"/>
          <w:color w:val="auto"/>
          <w:spacing w:val="0"/>
          <w:highlight w:val="none"/>
          <w:u w:val="single"/>
        </w:rPr>
        <w:t xml:space="preserve"> 由承包人根据需要自行办理，费用由承包人负责 </w:t>
      </w:r>
      <w:r>
        <w:rPr>
          <w:rFonts w:hint="eastAsia" w:hAnsi="宋体" w:cs="宋体"/>
          <w:color w:val="auto"/>
          <w:kern w:val="0"/>
          <w:highlight w:val="none"/>
        </w:rPr>
        <w:t>。</w:t>
      </w:r>
    </w:p>
    <w:p w14:paraId="1868E37C">
      <w:pPr>
        <w:pStyle w:val="5"/>
        <w:rPr>
          <w:color w:val="auto"/>
          <w:highlight w:val="none"/>
        </w:rPr>
      </w:pPr>
      <w:bookmarkStart w:id="1474" w:name="_Toc2001387503"/>
      <w:bookmarkStart w:id="1475" w:name="_Toc454766369"/>
      <w:bookmarkStart w:id="1476" w:name="_Toc373478421"/>
      <w:bookmarkStart w:id="1477" w:name="_Toc373227774"/>
      <w:bookmarkStart w:id="1478" w:name="_Toc389065339"/>
      <w:bookmarkStart w:id="1479" w:name="_Toc78449863"/>
      <w:bookmarkStart w:id="1480" w:name="_Toc407135277"/>
      <w:bookmarkStart w:id="1481" w:name="_Toc10386"/>
      <w:r>
        <w:rPr>
          <w:color w:val="auto"/>
          <w:highlight w:val="none"/>
        </w:rPr>
        <w:t xml:space="preserve">18.3 </w:t>
      </w:r>
      <w:r>
        <w:rPr>
          <w:rFonts w:hint="eastAsia" w:hAnsi="宋体" w:cs="黑体"/>
          <w:color w:val="auto"/>
          <w:highlight w:val="none"/>
        </w:rPr>
        <w:t>其他保险</w:t>
      </w:r>
      <w:bookmarkEnd w:id="1474"/>
      <w:bookmarkEnd w:id="1475"/>
      <w:bookmarkEnd w:id="1476"/>
      <w:bookmarkEnd w:id="1477"/>
      <w:bookmarkEnd w:id="1478"/>
      <w:bookmarkEnd w:id="1479"/>
      <w:bookmarkEnd w:id="1480"/>
      <w:bookmarkEnd w:id="1481"/>
    </w:p>
    <w:p w14:paraId="7B2E724A">
      <w:pPr>
        <w:spacing w:line="360" w:lineRule="auto"/>
        <w:ind w:firstLine="420" w:firstLineChars="200"/>
        <w:jc w:val="left"/>
        <w:rPr>
          <w:rFonts w:hint="eastAsia" w:hAnsi="宋体" w:cs="宋体"/>
          <w:color w:val="auto"/>
          <w:highlight w:val="none"/>
        </w:rPr>
      </w:pPr>
      <w:r>
        <w:rPr>
          <w:rFonts w:hint="eastAsia" w:hAnsi="宋体" w:cs="宋体"/>
          <w:color w:val="auto"/>
          <w:highlight w:val="none"/>
        </w:rPr>
        <w:t>关于其他保险的约定：</w:t>
      </w:r>
      <w:r>
        <w:rPr>
          <w:rFonts w:ascii="宋体" w:hAnsi="宋体" w:eastAsia="宋体" w:cs="宋体"/>
          <w:color w:val="auto"/>
          <w:spacing w:val="0"/>
          <w:highlight w:val="none"/>
          <w:u w:val="single"/>
        </w:rPr>
        <w:t xml:space="preserve"> 承包人必须为施工现场从事施工的所有作业人员和管理人员办理意外伤害保险或工伤保险，并支付保险费 </w:t>
      </w:r>
      <w:r>
        <w:rPr>
          <w:rFonts w:hint="eastAsia" w:hAnsi="宋体" w:cs="宋体"/>
          <w:color w:val="auto"/>
          <w:highlight w:val="none"/>
        </w:rPr>
        <w:t>。</w:t>
      </w:r>
    </w:p>
    <w:p w14:paraId="78EC3DAF">
      <w:pPr>
        <w:spacing w:line="360" w:lineRule="auto"/>
        <w:ind w:firstLine="420" w:firstLineChars="200"/>
        <w:jc w:val="left"/>
        <w:rPr>
          <w:color w:val="auto"/>
          <w:kern w:val="0"/>
          <w:highlight w:val="none"/>
        </w:rPr>
      </w:pPr>
      <w:r>
        <w:rPr>
          <w:rFonts w:hint="eastAsia" w:hAnsi="宋体" w:cs="宋体"/>
          <w:color w:val="auto"/>
          <w:highlight w:val="none"/>
          <w:u w:val="single"/>
        </w:rPr>
        <w:t>承包人根据《自治区住房城乡建设厅关于印发广西壮族自治区房屋建筑和市政基础设施工程安全生产责任保险计价规定的通知》（桂建发〔2023〕6号）相关条款，以工程项目为单元参保安全生产责任保险费，并承担相关保险费用</w:t>
      </w:r>
      <w:r>
        <w:rPr>
          <w:rFonts w:hint="eastAsia" w:hAnsi="宋体" w:cs="宋体"/>
          <w:color w:val="auto"/>
          <w:highlight w:val="none"/>
        </w:rPr>
        <w:t>。</w:t>
      </w:r>
    </w:p>
    <w:p w14:paraId="0674B453">
      <w:pPr>
        <w:spacing w:line="360" w:lineRule="auto"/>
        <w:ind w:firstLine="420" w:firstLineChars="200"/>
        <w:jc w:val="left"/>
        <w:rPr>
          <w:color w:val="auto"/>
          <w:highlight w:val="none"/>
          <w:u w:val="single"/>
        </w:rPr>
      </w:pPr>
      <w:r>
        <w:rPr>
          <w:rFonts w:hint="eastAsia" w:hAnsi="宋体" w:cs="宋体"/>
          <w:color w:val="auto"/>
          <w:highlight w:val="none"/>
        </w:rPr>
        <w:t>承包人是否应为其施工设备等办理财产保险：</w:t>
      </w:r>
      <w:r>
        <w:rPr>
          <w:rFonts w:ascii="宋体" w:hAnsi="宋体" w:eastAsia="宋体" w:cs="宋体"/>
          <w:color w:val="auto"/>
          <w:spacing w:val="0"/>
          <w:highlight w:val="none"/>
          <w:u w:val="single"/>
        </w:rPr>
        <w:t xml:space="preserve"> 由承包人自行考虑 </w:t>
      </w:r>
      <w:r>
        <w:rPr>
          <w:rFonts w:hint="eastAsia" w:hAnsi="宋体" w:cs="宋体"/>
          <w:color w:val="auto"/>
          <w:highlight w:val="none"/>
        </w:rPr>
        <w:t>。</w:t>
      </w:r>
    </w:p>
    <w:p w14:paraId="2F2E2C0B">
      <w:pPr>
        <w:pStyle w:val="5"/>
        <w:rPr>
          <w:color w:val="auto"/>
          <w:highlight w:val="none"/>
        </w:rPr>
      </w:pPr>
      <w:bookmarkStart w:id="1482" w:name="_Toc373227775"/>
      <w:bookmarkStart w:id="1483" w:name="_Toc407135278"/>
      <w:bookmarkStart w:id="1484" w:name="_Toc373478422"/>
      <w:bookmarkStart w:id="1485" w:name="_Toc389065340"/>
      <w:bookmarkStart w:id="1486" w:name="_Toc2102614655"/>
      <w:bookmarkStart w:id="1487" w:name="_Toc78449864"/>
      <w:bookmarkStart w:id="1488" w:name="_Toc4173"/>
      <w:bookmarkStart w:id="1489" w:name="_Toc1114527236"/>
      <w:r>
        <w:rPr>
          <w:color w:val="auto"/>
          <w:highlight w:val="none"/>
        </w:rPr>
        <w:t xml:space="preserve">18.7 </w:t>
      </w:r>
      <w:r>
        <w:rPr>
          <w:rFonts w:hint="eastAsia" w:hAnsi="宋体" w:cs="黑体"/>
          <w:color w:val="auto"/>
          <w:highlight w:val="none"/>
        </w:rPr>
        <w:t>通知义务</w:t>
      </w:r>
      <w:bookmarkEnd w:id="1482"/>
      <w:bookmarkEnd w:id="1483"/>
      <w:bookmarkEnd w:id="1484"/>
      <w:bookmarkEnd w:id="1485"/>
      <w:bookmarkEnd w:id="1486"/>
      <w:bookmarkEnd w:id="1487"/>
      <w:bookmarkEnd w:id="1488"/>
      <w:bookmarkEnd w:id="1489"/>
    </w:p>
    <w:p w14:paraId="6CF808A6">
      <w:pPr>
        <w:spacing w:line="360" w:lineRule="auto"/>
        <w:ind w:firstLine="420" w:firstLineChars="200"/>
        <w:jc w:val="left"/>
        <w:rPr>
          <w:color w:val="auto"/>
          <w:highlight w:val="none"/>
          <w:u w:val="single"/>
        </w:rPr>
      </w:pPr>
      <w:r>
        <w:rPr>
          <w:rFonts w:hint="eastAsia" w:hAnsi="宋体" w:cs="宋体"/>
          <w:color w:val="auto"/>
          <w:kern w:val="0"/>
          <w:highlight w:val="none"/>
        </w:rPr>
        <w:t>关于变更保险合同时的通知义务的约定：</w:t>
      </w:r>
      <w:r>
        <w:rPr>
          <w:rFonts w:ascii="宋体" w:hAnsi="宋体" w:eastAsia="宋体" w:cs="宋体"/>
          <w:color w:val="auto"/>
          <w:highlight w:val="none"/>
          <w:u w:val="single"/>
        </w:rPr>
        <w:t xml:space="preserve">  无  </w:t>
      </w:r>
      <w:r>
        <w:rPr>
          <w:rFonts w:hint="eastAsia" w:hAnsi="宋体" w:cs="宋体"/>
          <w:color w:val="auto"/>
          <w:highlight w:val="none"/>
        </w:rPr>
        <w:t>。</w:t>
      </w:r>
    </w:p>
    <w:bookmarkEnd w:id="1336"/>
    <w:bookmarkEnd w:id="1337"/>
    <w:bookmarkEnd w:id="1338"/>
    <w:bookmarkEnd w:id="1339"/>
    <w:bookmarkEnd w:id="1340"/>
    <w:bookmarkEnd w:id="1341"/>
    <w:bookmarkEnd w:id="1342"/>
    <w:bookmarkEnd w:id="1343"/>
    <w:bookmarkEnd w:id="1344"/>
    <w:bookmarkEnd w:id="1345"/>
    <w:bookmarkEnd w:id="1346"/>
    <w:bookmarkEnd w:id="1347"/>
    <w:p w14:paraId="1990942E">
      <w:pPr>
        <w:pStyle w:val="4"/>
        <w:rPr>
          <w:color w:val="auto"/>
          <w:highlight w:val="none"/>
        </w:rPr>
      </w:pPr>
      <w:bookmarkStart w:id="1490" w:name="_Toc373227776"/>
      <w:bookmarkStart w:id="1491" w:name="_Toc11463"/>
      <w:bookmarkStart w:id="1492" w:name="_Toc1430568476"/>
      <w:bookmarkStart w:id="1493" w:name="_Toc351203651"/>
      <w:bookmarkStart w:id="1494" w:name="_Toc6423"/>
      <w:bookmarkStart w:id="1495" w:name="_Toc78449865"/>
      <w:bookmarkStart w:id="1496" w:name="_Toc407135279"/>
      <w:bookmarkStart w:id="1497" w:name="_Toc1959910599"/>
      <w:bookmarkStart w:id="1498" w:name="_Toc389065341"/>
      <w:bookmarkStart w:id="1499" w:name="_Toc373478423"/>
      <w:r>
        <w:rPr>
          <w:color w:val="auto"/>
          <w:highlight w:val="none"/>
        </w:rPr>
        <w:t xml:space="preserve">20. </w:t>
      </w:r>
      <w:r>
        <w:rPr>
          <w:rFonts w:hint="eastAsia" w:hAnsi="宋体" w:cs="黑体"/>
          <w:color w:val="auto"/>
          <w:highlight w:val="none"/>
        </w:rPr>
        <w:t>争议解决</w:t>
      </w:r>
      <w:bookmarkEnd w:id="1490"/>
      <w:bookmarkEnd w:id="1491"/>
      <w:bookmarkEnd w:id="1492"/>
      <w:bookmarkEnd w:id="1493"/>
      <w:bookmarkEnd w:id="1494"/>
      <w:bookmarkEnd w:id="1495"/>
      <w:bookmarkEnd w:id="1496"/>
      <w:bookmarkEnd w:id="1497"/>
      <w:bookmarkEnd w:id="1498"/>
      <w:bookmarkEnd w:id="1499"/>
    </w:p>
    <w:bookmarkEnd w:id="1348"/>
    <w:bookmarkEnd w:id="1349"/>
    <w:p w14:paraId="7BA3524F">
      <w:pPr>
        <w:pStyle w:val="5"/>
        <w:rPr>
          <w:color w:val="auto"/>
          <w:highlight w:val="none"/>
        </w:rPr>
      </w:pPr>
      <w:bookmarkStart w:id="1500" w:name="_Toc373478424"/>
      <w:bookmarkStart w:id="1501" w:name="_Toc78449866"/>
      <w:bookmarkStart w:id="1502" w:name="_Toc2138124043"/>
      <w:bookmarkStart w:id="1503" w:name="_Toc373227777"/>
      <w:bookmarkStart w:id="1504" w:name="_Toc389065342"/>
      <w:bookmarkStart w:id="1505" w:name="_Toc1270"/>
      <w:bookmarkStart w:id="1506" w:name="_Toc1645489822"/>
      <w:bookmarkStart w:id="1507" w:name="_Toc407135280"/>
      <w:r>
        <w:rPr>
          <w:color w:val="auto"/>
          <w:highlight w:val="none"/>
        </w:rPr>
        <w:t xml:space="preserve">20.3 </w:t>
      </w:r>
      <w:r>
        <w:rPr>
          <w:rFonts w:hint="eastAsia" w:hAnsi="宋体" w:cs="黑体"/>
          <w:color w:val="auto"/>
          <w:highlight w:val="none"/>
        </w:rPr>
        <w:t>争</w:t>
      </w:r>
      <w:bookmarkEnd w:id="1350"/>
      <w:r>
        <w:rPr>
          <w:rFonts w:hint="eastAsia" w:hAnsi="宋体" w:cs="黑体"/>
          <w:color w:val="auto"/>
          <w:highlight w:val="none"/>
        </w:rPr>
        <w:t>议评审</w:t>
      </w:r>
      <w:bookmarkEnd w:id="1500"/>
      <w:bookmarkEnd w:id="1501"/>
      <w:bookmarkEnd w:id="1502"/>
      <w:bookmarkEnd w:id="1503"/>
      <w:bookmarkEnd w:id="1504"/>
      <w:bookmarkEnd w:id="1505"/>
      <w:bookmarkEnd w:id="1506"/>
      <w:bookmarkEnd w:id="1507"/>
    </w:p>
    <w:p w14:paraId="4DE729A8">
      <w:pPr>
        <w:spacing w:line="360" w:lineRule="auto"/>
        <w:ind w:left="149" w:leftChars="71" w:firstLine="315" w:firstLineChars="150"/>
        <w:jc w:val="left"/>
        <w:rPr>
          <w:color w:val="auto"/>
          <w:highlight w:val="none"/>
          <w:u w:val="single"/>
        </w:rPr>
      </w:pPr>
      <w:r>
        <w:rPr>
          <w:rFonts w:hint="eastAsia" w:hAnsi="宋体" w:cs="宋体"/>
          <w:color w:val="auto"/>
          <w:highlight w:val="none"/>
        </w:rPr>
        <w:t>合同当事人是否同意将工程争议提交争议评审小组决定：</w:t>
      </w:r>
      <w:r>
        <w:rPr>
          <w:rFonts w:ascii="宋体" w:hAnsi="宋体" w:eastAsia="宋体" w:cs="宋体"/>
          <w:color w:val="auto"/>
          <w:highlight w:val="none"/>
          <w:u w:val="single"/>
        </w:rPr>
        <w:t xml:space="preserve"> 不同意 </w:t>
      </w:r>
      <w:r>
        <w:rPr>
          <w:rFonts w:hint="eastAsia" w:hAnsi="宋体" w:cs="宋体"/>
          <w:color w:val="auto"/>
          <w:highlight w:val="none"/>
        </w:rPr>
        <w:t>。</w:t>
      </w:r>
    </w:p>
    <w:p w14:paraId="53D01AD9">
      <w:pPr>
        <w:spacing w:line="360" w:lineRule="auto"/>
        <w:ind w:firstLine="420" w:firstLineChars="200"/>
        <w:jc w:val="left"/>
        <w:outlineLvl w:val="0"/>
        <w:rPr>
          <w:color w:val="auto"/>
          <w:highlight w:val="none"/>
        </w:rPr>
      </w:pPr>
      <w:bookmarkStart w:id="1508" w:name="_Toc10402"/>
      <w:bookmarkStart w:id="1509" w:name="_Toc7187"/>
      <w:r>
        <w:rPr>
          <w:color w:val="auto"/>
          <w:highlight w:val="none"/>
        </w:rPr>
        <w:t xml:space="preserve">20.3.1 </w:t>
      </w:r>
      <w:r>
        <w:rPr>
          <w:rFonts w:hint="eastAsia" w:hAnsi="宋体" w:cs="宋体"/>
          <w:color w:val="auto"/>
          <w:highlight w:val="none"/>
        </w:rPr>
        <w:t>争议评审小组的确定</w:t>
      </w:r>
      <w:bookmarkEnd w:id="1508"/>
      <w:bookmarkEnd w:id="1509"/>
    </w:p>
    <w:p w14:paraId="123CC6EA">
      <w:pPr>
        <w:spacing w:line="360" w:lineRule="auto"/>
        <w:ind w:firstLine="420" w:firstLineChars="200"/>
        <w:jc w:val="left"/>
        <w:rPr>
          <w:color w:val="auto"/>
          <w:highlight w:val="none"/>
          <w:u w:val="single"/>
        </w:rPr>
      </w:pPr>
      <w:r>
        <w:rPr>
          <w:rFonts w:hint="eastAsia" w:hAnsi="宋体" w:cs="宋体"/>
          <w:color w:val="auto"/>
          <w:highlight w:val="none"/>
        </w:rPr>
        <w:t>争议评审小组成员的确定：</w:t>
      </w:r>
      <w:r>
        <w:rPr>
          <w:rFonts w:ascii="宋体" w:hAnsi="宋体" w:eastAsia="宋体" w:cs="宋体"/>
          <w:color w:val="auto"/>
          <w:spacing w:val="0"/>
          <w:highlight w:val="none"/>
          <w:u w:val="single"/>
        </w:rPr>
        <w:t xml:space="preserve">  无  </w:t>
      </w:r>
      <w:r>
        <w:rPr>
          <w:rFonts w:hint="eastAsia" w:hAnsi="宋体" w:cs="宋体"/>
          <w:color w:val="auto"/>
          <w:highlight w:val="none"/>
        </w:rPr>
        <w:t>。</w:t>
      </w:r>
    </w:p>
    <w:p w14:paraId="4360DD4F">
      <w:pPr>
        <w:spacing w:line="360" w:lineRule="auto"/>
        <w:ind w:firstLine="420" w:firstLineChars="200"/>
        <w:jc w:val="left"/>
        <w:rPr>
          <w:color w:val="auto"/>
          <w:highlight w:val="none"/>
        </w:rPr>
      </w:pPr>
      <w:r>
        <w:rPr>
          <w:rFonts w:hint="eastAsia" w:hAnsi="宋体" w:cs="宋体"/>
          <w:color w:val="auto"/>
          <w:highlight w:val="none"/>
        </w:rPr>
        <w:t>选定争议评审员的期限：</w:t>
      </w:r>
      <w:r>
        <w:rPr>
          <w:rFonts w:ascii="宋体" w:hAnsi="宋体" w:eastAsia="宋体" w:cs="宋体"/>
          <w:color w:val="auto"/>
          <w:spacing w:val="0"/>
          <w:highlight w:val="none"/>
          <w:u w:val="single"/>
        </w:rPr>
        <w:t xml:space="preserve">  无  </w:t>
      </w:r>
      <w:r>
        <w:rPr>
          <w:rFonts w:hint="eastAsia" w:hAnsi="宋体" w:cs="宋体"/>
          <w:color w:val="auto"/>
          <w:highlight w:val="none"/>
        </w:rPr>
        <w:t>。</w:t>
      </w:r>
    </w:p>
    <w:p w14:paraId="00867728">
      <w:pPr>
        <w:spacing w:line="360" w:lineRule="auto"/>
        <w:ind w:firstLine="420" w:firstLineChars="200"/>
        <w:jc w:val="left"/>
        <w:rPr>
          <w:color w:val="auto"/>
          <w:highlight w:val="none"/>
        </w:rPr>
      </w:pPr>
      <w:r>
        <w:rPr>
          <w:rFonts w:hint="eastAsia" w:hAnsi="宋体" w:cs="宋体"/>
          <w:color w:val="auto"/>
          <w:highlight w:val="none"/>
        </w:rPr>
        <w:t>争议评审小组成员的报酬承担方式：</w:t>
      </w:r>
      <w:r>
        <w:rPr>
          <w:rFonts w:ascii="宋体" w:hAnsi="宋体" w:eastAsia="宋体" w:cs="宋体"/>
          <w:color w:val="auto"/>
          <w:spacing w:val="0"/>
          <w:highlight w:val="none"/>
          <w:u w:val="single"/>
        </w:rPr>
        <w:t xml:space="preserve">  无  </w:t>
      </w:r>
      <w:r>
        <w:rPr>
          <w:rFonts w:hint="eastAsia" w:hAnsi="宋体" w:cs="宋体"/>
          <w:color w:val="auto"/>
          <w:highlight w:val="none"/>
        </w:rPr>
        <w:t>。</w:t>
      </w:r>
    </w:p>
    <w:p w14:paraId="2621330D">
      <w:pPr>
        <w:spacing w:line="360" w:lineRule="auto"/>
        <w:ind w:firstLine="420" w:firstLineChars="200"/>
        <w:jc w:val="left"/>
        <w:rPr>
          <w:color w:val="auto"/>
          <w:highlight w:val="none"/>
        </w:rPr>
      </w:pPr>
      <w:r>
        <w:rPr>
          <w:rFonts w:hint="eastAsia" w:hAnsi="宋体" w:cs="宋体"/>
          <w:color w:val="auto"/>
          <w:highlight w:val="none"/>
        </w:rPr>
        <w:t>其他事项的约定：</w:t>
      </w:r>
      <w:r>
        <w:rPr>
          <w:rFonts w:ascii="宋体" w:hAnsi="宋体" w:eastAsia="宋体" w:cs="宋体"/>
          <w:color w:val="auto"/>
          <w:spacing w:val="0"/>
          <w:highlight w:val="none"/>
          <w:u w:val="single"/>
        </w:rPr>
        <w:t xml:space="preserve">  无  </w:t>
      </w:r>
      <w:r>
        <w:rPr>
          <w:rFonts w:hint="eastAsia" w:hAnsi="宋体" w:cs="宋体"/>
          <w:color w:val="auto"/>
          <w:highlight w:val="none"/>
        </w:rPr>
        <w:t>。</w:t>
      </w:r>
    </w:p>
    <w:p w14:paraId="5D3F0FDA">
      <w:pPr>
        <w:autoSpaceDE w:val="0"/>
        <w:autoSpaceDN w:val="0"/>
        <w:adjustRightInd w:val="0"/>
        <w:spacing w:line="360" w:lineRule="auto"/>
        <w:ind w:firstLine="420" w:firstLineChars="200"/>
        <w:jc w:val="left"/>
        <w:rPr>
          <w:color w:val="auto"/>
          <w:kern w:val="0"/>
          <w:highlight w:val="none"/>
        </w:rPr>
      </w:pPr>
      <w:r>
        <w:rPr>
          <w:color w:val="auto"/>
          <w:kern w:val="0"/>
          <w:highlight w:val="none"/>
        </w:rPr>
        <w:t xml:space="preserve">20.3.2 </w:t>
      </w:r>
      <w:r>
        <w:rPr>
          <w:rFonts w:hint="eastAsia" w:hAnsi="宋体" w:cs="宋体"/>
          <w:color w:val="auto"/>
          <w:kern w:val="0"/>
          <w:highlight w:val="none"/>
        </w:rPr>
        <w:t>争议评审小组的决定</w:t>
      </w:r>
    </w:p>
    <w:p w14:paraId="2C244837">
      <w:pPr>
        <w:spacing w:line="360" w:lineRule="auto"/>
        <w:ind w:firstLine="420" w:firstLineChars="200"/>
        <w:jc w:val="left"/>
        <w:rPr>
          <w:color w:val="auto"/>
          <w:highlight w:val="none"/>
        </w:rPr>
      </w:pPr>
      <w:r>
        <w:rPr>
          <w:rFonts w:hint="eastAsia" w:hAnsi="宋体" w:cs="宋体"/>
          <w:color w:val="auto"/>
          <w:highlight w:val="none"/>
        </w:rPr>
        <w:t>合同当事人关于本项的约定：</w:t>
      </w:r>
      <w:r>
        <w:rPr>
          <w:rFonts w:ascii="宋体" w:hAnsi="宋体" w:eastAsia="宋体" w:cs="宋体"/>
          <w:color w:val="auto"/>
          <w:spacing w:val="0"/>
          <w:highlight w:val="none"/>
          <w:u w:val="single"/>
        </w:rPr>
        <w:t xml:space="preserve">  无  </w:t>
      </w:r>
      <w:r>
        <w:rPr>
          <w:rFonts w:hint="eastAsia" w:hAnsi="宋体" w:cs="宋体"/>
          <w:color w:val="auto"/>
          <w:highlight w:val="none"/>
        </w:rPr>
        <w:t>。</w:t>
      </w:r>
    </w:p>
    <w:p w14:paraId="5B07E2CB">
      <w:pPr>
        <w:pStyle w:val="5"/>
        <w:rPr>
          <w:color w:val="auto"/>
          <w:highlight w:val="none"/>
        </w:rPr>
      </w:pPr>
      <w:bookmarkStart w:id="1510" w:name="_Toc1156795721"/>
      <w:bookmarkStart w:id="1511" w:name="_Toc15934"/>
      <w:bookmarkStart w:id="1512" w:name="_Toc407135281"/>
      <w:bookmarkStart w:id="1513" w:name="_Toc1456517022"/>
      <w:bookmarkStart w:id="1514" w:name="_Toc389065343"/>
      <w:bookmarkStart w:id="1515" w:name="_Toc78449867"/>
      <w:bookmarkStart w:id="1516" w:name="_Toc373478425"/>
      <w:bookmarkStart w:id="1517" w:name="_Toc373227778"/>
      <w:r>
        <w:rPr>
          <w:color w:val="auto"/>
          <w:highlight w:val="none"/>
        </w:rPr>
        <w:t xml:space="preserve">20.4 </w:t>
      </w:r>
      <w:r>
        <w:rPr>
          <w:rFonts w:hint="eastAsia" w:hAnsi="宋体" w:cs="黑体"/>
          <w:color w:val="auto"/>
          <w:highlight w:val="none"/>
        </w:rPr>
        <w:t>仲裁或诉讼</w:t>
      </w:r>
      <w:bookmarkEnd w:id="1351"/>
      <w:bookmarkEnd w:id="1510"/>
      <w:bookmarkEnd w:id="1511"/>
      <w:bookmarkEnd w:id="1512"/>
      <w:bookmarkEnd w:id="1513"/>
      <w:bookmarkEnd w:id="1514"/>
      <w:bookmarkEnd w:id="1515"/>
      <w:bookmarkEnd w:id="1516"/>
      <w:bookmarkEnd w:id="1517"/>
    </w:p>
    <w:p w14:paraId="69227378">
      <w:pPr>
        <w:spacing w:line="360" w:lineRule="auto"/>
        <w:ind w:firstLine="420" w:firstLineChars="200"/>
        <w:rPr>
          <w:color w:val="auto"/>
          <w:highlight w:val="none"/>
        </w:rPr>
      </w:pPr>
      <w:r>
        <w:rPr>
          <w:rFonts w:hint="eastAsia" w:hAnsi="宋体" w:cs="宋体"/>
          <w:color w:val="auto"/>
          <w:highlight w:val="none"/>
        </w:rPr>
        <w:t>因合同及合同有关事项发生的争议，按下列第</w:t>
      </w:r>
      <w:r>
        <w:rPr>
          <w:color w:val="auto"/>
          <w:highlight w:val="none"/>
          <w:u w:val="single"/>
        </w:rPr>
        <w:t xml:space="preserve"> </w:t>
      </w:r>
      <w:r>
        <w:rPr>
          <w:rFonts w:hint="eastAsia"/>
          <w:color w:val="auto"/>
          <w:highlight w:val="none"/>
          <w:u w:val="single"/>
          <w:lang w:eastAsia="zh-CN"/>
        </w:rPr>
        <w:t>（</w:t>
      </w:r>
      <w:r>
        <w:rPr>
          <w:rFonts w:hint="eastAsia"/>
          <w:color w:val="auto"/>
          <w:highlight w:val="none"/>
          <w:u w:val="single"/>
          <w:lang w:val="en-US" w:eastAsia="zh-CN"/>
        </w:rPr>
        <w:t>2</w:t>
      </w:r>
      <w:r>
        <w:rPr>
          <w:rFonts w:hint="eastAsia"/>
          <w:color w:val="auto"/>
          <w:highlight w:val="none"/>
          <w:u w:val="single"/>
          <w:lang w:eastAsia="zh-CN"/>
        </w:rPr>
        <w:t>）</w:t>
      </w:r>
      <w:r>
        <w:rPr>
          <w:color w:val="auto"/>
          <w:highlight w:val="none"/>
          <w:u w:val="single"/>
        </w:rPr>
        <w:t xml:space="preserve"> </w:t>
      </w:r>
      <w:r>
        <w:rPr>
          <w:rFonts w:hint="eastAsia" w:hAnsi="宋体" w:cs="宋体"/>
          <w:color w:val="auto"/>
          <w:highlight w:val="none"/>
        </w:rPr>
        <w:t>种方式解决：</w:t>
      </w:r>
    </w:p>
    <w:p w14:paraId="64AAA677">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）提请</w:t>
      </w:r>
      <w:r>
        <w:rPr>
          <w:color w:val="auto"/>
          <w:highlight w:val="none"/>
          <w:u w:val="single"/>
        </w:rPr>
        <w:t xml:space="preserve">     </w:t>
      </w:r>
      <w:r>
        <w:rPr>
          <w:rFonts w:hint="eastAsia" w:hAnsi="宋体" w:cs="宋体"/>
          <w:color w:val="auto"/>
          <w:highlight w:val="none"/>
        </w:rPr>
        <w:t>仲裁委员会按照该会仲裁规则进行仲裁，仲裁裁决是终局的，对合同双方均有约束力。</w:t>
      </w:r>
    </w:p>
    <w:p w14:paraId="34AA87EC">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）向</w:t>
      </w:r>
      <w:r>
        <w:rPr>
          <w:color w:val="auto"/>
          <w:highlight w:val="none"/>
          <w:u w:val="single"/>
        </w:rPr>
        <w:t xml:space="preserve">  </w:t>
      </w:r>
      <w:r>
        <w:rPr>
          <w:rFonts w:hint="eastAsia"/>
          <w:color w:val="auto"/>
          <w:highlight w:val="none"/>
          <w:u w:val="single"/>
        </w:rPr>
        <w:t>工程项目所在地</w:t>
      </w:r>
      <w:r>
        <w:rPr>
          <w:color w:val="auto"/>
          <w:highlight w:val="none"/>
          <w:u w:val="single"/>
        </w:rPr>
        <w:t xml:space="preserve">  </w:t>
      </w:r>
      <w:r>
        <w:rPr>
          <w:rFonts w:hint="eastAsia" w:hAnsi="宋体" w:cs="宋体"/>
          <w:color w:val="auto"/>
          <w:highlight w:val="none"/>
        </w:rPr>
        <w:t>人民法院起诉。</w:t>
      </w:r>
      <w:bookmarkEnd w:id="1352"/>
      <w:bookmarkEnd w:id="1353"/>
      <w:bookmarkEnd w:id="1354"/>
      <w:bookmarkEnd w:id="1355"/>
      <w:bookmarkEnd w:id="1356"/>
      <w:bookmarkEnd w:id="1357"/>
    </w:p>
    <w:p w14:paraId="47F33FAD">
      <w:pPr>
        <w:spacing w:line="360" w:lineRule="auto"/>
        <w:jc w:val="left"/>
        <w:rPr>
          <w:rFonts w:hint="eastAsia" w:eastAsia="黑体" w:cs="黑体"/>
          <w:b/>
          <w:bCs/>
          <w:color w:val="auto"/>
          <w:sz w:val="28"/>
          <w:szCs w:val="28"/>
          <w:highlight w:val="none"/>
        </w:rPr>
      </w:pPr>
      <w:bookmarkStart w:id="1518" w:name="_Toc351203652"/>
    </w:p>
    <w:p w14:paraId="238A3804">
      <w:pPr>
        <w:spacing w:line="360" w:lineRule="auto"/>
        <w:jc w:val="left"/>
        <w:rPr>
          <w:rFonts w:hint="eastAsia" w:eastAsia="黑体" w:cs="黑体"/>
          <w:b/>
          <w:bCs/>
          <w:color w:val="auto"/>
          <w:sz w:val="28"/>
          <w:szCs w:val="28"/>
          <w:highlight w:val="none"/>
        </w:rPr>
      </w:pPr>
    </w:p>
    <w:p w14:paraId="34FC455F">
      <w:pPr>
        <w:spacing w:line="360" w:lineRule="auto"/>
        <w:jc w:val="left"/>
        <w:rPr>
          <w:rFonts w:hint="eastAsia" w:eastAsia="黑体" w:cs="黑体"/>
          <w:b/>
          <w:bCs/>
          <w:color w:val="auto"/>
          <w:sz w:val="28"/>
          <w:szCs w:val="28"/>
          <w:highlight w:val="none"/>
        </w:rPr>
      </w:pPr>
    </w:p>
    <w:p w14:paraId="2B50EF3F">
      <w:pPr>
        <w:spacing w:line="360" w:lineRule="auto"/>
        <w:jc w:val="left"/>
        <w:rPr>
          <w:rFonts w:hint="eastAsia" w:eastAsia="黑体" w:cs="黑体"/>
          <w:b/>
          <w:bCs/>
          <w:color w:val="auto"/>
          <w:sz w:val="28"/>
          <w:szCs w:val="28"/>
          <w:highlight w:val="none"/>
        </w:rPr>
      </w:pPr>
    </w:p>
    <w:p w14:paraId="7B1FA9BA">
      <w:pPr>
        <w:spacing w:line="360" w:lineRule="auto"/>
        <w:jc w:val="left"/>
        <w:rPr>
          <w:rFonts w:hint="eastAsia" w:eastAsia="黑体" w:cs="黑体"/>
          <w:b/>
          <w:bCs/>
          <w:color w:val="auto"/>
          <w:sz w:val="28"/>
          <w:szCs w:val="28"/>
          <w:highlight w:val="none"/>
        </w:rPr>
      </w:pPr>
    </w:p>
    <w:p w14:paraId="7DD09040">
      <w:pPr>
        <w:spacing w:line="360" w:lineRule="auto"/>
        <w:jc w:val="left"/>
        <w:rPr>
          <w:rFonts w:hint="eastAsia" w:eastAsia="黑体" w:cs="黑体"/>
          <w:b/>
          <w:bCs/>
          <w:color w:val="auto"/>
          <w:sz w:val="28"/>
          <w:szCs w:val="28"/>
          <w:highlight w:val="none"/>
        </w:rPr>
      </w:pPr>
    </w:p>
    <w:p w14:paraId="36A68501">
      <w:pPr>
        <w:spacing w:line="360" w:lineRule="auto"/>
        <w:jc w:val="left"/>
        <w:rPr>
          <w:rFonts w:eastAsia="黑体"/>
          <w:b/>
          <w:bCs/>
          <w:color w:val="auto"/>
          <w:sz w:val="28"/>
          <w:szCs w:val="28"/>
          <w:highlight w:val="none"/>
        </w:rPr>
      </w:pPr>
      <w:r>
        <w:rPr>
          <w:rFonts w:hint="eastAsia" w:eastAsia="黑体" w:cs="黑体"/>
          <w:b/>
          <w:bCs/>
          <w:color w:val="auto"/>
          <w:sz w:val="28"/>
          <w:szCs w:val="28"/>
          <w:highlight w:val="none"/>
        </w:rPr>
        <w:t>附件</w:t>
      </w:r>
      <w:bookmarkEnd w:id="1518"/>
    </w:p>
    <w:p w14:paraId="1A468573">
      <w:pPr>
        <w:spacing w:line="360" w:lineRule="auto"/>
        <w:jc w:val="left"/>
        <w:rPr>
          <w:rFonts w:hint="eastAsia" w:ascii="宋体" w:hAnsi="宋体" w:cs="宋体"/>
          <w:color w:val="auto"/>
          <w:highlight w:val="none"/>
        </w:rPr>
      </w:pPr>
      <w:r>
        <w:rPr>
          <w:rFonts w:hint="eastAsia" w:ascii="宋体" w:hAnsi="宋体" w:cs="宋体"/>
          <w:color w:val="auto"/>
          <w:highlight w:val="none"/>
        </w:rPr>
        <w:t>附件</w:t>
      </w:r>
      <w:r>
        <w:rPr>
          <w:rFonts w:ascii="宋体" w:hAnsi="宋体" w:cs="宋体"/>
          <w:color w:val="auto"/>
          <w:highlight w:val="none"/>
        </w:rPr>
        <w:t>1</w:t>
      </w:r>
      <w:r>
        <w:rPr>
          <w:rFonts w:hint="eastAsia" w:ascii="宋体" w:hAnsi="宋体" w:cs="宋体"/>
          <w:color w:val="auto"/>
          <w:highlight w:val="none"/>
        </w:rPr>
        <w:t>：承包人承揽工程项目一览表</w:t>
      </w:r>
    </w:p>
    <w:p w14:paraId="6D7B677B">
      <w:pPr>
        <w:spacing w:line="360" w:lineRule="auto"/>
        <w:jc w:val="left"/>
        <w:rPr>
          <w:rFonts w:ascii="宋体" w:hAnsi="宋体" w:cs="宋体"/>
          <w:color w:val="auto"/>
          <w:highlight w:val="none"/>
        </w:rPr>
      </w:pPr>
      <w:r>
        <w:rPr>
          <w:rFonts w:hint="eastAsia" w:ascii="宋体" w:hAnsi="宋体" w:cs="宋体"/>
          <w:color w:val="auto"/>
          <w:highlight w:val="none"/>
        </w:rPr>
        <w:t>附件2：工程质量保修书</w:t>
      </w:r>
    </w:p>
    <w:p w14:paraId="3792E685">
      <w:pPr>
        <w:spacing w:line="360" w:lineRule="auto"/>
        <w:jc w:val="left"/>
        <w:rPr>
          <w:rFonts w:hint="eastAsia" w:ascii="宋体" w:hAnsi="宋体" w:cs="宋体"/>
          <w:color w:val="auto"/>
          <w:highlight w:val="none"/>
        </w:rPr>
      </w:pPr>
      <w:r>
        <w:rPr>
          <w:rFonts w:ascii="宋体" w:hAnsi="宋体" w:cs="宋体"/>
          <w:color w:val="auto"/>
          <w:highlight w:val="none"/>
        </w:rPr>
        <w:t>附件</w:t>
      </w:r>
      <w:r>
        <w:rPr>
          <w:rFonts w:hint="eastAsia" w:ascii="宋体" w:hAnsi="宋体" w:cs="宋体"/>
          <w:color w:val="auto"/>
          <w:highlight w:val="none"/>
        </w:rPr>
        <w:t>3</w:t>
      </w:r>
      <w:r>
        <w:rPr>
          <w:rFonts w:ascii="宋体" w:hAnsi="宋体" w:cs="宋体"/>
          <w:color w:val="auto"/>
          <w:highlight w:val="none"/>
        </w:rPr>
        <w:t>：主要建设工程文件目录</w:t>
      </w:r>
    </w:p>
    <w:p w14:paraId="21FC4EA9">
      <w:pPr>
        <w:spacing w:line="360" w:lineRule="auto"/>
        <w:jc w:val="left"/>
        <w:rPr>
          <w:rFonts w:ascii="宋体" w:hAnsi="宋体" w:cs="宋体"/>
          <w:color w:val="auto"/>
          <w:highlight w:val="none"/>
        </w:rPr>
      </w:pPr>
      <w:r>
        <w:rPr>
          <w:rFonts w:hint="eastAsia" w:ascii="宋体" w:hAnsi="宋体" w:cs="宋体"/>
          <w:color w:val="auto"/>
          <w:highlight w:val="none"/>
        </w:rPr>
        <w:t>附件4：承包人用于本工程施工的机械设备表</w:t>
      </w:r>
    </w:p>
    <w:p w14:paraId="3C578742">
      <w:pPr>
        <w:spacing w:line="360" w:lineRule="auto"/>
        <w:jc w:val="left"/>
        <w:rPr>
          <w:rFonts w:ascii="宋体"/>
          <w:color w:val="auto"/>
          <w:highlight w:val="none"/>
        </w:rPr>
      </w:pPr>
      <w:r>
        <w:rPr>
          <w:rFonts w:hint="eastAsia" w:ascii="宋体" w:hAnsi="宋体" w:cs="宋体"/>
          <w:color w:val="auto"/>
          <w:highlight w:val="none"/>
        </w:rPr>
        <w:t>附件5：承包人主要施工管理人员表</w:t>
      </w:r>
    </w:p>
    <w:p w14:paraId="335EDA6B">
      <w:pPr>
        <w:spacing w:line="360" w:lineRule="auto"/>
        <w:jc w:val="left"/>
        <w:rPr>
          <w:rFonts w:ascii="宋体"/>
          <w:color w:val="auto"/>
          <w:highlight w:val="none"/>
        </w:rPr>
      </w:pPr>
      <w:r>
        <w:rPr>
          <w:rFonts w:hint="eastAsia" w:ascii="宋体" w:hAnsi="宋体" w:cs="宋体"/>
          <w:color w:val="auto"/>
          <w:highlight w:val="none"/>
        </w:rPr>
        <w:t>附件6：分包人主要施工管理人员表</w:t>
      </w:r>
    </w:p>
    <w:p w14:paraId="6EF97538">
      <w:pPr>
        <w:spacing w:line="360" w:lineRule="auto"/>
        <w:jc w:val="left"/>
        <w:rPr>
          <w:rFonts w:ascii="宋体"/>
          <w:color w:val="auto"/>
          <w:highlight w:val="none"/>
        </w:rPr>
      </w:pPr>
      <w:r>
        <w:rPr>
          <w:rFonts w:hint="eastAsia" w:ascii="宋体" w:hAnsi="宋体" w:cs="宋体"/>
          <w:color w:val="auto"/>
          <w:highlight w:val="none"/>
        </w:rPr>
        <w:t>附件7：履约担保格式（独立保函、非独立保函）</w:t>
      </w:r>
    </w:p>
    <w:p w14:paraId="20E89AD0">
      <w:pPr>
        <w:spacing w:line="360" w:lineRule="auto"/>
        <w:jc w:val="left"/>
        <w:rPr>
          <w:rFonts w:hint="eastAsia" w:ascii="宋体" w:hAnsi="宋体" w:cs="宋体"/>
          <w:color w:val="auto"/>
          <w:highlight w:val="none"/>
        </w:rPr>
      </w:pPr>
      <w:r>
        <w:rPr>
          <w:rFonts w:hint="eastAsia" w:ascii="宋体" w:hAnsi="宋体" w:cs="宋体"/>
          <w:color w:val="auto"/>
          <w:highlight w:val="none"/>
        </w:rPr>
        <w:t>附件8：预付款担保格式（独立保函、非独立保函）</w:t>
      </w:r>
    </w:p>
    <w:p w14:paraId="44D07707">
      <w:pPr>
        <w:spacing w:line="360" w:lineRule="auto"/>
        <w:jc w:val="left"/>
        <w:rPr>
          <w:rFonts w:ascii="宋体" w:hAnsi="宋体" w:cs="宋体"/>
          <w:color w:val="auto"/>
          <w:highlight w:val="none"/>
        </w:rPr>
      </w:pPr>
      <w:r>
        <w:rPr>
          <w:rFonts w:hint="eastAsia" w:ascii="宋体" w:hAnsi="宋体" w:cs="宋体"/>
          <w:color w:val="auto"/>
          <w:highlight w:val="none"/>
        </w:rPr>
        <w:t>附件9：支付担保格式（独立保函、非独立保函）</w:t>
      </w:r>
    </w:p>
    <w:p w14:paraId="46F5BE45">
      <w:pPr>
        <w:spacing w:line="360" w:lineRule="auto"/>
        <w:jc w:val="left"/>
        <w:rPr>
          <w:rFonts w:hint="eastAsia"/>
          <w:color w:val="auto"/>
          <w:highlight w:val="none"/>
        </w:rPr>
      </w:pPr>
      <w:r>
        <w:rPr>
          <w:rFonts w:hint="eastAsia" w:ascii="宋体" w:hAnsi="宋体" w:cs="宋体"/>
          <w:color w:val="auto"/>
          <w:highlight w:val="none"/>
        </w:rPr>
        <w:t>附件10：预付款</w:t>
      </w:r>
      <w:r>
        <w:rPr>
          <w:rFonts w:hint="eastAsia"/>
          <w:color w:val="auto"/>
          <w:highlight w:val="none"/>
        </w:rPr>
        <w:t>支付申请（核准）表</w:t>
      </w:r>
    </w:p>
    <w:p w14:paraId="6789FC35">
      <w:pPr>
        <w:spacing w:line="360" w:lineRule="auto"/>
        <w:jc w:val="left"/>
        <w:rPr>
          <w:rFonts w:hint="eastAsia"/>
          <w:color w:val="auto"/>
          <w:highlight w:val="none"/>
        </w:rPr>
      </w:pPr>
      <w:r>
        <w:rPr>
          <w:rFonts w:hint="eastAsia" w:ascii="宋体" w:hAnsi="宋体" w:cs="宋体"/>
          <w:color w:val="auto"/>
          <w:highlight w:val="none"/>
        </w:rPr>
        <w:t>附件11：</w:t>
      </w:r>
      <w:r>
        <w:rPr>
          <w:rFonts w:hint="eastAsia"/>
          <w:color w:val="auto"/>
          <w:highlight w:val="none"/>
        </w:rPr>
        <w:t>进度款支付申请（核准）表</w:t>
      </w:r>
    </w:p>
    <w:p w14:paraId="0982C8BE">
      <w:pPr>
        <w:spacing w:line="360" w:lineRule="auto"/>
        <w:jc w:val="left"/>
        <w:rPr>
          <w:rFonts w:hint="eastAsia"/>
          <w:color w:val="auto"/>
          <w:highlight w:val="none"/>
        </w:rPr>
      </w:pPr>
      <w:r>
        <w:rPr>
          <w:rFonts w:hint="eastAsia" w:ascii="宋体" w:hAnsi="宋体" w:cs="宋体"/>
          <w:color w:val="auto"/>
          <w:highlight w:val="none"/>
        </w:rPr>
        <w:t>附件12：竣工结算</w:t>
      </w:r>
      <w:r>
        <w:rPr>
          <w:rFonts w:hint="eastAsia"/>
          <w:color w:val="auto"/>
          <w:highlight w:val="none"/>
        </w:rPr>
        <w:t>款支付申请（核准）表</w:t>
      </w:r>
    </w:p>
    <w:p w14:paraId="67CC4D45">
      <w:pPr>
        <w:spacing w:line="360" w:lineRule="auto"/>
        <w:jc w:val="left"/>
        <w:rPr>
          <w:rFonts w:hint="eastAsia"/>
          <w:color w:val="auto"/>
          <w:highlight w:val="none"/>
        </w:rPr>
      </w:pPr>
      <w:r>
        <w:rPr>
          <w:rFonts w:hint="eastAsia" w:ascii="宋体" w:hAnsi="宋体" w:cs="宋体"/>
          <w:color w:val="auto"/>
          <w:highlight w:val="none"/>
        </w:rPr>
        <w:t>附件13：最终结算</w:t>
      </w:r>
      <w:r>
        <w:rPr>
          <w:rFonts w:hint="eastAsia"/>
          <w:color w:val="auto"/>
          <w:highlight w:val="none"/>
        </w:rPr>
        <w:t>款支付申请（核准）表</w:t>
      </w:r>
    </w:p>
    <w:p w14:paraId="6A5B9DD4">
      <w:pPr>
        <w:spacing w:line="360" w:lineRule="auto"/>
        <w:jc w:val="left"/>
        <w:rPr>
          <w:rFonts w:hint="eastAsia"/>
          <w:color w:val="auto"/>
          <w:highlight w:val="none"/>
        </w:rPr>
      </w:pPr>
      <w:r>
        <w:rPr>
          <w:rFonts w:hint="eastAsia"/>
          <w:color w:val="auto"/>
          <w:highlight w:val="none"/>
        </w:rPr>
        <w:t>附件14：总价合同进度款支付分解表</w:t>
      </w:r>
    </w:p>
    <w:p w14:paraId="05C796C7">
      <w:pPr>
        <w:spacing w:line="460" w:lineRule="exact"/>
        <w:ind w:firstLine="420" w:firstLineChars="200"/>
        <w:rPr>
          <w:color w:val="auto"/>
          <w:highlight w:val="none"/>
        </w:rPr>
      </w:pPr>
    </w:p>
    <w:p w14:paraId="732B4A7C">
      <w:pPr>
        <w:spacing w:line="460" w:lineRule="exact"/>
        <w:ind w:firstLine="420" w:firstLineChars="200"/>
        <w:rPr>
          <w:color w:val="auto"/>
          <w:highlight w:val="none"/>
        </w:rPr>
      </w:pPr>
    </w:p>
    <w:p w14:paraId="0B55FEDA">
      <w:pPr>
        <w:spacing w:line="460" w:lineRule="exact"/>
        <w:ind w:firstLine="420" w:firstLineChars="200"/>
        <w:rPr>
          <w:color w:val="auto"/>
          <w:highlight w:val="none"/>
        </w:rPr>
        <w:sectPr>
          <w:pgSz w:w="11907" w:h="16840"/>
          <w:pgMar w:top="1440" w:right="1440" w:bottom="1440" w:left="1797" w:header="851" w:footer="851" w:gutter="0"/>
          <w:cols w:space="720" w:num="1"/>
          <w:docGrid w:linePitch="312" w:charSpace="0"/>
        </w:sectPr>
      </w:pPr>
    </w:p>
    <w:p w14:paraId="7672FAAD">
      <w:pPr>
        <w:spacing w:before="120" w:beforeLines="50" w:after="120" w:afterLines="50" w:line="440" w:lineRule="exact"/>
        <w:jc w:val="left"/>
        <w:rPr>
          <w:rFonts w:ascii="仿宋_GB2312" w:eastAsia="仿宋_GB2312"/>
          <w:color w:val="auto"/>
          <w:sz w:val="30"/>
          <w:szCs w:val="30"/>
          <w:highlight w:val="none"/>
        </w:rPr>
      </w:pPr>
      <w:r>
        <w:rPr>
          <w:rFonts w:hint="eastAsia" w:ascii="仿宋_GB2312" w:eastAsia="仿宋_GB2312" w:cs="仿宋_GB2312"/>
          <w:color w:val="auto"/>
          <w:sz w:val="30"/>
          <w:szCs w:val="30"/>
          <w:highlight w:val="none"/>
        </w:rPr>
        <w:t>附件</w:t>
      </w:r>
      <w:r>
        <w:rPr>
          <w:rFonts w:ascii="仿宋_GB2312" w:eastAsia="仿宋_GB2312" w:cs="仿宋_GB2312"/>
          <w:color w:val="auto"/>
          <w:sz w:val="30"/>
          <w:szCs w:val="30"/>
          <w:highlight w:val="none"/>
        </w:rPr>
        <w:t>1</w:t>
      </w:r>
      <w:r>
        <w:rPr>
          <w:rFonts w:hint="eastAsia" w:ascii="仿宋_GB2312" w:eastAsia="仿宋_GB2312" w:cs="仿宋_GB2312"/>
          <w:color w:val="auto"/>
          <w:sz w:val="30"/>
          <w:szCs w:val="30"/>
          <w:highlight w:val="none"/>
        </w:rPr>
        <w:t>：</w:t>
      </w:r>
    </w:p>
    <w:p w14:paraId="758AE55A">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承包人承揽工程项目一览表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40"/>
        <w:gridCol w:w="1440"/>
        <w:gridCol w:w="1620"/>
        <w:gridCol w:w="1661"/>
        <w:gridCol w:w="850"/>
        <w:gridCol w:w="1560"/>
        <w:gridCol w:w="2126"/>
        <w:gridCol w:w="1417"/>
        <w:gridCol w:w="851"/>
        <w:gridCol w:w="850"/>
      </w:tblGrid>
      <w:tr w14:paraId="2A4B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40" w:type="dxa"/>
            <w:noWrap w:val="0"/>
            <w:vAlign w:val="center"/>
          </w:tcPr>
          <w:p w14:paraId="06BC8301">
            <w:pPr>
              <w:pStyle w:val="2"/>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单位工程名称</w:t>
            </w:r>
          </w:p>
        </w:tc>
        <w:tc>
          <w:tcPr>
            <w:tcW w:w="1440" w:type="dxa"/>
            <w:noWrap w:val="0"/>
            <w:vAlign w:val="center"/>
          </w:tcPr>
          <w:p w14:paraId="5C364246">
            <w:pPr>
              <w:pStyle w:val="2"/>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建设规模</w:t>
            </w:r>
          </w:p>
        </w:tc>
        <w:tc>
          <w:tcPr>
            <w:tcW w:w="1620" w:type="dxa"/>
            <w:noWrap w:val="0"/>
            <w:vAlign w:val="center"/>
          </w:tcPr>
          <w:p w14:paraId="294F0E94">
            <w:pPr>
              <w:pStyle w:val="2"/>
              <w:keepNext/>
              <w:spacing w:after="0" w:line="440" w:lineRule="exact"/>
              <w:ind w:left="63" w:right="63"/>
              <w:rPr>
                <w:rFonts w:hint="eastAsia" w:eastAsia="仿宋_GB2312"/>
                <w:color w:val="auto"/>
                <w:sz w:val="28"/>
                <w:szCs w:val="28"/>
                <w:highlight w:val="none"/>
                <w:lang w:eastAsia="zh-CN"/>
              </w:rPr>
            </w:pPr>
            <w:r>
              <w:rPr>
                <w:rFonts w:hint="eastAsia" w:eastAsia="仿宋_GB2312" w:cs="仿宋_GB2312"/>
                <w:color w:val="auto"/>
                <w:sz w:val="28"/>
                <w:szCs w:val="28"/>
                <w:highlight w:val="none"/>
              </w:rPr>
              <w:t>建筑面积</w:t>
            </w:r>
            <w:r>
              <w:rPr>
                <w:rFonts w:hint="eastAsia" w:eastAsia="仿宋_GB2312"/>
                <w:color w:val="auto"/>
                <w:sz w:val="28"/>
                <w:szCs w:val="28"/>
                <w:highlight w:val="none"/>
                <w:lang w:eastAsia="zh-CN"/>
              </w:rPr>
              <w:t>（</w:t>
            </w:r>
            <w:r>
              <w:rPr>
                <w:rFonts w:hint="eastAsia" w:eastAsia="仿宋_GB2312" w:cs="仿宋_GB2312"/>
                <w:color w:val="auto"/>
                <w:sz w:val="28"/>
                <w:szCs w:val="28"/>
                <w:highlight w:val="none"/>
              </w:rPr>
              <w:t>平方米</w:t>
            </w:r>
            <w:r>
              <w:rPr>
                <w:rFonts w:hint="eastAsia" w:eastAsia="仿宋_GB2312"/>
                <w:color w:val="auto"/>
                <w:sz w:val="28"/>
                <w:szCs w:val="28"/>
                <w:highlight w:val="none"/>
                <w:lang w:eastAsia="zh-CN"/>
              </w:rPr>
              <w:t>）</w:t>
            </w:r>
          </w:p>
        </w:tc>
        <w:tc>
          <w:tcPr>
            <w:tcW w:w="1661" w:type="dxa"/>
            <w:noWrap w:val="0"/>
            <w:vAlign w:val="center"/>
          </w:tcPr>
          <w:p w14:paraId="72AE8D27">
            <w:pPr>
              <w:pStyle w:val="2"/>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结构形式</w:t>
            </w:r>
          </w:p>
        </w:tc>
        <w:tc>
          <w:tcPr>
            <w:tcW w:w="850" w:type="dxa"/>
            <w:noWrap w:val="0"/>
            <w:vAlign w:val="center"/>
          </w:tcPr>
          <w:p w14:paraId="051C7B44">
            <w:pPr>
              <w:pStyle w:val="2"/>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层数</w:t>
            </w:r>
          </w:p>
        </w:tc>
        <w:tc>
          <w:tcPr>
            <w:tcW w:w="1560" w:type="dxa"/>
            <w:noWrap w:val="0"/>
            <w:vAlign w:val="center"/>
          </w:tcPr>
          <w:p w14:paraId="4071844E">
            <w:pPr>
              <w:pStyle w:val="2"/>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生产能力</w:t>
            </w:r>
          </w:p>
        </w:tc>
        <w:tc>
          <w:tcPr>
            <w:tcW w:w="2126" w:type="dxa"/>
            <w:noWrap w:val="0"/>
            <w:vAlign w:val="center"/>
          </w:tcPr>
          <w:p w14:paraId="59A743B8">
            <w:pPr>
              <w:pStyle w:val="2"/>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设备安装内容</w:t>
            </w:r>
          </w:p>
        </w:tc>
        <w:tc>
          <w:tcPr>
            <w:tcW w:w="1417" w:type="dxa"/>
            <w:noWrap w:val="0"/>
            <w:vAlign w:val="center"/>
          </w:tcPr>
          <w:p w14:paraId="4E9B5E6A">
            <w:pPr>
              <w:pStyle w:val="2"/>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合同价格（元）</w:t>
            </w:r>
          </w:p>
        </w:tc>
        <w:tc>
          <w:tcPr>
            <w:tcW w:w="851" w:type="dxa"/>
            <w:noWrap w:val="0"/>
            <w:vAlign w:val="center"/>
          </w:tcPr>
          <w:p w14:paraId="252F8F58">
            <w:pPr>
              <w:pStyle w:val="2"/>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开工日期</w:t>
            </w:r>
          </w:p>
        </w:tc>
        <w:tc>
          <w:tcPr>
            <w:tcW w:w="850" w:type="dxa"/>
            <w:noWrap w:val="0"/>
            <w:vAlign w:val="center"/>
          </w:tcPr>
          <w:p w14:paraId="419E429D">
            <w:pPr>
              <w:pStyle w:val="2"/>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竣工日期</w:t>
            </w:r>
          </w:p>
        </w:tc>
      </w:tr>
      <w:tr w14:paraId="6D4B7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6C9DB005">
            <w:pPr>
              <w:pStyle w:val="2"/>
              <w:keepNext/>
              <w:spacing w:after="0" w:line="440" w:lineRule="exact"/>
              <w:ind w:left="63" w:right="63"/>
              <w:rPr>
                <w:rFonts w:eastAsia="仿宋_GB2312"/>
                <w:color w:val="auto"/>
                <w:sz w:val="30"/>
                <w:szCs w:val="30"/>
                <w:highlight w:val="none"/>
              </w:rPr>
            </w:pPr>
          </w:p>
        </w:tc>
        <w:tc>
          <w:tcPr>
            <w:tcW w:w="1440" w:type="dxa"/>
            <w:noWrap w:val="0"/>
            <w:vAlign w:val="center"/>
          </w:tcPr>
          <w:p w14:paraId="34D4A857">
            <w:pPr>
              <w:pStyle w:val="2"/>
              <w:keepNext/>
              <w:spacing w:after="0" w:line="440" w:lineRule="exact"/>
              <w:ind w:left="63" w:right="63"/>
              <w:rPr>
                <w:rFonts w:eastAsia="仿宋_GB2312"/>
                <w:color w:val="auto"/>
                <w:sz w:val="30"/>
                <w:szCs w:val="30"/>
                <w:highlight w:val="none"/>
              </w:rPr>
            </w:pPr>
          </w:p>
        </w:tc>
        <w:tc>
          <w:tcPr>
            <w:tcW w:w="1620" w:type="dxa"/>
            <w:noWrap w:val="0"/>
            <w:vAlign w:val="center"/>
          </w:tcPr>
          <w:p w14:paraId="09689E5D">
            <w:pPr>
              <w:pStyle w:val="2"/>
              <w:keepNext/>
              <w:spacing w:after="0" w:line="440" w:lineRule="exact"/>
              <w:ind w:left="63" w:right="63"/>
              <w:rPr>
                <w:rFonts w:eastAsia="仿宋_GB2312"/>
                <w:color w:val="auto"/>
                <w:sz w:val="30"/>
                <w:szCs w:val="30"/>
                <w:highlight w:val="none"/>
              </w:rPr>
            </w:pPr>
          </w:p>
        </w:tc>
        <w:tc>
          <w:tcPr>
            <w:tcW w:w="1661" w:type="dxa"/>
            <w:noWrap w:val="0"/>
            <w:vAlign w:val="center"/>
          </w:tcPr>
          <w:p w14:paraId="75FDE680">
            <w:pPr>
              <w:pStyle w:val="2"/>
              <w:keepNext/>
              <w:spacing w:after="0" w:line="440" w:lineRule="exact"/>
              <w:ind w:left="63" w:right="63"/>
              <w:rPr>
                <w:rFonts w:eastAsia="仿宋_GB2312"/>
                <w:color w:val="auto"/>
                <w:sz w:val="30"/>
                <w:szCs w:val="30"/>
                <w:highlight w:val="none"/>
              </w:rPr>
            </w:pPr>
          </w:p>
        </w:tc>
        <w:tc>
          <w:tcPr>
            <w:tcW w:w="850" w:type="dxa"/>
            <w:noWrap w:val="0"/>
            <w:vAlign w:val="center"/>
          </w:tcPr>
          <w:p w14:paraId="2BF321E2">
            <w:pPr>
              <w:pStyle w:val="2"/>
              <w:keepNext/>
              <w:spacing w:after="0" w:line="440" w:lineRule="exact"/>
              <w:ind w:left="63" w:right="63"/>
              <w:rPr>
                <w:rFonts w:eastAsia="仿宋_GB2312"/>
                <w:color w:val="auto"/>
                <w:sz w:val="30"/>
                <w:szCs w:val="30"/>
                <w:highlight w:val="none"/>
              </w:rPr>
            </w:pPr>
          </w:p>
        </w:tc>
        <w:tc>
          <w:tcPr>
            <w:tcW w:w="1560" w:type="dxa"/>
            <w:noWrap w:val="0"/>
            <w:vAlign w:val="center"/>
          </w:tcPr>
          <w:p w14:paraId="2948BE83">
            <w:pPr>
              <w:pStyle w:val="2"/>
              <w:keepNext/>
              <w:spacing w:after="0" w:line="440" w:lineRule="exact"/>
              <w:ind w:left="63" w:right="63"/>
              <w:rPr>
                <w:rFonts w:eastAsia="仿宋_GB2312"/>
                <w:color w:val="auto"/>
                <w:sz w:val="30"/>
                <w:szCs w:val="30"/>
                <w:highlight w:val="none"/>
              </w:rPr>
            </w:pPr>
          </w:p>
        </w:tc>
        <w:tc>
          <w:tcPr>
            <w:tcW w:w="2126" w:type="dxa"/>
            <w:noWrap w:val="0"/>
            <w:vAlign w:val="center"/>
          </w:tcPr>
          <w:p w14:paraId="248560F5">
            <w:pPr>
              <w:pStyle w:val="2"/>
              <w:keepNext/>
              <w:spacing w:after="0" w:line="440" w:lineRule="exact"/>
              <w:ind w:left="63" w:right="63"/>
              <w:rPr>
                <w:rFonts w:eastAsia="仿宋_GB2312"/>
                <w:color w:val="auto"/>
                <w:sz w:val="30"/>
                <w:szCs w:val="30"/>
                <w:highlight w:val="none"/>
              </w:rPr>
            </w:pPr>
          </w:p>
        </w:tc>
        <w:tc>
          <w:tcPr>
            <w:tcW w:w="1417" w:type="dxa"/>
            <w:noWrap w:val="0"/>
            <w:vAlign w:val="center"/>
          </w:tcPr>
          <w:p w14:paraId="79809667">
            <w:pPr>
              <w:pStyle w:val="2"/>
              <w:keepNext/>
              <w:spacing w:after="0" w:line="440" w:lineRule="exact"/>
              <w:ind w:left="63" w:right="63"/>
              <w:rPr>
                <w:rFonts w:eastAsia="仿宋_GB2312"/>
                <w:color w:val="auto"/>
                <w:sz w:val="30"/>
                <w:szCs w:val="30"/>
                <w:highlight w:val="none"/>
              </w:rPr>
            </w:pPr>
          </w:p>
        </w:tc>
        <w:tc>
          <w:tcPr>
            <w:tcW w:w="851" w:type="dxa"/>
            <w:noWrap w:val="0"/>
            <w:vAlign w:val="center"/>
          </w:tcPr>
          <w:p w14:paraId="32280A90">
            <w:pPr>
              <w:pStyle w:val="2"/>
              <w:keepNext/>
              <w:spacing w:after="0" w:line="440" w:lineRule="exact"/>
              <w:ind w:left="63" w:right="63"/>
              <w:rPr>
                <w:rFonts w:eastAsia="仿宋_GB2312"/>
                <w:color w:val="auto"/>
                <w:sz w:val="30"/>
                <w:szCs w:val="30"/>
                <w:highlight w:val="none"/>
              </w:rPr>
            </w:pPr>
          </w:p>
        </w:tc>
        <w:tc>
          <w:tcPr>
            <w:tcW w:w="850" w:type="dxa"/>
            <w:noWrap w:val="0"/>
            <w:vAlign w:val="center"/>
          </w:tcPr>
          <w:p w14:paraId="647D7CB6">
            <w:pPr>
              <w:pStyle w:val="2"/>
              <w:keepNext/>
              <w:spacing w:after="0" w:line="440" w:lineRule="exact"/>
              <w:ind w:left="63" w:right="63"/>
              <w:rPr>
                <w:rFonts w:eastAsia="仿宋_GB2312"/>
                <w:color w:val="auto"/>
                <w:sz w:val="30"/>
                <w:szCs w:val="30"/>
                <w:highlight w:val="none"/>
              </w:rPr>
            </w:pPr>
          </w:p>
        </w:tc>
      </w:tr>
      <w:tr w14:paraId="1505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0F0CC990">
            <w:pPr>
              <w:pStyle w:val="2"/>
              <w:keepNext/>
              <w:spacing w:after="0" w:line="440" w:lineRule="exact"/>
              <w:ind w:left="63" w:right="63"/>
              <w:rPr>
                <w:rFonts w:eastAsia="仿宋_GB2312"/>
                <w:color w:val="auto"/>
                <w:sz w:val="30"/>
                <w:szCs w:val="30"/>
                <w:highlight w:val="none"/>
              </w:rPr>
            </w:pPr>
          </w:p>
        </w:tc>
        <w:tc>
          <w:tcPr>
            <w:tcW w:w="1440" w:type="dxa"/>
            <w:noWrap w:val="0"/>
            <w:vAlign w:val="center"/>
          </w:tcPr>
          <w:p w14:paraId="44383326">
            <w:pPr>
              <w:pStyle w:val="2"/>
              <w:keepNext/>
              <w:spacing w:after="0" w:line="440" w:lineRule="exact"/>
              <w:ind w:left="63" w:right="63"/>
              <w:rPr>
                <w:rFonts w:eastAsia="仿宋_GB2312"/>
                <w:color w:val="auto"/>
                <w:sz w:val="30"/>
                <w:szCs w:val="30"/>
                <w:highlight w:val="none"/>
              </w:rPr>
            </w:pPr>
          </w:p>
        </w:tc>
        <w:tc>
          <w:tcPr>
            <w:tcW w:w="1620" w:type="dxa"/>
            <w:noWrap w:val="0"/>
            <w:vAlign w:val="center"/>
          </w:tcPr>
          <w:p w14:paraId="5A4DCA30">
            <w:pPr>
              <w:pStyle w:val="2"/>
              <w:keepNext/>
              <w:spacing w:after="0" w:line="440" w:lineRule="exact"/>
              <w:ind w:left="63" w:right="63"/>
              <w:rPr>
                <w:rFonts w:eastAsia="仿宋_GB2312"/>
                <w:color w:val="auto"/>
                <w:sz w:val="30"/>
                <w:szCs w:val="30"/>
                <w:highlight w:val="none"/>
              </w:rPr>
            </w:pPr>
          </w:p>
        </w:tc>
        <w:tc>
          <w:tcPr>
            <w:tcW w:w="1661" w:type="dxa"/>
            <w:noWrap w:val="0"/>
            <w:vAlign w:val="center"/>
          </w:tcPr>
          <w:p w14:paraId="657FD9CF">
            <w:pPr>
              <w:pStyle w:val="2"/>
              <w:keepNext/>
              <w:spacing w:after="0" w:line="440" w:lineRule="exact"/>
              <w:ind w:left="63" w:right="63"/>
              <w:rPr>
                <w:rFonts w:eastAsia="仿宋_GB2312"/>
                <w:color w:val="auto"/>
                <w:sz w:val="30"/>
                <w:szCs w:val="30"/>
                <w:highlight w:val="none"/>
              </w:rPr>
            </w:pPr>
          </w:p>
        </w:tc>
        <w:tc>
          <w:tcPr>
            <w:tcW w:w="850" w:type="dxa"/>
            <w:noWrap w:val="0"/>
            <w:vAlign w:val="center"/>
          </w:tcPr>
          <w:p w14:paraId="6E17F500">
            <w:pPr>
              <w:pStyle w:val="2"/>
              <w:keepNext/>
              <w:spacing w:after="0" w:line="440" w:lineRule="exact"/>
              <w:ind w:left="63" w:right="63"/>
              <w:rPr>
                <w:rFonts w:eastAsia="仿宋_GB2312"/>
                <w:color w:val="auto"/>
                <w:sz w:val="30"/>
                <w:szCs w:val="30"/>
                <w:highlight w:val="none"/>
              </w:rPr>
            </w:pPr>
          </w:p>
        </w:tc>
        <w:tc>
          <w:tcPr>
            <w:tcW w:w="1560" w:type="dxa"/>
            <w:noWrap w:val="0"/>
            <w:vAlign w:val="center"/>
          </w:tcPr>
          <w:p w14:paraId="1ABEFE4B">
            <w:pPr>
              <w:pStyle w:val="2"/>
              <w:keepNext/>
              <w:spacing w:after="0" w:line="440" w:lineRule="exact"/>
              <w:ind w:left="63" w:right="63"/>
              <w:rPr>
                <w:rFonts w:eastAsia="仿宋_GB2312"/>
                <w:color w:val="auto"/>
                <w:sz w:val="30"/>
                <w:szCs w:val="30"/>
                <w:highlight w:val="none"/>
              </w:rPr>
            </w:pPr>
          </w:p>
        </w:tc>
        <w:tc>
          <w:tcPr>
            <w:tcW w:w="2126" w:type="dxa"/>
            <w:noWrap w:val="0"/>
            <w:vAlign w:val="center"/>
          </w:tcPr>
          <w:p w14:paraId="3D1AF0E3">
            <w:pPr>
              <w:pStyle w:val="2"/>
              <w:keepNext/>
              <w:spacing w:after="0" w:line="440" w:lineRule="exact"/>
              <w:ind w:left="63" w:right="63"/>
              <w:rPr>
                <w:rFonts w:eastAsia="仿宋_GB2312"/>
                <w:color w:val="auto"/>
                <w:sz w:val="30"/>
                <w:szCs w:val="30"/>
                <w:highlight w:val="none"/>
              </w:rPr>
            </w:pPr>
          </w:p>
        </w:tc>
        <w:tc>
          <w:tcPr>
            <w:tcW w:w="1417" w:type="dxa"/>
            <w:noWrap w:val="0"/>
            <w:vAlign w:val="center"/>
          </w:tcPr>
          <w:p w14:paraId="18962807">
            <w:pPr>
              <w:pStyle w:val="2"/>
              <w:keepNext/>
              <w:spacing w:after="0" w:line="440" w:lineRule="exact"/>
              <w:ind w:left="63" w:right="63"/>
              <w:rPr>
                <w:rFonts w:eastAsia="仿宋_GB2312"/>
                <w:color w:val="auto"/>
                <w:sz w:val="30"/>
                <w:szCs w:val="30"/>
                <w:highlight w:val="none"/>
              </w:rPr>
            </w:pPr>
          </w:p>
        </w:tc>
        <w:tc>
          <w:tcPr>
            <w:tcW w:w="851" w:type="dxa"/>
            <w:noWrap w:val="0"/>
            <w:vAlign w:val="center"/>
          </w:tcPr>
          <w:p w14:paraId="71368696">
            <w:pPr>
              <w:pStyle w:val="2"/>
              <w:keepNext/>
              <w:spacing w:after="0" w:line="440" w:lineRule="exact"/>
              <w:ind w:left="63" w:right="63"/>
              <w:rPr>
                <w:rFonts w:eastAsia="仿宋_GB2312"/>
                <w:color w:val="auto"/>
                <w:sz w:val="30"/>
                <w:szCs w:val="30"/>
                <w:highlight w:val="none"/>
              </w:rPr>
            </w:pPr>
          </w:p>
        </w:tc>
        <w:tc>
          <w:tcPr>
            <w:tcW w:w="850" w:type="dxa"/>
            <w:noWrap w:val="0"/>
            <w:vAlign w:val="center"/>
          </w:tcPr>
          <w:p w14:paraId="6A938B1C">
            <w:pPr>
              <w:pStyle w:val="2"/>
              <w:keepNext/>
              <w:spacing w:after="0" w:line="440" w:lineRule="exact"/>
              <w:ind w:left="63" w:right="63"/>
              <w:rPr>
                <w:rFonts w:eastAsia="仿宋_GB2312"/>
                <w:color w:val="auto"/>
                <w:sz w:val="30"/>
                <w:szCs w:val="30"/>
                <w:highlight w:val="none"/>
              </w:rPr>
            </w:pPr>
          </w:p>
        </w:tc>
      </w:tr>
      <w:tr w14:paraId="7850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1C87BE17">
            <w:pPr>
              <w:pStyle w:val="2"/>
              <w:keepNext/>
              <w:spacing w:after="0" w:line="440" w:lineRule="exact"/>
              <w:ind w:left="63" w:right="63"/>
              <w:rPr>
                <w:rFonts w:eastAsia="仿宋_GB2312"/>
                <w:color w:val="auto"/>
                <w:sz w:val="30"/>
                <w:szCs w:val="30"/>
                <w:highlight w:val="none"/>
              </w:rPr>
            </w:pPr>
          </w:p>
        </w:tc>
        <w:tc>
          <w:tcPr>
            <w:tcW w:w="1440" w:type="dxa"/>
            <w:noWrap w:val="0"/>
            <w:vAlign w:val="center"/>
          </w:tcPr>
          <w:p w14:paraId="4F20EEA9">
            <w:pPr>
              <w:pStyle w:val="2"/>
              <w:keepNext/>
              <w:spacing w:after="0" w:line="440" w:lineRule="exact"/>
              <w:ind w:left="63" w:right="63"/>
              <w:rPr>
                <w:rFonts w:eastAsia="仿宋_GB2312"/>
                <w:color w:val="auto"/>
                <w:sz w:val="30"/>
                <w:szCs w:val="30"/>
                <w:highlight w:val="none"/>
              </w:rPr>
            </w:pPr>
          </w:p>
        </w:tc>
        <w:tc>
          <w:tcPr>
            <w:tcW w:w="1620" w:type="dxa"/>
            <w:noWrap w:val="0"/>
            <w:vAlign w:val="center"/>
          </w:tcPr>
          <w:p w14:paraId="0C2C0A94">
            <w:pPr>
              <w:pStyle w:val="2"/>
              <w:keepNext/>
              <w:spacing w:after="0" w:line="440" w:lineRule="exact"/>
              <w:ind w:left="63" w:right="63"/>
              <w:rPr>
                <w:rFonts w:eastAsia="仿宋_GB2312"/>
                <w:color w:val="auto"/>
                <w:sz w:val="30"/>
                <w:szCs w:val="30"/>
                <w:highlight w:val="none"/>
              </w:rPr>
            </w:pPr>
          </w:p>
        </w:tc>
        <w:tc>
          <w:tcPr>
            <w:tcW w:w="1661" w:type="dxa"/>
            <w:noWrap w:val="0"/>
            <w:vAlign w:val="center"/>
          </w:tcPr>
          <w:p w14:paraId="571259E1">
            <w:pPr>
              <w:pStyle w:val="2"/>
              <w:keepNext/>
              <w:spacing w:after="0" w:line="440" w:lineRule="exact"/>
              <w:ind w:left="63" w:right="63"/>
              <w:rPr>
                <w:rFonts w:eastAsia="仿宋_GB2312"/>
                <w:color w:val="auto"/>
                <w:sz w:val="30"/>
                <w:szCs w:val="30"/>
                <w:highlight w:val="none"/>
              </w:rPr>
            </w:pPr>
          </w:p>
        </w:tc>
        <w:tc>
          <w:tcPr>
            <w:tcW w:w="850" w:type="dxa"/>
            <w:noWrap w:val="0"/>
            <w:vAlign w:val="center"/>
          </w:tcPr>
          <w:p w14:paraId="5B0CB1F1">
            <w:pPr>
              <w:pStyle w:val="2"/>
              <w:keepNext/>
              <w:spacing w:after="0" w:line="440" w:lineRule="exact"/>
              <w:ind w:left="63" w:right="63"/>
              <w:rPr>
                <w:rFonts w:eastAsia="仿宋_GB2312"/>
                <w:color w:val="auto"/>
                <w:sz w:val="30"/>
                <w:szCs w:val="30"/>
                <w:highlight w:val="none"/>
              </w:rPr>
            </w:pPr>
          </w:p>
        </w:tc>
        <w:tc>
          <w:tcPr>
            <w:tcW w:w="1560" w:type="dxa"/>
            <w:noWrap w:val="0"/>
            <w:vAlign w:val="center"/>
          </w:tcPr>
          <w:p w14:paraId="2D857433">
            <w:pPr>
              <w:pStyle w:val="2"/>
              <w:keepNext/>
              <w:spacing w:after="0" w:line="440" w:lineRule="exact"/>
              <w:ind w:left="63" w:right="63"/>
              <w:rPr>
                <w:rFonts w:eastAsia="仿宋_GB2312"/>
                <w:color w:val="auto"/>
                <w:sz w:val="30"/>
                <w:szCs w:val="30"/>
                <w:highlight w:val="none"/>
              </w:rPr>
            </w:pPr>
          </w:p>
        </w:tc>
        <w:tc>
          <w:tcPr>
            <w:tcW w:w="2126" w:type="dxa"/>
            <w:noWrap w:val="0"/>
            <w:vAlign w:val="center"/>
          </w:tcPr>
          <w:p w14:paraId="4B8FD5C1">
            <w:pPr>
              <w:pStyle w:val="2"/>
              <w:keepNext/>
              <w:spacing w:after="0" w:line="440" w:lineRule="exact"/>
              <w:ind w:left="63" w:right="63"/>
              <w:rPr>
                <w:rFonts w:eastAsia="仿宋_GB2312"/>
                <w:color w:val="auto"/>
                <w:sz w:val="30"/>
                <w:szCs w:val="30"/>
                <w:highlight w:val="none"/>
              </w:rPr>
            </w:pPr>
          </w:p>
        </w:tc>
        <w:tc>
          <w:tcPr>
            <w:tcW w:w="1417" w:type="dxa"/>
            <w:noWrap w:val="0"/>
            <w:vAlign w:val="center"/>
          </w:tcPr>
          <w:p w14:paraId="1BBF59C6">
            <w:pPr>
              <w:pStyle w:val="2"/>
              <w:keepNext/>
              <w:spacing w:after="0" w:line="440" w:lineRule="exact"/>
              <w:ind w:left="63" w:right="63"/>
              <w:rPr>
                <w:rFonts w:eastAsia="仿宋_GB2312"/>
                <w:color w:val="auto"/>
                <w:sz w:val="30"/>
                <w:szCs w:val="30"/>
                <w:highlight w:val="none"/>
              </w:rPr>
            </w:pPr>
          </w:p>
        </w:tc>
        <w:tc>
          <w:tcPr>
            <w:tcW w:w="851" w:type="dxa"/>
            <w:noWrap w:val="0"/>
            <w:vAlign w:val="center"/>
          </w:tcPr>
          <w:p w14:paraId="0D2F1506">
            <w:pPr>
              <w:pStyle w:val="2"/>
              <w:keepNext/>
              <w:spacing w:after="0" w:line="440" w:lineRule="exact"/>
              <w:ind w:left="63" w:right="63"/>
              <w:rPr>
                <w:rFonts w:eastAsia="仿宋_GB2312"/>
                <w:color w:val="auto"/>
                <w:sz w:val="30"/>
                <w:szCs w:val="30"/>
                <w:highlight w:val="none"/>
              </w:rPr>
            </w:pPr>
          </w:p>
        </w:tc>
        <w:tc>
          <w:tcPr>
            <w:tcW w:w="850" w:type="dxa"/>
            <w:noWrap w:val="0"/>
            <w:vAlign w:val="center"/>
          </w:tcPr>
          <w:p w14:paraId="257218D6">
            <w:pPr>
              <w:pStyle w:val="2"/>
              <w:keepNext/>
              <w:spacing w:after="0" w:line="440" w:lineRule="exact"/>
              <w:ind w:left="63" w:right="63"/>
              <w:rPr>
                <w:rFonts w:eastAsia="仿宋_GB2312"/>
                <w:color w:val="auto"/>
                <w:sz w:val="30"/>
                <w:szCs w:val="30"/>
                <w:highlight w:val="none"/>
              </w:rPr>
            </w:pPr>
          </w:p>
        </w:tc>
      </w:tr>
      <w:tr w14:paraId="21EB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4172E665">
            <w:pPr>
              <w:pStyle w:val="2"/>
              <w:keepNext/>
              <w:spacing w:after="0" w:line="440" w:lineRule="exact"/>
              <w:ind w:left="63" w:right="63"/>
              <w:rPr>
                <w:rFonts w:eastAsia="仿宋_GB2312"/>
                <w:color w:val="auto"/>
                <w:sz w:val="30"/>
                <w:szCs w:val="30"/>
                <w:highlight w:val="none"/>
              </w:rPr>
            </w:pPr>
          </w:p>
        </w:tc>
        <w:tc>
          <w:tcPr>
            <w:tcW w:w="1440" w:type="dxa"/>
            <w:noWrap w:val="0"/>
            <w:vAlign w:val="center"/>
          </w:tcPr>
          <w:p w14:paraId="58693ECA">
            <w:pPr>
              <w:pStyle w:val="2"/>
              <w:keepNext/>
              <w:spacing w:after="0" w:line="440" w:lineRule="exact"/>
              <w:ind w:left="63" w:right="63"/>
              <w:rPr>
                <w:rFonts w:eastAsia="仿宋_GB2312"/>
                <w:color w:val="auto"/>
                <w:sz w:val="30"/>
                <w:szCs w:val="30"/>
                <w:highlight w:val="none"/>
              </w:rPr>
            </w:pPr>
          </w:p>
        </w:tc>
        <w:tc>
          <w:tcPr>
            <w:tcW w:w="1620" w:type="dxa"/>
            <w:noWrap w:val="0"/>
            <w:vAlign w:val="center"/>
          </w:tcPr>
          <w:p w14:paraId="4D614A9B">
            <w:pPr>
              <w:pStyle w:val="2"/>
              <w:keepNext/>
              <w:spacing w:after="0" w:line="440" w:lineRule="exact"/>
              <w:ind w:left="63" w:right="63"/>
              <w:rPr>
                <w:rFonts w:eastAsia="仿宋_GB2312"/>
                <w:color w:val="auto"/>
                <w:sz w:val="30"/>
                <w:szCs w:val="30"/>
                <w:highlight w:val="none"/>
              </w:rPr>
            </w:pPr>
          </w:p>
        </w:tc>
        <w:tc>
          <w:tcPr>
            <w:tcW w:w="1661" w:type="dxa"/>
            <w:noWrap w:val="0"/>
            <w:vAlign w:val="center"/>
          </w:tcPr>
          <w:p w14:paraId="5A17EB0C">
            <w:pPr>
              <w:pStyle w:val="2"/>
              <w:keepNext/>
              <w:spacing w:after="0" w:line="440" w:lineRule="exact"/>
              <w:ind w:left="63" w:right="63"/>
              <w:rPr>
                <w:rFonts w:eastAsia="仿宋_GB2312"/>
                <w:color w:val="auto"/>
                <w:sz w:val="30"/>
                <w:szCs w:val="30"/>
                <w:highlight w:val="none"/>
              </w:rPr>
            </w:pPr>
          </w:p>
        </w:tc>
        <w:tc>
          <w:tcPr>
            <w:tcW w:w="850" w:type="dxa"/>
            <w:noWrap w:val="0"/>
            <w:vAlign w:val="center"/>
          </w:tcPr>
          <w:p w14:paraId="555F9D7B">
            <w:pPr>
              <w:pStyle w:val="2"/>
              <w:keepNext/>
              <w:spacing w:after="0" w:line="440" w:lineRule="exact"/>
              <w:ind w:left="63" w:right="63"/>
              <w:rPr>
                <w:rFonts w:eastAsia="仿宋_GB2312"/>
                <w:color w:val="auto"/>
                <w:sz w:val="30"/>
                <w:szCs w:val="30"/>
                <w:highlight w:val="none"/>
              </w:rPr>
            </w:pPr>
          </w:p>
        </w:tc>
        <w:tc>
          <w:tcPr>
            <w:tcW w:w="1560" w:type="dxa"/>
            <w:noWrap w:val="0"/>
            <w:vAlign w:val="center"/>
          </w:tcPr>
          <w:p w14:paraId="7231377A">
            <w:pPr>
              <w:pStyle w:val="2"/>
              <w:keepNext/>
              <w:spacing w:after="0" w:line="440" w:lineRule="exact"/>
              <w:ind w:left="63" w:right="63"/>
              <w:rPr>
                <w:rFonts w:eastAsia="仿宋_GB2312"/>
                <w:color w:val="auto"/>
                <w:sz w:val="30"/>
                <w:szCs w:val="30"/>
                <w:highlight w:val="none"/>
              </w:rPr>
            </w:pPr>
          </w:p>
        </w:tc>
        <w:tc>
          <w:tcPr>
            <w:tcW w:w="2126" w:type="dxa"/>
            <w:noWrap w:val="0"/>
            <w:vAlign w:val="center"/>
          </w:tcPr>
          <w:p w14:paraId="1611F556">
            <w:pPr>
              <w:pStyle w:val="2"/>
              <w:keepNext/>
              <w:spacing w:after="0" w:line="440" w:lineRule="exact"/>
              <w:ind w:left="63" w:right="63"/>
              <w:rPr>
                <w:rFonts w:eastAsia="仿宋_GB2312"/>
                <w:color w:val="auto"/>
                <w:sz w:val="30"/>
                <w:szCs w:val="30"/>
                <w:highlight w:val="none"/>
              </w:rPr>
            </w:pPr>
          </w:p>
        </w:tc>
        <w:tc>
          <w:tcPr>
            <w:tcW w:w="1417" w:type="dxa"/>
            <w:noWrap w:val="0"/>
            <w:vAlign w:val="center"/>
          </w:tcPr>
          <w:p w14:paraId="0DF835D3">
            <w:pPr>
              <w:pStyle w:val="2"/>
              <w:keepNext/>
              <w:spacing w:after="0" w:line="440" w:lineRule="exact"/>
              <w:ind w:left="63" w:right="63"/>
              <w:rPr>
                <w:rFonts w:eastAsia="仿宋_GB2312"/>
                <w:color w:val="auto"/>
                <w:sz w:val="30"/>
                <w:szCs w:val="30"/>
                <w:highlight w:val="none"/>
              </w:rPr>
            </w:pPr>
          </w:p>
        </w:tc>
        <w:tc>
          <w:tcPr>
            <w:tcW w:w="851" w:type="dxa"/>
            <w:noWrap w:val="0"/>
            <w:vAlign w:val="center"/>
          </w:tcPr>
          <w:p w14:paraId="332DB7A6">
            <w:pPr>
              <w:pStyle w:val="2"/>
              <w:keepNext/>
              <w:spacing w:after="0" w:line="440" w:lineRule="exact"/>
              <w:ind w:left="63" w:right="63"/>
              <w:rPr>
                <w:rFonts w:eastAsia="仿宋_GB2312"/>
                <w:color w:val="auto"/>
                <w:sz w:val="30"/>
                <w:szCs w:val="30"/>
                <w:highlight w:val="none"/>
              </w:rPr>
            </w:pPr>
          </w:p>
        </w:tc>
        <w:tc>
          <w:tcPr>
            <w:tcW w:w="850" w:type="dxa"/>
            <w:noWrap w:val="0"/>
            <w:vAlign w:val="center"/>
          </w:tcPr>
          <w:p w14:paraId="0B7CB718">
            <w:pPr>
              <w:pStyle w:val="2"/>
              <w:keepNext/>
              <w:spacing w:after="0" w:line="440" w:lineRule="exact"/>
              <w:ind w:left="63" w:right="63"/>
              <w:rPr>
                <w:rFonts w:eastAsia="仿宋_GB2312"/>
                <w:color w:val="auto"/>
                <w:sz w:val="30"/>
                <w:szCs w:val="30"/>
                <w:highlight w:val="none"/>
              </w:rPr>
            </w:pPr>
          </w:p>
        </w:tc>
      </w:tr>
      <w:tr w14:paraId="4CEE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433695EA">
            <w:pPr>
              <w:pStyle w:val="2"/>
              <w:keepNext/>
              <w:spacing w:after="0" w:line="440" w:lineRule="exact"/>
              <w:ind w:left="63" w:right="63"/>
              <w:rPr>
                <w:rFonts w:eastAsia="仿宋_GB2312"/>
                <w:color w:val="auto"/>
                <w:sz w:val="30"/>
                <w:szCs w:val="30"/>
                <w:highlight w:val="none"/>
              </w:rPr>
            </w:pPr>
          </w:p>
        </w:tc>
        <w:tc>
          <w:tcPr>
            <w:tcW w:w="1440" w:type="dxa"/>
            <w:noWrap w:val="0"/>
            <w:vAlign w:val="center"/>
          </w:tcPr>
          <w:p w14:paraId="7D280C34">
            <w:pPr>
              <w:pStyle w:val="2"/>
              <w:keepNext/>
              <w:spacing w:after="0" w:line="440" w:lineRule="exact"/>
              <w:ind w:left="63" w:right="63"/>
              <w:rPr>
                <w:rFonts w:eastAsia="仿宋_GB2312"/>
                <w:color w:val="auto"/>
                <w:sz w:val="30"/>
                <w:szCs w:val="30"/>
                <w:highlight w:val="none"/>
              </w:rPr>
            </w:pPr>
          </w:p>
        </w:tc>
        <w:tc>
          <w:tcPr>
            <w:tcW w:w="1620" w:type="dxa"/>
            <w:noWrap w:val="0"/>
            <w:vAlign w:val="center"/>
          </w:tcPr>
          <w:p w14:paraId="0BA83B15">
            <w:pPr>
              <w:pStyle w:val="2"/>
              <w:keepNext/>
              <w:spacing w:after="0" w:line="440" w:lineRule="exact"/>
              <w:ind w:left="63" w:right="63"/>
              <w:rPr>
                <w:rFonts w:eastAsia="仿宋_GB2312"/>
                <w:color w:val="auto"/>
                <w:sz w:val="30"/>
                <w:szCs w:val="30"/>
                <w:highlight w:val="none"/>
              </w:rPr>
            </w:pPr>
          </w:p>
        </w:tc>
        <w:tc>
          <w:tcPr>
            <w:tcW w:w="1661" w:type="dxa"/>
            <w:noWrap w:val="0"/>
            <w:vAlign w:val="center"/>
          </w:tcPr>
          <w:p w14:paraId="711DD17C">
            <w:pPr>
              <w:pStyle w:val="2"/>
              <w:keepNext/>
              <w:spacing w:after="0" w:line="440" w:lineRule="exact"/>
              <w:ind w:left="63" w:right="63"/>
              <w:rPr>
                <w:rFonts w:eastAsia="仿宋_GB2312"/>
                <w:color w:val="auto"/>
                <w:sz w:val="30"/>
                <w:szCs w:val="30"/>
                <w:highlight w:val="none"/>
              </w:rPr>
            </w:pPr>
          </w:p>
        </w:tc>
        <w:tc>
          <w:tcPr>
            <w:tcW w:w="850" w:type="dxa"/>
            <w:noWrap w:val="0"/>
            <w:vAlign w:val="center"/>
          </w:tcPr>
          <w:p w14:paraId="2D39C4AF">
            <w:pPr>
              <w:pStyle w:val="2"/>
              <w:keepNext/>
              <w:spacing w:after="0" w:line="440" w:lineRule="exact"/>
              <w:ind w:left="63" w:right="63"/>
              <w:rPr>
                <w:rFonts w:eastAsia="仿宋_GB2312"/>
                <w:color w:val="auto"/>
                <w:sz w:val="30"/>
                <w:szCs w:val="30"/>
                <w:highlight w:val="none"/>
              </w:rPr>
            </w:pPr>
          </w:p>
        </w:tc>
        <w:tc>
          <w:tcPr>
            <w:tcW w:w="1560" w:type="dxa"/>
            <w:noWrap w:val="0"/>
            <w:vAlign w:val="center"/>
          </w:tcPr>
          <w:p w14:paraId="08A346DC">
            <w:pPr>
              <w:pStyle w:val="2"/>
              <w:keepNext/>
              <w:spacing w:after="0" w:line="440" w:lineRule="exact"/>
              <w:ind w:left="63" w:right="63"/>
              <w:rPr>
                <w:rFonts w:eastAsia="仿宋_GB2312"/>
                <w:color w:val="auto"/>
                <w:sz w:val="30"/>
                <w:szCs w:val="30"/>
                <w:highlight w:val="none"/>
              </w:rPr>
            </w:pPr>
          </w:p>
        </w:tc>
        <w:tc>
          <w:tcPr>
            <w:tcW w:w="2126" w:type="dxa"/>
            <w:noWrap w:val="0"/>
            <w:vAlign w:val="center"/>
          </w:tcPr>
          <w:p w14:paraId="50CC0D75">
            <w:pPr>
              <w:pStyle w:val="2"/>
              <w:keepNext/>
              <w:spacing w:after="0" w:line="440" w:lineRule="exact"/>
              <w:ind w:left="63" w:right="63"/>
              <w:rPr>
                <w:rFonts w:eastAsia="仿宋_GB2312"/>
                <w:color w:val="auto"/>
                <w:sz w:val="30"/>
                <w:szCs w:val="30"/>
                <w:highlight w:val="none"/>
              </w:rPr>
            </w:pPr>
          </w:p>
        </w:tc>
        <w:tc>
          <w:tcPr>
            <w:tcW w:w="1417" w:type="dxa"/>
            <w:noWrap w:val="0"/>
            <w:vAlign w:val="center"/>
          </w:tcPr>
          <w:p w14:paraId="6DC5D90F">
            <w:pPr>
              <w:pStyle w:val="2"/>
              <w:keepNext/>
              <w:spacing w:after="0" w:line="440" w:lineRule="exact"/>
              <w:ind w:left="63" w:right="63"/>
              <w:rPr>
                <w:rFonts w:eastAsia="仿宋_GB2312"/>
                <w:color w:val="auto"/>
                <w:sz w:val="30"/>
                <w:szCs w:val="30"/>
                <w:highlight w:val="none"/>
              </w:rPr>
            </w:pPr>
          </w:p>
        </w:tc>
        <w:tc>
          <w:tcPr>
            <w:tcW w:w="851" w:type="dxa"/>
            <w:noWrap w:val="0"/>
            <w:vAlign w:val="center"/>
          </w:tcPr>
          <w:p w14:paraId="45A6DEA5">
            <w:pPr>
              <w:pStyle w:val="2"/>
              <w:keepNext/>
              <w:spacing w:after="0" w:line="440" w:lineRule="exact"/>
              <w:ind w:left="63" w:right="63"/>
              <w:rPr>
                <w:rFonts w:eastAsia="仿宋_GB2312"/>
                <w:color w:val="auto"/>
                <w:sz w:val="30"/>
                <w:szCs w:val="30"/>
                <w:highlight w:val="none"/>
              </w:rPr>
            </w:pPr>
          </w:p>
        </w:tc>
        <w:tc>
          <w:tcPr>
            <w:tcW w:w="850" w:type="dxa"/>
            <w:noWrap w:val="0"/>
            <w:vAlign w:val="center"/>
          </w:tcPr>
          <w:p w14:paraId="2D5B83C5">
            <w:pPr>
              <w:pStyle w:val="2"/>
              <w:keepNext/>
              <w:spacing w:after="0" w:line="440" w:lineRule="exact"/>
              <w:ind w:left="63" w:right="63"/>
              <w:rPr>
                <w:rFonts w:eastAsia="仿宋_GB2312"/>
                <w:color w:val="auto"/>
                <w:sz w:val="30"/>
                <w:szCs w:val="30"/>
                <w:highlight w:val="none"/>
              </w:rPr>
            </w:pPr>
          </w:p>
        </w:tc>
      </w:tr>
      <w:tr w14:paraId="07584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383C58B4">
            <w:pPr>
              <w:pStyle w:val="2"/>
              <w:keepNext/>
              <w:spacing w:after="0" w:line="440" w:lineRule="exact"/>
              <w:ind w:left="63" w:right="63"/>
              <w:rPr>
                <w:rFonts w:eastAsia="仿宋_GB2312"/>
                <w:color w:val="auto"/>
                <w:sz w:val="30"/>
                <w:szCs w:val="30"/>
                <w:highlight w:val="none"/>
              </w:rPr>
            </w:pPr>
          </w:p>
        </w:tc>
        <w:tc>
          <w:tcPr>
            <w:tcW w:w="1440" w:type="dxa"/>
            <w:noWrap w:val="0"/>
            <w:vAlign w:val="center"/>
          </w:tcPr>
          <w:p w14:paraId="5B6EEA6E">
            <w:pPr>
              <w:pStyle w:val="2"/>
              <w:keepNext/>
              <w:spacing w:after="0" w:line="440" w:lineRule="exact"/>
              <w:ind w:left="63" w:right="63"/>
              <w:rPr>
                <w:rFonts w:eastAsia="仿宋_GB2312"/>
                <w:color w:val="auto"/>
                <w:sz w:val="30"/>
                <w:szCs w:val="30"/>
                <w:highlight w:val="none"/>
              </w:rPr>
            </w:pPr>
          </w:p>
        </w:tc>
        <w:tc>
          <w:tcPr>
            <w:tcW w:w="1620" w:type="dxa"/>
            <w:noWrap w:val="0"/>
            <w:vAlign w:val="center"/>
          </w:tcPr>
          <w:p w14:paraId="0918BA8D">
            <w:pPr>
              <w:pStyle w:val="2"/>
              <w:keepNext/>
              <w:spacing w:after="0" w:line="440" w:lineRule="exact"/>
              <w:ind w:left="63" w:right="63"/>
              <w:rPr>
                <w:rFonts w:eastAsia="仿宋_GB2312"/>
                <w:color w:val="auto"/>
                <w:sz w:val="30"/>
                <w:szCs w:val="30"/>
                <w:highlight w:val="none"/>
              </w:rPr>
            </w:pPr>
          </w:p>
        </w:tc>
        <w:tc>
          <w:tcPr>
            <w:tcW w:w="1661" w:type="dxa"/>
            <w:noWrap w:val="0"/>
            <w:vAlign w:val="center"/>
          </w:tcPr>
          <w:p w14:paraId="2EEEB5CC">
            <w:pPr>
              <w:pStyle w:val="2"/>
              <w:keepNext/>
              <w:spacing w:after="0" w:line="440" w:lineRule="exact"/>
              <w:ind w:left="63" w:right="63"/>
              <w:rPr>
                <w:rFonts w:eastAsia="仿宋_GB2312"/>
                <w:color w:val="auto"/>
                <w:sz w:val="30"/>
                <w:szCs w:val="30"/>
                <w:highlight w:val="none"/>
              </w:rPr>
            </w:pPr>
          </w:p>
        </w:tc>
        <w:tc>
          <w:tcPr>
            <w:tcW w:w="850" w:type="dxa"/>
            <w:noWrap w:val="0"/>
            <w:vAlign w:val="center"/>
          </w:tcPr>
          <w:p w14:paraId="2D8D2F6B">
            <w:pPr>
              <w:pStyle w:val="2"/>
              <w:keepNext/>
              <w:spacing w:after="0" w:line="440" w:lineRule="exact"/>
              <w:ind w:left="63" w:right="63"/>
              <w:rPr>
                <w:rFonts w:eastAsia="仿宋_GB2312"/>
                <w:color w:val="auto"/>
                <w:sz w:val="30"/>
                <w:szCs w:val="30"/>
                <w:highlight w:val="none"/>
              </w:rPr>
            </w:pPr>
          </w:p>
        </w:tc>
        <w:tc>
          <w:tcPr>
            <w:tcW w:w="1560" w:type="dxa"/>
            <w:noWrap w:val="0"/>
            <w:vAlign w:val="center"/>
          </w:tcPr>
          <w:p w14:paraId="67A7CE7A">
            <w:pPr>
              <w:pStyle w:val="2"/>
              <w:keepNext/>
              <w:spacing w:after="0" w:line="440" w:lineRule="exact"/>
              <w:ind w:left="63" w:right="63"/>
              <w:rPr>
                <w:rFonts w:eastAsia="仿宋_GB2312"/>
                <w:color w:val="auto"/>
                <w:sz w:val="30"/>
                <w:szCs w:val="30"/>
                <w:highlight w:val="none"/>
              </w:rPr>
            </w:pPr>
          </w:p>
        </w:tc>
        <w:tc>
          <w:tcPr>
            <w:tcW w:w="2126" w:type="dxa"/>
            <w:noWrap w:val="0"/>
            <w:vAlign w:val="center"/>
          </w:tcPr>
          <w:p w14:paraId="39B7F123">
            <w:pPr>
              <w:pStyle w:val="2"/>
              <w:keepNext/>
              <w:spacing w:after="0" w:line="440" w:lineRule="exact"/>
              <w:ind w:left="63" w:right="63"/>
              <w:rPr>
                <w:rFonts w:eastAsia="仿宋_GB2312"/>
                <w:color w:val="auto"/>
                <w:sz w:val="30"/>
                <w:szCs w:val="30"/>
                <w:highlight w:val="none"/>
              </w:rPr>
            </w:pPr>
          </w:p>
        </w:tc>
        <w:tc>
          <w:tcPr>
            <w:tcW w:w="1417" w:type="dxa"/>
            <w:noWrap w:val="0"/>
            <w:vAlign w:val="center"/>
          </w:tcPr>
          <w:p w14:paraId="7EFDA7B8">
            <w:pPr>
              <w:pStyle w:val="2"/>
              <w:keepNext/>
              <w:spacing w:after="0" w:line="440" w:lineRule="exact"/>
              <w:ind w:left="63" w:right="63"/>
              <w:rPr>
                <w:rFonts w:eastAsia="仿宋_GB2312"/>
                <w:color w:val="auto"/>
                <w:sz w:val="30"/>
                <w:szCs w:val="30"/>
                <w:highlight w:val="none"/>
              </w:rPr>
            </w:pPr>
          </w:p>
        </w:tc>
        <w:tc>
          <w:tcPr>
            <w:tcW w:w="851" w:type="dxa"/>
            <w:noWrap w:val="0"/>
            <w:vAlign w:val="center"/>
          </w:tcPr>
          <w:p w14:paraId="281A855A">
            <w:pPr>
              <w:pStyle w:val="2"/>
              <w:keepNext/>
              <w:spacing w:after="0" w:line="440" w:lineRule="exact"/>
              <w:ind w:left="63" w:right="63"/>
              <w:rPr>
                <w:rFonts w:eastAsia="仿宋_GB2312"/>
                <w:color w:val="auto"/>
                <w:sz w:val="30"/>
                <w:szCs w:val="30"/>
                <w:highlight w:val="none"/>
              </w:rPr>
            </w:pPr>
          </w:p>
        </w:tc>
        <w:tc>
          <w:tcPr>
            <w:tcW w:w="850" w:type="dxa"/>
            <w:noWrap w:val="0"/>
            <w:vAlign w:val="center"/>
          </w:tcPr>
          <w:p w14:paraId="504D5C7F">
            <w:pPr>
              <w:pStyle w:val="2"/>
              <w:keepNext/>
              <w:spacing w:after="0" w:line="440" w:lineRule="exact"/>
              <w:ind w:left="63" w:right="63"/>
              <w:rPr>
                <w:rFonts w:eastAsia="仿宋_GB2312"/>
                <w:color w:val="auto"/>
                <w:sz w:val="30"/>
                <w:szCs w:val="30"/>
                <w:highlight w:val="none"/>
              </w:rPr>
            </w:pPr>
          </w:p>
        </w:tc>
      </w:tr>
      <w:tr w14:paraId="54509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24A03EBE">
            <w:pPr>
              <w:pStyle w:val="2"/>
              <w:keepNext/>
              <w:spacing w:after="0" w:line="440" w:lineRule="exact"/>
              <w:ind w:left="63" w:right="63"/>
              <w:rPr>
                <w:rFonts w:eastAsia="仿宋_GB2312"/>
                <w:color w:val="auto"/>
                <w:sz w:val="30"/>
                <w:szCs w:val="30"/>
                <w:highlight w:val="none"/>
              </w:rPr>
            </w:pPr>
          </w:p>
        </w:tc>
        <w:tc>
          <w:tcPr>
            <w:tcW w:w="1440" w:type="dxa"/>
            <w:noWrap w:val="0"/>
            <w:vAlign w:val="center"/>
          </w:tcPr>
          <w:p w14:paraId="3860668B">
            <w:pPr>
              <w:pStyle w:val="2"/>
              <w:keepNext/>
              <w:spacing w:after="0" w:line="440" w:lineRule="exact"/>
              <w:ind w:left="63" w:right="63"/>
              <w:rPr>
                <w:rFonts w:eastAsia="仿宋_GB2312"/>
                <w:color w:val="auto"/>
                <w:sz w:val="30"/>
                <w:szCs w:val="30"/>
                <w:highlight w:val="none"/>
              </w:rPr>
            </w:pPr>
          </w:p>
        </w:tc>
        <w:tc>
          <w:tcPr>
            <w:tcW w:w="1620" w:type="dxa"/>
            <w:noWrap w:val="0"/>
            <w:vAlign w:val="center"/>
          </w:tcPr>
          <w:p w14:paraId="0CB8770E">
            <w:pPr>
              <w:pStyle w:val="2"/>
              <w:keepNext/>
              <w:spacing w:after="0" w:line="440" w:lineRule="exact"/>
              <w:ind w:left="63" w:right="63"/>
              <w:rPr>
                <w:rFonts w:eastAsia="仿宋_GB2312"/>
                <w:color w:val="auto"/>
                <w:sz w:val="30"/>
                <w:szCs w:val="30"/>
                <w:highlight w:val="none"/>
              </w:rPr>
            </w:pPr>
          </w:p>
        </w:tc>
        <w:tc>
          <w:tcPr>
            <w:tcW w:w="1661" w:type="dxa"/>
            <w:noWrap w:val="0"/>
            <w:vAlign w:val="center"/>
          </w:tcPr>
          <w:p w14:paraId="0DFDCB9D">
            <w:pPr>
              <w:pStyle w:val="2"/>
              <w:keepNext/>
              <w:spacing w:after="0" w:line="440" w:lineRule="exact"/>
              <w:ind w:left="63" w:right="63"/>
              <w:rPr>
                <w:rFonts w:eastAsia="仿宋_GB2312"/>
                <w:color w:val="auto"/>
                <w:sz w:val="30"/>
                <w:szCs w:val="30"/>
                <w:highlight w:val="none"/>
              </w:rPr>
            </w:pPr>
          </w:p>
        </w:tc>
        <w:tc>
          <w:tcPr>
            <w:tcW w:w="850" w:type="dxa"/>
            <w:noWrap w:val="0"/>
            <w:vAlign w:val="center"/>
          </w:tcPr>
          <w:p w14:paraId="6928CBBB">
            <w:pPr>
              <w:pStyle w:val="2"/>
              <w:keepNext/>
              <w:spacing w:after="0" w:line="440" w:lineRule="exact"/>
              <w:ind w:left="63" w:right="63"/>
              <w:rPr>
                <w:rFonts w:eastAsia="仿宋_GB2312"/>
                <w:color w:val="auto"/>
                <w:sz w:val="30"/>
                <w:szCs w:val="30"/>
                <w:highlight w:val="none"/>
              </w:rPr>
            </w:pPr>
          </w:p>
        </w:tc>
        <w:tc>
          <w:tcPr>
            <w:tcW w:w="1560" w:type="dxa"/>
            <w:noWrap w:val="0"/>
            <w:vAlign w:val="center"/>
          </w:tcPr>
          <w:p w14:paraId="7CA8EF58">
            <w:pPr>
              <w:pStyle w:val="2"/>
              <w:keepNext/>
              <w:spacing w:after="0" w:line="440" w:lineRule="exact"/>
              <w:ind w:left="63" w:right="63"/>
              <w:rPr>
                <w:rFonts w:eastAsia="仿宋_GB2312"/>
                <w:color w:val="auto"/>
                <w:sz w:val="30"/>
                <w:szCs w:val="30"/>
                <w:highlight w:val="none"/>
              </w:rPr>
            </w:pPr>
          </w:p>
        </w:tc>
        <w:tc>
          <w:tcPr>
            <w:tcW w:w="2126" w:type="dxa"/>
            <w:noWrap w:val="0"/>
            <w:vAlign w:val="center"/>
          </w:tcPr>
          <w:p w14:paraId="6F9E78C2">
            <w:pPr>
              <w:pStyle w:val="2"/>
              <w:keepNext/>
              <w:spacing w:after="0" w:line="440" w:lineRule="exact"/>
              <w:ind w:left="63" w:right="63"/>
              <w:rPr>
                <w:rFonts w:eastAsia="仿宋_GB2312"/>
                <w:color w:val="auto"/>
                <w:sz w:val="30"/>
                <w:szCs w:val="30"/>
                <w:highlight w:val="none"/>
              </w:rPr>
            </w:pPr>
          </w:p>
        </w:tc>
        <w:tc>
          <w:tcPr>
            <w:tcW w:w="1417" w:type="dxa"/>
            <w:noWrap w:val="0"/>
            <w:vAlign w:val="center"/>
          </w:tcPr>
          <w:p w14:paraId="5A436BC9">
            <w:pPr>
              <w:pStyle w:val="2"/>
              <w:keepNext/>
              <w:spacing w:after="0" w:line="440" w:lineRule="exact"/>
              <w:ind w:left="63" w:right="63"/>
              <w:rPr>
                <w:rFonts w:eastAsia="仿宋_GB2312"/>
                <w:color w:val="auto"/>
                <w:sz w:val="30"/>
                <w:szCs w:val="30"/>
                <w:highlight w:val="none"/>
              </w:rPr>
            </w:pPr>
          </w:p>
        </w:tc>
        <w:tc>
          <w:tcPr>
            <w:tcW w:w="851" w:type="dxa"/>
            <w:noWrap w:val="0"/>
            <w:vAlign w:val="center"/>
          </w:tcPr>
          <w:p w14:paraId="2536308D">
            <w:pPr>
              <w:pStyle w:val="2"/>
              <w:keepNext/>
              <w:spacing w:after="0" w:line="440" w:lineRule="exact"/>
              <w:ind w:left="63" w:right="63"/>
              <w:rPr>
                <w:rFonts w:eastAsia="仿宋_GB2312"/>
                <w:color w:val="auto"/>
                <w:sz w:val="30"/>
                <w:szCs w:val="30"/>
                <w:highlight w:val="none"/>
              </w:rPr>
            </w:pPr>
          </w:p>
        </w:tc>
        <w:tc>
          <w:tcPr>
            <w:tcW w:w="850" w:type="dxa"/>
            <w:noWrap w:val="0"/>
            <w:vAlign w:val="center"/>
          </w:tcPr>
          <w:p w14:paraId="4AE791E3">
            <w:pPr>
              <w:pStyle w:val="2"/>
              <w:keepNext/>
              <w:spacing w:after="0" w:line="440" w:lineRule="exact"/>
              <w:ind w:left="63" w:right="63"/>
              <w:rPr>
                <w:rFonts w:eastAsia="仿宋_GB2312"/>
                <w:color w:val="auto"/>
                <w:sz w:val="30"/>
                <w:szCs w:val="30"/>
                <w:highlight w:val="none"/>
              </w:rPr>
            </w:pPr>
          </w:p>
        </w:tc>
      </w:tr>
      <w:tr w14:paraId="4984F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12CB485C">
            <w:pPr>
              <w:pStyle w:val="2"/>
              <w:keepNext/>
              <w:spacing w:after="0" w:line="440" w:lineRule="exact"/>
              <w:ind w:left="63" w:right="63"/>
              <w:rPr>
                <w:rFonts w:eastAsia="仿宋_GB2312"/>
                <w:color w:val="auto"/>
                <w:sz w:val="30"/>
                <w:szCs w:val="30"/>
                <w:highlight w:val="none"/>
              </w:rPr>
            </w:pPr>
          </w:p>
        </w:tc>
        <w:tc>
          <w:tcPr>
            <w:tcW w:w="1440" w:type="dxa"/>
            <w:noWrap w:val="0"/>
            <w:vAlign w:val="center"/>
          </w:tcPr>
          <w:p w14:paraId="240F616F">
            <w:pPr>
              <w:pStyle w:val="2"/>
              <w:keepNext/>
              <w:spacing w:after="0" w:line="440" w:lineRule="exact"/>
              <w:ind w:left="63" w:right="63"/>
              <w:rPr>
                <w:rFonts w:eastAsia="仿宋_GB2312"/>
                <w:color w:val="auto"/>
                <w:sz w:val="30"/>
                <w:szCs w:val="30"/>
                <w:highlight w:val="none"/>
              </w:rPr>
            </w:pPr>
          </w:p>
        </w:tc>
        <w:tc>
          <w:tcPr>
            <w:tcW w:w="1620" w:type="dxa"/>
            <w:noWrap w:val="0"/>
            <w:vAlign w:val="center"/>
          </w:tcPr>
          <w:p w14:paraId="2765485E">
            <w:pPr>
              <w:pStyle w:val="2"/>
              <w:keepNext/>
              <w:spacing w:after="0" w:line="440" w:lineRule="exact"/>
              <w:ind w:left="63" w:right="63"/>
              <w:rPr>
                <w:rFonts w:eastAsia="仿宋_GB2312"/>
                <w:color w:val="auto"/>
                <w:sz w:val="30"/>
                <w:szCs w:val="30"/>
                <w:highlight w:val="none"/>
              </w:rPr>
            </w:pPr>
          </w:p>
        </w:tc>
        <w:tc>
          <w:tcPr>
            <w:tcW w:w="1661" w:type="dxa"/>
            <w:noWrap w:val="0"/>
            <w:vAlign w:val="center"/>
          </w:tcPr>
          <w:p w14:paraId="624A5B25">
            <w:pPr>
              <w:pStyle w:val="2"/>
              <w:keepNext/>
              <w:spacing w:after="0" w:line="440" w:lineRule="exact"/>
              <w:ind w:left="63" w:right="63"/>
              <w:rPr>
                <w:rFonts w:eastAsia="仿宋_GB2312"/>
                <w:color w:val="auto"/>
                <w:sz w:val="30"/>
                <w:szCs w:val="30"/>
                <w:highlight w:val="none"/>
              </w:rPr>
            </w:pPr>
          </w:p>
        </w:tc>
        <w:tc>
          <w:tcPr>
            <w:tcW w:w="850" w:type="dxa"/>
            <w:noWrap w:val="0"/>
            <w:vAlign w:val="center"/>
          </w:tcPr>
          <w:p w14:paraId="76C73BDA">
            <w:pPr>
              <w:pStyle w:val="2"/>
              <w:keepNext/>
              <w:spacing w:after="0" w:line="440" w:lineRule="exact"/>
              <w:ind w:left="63" w:right="63"/>
              <w:rPr>
                <w:rFonts w:eastAsia="仿宋_GB2312"/>
                <w:color w:val="auto"/>
                <w:sz w:val="30"/>
                <w:szCs w:val="30"/>
                <w:highlight w:val="none"/>
              </w:rPr>
            </w:pPr>
          </w:p>
        </w:tc>
        <w:tc>
          <w:tcPr>
            <w:tcW w:w="1560" w:type="dxa"/>
            <w:noWrap w:val="0"/>
            <w:vAlign w:val="center"/>
          </w:tcPr>
          <w:p w14:paraId="7FC2F27B">
            <w:pPr>
              <w:pStyle w:val="2"/>
              <w:keepNext/>
              <w:spacing w:after="0" w:line="440" w:lineRule="exact"/>
              <w:ind w:left="63" w:right="63"/>
              <w:rPr>
                <w:rFonts w:eastAsia="仿宋_GB2312"/>
                <w:color w:val="auto"/>
                <w:sz w:val="30"/>
                <w:szCs w:val="30"/>
                <w:highlight w:val="none"/>
              </w:rPr>
            </w:pPr>
          </w:p>
        </w:tc>
        <w:tc>
          <w:tcPr>
            <w:tcW w:w="2126" w:type="dxa"/>
            <w:noWrap w:val="0"/>
            <w:vAlign w:val="center"/>
          </w:tcPr>
          <w:p w14:paraId="205357E9">
            <w:pPr>
              <w:pStyle w:val="2"/>
              <w:keepNext/>
              <w:spacing w:after="0" w:line="440" w:lineRule="exact"/>
              <w:ind w:left="63" w:right="63"/>
              <w:rPr>
                <w:rFonts w:eastAsia="仿宋_GB2312"/>
                <w:color w:val="auto"/>
                <w:sz w:val="30"/>
                <w:szCs w:val="30"/>
                <w:highlight w:val="none"/>
              </w:rPr>
            </w:pPr>
          </w:p>
        </w:tc>
        <w:tc>
          <w:tcPr>
            <w:tcW w:w="1417" w:type="dxa"/>
            <w:noWrap w:val="0"/>
            <w:vAlign w:val="center"/>
          </w:tcPr>
          <w:p w14:paraId="5815D940">
            <w:pPr>
              <w:pStyle w:val="2"/>
              <w:keepNext/>
              <w:spacing w:after="0" w:line="440" w:lineRule="exact"/>
              <w:ind w:left="63" w:right="63"/>
              <w:rPr>
                <w:rFonts w:eastAsia="仿宋_GB2312"/>
                <w:color w:val="auto"/>
                <w:sz w:val="30"/>
                <w:szCs w:val="30"/>
                <w:highlight w:val="none"/>
              </w:rPr>
            </w:pPr>
          </w:p>
        </w:tc>
        <w:tc>
          <w:tcPr>
            <w:tcW w:w="851" w:type="dxa"/>
            <w:noWrap w:val="0"/>
            <w:vAlign w:val="center"/>
          </w:tcPr>
          <w:p w14:paraId="74C3429A">
            <w:pPr>
              <w:pStyle w:val="2"/>
              <w:keepNext/>
              <w:spacing w:after="0" w:line="440" w:lineRule="exact"/>
              <w:ind w:left="63" w:right="63"/>
              <w:rPr>
                <w:rFonts w:eastAsia="仿宋_GB2312"/>
                <w:color w:val="auto"/>
                <w:sz w:val="30"/>
                <w:szCs w:val="30"/>
                <w:highlight w:val="none"/>
              </w:rPr>
            </w:pPr>
          </w:p>
        </w:tc>
        <w:tc>
          <w:tcPr>
            <w:tcW w:w="850" w:type="dxa"/>
            <w:noWrap w:val="0"/>
            <w:vAlign w:val="center"/>
          </w:tcPr>
          <w:p w14:paraId="261BE04F">
            <w:pPr>
              <w:pStyle w:val="2"/>
              <w:keepNext/>
              <w:spacing w:after="0" w:line="440" w:lineRule="exact"/>
              <w:ind w:left="63" w:right="63"/>
              <w:rPr>
                <w:rFonts w:eastAsia="仿宋_GB2312"/>
                <w:color w:val="auto"/>
                <w:sz w:val="30"/>
                <w:szCs w:val="30"/>
                <w:highlight w:val="none"/>
              </w:rPr>
            </w:pPr>
          </w:p>
        </w:tc>
      </w:tr>
      <w:tr w14:paraId="344BA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12C3C93C">
            <w:pPr>
              <w:pStyle w:val="2"/>
              <w:keepNext/>
              <w:spacing w:after="0" w:line="440" w:lineRule="exact"/>
              <w:ind w:left="63" w:right="63"/>
              <w:rPr>
                <w:rFonts w:eastAsia="仿宋_GB2312"/>
                <w:color w:val="auto"/>
                <w:sz w:val="30"/>
                <w:szCs w:val="30"/>
                <w:highlight w:val="none"/>
              </w:rPr>
            </w:pPr>
          </w:p>
        </w:tc>
        <w:tc>
          <w:tcPr>
            <w:tcW w:w="1440" w:type="dxa"/>
            <w:noWrap w:val="0"/>
            <w:vAlign w:val="center"/>
          </w:tcPr>
          <w:p w14:paraId="466638B7">
            <w:pPr>
              <w:pStyle w:val="2"/>
              <w:keepNext/>
              <w:spacing w:after="0" w:line="440" w:lineRule="exact"/>
              <w:ind w:left="63" w:right="63"/>
              <w:rPr>
                <w:rFonts w:eastAsia="仿宋_GB2312"/>
                <w:color w:val="auto"/>
                <w:sz w:val="30"/>
                <w:szCs w:val="30"/>
                <w:highlight w:val="none"/>
              </w:rPr>
            </w:pPr>
          </w:p>
        </w:tc>
        <w:tc>
          <w:tcPr>
            <w:tcW w:w="1620" w:type="dxa"/>
            <w:noWrap w:val="0"/>
            <w:vAlign w:val="center"/>
          </w:tcPr>
          <w:p w14:paraId="3C6BB7DF">
            <w:pPr>
              <w:pStyle w:val="2"/>
              <w:keepNext/>
              <w:spacing w:after="0" w:line="440" w:lineRule="exact"/>
              <w:ind w:left="63" w:right="63"/>
              <w:rPr>
                <w:rFonts w:eastAsia="仿宋_GB2312"/>
                <w:color w:val="auto"/>
                <w:sz w:val="30"/>
                <w:szCs w:val="30"/>
                <w:highlight w:val="none"/>
              </w:rPr>
            </w:pPr>
          </w:p>
        </w:tc>
        <w:tc>
          <w:tcPr>
            <w:tcW w:w="1661" w:type="dxa"/>
            <w:noWrap w:val="0"/>
            <w:vAlign w:val="center"/>
          </w:tcPr>
          <w:p w14:paraId="31A0B3CD">
            <w:pPr>
              <w:pStyle w:val="2"/>
              <w:keepNext/>
              <w:spacing w:after="0" w:line="440" w:lineRule="exact"/>
              <w:ind w:left="63" w:right="63"/>
              <w:rPr>
                <w:rFonts w:eastAsia="仿宋_GB2312"/>
                <w:color w:val="auto"/>
                <w:sz w:val="30"/>
                <w:szCs w:val="30"/>
                <w:highlight w:val="none"/>
              </w:rPr>
            </w:pPr>
          </w:p>
        </w:tc>
        <w:tc>
          <w:tcPr>
            <w:tcW w:w="850" w:type="dxa"/>
            <w:noWrap w:val="0"/>
            <w:vAlign w:val="center"/>
          </w:tcPr>
          <w:p w14:paraId="0FCB15C3">
            <w:pPr>
              <w:pStyle w:val="2"/>
              <w:keepNext/>
              <w:spacing w:after="0" w:line="440" w:lineRule="exact"/>
              <w:ind w:left="63" w:right="63"/>
              <w:rPr>
                <w:rFonts w:eastAsia="仿宋_GB2312"/>
                <w:color w:val="auto"/>
                <w:sz w:val="30"/>
                <w:szCs w:val="30"/>
                <w:highlight w:val="none"/>
              </w:rPr>
            </w:pPr>
          </w:p>
        </w:tc>
        <w:tc>
          <w:tcPr>
            <w:tcW w:w="1560" w:type="dxa"/>
            <w:noWrap w:val="0"/>
            <w:vAlign w:val="center"/>
          </w:tcPr>
          <w:p w14:paraId="689BAD45">
            <w:pPr>
              <w:pStyle w:val="2"/>
              <w:keepNext/>
              <w:spacing w:after="0" w:line="440" w:lineRule="exact"/>
              <w:ind w:left="63" w:right="63"/>
              <w:rPr>
                <w:rFonts w:eastAsia="仿宋_GB2312"/>
                <w:color w:val="auto"/>
                <w:sz w:val="30"/>
                <w:szCs w:val="30"/>
                <w:highlight w:val="none"/>
              </w:rPr>
            </w:pPr>
          </w:p>
        </w:tc>
        <w:tc>
          <w:tcPr>
            <w:tcW w:w="2126" w:type="dxa"/>
            <w:noWrap w:val="0"/>
            <w:vAlign w:val="center"/>
          </w:tcPr>
          <w:p w14:paraId="05BC8DAF">
            <w:pPr>
              <w:pStyle w:val="2"/>
              <w:keepNext/>
              <w:spacing w:after="0" w:line="440" w:lineRule="exact"/>
              <w:ind w:left="63" w:right="63"/>
              <w:rPr>
                <w:rFonts w:eastAsia="仿宋_GB2312"/>
                <w:color w:val="auto"/>
                <w:sz w:val="30"/>
                <w:szCs w:val="30"/>
                <w:highlight w:val="none"/>
              </w:rPr>
            </w:pPr>
          </w:p>
        </w:tc>
        <w:tc>
          <w:tcPr>
            <w:tcW w:w="1417" w:type="dxa"/>
            <w:noWrap w:val="0"/>
            <w:vAlign w:val="center"/>
          </w:tcPr>
          <w:p w14:paraId="5EE2EE6E">
            <w:pPr>
              <w:pStyle w:val="2"/>
              <w:keepNext/>
              <w:spacing w:after="0" w:line="440" w:lineRule="exact"/>
              <w:ind w:left="63" w:right="63"/>
              <w:rPr>
                <w:rFonts w:eastAsia="仿宋_GB2312"/>
                <w:color w:val="auto"/>
                <w:sz w:val="30"/>
                <w:szCs w:val="30"/>
                <w:highlight w:val="none"/>
              </w:rPr>
            </w:pPr>
          </w:p>
        </w:tc>
        <w:tc>
          <w:tcPr>
            <w:tcW w:w="851" w:type="dxa"/>
            <w:noWrap w:val="0"/>
            <w:vAlign w:val="center"/>
          </w:tcPr>
          <w:p w14:paraId="52BF6E35">
            <w:pPr>
              <w:pStyle w:val="2"/>
              <w:keepNext/>
              <w:spacing w:after="0" w:line="440" w:lineRule="exact"/>
              <w:ind w:left="63" w:right="63"/>
              <w:rPr>
                <w:rFonts w:eastAsia="仿宋_GB2312"/>
                <w:color w:val="auto"/>
                <w:sz w:val="30"/>
                <w:szCs w:val="30"/>
                <w:highlight w:val="none"/>
              </w:rPr>
            </w:pPr>
          </w:p>
        </w:tc>
        <w:tc>
          <w:tcPr>
            <w:tcW w:w="850" w:type="dxa"/>
            <w:noWrap w:val="0"/>
            <w:vAlign w:val="center"/>
          </w:tcPr>
          <w:p w14:paraId="3FBDF7FB">
            <w:pPr>
              <w:pStyle w:val="2"/>
              <w:keepNext/>
              <w:spacing w:after="0" w:line="440" w:lineRule="exact"/>
              <w:ind w:left="63" w:right="63"/>
              <w:rPr>
                <w:rFonts w:eastAsia="仿宋_GB2312"/>
                <w:color w:val="auto"/>
                <w:sz w:val="30"/>
                <w:szCs w:val="30"/>
                <w:highlight w:val="none"/>
              </w:rPr>
            </w:pPr>
          </w:p>
        </w:tc>
      </w:tr>
      <w:tr w14:paraId="2EE20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235FA839">
            <w:pPr>
              <w:pStyle w:val="2"/>
              <w:keepNext/>
              <w:spacing w:after="0" w:line="440" w:lineRule="exact"/>
              <w:ind w:left="63" w:right="63"/>
              <w:rPr>
                <w:rFonts w:eastAsia="仿宋_GB2312"/>
                <w:color w:val="auto"/>
                <w:sz w:val="30"/>
                <w:szCs w:val="30"/>
                <w:highlight w:val="none"/>
              </w:rPr>
            </w:pPr>
          </w:p>
        </w:tc>
        <w:tc>
          <w:tcPr>
            <w:tcW w:w="1440" w:type="dxa"/>
            <w:noWrap w:val="0"/>
            <w:vAlign w:val="center"/>
          </w:tcPr>
          <w:p w14:paraId="07B4260F">
            <w:pPr>
              <w:pStyle w:val="2"/>
              <w:keepNext/>
              <w:spacing w:after="0" w:line="440" w:lineRule="exact"/>
              <w:ind w:left="63" w:right="63"/>
              <w:rPr>
                <w:rFonts w:eastAsia="仿宋_GB2312"/>
                <w:color w:val="auto"/>
                <w:sz w:val="30"/>
                <w:szCs w:val="30"/>
                <w:highlight w:val="none"/>
              </w:rPr>
            </w:pPr>
          </w:p>
        </w:tc>
        <w:tc>
          <w:tcPr>
            <w:tcW w:w="1620" w:type="dxa"/>
            <w:noWrap w:val="0"/>
            <w:vAlign w:val="center"/>
          </w:tcPr>
          <w:p w14:paraId="51705708">
            <w:pPr>
              <w:pStyle w:val="2"/>
              <w:keepNext/>
              <w:spacing w:after="0" w:line="440" w:lineRule="exact"/>
              <w:ind w:left="63" w:right="63"/>
              <w:rPr>
                <w:rFonts w:eastAsia="仿宋_GB2312"/>
                <w:color w:val="auto"/>
                <w:sz w:val="30"/>
                <w:szCs w:val="30"/>
                <w:highlight w:val="none"/>
              </w:rPr>
            </w:pPr>
          </w:p>
        </w:tc>
        <w:tc>
          <w:tcPr>
            <w:tcW w:w="1661" w:type="dxa"/>
            <w:noWrap w:val="0"/>
            <w:vAlign w:val="center"/>
          </w:tcPr>
          <w:p w14:paraId="5DD02A1D">
            <w:pPr>
              <w:pStyle w:val="2"/>
              <w:keepNext/>
              <w:spacing w:after="0" w:line="440" w:lineRule="exact"/>
              <w:ind w:left="63" w:right="63"/>
              <w:rPr>
                <w:rFonts w:eastAsia="仿宋_GB2312"/>
                <w:color w:val="auto"/>
                <w:sz w:val="30"/>
                <w:szCs w:val="30"/>
                <w:highlight w:val="none"/>
              </w:rPr>
            </w:pPr>
          </w:p>
        </w:tc>
        <w:tc>
          <w:tcPr>
            <w:tcW w:w="850" w:type="dxa"/>
            <w:noWrap w:val="0"/>
            <w:vAlign w:val="center"/>
          </w:tcPr>
          <w:p w14:paraId="5852C683">
            <w:pPr>
              <w:pStyle w:val="2"/>
              <w:keepNext/>
              <w:spacing w:after="0" w:line="440" w:lineRule="exact"/>
              <w:ind w:left="63" w:right="63"/>
              <w:rPr>
                <w:rFonts w:eastAsia="仿宋_GB2312"/>
                <w:color w:val="auto"/>
                <w:sz w:val="30"/>
                <w:szCs w:val="30"/>
                <w:highlight w:val="none"/>
              </w:rPr>
            </w:pPr>
          </w:p>
        </w:tc>
        <w:tc>
          <w:tcPr>
            <w:tcW w:w="1560" w:type="dxa"/>
            <w:noWrap w:val="0"/>
            <w:vAlign w:val="center"/>
          </w:tcPr>
          <w:p w14:paraId="2CC102B4">
            <w:pPr>
              <w:pStyle w:val="2"/>
              <w:keepNext/>
              <w:spacing w:after="0" w:line="440" w:lineRule="exact"/>
              <w:ind w:left="63" w:right="63"/>
              <w:rPr>
                <w:rFonts w:eastAsia="仿宋_GB2312"/>
                <w:color w:val="auto"/>
                <w:sz w:val="30"/>
                <w:szCs w:val="30"/>
                <w:highlight w:val="none"/>
              </w:rPr>
            </w:pPr>
          </w:p>
        </w:tc>
        <w:tc>
          <w:tcPr>
            <w:tcW w:w="2126" w:type="dxa"/>
            <w:noWrap w:val="0"/>
            <w:vAlign w:val="center"/>
          </w:tcPr>
          <w:p w14:paraId="2EA7CC67">
            <w:pPr>
              <w:pStyle w:val="2"/>
              <w:keepNext/>
              <w:spacing w:after="0" w:line="440" w:lineRule="exact"/>
              <w:ind w:left="63" w:right="63"/>
              <w:rPr>
                <w:rFonts w:eastAsia="仿宋_GB2312"/>
                <w:color w:val="auto"/>
                <w:sz w:val="30"/>
                <w:szCs w:val="30"/>
                <w:highlight w:val="none"/>
              </w:rPr>
            </w:pPr>
          </w:p>
        </w:tc>
        <w:tc>
          <w:tcPr>
            <w:tcW w:w="1417" w:type="dxa"/>
            <w:noWrap w:val="0"/>
            <w:vAlign w:val="center"/>
          </w:tcPr>
          <w:p w14:paraId="2B2D75BE">
            <w:pPr>
              <w:pStyle w:val="2"/>
              <w:keepNext/>
              <w:spacing w:after="0" w:line="440" w:lineRule="exact"/>
              <w:ind w:left="63" w:right="63"/>
              <w:rPr>
                <w:rFonts w:eastAsia="仿宋_GB2312"/>
                <w:color w:val="auto"/>
                <w:sz w:val="30"/>
                <w:szCs w:val="30"/>
                <w:highlight w:val="none"/>
              </w:rPr>
            </w:pPr>
          </w:p>
        </w:tc>
        <w:tc>
          <w:tcPr>
            <w:tcW w:w="851" w:type="dxa"/>
            <w:noWrap w:val="0"/>
            <w:vAlign w:val="center"/>
          </w:tcPr>
          <w:p w14:paraId="263D6DB7">
            <w:pPr>
              <w:pStyle w:val="2"/>
              <w:keepNext/>
              <w:spacing w:after="0" w:line="440" w:lineRule="exact"/>
              <w:ind w:left="63" w:right="63"/>
              <w:rPr>
                <w:rFonts w:eastAsia="仿宋_GB2312"/>
                <w:color w:val="auto"/>
                <w:sz w:val="30"/>
                <w:szCs w:val="30"/>
                <w:highlight w:val="none"/>
              </w:rPr>
            </w:pPr>
          </w:p>
        </w:tc>
        <w:tc>
          <w:tcPr>
            <w:tcW w:w="850" w:type="dxa"/>
            <w:noWrap w:val="0"/>
            <w:vAlign w:val="center"/>
          </w:tcPr>
          <w:p w14:paraId="671EEB5D">
            <w:pPr>
              <w:pStyle w:val="2"/>
              <w:keepNext/>
              <w:spacing w:after="0" w:line="440" w:lineRule="exact"/>
              <w:ind w:left="63" w:right="63"/>
              <w:rPr>
                <w:rFonts w:eastAsia="仿宋_GB2312"/>
                <w:color w:val="auto"/>
                <w:sz w:val="30"/>
                <w:szCs w:val="30"/>
                <w:highlight w:val="none"/>
              </w:rPr>
            </w:pPr>
          </w:p>
        </w:tc>
      </w:tr>
    </w:tbl>
    <w:p w14:paraId="5EEEAB3D">
      <w:pPr>
        <w:spacing w:line="460" w:lineRule="exact"/>
        <w:ind w:firstLine="420" w:firstLineChars="200"/>
        <w:rPr>
          <w:color w:val="auto"/>
          <w:highlight w:val="none"/>
        </w:rPr>
      </w:pPr>
    </w:p>
    <w:p w14:paraId="688CD645">
      <w:pPr>
        <w:spacing w:line="460" w:lineRule="exact"/>
        <w:ind w:firstLine="420" w:firstLineChars="200"/>
        <w:rPr>
          <w:color w:val="auto"/>
          <w:highlight w:val="none"/>
        </w:rPr>
      </w:pPr>
    </w:p>
    <w:p w14:paraId="4D57B2C7">
      <w:pPr>
        <w:spacing w:line="460" w:lineRule="exact"/>
        <w:ind w:firstLine="420" w:firstLineChars="200"/>
        <w:rPr>
          <w:color w:val="auto"/>
          <w:highlight w:val="none"/>
        </w:rPr>
        <w:sectPr>
          <w:pgSz w:w="16840" w:h="11907" w:orient="landscape"/>
          <w:pgMar w:top="1440" w:right="1440" w:bottom="1440" w:left="1797" w:header="851" w:footer="851" w:gutter="0"/>
          <w:cols w:space="720" w:num="1"/>
          <w:docGrid w:linePitch="312" w:charSpace="0"/>
        </w:sectPr>
      </w:pPr>
    </w:p>
    <w:p w14:paraId="0BBE3131">
      <w:pPr>
        <w:spacing w:line="440" w:lineRule="exact"/>
        <w:rPr>
          <w:color w:val="auto"/>
          <w:sz w:val="30"/>
          <w:szCs w:val="30"/>
          <w:highlight w:val="none"/>
        </w:rPr>
      </w:pPr>
      <w:r>
        <w:rPr>
          <w:rFonts w:hint="eastAsia" w:hAnsi="宋体" w:cs="宋体"/>
          <w:color w:val="auto"/>
          <w:sz w:val="30"/>
          <w:szCs w:val="30"/>
          <w:highlight w:val="none"/>
        </w:rPr>
        <w:t>附件</w:t>
      </w:r>
      <w:r>
        <w:rPr>
          <w:rFonts w:hint="eastAsia"/>
          <w:color w:val="auto"/>
          <w:sz w:val="30"/>
          <w:szCs w:val="30"/>
          <w:highlight w:val="none"/>
        </w:rPr>
        <w:t>2</w:t>
      </w:r>
      <w:r>
        <w:rPr>
          <w:rFonts w:hint="eastAsia" w:hAnsi="宋体" w:cs="宋体"/>
          <w:color w:val="auto"/>
          <w:sz w:val="30"/>
          <w:szCs w:val="30"/>
          <w:highlight w:val="none"/>
        </w:rPr>
        <w:t>：</w:t>
      </w:r>
    </w:p>
    <w:p w14:paraId="08503905">
      <w:pPr>
        <w:spacing w:before="120" w:beforeLines="50" w:after="120" w:afterLines="50" w:line="440" w:lineRule="exact"/>
        <w:jc w:val="center"/>
        <w:rPr>
          <w:rFonts w:ascii="黑体" w:eastAsia="黑体"/>
          <w:color w:val="auto"/>
          <w:sz w:val="32"/>
          <w:szCs w:val="32"/>
          <w:highlight w:val="none"/>
        </w:rPr>
      </w:pPr>
      <w:r>
        <w:rPr>
          <w:rFonts w:hint="eastAsia" w:ascii="黑体" w:hAnsi="宋体" w:eastAsia="黑体" w:cs="黑体"/>
          <w:color w:val="auto"/>
          <w:sz w:val="32"/>
          <w:szCs w:val="32"/>
          <w:highlight w:val="none"/>
        </w:rPr>
        <w:t>工程质量保修书（房屋建筑工程）</w:t>
      </w:r>
    </w:p>
    <w:p w14:paraId="10BEEDFA">
      <w:pPr>
        <w:spacing w:line="440" w:lineRule="exact"/>
        <w:ind w:firstLine="420" w:firstLineChars="200"/>
        <w:rPr>
          <w:color w:val="auto"/>
          <w:highlight w:val="none"/>
        </w:rPr>
      </w:pPr>
      <w:r>
        <w:rPr>
          <w:rFonts w:hint="eastAsia" w:hAnsi="宋体" w:cs="宋体"/>
          <w:color w:val="auto"/>
          <w:highlight w:val="none"/>
        </w:rPr>
        <w:t>发包人（全称）：</w:t>
      </w:r>
      <w:r>
        <w:rPr>
          <w:color w:val="auto"/>
          <w:highlight w:val="none"/>
          <w:u w:val="single"/>
        </w:rPr>
        <w:t xml:space="preserve">                                </w:t>
      </w:r>
      <w:r>
        <w:rPr>
          <w:color w:val="auto"/>
          <w:highlight w:val="none"/>
        </w:rPr>
        <w:t xml:space="preserve"> </w:t>
      </w:r>
    </w:p>
    <w:p w14:paraId="2F0732F9">
      <w:pPr>
        <w:spacing w:line="440" w:lineRule="exact"/>
        <w:ind w:firstLine="420" w:firstLineChars="200"/>
        <w:rPr>
          <w:color w:val="auto"/>
          <w:highlight w:val="none"/>
        </w:rPr>
      </w:pPr>
      <w:r>
        <w:rPr>
          <w:rFonts w:hint="eastAsia" w:hAnsi="宋体" w:cs="宋体"/>
          <w:color w:val="auto"/>
          <w:highlight w:val="none"/>
        </w:rPr>
        <w:t>承包人（全称）：</w:t>
      </w:r>
      <w:r>
        <w:rPr>
          <w:color w:val="auto"/>
          <w:highlight w:val="none"/>
          <w:u w:val="single"/>
        </w:rPr>
        <w:t xml:space="preserve">                                </w:t>
      </w:r>
      <w:r>
        <w:rPr>
          <w:color w:val="auto"/>
          <w:highlight w:val="none"/>
        </w:rPr>
        <w:t xml:space="preserve"> </w:t>
      </w:r>
    </w:p>
    <w:p w14:paraId="686A9DBD">
      <w:pPr>
        <w:spacing w:line="440" w:lineRule="exact"/>
        <w:rPr>
          <w:color w:val="auto"/>
          <w:highlight w:val="none"/>
        </w:rPr>
      </w:pPr>
    </w:p>
    <w:p w14:paraId="52D4EEC7">
      <w:pPr>
        <w:spacing w:line="360" w:lineRule="auto"/>
        <w:ind w:firstLine="420" w:firstLineChars="200"/>
        <w:rPr>
          <w:rFonts w:hAnsi="宋体"/>
          <w:color w:val="auto"/>
          <w:highlight w:val="none"/>
        </w:rPr>
      </w:pPr>
      <w:r>
        <w:rPr>
          <w:rFonts w:hint="eastAsia" w:hAnsi="宋体" w:cs="宋体"/>
          <w:color w:val="auto"/>
          <w:highlight w:val="none"/>
        </w:rPr>
        <w:t>发包人和承包人根据《中华人民共和国建筑法》和《建设工程质量管理条例》，经协商一致就</w:t>
      </w:r>
      <w:r>
        <w:rPr>
          <w:color w:val="auto"/>
          <w:highlight w:val="none"/>
          <w:u w:val="single"/>
        </w:rPr>
        <w:t xml:space="preserve">                                   </w:t>
      </w:r>
      <w:r>
        <w:rPr>
          <w:rFonts w:hint="eastAsia" w:hAnsi="宋体" w:cs="宋体"/>
          <w:color w:val="auto"/>
          <w:highlight w:val="none"/>
        </w:rPr>
        <w:t>（工程全称）签订工程质量保修书。</w:t>
      </w:r>
    </w:p>
    <w:p w14:paraId="7D583460">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一、工程质量保修范围和内容</w:t>
      </w:r>
    </w:p>
    <w:p w14:paraId="1C62E132">
      <w:pPr>
        <w:spacing w:line="360" w:lineRule="auto"/>
        <w:ind w:firstLine="420" w:firstLineChars="200"/>
        <w:rPr>
          <w:color w:val="auto"/>
          <w:highlight w:val="none"/>
        </w:rPr>
      </w:pPr>
      <w:r>
        <w:rPr>
          <w:rFonts w:hint="eastAsia" w:hAnsi="宋体" w:cs="宋体"/>
          <w:color w:val="auto"/>
          <w:highlight w:val="none"/>
        </w:rPr>
        <w:t>承包人在质量保修期内，按照有关法律规定和合同约定，承担工程质量保修责任。</w:t>
      </w:r>
    </w:p>
    <w:p w14:paraId="578BEFBE">
      <w:pPr>
        <w:spacing w:line="360" w:lineRule="auto"/>
        <w:ind w:firstLine="420"/>
        <w:rPr>
          <w:rFonts w:hAnsi="宋体"/>
          <w:color w:val="auto"/>
          <w:highlight w:val="none"/>
        </w:rPr>
      </w:pPr>
      <w:r>
        <w:rPr>
          <w:rFonts w:hint="eastAsia" w:hAnsi="宋体" w:cs="宋体"/>
          <w:color w:val="auto"/>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1899AD13">
      <w:pPr>
        <w:spacing w:line="360" w:lineRule="auto"/>
        <w:ind w:firstLine="420"/>
        <w:rPr>
          <w:rFonts w:hAnsi="宋体"/>
          <w:color w:val="auto"/>
          <w:highlight w:val="none"/>
        </w:rPr>
      </w:pPr>
      <w:r>
        <w:rPr>
          <w:color w:val="auto"/>
          <w:highlight w:val="none"/>
          <w:u w:val="single"/>
        </w:rPr>
        <w:t xml:space="preserve">                                                                                                                                                            </w:t>
      </w:r>
      <w:r>
        <w:rPr>
          <w:rFonts w:hint="eastAsia" w:hAnsi="宋体" w:cs="宋体"/>
          <w:color w:val="auto"/>
          <w:highlight w:val="none"/>
        </w:rPr>
        <w:t>。</w:t>
      </w:r>
    </w:p>
    <w:p w14:paraId="1B6A9266">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二、质量保修期</w:t>
      </w:r>
    </w:p>
    <w:p w14:paraId="5EEE4CB1">
      <w:pPr>
        <w:spacing w:line="360" w:lineRule="auto"/>
        <w:ind w:firstLine="420"/>
        <w:rPr>
          <w:rFonts w:hAnsi="宋体"/>
          <w:color w:val="auto"/>
          <w:highlight w:val="none"/>
        </w:rPr>
      </w:pPr>
      <w:r>
        <w:rPr>
          <w:rFonts w:hint="eastAsia" w:hAnsi="宋体" w:cs="宋体"/>
          <w:color w:val="auto"/>
          <w:highlight w:val="none"/>
        </w:rPr>
        <w:t>根据《建设工程质量管理条例》及有关规定，工程的质量保修期如下：</w:t>
      </w:r>
    </w:p>
    <w:p w14:paraId="0D0B0ABF">
      <w:pPr>
        <w:spacing w:line="360" w:lineRule="auto"/>
        <w:ind w:firstLine="420"/>
        <w:rPr>
          <w:rFonts w:hAnsi="宋体"/>
          <w:color w:val="auto"/>
          <w:highlight w:val="none"/>
        </w:rPr>
      </w:pPr>
      <w:r>
        <w:rPr>
          <w:color w:val="auto"/>
          <w:highlight w:val="none"/>
        </w:rPr>
        <w:t>1</w:t>
      </w:r>
      <w:r>
        <w:rPr>
          <w:rFonts w:hint="eastAsia" w:hAnsi="宋体" w:cs="宋体"/>
          <w:color w:val="auto"/>
          <w:highlight w:val="none"/>
        </w:rPr>
        <w:t>．地基基础工程和主体结构工程为设计文件规定的工程合理使用年限；</w:t>
      </w:r>
    </w:p>
    <w:p w14:paraId="797C9EF1">
      <w:pPr>
        <w:spacing w:line="360" w:lineRule="auto"/>
        <w:ind w:firstLine="420"/>
        <w:rPr>
          <w:rFonts w:hAnsi="宋体"/>
          <w:color w:val="auto"/>
          <w:highlight w:val="none"/>
        </w:rPr>
      </w:pPr>
      <w:r>
        <w:rPr>
          <w:color w:val="auto"/>
          <w:highlight w:val="none"/>
        </w:rPr>
        <w:t>2</w:t>
      </w:r>
      <w:r>
        <w:rPr>
          <w:rFonts w:hint="eastAsia" w:hAnsi="宋体" w:cs="宋体"/>
          <w:color w:val="auto"/>
          <w:highlight w:val="none"/>
        </w:rPr>
        <w:t>．屋面防水工程、有防水要求的卫生间、房间和外墙面的防渗为</w:t>
      </w:r>
      <w:r>
        <w:rPr>
          <w:color w:val="auto"/>
          <w:highlight w:val="none"/>
          <w:u w:val="single"/>
        </w:rPr>
        <w:t xml:space="preserve"> </w:t>
      </w:r>
      <w:r>
        <w:rPr>
          <w:rFonts w:hint="eastAsia"/>
          <w:color w:val="auto"/>
          <w:highlight w:val="none"/>
          <w:u w:val="single"/>
          <w:lang w:val="en-US" w:eastAsia="zh-CN"/>
        </w:rPr>
        <w:t>5</w:t>
      </w:r>
      <w:r>
        <w:rPr>
          <w:color w:val="auto"/>
          <w:highlight w:val="none"/>
          <w:u w:val="single"/>
        </w:rPr>
        <w:t xml:space="preserve"> </w:t>
      </w:r>
      <w:r>
        <w:rPr>
          <w:rFonts w:hint="eastAsia" w:hAnsi="宋体" w:cs="宋体"/>
          <w:color w:val="auto"/>
          <w:highlight w:val="none"/>
        </w:rPr>
        <w:t>年；</w:t>
      </w:r>
    </w:p>
    <w:p w14:paraId="4BB036B8">
      <w:pPr>
        <w:spacing w:line="360" w:lineRule="auto"/>
        <w:ind w:firstLine="420"/>
        <w:rPr>
          <w:rFonts w:hAnsi="宋体"/>
          <w:color w:val="auto"/>
          <w:highlight w:val="none"/>
        </w:rPr>
      </w:pPr>
      <w:r>
        <w:rPr>
          <w:color w:val="auto"/>
          <w:highlight w:val="none"/>
        </w:rPr>
        <w:t>3</w:t>
      </w:r>
      <w:r>
        <w:rPr>
          <w:rFonts w:hint="eastAsia" w:hAnsi="宋体" w:cs="宋体"/>
          <w:color w:val="auto"/>
          <w:highlight w:val="none"/>
        </w:rPr>
        <w:t>．装修工程为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年；</w:t>
      </w:r>
    </w:p>
    <w:p w14:paraId="3B68C559">
      <w:pPr>
        <w:spacing w:line="360" w:lineRule="auto"/>
        <w:ind w:firstLine="420"/>
        <w:rPr>
          <w:rFonts w:hAnsi="宋体"/>
          <w:color w:val="auto"/>
          <w:highlight w:val="none"/>
        </w:rPr>
      </w:pPr>
      <w:r>
        <w:rPr>
          <w:color w:val="auto"/>
          <w:highlight w:val="none"/>
        </w:rPr>
        <w:t>4</w:t>
      </w:r>
      <w:r>
        <w:rPr>
          <w:rFonts w:hint="eastAsia" w:hAnsi="宋体" w:cs="宋体"/>
          <w:color w:val="auto"/>
          <w:highlight w:val="none"/>
        </w:rPr>
        <w:t>．电气管线、给排水管道、设备安装工程为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年；</w:t>
      </w:r>
    </w:p>
    <w:p w14:paraId="067B4163">
      <w:pPr>
        <w:spacing w:line="360" w:lineRule="auto"/>
        <w:ind w:firstLine="420"/>
        <w:rPr>
          <w:rFonts w:hAnsi="宋体"/>
          <w:color w:val="auto"/>
          <w:highlight w:val="none"/>
        </w:rPr>
      </w:pPr>
      <w:r>
        <w:rPr>
          <w:color w:val="auto"/>
          <w:highlight w:val="none"/>
        </w:rPr>
        <w:t>5</w:t>
      </w:r>
      <w:r>
        <w:rPr>
          <w:rFonts w:hint="eastAsia" w:hAnsi="宋体" w:cs="宋体"/>
          <w:color w:val="auto"/>
          <w:highlight w:val="none"/>
        </w:rPr>
        <w:t>．供热与供冷系统为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个采暖期、供冷期；</w:t>
      </w:r>
    </w:p>
    <w:p w14:paraId="16358C27">
      <w:pPr>
        <w:spacing w:line="360" w:lineRule="auto"/>
        <w:ind w:firstLine="420"/>
        <w:rPr>
          <w:rFonts w:hAnsi="宋体"/>
          <w:color w:val="auto"/>
          <w:highlight w:val="none"/>
        </w:rPr>
      </w:pPr>
      <w:r>
        <w:rPr>
          <w:color w:val="auto"/>
          <w:highlight w:val="none"/>
        </w:rPr>
        <w:t>6</w:t>
      </w:r>
      <w:r>
        <w:rPr>
          <w:rFonts w:hint="eastAsia" w:hAnsi="宋体" w:cs="宋体"/>
          <w:color w:val="auto"/>
          <w:highlight w:val="none"/>
        </w:rPr>
        <w:t>．住宅小区内的给排水设施、道路等配套工程为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年；</w:t>
      </w:r>
    </w:p>
    <w:p w14:paraId="7AF0DF69">
      <w:pPr>
        <w:spacing w:line="360" w:lineRule="auto"/>
        <w:ind w:firstLine="420"/>
        <w:rPr>
          <w:rFonts w:hAnsi="宋体"/>
          <w:color w:val="auto"/>
          <w:highlight w:val="none"/>
        </w:rPr>
      </w:pPr>
      <w:r>
        <w:rPr>
          <w:color w:val="auto"/>
          <w:highlight w:val="none"/>
        </w:rPr>
        <w:t>7</w:t>
      </w:r>
      <w:r>
        <w:rPr>
          <w:rFonts w:hint="eastAsia" w:hAnsi="宋体" w:cs="宋体"/>
          <w:color w:val="auto"/>
          <w:highlight w:val="none"/>
        </w:rPr>
        <w:t>．其他项目保修期限约定如下：</w:t>
      </w:r>
      <w:r>
        <w:rPr>
          <w:rFonts w:hint="eastAsia" w:hAnsi="宋体" w:cs="宋体"/>
          <w:color w:val="auto"/>
          <w:highlight w:val="none"/>
          <w:u w:val="single"/>
          <w:lang w:val="en-US" w:eastAsia="zh-CN"/>
        </w:rPr>
        <w:t xml:space="preserve"> </w:t>
      </w:r>
      <w:r>
        <w:rPr>
          <w:rFonts w:hint="eastAsia" w:hAnsi="宋体"/>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14:paraId="7A7E9AF8">
      <w:pPr>
        <w:spacing w:line="360" w:lineRule="auto"/>
        <w:ind w:firstLine="420"/>
        <w:rPr>
          <w:rFonts w:hAnsi="宋体"/>
          <w:color w:val="auto"/>
          <w:highlight w:val="none"/>
        </w:rPr>
      </w:pPr>
      <w:r>
        <w:rPr>
          <w:rFonts w:hint="eastAsia" w:hAnsi="宋体" w:cs="宋体"/>
          <w:color w:val="auto"/>
          <w:highlight w:val="none"/>
        </w:rPr>
        <w:t>质量保修期自工程竣工验收合格之日起计算。</w:t>
      </w:r>
    </w:p>
    <w:p w14:paraId="2FE15883">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三、缺陷责任期</w:t>
      </w:r>
    </w:p>
    <w:p w14:paraId="2D6ACCA8">
      <w:pPr>
        <w:spacing w:line="360" w:lineRule="auto"/>
        <w:ind w:firstLine="420"/>
        <w:rPr>
          <w:rFonts w:hAnsi="宋体"/>
          <w:color w:val="auto"/>
          <w:highlight w:val="none"/>
        </w:rPr>
      </w:pPr>
      <w:r>
        <w:rPr>
          <w:rFonts w:hint="eastAsia" w:hAnsi="宋体" w:cs="宋体"/>
          <w:color w:val="auto"/>
          <w:highlight w:val="none"/>
        </w:rPr>
        <w:t>工程缺陷责任期为</w:t>
      </w:r>
      <w:r>
        <w:rPr>
          <w:color w:val="auto"/>
          <w:highlight w:val="none"/>
          <w:u w:val="single"/>
        </w:rPr>
        <w:t xml:space="preserve"> </w:t>
      </w:r>
      <w:r>
        <w:rPr>
          <w:rFonts w:hint="eastAsia"/>
          <w:color w:val="auto"/>
          <w:highlight w:val="none"/>
          <w:u w:val="single"/>
          <w:lang w:val="en-US" w:eastAsia="zh-CN"/>
        </w:rPr>
        <w:t>24</w:t>
      </w:r>
      <w:r>
        <w:rPr>
          <w:color w:val="auto"/>
          <w:highlight w:val="none"/>
          <w:u w:val="single"/>
        </w:rPr>
        <w:t xml:space="preserve"> </w:t>
      </w:r>
      <w:r>
        <w:rPr>
          <w:rFonts w:hint="eastAsia" w:hAnsi="宋体" w:cs="宋体"/>
          <w:color w:val="auto"/>
          <w:highlight w:val="none"/>
        </w:rPr>
        <w:t>个月（最长不超过</w:t>
      </w:r>
      <w:r>
        <w:rPr>
          <w:rFonts w:hAnsi="宋体"/>
          <w:color w:val="auto"/>
          <w:highlight w:val="none"/>
        </w:rPr>
        <w:t>24</w:t>
      </w:r>
      <w:r>
        <w:rPr>
          <w:rFonts w:hint="eastAsia" w:hAnsi="宋体" w:cs="宋体"/>
          <w:color w:val="auto"/>
          <w:highlight w:val="none"/>
        </w:rPr>
        <w:t>个月），缺陷责任期自工程竣工验收合格之日起计算。单位工程先于全部工程进行验收，单位工程缺陷责任期自单位工程验收合格之日起算。</w:t>
      </w:r>
    </w:p>
    <w:p w14:paraId="5AB5C2E8">
      <w:pPr>
        <w:spacing w:line="360" w:lineRule="auto"/>
        <w:ind w:firstLine="420"/>
        <w:rPr>
          <w:rFonts w:hAnsi="宋体"/>
          <w:color w:val="auto"/>
          <w:highlight w:val="none"/>
        </w:rPr>
      </w:pPr>
      <w:r>
        <w:rPr>
          <w:rFonts w:hint="eastAsia" w:hAnsi="宋体" w:cs="宋体"/>
          <w:color w:val="auto"/>
          <w:highlight w:val="none"/>
        </w:rPr>
        <w:t>缺陷责任期</w:t>
      </w:r>
      <w:r>
        <w:rPr>
          <w:rFonts w:hint="eastAsia" w:hAnsi="宋体" w:cs="宋体"/>
          <w:color w:val="auto"/>
          <w:highlight w:val="none"/>
          <w:u w:val="none"/>
        </w:rPr>
        <w:t>满</w:t>
      </w:r>
      <w:r>
        <w:rPr>
          <w:rFonts w:hint="eastAsia" w:ascii="仿宋_GB2312" w:hAnsi="宋体"/>
          <w:color w:val="auto"/>
          <w:highlight w:val="none"/>
        </w:rPr>
        <w:t>之日起</w:t>
      </w:r>
      <w:r>
        <w:rPr>
          <w:color w:val="auto"/>
          <w:highlight w:val="none"/>
          <w:u w:val="single"/>
        </w:rPr>
        <w:t xml:space="preserve"> </w:t>
      </w:r>
      <w:r>
        <w:rPr>
          <w:rFonts w:hint="eastAsia"/>
          <w:color w:val="auto"/>
          <w:highlight w:val="none"/>
          <w:u w:val="single"/>
          <w:lang w:val="en-US" w:eastAsia="zh-CN"/>
        </w:rPr>
        <w:t>/</w:t>
      </w:r>
      <w:r>
        <w:rPr>
          <w:color w:val="auto"/>
          <w:highlight w:val="none"/>
          <w:u w:val="single"/>
        </w:rPr>
        <w:t xml:space="preserve"> </w:t>
      </w:r>
      <w:r>
        <w:rPr>
          <w:rFonts w:hint="eastAsia" w:ascii="仿宋_GB2312" w:hAnsi="宋体"/>
          <w:color w:val="auto"/>
          <w:highlight w:val="none"/>
        </w:rPr>
        <w:t>天</w:t>
      </w:r>
      <w:r>
        <w:rPr>
          <w:rFonts w:hint="eastAsia" w:hAnsi="宋体" w:cs="宋体"/>
          <w:color w:val="auto"/>
          <w:highlight w:val="none"/>
          <w:u w:val="single"/>
        </w:rPr>
        <w:t>（按</w:t>
      </w:r>
      <w:r>
        <w:rPr>
          <w:rFonts w:hAnsi="宋体" w:cs="宋体"/>
          <w:color w:val="auto"/>
          <w:highlight w:val="none"/>
          <w:u w:val="single"/>
        </w:rPr>
        <w:t>合同约定期限）</w:t>
      </w:r>
      <w:r>
        <w:rPr>
          <w:rFonts w:hint="eastAsia" w:hAnsi="宋体" w:cs="宋体"/>
          <w:color w:val="auto"/>
          <w:highlight w:val="none"/>
          <w:u w:val="single"/>
        </w:rPr>
        <w:t>，</w:t>
      </w:r>
      <w:r>
        <w:rPr>
          <w:rFonts w:hint="eastAsia" w:hAnsi="宋体" w:cs="宋体"/>
          <w:color w:val="auto"/>
          <w:highlight w:val="none"/>
        </w:rPr>
        <w:t>发包人应退还剩余的质量保证金。</w:t>
      </w:r>
    </w:p>
    <w:p w14:paraId="18576EFD">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四、质量保修责任</w:t>
      </w:r>
    </w:p>
    <w:p w14:paraId="6A224867">
      <w:pPr>
        <w:spacing w:line="360" w:lineRule="auto"/>
        <w:ind w:left="105" w:leftChars="50" w:firstLine="430" w:firstLineChars="205"/>
        <w:rPr>
          <w:rFonts w:hAnsi="宋体"/>
          <w:color w:val="auto"/>
          <w:highlight w:val="none"/>
        </w:rPr>
      </w:pPr>
      <w:r>
        <w:rPr>
          <w:color w:val="auto"/>
          <w:highlight w:val="none"/>
        </w:rPr>
        <w:t>1</w:t>
      </w:r>
      <w:r>
        <w:rPr>
          <w:rFonts w:hint="eastAsia" w:hAnsi="宋体" w:cs="宋体"/>
          <w:color w:val="auto"/>
          <w:highlight w:val="none"/>
        </w:rPr>
        <w:t>．属于保修范围、内容的项目，承包人应当在接到保修通知之日起</w:t>
      </w:r>
      <w:r>
        <w:rPr>
          <w:color w:val="auto"/>
          <w:highlight w:val="none"/>
          <w:u w:val="single"/>
        </w:rPr>
        <w:t xml:space="preserve">  </w:t>
      </w:r>
      <w:r>
        <w:rPr>
          <w:rFonts w:hint="eastAsia"/>
          <w:color w:val="auto"/>
          <w:highlight w:val="none"/>
          <w:u w:val="single"/>
          <w:lang w:val="en-US" w:eastAsia="zh-CN"/>
        </w:rPr>
        <w:t>7</w:t>
      </w:r>
      <w:r>
        <w:rPr>
          <w:color w:val="auto"/>
          <w:highlight w:val="none"/>
          <w:u w:val="single"/>
        </w:rPr>
        <w:t xml:space="preserve">  </w:t>
      </w:r>
      <w:r>
        <w:rPr>
          <w:rFonts w:hint="eastAsia" w:hAnsi="宋体" w:cs="宋体"/>
          <w:color w:val="auto"/>
          <w:highlight w:val="none"/>
        </w:rPr>
        <w:t>天内派人保修。承包人不在约定期限内派人保修的，发包人可以委托他人修理，修理费用从质量保证金内扣除。</w:t>
      </w:r>
    </w:p>
    <w:p w14:paraId="54852C70">
      <w:pPr>
        <w:spacing w:line="360" w:lineRule="auto"/>
        <w:ind w:firstLine="420"/>
        <w:rPr>
          <w:rFonts w:hAnsi="宋体"/>
          <w:color w:val="auto"/>
          <w:highlight w:val="none"/>
        </w:rPr>
      </w:pPr>
      <w:r>
        <w:rPr>
          <w:color w:val="auto"/>
          <w:highlight w:val="none"/>
        </w:rPr>
        <w:t>2</w:t>
      </w:r>
      <w:r>
        <w:rPr>
          <w:rFonts w:hint="eastAsia" w:hAnsi="宋体" w:cs="宋体"/>
          <w:color w:val="auto"/>
          <w:highlight w:val="none"/>
        </w:rPr>
        <w:t>．发生紧急事故需抢修的，承包人在接到事故通知后，应当立即到达事故现场抢修。</w:t>
      </w:r>
    </w:p>
    <w:p w14:paraId="495DCDDC">
      <w:pPr>
        <w:spacing w:line="360" w:lineRule="auto"/>
        <w:ind w:firstLine="420"/>
        <w:rPr>
          <w:rFonts w:hAnsi="宋体"/>
          <w:color w:val="auto"/>
          <w:highlight w:val="none"/>
        </w:rPr>
      </w:pPr>
      <w:r>
        <w:rPr>
          <w:color w:val="auto"/>
          <w:highlight w:val="none"/>
        </w:rPr>
        <w:t>3</w:t>
      </w:r>
      <w:r>
        <w:rPr>
          <w:rFonts w:hint="eastAsia" w:hAnsi="宋体" w:cs="宋体"/>
          <w:color w:val="auto"/>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7B2EB06">
      <w:pPr>
        <w:spacing w:line="360" w:lineRule="auto"/>
        <w:ind w:firstLine="420"/>
        <w:rPr>
          <w:rFonts w:hAnsi="宋体"/>
          <w:color w:val="auto"/>
          <w:highlight w:val="none"/>
        </w:rPr>
      </w:pPr>
      <w:r>
        <w:rPr>
          <w:color w:val="auto"/>
          <w:highlight w:val="none"/>
        </w:rPr>
        <w:t>4</w:t>
      </w:r>
      <w:r>
        <w:rPr>
          <w:rFonts w:hint="eastAsia" w:hAnsi="宋体" w:cs="宋体"/>
          <w:color w:val="auto"/>
          <w:highlight w:val="none"/>
        </w:rPr>
        <w:t>．质量保修完成后，由发包人组织验收。</w:t>
      </w:r>
    </w:p>
    <w:p w14:paraId="3D887DBB">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五、保修费用</w:t>
      </w:r>
    </w:p>
    <w:p w14:paraId="6B27CD1B">
      <w:pPr>
        <w:tabs>
          <w:tab w:val="left" w:pos="7380"/>
        </w:tabs>
        <w:spacing w:line="360" w:lineRule="auto"/>
        <w:ind w:firstLine="420"/>
        <w:rPr>
          <w:rFonts w:hAnsi="宋体"/>
          <w:color w:val="auto"/>
          <w:highlight w:val="none"/>
        </w:rPr>
      </w:pPr>
      <w:r>
        <w:rPr>
          <w:rFonts w:hint="eastAsia" w:hAnsi="宋体" w:cs="宋体"/>
          <w:color w:val="auto"/>
          <w:highlight w:val="none"/>
        </w:rPr>
        <w:t>保修费用由造成质量缺陷的责任方承担。</w:t>
      </w:r>
    </w:p>
    <w:p w14:paraId="78E39780">
      <w:pPr>
        <w:spacing w:line="360" w:lineRule="auto"/>
        <w:ind w:firstLine="420"/>
        <w:rPr>
          <w:rFonts w:ascii="黑体" w:hAnsi="宋体" w:eastAsia="黑体" w:cs="黑体"/>
          <w:color w:val="auto"/>
          <w:highlight w:val="none"/>
        </w:rPr>
      </w:pPr>
      <w:r>
        <w:rPr>
          <w:rFonts w:hint="eastAsia" w:ascii="黑体" w:hAnsi="宋体" w:eastAsia="黑体" w:cs="黑体"/>
          <w:color w:val="auto"/>
          <w:highlight w:val="none"/>
        </w:rPr>
        <w:t>六、双方约定的其他工程质量保修事项：</w:t>
      </w:r>
      <w:r>
        <w:rPr>
          <w:rFonts w:ascii="黑体" w:hAnsi="宋体" w:eastAsia="黑体" w:cs="黑体"/>
          <w:color w:val="auto"/>
          <w:highlight w:val="none"/>
        </w:rPr>
        <w:t xml:space="preserve"> </w:t>
      </w:r>
    </w:p>
    <w:p w14:paraId="0A510C7B">
      <w:pPr>
        <w:spacing w:line="360" w:lineRule="auto"/>
        <w:ind w:firstLine="420" w:firstLineChars="200"/>
        <w:jc w:val="left"/>
        <w:rPr>
          <w:color w:val="auto"/>
          <w:highlight w:val="none"/>
        </w:rPr>
      </w:pPr>
      <w:r>
        <w:rPr>
          <w:color w:val="auto"/>
          <w:highlight w:val="none"/>
          <w:u w:val="single"/>
        </w:rPr>
        <w:t xml:space="preserve">                                                                                                                                                             </w:t>
      </w:r>
      <w:r>
        <w:rPr>
          <w:rFonts w:hint="eastAsia" w:hAnsi="宋体" w:cs="宋体"/>
          <w:color w:val="auto"/>
          <w:highlight w:val="none"/>
        </w:rPr>
        <w:t>。</w:t>
      </w:r>
    </w:p>
    <w:p w14:paraId="4D89AA20">
      <w:pPr>
        <w:spacing w:line="360" w:lineRule="auto"/>
        <w:ind w:firstLine="399" w:firstLineChars="190"/>
        <w:rPr>
          <w:color w:val="auto"/>
          <w:highlight w:val="none"/>
        </w:rPr>
      </w:pPr>
      <w:r>
        <w:rPr>
          <w:rFonts w:hint="eastAsia" w:hAnsi="宋体" w:cs="宋体"/>
          <w:color w:val="auto"/>
          <w:highlight w:val="none"/>
        </w:rPr>
        <w:t>工程质量保修书由发包人、承包人在工程竣工验收前共同签署，作为施工合同附件，其有效期限至保修期满。</w:t>
      </w:r>
    </w:p>
    <w:p w14:paraId="7B3CCB48">
      <w:pPr>
        <w:spacing w:line="360" w:lineRule="auto"/>
        <w:ind w:firstLine="420"/>
        <w:rPr>
          <w:color w:val="auto"/>
          <w:highlight w:val="none"/>
        </w:rPr>
      </w:pPr>
    </w:p>
    <w:p w14:paraId="3E241A0D">
      <w:pPr>
        <w:spacing w:line="360" w:lineRule="auto"/>
        <w:rPr>
          <w:color w:val="auto"/>
          <w:highlight w:val="none"/>
        </w:rPr>
      </w:pPr>
      <w:r>
        <w:rPr>
          <w:rFonts w:hAnsi="宋体"/>
          <w:color w:val="auto"/>
          <w:highlight w:val="none"/>
        </w:rPr>
        <w:t>发包人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承包人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p>
    <w:p w14:paraId="06E6AD24">
      <w:pPr>
        <w:spacing w:line="360" w:lineRule="auto"/>
        <w:rPr>
          <w:color w:val="auto"/>
          <w:highlight w:val="none"/>
        </w:rPr>
      </w:pPr>
      <w:r>
        <w:rPr>
          <w:rFonts w:hAnsi="宋体"/>
          <w:color w:val="auto"/>
          <w:highlight w:val="none"/>
        </w:rPr>
        <w:t>地</w:t>
      </w:r>
      <w:r>
        <w:rPr>
          <w:color w:val="auto"/>
          <w:highlight w:val="none"/>
        </w:rPr>
        <w:t xml:space="preserve">  </w:t>
      </w:r>
      <w:r>
        <w:rPr>
          <w:rFonts w:hAnsi="宋体"/>
          <w:color w:val="auto"/>
          <w:highlight w:val="none"/>
        </w:rPr>
        <w:t>址：</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地</w:t>
      </w:r>
      <w:r>
        <w:rPr>
          <w:color w:val="auto"/>
          <w:highlight w:val="none"/>
        </w:rPr>
        <w:t xml:space="preserve">  </w:t>
      </w:r>
      <w:r>
        <w:rPr>
          <w:rFonts w:hAnsi="宋体"/>
          <w:color w:val="auto"/>
          <w:highlight w:val="none"/>
        </w:rPr>
        <w:t>址：</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rFonts w:ascii="宋体" w:hAnsi="宋体"/>
          <w:color w:val="auto"/>
          <w:highlight w:val="none"/>
          <w:u w:val="single"/>
        </w:rPr>
        <w:t></w:t>
      </w:r>
    </w:p>
    <w:p w14:paraId="6EDFF670">
      <w:pPr>
        <w:spacing w:line="360" w:lineRule="auto"/>
        <w:rPr>
          <w:color w:val="auto"/>
          <w:highlight w:val="none"/>
        </w:rPr>
      </w:pP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235D667A">
      <w:pPr>
        <w:spacing w:line="360" w:lineRule="auto"/>
        <w:rPr>
          <w:color w:val="auto"/>
          <w:highlight w:val="none"/>
        </w:rPr>
      </w:pP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62925311">
      <w:pPr>
        <w:spacing w:line="360" w:lineRule="auto"/>
        <w:rPr>
          <w:color w:val="auto"/>
          <w:highlight w:val="none"/>
        </w:rPr>
      </w:pP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3A602881">
      <w:pPr>
        <w:spacing w:line="360" w:lineRule="auto"/>
        <w:rPr>
          <w:color w:val="auto"/>
          <w:highlight w:val="none"/>
        </w:rPr>
      </w:pP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rFonts w:ascii="宋体" w:hAnsi="宋体"/>
          <w:color w:val="auto"/>
          <w:highlight w:val="none"/>
          <w:u w:val="single"/>
        </w:rPr>
        <w:t></w:t>
      </w:r>
    </w:p>
    <w:p w14:paraId="4AA961EF">
      <w:pPr>
        <w:spacing w:line="360" w:lineRule="auto"/>
        <w:rPr>
          <w:color w:val="auto"/>
          <w:highlight w:val="none"/>
        </w:rPr>
      </w:pP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63048DF1">
      <w:pPr>
        <w:tabs>
          <w:tab w:val="left" w:pos="2880"/>
          <w:tab w:val="left" w:pos="3060"/>
          <w:tab w:val="left" w:pos="4500"/>
        </w:tabs>
        <w:spacing w:line="360" w:lineRule="auto"/>
        <w:rPr>
          <w:color w:val="auto"/>
          <w:highlight w:val="none"/>
        </w:rPr>
      </w:pP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3178408F">
      <w:pPr>
        <w:tabs>
          <w:tab w:val="left" w:pos="7200"/>
          <w:tab w:val="left" w:pos="7380"/>
          <w:tab w:val="left" w:pos="7560"/>
        </w:tabs>
        <w:spacing w:line="360" w:lineRule="auto"/>
        <w:rPr>
          <w:color w:val="auto"/>
          <w:highlight w:val="none"/>
        </w:rPr>
      </w:pPr>
      <w:r>
        <w:rPr>
          <w:rFonts w:hAnsi="宋体"/>
          <w:color w:val="auto"/>
          <w:highlight w:val="none"/>
        </w:rPr>
        <w:t>邮政编码：</w:t>
      </w:r>
      <w:r>
        <w:rPr>
          <w:color w:val="auto"/>
          <w:highlight w:val="none"/>
          <w:u w:val="single"/>
        </w:rPr>
        <w:t xml:space="preserve"> </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邮政编码：</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77A3FC3C">
      <w:pPr>
        <w:spacing w:before="120" w:beforeLines="50" w:after="120" w:afterLines="50" w:line="440" w:lineRule="exact"/>
        <w:jc w:val="center"/>
        <w:rPr>
          <w:rFonts w:ascii="黑体" w:hAnsi="宋体" w:eastAsia="黑体"/>
          <w:color w:val="auto"/>
          <w:sz w:val="32"/>
          <w:szCs w:val="32"/>
          <w:highlight w:val="none"/>
        </w:rPr>
      </w:pPr>
    </w:p>
    <w:p w14:paraId="11D1C3EF">
      <w:pPr>
        <w:spacing w:before="120" w:beforeLines="50" w:after="120" w:afterLines="50" w:line="440" w:lineRule="exact"/>
        <w:jc w:val="center"/>
        <w:rPr>
          <w:rFonts w:ascii="黑体" w:hAnsi="宋体" w:eastAsia="黑体"/>
          <w:color w:val="auto"/>
          <w:sz w:val="32"/>
          <w:szCs w:val="32"/>
          <w:highlight w:val="none"/>
        </w:rPr>
      </w:pPr>
    </w:p>
    <w:p w14:paraId="02B3CD0A">
      <w:pPr>
        <w:spacing w:before="120" w:beforeLines="50" w:after="120" w:afterLines="50" w:line="440" w:lineRule="exact"/>
        <w:jc w:val="center"/>
        <w:rPr>
          <w:rFonts w:ascii="黑体" w:hAnsi="宋体" w:eastAsia="黑体"/>
          <w:color w:val="auto"/>
          <w:sz w:val="32"/>
          <w:szCs w:val="32"/>
          <w:highlight w:val="none"/>
        </w:rPr>
      </w:pPr>
    </w:p>
    <w:p w14:paraId="727AAC9A">
      <w:pPr>
        <w:spacing w:before="120" w:beforeLines="50" w:after="120" w:afterLines="50" w:line="440" w:lineRule="exact"/>
        <w:jc w:val="center"/>
        <w:rPr>
          <w:rFonts w:ascii="黑体" w:hAnsi="宋体" w:eastAsia="黑体"/>
          <w:color w:val="auto"/>
          <w:sz w:val="32"/>
          <w:szCs w:val="32"/>
          <w:highlight w:val="none"/>
        </w:rPr>
      </w:pPr>
    </w:p>
    <w:p w14:paraId="4095C65F">
      <w:pPr>
        <w:spacing w:before="120" w:beforeLines="50" w:after="120" w:afterLines="50" w:line="440" w:lineRule="exact"/>
        <w:jc w:val="center"/>
        <w:rPr>
          <w:rFonts w:ascii="黑体" w:hAnsi="宋体" w:eastAsia="黑体"/>
          <w:color w:val="auto"/>
          <w:sz w:val="32"/>
          <w:szCs w:val="32"/>
          <w:highlight w:val="none"/>
        </w:rPr>
      </w:pPr>
    </w:p>
    <w:p w14:paraId="534C3586">
      <w:pPr>
        <w:spacing w:before="120" w:beforeLines="50" w:after="120" w:afterLines="50" w:line="440" w:lineRule="exact"/>
        <w:jc w:val="center"/>
        <w:rPr>
          <w:rFonts w:ascii="黑体" w:hAnsi="宋体" w:eastAsia="黑体"/>
          <w:color w:val="auto"/>
          <w:sz w:val="32"/>
          <w:szCs w:val="32"/>
          <w:highlight w:val="none"/>
        </w:rPr>
      </w:pPr>
    </w:p>
    <w:p w14:paraId="2801489E">
      <w:pPr>
        <w:spacing w:before="120" w:beforeLines="50" w:after="120" w:afterLines="50" w:line="440" w:lineRule="exact"/>
        <w:jc w:val="center"/>
        <w:rPr>
          <w:rFonts w:ascii="黑体" w:hAnsi="宋体" w:eastAsia="黑体"/>
          <w:color w:val="auto"/>
          <w:sz w:val="32"/>
          <w:szCs w:val="32"/>
          <w:highlight w:val="none"/>
        </w:rPr>
      </w:pPr>
    </w:p>
    <w:p w14:paraId="001B16BA">
      <w:pPr>
        <w:spacing w:before="120" w:beforeLines="50" w:after="120" w:afterLines="50" w:line="440" w:lineRule="exact"/>
        <w:jc w:val="center"/>
        <w:rPr>
          <w:rFonts w:ascii="黑体" w:hAnsi="宋体" w:eastAsia="黑体"/>
          <w:color w:val="auto"/>
          <w:sz w:val="32"/>
          <w:szCs w:val="32"/>
          <w:highlight w:val="none"/>
        </w:rPr>
      </w:pPr>
    </w:p>
    <w:p w14:paraId="36371619">
      <w:pPr>
        <w:spacing w:before="120" w:beforeLines="50" w:after="120" w:afterLines="50" w:line="440" w:lineRule="exact"/>
        <w:jc w:val="center"/>
        <w:rPr>
          <w:rFonts w:hint="eastAsia" w:ascii="黑体" w:hAnsi="宋体" w:eastAsia="黑体" w:cs="黑体"/>
          <w:color w:val="auto"/>
          <w:sz w:val="32"/>
          <w:szCs w:val="32"/>
          <w:highlight w:val="none"/>
        </w:rPr>
      </w:pPr>
    </w:p>
    <w:p w14:paraId="3D55AB16">
      <w:pPr>
        <w:spacing w:before="120" w:beforeLines="50" w:after="120" w:afterLines="50" w:line="440" w:lineRule="exact"/>
        <w:jc w:val="center"/>
        <w:rPr>
          <w:rFonts w:hint="eastAsia" w:ascii="黑体" w:hAnsi="宋体" w:eastAsia="黑体" w:cs="黑体"/>
          <w:color w:val="auto"/>
          <w:sz w:val="32"/>
          <w:szCs w:val="32"/>
          <w:highlight w:val="none"/>
        </w:rPr>
      </w:pPr>
    </w:p>
    <w:p w14:paraId="536FE4AC">
      <w:pPr>
        <w:spacing w:line="440" w:lineRule="exact"/>
        <w:rPr>
          <w:rFonts w:eastAsia="黑体"/>
          <w:color w:val="auto"/>
          <w:sz w:val="30"/>
          <w:szCs w:val="30"/>
          <w:highlight w:val="none"/>
        </w:rPr>
      </w:pPr>
      <w:r>
        <w:rPr>
          <w:rFonts w:eastAsia="仿宋_GB2312"/>
          <w:color w:val="auto"/>
          <w:sz w:val="30"/>
          <w:szCs w:val="30"/>
          <w:highlight w:val="none"/>
        </w:rPr>
        <w:t>附件</w:t>
      </w:r>
      <w:r>
        <w:rPr>
          <w:rFonts w:hint="eastAsia" w:eastAsia="仿宋_GB2312"/>
          <w:color w:val="auto"/>
          <w:sz w:val="30"/>
          <w:szCs w:val="30"/>
          <w:highlight w:val="none"/>
        </w:rPr>
        <w:t>3</w:t>
      </w:r>
      <w:r>
        <w:rPr>
          <w:rFonts w:eastAsia="仿宋_GB2312"/>
          <w:color w:val="auto"/>
          <w:sz w:val="30"/>
          <w:szCs w:val="30"/>
          <w:highlight w:val="none"/>
        </w:rPr>
        <w:t>：</w:t>
      </w:r>
    </w:p>
    <w:p w14:paraId="71B15280">
      <w:pPr>
        <w:spacing w:before="120" w:beforeLines="50" w:after="120" w:afterLines="50" w:line="440" w:lineRule="exact"/>
        <w:jc w:val="center"/>
        <w:rPr>
          <w:rFonts w:eastAsia="黑体"/>
          <w:color w:val="auto"/>
          <w:sz w:val="30"/>
          <w:szCs w:val="30"/>
          <w:highlight w:val="none"/>
        </w:rPr>
      </w:pPr>
      <w:r>
        <w:rPr>
          <w:rFonts w:eastAsia="黑体"/>
          <w:color w:val="auto"/>
          <w:sz w:val="30"/>
          <w:szCs w:val="30"/>
          <w:highlight w:val="none"/>
        </w:rPr>
        <w:t>主要建设工程文件目录</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46EDA9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139363A5">
            <w:pPr>
              <w:pStyle w:val="2"/>
              <w:keepNext/>
              <w:spacing w:after="0" w:line="440" w:lineRule="exact"/>
              <w:ind w:left="63" w:right="63"/>
              <w:rPr>
                <w:rFonts w:eastAsia="仿宋_GB2312"/>
                <w:color w:val="auto"/>
                <w:sz w:val="28"/>
                <w:szCs w:val="30"/>
                <w:highlight w:val="none"/>
              </w:rPr>
            </w:pPr>
            <w:r>
              <w:rPr>
                <w:rFonts w:eastAsia="仿宋_GB2312"/>
                <w:color w:val="auto"/>
                <w:sz w:val="28"/>
                <w:szCs w:val="30"/>
                <w:highlight w:val="none"/>
              </w:rPr>
              <w:t>文件名称</w:t>
            </w:r>
          </w:p>
        </w:tc>
        <w:tc>
          <w:tcPr>
            <w:tcW w:w="1276" w:type="dxa"/>
            <w:tcBorders>
              <w:top w:val="single" w:color="auto" w:sz="12" w:space="0"/>
              <w:bottom w:val="double" w:color="auto" w:sz="6" w:space="0"/>
            </w:tcBorders>
            <w:noWrap w:val="0"/>
            <w:vAlign w:val="center"/>
          </w:tcPr>
          <w:p w14:paraId="32D473D9">
            <w:pPr>
              <w:pStyle w:val="2"/>
              <w:keepNext/>
              <w:spacing w:after="0" w:line="440" w:lineRule="exact"/>
              <w:ind w:left="63" w:right="63"/>
              <w:rPr>
                <w:rFonts w:eastAsia="仿宋_GB2312"/>
                <w:color w:val="auto"/>
                <w:sz w:val="28"/>
                <w:szCs w:val="30"/>
                <w:highlight w:val="none"/>
              </w:rPr>
            </w:pPr>
            <w:r>
              <w:rPr>
                <w:rFonts w:eastAsia="仿宋_GB2312"/>
                <w:color w:val="auto"/>
                <w:sz w:val="28"/>
                <w:szCs w:val="30"/>
                <w:highlight w:val="none"/>
              </w:rPr>
              <w:t>套数</w:t>
            </w:r>
          </w:p>
        </w:tc>
        <w:tc>
          <w:tcPr>
            <w:tcW w:w="1450" w:type="dxa"/>
            <w:tcBorders>
              <w:top w:val="single" w:color="auto" w:sz="12" w:space="0"/>
              <w:bottom w:val="double" w:color="auto" w:sz="6" w:space="0"/>
            </w:tcBorders>
            <w:noWrap w:val="0"/>
            <w:vAlign w:val="center"/>
          </w:tcPr>
          <w:p w14:paraId="4C010AFA">
            <w:pPr>
              <w:pStyle w:val="2"/>
              <w:keepNext/>
              <w:spacing w:after="0" w:line="440" w:lineRule="exact"/>
              <w:ind w:left="63" w:right="63"/>
              <w:rPr>
                <w:rFonts w:eastAsia="仿宋_GB2312"/>
                <w:color w:val="auto"/>
                <w:sz w:val="28"/>
                <w:szCs w:val="30"/>
                <w:highlight w:val="none"/>
              </w:rPr>
            </w:pPr>
            <w:r>
              <w:rPr>
                <w:rFonts w:eastAsia="仿宋_GB2312"/>
                <w:color w:val="auto"/>
                <w:sz w:val="28"/>
                <w:szCs w:val="30"/>
                <w:highlight w:val="none"/>
              </w:rPr>
              <w:t>费用</w:t>
            </w:r>
            <w:r>
              <w:rPr>
                <w:rFonts w:hint="eastAsia" w:eastAsia="仿宋_GB2312"/>
                <w:color w:val="auto"/>
                <w:sz w:val="28"/>
                <w:szCs w:val="30"/>
                <w:highlight w:val="none"/>
              </w:rPr>
              <w:t>（元）</w:t>
            </w:r>
          </w:p>
        </w:tc>
        <w:tc>
          <w:tcPr>
            <w:tcW w:w="1243" w:type="dxa"/>
            <w:tcBorders>
              <w:top w:val="single" w:color="auto" w:sz="12" w:space="0"/>
              <w:bottom w:val="double" w:color="auto" w:sz="6" w:space="0"/>
            </w:tcBorders>
            <w:noWrap w:val="0"/>
            <w:vAlign w:val="center"/>
          </w:tcPr>
          <w:p w14:paraId="774A942E">
            <w:pPr>
              <w:pStyle w:val="2"/>
              <w:keepNext/>
              <w:spacing w:after="0" w:line="440" w:lineRule="exact"/>
              <w:ind w:left="63" w:right="63"/>
              <w:rPr>
                <w:rFonts w:eastAsia="仿宋_GB2312"/>
                <w:color w:val="auto"/>
                <w:sz w:val="28"/>
                <w:szCs w:val="30"/>
                <w:highlight w:val="none"/>
              </w:rPr>
            </w:pPr>
            <w:r>
              <w:rPr>
                <w:rFonts w:eastAsia="仿宋_GB2312"/>
                <w:color w:val="auto"/>
                <w:sz w:val="28"/>
                <w:szCs w:val="30"/>
                <w:highlight w:val="none"/>
              </w:rPr>
              <w:t>质量</w:t>
            </w:r>
          </w:p>
        </w:tc>
        <w:tc>
          <w:tcPr>
            <w:tcW w:w="1450" w:type="dxa"/>
            <w:tcBorders>
              <w:top w:val="single" w:color="auto" w:sz="12" w:space="0"/>
              <w:bottom w:val="double" w:color="auto" w:sz="6" w:space="0"/>
            </w:tcBorders>
            <w:noWrap w:val="0"/>
            <w:vAlign w:val="top"/>
          </w:tcPr>
          <w:p w14:paraId="7C27EADF">
            <w:pPr>
              <w:spacing w:line="440" w:lineRule="exact"/>
              <w:jc w:val="center"/>
              <w:rPr>
                <w:rFonts w:eastAsia="仿宋_GB2312"/>
                <w:color w:val="auto"/>
                <w:sz w:val="28"/>
                <w:szCs w:val="30"/>
                <w:highlight w:val="none"/>
              </w:rPr>
            </w:pPr>
            <w:r>
              <w:rPr>
                <w:rFonts w:eastAsia="仿宋_GB2312"/>
                <w:color w:val="auto"/>
                <w:sz w:val="28"/>
                <w:szCs w:val="30"/>
                <w:highlight w:val="none"/>
              </w:rPr>
              <w:t>移交时间</w:t>
            </w:r>
          </w:p>
        </w:tc>
        <w:tc>
          <w:tcPr>
            <w:tcW w:w="1667" w:type="dxa"/>
            <w:tcBorders>
              <w:top w:val="single" w:color="auto" w:sz="12" w:space="0"/>
              <w:bottom w:val="double" w:color="auto" w:sz="6" w:space="0"/>
            </w:tcBorders>
            <w:noWrap w:val="0"/>
            <w:vAlign w:val="top"/>
          </w:tcPr>
          <w:p w14:paraId="543CB5AB">
            <w:pPr>
              <w:spacing w:line="440" w:lineRule="exact"/>
              <w:jc w:val="center"/>
              <w:rPr>
                <w:rFonts w:eastAsia="仿宋_GB2312"/>
                <w:color w:val="auto"/>
                <w:sz w:val="28"/>
                <w:szCs w:val="30"/>
                <w:highlight w:val="none"/>
              </w:rPr>
            </w:pPr>
            <w:r>
              <w:rPr>
                <w:rFonts w:eastAsia="仿宋_GB2312"/>
                <w:color w:val="auto"/>
                <w:sz w:val="28"/>
                <w:szCs w:val="30"/>
                <w:highlight w:val="none"/>
              </w:rPr>
              <w:t>责任人</w:t>
            </w:r>
          </w:p>
        </w:tc>
      </w:tr>
      <w:tr w14:paraId="185A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248510A8">
            <w:pPr>
              <w:pStyle w:val="2"/>
              <w:keepNext/>
              <w:spacing w:after="0" w:line="440" w:lineRule="exact"/>
              <w:ind w:left="63" w:right="63"/>
              <w:rPr>
                <w:rFonts w:eastAsia="仿宋_GB2312"/>
                <w:color w:val="auto"/>
                <w:sz w:val="30"/>
                <w:szCs w:val="30"/>
                <w:highlight w:val="none"/>
              </w:rPr>
            </w:pPr>
          </w:p>
        </w:tc>
        <w:tc>
          <w:tcPr>
            <w:tcW w:w="1276" w:type="dxa"/>
            <w:tcBorders>
              <w:top w:val="double" w:color="auto" w:sz="6" w:space="0"/>
              <w:bottom w:val="single" w:color="auto" w:sz="6" w:space="0"/>
            </w:tcBorders>
            <w:noWrap w:val="0"/>
            <w:vAlign w:val="center"/>
          </w:tcPr>
          <w:p w14:paraId="4F22F04F">
            <w:pPr>
              <w:pStyle w:val="2"/>
              <w:keepNext/>
              <w:spacing w:after="0" w:line="440" w:lineRule="exact"/>
              <w:ind w:left="63" w:right="63"/>
              <w:rPr>
                <w:rFonts w:eastAsia="仿宋_GB2312"/>
                <w:color w:val="auto"/>
                <w:sz w:val="30"/>
                <w:szCs w:val="30"/>
                <w:highlight w:val="none"/>
              </w:rPr>
            </w:pPr>
          </w:p>
        </w:tc>
        <w:tc>
          <w:tcPr>
            <w:tcW w:w="1450" w:type="dxa"/>
            <w:tcBorders>
              <w:top w:val="double" w:color="auto" w:sz="6" w:space="0"/>
              <w:bottom w:val="single" w:color="auto" w:sz="6" w:space="0"/>
            </w:tcBorders>
            <w:noWrap w:val="0"/>
            <w:vAlign w:val="center"/>
          </w:tcPr>
          <w:p w14:paraId="15F27A34">
            <w:pPr>
              <w:pStyle w:val="2"/>
              <w:keepNext/>
              <w:spacing w:after="0" w:line="440" w:lineRule="exact"/>
              <w:ind w:left="63" w:right="63"/>
              <w:rPr>
                <w:rFonts w:eastAsia="仿宋_GB2312"/>
                <w:color w:val="auto"/>
                <w:sz w:val="30"/>
                <w:szCs w:val="30"/>
                <w:highlight w:val="none"/>
              </w:rPr>
            </w:pPr>
          </w:p>
        </w:tc>
        <w:tc>
          <w:tcPr>
            <w:tcW w:w="1243" w:type="dxa"/>
            <w:tcBorders>
              <w:top w:val="double" w:color="auto" w:sz="6" w:space="0"/>
              <w:bottom w:val="single" w:color="auto" w:sz="6" w:space="0"/>
            </w:tcBorders>
            <w:noWrap w:val="0"/>
            <w:vAlign w:val="center"/>
          </w:tcPr>
          <w:p w14:paraId="1157D3BD">
            <w:pPr>
              <w:pStyle w:val="2"/>
              <w:keepNext/>
              <w:spacing w:after="0" w:line="440" w:lineRule="exact"/>
              <w:ind w:left="63" w:right="63"/>
              <w:rPr>
                <w:rFonts w:eastAsia="仿宋_GB2312"/>
                <w:color w:val="auto"/>
                <w:sz w:val="30"/>
                <w:szCs w:val="30"/>
                <w:highlight w:val="none"/>
              </w:rPr>
            </w:pPr>
          </w:p>
        </w:tc>
        <w:tc>
          <w:tcPr>
            <w:tcW w:w="1450" w:type="dxa"/>
            <w:tcBorders>
              <w:top w:val="double" w:color="auto" w:sz="6" w:space="0"/>
              <w:bottom w:val="single" w:color="auto" w:sz="6" w:space="0"/>
            </w:tcBorders>
            <w:noWrap w:val="0"/>
            <w:vAlign w:val="center"/>
          </w:tcPr>
          <w:p w14:paraId="34C2024F">
            <w:pPr>
              <w:pStyle w:val="2"/>
              <w:keepNext/>
              <w:spacing w:after="0" w:line="440" w:lineRule="exact"/>
              <w:ind w:left="63" w:right="63"/>
              <w:rPr>
                <w:rFonts w:eastAsia="仿宋_GB2312"/>
                <w:color w:val="auto"/>
                <w:sz w:val="30"/>
                <w:szCs w:val="30"/>
                <w:highlight w:val="none"/>
              </w:rPr>
            </w:pPr>
          </w:p>
        </w:tc>
        <w:tc>
          <w:tcPr>
            <w:tcW w:w="1667" w:type="dxa"/>
            <w:tcBorders>
              <w:top w:val="double" w:color="auto" w:sz="6" w:space="0"/>
              <w:bottom w:val="single" w:color="auto" w:sz="6" w:space="0"/>
            </w:tcBorders>
            <w:noWrap w:val="0"/>
            <w:vAlign w:val="center"/>
          </w:tcPr>
          <w:p w14:paraId="1C51418D">
            <w:pPr>
              <w:pStyle w:val="2"/>
              <w:keepNext/>
              <w:spacing w:after="0" w:line="440" w:lineRule="exact"/>
              <w:ind w:left="63" w:right="63"/>
              <w:rPr>
                <w:rFonts w:eastAsia="仿宋_GB2312"/>
                <w:color w:val="auto"/>
                <w:sz w:val="30"/>
                <w:szCs w:val="30"/>
                <w:highlight w:val="none"/>
              </w:rPr>
            </w:pPr>
          </w:p>
        </w:tc>
      </w:tr>
      <w:tr w14:paraId="26176D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715D7326">
            <w:pPr>
              <w:pStyle w:val="2"/>
              <w:keepNext/>
              <w:spacing w:after="0" w:line="440" w:lineRule="exact"/>
              <w:ind w:left="63" w:right="63"/>
              <w:rPr>
                <w:rFonts w:eastAsia="仿宋_GB2312"/>
                <w:color w:val="auto"/>
                <w:sz w:val="30"/>
                <w:szCs w:val="30"/>
                <w:highlight w:val="none"/>
              </w:rPr>
            </w:pPr>
          </w:p>
        </w:tc>
        <w:tc>
          <w:tcPr>
            <w:tcW w:w="1276" w:type="dxa"/>
            <w:tcBorders>
              <w:top w:val="nil"/>
            </w:tcBorders>
            <w:noWrap w:val="0"/>
            <w:vAlign w:val="center"/>
          </w:tcPr>
          <w:p w14:paraId="7C7D961B">
            <w:pPr>
              <w:pStyle w:val="2"/>
              <w:keepNext/>
              <w:spacing w:after="0" w:line="440" w:lineRule="exact"/>
              <w:ind w:left="63" w:right="63"/>
              <w:rPr>
                <w:rFonts w:eastAsia="仿宋_GB2312"/>
                <w:color w:val="auto"/>
                <w:sz w:val="30"/>
                <w:szCs w:val="30"/>
                <w:highlight w:val="none"/>
              </w:rPr>
            </w:pPr>
          </w:p>
        </w:tc>
        <w:tc>
          <w:tcPr>
            <w:tcW w:w="1450" w:type="dxa"/>
            <w:tcBorders>
              <w:top w:val="nil"/>
            </w:tcBorders>
            <w:noWrap w:val="0"/>
            <w:vAlign w:val="center"/>
          </w:tcPr>
          <w:p w14:paraId="284C55C5">
            <w:pPr>
              <w:pStyle w:val="2"/>
              <w:keepNext/>
              <w:spacing w:after="0" w:line="440" w:lineRule="exact"/>
              <w:ind w:left="63" w:right="63"/>
              <w:rPr>
                <w:rFonts w:eastAsia="仿宋_GB2312"/>
                <w:color w:val="auto"/>
                <w:sz w:val="30"/>
                <w:szCs w:val="30"/>
                <w:highlight w:val="none"/>
              </w:rPr>
            </w:pPr>
          </w:p>
        </w:tc>
        <w:tc>
          <w:tcPr>
            <w:tcW w:w="1243" w:type="dxa"/>
            <w:tcBorders>
              <w:top w:val="nil"/>
            </w:tcBorders>
            <w:noWrap w:val="0"/>
            <w:vAlign w:val="center"/>
          </w:tcPr>
          <w:p w14:paraId="0474449A">
            <w:pPr>
              <w:pStyle w:val="2"/>
              <w:keepNext/>
              <w:spacing w:after="0" w:line="440" w:lineRule="exact"/>
              <w:ind w:left="63" w:right="63"/>
              <w:rPr>
                <w:rFonts w:eastAsia="仿宋_GB2312"/>
                <w:color w:val="auto"/>
                <w:sz w:val="30"/>
                <w:szCs w:val="30"/>
                <w:highlight w:val="none"/>
              </w:rPr>
            </w:pPr>
          </w:p>
        </w:tc>
        <w:tc>
          <w:tcPr>
            <w:tcW w:w="1450" w:type="dxa"/>
            <w:tcBorders>
              <w:top w:val="nil"/>
            </w:tcBorders>
            <w:noWrap w:val="0"/>
            <w:vAlign w:val="center"/>
          </w:tcPr>
          <w:p w14:paraId="448A1F43">
            <w:pPr>
              <w:pStyle w:val="2"/>
              <w:keepNext/>
              <w:spacing w:after="0" w:line="440" w:lineRule="exact"/>
              <w:ind w:left="63" w:right="63"/>
              <w:rPr>
                <w:rFonts w:eastAsia="仿宋_GB2312"/>
                <w:color w:val="auto"/>
                <w:sz w:val="30"/>
                <w:szCs w:val="30"/>
                <w:highlight w:val="none"/>
              </w:rPr>
            </w:pPr>
          </w:p>
        </w:tc>
        <w:tc>
          <w:tcPr>
            <w:tcW w:w="1667" w:type="dxa"/>
            <w:tcBorders>
              <w:top w:val="nil"/>
            </w:tcBorders>
            <w:noWrap w:val="0"/>
            <w:vAlign w:val="center"/>
          </w:tcPr>
          <w:p w14:paraId="57353717">
            <w:pPr>
              <w:pStyle w:val="2"/>
              <w:keepNext/>
              <w:spacing w:after="0" w:line="440" w:lineRule="exact"/>
              <w:ind w:left="63" w:right="63"/>
              <w:rPr>
                <w:rFonts w:eastAsia="仿宋_GB2312"/>
                <w:color w:val="auto"/>
                <w:sz w:val="30"/>
                <w:szCs w:val="30"/>
                <w:highlight w:val="none"/>
              </w:rPr>
            </w:pPr>
          </w:p>
        </w:tc>
      </w:tr>
      <w:tr w14:paraId="249A53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34F5F06">
            <w:pPr>
              <w:pStyle w:val="2"/>
              <w:keepNext/>
              <w:spacing w:after="0" w:line="440" w:lineRule="exact"/>
              <w:ind w:left="63" w:right="63"/>
              <w:rPr>
                <w:rFonts w:eastAsia="仿宋_GB2312"/>
                <w:color w:val="auto"/>
                <w:sz w:val="30"/>
                <w:szCs w:val="30"/>
                <w:highlight w:val="none"/>
              </w:rPr>
            </w:pPr>
          </w:p>
        </w:tc>
        <w:tc>
          <w:tcPr>
            <w:tcW w:w="1276" w:type="dxa"/>
            <w:noWrap w:val="0"/>
            <w:vAlign w:val="center"/>
          </w:tcPr>
          <w:p w14:paraId="6A6C01B1">
            <w:pPr>
              <w:pStyle w:val="2"/>
              <w:keepNext/>
              <w:spacing w:after="0" w:line="440" w:lineRule="exact"/>
              <w:ind w:left="63" w:right="63"/>
              <w:rPr>
                <w:rFonts w:eastAsia="仿宋_GB2312"/>
                <w:color w:val="auto"/>
                <w:sz w:val="30"/>
                <w:szCs w:val="30"/>
                <w:highlight w:val="none"/>
              </w:rPr>
            </w:pPr>
          </w:p>
        </w:tc>
        <w:tc>
          <w:tcPr>
            <w:tcW w:w="1450" w:type="dxa"/>
            <w:noWrap w:val="0"/>
            <w:vAlign w:val="center"/>
          </w:tcPr>
          <w:p w14:paraId="1F186A73">
            <w:pPr>
              <w:pStyle w:val="2"/>
              <w:keepNext/>
              <w:spacing w:after="0" w:line="440" w:lineRule="exact"/>
              <w:ind w:left="63" w:right="63"/>
              <w:rPr>
                <w:rFonts w:eastAsia="仿宋_GB2312"/>
                <w:color w:val="auto"/>
                <w:sz w:val="30"/>
                <w:szCs w:val="30"/>
                <w:highlight w:val="none"/>
              </w:rPr>
            </w:pPr>
          </w:p>
        </w:tc>
        <w:tc>
          <w:tcPr>
            <w:tcW w:w="1243" w:type="dxa"/>
            <w:noWrap w:val="0"/>
            <w:vAlign w:val="center"/>
          </w:tcPr>
          <w:p w14:paraId="4513F2B7">
            <w:pPr>
              <w:pStyle w:val="2"/>
              <w:keepNext/>
              <w:spacing w:after="0" w:line="440" w:lineRule="exact"/>
              <w:ind w:left="63" w:right="63"/>
              <w:rPr>
                <w:rFonts w:eastAsia="仿宋_GB2312"/>
                <w:color w:val="auto"/>
                <w:sz w:val="30"/>
                <w:szCs w:val="30"/>
                <w:highlight w:val="none"/>
              </w:rPr>
            </w:pPr>
          </w:p>
        </w:tc>
        <w:tc>
          <w:tcPr>
            <w:tcW w:w="1450" w:type="dxa"/>
            <w:noWrap w:val="0"/>
            <w:vAlign w:val="center"/>
          </w:tcPr>
          <w:p w14:paraId="1D25FB1E">
            <w:pPr>
              <w:pStyle w:val="2"/>
              <w:keepNext/>
              <w:spacing w:after="0" w:line="440" w:lineRule="exact"/>
              <w:ind w:left="63" w:right="63"/>
              <w:rPr>
                <w:rFonts w:eastAsia="仿宋_GB2312"/>
                <w:color w:val="auto"/>
                <w:sz w:val="30"/>
                <w:szCs w:val="30"/>
                <w:highlight w:val="none"/>
              </w:rPr>
            </w:pPr>
          </w:p>
        </w:tc>
        <w:tc>
          <w:tcPr>
            <w:tcW w:w="1667" w:type="dxa"/>
            <w:noWrap w:val="0"/>
            <w:vAlign w:val="center"/>
          </w:tcPr>
          <w:p w14:paraId="595C693C">
            <w:pPr>
              <w:pStyle w:val="2"/>
              <w:keepNext/>
              <w:spacing w:after="0" w:line="440" w:lineRule="exact"/>
              <w:ind w:left="63" w:right="63"/>
              <w:rPr>
                <w:rFonts w:eastAsia="仿宋_GB2312"/>
                <w:color w:val="auto"/>
                <w:sz w:val="30"/>
                <w:szCs w:val="30"/>
                <w:highlight w:val="none"/>
              </w:rPr>
            </w:pPr>
          </w:p>
        </w:tc>
      </w:tr>
      <w:tr w14:paraId="40FACA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A21FB83">
            <w:pPr>
              <w:pStyle w:val="2"/>
              <w:keepNext/>
              <w:spacing w:after="0" w:line="440" w:lineRule="exact"/>
              <w:ind w:left="63" w:right="63"/>
              <w:rPr>
                <w:rFonts w:eastAsia="仿宋_GB2312"/>
                <w:color w:val="auto"/>
                <w:sz w:val="30"/>
                <w:szCs w:val="30"/>
                <w:highlight w:val="none"/>
              </w:rPr>
            </w:pPr>
          </w:p>
        </w:tc>
        <w:tc>
          <w:tcPr>
            <w:tcW w:w="1276" w:type="dxa"/>
            <w:noWrap w:val="0"/>
            <w:vAlign w:val="center"/>
          </w:tcPr>
          <w:p w14:paraId="1A40E499">
            <w:pPr>
              <w:pStyle w:val="2"/>
              <w:keepNext/>
              <w:spacing w:after="0" w:line="440" w:lineRule="exact"/>
              <w:ind w:left="63" w:right="63"/>
              <w:rPr>
                <w:rFonts w:eastAsia="仿宋_GB2312"/>
                <w:color w:val="auto"/>
                <w:sz w:val="30"/>
                <w:szCs w:val="30"/>
                <w:highlight w:val="none"/>
              </w:rPr>
            </w:pPr>
          </w:p>
        </w:tc>
        <w:tc>
          <w:tcPr>
            <w:tcW w:w="1450" w:type="dxa"/>
            <w:noWrap w:val="0"/>
            <w:vAlign w:val="center"/>
          </w:tcPr>
          <w:p w14:paraId="6E58BB40">
            <w:pPr>
              <w:pStyle w:val="2"/>
              <w:keepNext/>
              <w:spacing w:after="0" w:line="440" w:lineRule="exact"/>
              <w:ind w:left="63" w:right="63"/>
              <w:rPr>
                <w:rFonts w:eastAsia="仿宋_GB2312"/>
                <w:color w:val="auto"/>
                <w:sz w:val="30"/>
                <w:szCs w:val="30"/>
                <w:highlight w:val="none"/>
              </w:rPr>
            </w:pPr>
          </w:p>
        </w:tc>
        <w:tc>
          <w:tcPr>
            <w:tcW w:w="1243" w:type="dxa"/>
            <w:noWrap w:val="0"/>
            <w:vAlign w:val="center"/>
          </w:tcPr>
          <w:p w14:paraId="72D77802">
            <w:pPr>
              <w:pStyle w:val="2"/>
              <w:keepNext/>
              <w:spacing w:after="0" w:line="440" w:lineRule="exact"/>
              <w:ind w:left="63" w:right="63"/>
              <w:rPr>
                <w:rFonts w:eastAsia="仿宋_GB2312"/>
                <w:color w:val="auto"/>
                <w:sz w:val="30"/>
                <w:szCs w:val="30"/>
                <w:highlight w:val="none"/>
              </w:rPr>
            </w:pPr>
          </w:p>
        </w:tc>
        <w:tc>
          <w:tcPr>
            <w:tcW w:w="1450" w:type="dxa"/>
            <w:noWrap w:val="0"/>
            <w:vAlign w:val="center"/>
          </w:tcPr>
          <w:p w14:paraId="5A1A4F93">
            <w:pPr>
              <w:pStyle w:val="2"/>
              <w:keepNext/>
              <w:spacing w:after="0" w:line="440" w:lineRule="exact"/>
              <w:ind w:left="63" w:right="63"/>
              <w:rPr>
                <w:rFonts w:eastAsia="仿宋_GB2312"/>
                <w:color w:val="auto"/>
                <w:sz w:val="30"/>
                <w:szCs w:val="30"/>
                <w:highlight w:val="none"/>
              </w:rPr>
            </w:pPr>
          </w:p>
        </w:tc>
        <w:tc>
          <w:tcPr>
            <w:tcW w:w="1667" w:type="dxa"/>
            <w:noWrap w:val="0"/>
            <w:vAlign w:val="center"/>
          </w:tcPr>
          <w:p w14:paraId="7B087BB3">
            <w:pPr>
              <w:pStyle w:val="2"/>
              <w:keepNext/>
              <w:spacing w:after="0" w:line="440" w:lineRule="exact"/>
              <w:ind w:left="63" w:right="63"/>
              <w:rPr>
                <w:rFonts w:eastAsia="仿宋_GB2312"/>
                <w:color w:val="auto"/>
                <w:sz w:val="30"/>
                <w:szCs w:val="30"/>
                <w:highlight w:val="none"/>
              </w:rPr>
            </w:pPr>
          </w:p>
        </w:tc>
      </w:tr>
      <w:tr w14:paraId="1BAD7C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12E8A68">
            <w:pPr>
              <w:pStyle w:val="2"/>
              <w:keepNext/>
              <w:spacing w:after="0" w:line="440" w:lineRule="exact"/>
              <w:ind w:left="63" w:right="63"/>
              <w:rPr>
                <w:rFonts w:eastAsia="仿宋_GB2312"/>
                <w:color w:val="auto"/>
                <w:sz w:val="30"/>
                <w:szCs w:val="30"/>
                <w:highlight w:val="none"/>
              </w:rPr>
            </w:pPr>
          </w:p>
        </w:tc>
        <w:tc>
          <w:tcPr>
            <w:tcW w:w="1276" w:type="dxa"/>
            <w:noWrap w:val="0"/>
            <w:vAlign w:val="center"/>
          </w:tcPr>
          <w:p w14:paraId="640AF19A">
            <w:pPr>
              <w:pStyle w:val="2"/>
              <w:keepNext/>
              <w:spacing w:after="0" w:line="440" w:lineRule="exact"/>
              <w:ind w:left="63" w:right="63"/>
              <w:rPr>
                <w:rFonts w:eastAsia="仿宋_GB2312"/>
                <w:color w:val="auto"/>
                <w:sz w:val="30"/>
                <w:szCs w:val="30"/>
                <w:highlight w:val="none"/>
              </w:rPr>
            </w:pPr>
          </w:p>
        </w:tc>
        <w:tc>
          <w:tcPr>
            <w:tcW w:w="1450" w:type="dxa"/>
            <w:noWrap w:val="0"/>
            <w:vAlign w:val="center"/>
          </w:tcPr>
          <w:p w14:paraId="4DE8A2AD">
            <w:pPr>
              <w:pStyle w:val="2"/>
              <w:keepNext/>
              <w:spacing w:after="0" w:line="440" w:lineRule="exact"/>
              <w:ind w:left="63" w:right="63"/>
              <w:rPr>
                <w:rFonts w:eastAsia="仿宋_GB2312"/>
                <w:color w:val="auto"/>
                <w:sz w:val="30"/>
                <w:szCs w:val="30"/>
                <w:highlight w:val="none"/>
              </w:rPr>
            </w:pPr>
          </w:p>
        </w:tc>
        <w:tc>
          <w:tcPr>
            <w:tcW w:w="1243" w:type="dxa"/>
            <w:noWrap w:val="0"/>
            <w:vAlign w:val="center"/>
          </w:tcPr>
          <w:p w14:paraId="09C9540B">
            <w:pPr>
              <w:pStyle w:val="2"/>
              <w:keepNext/>
              <w:spacing w:after="0" w:line="440" w:lineRule="exact"/>
              <w:ind w:left="63" w:right="63"/>
              <w:rPr>
                <w:rFonts w:eastAsia="仿宋_GB2312"/>
                <w:color w:val="auto"/>
                <w:sz w:val="30"/>
                <w:szCs w:val="30"/>
                <w:highlight w:val="none"/>
              </w:rPr>
            </w:pPr>
          </w:p>
        </w:tc>
        <w:tc>
          <w:tcPr>
            <w:tcW w:w="1450" w:type="dxa"/>
            <w:noWrap w:val="0"/>
            <w:vAlign w:val="center"/>
          </w:tcPr>
          <w:p w14:paraId="1BC02539">
            <w:pPr>
              <w:pStyle w:val="2"/>
              <w:keepNext/>
              <w:spacing w:after="0" w:line="440" w:lineRule="exact"/>
              <w:ind w:left="63" w:right="63"/>
              <w:rPr>
                <w:rFonts w:eastAsia="仿宋_GB2312"/>
                <w:color w:val="auto"/>
                <w:sz w:val="30"/>
                <w:szCs w:val="30"/>
                <w:highlight w:val="none"/>
              </w:rPr>
            </w:pPr>
          </w:p>
        </w:tc>
        <w:tc>
          <w:tcPr>
            <w:tcW w:w="1667" w:type="dxa"/>
            <w:noWrap w:val="0"/>
            <w:vAlign w:val="center"/>
          </w:tcPr>
          <w:p w14:paraId="0066E33D">
            <w:pPr>
              <w:pStyle w:val="2"/>
              <w:keepNext/>
              <w:spacing w:after="0" w:line="440" w:lineRule="exact"/>
              <w:ind w:left="63" w:right="63"/>
              <w:rPr>
                <w:rFonts w:eastAsia="仿宋_GB2312"/>
                <w:color w:val="auto"/>
                <w:sz w:val="30"/>
                <w:szCs w:val="30"/>
                <w:highlight w:val="none"/>
              </w:rPr>
            </w:pPr>
          </w:p>
        </w:tc>
      </w:tr>
      <w:tr w14:paraId="37D0DE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46963F0">
            <w:pPr>
              <w:pStyle w:val="2"/>
              <w:keepNext/>
              <w:spacing w:after="0" w:line="440" w:lineRule="exact"/>
              <w:ind w:left="63" w:right="63"/>
              <w:rPr>
                <w:rFonts w:eastAsia="仿宋_GB2312"/>
                <w:color w:val="auto"/>
                <w:sz w:val="30"/>
                <w:szCs w:val="30"/>
                <w:highlight w:val="none"/>
              </w:rPr>
            </w:pPr>
          </w:p>
        </w:tc>
        <w:tc>
          <w:tcPr>
            <w:tcW w:w="1276" w:type="dxa"/>
            <w:noWrap w:val="0"/>
            <w:vAlign w:val="center"/>
          </w:tcPr>
          <w:p w14:paraId="4FE021F0">
            <w:pPr>
              <w:pStyle w:val="2"/>
              <w:keepNext/>
              <w:spacing w:after="0" w:line="440" w:lineRule="exact"/>
              <w:ind w:left="63" w:right="63"/>
              <w:rPr>
                <w:rFonts w:eastAsia="仿宋_GB2312"/>
                <w:color w:val="auto"/>
                <w:sz w:val="30"/>
                <w:szCs w:val="30"/>
                <w:highlight w:val="none"/>
              </w:rPr>
            </w:pPr>
          </w:p>
        </w:tc>
        <w:tc>
          <w:tcPr>
            <w:tcW w:w="1450" w:type="dxa"/>
            <w:noWrap w:val="0"/>
            <w:vAlign w:val="center"/>
          </w:tcPr>
          <w:p w14:paraId="4BE5C2EB">
            <w:pPr>
              <w:pStyle w:val="2"/>
              <w:keepNext/>
              <w:spacing w:after="0" w:line="440" w:lineRule="exact"/>
              <w:ind w:left="63" w:right="63"/>
              <w:rPr>
                <w:rFonts w:eastAsia="仿宋_GB2312"/>
                <w:color w:val="auto"/>
                <w:sz w:val="30"/>
                <w:szCs w:val="30"/>
                <w:highlight w:val="none"/>
              </w:rPr>
            </w:pPr>
          </w:p>
        </w:tc>
        <w:tc>
          <w:tcPr>
            <w:tcW w:w="1243" w:type="dxa"/>
            <w:noWrap w:val="0"/>
            <w:vAlign w:val="center"/>
          </w:tcPr>
          <w:p w14:paraId="45029056">
            <w:pPr>
              <w:pStyle w:val="2"/>
              <w:keepNext/>
              <w:spacing w:after="0" w:line="440" w:lineRule="exact"/>
              <w:ind w:left="63" w:right="63"/>
              <w:rPr>
                <w:rFonts w:eastAsia="仿宋_GB2312"/>
                <w:color w:val="auto"/>
                <w:sz w:val="30"/>
                <w:szCs w:val="30"/>
                <w:highlight w:val="none"/>
              </w:rPr>
            </w:pPr>
          </w:p>
        </w:tc>
        <w:tc>
          <w:tcPr>
            <w:tcW w:w="1450" w:type="dxa"/>
            <w:noWrap w:val="0"/>
            <w:vAlign w:val="center"/>
          </w:tcPr>
          <w:p w14:paraId="2B1EAF0B">
            <w:pPr>
              <w:pStyle w:val="2"/>
              <w:keepNext/>
              <w:spacing w:after="0" w:line="440" w:lineRule="exact"/>
              <w:ind w:left="63" w:right="63"/>
              <w:rPr>
                <w:rFonts w:eastAsia="仿宋_GB2312"/>
                <w:color w:val="auto"/>
                <w:sz w:val="30"/>
                <w:szCs w:val="30"/>
                <w:highlight w:val="none"/>
              </w:rPr>
            </w:pPr>
          </w:p>
        </w:tc>
        <w:tc>
          <w:tcPr>
            <w:tcW w:w="1667" w:type="dxa"/>
            <w:noWrap w:val="0"/>
            <w:vAlign w:val="center"/>
          </w:tcPr>
          <w:p w14:paraId="63642669">
            <w:pPr>
              <w:pStyle w:val="2"/>
              <w:keepNext/>
              <w:spacing w:after="0" w:line="440" w:lineRule="exact"/>
              <w:ind w:left="63" w:right="63"/>
              <w:rPr>
                <w:rFonts w:eastAsia="仿宋_GB2312"/>
                <w:color w:val="auto"/>
                <w:sz w:val="30"/>
                <w:szCs w:val="30"/>
                <w:highlight w:val="none"/>
              </w:rPr>
            </w:pPr>
          </w:p>
        </w:tc>
      </w:tr>
      <w:tr w14:paraId="06D58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9636A26">
            <w:pPr>
              <w:pStyle w:val="2"/>
              <w:keepNext/>
              <w:spacing w:after="0" w:line="440" w:lineRule="exact"/>
              <w:ind w:left="63" w:right="63"/>
              <w:rPr>
                <w:rFonts w:eastAsia="仿宋_GB2312"/>
                <w:color w:val="auto"/>
                <w:sz w:val="30"/>
                <w:szCs w:val="30"/>
                <w:highlight w:val="none"/>
              </w:rPr>
            </w:pPr>
          </w:p>
        </w:tc>
        <w:tc>
          <w:tcPr>
            <w:tcW w:w="1276" w:type="dxa"/>
            <w:noWrap w:val="0"/>
            <w:vAlign w:val="center"/>
          </w:tcPr>
          <w:p w14:paraId="61A42B23">
            <w:pPr>
              <w:pStyle w:val="2"/>
              <w:keepNext/>
              <w:spacing w:after="0" w:line="440" w:lineRule="exact"/>
              <w:ind w:left="63" w:right="63"/>
              <w:rPr>
                <w:rFonts w:eastAsia="仿宋_GB2312"/>
                <w:color w:val="auto"/>
                <w:sz w:val="30"/>
                <w:szCs w:val="30"/>
                <w:highlight w:val="none"/>
              </w:rPr>
            </w:pPr>
          </w:p>
        </w:tc>
        <w:tc>
          <w:tcPr>
            <w:tcW w:w="1450" w:type="dxa"/>
            <w:noWrap w:val="0"/>
            <w:vAlign w:val="center"/>
          </w:tcPr>
          <w:p w14:paraId="0CAF68C1">
            <w:pPr>
              <w:pStyle w:val="2"/>
              <w:keepNext/>
              <w:spacing w:after="0" w:line="440" w:lineRule="exact"/>
              <w:ind w:left="63" w:right="63"/>
              <w:rPr>
                <w:rFonts w:eastAsia="仿宋_GB2312"/>
                <w:color w:val="auto"/>
                <w:sz w:val="30"/>
                <w:szCs w:val="30"/>
                <w:highlight w:val="none"/>
              </w:rPr>
            </w:pPr>
          </w:p>
        </w:tc>
        <w:tc>
          <w:tcPr>
            <w:tcW w:w="1243" w:type="dxa"/>
            <w:noWrap w:val="0"/>
            <w:vAlign w:val="center"/>
          </w:tcPr>
          <w:p w14:paraId="496DB531">
            <w:pPr>
              <w:pStyle w:val="2"/>
              <w:keepNext/>
              <w:spacing w:after="0" w:line="440" w:lineRule="exact"/>
              <w:ind w:left="63" w:right="63"/>
              <w:rPr>
                <w:rFonts w:eastAsia="仿宋_GB2312"/>
                <w:color w:val="auto"/>
                <w:sz w:val="30"/>
                <w:szCs w:val="30"/>
                <w:highlight w:val="none"/>
              </w:rPr>
            </w:pPr>
          </w:p>
        </w:tc>
        <w:tc>
          <w:tcPr>
            <w:tcW w:w="1450" w:type="dxa"/>
            <w:noWrap w:val="0"/>
            <w:vAlign w:val="center"/>
          </w:tcPr>
          <w:p w14:paraId="2E03DCCF">
            <w:pPr>
              <w:pStyle w:val="2"/>
              <w:keepNext/>
              <w:spacing w:after="0" w:line="440" w:lineRule="exact"/>
              <w:ind w:left="63" w:right="63"/>
              <w:rPr>
                <w:rFonts w:eastAsia="仿宋_GB2312"/>
                <w:color w:val="auto"/>
                <w:sz w:val="30"/>
                <w:szCs w:val="30"/>
                <w:highlight w:val="none"/>
              </w:rPr>
            </w:pPr>
          </w:p>
        </w:tc>
        <w:tc>
          <w:tcPr>
            <w:tcW w:w="1667" w:type="dxa"/>
            <w:noWrap w:val="0"/>
            <w:vAlign w:val="center"/>
          </w:tcPr>
          <w:p w14:paraId="247A4F91">
            <w:pPr>
              <w:pStyle w:val="2"/>
              <w:keepNext/>
              <w:spacing w:after="0" w:line="440" w:lineRule="exact"/>
              <w:ind w:left="63" w:right="63"/>
              <w:rPr>
                <w:rFonts w:eastAsia="仿宋_GB2312"/>
                <w:color w:val="auto"/>
                <w:sz w:val="30"/>
                <w:szCs w:val="30"/>
                <w:highlight w:val="none"/>
              </w:rPr>
            </w:pPr>
          </w:p>
        </w:tc>
      </w:tr>
      <w:tr w14:paraId="62D589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DE4A346">
            <w:pPr>
              <w:pStyle w:val="2"/>
              <w:keepNext/>
              <w:spacing w:after="0" w:line="440" w:lineRule="exact"/>
              <w:ind w:left="63" w:right="63"/>
              <w:rPr>
                <w:rFonts w:eastAsia="仿宋_GB2312"/>
                <w:color w:val="auto"/>
                <w:sz w:val="30"/>
                <w:szCs w:val="30"/>
                <w:highlight w:val="none"/>
              </w:rPr>
            </w:pPr>
          </w:p>
        </w:tc>
        <w:tc>
          <w:tcPr>
            <w:tcW w:w="1276" w:type="dxa"/>
            <w:noWrap w:val="0"/>
            <w:vAlign w:val="center"/>
          </w:tcPr>
          <w:p w14:paraId="4F1C1A44">
            <w:pPr>
              <w:pStyle w:val="2"/>
              <w:keepNext/>
              <w:spacing w:after="0" w:line="440" w:lineRule="exact"/>
              <w:ind w:left="63" w:right="63"/>
              <w:rPr>
                <w:rFonts w:eastAsia="仿宋_GB2312"/>
                <w:color w:val="auto"/>
                <w:sz w:val="30"/>
                <w:szCs w:val="30"/>
                <w:highlight w:val="none"/>
              </w:rPr>
            </w:pPr>
          </w:p>
        </w:tc>
        <w:tc>
          <w:tcPr>
            <w:tcW w:w="1450" w:type="dxa"/>
            <w:noWrap w:val="0"/>
            <w:vAlign w:val="center"/>
          </w:tcPr>
          <w:p w14:paraId="7074C7F9">
            <w:pPr>
              <w:pStyle w:val="2"/>
              <w:keepNext/>
              <w:spacing w:after="0" w:line="440" w:lineRule="exact"/>
              <w:ind w:left="63" w:right="63"/>
              <w:rPr>
                <w:rFonts w:eastAsia="仿宋_GB2312"/>
                <w:color w:val="auto"/>
                <w:sz w:val="30"/>
                <w:szCs w:val="30"/>
                <w:highlight w:val="none"/>
              </w:rPr>
            </w:pPr>
          </w:p>
        </w:tc>
        <w:tc>
          <w:tcPr>
            <w:tcW w:w="1243" w:type="dxa"/>
            <w:noWrap w:val="0"/>
            <w:vAlign w:val="center"/>
          </w:tcPr>
          <w:p w14:paraId="4F6145CA">
            <w:pPr>
              <w:pStyle w:val="2"/>
              <w:keepNext/>
              <w:spacing w:after="0" w:line="440" w:lineRule="exact"/>
              <w:ind w:left="63" w:right="63"/>
              <w:rPr>
                <w:rFonts w:eastAsia="仿宋_GB2312"/>
                <w:color w:val="auto"/>
                <w:sz w:val="30"/>
                <w:szCs w:val="30"/>
                <w:highlight w:val="none"/>
              </w:rPr>
            </w:pPr>
          </w:p>
        </w:tc>
        <w:tc>
          <w:tcPr>
            <w:tcW w:w="1450" w:type="dxa"/>
            <w:noWrap w:val="0"/>
            <w:vAlign w:val="center"/>
          </w:tcPr>
          <w:p w14:paraId="7DDAB0DD">
            <w:pPr>
              <w:pStyle w:val="2"/>
              <w:keepNext/>
              <w:spacing w:after="0" w:line="440" w:lineRule="exact"/>
              <w:ind w:left="63" w:right="63"/>
              <w:rPr>
                <w:rFonts w:eastAsia="仿宋_GB2312"/>
                <w:color w:val="auto"/>
                <w:sz w:val="30"/>
                <w:szCs w:val="30"/>
                <w:highlight w:val="none"/>
              </w:rPr>
            </w:pPr>
          </w:p>
        </w:tc>
        <w:tc>
          <w:tcPr>
            <w:tcW w:w="1667" w:type="dxa"/>
            <w:noWrap w:val="0"/>
            <w:vAlign w:val="center"/>
          </w:tcPr>
          <w:p w14:paraId="6284AC7B">
            <w:pPr>
              <w:pStyle w:val="2"/>
              <w:keepNext/>
              <w:spacing w:after="0" w:line="440" w:lineRule="exact"/>
              <w:ind w:left="63" w:right="63"/>
              <w:rPr>
                <w:rFonts w:eastAsia="仿宋_GB2312"/>
                <w:color w:val="auto"/>
                <w:sz w:val="30"/>
                <w:szCs w:val="30"/>
                <w:highlight w:val="none"/>
              </w:rPr>
            </w:pPr>
          </w:p>
        </w:tc>
      </w:tr>
      <w:tr w14:paraId="0058AA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2DD018D">
            <w:pPr>
              <w:rPr>
                <w:rFonts w:eastAsia="仿宋_GB2312"/>
                <w:color w:val="auto"/>
                <w:sz w:val="30"/>
                <w:szCs w:val="30"/>
                <w:highlight w:val="none"/>
              </w:rPr>
            </w:pPr>
          </w:p>
        </w:tc>
        <w:tc>
          <w:tcPr>
            <w:tcW w:w="1276" w:type="dxa"/>
            <w:noWrap w:val="0"/>
            <w:vAlign w:val="top"/>
          </w:tcPr>
          <w:p w14:paraId="140C585E">
            <w:pPr>
              <w:rPr>
                <w:rFonts w:eastAsia="仿宋_GB2312"/>
                <w:color w:val="auto"/>
                <w:sz w:val="30"/>
                <w:szCs w:val="30"/>
                <w:highlight w:val="none"/>
              </w:rPr>
            </w:pPr>
          </w:p>
        </w:tc>
        <w:tc>
          <w:tcPr>
            <w:tcW w:w="1450" w:type="dxa"/>
            <w:noWrap w:val="0"/>
            <w:vAlign w:val="top"/>
          </w:tcPr>
          <w:p w14:paraId="22D2298A">
            <w:pPr>
              <w:rPr>
                <w:rFonts w:eastAsia="仿宋_GB2312"/>
                <w:color w:val="auto"/>
                <w:sz w:val="30"/>
                <w:szCs w:val="30"/>
                <w:highlight w:val="none"/>
              </w:rPr>
            </w:pPr>
          </w:p>
        </w:tc>
        <w:tc>
          <w:tcPr>
            <w:tcW w:w="1243" w:type="dxa"/>
            <w:noWrap w:val="0"/>
            <w:vAlign w:val="top"/>
          </w:tcPr>
          <w:p w14:paraId="7E5E4AB4">
            <w:pPr>
              <w:rPr>
                <w:rFonts w:eastAsia="仿宋_GB2312"/>
                <w:color w:val="auto"/>
                <w:sz w:val="30"/>
                <w:szCs w:val="30"/>
                <w:highlight w:val="none"/>
              </w:rPr>
            </w:pPr>
          </w:p>
        </w:tc>
        <w:tc>
          <w:tcPr>
            <w:tcW w:w="1450" w:type="dxa"/>
            <w:noWrap w:val="0"/>
            <w:vAlign w:val="top"/>
          </w:tcPr>
          <w:p w14:paraId="5E9F6449">
            <w:pPr>
              <w:rPr>
                <w:rFonts w:eastAsia="仿宋_GB2312"/>
                <w:color w:val="auto"/>
                <w:sz w:val="30"/>
                <w:szCs w:val="30"/>
                <w:highlight w:val="none"/>
              </w:rPr>
            </w:pPr>
          </w:p>
        </w:tc>
        <w:tc>
          <w:tcPr>
            <w:tcW w:w="1667" w:type="dxa"/>
            <w:noWrap w:val="0"/>
            <w:vAlign w:val="top"/>
          </w:tcPr>
          <w:p w14:paraId="63254FCF">
            <w:pPr>
              <w:rPr>
                <w:rFonts w:eastAsia="仿宋_GB2312"/>
                <w:color w:val="auto"/>
                <w:sz w:val="30"/>
                <w:szCs w:val="30"/>
                <w:highlight w:val="none"/>
              </w:rPr>
            </w:pPr>
          </w:p>
        </w:tc>
      </w:tr>
      <w:tr w14:paraId="622669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18BB07F">
            <w:pPr>
              <w:pStyle w:val="2"/>
              <w:keepNext/>
              <w:spacing w:after="0" w:line="440" w:lineRule="exact"/>
              <w:ind w:left="63" w:right="63"/>
              <w:rPr>
                <w:rFonts w:eastAsia="仿宋_GB2312"/>
                <w:color w:val="auto"/>
                <w:sz w:val="30"/>
                <w:szCs w:val="30"/>
                <w:highlight w:val="none"/>
              </w:rPr>
            </w:pPr>
          </w:p>
        </w:tc>
        <w:tc>
          <w:tcPr>
            <w:tcW w:w="1276" w:type="dxa"/>
            <w:noWrap w:val="0"/>
            <w:vAlign w:val="center"/>
          </w:tcPr>
          <w:p w14:paraId="6C29BE25">
            <w:pPr>
              <w:pStyle w:val="2"/>
              <w:keepNext/>
              <w:spacing w:after="0" w:line="440" w:lineRule="exact"/>
              <w:ind w:left="63" w:right="63"/>
              <w:rPr>
                <w:rFonts w:eastAsia="仿宋_GB2312"/>
                <w:color w:val="auto"/>
                <w:sz w:val="30"/>
                <w:szCs w:val="30"/>
                <w:highlight w:val="none"/>
              </w:rPr>
            </w:pPr>
          </w:p>
        </w:tc>
        <w:tc>
          <w:tcPr>
            <w:tcW w:w="1450" w:type="dxa"/>
            <w:noWrap w:val="0"/>
            <w:vAlign w:val="center"/>
          </w:tcPr>
          <w:p w14:paraId="163CA24F">
            <w:pPr>
              <w:pStyle w:val="2"/>
              <w:keepNext/>
              <w:spacing w:after="0" w:line="440" w:lineRule="exact"/>
              <w:ind w:left="63" w:right="63"/>
              <w:rPr>
                <w:rFonts w:eastAsia="仿宋_GB2312"/>
                <w:color w:val="auto"/>
                <w:sz w:val="30"/>
                <w:szCs w:val="30"/>
                <w:highlight w:val="none"/>
              </w:rPr>
            </w:pPr>
          </w:p>
        </w:tc>
        <w:tc>
          <w:tcPr>
            <w:tcW w:w="1243" w:type="dxa"/>
            <w:noWrap w:val="0"/>
            <w:vAlign w:val="center"/>
          </w:tcPr>
          <w:p w14:paraId="0DC652A3">
            <w:pPr>
              <w:pStyle w:val="2"/>
              <w:keepNext/>
              <w:spacing w:after="0" w:line="440" w:lineRule="exact"/>
              <w:ind w:left="63" w:right="63"/>
              <w:rPr>
                <w:rFonts w:eastAsia="仿宋_GB2312"/>
                <w:color w:val="auto"/>
                <w:sz w:val="30"/>
                <w:szCs w:val="30"/>
                <w:highlight w:val="none"/>
              </w:rPr>
            </w:pPr>
          </w:p>
        </w:tc>
        <w:tc>
          <w:tcPr>
            <w:tcW w:w="1450" w:type="dxa"/>
            <w:noWrap w:val="0"/>
            <w:vAlign w:val="center"/>
          </w:tcPr>
          <w:p w14:paraId="739ED8F3">
            <w:pPr>
              <w:pStyle w:val="2"/>
              <w:keepNext/>
              <w:spacing w:after="0" w:line="440" w:lineRule="exact"/>
              <w:ind w:left="63" w:right="63"/>
              <w:rPr>
                <w:rFonts w:eastAsia="仿宋_GB2312"/>
                <w:color w:val="auto"/>
                <w:sz w:val="30"/>
                <w:szCs w:val="30"/>
                <w:highlight w:val="none"/>
              </w:rPr>
            </w:pPr>
          </w:p>
        </w:tc>
        <w:tc>
          <w:tcPr>
            <w:tcW w:w="1667" w:type="dxa"/>
            <w:noWrap w:val="0"/>
            <w:vAlign w:val="center"/>
          </w:tcPr>
          <w:p w14:paraId="65D4A5E2">
            <w:pPr>
              <w:pStyle w:val="2"/>
              <w:keepNext/>
              <w:spacing w:after="0" w:line="440" w:lineRule="exact"/>
              <w:ind w:left="63" w:right="63"/>
              <w:rPr>
                <w:rFonts w:eastAsia="仿宋_GB2312"/>
                <w:color w:val="auto"/>
                <w:sz w:val="30"/>
                <w:szCs w:val="30"/>
                <w:highlight w:val="none"/>
              </w:rPr>
            </w:pPr>
          </w:p>
        </w:tc>
      </w:tr>
      <w:tr w14:paraId="584E40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E618DE8">
            <w:pPr>
              <w:rPr>
                <w:rFonts w:eastAsia="仿宋_GB2312"/>
                <w:color w:val="auto"/>
                <w:sz w:val="30"/>
                <w:szCs w:val="30"/>
                <w:highlight w:val="none"/>
              </w:rPr>
            </w:pPr>
          </w:p>
        </w:tc>
        <w:tc>
          <w:tcPr>
            <w:tcW w:w="1276" w:type="dxa"/>
            <w:noWrap w:val="0"/>
            <w:vAlign w:val="top"/>
          </w:tcPr>
          <w:p w14:paraId="5C8AC0F8">
            <w:pPr>
              <w:rPr>
                <w:rFonts w:eastAsia="仿宋_GB2312"/>
                <w:color w:val="auto"/>
                <w:sz w:val="30"/>
                <w:szCs w:val="30"/>
                <w:highlight w:val="none"/>
              </w:rPr>
            </w:pPr>
          </w:p>
        </w:tc>
        <w:tc>
          <w:tcPr>
            <w:tcW w:w="1450" w:type="dxa"/>
            <w:noWrap w:val="0"/>
            <w:vAlign w:val="top"/>
          </w:tcPr>
          <w:p w14:paraId="745D9CFC">
            <w:pPr>
              <w:rPr>
                <w:rFonts w:eastAsia="仿宋_GB2312"/>
                <w:color w:val="auto"/>
                <w:sz w:val="30"/>
                <w:szCs w:val="30"/>
                <w:highlight w:val="none"/>
              </w:rPr>
            </w:pPr>
          </w:p>
        </w:tc>
        <w:tc>
          <w:tcPr>
            <w:tcW w:w="1243" w:type="dxa"/>
            <w:noWrap w:val="0"/>
            <w:vAlign w:val="top"/>
          </w:tcPr>
          <w:p w14:paraId="6E6A8F46">
            <w:pPr>
              <w:rPr>
                <w:rFonts w:eastAsia="仿宋_GB2312"/>
                <w:color w:val="auto"/>
                <w:sz w:val="30"/>
                <w:szCs w:val="30"/>
                <w:highlight w:val="none"/>
              </w:rPr>
            </w:pPr>
          </w:p>
        </w:tc>
        <w:tc>
          <w:tcPr>
            <w:tcW w:w="1450" w:type="dxa"/>
            <w:noWrap w:val="0"/>
            <w:vAlign w:val="top"/>
          </w:tcPr>
          <w:p w14:paraId="68BCCB18">
            <w:pPr>
              <w:rPr>
                <w:rFonts w:eastAsia="仿宋_GB2312"/>
                <w:color w:val="auto"/>
                <w:sz w:val="30"/>
                <w:szCs w:val="30"/>
                <w:highlight w:val="none"/>
              </w:rPr>
            </w:pPr>
          </w:p>
        </w:tc>
        <w:tc>
          <w:tcPr>
            <w:tcW w:w="1667" w:type="dxa"/>
            <w:noWrap w:val="0"/>
            <w:vAlign w:val="top"/>
          </w:tcPr>
          <w:p w14:paraId="3222ECCD">
            <w:pPr>
              <w:rPr>
                <w:rFonts w:eastAsia="仿宋_GB2312"/>
                <w:color w:val="auto"/>
                <w:sz w:val="30"/>
                <w:szCs w:val="30"/>
                <w:highlight w:val="none"/>
              </w:rPr>
            </w:pPr>
          </w:p>
        </w:tc>
      </w:tr>
      <w:tr w14:paraId="109740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1C29BF1">
            <w:pPr>
              <w:rPr>
                <w:rFonts w:eastAsia="仿宋_GB2312"/>
                <w:color w:val="auto"/>
                <w:sz w:val="30"/>
                <w:szCs w:val="30"/>
                <w:highlight w:val="none"/>
              </w:rPr>
            </w:pPr>
          </w:p>
        </w:tc>
        <w:tc>
          <w:tcPr>
            <w:tcW w:w="1276" w:type="dxa"/>
            <w:noWrap w:val="0"/>
            <w:vAlign w:val="top"/>
          </w:tcPr>
          <w:p w14:paraId="5EA2730A">
            <w:pPr>
              <w:rPr>
                <w:rFonts w:eastAsia="仿宋_GB2312"/>
                <w:color w:val="auto"/>
                <w:sz w:val="30"/>
                <w:szCs w:val="30"/>
                <w:highlight w:val="none"/>
              </w:rPr>
            </w:pPr>
          </w:p>
        </w:tc>
        <w:tc>
          <w:tcPr>
            <w:tcW w:w="1450" w:type="dxa"/>
            <w:noWrap w:val="0"/>
            <w:vAlign w:val="top"/>
          </w:tcPr>
          <w:p w14:paraId="77FB9BD5">
            <w:pPr>
              <w:rPr>
                <w:rFonts w:eastAsia="仿宋_GB2312"/>
                <w:color w:val="auto"/>
                <w:sz w:val="30"/>
                <w:szCs w:val="30"/>
                <w:highlight w:val="none"/>
              </w:rPr>
            </w:pPr>
          </w:p>
        </w:tc>
        <w:tc>
          <w:tcPr>
            <w:tcW w:w="1243" w:type="dxa"/>
            <w:noWrap w:val="0"/>
            <w:vAlign w:val="top"/>
          </w:tcPr>
          <w:p w14:paraId="685B7EFE">
            <w:pPr>
              <w:rPr>
                <w:rFonts w:eastAsia="仿宋_GB2312"/>
                <w:color w:val="auto"/>
                <w:sz w:val="30"/>
                <w:szCs w:val="30"/>
                <w:highlight w:val="none"/>
              </w:rPr>
            </w:pPr>
          </w:p>
        </w:tc>
        <w:tc>
          <w:tcPr>
            <w:tcW w:w="1450" w:type="dxa"/>
            <w:noWrap w:val="0"/>
            <w:vAlign w:val="top"/>
          </w:tcPr>
          <w:p w14:paraId="68713981">
            <w:pPr>
              <w:rPr>
                <w:rFonts w:eastAsia="仿宋_GB2312"/>
                <w:color w:val="auto"/>
                <w:sz w:val="30"/>
                <w:szCs w:val="30"/>
                <w:highlight w:val="none"/>
              </w:rPr>
            </w:pPr>
          </w:p>
        </w:tc>
        <w:tc>
          <w:tcPr>
            <w:tcW w:w="1667" w:type="dxa"/>
            <w:noWrap w:val="0"/>
            <w:vAlign w:val="top"/>
          </w:tcPr>
          <w:p w14:paraId="788C46DD">
            <w:pPr>
              <w:rPr>
                <w:rFonts w:eastAsia="仿宋_GB2312"/>
                <w:color w:val="auto"/>
                <w:sz w:val="30"/>
                <w:szCs w:val="30"/>
                <w:highlight w:val="none"/>
              </w:rPr>
            </w:pPr>
          </w:p>
        </w:tc>
      </w:tr>
      <w:tr w14:paraId="2EBC40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0E42EFA">
            <w:pPr>
              <w:rPr>
                <w:rFonts w:eastAsia="仿宋_GB2312"/>
                <w:color w:val="auto"/>
                <w:sz w:val="30"/>
                <w:szCs w:val="30"/>
                <w:highlight w:val="none"/>
              </w:rPr>
            </w:pPr>
          </w:p>
        </w:tc>
        <w:tc>
          <w:tcPr>
            <w:tcW w:w="1276" w:type="dxa"/>
            <w:noWrap w:val="0"/>
            <w:vAlign w:val="top"/>
          </w:tcPr>
          <w:p w14:paraId="5E1E2EE7">
            <w:pPr>
              <w:rPr>
                <w:rFonts w:eastAsia="仿宋_GB2312"/>
                <w:color w:val="auto"/>
                <w:sz w:val="30"/>
                <w:szCs w:val="30"/>
                <w:highlight w:val="none"/>
              </w:rPr>
            </w:pPr>
          </w:p>
        </w:tc>
        <w:tc>
          <w:tcPr>
            <w:tcW w:w="1450" w:type="dxa"/>
            <w:noWrap w:val="0"/>
            <w:vAlign w:val="top"/>
          </w:tcPr>
          <w:p w14:paraId="4F441B91">
            <w:pPr>
              <w:rPr>
                <w:rFonts w:eastAsia="仿宋_GB2312"/>
                <w:color w:val="auto"/>
                <w:sz w:val="30"/>
                <w:szCs w:val="30"/>
                <w:highlight w:val="none"/>
              </w:rPr>
            </w:pPr>
          </w:p>
        </w:tc>
        <w:tc>
          <w:tcPr>
            <w:tcW w:w="1243" w:type="dxa"/>
            <w:noWrap w:val="0"/>
            <w:vAlign w:val="top"/>
          </w:tcPr>
          <w:p w14:paraId="6096889B">
            <w:pPr>
              <w:rPr>
                <w:rFonts w:eastAsia="仿宋_GB2312"/>
                <w:color w:val="auto"/>
                <w:sz w:val="30"/>
                <w:szCs w:val="30"/>
                <w:highlight w:val="none"/>
              </w:rPr>
            </w:pPr>
          </w:p>
        </w:tc>
        <w:tc>
          <w:tcPr>
            <w:tcW w:w="1450" w:type="dxa"/>
            <w:noWrap w:val="0"/>
            <w:vAlign w:val="top"/>
          </w:tcPr>
          <w:p w14:paraId="3802E698">
            <w:pPr>
              <w:rPr>
                <w:rFonts w:eastAsia="仿宋_GB2312"/>
                <w:color w:val="auto"/>
                <w:sz w:val="30"/>
                <w:szCs w:val="30"/>
                <w:highlight w:val="none"/>
              </w:rPr>
            </w:pPr>
          </w:p>
        </w:tc>
        <w:tc>
          <w:tcPr>
            <w:tcW w:w="1667" w:type="dxa"/>
            <w:noWrap w:val="0"/>
            <w:vAlign w:val="top"/>
          </w:tcPr>
          <w:p w14:paraId="0BAB5E2A">
            <w:pPr>
              <w:rPr>
                <w:rFonts w:eastAsia="仿宋_GB2312"/>
                <w:color w:val="auto"/>
                <w:sz w:val="30"/>
                <w:szCs w:val="30"/>
                <w:highlight w:val="none"/>
              </w:rPr>
            </w:pPr>
          </w:p>
        </w:tc>
      </w:tr>
      <w:tr w14:paraId="325B6E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8218CAD">
            <w:pPr>
              <w:rPr>
                <w:rFonts w:eastAsia="仿宋_GB2312"/>
                <w:color w:val="auto"/>
                <w:sz w:val="30"/>
                <w:szCs w:val="30"/>
                <w:highlight w:val="none"/>
              </w:rPr>
            </w:pPr>
          </w:p>
        </w:tc>
        <w:tc>
          <w:tcPr>
            <w:tcW w:w="1276" w:type="dxa"/>
            <w:noWrap w:val="0"/>
            <w:vAlign w:val="top"/>
          </w:tcPr>
          <w:p w14:paraId="472C1F36">
            <w:pPr>
              <w:rPr>
                <w:rFonts w:eastAsia="仿宋_GB2312"/>
                <w:color w:val="auto"/>
                <w:sz w:val="30"/>
                <w:szCs w:val="30"/>
                <w:highlight w:val="none"/>
              </w:rPr>
            </w:pPr>
          </w:p>
        </w:tc>
        <w:tc>
          <w:tcPr>
            <w:tcW w:w="1450" w:type="dxa"/>
            <w:noWrap w:val="0"/>
            <w:vAlign w:val="top"/>
          </w:tcPr>
          <w:p w14:paraId="05FE63D9">
            <w:pPr>
              <w:rPr>
                <w:rFonts w:eastAsia="仿宋_GB2312"/>
                <w:color w:val="auto"/>
                <w:sz w:val="30"/>
                <w:szCs w:val="30"/>
                <w:highlight w:val="none"/>
              </w:rPr>
            </w:pPr>
          </w:p>
        </w:tc>
        <w:tc>
          <w:tcPr>
            <w:tcW w:w="1243" w:type="dxa"/>
            <w:noWrap w:val="0"/>
            <w:vAlign w:val="top"/>
          </w:tcPr>
          <w:p w14:paraId="733A7710">
            <w:pPr>
              <w:rPr>
                <w:rFonts w:eastAsia="仿宋_GB2312"/>
                <w:color w:val="auto"/>
                <w:sz w:val="30"/>
                <w:szCs w:val="30"/>
                <w:highlight w:val="none"/>
              </w:rPr>
            </w:pPr>
          </w:p>
        </w:tc>
        <w:tc>
          <w:tcPr>
            <w:tcW w:w="1450" w:type="dxa"/>
            <w:noWrap w:val="0"/>
            <w:vAlign w:val="top"/>
          </w:tcPr>
          <w:p w14:paraId="2F02EDF9">
            <w:pPr>
              <w:rPr>
                <w:rFonts w:eastAsia="仿宋_GB2312"/>
                <w:color w:val="auto"/>
                <w:sz w:val="30"/>
                <w:szCs w:val="30"/>
                <w:highlight w:val="none"/>
              </w:rPr>
            </w:pPr>
          </w:p>
        </w:tc>
        <w:tc>
          <w:tcPr>
            <w:tcW w:w="1667" w:type="dxa"/>
            <w:noWrap w:val="0"/>
            <w:vAlign w:val="top"/>
          </w:tcPr>
          <w:p w14:paraId="0BC4473F">
            <w:pPr>
              <w:rPr>
                <w:rFonts w:eastAsia="仿宋_GB2312"/>
                <w:color w:val="auto"/>
                <w:sz w:val="30"/>
                <w:szCs w:val="30"/>
                <w:highlight w:val="none"/>
              </w:rPr>
            </w:pPr>
          </w:p>
        </w:tc>
      </w:tr>
      <w:tr w14:paraId="3BF437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C69F509">
            <w:pPr>
              <w:rPr>
                <w:rFonts w:eastAsia="仿宋_GB2312"/>
                <w:color w:val="auto"/>
                <w:sz w:val="30"/>
                <w:szCs w:val="30"/>
                <w:highlight w:val="none"/>
              </w:rPr>
            </w:pPr>
          </w:p>
        </w:tc>
        <w:tc>
          <w:tcPr>
            <w:tcW w:w="1276" w:type="dxa"/>
            <w:noWrap w:val="0"/>
            <w:vAlign w:val="top"/>
          </w:tcPr>
          <w:p w14:paraId="6B21446F">
            <w:pPr>
              <w:rPr>
                <w:rFonts w:eastAsia="仿宋_GB2312"/>
                <w:color w:val="auto"/>
                <w:sz w:val="30"/>
                <w:szCs w:val="30"/>
                <w:highlight w:val="none"/>
              </w:rPr>
            </w:pPr>
          </w:p>
        </w:tc>
        <w:tc>
          <w:tcPr>
            <w:tcW w:w="1450" w:type="dxa"/>
            <w:noWrap w:val="0"/>
            <w:vAlign w:val="top"/>
          </w:tcPr>
          <w:p w14:paraId="4AA769A9">
            <w:pPr>
              <w:rPr>
                <w:rFonts w:eastAsia="仿宋_GB2312"/>
                <w:color w:val="auto"/>
                <w:sz w:val="30"/>
                <w:szCs w:val="30"/>
                <w:highlight w:val="none"/>
              </w:rPr>
            </w:pPr>
          </w:p>
        </w:tc>
        <w:tc>
          <w:tcPr>
            <w:tcW w:w="1243" w:type="dxa"/>
            <w:noWrap w:val="0"/>
            <w:vAlign w:val="top"/>
          </w:tcPr>
          <w:p w14:paraId="0302C8B3">
            <w:pPr>
              <w:rPr>
                <w:rFonts w:eastAsia="仿宋_GB2312"/>
                <w:color w:val="auto"/>
                <w:sz w:val="30"/>
                <w:szCs w:val="30"/>
                <w:highlight w:val="none"/>
              </w:rPr>
            </w:pPr>
          </w:p>
        </w:tc>
        <w:tc>
          <w:tcPr>
            <w:tcW w:w="1450" w:type="dxa"/>
            <w:noWrap w:val="0"/>
            <w:vAlign w:val="top"/>
          </w:tcPr>
          <w:p w14:paraId="76CB8E46">
            <w:pPr>
              <w:rPr>
                <w:rFonts w:eastAsia="仿宋_GB2312"/>
                <w:color w:val="auto"/>
                <w:sz w:val="30"/>
                <w:szCs w:val="30"/>
                <w:highlight w:val="none"/>
              </w:rPr>
            </w:pPr>
          </w:p>
        </w:tc>
        <w:tc>
          <w:tcPr>
            <w:tcW w:w="1667" w:type="dxa"/>
            <w:noWrap w:val="0"/>
            <w:vAlign w:val="top"/>
          </w:tcPr>
          <w:p w14:paraId="04CE9D91">
            <w:pPr>
              <w:rPr>
                <w:rFonts w:eastAsia="仿宋_GB2312"/>
                <w:color w:val="auto"/>
                <w:sz w:val="30"/>
                <w:szCs w:val="30"/>
                <w:highlight w:val="none"/>
              </w:rPr>
            </w:pPr>
          </w:p>
        </w:tc>
      </w:tr>
      <w:tr w14:paraId="19E33B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D8D4369">
            <w:pPr>
              <w:rPr>
                <w:rFonts w:eastAsia="仿宋_GB2312"/>
                <w:color w:val="auto"/>
                <w:sz w:val="30"/>
                <w:szCs w:val="30"/>
                <w:highlight w:val="none"/>
              </w:rPr>
            </w:pPr>
          </w:p>
        </w:tc>
        <w:tc>
          <w:tcPr>
            <w:tcW w:w="1276" w:type="dxa"/>
            <w:noWrap w:val="0"/>
            <w:vAlign w:val="top"/>
          </w:tcPr>
          <w:p w14:paraId="76F62F7E">
            <w:pPr>
              <w:rPr>
                <w:rFonts w:eastAsia="仿宋_GB2312"/>
                <w:color w:val="auto"/>
                <w:sz w:val="30"/>
                <w:szCs w:val="30"/>
                <w:highlight w:val="none"/>
              </w:rPr>
            </w:pPr>
          </w:p>
        </w:tc>
        <w:tc>
          <w:tcPr>
            <w:tcW w:w="1450" w:type="dxa"/>
            <w:noWrap w:val="0"/>
            <w:vAlign w:val="top"/>
          </w:tcPr>
          <w:p w14:paraId="03F5A6BB">
            <w:pPr>
              <w:rPr>
                <w:rFonts w:eastAsia="仿宋_GB2312"/>
                <w:color w:val="auto"/>
                <w:sz w:val="30"/>
                <w:szCs w:val="30"/>
                <w:highlight w:val="none"/>
              </w:rPr>
            </w:pPr>
          </w:p>
        </w:tc>
        <w:tc>
          <w:tcPr>
            <w:tcW w:w="1243" w:type="dxa"/>
            <w:noWrap w:val="0"/>
            <w:vAlign w:val="top"/>
          </w:tcPr>
          <w:p w14:paraId="7ADD0E72">
            <w:pPr>
              <w:rPr>
                <w:rFonts w:eastAsia="仿宋_GB2312"/>
                <w:color w:val="auto"/>
                <w:sz w:val="30"/>
                <w:szCs w:val="30"/>
                <w:highlight w:val="none"/>
              </w:rPr>
            </w:pPr>
          </w:p>
        </w:tc>
        <w:tc>
          <w:tcPr>
            <w:tcW w:w="1450" w:type="dxa"/>
            <w:noWrap w:val="0"/>
            <w:vAlign w:val="top"/>
          </w:tcPr>
          <w:p w14:paraId="3F09DEE4">
            <w:pPr>
              <w:rPr>
                <w:rFonts w:eastAsia="仿宋_GB2312"/>
                <w:color w:val="auto"/>
                <w:sz w:val="30"/>
                <w:szCs w:val="30"/>
                <w:highlight w:val="none"/>
              </w:rPr>
            </w:pPr>
          </w:p>
        </w:tc>
        <w:tc>
          <w:tcPr>
            <w:tcW w:w="1667" w:type="dxa"/>
            <w:noWrap w:val="0"/>
            <w:vAlign w:val="top"/>
          </w:tcPr>
          <w:p w14:paraId="744CCC6C">
            <w:pPr>
              <w:rPr>
                <w:rFonts w:eastAsia="仿宋_GB2312"/>
                <w:color w:val="auto"/>
                <w:sz w:val="30"/>
                <w:szCs w:val="30"/>
                <w:highlight w:val="none"/>
              </w:rPr>
            </w:pPr>
          </w:p>
        </w:tc>
      </w:tr>
      <w:tr w14:paraId="0A91EB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EA0474D">
            <w:pPr>
              <w:rPr>
                <w:rFonts w:eastAsia="仿宋_GB2312"/>
                <w:color w:val="auto"/>
                <w:sz w:val="30"/>
                <w:szCs w:val="30"/>
                <w:highlight w:val="none"/>
              </w:rPr>
            </w:pPr>
          </w:p>
        </w:tc>
        <w:tc>
          <w:tcPr>
            <w:tcW w:w="1276" w:type="dxa"/>
            <w:noWrap w:val="0"/>
            <w:vAlign w:val="top"/>
          </w:tcPr>
          <w:p w14:paraId="32BD9972">
            <w:pPr>
              <w:rPr>
                <w:rFonts w:eastAsia="仿宋_GB2312"/>
                <w:color w:val="auto"/>
                <w:sz w:val="30"/>
                <w:szCs w:val="30"/>
                <w:highlight w:val="none"/>
              </w:rPr>
            </w:pPr>
          </w:p>
        </w:tc>
        <w:tc>
          <w:tcPr>
            <w:tcW w:w="1450" w:type="dxa"/>
            <w:noWrap w:val="0"/>
            <w:vAlign w:val="top"/>
          </w:tcPr>
          <w:p w14:paraId="2F5546B8">
            <w:pPr>
              <w:rPr>
                <w:rFonts w:eastAsia="仿宋_GB2312"/>
                <w:color w:val="auto"/>
                <w:sz w:val="30"/>
                <w:szCs w:val="30"/>
                <w:highlight w:val="none"/>
              </w:rPr>
            </w:pPr>
          </w:p>
        </w:tc>
        <w:tc>
          <w:tcPr>
            <w:tcW w:w="1243" w:type="dxa"/>
            <w:noWrap w:val="0"/>
            <w:vAlign w:val="top"/>
          </w:tcPr>
          <w:p w14:paraId="50B42800">
            <w:pPr>
              <w:rPr>
                <w:rFonts w:eastAsia="仿宋_GB2312"/>
                <w:color w:val="auto"/>
                <w:sz w:val="30"/>
                <w:szCs w:val="30"/>
                <w:highlight w:val="none"/>
              </w:rPr>
            </w:pPr>
          </w:p>
        </w:tc>
        <w:tc>
          <w:tcPr>
            <w:tcW w:w="1450" w:type="dxa"/>
            <w:noWrap w:val="0"/>
            <w:vAlign w:val="top"/>
          </w:tcPr>
          <w:p w14:paraId="75F49CA3">
            <w:pPr>
              <w:rPr>
                <w:rFonts w:eastAsia="仿宋_GB2312"/>
                <w:color w:val="auto"/>
                <w:sz w:val="30"/>
                <w:szCs w:val="30"/>
                <w:highlight w:val="none"/>
              </w:rPr>
            </w:pPr>
          </w:p>
        </w:tc>
        <w:tc>
          <w:tcPr>
            <w:tcW w:w="1667" w:type="dxa"/>
            <w:noWrap w:val="0"/>
            <w:vAlign w:val="top"/>
          </w:tcPr>
          <w:p w14:paraId="210F07A1">
            <w:pPr>
              <w:rPr>
                <w:rFonts w:eastAsia="仿宋_GB2312"/>
                <w:color w:val="auto"/>
                <w:sz w:val="30"/>
                <w:szCs w:val="30"/>
                <w:highlight w:val="none"/>
              </w:rPr>
            </w:pPr>
          </w:p>
        </w:tc>
      </w:tr>
      <w:tr w14:paraId="2FBA35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BABAB60">
            <w:pPr>
              <w:rPr>
                <w:rFonts w:eastAsia="仿宋_GB2312"/>
                <w:color w:val="auto"/>
                <w:sz w:val="30"/>
                <w:szCs w:val="30"/>
                <w:highlight w:val="none"/>
              </w:rPr>
            </w:pPr>
          </w:p>
        </w:tc>
        <w:tc>
          <w:tcPr>
            <w:tcW w:w="1276" w:type="dxa"/>
            <w:noWrap w:val="0"/>
            <w:vAlign w:val="top"/>
          </w:tcPr>
          <w:p w14:paraId="4F55B061">
            <w:pPr>
              <w:rPr>
                <w:rFonts w:eastAsia="仿宋_GB2312"/>
                <w:color w:val="auto"/>
                <w:sz w:val="30"/>
                <w:szCs w:val="30"/>
                <w:highlight w:val="none"/>
              </w:rPr>
            </w:pPr>
          </w:p>
        </w:tc>
        <w:tc>
          <w:tcPr>
            <w:tcW w:w="1450" w:type="dxa"/>
            <w:noWrap w:val="0"/>
            <w:vAlign w:val="top"/>
          </w:tcPr>
          <w:p w14:paraId="7A0B5860">
            <w:pPr>
              <w:rPr>
                <w:rFonts w:eastAsia="仿宋_GB2312"/>
                <w:color w:val="auto"/>
                <w:sz w:val="30"/>
                <w:szCs w:val="30"/>
                <w:highlight w:val="none"/>
              </w:rPr>
            </w:pPr>
          </w:p>
        </w:tc>
        <w:tc>
          <w:tcPr>
            <w:tcW w:w="1243" w:type="dxa"/>
            <w:noWrap w:val="0"/>
            <w:vAlign w:val="top"/>
          </w:tcPr>
          <w:p w14:paraId="6753EDE6">
            <w:pPr>
              <w:rPr>
                <w:rFonts w:eastAsia="仿宋_GB2312"/>
                <w:color w:val="auto"/>
                <w:sz w:val="30"/>
                <w:szCs w:val="30"/>
                <w:highlight w:val="none"/>
              </w:rPr>
            </w:pPr>
          </w:p>
        </w:tc>
        <w:tc>
          <w:tcPr>
            <w:tcW w:w="1450" w:type="dxa"/>
            <w:noWrap w:val="0"/>
            <w:vAlign w:val="top"/>
          </w:tcPr>
          <w:p w14:paraId="7913B4F3">
            <w:pPr>
              <w:rPr>
                <w:rFonts w:eastAsia="仿宋_GB2312"/>
                <w:color w:val="auto"/>
                <w:sz w:val="30"/>
                <w:szCs w:val="30"/>
                <w:highlight w:val="none"/>
              </w:rPr>
            </w:pPr>
          </w:p>
        </w:tc>
        <w:tc>
          <w:tcPr>
            <w:tcW w:w="1667" w:type="dxa"/>
            <w:noWrap w:val="0"/>
            <w:vAlign w:val="top"/>
          </w:tcPr>
          <w:p w14:paraId="04065D18">
            <w:pPr>
              <w:rPr>
                <w:rFonts w:eastAsia="仿宋_GB2312"/>
                <w:color w:val="auto"/>
                <w:sz w:val="30"/>
                <w:szCs w:val="30"/>
                <w:highlight w:val="none"/>
              </w:rPr>
            </w:pPr>
          </w:p>
        </w:tc>
      </w:tr>
      <w:tr w14:paraId="0C48B6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22A4E48">
            <w:pPr>
              <w:rPr>
                <w:rFonts w:eastAsia="仿宋_GB2312"/>
                <w:color w:val="auto"/>
                <w:sz w:val="30"/>
                <w:szCs w:val="30"/>
                <w:highlight w:val="none"/>
              </w:rPr>
            </w:pPr>
          </w:p>
        </w:tc>
        <w:tc>
          <w:tcPr>
            <w:tcW w:w="1276" w:type="dxa"/>
            <w:noWrap w:val="0"/>
            <w:vAlign w:val="top"/>
          </w:tcPr>
          <w:p w14:paraId="4145CEB5">
            <w:pPr>
              <w:rPr>
                <w:rFonts w:eastAsia="仿宋_GB2312"/>
                <w:color w:val="auto"/>
                <w:sz w:val="30"/>
                <w:szCs w:val="30"/>
                <w:highlight w:val="none"/>
              </w:rPr>
            </w:pPr>
          </w:p>
        </w:tc>
        <w:tc>
          <w:tcPr>
            <w:tcW w:w="1450" w:type="dxa"/>
            <w:noWrap w:val="0"/>
            <w:vAlign w:val="top"/>
          </w:tcPr>
          <w:p w14:paraId="59D28526">
            <w:pPr>
              <w:rPr>
                <w:rFonts w:eastAsia="仿宋_GB2312"/>
                <w:color w:val="auto"/>
                <w:sz w:val="30"/>
                <w:szCs w:val="30"/>
                <w:highlight w:val="none"/>
              </w:rPr>
            </w:pPr>
          </w:p>
        </w:tc>
        <w:tc>
          <w:tcPr>
            <w:tcW w:w="1243" w:type="dxa"/>
            <w:noWrap w:val="0"/>
            <w:vAlign w:val="top"/>
          </w:tcPr>
          <w:p w14:paraId="28520BC2">
            <w:pPr>
              <w:rPr>
                <w:rFonts w:eastAsia="仿宋_GB2312"/>
                <w:color w:val="auto"/>
                <w:sz w:val="30"/>
                <w:szCs w:val="30"/>
                <w:highlight w:val="none"/>
              </w:rPr>
            </w:pPr>
          </w:p>
        </w:tc>
        <w:tc>
          <w:tcPr>
            <w:tcW w:w="1450" w:type="dxa"/>
            <w:noWrap w:val="0"/>
            <w:vAlign w:val="top"/>
          </w:tcPr>
          <w:p w14:paraId="0F22BB15">
            <w:pPr>
              <w:rPr>
                <w:rFonts w:eastAsia="仿宋_GB2312"/>
                <w:color w:val="auto"/>
                <w:sz w:val="30"/>
                <w:szCs w:val="30"/>
                <w:highlight w:val="none"/>
              </w:rPr>
            </w:pPr>
          </w:p>
        </w:tc>
        <w:tc>
          <w:tcPr>
            <w:tcW w:w="1667" w:type="dxa"/>
            <w:noWrap w:val="0"/>
            <w:vAlign w:val="top"/>
          </w:tcPr>
          <w:p w14:paraId="61FD1DDA">
            <w:pPr>
              <w:rPr>
                <w:rFonts w:eastAsia="仿宋_GB2312"/>
                <w:color w:val="auto"/>
                <w:sz w:val="30"/>
                <w:szCs w:val="30"/>
                <w:highlight w:val="none"/>
              </w:rPr>
            </w:pPr>
          </w:p>
        </w:tc>
      </w:tr>
    </w:tbl>
    <w:p w14:paraId="46ACF768">
      <w:pPr>
        <w:spacing w:line="440" w:lineRule="exact"/>
        <w:rPr>
          <w:rFonts w:hint="eastAsia" w:eastAsia="仿宋_GB2312"/>
          <w:color w:val="auto"/>
          <w:sz w:val="30"/>
          <w:szCs w:val="30"/>
          <w:highlight w:val="none"/>
        </w:rPr>
      </w:pPr>
    </w:p>
    <w:p w14:paraId="6F4767A0">
      <w:pPr>
        <w:spacing w:line="440" w:lineRule="exact"/>
        <w:rPr>
          <w:rFonts w:eastAsia="黑体"/>
          <w:color w:val="auto"/>
          <w:sz w:val="30"/>
          <w:szCs w:val="30"/>
          <w:highlight w:val="none"/>
        </w:rPr>
      </w:pPr>
      <w:r>
        <w:rPr>
          <w:rFonts w:eastAsia="仿宋_GB2312"/>
          <w:color w:val="auto"/>
          <w:sz w:val="30"/>
          <w:szCs w:val="30"/>
          <w:highlight w:val="none"/>
        </w:rPr>
        <w:br w:type="page"/>
      </w:r>
      <w:r>
        <w:rPr>
          <w:rFonts w:hint="eastAsia" w:eastAsia="仿宋_GB2312" w:cs="仿宋_GB2312"/>
          <w:color w:val="auto"/>
          <w:sz w:val="30"/>
          <w:szCs w:val="30"/>
          <w:highlight w:val="none"/>
        </w:rPr>
        <w:t>附件</w:t>
      </w:r>
      <w:r>
        <w:rPr>
          <w:rFonts w:hint="eastAsia" w:eastAsia="仿宋_GB2312"/>
          <w:color w:val="auto"/>
          <w:sz w:val="30"/>
          <w:szCs w:val="30"/>
          <w:highlight w:val="none"/>
        </w:rPr>
        <w:t>4</w:t>
      </w:r>
      <w:r>
        <w:rPr>
          <w:rFonts w:hint="eastAsia" w:eastAsia="仿宋_GB2312" w:cs="仿宋_GB2312"/>
          <w:color w:val="auto"/>
          <w:sz w:val="30"/>
          <w:szCs w:val="30"/>
          <w:highlight w:val="none"/>
        </w:rPr>
        <w:t>：</w:t>
      </w:r>
    </w:p>
    <w:p w14:paraId="4590454A">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承包人用于本工程施工的机械设备表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6C66A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noWrap w:val="0"/>
            <w:vAlign w:val="center"/>
          </w:tcPr>
          <w:p w14:paraId="529F933B">
            <w:pPr>
              <w:pStyle w:val="2"/>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序号</w:t>
            </w:r>
          </w:p>
        </w:tc>
        <w:tc>
          <w:tcPr>
            <w:tcW w:w="1418" w:type="dxa"/>
            <w:noWrap w:val="0"/>
            <w:vAlign w:val="center"/>
          </w:tcPr>
          <w:p w14:paraId="3AB5F84A">
            <w:pPr>
              <w:pStyle w:val="2"/>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机械或设备名称</w:t>
            </w:r>
          </w:p>
        </w:tc>
        <w:tc>
          <w:tcPr>
            <w:tcW w:w="850" w:type="dxa"/>
            <w:noWrap w:val="0"/>
            <w:vAlign w:val="center"/>
          </w:tcPr>
          <w:p w14:paraId="053E1B11">
            <w:pPr>
              <w:pStyle w:val="2"/>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规格型号</w:t>
            </w:r>
          </w:p>
        </w:tc>
        <w:tc>
          <w:tcPr>
            <w:tcW w:w="1058" w:type="dxa"/>
            <w:noWrap w:val="0"/>
            <w:vAlign w:val="center"/>
          </w:tcPr>
          <w:p w14:paraId="04121361">
            <w:pPr>
              <w:pStyle w:val="2"/>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数量</w:t>
            </w:r>
          </w:p>
        </w:tc>
        <w:tc>
          <w:tcPr>
            <w:tcW w:w="880" w:type="dxa"/>
            <w:noWrap w:val="0"/>
            <w:vAlign w:val="center"/>
          </w:tcPr>
          <w:p w14:paraId="0F79B1ED">
            <w:pPr>
              <w:pStyle w:val="2"/>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产地</w:t>
            </w:r>
          </w:p>
        </w:tc>
        <w:tc>
          <w:tcPr>
            <w:tcW w:w="1020" w:type="dxa"/>
            <w:noWrap w:val="0"/>
            <w:vAlign w:val="center"/>
          </w:tcPr>
          <w:p w14:paraId="03B0DD5E">
            <w:pPr>
              <w:pStyle w:val="2"/>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制造年份</w:t>
            </w:r>
          </w:p>
        </w:tc>
        <w:tc>
          <w:tcPr>
            <w:tcW w:w="1480" w:type="dxa"/>
            <w:noWrap w:val="0"/>
            <w:vAlign w:val="center"/>
          </w:tcPr>
          <w:p w14:paraId="609B4EFF">
            <w:pPr>
              <w:pStyle w:val="2"/>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额定功率（</w:t>
            </w:r>
            <w:r>
              <w:rPr>
                <w:rFonts w:eastAsia="仿宋_GB2312"/>
                <w:color w:val="auto"/>
                <w:sz w:val="28"/>
                <w:szCs w:val="28"/>
                <w:highlight w:val="none"/>
              </w:rPr>
              <w:t>kW</w:t>
            </w:r>
            <w:r>
              <w:rPr>
                <w:rFonts w:hint="eastAsia" w:eastAsia="仿宋_GB2312" w:cs="仿宋_GB2312"/>
                <w:color w:val="auto"/>
                <w:sz w:val="28"/>
                <w:szCs w:val="28"/>
                <w:highlight w:val="none"/>
              </w:rPr>
              <w:t>）</w:t>
            </w:r>
          </w:p>
        </w:tc>
        <w:tc>
          <w:tcPr>
            <w:tcW w:w="1020" w:type="dxa"/>
            <w:noWrap w:val="0"/>
            <w:vAlign w:val="center"/>
          </w:tcPr>
          <w:p w14:paraId="5529EA8D">
            <w:pPr>
              <w:pStyle w:val="2"/>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生产能力</w:t>
            </w:r>
          </w:p>
        </w:tc>
        <w:tc>
          <w:tcPr>
            <w:tcW w:w="921" w:type="dxa"/>
            <w:noWrap w:val="0"/>
            <w:vAlign w:val="center"/>
          </w:tcPr>
          <w:p w14:paraId="08A01B4E">
            <w:pPr>
              <w:pStyle w:val="2"/>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备注</w:t>
            </w:r>
          </w:p>
        </w:tc>
      </w:tr>
      <w:tr w14:paraId="5B932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0EDC94D4">
            <w:pPr>
              <w:pStyle w:val="2"/>
              <w:keepNext/>
              <w:spacing w:after="0" w:line="440" w:lineRule="exact"/>
              <w:ind w:left="63" w:right="63"/>
              <w:rPr>
                <w:rFonts w:eastAsia="仿宋_GB2312"/>
                <w:color w:val="auto"/>
                <w:sz w:val="30"/>
                <w:szCs w:val="30"/>
                <w:highlight w:val="none"/>
              </w:rPr>
            </w:pPr>
          </w:p>
        </w:tc>
        <w:tc>
          <w:tcPr>
            <w:tcW w:w="1418" w:type="dxa"/>
            <w:noWrap w:val="0"/>
            <w:vAlign w:val="center"/>
          </w:tcPr>
          <w:p w14:paraId="7DF62D2F">
            <w:pPr>
              <w:pStyle w:val="2"/>
              <w:keepNext/>
              <w:spacing w:after="0" w:line="440" w:lineRule="exact"/>
              <w:ind w:left="63" w:right="63"/>
              <w:rPr>
                <w:rFonts w:eastAsia="仿宋_GB2312"/>
                <w:color w:val="auto"/>
                <w:sz w:val="30"/>
                <w:szCs w:val="30"/>
                <w:highlight w:val="none"/>
              </w:rPr>
            </w:pPr>
          </w:p>
        </w:tc>
        <w:tc>
          <w:tcPr>
            <w:tcW w:w="850" w:type="dxa"/>
            <w:noWrap w:val="0"/>
            <w:vAlign w:val="center"/>
          </w:tcPr>
          <w:p w14:paraId="24DA0CD7">
            <w:pPr>
              <w:pStyle w:val="2"/>
              <w:keepNext/>
              <w:spacing w:after="0" w:line="440" w:lineRule="exact"/>
              <w:ind w:left="63" w:right="63"/>
              <w:rPr>
                <w:rFonts w:eastAsia="仿宋_GB2312"/>
                <w:color w:val="auto"/>
                <w:sz w:val="30"/>
                <w:szCs w:val="30"/>
                <w:highlight w:val="none"/>
              </w:rPr>
            </w:pPr>
          </w:p>
        </w:tc>
        <w:tc>
          <w:tcPr>
            <w:tcW w:w="1058" w:type="dxa"/>
            <w:noWrap w:val="0"/>
            <w:vAlign w:val="center"/>
          </w:tcPr>
          <w:p w14:paraId="4D643D60">
            <w:pPr>
              <w:pStyle w:val="2"/>
              <w:keepNext/>
              <w:spacing w:after="0" w:line="440" w:lineRule="exact"/>
              <w:ind w:left="63" w:right="63"/>
              <w:rPr>
                <w:rFonts w:eastAsia="仿宋_GB2312"/>
                <w:color w:val="auto"/>
                <w:sz w:val="30"/>
                <w:szCs w:val="30"/>
                <w:highlight w:val="none"/>
              </w:rPr>
            </w:pPr>
          </w:p>
        </w:tc>
        <w:tc>
          <w:tcPr>
            <w:tcW w:w="880" w:type="dxa"/>
            <w:noWrap w:val="0"/>
            <w:vAlign w:val="center"/>
          </w:tcPr>
          <w:p w14:paraId="11F4A14A">
            <w:pPr>
              <w:pStyle w:val="2"/>
              <w:keepNext/>
              <w:spacing w:after="0" w:line="440" w:lineRule="exact"/>
              <w:ind w:left="63" w:right="63"/>
              <w:rPr>
                <w:rFonts w:eastAsia="仿宋_GB2312"/>
                <w:color w:val="auto"/>
                <w:sz w:val="30"/>
                <w:szCs w:val="30"/>
                <w:highlight w:val="none"/>
              </w:rPr>
            </w:pPr>
          </w:p>
        </w:tc>
        <w:tc>
          <w:tcPr>
            <w:tcW w:w="1020" w:type="dxa"/>
            <w:noWrap w:val="0"/>
            <w:vAlign w:val="center"/>
          </w:tcPr>
          <w:p w14:paraId="741F01B0">
            <w:pPr>
              <w:pStyle w:val="2"/>
              <w:keepNext/>
              <w:spacing w:after="0" w:line="440" w:lineRule="exact"/>
              <w:ind w:left="63" w:right="63"/>
              <w:rPr>
                <w:rFonts w:eastAsia="仿宋_GB2312"/>
                <w:color w:val="auto"/>
                <w:sz w:val="30"/>
                <w:szCs w:val="30"/>
                <w:highlight w:val="none"/>
              </w:rPr>
            </w:pPr>
          </w:p>
        </w:tc>
        <w:tc>
          <w:tcPr>
            <w:tcW w:w="1480" w:type="dxa"/>
            <w:noWrap w:val="0"/>
            <w:vAlign w:val="center"/>
          </w:tcPr>
          <w:p w14:paraId="3BCB3718">
            <w:pPr>
              <w:pStyle w:val="2"/>
              <w:keepNext/>
              <w:spacing w:after="0" w:line="440" w:lineRule="exact"/>
              <w:ind w:left="63" w:right="63"/>
              <w:rPr>
                <w:rFonts w:eastAsia="仿宋_GB2312"/>
                <w:color w:val="auto"/>
                <w:sz w:val="30"/>
                <w:szCs w:val="30"/>
                <w:highlight w:val="none"/>
              </w:rPr>
            </w:pPr>
          </w:p>
        </w:tc>
        <w:tc>
          <w:tcPr>
            <w:tcW w:w="1020" w:type="dxa"/>
            <w:noWrap w:val="0"/>
            <w:vAlign w:val="center"/>
          </w:tcPr>
          <w:p w14:paraId="570113C4">
            <w:pPr>
              <w:pStyle w:val="2"/>
              <w:keepNext/>
              <w:spacing w:after="0" w:line="440" w:lineRule="exact"/>
              <w:ind w:left="63" w:right="63"/>
              <w:rPr>
                <w:rFonts w:eastAsia="仿宋_GB2312"/>
                <w:color w:val="auto"/>
                <w:sz w:val="30"/>
                <w:szCs w:val="30"/>
                <w:highlight w:val="none"/>
              </w:rPr>
            </w:pPr>
          </w:p>
        </w:tc>
        <w:tc>
          <w:tcPr>
            <w:tcW w:w="921" w:type="dxa"/>
            <w:noWrap w:val="0"/>
            <w:vAlign w:val="center"/>
          </w:tcPr>
          <w:p w14:paraId="27DBE03B">
            <w:pPr>
              <w:pStyle w:val="2"/>
              <w:keepNext/>
              <w:spacing w:after="0" w:line="440" w:lineRule="exact"/>
              <w:ind w:left="63" w:right="63"/>
              <w:rPr>
                <w:rFonts w:eastAsia="仿宋_GB2312"/>
                <w:color w:val="auto"/>
                <w:sz w:val="30"/>
                <w:szCs w:val="30"/>
                <w:highlight w:val="none"/>
              </w:rPr>
            </w:pPr>
          </w:p>
        </w:tc>
      </w:tr>
      <w:tr w14:paraId="6204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5413474C">
            <w:pPr>
              <w:pStyle w:val="2"/>
              <w:keepNext/>
              <w:spacing w:after="0" w:line="440" w:lineRule="exact"/>
              <w:ind w:left="63" w:right="63"/>
              <w:rPr>
                <w:rFonts w:eastAsia="仿宋_GB2312"/>
                <w:color w:val="auto"/>
                <w:sz w:val="30"/>
                <w:szCs w:val="30"/>
                <w:highlight w:val="none"/>
              </w:rPr>
            </w:pPr>
          </w:p>
        </w:tc>
        <w:tc>
          <w:tcPr>
            <w:tcW w:w="1418" w:type="dxa"/>
            <w:noWrap w:val="0"/>
            <w:vAlign w:val="center"/>
          </w:tcPr>
          <w:p w14:paraId="6E346C04">
            <w:pPr>
              <w:pStyle w:val="2"/>
              <w:keepNext/>
              <w:spacing w:after="0" w:line="440" w:lineRule="exact"/>
              <w:ind w:left="63" w:right="63"/>
              <w:rPr>
                <w:rFonts w:eastAsia="仿宋_GB2312"/>
                <w:color w:val="auto"/>
                <w:sz w:val="30"/>
                <w:szCs w:val="30"/>
                <w:highlight w:val="none"/>
              </w:rPr>
            </w:pPr>
          </w:p>
        </w:tc>
        <w:tc>
          <w:tcPr>
            <w:tcW w:w="850" w:type="dxa"/>
            <w:noWrap w:val="0"/>
            <w:vAlign w:val="center"/>
          </w:tcPr>
          <w:p w14:paraId="74798398">
            <w:pPr>
              <w:pStyle w:val="2"/>
              <w:keepNext/>
              <w:spacing w:after="0" w:line="440" w:lineRule="exact"/>
              <w:ind w:left="63" w:right="63"/>
              <w:rPr>
                <w:rFonts w:eastAsia="仿宋_GB2312"/>
                <w:color w:val="auto"/>
                <w:sz w:val="30"/>
                <w:szCs w:val="30"/>
                <w:highlight w:val="none"/>
              </w:rPr>
            </w:pPr>
          </w:p>
        </w:tc>
        <w:tc>
          <w:tcPr>
            <w:tcW w:w="1058" w:type="dxa"/>
            <w:noWrap w:val="0"/>
            <w:vAlign w:val="center"/>
          </w:tcPr>
          <w:p w14:paraId="51EEC90A">
            <w:pPr>
              <w:pStyle w:val="2"/>
              <w:keepNext/>
              <w:spacing w:after="0" w:line="440" w:lineRule="exact"/>
              <w:ind w:left="63" w:right="63"/>
              <w:rPr>
                <w:rFonts w:eastAsia="仿宋_GB2312"/>
                <w:color w:val="auto"/>
                <w:sz w:val="30"/>
                <w:szCs w:val="30"/>
                <w:highlight w:val="none"/>
              </w:rPr>
            </w:pPr>
          </w:p>
        </w:tc>
        <w:tc>
          <w:tcPr>
            <w:tcW w:w="880" w:type="dxa"/>
            <w:noWrap w:val="0"/>
            <w:vAlign w:val="center"/>
          </w:tcPr>
          <w:p w14:paraId="3F144A92">
            <w:pPr>
              <w:pStyle w:val="2"/>
              <w:keepNext/>
              <w:spacing w:after="0" w:line="440" w:lineRule="exact"/>
              <w:ind w:left="63" w:right="63"/>
              <w:rPr>
                <w:rFonts w:eastAsia="仿宋_GB2312"/>
                <w:color w:val="auto"/>
                <w:sz w:val="30"/>
                <w:szCs w:val="30"/>
                <w:highlight w:val="none"/>
              </w:rPr>
            </w:pPr>
          </w:p>
        </w:tc>
        <w:tc>
          <w:tcPr>
            <w:tcW w:w="1020" w:type="dxa"/>
            <w:noWrap w:val="0"/>
            <w:vAlign w:val="center"/>
          </w:tcPr>
          <w:p w14:paraId="7E2BAD3E">
            <w:pPr>
              <w:pStyle w:val="2"/>
              <w:keepNext/>
              <w:spacing w:after="0" w:line="440" w:lineRule="exact"/>
              <w:ind w:left="63" w:right="63"/>
              <w:rPr>
                <w:rFonts w:eastAsia="仿宋_GB2312"/>
                <w:color w:val="auto"/>
                <w:sz w:val="30"/>
                <w:szCs w:val="30"/>
                <w:highlight w:val="none"/>
              </w:rPr>
            </w:pPr>
          </w:p>
        </w:tc>
        <w:tc>
          <w:tcPr>
            <w:tcW w:w="1480" w:type="dxa"/>
            <w:noWrap w:val="0"/>
            <w:vAlign w:val="center"/>
          </w:tcPr>
          <w:p w14:paraId="3D49B6DC">
            <w:pPr>
              <w:pStyle w:val="2"/>
              <w:keepNext/>
              <w:spacing w:after="0" w:line="440" w:lineRule="exact"/>
              <w:ind w:left="63" w:right="63"/>
              <w:rPr>
                <w:rFonts w:eastAsia="仿宋_GB2312"/>
                <w:color w:val="auto"/>
                <w:sz w:val="30"/>
                <w:szCs w:val="30"/>
                <w:highlight w:val="none"/>
              </w:rPr>
            </w:pPr>
          </w:p>
        </w:tc>
        <w:tc>
          <w:tcPr>
            <w:tcW w:w="1020" w:type="dxa"/>
            <w:noWrap w:val="0"/>
            <w:vAlign w:val="center"/>
          </w:tcPr>
          <w:p w14:paraId="3E4C4897">
            <w:pPr>
              <w:pStyle w:val="2"/>
              <w:keepNext/>
              <w:spacing w:after="0" w:line="440" w:lineRule="exact"/>
              <w:ind w:left="63" w:right="63"/>
              <w:rPr>
                <w:rFonts w:eastAsia="仿宋_GB2312"/>
                <w:color w:val="auto"/>
                <w:sz w:val="30"/>
                <w:szCs w:val="30"/>
                <w:highlight w:val="none"/>
              </w:rPr>
            </w:pPr>
          </w:p>
        </w:tc>
        <w:tc>
          <w:tcPr>
            <w:tcW w:w="921" w:type="dxa"/>
            <w:noWrap w:val="0"/>
            <w:vAlign w:val="center"/>
          </w:tcPr>
          <w:p w14:paraId="06CBE864">
            <w:pPr>
              <w:pStyle w:val="2"/>
              <w:keepNext/>
              <w:spacing w:after="0" w:line="440" w:lineRule="exact"/>
              <w:ind w:left="63" w:right="63"/>
              <w:rPr>
                <w:rFonts w:eastAsia="仿宋_GB2312"/>
                <w:color w:val="auto"/>
                <w:sz w:val="30"/>
                <w:szCs w:val="30"/>
                <w:highlight w:val="none"/>
              </w:rPr>
            </w:pPr>
          </w:p>
        </w:tc>
      </w:tr>
      <w:tr w14:paraId="2F35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74509998">
            <w:pPr>
              <w:pStyle w:val="2"/>
              <w:keepNext/>
              <w:spacing w:after="0" w:line="440" w:lineRule="exact"/>
              <w:ind w:left="63" w:right="63"/>
              <w:rPr>
                <w:rFonts w:eastAsia="仿宋_GB2312"/>
                <w:color w:val="auto"/>
                <w:sz w:val="30"/>
                <w:szCs w:val="30"/>
                <w:highlight w:val="none"/>
              </w:rPr>
            </w:pPr>
          </w:p>
        </w:tc>
        <w:tc>
          <w:tcPr>
            <w:tcW w:w="1418" w:type="dxa"/>
            <w:noWrap w:val="0"/>
            <w:vAlign w:val="center"/>
          </w:tcPr>
          <w:p w14:paraId="4140D547">
            <w:pPr>
              <w:pStyle w:val="2"/>
              <w:keepNext/>
              <w:spacing w:after="0" w:line="440" w:lineRule="exact"/>
              <w:ind w:left="63" w:right="63"/>
              <w:rPr>
                <w:rFonts w:eastAsia="仿宋_GB2312"/>
                <w:color w:val="auto"/>
                <w:sz w:val="30"/>
                <w:szCs w:val="30"/>
                <w:highlight w:val="none"/>
              </w:rPr>
            </w:pPr>
          </w:p>
        </w:tc>
        <w:tc>
          <w:tcPr>
            <w:tcW w:w="850" w:type="dxa"/>
            <w:noWrap w:val="0"/>
            <w:vAlign w:val="center"/>
          </w:tcPr>
          <w:p w14:paraId="2454BF56">
            <w:pPr>
              <w:pStyle w:val="2"/>
              <w:keepNext/>
              <w:spacing w:after="0" w:line="440" w:lineRule="exact"/>
              <w:ind w:left="63" w:right="63"/>
              <w:rPr>
                <w:rFonts w:eastAsia="仿宋_GB2312"/>
                <w:color w:val="auto"/>
                <w:sz w:val="30"/>
                <w:szCs w:val="30"/>
                <w:highlight w:val="none"/>
              </w:rPr>
            </w:pPr>
          </w:p>
        </w:tc>
        <w:tc>
          <w:tcPr>
            <w:tcW w:w="1058" w:type="dxa"/>
            <w:noWrap w:val="0"/>
            <w:vAlign w:val="center"/>
          </w:tcPr>
          <w:p w14:paraId="4F42EB6C">
            <w:pPr>
              <w:pStyle w:val="2"/>
              <w:keepNext/>
              <w:spacing w:after="0" w:line="440" w:lineRule="exact"/>
              <w:ind w:left="63" w:right="63"/>
              <w:rPr>
                <w:rFonts w:eastAsia="仿宋_GB2312"/>
                <w:color w:val="auto"/>
                <w:sz w:val="30"/>
                <w:szCs w:val="30"/>
                <w:highlight w:val="none"/>
              </w:rPr>
            </w:pPr>
          </w:p>
        </w:tc>
        <w:tc>
          <w:tcPr>
            <w:tcW w:w="880" w:type="dxa"/>
            <w:noWrap w:val="0"/>
            <w:vAlign w:val="center"/>
          </w:tcPr>
          <w:p w14:paraId="17CCED46">
            <w:pPr>
              <w:pStyle w:val="2"/>
              <w:keepNext/>
              <w:spacing w:after="0" w:line="440" w:lineRule="exact"/>
              <w:ind w:left="63" w:right="63"/>
              <w:rPr>
                <w:rFonts w:eastAsia="仿宋_GB2312"/>
                <w:color w:val="auto"/>
                <w:sz w:val="30"/>
                <w:szCs w:val="30"/>
                <w:highlight w:val="none"/>
              </w:rPr>
            </w:pPr>
          </w:p>
        </w:tc>
        <w:tc>
          <w:tcPr>
            <w:tcW w:w="1020" w:type="dxa"/>
            <w:noWrap w:val="0"/>
            <w:vAlign w:val="center"/>
          </w:tcPr>
          <w:p w14:paraId="0F5CDC79">
            <w:pPr>
              <w:pStyle w:val="2"/>
              <w:keepNext/>
              <w:spacing w:after="0" w:line="440" w:lineRule="exact"/>
              <w:ind w:left="63" w:right="63"/>
              <w:rPr>
                <w:rFonts w:eastAsia="仿宋_GB2312"/>
                <w:color w:val="auto"/>
                <w:sz w:val="30"/>
                <w:szCs w:val="30"/>
                <w:highlight w:val="none"/>
              </w:rPr>
            </w:pPr>
          </w:p>
        </w:tc>
        <w:tc>
          <w:tcPr>
            <w:tcW w:w="1480" w:type="dxa"/>
            <w:noWrap w:val="0"/>
            <w:vAlign w:val="center"/>
          </w:tcPr>
          <w:p w14:paraId="4D1A9BA4">
            <w:pPr>
              <w:pStyle w:val="2"/>
              <w:keepNext/>
              <w:spacing w:after="0" w:line="440" w:lineRule="exact"/>
              <w:ind w:left="63" w:right="63"/>
              <w:rPr>
                <w:rFonts w:eastAsia="仿宋_GB2312"/>
                <w:color w:val="auto"/>
                <w:sz w:val="30"/>
                <w:szCs w:val="30"/>
                <w:highlight w:val="none"/>
              </w:rPr>
            </w:pPr>
          </w:p>
        </w:tc>
        <w:tc>
          <w:tcPr>
            <w:tcW w:w="1020" w:type="dxa"/>
            <w:noWrap w:val="0"/>
            <w:vAlign w:val="center"/>
          </w:tcPr>
          <w:p w14:paraId="0A7437A0">
            <w:pPr>
              <w:pStyle w:val="2"/>
              <w:keepNext/>
              <w:spacing w:after="0" w:line="440" w:lineRule="exact"/>
              <w:ind w:left="63" w:right="63"/>
              <w:rPr>
                <w:rFonts w:eastAsia="仿宋_GB2312"/>
                <w:color w:val="auto"/>
                <w:sz w:val="30"/>
                <w:szCs w:val="30"/>
                <w:highlight w:val="none"/>
              </w:rPr>
            </w:pPr>
          </w:p>
        </w:tc>
        <w:tc>
          <w:tcPr>
            <w:tcW w:w="921" w:type="dxa"/>
            <w:noWrap w:val="0"/>
            <w:vAlign w:val="center"/>
          </w:tcPr>
          <w:p w14:paraId="5DA3DA62">
            <w:pPr>
              <w:pStyle w:val="2"/>
              <w:keepNext/>
              <w:spacing w:after="0" w:line="440" w:lineRule="exact"/>
              <w:ind w:left="63" w:right="63"/>
              <w:rPr>
                <w:rFonts w:eastAsia="仿宋_GB2312"/>
                <w:color w:val="auto"/>
                <w:sz w:val="30"/>
                <w:szCs w:val="30"/>
                <w:highlight w:val="none"/>
              </w:rPr>
            </w:pPr>
          </w:p>
        </w:tc>
      </w:tr>
      <w:tr w14:paraId="406B7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4A82514F">
            <w:pPr>
              <w:pStyle w:val="2"/>
              <w:keepNext/>
              <w:spacing w:after="0" w:line="440" w:lineRule="exact"/>
              <w:ind w:left="63" w:right="63"/>
              <w:rPr>
                <w:rFonts w:eastAsia="仿宋_GB2312"/>
                <w:color w:val="auto"/>
                <w:sz w:val="30"/>
                <w:szCs w:val="30"/>
                <w:highlight w:val="none"/>
              </w:rPr>
            </w:pPr>
          </w:p>
        </w:tc>
        <w:tc>
          <w:tcPr>
            <w:tcW w:w="1418" w:type="dxa"/>
            <w:noWrap w:val="0"/>
            <w:vAlign w:val="center"/>
          </w:tcPr>
          <w:p w14:paraId="5E2428FA">
            <w:pPr>
              <w:pStyle w:val="2"/>
              <w:keepNext/>
              <w:spacing w:after="0" w:line="440" w:lineRule="exact"/>
              <w:ind w:left="63" w:right="63"/>
              <w:rPr>
                <w:rFonts w:eastAsia="仿宋_GB2312"/>
                <w:color w:val="auto"/>
                <w:sz w:val="30"/>
                <w:szCs w:val="30"/>
                <w:highlight w:val="none"/>
              </w:rPr>
            </w:pPr>
          </w:p>
        </w:tc>
        <w:tc>
          <w:tcPr>
            <w:tcW w:w="850" w:type="dxa"/>
            <w:noWrap w:val="0"/>
            <w:vAlign w:val="center"/>
          </w:tcPr>
          <w:p w14:paraId="57BD7611">
            <w:pPr>
              <w:pStyle w:val="2"/>
              <w:keepNext/>
              <w:spacing w:after="0" w:line="440" w:lineRule="exact"/>
              <w:ind w:left="63" w:right="63"/>
              <w:rPr>
                <w:rFonts w:eastAsia="仿宋_GB2312"/>
                <w:color w:val="auto"/>
                <w:sz w:val="30"/>
                <w:szCs w:val="30"/>
                <w:highlight w:val="none"/>
              </w:rPr>
            </w:pPr>
          </w:p>
        </w:tc>
        <w:tc>
          <w:tcPr>
            <w:tcW w:w="1058" w:type="dxa"/>
            <w:noWrap w:val="0"/>
            <w:vAlign w:val="center"/>
          </w:tcPr>
          <w:p w14:paraId="3193B9EE">
            <w:pPr>
              <w:pStyle w:val="2"/>
              <w:keepNext/>
              <w:spacing w:after="0" w:line="440" w:lineRule="exact"/>
              <w:ind w:left="63" w:right="63"/>
              <w:rPr>
                <w:rFonts w:eastAsia="仿宋_GB2312"/>
                <w:color w:val="auto"/>
                <w:sz w:val="30"/>
                <w:szCs w:val="30"/>
                <w:highlight w:val="none"/>
              </w:rPr>
            </w:pPr>
          </w:p>
        </w:tc>
        <w:tc>
          <w:tcPr>
            <w:tcW w:w="880" w:type="dxa"/>
            <w:noWrap w:val="0"/>
            <w:vAlign w:val="center"/>
          </w:tcPr>
          <w:p w14:paraId="10C85727">
            <w:pPr>
              <w:pStyle w:val="2"/>
              <w:keepNext/>
              <w:spacing w:after="0" w:line="440" w:lineRule="exact"/>
              <w:ind w:left="63" w:right="63"/>
              <w:rPr>
                <w:rFonts w:eastAsia="仿宋_GB2312"/>
                <w:color w:val="auto"/>
                <w:sz w:val="30"/>
                <w:szCs w:val="30"/>
                <w:highlight w:val="none"/>
              </w:rPr>
            </w:pPr>
          </w:p>
        </w:tc>
        <w:tc>
          <w:tcPr>
            <w:tcW w:w="1020" w:type="dxa"/>
            <w:noWrap w:val="0"/>
            <w:vAlign w:val="center"/>
          </w:tcPr>
          <w:p w14:paraId="64CDE6F9">
            <w:pPr>
              <w:pStyle w:val="2"/>
              <w:keepNext/>
              <w:spacing w:after="0" w:line="440" w:lineRule="exact"/>
              <w:ind w:left="63" w:right="63"/>
              <w:rPr>
                <w:rFonts w:eastAsia="仿宋_GB2312"/>
                <w:color w:val="auto"/>
                <w:sz w:val="30"/>
                <w:szCs w:val="30"/>
                <w:highlight w:val="none"/>
              </w:rPr>
            </w:pPr>
          </w:p>
        </w:tc>
        <w:tc>
          <w:tcPr>
            <w:tcW w:w="1480" w:type="dxa"/>
            <w:noWrap w:val="0"/>
            <w:vAlign w:val="center"/>
          </w:tcPr>
          <w:p w14:paraId="590AC8F5">
            <w:pPr>
              <w:pStyle w:val="2"/>
              <w:keepNext/>
              <w:spacing w:after="0" w:line="440" w:lineRule="exact"/>
              <w:ind w:left="63" w:right="63"/>
              <w:rPr>
                <w:rFonts w:eastAsia="仿宋_GB2312"/>
                <w:color w:val="auto"/>
                <w:sz w:val="30"/>
                <w:szCs w:val="30"/>
                <w:highlight w:val="none"/>
              </w:rPr>
            </w:pPr>
          </w:p>
        </w:tc>
        <w:tc>
          <w:tcPr>
            <w:tcW w:w="1020" w:type="dxa"/>
            <w:noWrap w:val="0"/>
            <w:vAlign w:val="center"/>
          </w:tcPr>
          <w:p w14:paraId="58A1434D">
            <w:pPr>
              <w:pStyle w:val="2"/>
              <w:keepNext/>
              <w:spacing w:after="0" w:line="440" w:lineRule="exact"/>
              <w:ind w:left="63" w:right="63"/>
              <w:rPr>
                <w:rFonts w:eastAsia="仿宋_GB2312"/>
                <w:color w:val="auto"/>
                <w:sz w:val="30"/>
                <w:szCs w:val="30"/>
                <w:highlight w:val="none"/>
              </w:rPr>
            </w:pPr>
          </w:p>
        </w:tc>
        <w:tc>
          <w:tcPr>
            <w:tcW w:w="921" w:type="dxa"/>
            <w:noWrap w:val="0"/>
            <w:vAlign w:val="center"/>
          </w:tcPr>
          <w:p w14:paraId="53FD4C33">
            <w:pPr>
              <w:pStyle w:val="2"/>
              <w:keepNext/>
              <w:spacing w:after="0" w:line="440" w:lineRule="exact"/>
              <w:ind w:left="63" w:right="63"/>
              <w:rPr>
                <w:rFonts w:eastAsia="仿宋_GB2312"/>
                <w:color w:val="auto"/>
                <w:sz w:val="30"/>
                <w:szCs w:val="30"/>
                <w:highlight w:val="none"/>
              </w:rPr>
            </w:pPr>
          </w:p>
        </w:tc>
      </w:tr>
      <w:tr w14:paraId="7EF52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2CA0D763">
            <w:pPr>
              <w:pStyle w:val="2"/>
              <w:keepNext/>
              <w:spacing w:after="0" w:line="440" w:lineRule="exact"/>
              <w:ind w:left="63" w:right="63"/>
              <w:rPr>
                <w:rFonts w:eastAsia="仿宋_GB2312"/>
                <w:color w:val="auto"/>
                <w:sz w:val="30"/>
                <w:szCs w:val="30"/>
                <w:highlight w:val="none"/>
              </w:rPr>
            </w:pPr>
          </w:p>
        </w:tc>
        <w:tc>
          <w:tcPr>
            <w:tcW w:w="1418" w:type="dxa"/>
            <w:noWrap w:val="0"/>
            <w:vAlign w:val="center"/>
          </w:tcPr>
          <w:p w14:paraId="18FC88ED">
            <w:pPr>
              <w:pStyle w:val="2"/>
              <w:keepNext/>
              <w:spacing w:after="0" w:line="440" w:lineRule="exact"/>
              <w:ind w:left="63" w:right="63"/>
              <w:rPr>
                <w:rFonts w:eastAsia="仿宋_GB2312"/>
                <w:color w:val="auto"/>
                <w:sz w:val="30"/>
                <w:szCs w:val="30"/>
                <w:highlight w:val="none"/>
              </w:rPr>
            </w:pPr>
          </w:p>
        </w:tc>
        <w:tc>
          <w:tcPr>
            <w:tcW w:w="850" w:type="dxa"/>
            <w:noWrap w:val="0"/>
            <w:vAlign w:val="center"/>
          </w:tcPr>
          <w:p w14:paraId="200BDC02">
            <w:pPr>
              <w:pStyle w:val="2"/>
              <w:keepNext/>
              <w:spacing w:after="0" w:line="440" w:lineRule="exact"/>
              <w:ind w:left="63" w:right="63"/>
              <w:rPr>
                <w:rFonts w:eastAsia="仿宋_GB2312"/>
                <w:color w:val="auto"/>
                <w:sz w:val="30"/>
                <w:szCs w:val="30"/>
                <w:highlight w:val="none"/>
              </w:rPr>
            </w:pPr>
          </w:p>
        </w:tc>
        <w:tc>
          <w:tcPr>
            <w:tcW w:w="1058" w:type="dxa"/>
            <w:noWrap w:val="0"/>
            <w:vAlign w:val="center"/>
          </w:tcPr>
          <w:p w14:paraId="0D1EC676">
            <w:pPr>
              <w:pStyle w:val="2"/>
              <w:keepNext/>
              <w:spacing w:after="0" w:line="440" w:lineRule="exact"/>
              <w:ind w:left="63" w:right="63"/>
              <w:rPr>
                <w:rFonts w:eastAsia="仿宋_GB2312"/>
                <w:color w:val="auto"/>
                <w:sz w:val="30"/>
                <w:szCs w:val="30"/>
                <w:highlight w:val="none"/>
              </w:rPr>
            </w:pPr>
          </w:p>
        </w:tc>
        <w:tc>
          <w:tcPr>
            <w:tcW w:w="880" w:type="dxa"/>
            <w:noWrap w:val="0"/>
            <w:vAlign w:val="center"/>
          </w:tcPr>
          <w:p w14:paraId="25A17D29">
            <w:pPr>
              <w:pStyle w:val="2"/>
              <w:keepNext/>
              <w:spacing w:after="0" w:line="440" w:lineRule="exact"/>
              <w:ind w:left="63" w:right="63"/>
              <w:rPr>
                <w:rFonts w:eastAsia="仿宋_GB2312"/>
                <w:color w:val="auto"/>
                <w:sz w:val="30"/>
                <w:szCs w:val="30"/>
                <w:highlight w:val="none"/>
              </w:rPr>
            </w:pPr>
          </w:p>
        </w:tc>
        <w:tc>
          <w:tcPr>
            <w:tcW w:w="1020" w:type="dxa"/>
            <w:noWrap w:val="0"/>
            <w:vAlign w:val="center"/>
          </w:tcPr>
          <w:p w14:paraId="0F011855">
            <w:pPr>
              <w:pStyle w:val="2"/>
              <w:keepNext/>
              <w:spacing w:after="0" w:line="440" w:lineRule="exact"/>
              <w:ind w:left="63" w:right="63"/>
              <w:rPr>
                <w:rFonts w:eastAsia="仿宋_GB2312"/>
                <w:color w:val="auto"/>
                <w:sz w:val="30"/>
                <w:szCs w:val="30"/>
                <w:highlight w:val="none"/>
              </w:rPr>
            </w:pPr>
          </w:p>
        </w:tc>
        <w:tc>
          <w:tcPr>
            <w:tcW w:w="1480" w:type="dxa"/>
            <w:noWrap w:val="0"/>
            <w:vAlign w:val="center"/>
          </w:tcPr>
          <w:p w14:paraId="2387CCC7">
            <w:pPr>
              <w:pStyle w:val="2"/>
              <w:keepNext/>
              <w:spacing w:after="0" w:line="440" w:lineRule="exact"/>
              <w:ind w:left="63" w:right="63"/>
              <w:rPr>
                <w:rFonts w:eastAsia="仿宋_GB2312"/>
                <w:color w:val="auto"/>
                <w:sz w:val="30"/>
                <w:szCs w:val="30"/>
                <w:highlight w:val="none"/>
              </w:rPr>
            </w:pPr>
          </w:p>
        </w:tc>
        <w:tc>
          <w:tcPr>
            <w:tcW w:w="1020" w:type="dxa"/>
            <w:noWrap w:val="0"/>
            <w:vAlign w:val="center"/>
          </w:tcPr>
          <w:p w14:paraId="75878DA1">
            <w:pPr>
              <w:pStyle w:val="2"/>
              <w:keepNext/>
              <w:spacing w:after="0" w:line="440" w:lineRule="exact"/>
              <w:ind w:left="63" w:right="63"/>
              <w:rPr>
                <w:rFonts w:eastAsia="仿宋_GB2312"/>
                <w:color w:val="auto"/>
                <w:sz w:val="30"/>
                <w:szCs w:val="30"/>
                <w:highlight w:val="none"/>
              </w:rPr>
            </w:pPr>
          </w:p>
        </w:tc>
        <w:tc>
          <w:tcPr>
            <w:tcW w:w="921" w:type="dxa"/>
            <w:noWrap w:val="0"/>
            <w:vAlign w:val="center"/>
          </w:tcPr>
          <w:p w14:paraId="226CA086">
            <w:pPr>
              <w:pStyle w:val="2"/>
              <w:keepNext/>
              <w:spacing w:after="0" w:line="440" w:lineRule="exact"/>
              <w:ind w:left="63" w:right="63"/>
              <w:rPr>
                <w:rFonts w:eastAsia="仿宋_GB2312"/>
                <w:color w:val="auto"/>
                <w:sz w:val="30"/>
                <w:szCs w:val="30"/>
                <w:highlight w:val="none"/>
              </w:rPr>
            </w:pPr>
          </w:p>
        </w:tc>
      </w:tr>
      <w:tr w14:paraId="13043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50289AEF">
            <w:pPr>
              <w:pStyle w:val="2"/>
              <w:keepNext/>
              <w:spacing w:after="0" w:line="440" w:lineRule="exact"/>
              <w:ind w:left="63" w:right="63"/>
              <w:rPr>
                <w:rFonts w:eastAsia="仿宋_GB2312"/>
                <w:color w:val="auto"/>
                <w:sz w:val="30"/>
                <w:szCs w:val="30"/>
                <w:highlight w:val="none"/>
              </w:rPr>
            </w:pPr>
          </w:p>
        </w:tc>
        <w:tc>
          <w:tcPr>
            <w:tcW w:w="1418" w:type="dxa"/>
            <w:noWrap w:val="0"/>
            <w:vAlign w:val="center"/>
          </w:tcPr>
          <w:p w14:paraId="4CDA7701">
            <w:pPr>
              <w:pStyle w:val="2"/>
              <w:keepNext/>
              <w:spacing w:after="0" w:line="440" w:lineRule="exact"/>
              <w:ind w:left="63" w:right="63"/>
              <w:rPr>
                <w:rFonts w:eastAsia="仿宋_GB2312"/>
                <w:color w:val="auto"/>
                <w:sz w:val="30"/>
                <w:szCs w:val="30"/>
                <w:highlight w:val="none"/>
              </w:rPr>
            </w:pPr>
          </w:p>
        </w:tc>
        <w:tc>
          <w:tcPr>
            <w:tcW w:w="850" w:type="dxa"/>
            <w:noWrap w:val="0"/>
            <w:vAlign w:val="center"/>
          </w:tcPr>
          <w:p w14:paraId="78490624">
            <w:pPr>
              <w:pStyle w:val="2"/>
              <w:keepNext/>
              <w:spacing w:after="0" w:line="440" w:lineRule="exact"/>
              <w:ind w:left="63" w:right="63"/>
              <w:rPr>
                <w:rFonts w:eastAsia="仿宋_GB2312"/>
                <w:color w:val="auto"/>
                <w:sz w:val="30"/>
                <w:szCs w:val="30"/>
                <w:highlight w:val="none"/>
              </w:rPr>
            </w:pPr>
          </w:p>
        </w:tc>
        <w:tc>
          <w:tcPr>
            <w:tcW w:w="1058" w:type="dxa"/>
            <w:noWrap w:val="0"/>
            <w:vAlign w:val="center"/>
          </w:tcPr>
          <w:p w14:paraId="3B60F3E8">
            <w:pPr>
              <w:pStyle w:val="2"/>
              <w:keepNext/>
              <w:spacing w:after="0" w:line="440" w:lineRule="exact"/>
              <w:ind w:left="63" w:right="63"/>
              <w:rPr>
                <w:rFonts w:eastAsia="仿宋_GB2312"/>
                <w:color w:val="auto"/>
                <w:sz w:val="30"/>
                <w:szCs w:val="30"/>
                <w:highlight w:val="none"/>
              </w:rPr>
            </w:pPr>
          </w:p>
        </w:tc>
        <w:tc>
          <w:tcPr>
            <w:tcW w:w="880" w:type="dxa"/>
            <w:noWrap w:val="0"/>
            <w:vAlign w:val="center"/>
          </w:tcPr>
          <w:p w14:paraId="0E76F6B1">
            <w:pPr>
              <w:pStyle w:val="2"/>
              <w:keepNext/>
              <w:spacing w:after="0" w:line="440" w:lineRule="exact"/>
              <w:ind w:left="63" w:right="63"/>
              <w:rPr>
                <w:rFonts w:eastAsia="仿宋_GB2312"/>
                <w:color w:val="auto"/>
                <w:sz w:val="30"/>
                <w:szCs w:val="30"/>
                <w:highlight w:val="none"/>
              </w:rPr>
            </w:pPr>
          </w:p>
        </w:tc>
        <w:tc>
          <w:tcPr>
            <w:tcW w:w="1020" w:type="dxa"/>
            <w:noWrap w:val="0"/>
            <w:vAlign w:val="center"/>
          </w:tcPr>
          <w:p w14:paraId="3732DD7E">
            <w:pPr>
              <w:pStyle w:val="2"/>
              <w:keepNext/>
              <w:spacing w:after="0" w:line="440" w:lineRule="exact"/>
              <w:ind w:left="63" w:right="63"/>
              <w:rPr>
                <w:rFonts w:eastAsia="仿宋_GB2312"/>
                <w:color w:val="auto"/>
                <w:sz w:val="30"/>
                <w:szCs w:val="30"/>
                <w:highlight w:val="none"/>
              </w:rPr>
            </w:pPr>
          </w:p>
        </w:tc>
        <w:tc>
          <w:tcPr>
            <w:tcW w:w="1480" w:type="dxa"/>
            <w:noWrap w:val="0"/>
            <w:vAlign w:val="center"/>
          </w:tcPr>
          <w:p w14:paraId="5E98A0D0">
            <w:pPr>
              <w:pStyle w:val="2"/>
              <w:keepNext/>
              <w:spacing w:after="0" w:line="440" w:lineRule="exact"/>
              <w:ind w:left="63" w:right="63"/>
              <w:rPr>
                <w:rFonts w:eastAsia="仿宋_GB2312"/>
                <w:color w:val="auto"/>
                <w:sz w:val="30"/>
                <w:szCs w:val="30"/>
                <w:highlight w:val="none"/>
              </w:rPr>
            </w:pPr>
          </w:p>
        </w:tc>
        <w:tc>
          <w:tcPr>
            <w:tcW w:w="1020" w:type="dxa"/>
            <w:noWrap w:val="0"/>
            <w:vAlign w:val="center"/>
          </w:tcPr>
          <w:p w14:paraId="512686EA">
            <w:pPr>
              <w:pStyle w:val="2"/>
              <w:keepNext/>
              <w:spacing w:after="0" w:line="440" w:lineRule="exact"/>
              <w:ind w:left="63" w:right="63"/>
              <w:rPr>
                <w:rFonts w:eastAsia="仿宋_GB2312"/>
                <w:color w:val="auto"/>
                <w:sz w:val="30"/>
                <w:szCs w:val="30"/>
                <w:highlight w:val="none"/>
              </w:rPr>
            </w:pPr>
          </w:p>
        </w:tc>
        <w:tc>
          <w:tcPr>
            <w:tcW w:w="921" w:type="dxa"/>
            <w:noWrap w:val="0"/>
            <w:vAlign w:val="center"/>
          </w:tcPr>
          <w:p w14:paraId="5F0BCE72">
            <w:pPr>
              <w:pStyle w:val="2"/>
              <w:keepNext/>
              <w:spacing w:after="0" w:line="440" w:lineRule="exact"/>
              <w:ind w:left="63" w:right="63"/>
              <w:rPr>
                <w:rFonts w:eastAsia="仿宋_GB2312"/>
                <w:color w:val="auto"/>
                <w:sz w:val="30"/>
                <w:szCs w:val="30"/>
                <w:highlight w:val="none"/>
              </w:rPr>
            </w:pPr>
          </w:p>
        </w:tc>
      </w:tr>
      <w:tr w14:paraId="2D6D7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4652F0CD">
            <w:pPr>
              <w:pStyle w:val="2"/>
              <w:keepNext/>
              <w:spacing w:after="0" w:line="440" w:lineRule="exact"/>
              <w:ind w:left="63" w:right="63"/>
              <w:rPr>
                <w:rFonts w:eastAsia="仿宋_GB2312"/>
                <w:color w:val="auto"/>
                <w:sz w:val="30"/>
                <w:szCs w:val="30"/>
                <w:highlight w:val="none"/>
              </w:rPr>
            </w:pPr>
          </w:p>
        </w:tc>
        <w:tc>
          <w:tcPr>
            <w:tcW w:w="1418" w:type="dxa"/>
            <w:noWrap w:val="0"/>
            <w:vAlign w:val="center"/>
          </w:tcPr>
          <w:p w14:paraId="4EFED54C">
            <w:pPr>
              <w:pStyle w:val="2"/>
              <w:keepNext/>
              <w:spacing w:after="0" w:line="440" w:lineRule="exact"/>
              <w:ind w:left="63" w:right="63"/>
              <w:rPr>
                <w:rFonts w:eastAsia="仿宋_GB2312"/>
                <w:color w:val="auto"/>
                <w:sz w:val="30"/>
                <w:szCs w:val="30"/>
                <w:highlight w:val="none"/>
              </w:rPr>
            </w:pPr>
          </w:p>
        </w:tc>
        <w:tc>
          <w:tcPr>
            <w:tcW w:w="850" w:type="dxa"/>
            <w:noWrap w:val="0"/>
            <w:vAlign w:val="center"/>
          </w:tcPr>
          <w:p w14:paraId="42C9F155">
            <w:pPr>
              <w:pStyle w:val="2"/>
              <w:keepNext/>
              <w:spacing w:after="0" w:line="440" w:lineRule="exact"/>
              <w:ind w:left="63" w:right="63"/>
              <w:rPr>
                <w:rFonts w:eastAsia="仿宋_GB2312"/>
                <w:color w:val="auto"/>
                <w:sz w:val="30"/>
                <w:szCs w:val="30"/>
                <w:highlight w:val="none"/>
              </w:rPr>
            </w:pPr>
          </w:p>
        </w:tc>
        <w:tc>
          <w:tcPr>
            <w:tcW w:w="1058" w:type="dxa"/>
            <w:noWrap w:val="0"/>
            <w:vAlign w:val="center"/>
          </w:tcPr>
          <w:p w14:paraId="15618EEF">
            <w:pPr>
              <w:pStyle w:val="2"/>
              <w:keepNext/>
              <w:spacing w:after="0" w:line="440" w:lineRule="exact"/>
              <w:ind w:left="63" w:right="63"/>
              <w:rPr>
                <w:rFonts w:eastAsia="仿宋_GB2312"/>
                <w:color w:val="auto"/>
                <w:sz w:val="30"/>
                <w:szCs w:val="30"/>
                <w:highlight w:val="none"/>
              </w:rPr>
            </w:pPr>
          </w:p>
        </w:tc>
        <w:tc>
          <w:tcPr>
            <w:tcW w:w="880" w:type="dxa"/>
            <w:noWrap w:val="0"/>
            <w:vAlign w:val="center"/>
          </w:tcPr>
          <w:p w14:paraId="54CA978A">
            <w:pPr>
              <w:pStyle w:val="2"/>
              <w:keepNext/>
              <w:spacing w:after="0" w:line="440" w:lineRule="exact"/>
              <w:ind w:left="63" w:right="63"/>
              <w:rPr>
                <w:rFonts w:eastAsia="仿宋_GB2312"/>
                <w:color w:val="auto"/>
                <w:sz w:val="30"/>
                <w:szCs w:val="30"/>
                <w:highlight w:val="none"/>
              </w:rPr>
            </w:pPr>
          </w:p>
        </w:tc>
        <w:tc>
          <w:tcPr>
            <w:tcW w:w="1020" w:type="dxa"/>
            <w:noWrap w:val="0"/>
            <w:vAlign w:val="center"/>
          </w:tcPr>
          <w:p w14:paraId="0299D5BC">
            <w:pPr>
              <w:pStyle w:val="2"/>
              <w:keepNext/>
              <w:spacing w:after="0" w:line="440" w:lineRule="exact"/>
              <w:ind w:left="63" w:right="63"/>
              <w:rPr>
                <w:rFonts w:eastAsia="仿宋_GB2312"/>
                <w:color w:val="auto"/>
                <w:sz w:val="30"/>
                <w:szCs w:val="30"/>
                <w:highlight w:val="none"/>
              </w:rPr>
            </w:pPr>
          </w:p>
        </w:tc>
        <w:tc>
          <w:tcPr>
            <w:tcW w:w="1480" w:type="dxa"/>
            <w:noWrap w:val="0"/>
            <w:vAlign w:val="center"/>
          </w:tcPr>
          <w:p w14:paraId="648580E6">
            <w:pPr>
              <w:pStyle w:val="2"/>
              <w:keepNext/>
              <w:spacing w:after="0" w:line="440" w:lineRule="exact"/>
              <w:ind w:left="63" w:right="63"/>
              <w:rPr>
                <w:rFonts w:eastAsia="仿宋_GB2312"/>
                <w:color w:val="auto"/>
                <w:sz w:val="30"/>
                <w:szCs w:val="30"/>
                <w:highlight w:val="none"/>
              </w:rPr>
            </w:pPr>
          </w:p>
        </w:tc>
        <w:tc>
          <w:tcPr>
            <w:tcW w:w="1020" w:type="dxa"/>
            <w:noWrap w:val="0"/>
            <w:vAlign w:val="center"/>
          </w:tcPr>
          <w:p w14:paraId="62383C81">
            <w:pPr>
              <w:pStyle w:val="2"/>
              <w:keepNext/>
              <w:spacing w:after="0" w:line="440" w:lineRule="exact"/>
              <w:ind w:left="63" w:right="63"/>
              <w:rPr>
                <w:rFonts w:eastAsia="仿宋_GB2312"/>
                <w:color w:val="auto"/>
                <w:sz w:val="30"/>
                <w:szCs w:val="30"/>
                <w:highlight w:val="none"/>
              </w:rPr>
            </w:pPr>
          </w:p>
        </w:tc>
        <w:tc>
          <w:tcPr>
            <w:tcW w:w="921" w:type="dxa"/>
            <w:noWrap w:val="0"/>
            <w:vAlign w:val="center"/>
          </w:tcPr>
          <w:p w14:paraId="0D613A94">
            <w:pPr>
              <w:pStyle w:val="2"/>
              <w:keepNext/>
              <w:spacing w:after="0" w:line="440" w:lineRule="exact"/>
              <w:ind w:left="63" w:right="63"/>
              <w:rPr>
                <w:rFonts w:eastAsia="仿宋_GB2312"/>
                <w:color w:val="auto"/>
                <w:sz w:val="30"/>
                <w:szCs w:val="30"/>
                <w:highlight w:val="none"/>
              </w:rPr>
            </w:pPr>
          </w:p>
        </w:tc>
      </w:tr>
      <w:tr w14:paraId="29D9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0431FA1B">
            <w:pPr>
              <w:pStyle w:val="2"/>
              <w:keepNext/>
              <w:spacing w:after="0" w:line="440" w:lineRule="exact"/>
              <w:ind w:left="63" w:right="63"/>
              <w:rPr>
                <w:rFonts w:eastAsia="仿宋_GB2312"/>
                <w:color w:val="auto"/>
                <w:sz w:val="30"/>
                <w:szCs w:val="30"/>
                <w:highlight w:val="none"/>
              </w:rPr>
            </w:pPr>
          </w:p>
        </w:tc>
        <w:tc>
          <w:tcPr>
            <w:tcW w:w="1418" w:type="dxa"/>
            <w:noWrap w:val="0"/>
            <w:vAlign w:val="center"/>
          </w:tcPr>
          <w:p w14:paraId="148D2B53">
            <w:pPr>
              <w:pStyle w:val="2"/>
              <w:keepNext/>
              <w:spacing w:after="0" w:line="440" w:lineRule="exact"/>
              <w:ind w:left="63" w:right="63"/>
              <w:rPr>
                <w:rFonts w:eastAsia="仿宋_GB2312"/>
                <w:color w:val="auto"/>
                <w:sz w:val="30"/>
                <w:szCs w:val="30"/>
                <w:highlight w:val="none"/>
              </w:rPr>
            </w:pPr>
          </w:p>
        </w:tc>
        <w:tc>
          <w:tcPr>
            <w:tcW w:w="850" w:type="dxa"/>
            <w:noWrap w:val="0"/>
            <w:vAlign w:val="center"/>
          </w:tcPr>
          <w:p w14:paraId="2656557E">
            <w:pPr>
              <w:pStyle w:val="2"/>
              <w:keepNext/>
              <w:spacing w:after="0" w:line="440" w:lineRule="exact"/>
              <w:ind w:left="63" w:right="63"/>
              <w:rPr>
                <w:rFonts w:eastAsia="仿宋_GB2312"/>
                <w:color w:val="auto"/>
                <w:sz w:val="30"/>
                <w:szCs w:val="30"/>
                <w:highlight w:val="none"/>
              </w:rPr>
            </w:pPr>
          </w:p>
        </w:tc>
        <w:tc>
          <w:tcPr>
            <w:tcW w:w="1058" w:type="dxa"/>
            <w:noWrap w:val="0"/>
            <w:vAlign w:val="center"/>
          </w:tcPr>
          <w:p w14:paraId="075EA5F0">
            <w:pPr>
              <w:pStyle w:val="2"/>
              <w:keepNext/>
              <w:spacing w:after="0" w:line="440" w:lineRule="exact"/>
              <w:ind w:left="63" w:right="63"/>
              <w:rPr>
                <w:rFonts w:eastAsia="仿宋_GB2312"/>
                <w:color w:val="auto"/>
                <w:sz w:val="30"/>
                <w:szCs w:val="30"/>
                <w:highlight w:val="none"/>
              </w:rPr>
            </w:pPr>
          </w:p>
        </w:tc>
        <w:tc>
          <w:tcPr>
            <w:tcW w:w="880" w:type="dxa"/>
            <w:noWrap w:val="0"/>
            <w:vAlign w:val="center"/>
          </w:tcPr>
          <w:p w14:paraId="3BAC84A2">
            <w:pPr>
              <w:pStyle w:val="2"/>
              <w:keepNext/>
              <w:spacing w:after="0" w:line="440" w:lineRule="exact"/>
              <w:ind w:left="63" w:right="63"/>
              <w:rPr>
                <w:rFonts w:eastAsia="仿宋_GB2312"/>
                <w:color w:val="auto"/>
                <w:sz w:val="30"/>
                <w:szCs w:val="30"/>
                <w:highlight w:val="none"/>
              </w:rPr>
            </w:pPr>
          </w:p>
        </w:tc>
        <w:tc>
          <w:tcPr>
            <w:tcW w:w="1020" w:type="dxa"/>
            <w:noWrap w:val="0"/>
            <w:vAlign w:val="center"/>
          </w:tcPr>
          <w:p w14:paraId="74886ADC">
            <w:pPr>
              <w:pStyle w:val="2"/>
              <w:keepNext/>
              <w:spacing w:after="0" w:line="440" w:lineRule="exact"/>
              <w:ind w:left="63" w:right="63"/>
              <w:rPr>
                <w:rFonts w:eastAsia="仿宋_GB2312"/>
                <w:color w:val="auto"/>
                <w:sz w:val="30"/>
                <w:szCs w:val="30"/>
                <w:highlight w:val="none"/>
              </w:rPr>
            </w:pPr>
          </w:p>
        </w:tc>
        <w:tc>
          <w:tcPr>
            <w:tcW w:w="1480" w:type="dxa"/>
            <w:noWrap w:val="0"/>
            <w:vAlign w:val="center"/>
          </w:tcPr>
          <w:p w14:paraId="7BE9BDEA">
            <w:pPr>
              <w:pStyle w:val="2"/>
              <w:keepNext/>
              <w:spacing w:after="0" w:line="440" w:lineRule="exact"/>
              <w:ind w:left="63" w:right="63"/>
              <w:rPr>
                <w:rFonts w:eastAsia="仿宋_GB2312"/>
                <w:color w:val="auto"/>
                <w:sz w:val="30"/>
                <w:szCs w:val="30"/>
                <w:highlight w:val="none"/>
              </w:rPr>
            </w:pPr>
          </w:p>
        </w:tc>
        <w:tc>
          <w:tcPr>
            <w:tcW w:w="1020" w:type="dxa"/>
            <w:noWrap w:val="0"/>
            <w:vAlign w:val="center"/>
          </w:tcPr>
          <w:p w14:paraId="27C4F1AF">
            <w:pPr>
              <w:pStyle w:val="2"/>
              <w:keepNext/>
              <w:spacing w:after="0" w:line="440" w:lineRule="exact"/>
              <w:ind w:left="63" w:right="63"/>
              <w:rPr>
                <w:rFonts w:eastAsia="仿宋_GB2312"/>
                <w:color w:val="auto"/>
                <w:sz w:val="30"/>
                <w:szCs w:val="30"/>
                <w:highlight w:val="none"/>
              </w:rPr>
            </w:pPr>
          </w:p>
        </w:tc>
        <w:tc>
          <w:tcPr>
            <w:tcW w:w="921" w:type="dxa"/>
            <w:noWrap w:val="0"/>
            <w:vAlign w:val="center"/>
          </w:tcPr>
          <w:p w14:paraId="2BACC8BD">
            <w:pPr>
              <w:pStyle w:val="2"/>
              <w:keepNext/>
              <w:spacing w:after="0" w:line="440" w:lineRule="exact"/>
              <w:ind w:left="63" w:right="63"/>
              <w:rPr>
                <w:rFonts w:eastAsia="仿宋_GB2312"/>
                <w:color w:val="auto"/>
                <w:sz w:val="30"/>
                <w:szCs w:val="30"/>
                <w:highlight w:val="none"/>
              </w:rPr>
            </w:pPr>
          </w:p>
        </w:tc>
      </w:tr>
      <w:tr w14:paraId="2EA2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1816F271">
            <w:pPr>
              <w:rPr>
                <w:rFonts w:eastAsia="仿宋_GB2312"/>
                <w:color w:val="auto"/>
                <w:sz w:val="30"/>
                <w:szCs w:val="30"/>
                <w:highlight w:val="none"/>
              </w:rPr>
            </w:pPr>
          </w:p>
        </w:tc>
        <w:tc>
          <w:tcPr>
            <w:tcW w:w="1418" w:type="dxa"/>
            <w:noWrap w:val="0"/>
            <w:vAlign w:val="top"/>
          </w:tcPr>
          <w:p w14:paraId="754380E0">
            <w:pPr>
              <w:rPr>
                <w:rFonts w:eastAsia="仿宋_GB2312"/>
                <w:color w:val="auto"/>
                <w:sz w:val="30"/>
                <w:szCs w:val="30"/>
                <w:highlight w:val="none"/>
              </w:rPr>
            </w:pPr>
          </w:p>
        </w:tc>
        <w:tc>
          <w:tcPr>
            <w:tcW w:w="850" w:type="dxa"/>
            <w:noWrap w:val="0"/>
            <w:vAlign w:val="top"/>
          </w:tcPr>
          <w:p w14:paraId="2E2C7B42">
            <w:pPr>
              <w:rPr>
                <w:rFonts w:eastAsia="仿宋_GB2312"/>
                <w:color w:val="auto"/>
                <w:sz w:val="30"/>
                <w:szCs w:val="30"/>
                <w:highlight w:val="none"/>
              </w:rPr>
            </w:pPr>
          </w:p>
        </w:tc>
        <w:tc>
          <w:tcPr>
            <w:tcW w:w="1058" w:type="dxa"/>
            <w:noWrap w:val="0"/>
            <w:vAlign w:val="top"/>
          </w:tcPr>
          <w:p w14:paraId="28CA1458">
            <w:pPr>
              <w:rPr>
                <w:rFonts w:eastAsia="仿宋_GB2312"/>
                <w:color w:val="auto"/>
                <w:sz w:val="30"/>
                <w:szCs w:val="30"/>
                <w:highlight w:val="none"/>
              </w:rPr>
            </w:pPr>
          </w:p>
        </w:tc>
        <w:tc>
          <w:tcPr>
            <w:tcW w:w="880" w:type="dxa"/>
            <w:noWrap w:val="0"/>
            <w:vAlign w:val="top"/>
          </w:tcPr>
          <w:p w14:paraId="7A9CEE14">
            <w:pPr>
              <w:rPr>
                <w:rFonts w:eastAsia="仿宋_GB2312"/>
                <w:color w:val="auto"/>
                <w:sz w:val="30"/>
                <w:szCs w:val="30"/>
                <w:highlight w:val="none"/>
              </w:rPr>
            </w:pPr>
          </w:p>
        </w:tc>
        <w:tc>
          <w:tcPr>
            <w:tcW w:w="1020" w:type="dxa"/>
            <w:noWrap w:val="0"/>
            <w:vAlign w:val="top"/>
          </w:tcPr>
          <w:p w14:paraId="40FF9C5C">
            <w:pPr>
              <w:rPr>
                <w:rFonts w:eastAsia="仿宋_GB2312"/>
                <w:color w:val="auto"/>
                <w:sz w:val="30"/>
                <w:szCs w:val="30"/>
                <w:highlight w:val="none"/>
              </w:rPr>
            </w:pPr>
          </w:p>
        </w:tc>
        <w:tc>
          <w:tcPr>
            <w:tcW w:w="1480" w:type="dxa"/>
            <w:noWrap w:val="0"/>
            <w:vAlign w:val="top"/>
          </w:tcPr>
          <w:p w14:paraId="6852ADB4">
            <w:pPr>
              <w:rPr>
                <w:rFonts w:eastAsia="仿宋_GB2312"/>
                <w:color w:val="auto"/>
                <w:sz w:val="30"/>
                <w:szCs w:val="30"/>
                <w:highlight w:val="none"/>
              </w:rPr>
            </w:pPr>
          </w:p>
        </w:tc>
        <w:tc>
          <w:tcPr>
            <w:tcW w:w="1020" w:type="dxa"/>
            <w:noWrap w:val="0"/>
            <w:vAlign w:val="top"/>
          </w:tcPr>
          <w:p w14:paraId="5741D2C5">
            <w:pPr>
              <w:rPr>
                <w:rFonts w:eastAsia="仿宋_GB2312"/>
                <w:color w:val="auto"/>
                <w:sz w:val="30"/>
                <w:szCs w:val="30"/>
                <w:highlight w:val="none"/>
              </w:rPr>
            </w:pPr>
          </w:p>
        </w:tc>
        <w:tc>
          <w:tcPr>
            <w:tcW w:w="921" w:type="dxa"/>
            <w:noWrap w:val="0"/>
            <w:vAlign w:val="top"/>
          </w:tcPr>
          <w:p w14:paraId="26182B3C">
            <w:pPr>
              <w:rPr>
                <w:rFonts w:eastAsia="仿宋_GB2312"/>
                <w:color w:val="auto"/>
                <w:sz w:val="30"/>
                <w:szCs w:val="30"/>
                <w:highlight w:val="none"/>
              </w:rPr>
            </w:pPr>
          </w:p>
        </w:tc>
      </w:tr>
      <w:tr w14:paraId="2E328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357ED457">
            <w:pPr>
              <w:pStyle w:val="2"/>
              <w:keepNext/>
              <w:spacing w:after="0" w:line="440" w:lineRule="exact"/>
              <w:ind w:left="63" w:right="63"/>
              <w:rPr>
                <w:rFonts w:eastAsia="仿宋_GB2312"/>
                <w:color w:val="auto"/>
                <w:sz w:val="30"/>
                <w:szCs w:val="30"/>
                <w:highlight w:val="none"/>
              </w:rPr>
            </w:pPr>
          </w:p>
        </w:tc>
        <w:tc>
          <w:tcPr>
            <w:tcW w:w="1418" w:type="dxa"/>
            <w:noWrap w:val="0"/>
            <w:vAlign w:val="center"/>
          </w:tcPr>
          <w:p w14:paraId="6CB52AE6">
            <w:pPr>
              <w:pStyle w:val="2"/>
              <w:keepNext/>
              <w:spacing w:after="0" w:line="440" w:lineRule="exact"/>
              <w:ind w:left="63" w:right="63"/>
              <w:rPr>
                <w:rFonts w:eastAsia="仿宋_GB2312"/>
                <w:color w:val="auto"/>
                <w:sz w:val="30"/>
                <w:szCs w:val="30"/>
                <w:highlight w:val="none"/>
              </w:rPr>
            </w:pPr>
          </w:p>
        </w:tc>
        <w:tc>
          <w:tcPr>
            <w:tcW w:w="850" w:type="dxa"/>
            <w:noWrap w:val="0"/>
            <w:vAlign w:val="center"/>
          </w:tcPr>
          <w:p w14:paraId="18198A4E">
            <w:pPr>
              <w:pStyle w:val="2"/>
              <w:keepNext/>
              <w:spacing w:after="0" w:line="440" w:lineRule="exact"/>
              <w:ind w:left="63" w:right="63"/>
              <w:rPr>
                <w:rFonts w:eastAsia="仿宋_GB2312"/>
                <w:color w:val="auto"/>
                <w:sz w:val="30"/>
                <w:szCs w:val="30"/>
                <w:highlight w:val="none"/>
              </w:rPr>
            </w:pPr>
          </w:p>
        </w:tc>
        <w:tc>
          <w:tcPr>
            <w:tcW w:w="1058" w:type="dxa"/>
            <w:noWrap w:val="0"/>
            <w:vAlign w:val="center"/>
          </w:tcPr>
          <w:p w14:paraId="4257B980">
            <w:pPr>
              <w:pStyle w:val="2"/>
              <w:keepNext/>
              <w:spacing w:after="0" w:line="440" w:lineRule="exact"/>
              <w:ind w:left="63" w:right="63"/>
              <w:rPr>
                <w:rFonts w:eastAsia="仿宋_GB2312"/>
                <w:color w:val="auto"/>
                <w:sz w:val="30"/>
                <w:szCs w:val="30"/>
                <w:highlight w:val="none"/>
              </w:rPr>
            </w:pPr>
          </w:p>
        </w:tc>
        <w:tc>
          <w:tcPr>
            <w:tcW w:w="880" w:type="dxa"/>
            <w:noWrap w:val="0"/>
            <w:vAlign w:val="center"/>
          </w:tcPr>
          <w:p w14:paraId="189DCC22">
            <w:pPr>
              <w:pStyle w:val="2"/>
              <w:keepNext/>
              <w:spacing w:after="0" w:line="440" w:lineRule="exact"/>
              <w:ind w:left="63" w:right="63"/>
              <w:rPr>
                <w:rFonts w:eastAsia="仿宋_GB2312"/>
                <w:color w:val="auto"/>
                <w:sz w:val="30"/>
                <w:szCs w:val="30"/>
                <w:highlight w:val="none"/>
              </w:rPr>
            </w:pPr>
          </w:p>
        </w:tc>
        <w:tc>
          <w:tcPr>
            <w:tcW w:w="1020" w:type="dxa"/>
            <w:noWrap w:val="0"/>
            <w:vAlign w:val="center"/>
          </w:tcPr>
          <w:p w14:paraId="128BF85B">
            <w:pPr>
              <w:pStyle w:val="2"/>
              <w:keepNext/>
              <w:spacing w:after="0" w:line="440" w:lineRule="exact"/>
              <w:ind w:left="63" w:right="63"/>
              <w:rPr>
                <w:rFonts w:eastAsia="仿宋_GB2312"/>
                <w:color w:val="auto"/>
                <w:sz w:val="30"/>
                <w:szCs w:val="30"/>
                <w:highlight w:val="none"/>
              </w:rPr>
            </w:pPr>
          </w:p>
        </w:tc>
        <w:tc>
          <w:tcPr>
            <w:tcW w:w="1480" w:type="dxa"/>
            <w:noWrap w:val="0"/>
            <w:vAlign w:val="center"/>
          </w:tcPr>
          <w:p w14:paraId="06D1CFDE">
            <w:pPr>
              <w:pStyle w:val="2"/>
              <w:keepNext/>
              <w:spacing w:after="0" w:line="440" w:lineRule="exact"/>
              <w:ind w:left="63" w:right="63"/>
              <w:rPr>
                <w:rFonts w:eastAsia="仿宋_GB2312"/>
                <w:color w:val="auto"/>
                <w:sz w:val="30"/>
                <w:szCs w:val="30"/>
                <w:highlight w:val="none"/>
              </w:rPr>
            </w:pPr>
          </w:p>
        </w:tc>
        <w:tc>
          <w:tcPr>
            <w:tcW w:w="1020" w:type="dxa"/>
            <w:noWrap w:val="0"/>
            <w:vAlign w:val="center"/>
          </w:tcPr>
          <w:p w14:paraId="5E4A996F">
            <w:pPr>
              <w:pStyle w:val="2"/>
              <w:keepNext/>
              <w:spacing w:after="0" w:line="440" w:lineRule="exact"/>
              <w:ind w:left="63" w:right="63"/>
              <w:rPr>
                <w:rFonts w:eastAsia="仿宋_GB2312"/>
                <w:color w:val="auto"/>
                <w:sz w:val="30"/>
                <w:szCs w:val="30"/>
                <w:highlight w:val="none"/>
              </w:rPr>
            </w:pPr>
          </w:p>
        </w:tc>
        <w:tc>
          <w:tcPr>
            <w:tcW w:w="921" w:type="dxa"/>
            <w:noWrap w:val="0"/>
            <w:vAlign w:val="center"/>
          </w:tcPr>
          <w:p w14:paraId="58894DB6">
            <w:pPr>
              <w:pStyle w:val="2"/>
              <w:keepNext/>
              <w:spacing w:after="0" w:line="440" w:lineRule="exact"/>
              <w:ind w:left="63" w:right="63"/>
              <w:rPr>
                <w:rFonts w:eastAsia="仿宋_GB2312"/>
                <w:color w:val="auto"/>
                <w:sz w:val="30"/>
                <w:szCs w:val="30"/>
                <w:highlight w:val="none"/>
              </w:rPr>
            </w:pPr>
          </w:p>
        </w:tc>
      </w:tr>
      <w:tr w14:paraId="0B4B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3422E803">
            <w:pPr>
              <w:rPr>
                <w:rFonts w:eastAsia="仿宋_GB2312"/>
                <w:color w:val="auto"/>
                <w:sz w:val="30"/>
                <w:szCs w:val="30"/>
                <w:highlight w:val="none"/>
              </w:rPr>
            </w:pPr>
          </w:p>
        </w:tc>
        <w:tc>
          <w:tcPr>
            <w:tcW w:w="1418" w:type="dxa"/>
            <w:noWrap w:val="0"/>
            <w:vAlign w:val="top"/>
          </w:tcPr>
          <w:p w14:paraId="4A4A3227">
            <w:pPr>
              <w:rPr>
                <w:rFonts w:eastAsia="仿宋_GB2312"/>
                <w:color w:val="auto"/>
                <w:sz w:val="30"/>
                <w:szCs w:val="30"/>
                <w:highlight w:val="none"/>
              </w:rPr>
            </w:pPr>
          </w:p>
        </w:tc>
        <w:tc>
          <w:tcPr>
            <w:tcW w:w="850" w:type="dxa"/>
            <w:noWrap w:val="0"/>
            <w:vAlign w:val="top"/>
          </w:tcPr>
          <w:p w14:paraId="6C2581CF">
            <w:pPr>
              <w:rPr>
                <w:rFonts w:eastAsia="仿宋_GB2312"/>
                <w:color w:val="auto"/>
                <w:sz w:val="30"/>
                <w:szCs w:val="30"/>
                <w:highlight w:val="none"/>
              </w:rPr>
            </w:pPr>
          </w:p>
        </w:tc>
        <w:tc>
          <w:tcPr>
            <w:tcW w:w="1058" w:type="dxa"/>
            <w:noWrap w:val="0"/>
            <w:vAlign w:val="top"/>
          </w:tcPr>
          <w:p w14:paraId="762D492F">
            <w:pPr>
              <w:rPr>
                <w:rFonts w:eastAsia="仿宋_GB2312"/>
                <w:color w:val="auto"/>
                <w:sz w:val="30"/>
                <w:szCs w:val="30"/>
                <w:highlight w:val="none"/>
              </w:rPr>
            </w:pPr>
          </w:p>
        </w:tc>
        <w:tc>
          <w:tcPr>
            <w:tcW w:w="880" w:type="dxa"/>
            <w:noWrap w:val="0"/>
            <w:vAlign w:val="top"/>
          </w:tcPr>
          <w:p w14:paraId="0C729DF2">
            <w:pPr>
              <w:rPr>
                <w:rFonts w:eastAsia="仿宋_GB2312"/>
                <w:color w:val="auto"/>
                <w:sz w:val="30"/>
                <w:szCs w:val="30"/>
                <w:highlight w:val="none"/>
              </w:rPr>
            </w:pPr>
          </w:p>
        </w:tc>
        <w:tc>
          <w:tcPr>
            <w:tcW w:w="1020" w:type="dxa"/>
            <w:noWrap w:val="0"/>
            <w:vAlign w:val="top"/>
          </w:tcPr>
          <w:p w14:paraId="61FE6EA5">
            <w:pPr>
              <w:rPr>
                <w:rFonts w:eastAsia="仿宋_GB2312"/>
                <w:color w:val="auto"/>
                <w:sz w:val="30"/>
                <w:szCs w:val="30"/>
                <w:highlight w:val="none"/>
              </w:rPr>
            </w:pPr>
          </w:p>
        </w:tc>
        <w:tc>
          <w:tcPr>
            <w:tcW w:w="1480" w:type="dxa"/>
            <w:noWrap w:val="0"/>
            <w:vAlign w:val="top"/>
          </w:tcPr>
          <w:p w14:paraId="1719DB1E">
            <w:pPr>
              <w:rPr>
                <w:rFonts w:eastAsia="仿宋_GB2312"/>
                <w:color w:val="auto"/>
                <w:sz w:val="30"/>
                <w:szCs w:val="30"/>
                <w:highlight w:val="none"/>
              </w:rPr>
            </w:pPr>
          </w:p>
        </w:tc>
        <w:tc>
          <w:tcPr>
            <w:tcW w:w="1020" w:type="dxa"/>
            <w:noWrap w:val="0"/>
            <w:vAlign w:val="top"/>
          </w:tcPr>
          <w:p w14:paraId="2FE0408E">
            <w:pPr>
              <w:rPr>
                <w:rFonts w:eastAsia="仿宋_GB2312"/>
                <w:color w:val="auto"/>
                <w:sz w:val="30"/>
                <w:szCs w:val="30"/>
                <w:highlight w:val="none"/>
              </w:rPr>
            </w:pPr>
          </w:p>
        </w:tc>
        <w:tc>
          <w:tcPr>
            <w:tcW w:w="921" w:type="dxa"/>
            <w:noWrap w:val="0"/>
            <w:vAlign w:val="top"/>
          </w:tcPr>
          <w:p w14:paraId="6E83CB3D">
            <w:pPr>
              <w:rPr>
                <w:rFonts w:eastAsia="仿宋_GB2312"/>
                <w:color w:val="auto"/>
                <w:sz w:val="30"/>
                <w:szCs w:val="30"/>
                <w:highlight w:val="none"/>
              </w:rPr>
            </w:pPr>
          </w:p>
        </w:tc>
      </w:tr>
      <w:tr w14:paraId="2176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56AA53FA">
            <w:pPr>
              <w:rPr>
                <w:rFonts w:eastAsia="仿宋_GB2312"/>
                <w:color w:val="auto"/>
                <w:sz w:val="30"/>
                <w:szCs w:val="30"/>
                <w:highlight w:val="none"/>
              </w:rPr>
            </w:pPr>
          </w:p>
        </w:tc>
        <w:tc>
          <w:tcPr>
            <w:tcW w:w="1418" w:type="dxa"/>
            <w:noWrap w:val="0"/>
            <w:vAlign w:val="top"/>
          </w:tcPr>
          <w:p w14:paraId="3243166E">
            <w:pPr>
              <w:rPr>
                <w:rFonts w:eastAsia="仿宋_GB2312"/>
                <w:color w:val="auto"/>
                <w:sz w:val="30"/>
                <w:szCs w:val="30"/>
                <w:highlight w:val="none"/>
              </w:rPr>
            </w:pPr>
          </w:p>
        </w:tc>
        <w:tc>
          <w:tcPr>
            <w:tcW w:w="850" w:type="dxa"/>
            <w:noWrap w:val="0"/>
            <w:vAlign w:val="top"/>
          </w:tcPr>
          <w:p w14:paraId="533F1913">
            <w:pPr>
              <w:rPr>
                <w:rFonts w:eastAsia="仿宋_GB2312"/>
                <w:color w:val="auto"/>
                <w:sz w:val="30"/>
                <w:szCs w:val="30"/>
                <w:highlight w:val="none"/>
              </w:rPr>
            </w:pPr>
          </w:p>
        </w:tc>
        <w:tc>
          <w:tcPr>
            <w:tcW w:w="1058" w:type="dxa"/>
            <w:noWrap w:val="0"/>
            <w:vAlign w:val="top"/>
          </w:tcPr>
          <w:p w14:paraId="70FD8E58">
            <w:pPr>
              <w:rPr>
                <w:rFonts w:eastAsia="仿宋_GB2312"/>
                <w:color w:val="auto"/>
                <w:sz w:val="30"/>
                <w:szCs w:val="30"/>
                <w:highlight w:val="none"/>
              </w:rPr>
            </w:pPr>
          </w:p>
        </w:tc>
        <w:tc>
          <w:tcPr>
            <w:tcW w:w="880" w:type="dxa"/>
            <w:noWrap w:val="0"/>
            <w:vAlign w:val="top"/>
          </w:tcPr>
          <w:p w14:paraId="4565D8A7">
            <w:pPr>
              <w:rPr>
                <w:rFonts w:eastAsia="仿宋_GB2312"/>
                <w:color w:val="auto"/>
                <w:sz w:val="30"/>
                <w:szCs w:val="30"/>
                <w:highlight w:val="none"/>
              </w:rPr>
            </w:pPr>
          </w:p>
        </w:tc>
        <w:tc>
          <w:tcPr>
            <w:tcW w:w="1020" w:type="dxa"/>
            <w:noWrap w:val="0"/>
            <w:vAlign w:val="top"/>
          </w:tcPr>
          <w:p w14:paraId="3A4C0C5A">
            <w:pPr>
              <w:rPr>
                <w:rFonts w:eastAsia="仿宋_GB2312"/>
                <w:color w:val="auto"/>
                <w:sz w:val="30"/>
                <w:szCs w:val="30"/>
                <w:highlight w:val="none"/>
              </w:rPr>
            </w:pPr>
          </w:p>
        </w:tc>
        <w:tc>
          <w:tcPr>
            <w:tcW w:w="1480" w:type="dxa"/>
            <w:noWrap w:val="0"/>
            <w:vAlign w:val="top"/>
          </w:tcPr>
          <w:p w14:paraId="5D72B9A1">
            <w:pPr>
              <w:rPr>
                <w:rFonts w:eastAsia="仿宋_GB2312"/>
                <w:color w:val="auto"/>
                <w:sz w:val="30"/>
                <w:szCs w:val="30"/>
                <w:highlight w:val="none"/>
              </w:rPr>
            </w:pPr>
          </w:p>
        </w:tc>
        <w:tc>
          <w:tcPr>
            <w:tcW w:w="1020" w:type="dxa"/>
            <w:noWrap w:val="0"/>
            <w:vAlign w:val="top"/>
          </w:tcPr>
          <w:p w14:paraId="5DDEC6E3">
            <w:pPr>
              <w:rPr>
                <w:rFonts w:eastAsia="仿宋_GB2312"/>
                <w:color w:val="auto"/>
                <w:sz w:val="30"/>
                <w:szCs w:val="30"/>
                <w:highlight w:val="none"/>
              </w:rPr>
            </w:pPr>
          </w:p>
        </w:tc>
        <w:tc>
          <w:tcPr>
            <w:tcW w:w="921" w:type="dxa"/>
            <w:noWrap w:val="0"/>
            <w:vAlign w:val="top"/>
          </w:tcPr>
          <w:p w14:paraId="065DE17A">
            <w:pPr>
              <w:rPr>
                <w:rFonts w:eastAsia="仿宋_GB2312"/>
                <w:color w:val="auto"/>
                <w:sz w:val="30"/>
                <w:szCs w:val="30"/>
                <w:highlight w:val="none"/>
              </w:rPr>
            </w:pPr>
          </w:p>
        </w:tc>
      </w:tr>
      <w:tr w14:paraId="7646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2BB6A9A8">
            <w:pPr>
              <w:rPr>
                <w:rFonts w:eastAsia="仿宋_GB2312"/>
                <w:color w:val="auto"/>
                <w:sz w:val="30"/>
                <w:szCs w:val="30"/>
                <w:highlight w:val="none"/>
              </w:rPr>
            </w:pPr>
          </w:p>
        </w:tc>
        <w:tc>
          <w:tcPr>
            <w:tcW w:w="1418" w:type="dxa"/>
            <w:noWrap w:val="0"/>
            <w:vAlign w:val="top"/>
          </w:tcPr>
          <w:p w14:paraId="798C7805">
            <w:pPr>
              <w:rPr>
                <w:rFonts w:eastAsia="仿宋_GB2312"/>
                <w:color w:val="auto"/>
                <w:sz w:val="30"/>
                <w:szCs w:val="30"/>
                <w:highlight w:val="none"/>
              </w:rPr>
            </w:pPr>
          </w:p>
        </w:tc>
        <w:tc>
          <w:tcPr>
            <w:tcW w:w="850" w:type="dxa"/>
            <w:noWrap w:val="0"/>
            <w:vAlign w:val="top"/>
          </w:tcPr>
          <w:p w14:paraId="4D051ECF">
            <w:pPr>
              <w:rPr>
                <w:rFonts w:eastAsia="仿宋_GB2312"/>
                <w:color w:val="auto"/>
                <w:sz w:val="30"/>
                <w:szCs w:val="30"/>
                <w:highlight w:val="none"/>
              </w:rPr>
            </w:pPr>
          </w:p>
        </w:tc>
        <w:tc>
          <w:tcPr>
            <w:tcW w:w="1058" w:type="dxa"/>
            <w:noWrap w:val="0"/>
            <w:vAlign w:val="top"/>
          </w:tcPr>
          <w:p w14:paraId="0DBB6315">
            <w:pPr>
              <w:rPr>
                <w:rFonts w:eastAsia="仿宋_GB2312"/>
                <w:color w:val="auto"/>
                <w:sz w:val="30"/>
                <w:szCs w:val="30"/>
                <w:highlight w:val="none"/>
              </w:rPr>
            </w:pPr>
          </w:p>
        </w:tc>
        <w:tc>
          <w:tcPr>
            <w:tcW w:w="880" w:type="dxa"/>
            <w:noWrap w:val="0"/>
            <w:vAlign w:val="top"/>
          </w:tcPr>
          <w:p w14:paraId="1BBF361D">
            <w:pPr>
              <w:rPr>
                <w:rFonts w:eastAsia="仿宋_GB2312"/>
                <w:color w:val="auto"/>
                <w:sz w:val="30"/>
                <w:szCs w:val="30"/>
                <w:highlight w:val="none"/>
              </w:rPr>
            </w:pPr>
          </w:p>
        </w:tc>
        <w:tc>
          <w:tcPr>
            <w:tcW w:w="1020" w:type="dxa"/>
            <w:noWrap w:val="0"/>
            <w:vAlign w:val="top"/>
          </w:tcPr>
          <w:p w14:paraId="7F16FB93">
            <w:pPr>
              <w:rPr>
                <w:rFonts w:eastAsia="仿宋_GB2312"/>
                <w:color w:val="auto"/>
                <w:sz w:val="30"/>
                <w:szCs w:val="30"/>
                <w:highlight w:val="none"/>
              </w:rPr>
            </w:pPr>
          </w:p>
        </w:tc>
        <w:tc>
          <w:tcPr>
            <w:tcW w:w="1480" w:type="dxa"/>
            <w:noWrap w:val="0"/>
            <w:vAlign w:val="top"/>
          </w:tcPr>
          <w:p w14:paraId="10E9ACF5">
            <w:pPr>
              <w:rPr>
                <w:rFonts w:eastAsia="仿宋_GB2312"/>
                <w:color w:val="auto"/>
                <w:sz w:val="30"/>
                <w:szCs w:val="30"/>
                <w:highlight w:val="none"/>
              </w:rPr>
            </w:pPr>
          </w:p>
        </w:tc>
        <w:tc>
          <w:tcPr>
            <w:tcW w:w="1020" w:type="dxa"/>
            <w:noWrap w:val="0"/>
            <w:vAlign w:val="top"/>
          </w:tcPr>
          <w:p w14:paraId="07670A5D">
            <w:pPr>
              <w:rPr>
                <w:rFonts w:eastAsia="仿宋_GB2312"/>
                <w:color w:val="auto"/>
                <w:sz w:val="30"/>
                <w:szCs w:val="30"/>
                <w:highlight w:val="none"/>
              </w:rPr>
            </w:pPr>
          </w:p>
        </w:tc>
        <w:tc>
          <w:tcPr>
            <w:tcW w:w="921" w:type="dxa"/>
            <w:noWrap w:val="0"/>
            <w:vAlign w:val="top"/>
          </w:tcPr>
          <w:p w14:paraId="5C88A29A">
            <w:pPr>
              <w:rPr>
                <w:rFonts w:eastAsia="仿宋_GB2312"/>
                <w:color w:val="auto"/>
                <w:sz w:val="30"/>
                <w:szCs w:val="30"/>
                <w:highlight w:val="none"/>
              </w:rPr>
            </w:pPr>
          </w:p>
        </w:tc>
      </w:tr>
      <w:tr w14:paraId="5463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76C1D91E">
            <w:pPr>
              <w:rPr>
                <w:rFonts w:eastAsia="仿宋_GB2312"/>
                <w:color w:val="auto"/>
                <w:sz w:val="30"/>
                <w:szCs w:val="30"/>
                <w:highlight w:val="none"/>
              </w:rPr>
            </w:pPr>
          </w:p>
        </w:tc>
        <w:tc>
          <w:tcPr>
            <w:tcW w:w="1418" w:type="dxa"/>
            <w:noWrap w:val="0"/>
            <w:vAlign w:val="top"/>
          </w:tcPr>
          <w:p w14:paraId="58C99E83">
            <w:pPr>
              <w:rPr>
                <w:rFonts w:eastAsia="仿宋_GB2312"/>
                <w:color w:val="auto"/>
                <w:sz w:val="30"/>
                <w:szCs w:val="30"/>
                <w:highlight w:val="none"/>
              </w:rPr>
            </w:pPr>
          </w:p>
        </w:tc>
        <w:tc>
          <w:tcPr>
            <w:tcW w:w="850" w:type="dxa"/>
            <w:noWrap w:val="0"/>
            <w:vAlign w:val="top"/>
          </w:tcPr>
          <w:p w14:paraId="5716ECFE">
            <w:pPr>
              <w:rPr>
                <w:rFonts w:eastAsia="仿宋_GB2312"/>
                <w:color w:val="auto"/>
                <w:sz w:val="30"/>
                <w:szCs w:val="30"/>
                <w:highlight w:val="none"/>
              </w:rPr>
            </w:pPr>
          </w:p>
        </w:tc>
        <w:tc>
          <w:tcPr>
            <w:tcW w:w="1058" w:type="dxa"/>
            <w:noWrap w:val="0"/>
            <w:vAlign w:val="top"/>
          </w:tcPr>
          <w:p w14:paraId="2C5BD188">
            <w:pPr>
              <w:rPr>
                <w:rFonts w:eastAsia="仿宋_GB2312"/>
                <w:color w:val="auto"/>
                <w:sz w:val="30"/>
                <w:szCs w:val="30"/>
                <w:highlight w:val="none"/>
              </w:rPr>
            </w:pPr>
          </w:p>
        </w:tc>
        <w:tc>
          <w:tcPr>
            <w:tcW w:w="880" w:type="dxa"/>
            <w:noWrap w:val="0"/>
            <w:vAlign w:val="top"/>
          </w:tcPr>
          <w:p w14:paraId="1EAE5137">
            <w:pPr>
              <w:rPr>
                <w:rFonts w:eastAsia="仿宋_GB2312"/>
                <w:color w:val="auto"/>
                <w:sz w:val="30"/>
                <w:szCs w:val="30"/>
                <w:highlight w:val="none"/>
              </w:rPr>
            </w:pPr>
          </w:p>
        </w:tc>
        <w:tc>
          <w:tcPr>
            <w:tcW w:w="1020" w:type="dxa"/>
            <w:noWrap w:val="0"/>
            <w:vAlign w:val="top"/>
          </w:tcPr>
          <w:p w14:paraId="611CA7B1">
            <w:pPr>
              <w:rPr>
                <w:rFonts w:eastAsia="仿宋_GB2312"/>
                <w:color w:val="auto"/>
                <w:sz w:val="30"/>
                <w:szCs w:val="30"/>
                <w:highlight w:val="none"/>
              </w:rPr>
            </w:pPr>
          </w:p>
        </w:tc>
        <w:tc>
          <w:tcPr>
            <w:tcW w:w="1480" w:type="dxa"/>
            <w:noWrap w:val="0"/>
            <w:vAlign w:val="top"/>
          </w:tcPr>
          <w:p w14:paraId="15BEEEBF">
            <w:pPr>
              <w:rPr>
                <w:rFonts w:eastAsia="仿宋_GB2312"/>
                <w:color w:val="auto"/>
                <w:sz w:val="30"/>
                <w:szCs w:val="30"/>
                <w:highlight w:val="none"/>
              </w:rPr>
            </w:pPr>
          </w:p>
        </w:tc>
        <w:tc>
          <w:tcPr>
            <w:tcW w:w="1020" w:type="dxa"/>
            <w:noWrap w:val="0"/>
            <w:vAlign w:val="top"/>
          </w:tcPr>
          <w:p w14:paraId="44A831AF">
            <w:pPr>
              <w:rPr>
                <w:rFonts w:eastAsia="仿宋_GB2312"/>
                <w:color w:val="auto"/>
                <w:sz w:val="30"/>
                <w:szCs w:val="30"/>
                <w:highlight w:val="none"/>
              </w:rPr>
            </w:pPr>
          </w:p>
        </w:tc>
        <w:tc>
          <w:tcPr>
            <w:tcW w:w="921" w:type="dxa"/>
            <w:noWrap w:val="0"/>
            <w:vAlign w:val="top"/>
          </w:tcPr>
          <w:p w14:paraId="48ACD1DD">
            <w:pPr>
              <w:rPr>
                <w:rFonts w:eastAsia="仿宋_GB2312"/>
                <w:color w:val="auto"/>
                <w:sz w:val="30"/>
                <w:szCs w:val="30"/>
                <w:highlight w:val="none"/>
              </w:rPr>
            </w:pPr>
          </w:p>
        </w:tc>
      </w:tr>
      <w:tr w14:paraId="067D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06055DBE">
            <w:pPr>
              <w:rPr>
                <w:rFonts w:eastAsia="仿宋_GB2312"/>
                <w:color w:val="auto"/>
                <w:sz w:val="30"/>
                <w:szCs w:val="30"/>
                <w:highlight w:val="none"/>
              </w:rPr>
            </w:pPr>
          </w:p>
        </w:tc>
        <w:tc>
          <w:tcPr>
            <w:tcW w:w="1418" w:type="dxa"/>
            <w:noWrap w:val="0"/>
            <w:vAlign w:val="top"/>
          </w:tcPr>
          <w:p w14:paraId="56F6AF7B">
            <w:pPr>
              <w:rPr>
                <w:rFonts w:eastAsia="仿宋_GB2312"/>
                <w:color w:val="auto"/>
                <w:sz w:val="30"/>
                <w:szCs w:val="30"/>
                <w:highlight w:val="none"/>
              </w:rPr>
            </w:pPr>
          </w:p>
        </w:tc>
        <w:tc>
          <w:tcPr>
            <w:tcW w:w="850" w:type="dxa"/>
            <w:noWrap w:val="0"/>
            <w:vAlign w:val="top"/>
          </w:tcPr>
          <w:p w14:paraId="5613C4DA">
            <w:pPr>
              <w:rPr>
                <w:rFonts w:eastAsia="仿宋_GB2312"/>
                <w:color w:val="auto"/>
                <w:sz w:val="30"/>
                <w:szCs w:val="30"/>
                <w:highlight w:val="none"/>
              </w:rPr>
            </w:pPr>
          </w:p>
        </w:tc>
        <w:tc>
          <w:tcPr>
            <w:tcW w:w="1058" w:type="dxa"/>
            <w:noWrap w:val="0"/>
            <w:vAlign w:val="top"/>
          </w:tcPr>
          <w:p w14:paraId="75842D4B">
            <w:pPr>
              <w:rPr>
                <w:rFonts w:eastAsia="仿宋_GB2312"/>
                <w:color w:val="auto"/>
                <w:sz w:val="30"/>
                <w:szCs w:val="30"/>
                <w:highlight w:val="none"/>
              </w:rPr>
            </w:pPr>
          </w:p>
        </w:tc>
        <w:tc>
          <w:tcPr>
            <w:tcW w:w="880" w:type="dxa"/>
            <w:noWrap w:val="0"/>
            <w:vAlign w:val="top"/>
          </w:tcPr>
          <w:p w14:paraId="2E3375B0">
            <w:pPr>
              <w:rPr>
                <w:rFonts w:eastAsia="仿宋_GB2312"/>
                <w:color w:val="auto"/>
                <w:sz w:val="30"/>
                <w:szCs w:val="30"/>
                <w:highlight w:val="none"/>
              </w:rPr>
            </w:pPr>
          </w:p>
        </w:tc>
        <w:tc>
          <w:tcPr>
            <w:tcW w:w="1020" w:type="dxa"/>
            <w:noWrap w:val="0"/>
            <w:vAlign w:val="top"/>
          </w:tcPr>
          <w:p w14:paraId="710E923F">
            <w:pPr>
              <w:rPr>
                <w:rFonts w:eastAsia="仿宋_GB2312"/>
                <w:color w:val="auto"/>
                <w:sz w:val="30"/>
                <w:szCs w:val="30"/>
                <w:highlight w:val="none"/>
              </w:rPr>
            </w:pPr>
          </w:p>
        </w:tc>
        <w:tc>
          <w:tcPr>
            <w:tcW w:w="1480" w:type="dxa"/>
            <w:noWrap w:val="0"/>
            <w:vAlign w:val="top"/>
          </w:tcPr>
          <w:p w14:paraId="133BD953">
            <w:pPr>
              <w:rPr>
                <w:rFonts w:eastAsia="仿宋_GB2312"/>
                <w:color w:val="auto"/>
                <w:sz w:val="30"/>
                <w:szCs w:val="30"/>
                <w:highlight w:val="none"/>
              </w:rPr>
            </w:pPr>
          </w:p>
        </w:tc>
        <w:tc>
          <w:tcPr>
            <w:tcW w:w="1020" w:type="dxa"/>
            <w:noWrap w:val="0"/>
            <w:vAlign w:val="top"/>
          </w:tcPr>
          <w:p w14:paraId="12B100B6">
            <w:pPr>
              <w:rPr>
                <w:rFonts w:eastAsia="仿宋_GB2312"/>
                <w:color w:val="auto"/>
                <w:sz w:val="30"/>
                <w:szCs w:val="30"/>
                <w:highlight w:val="none"/>
              </w:rPr>
            </w:pPr>
          </w:p>
        </w:tc>
        <w:tc>
          <w:tcPr>
            <w:tcW w:w="921" w:type="dxa"/>
            <w:noWrap w:val="0"/>
            <w:vAlign w:val="top"/>
          </w:tcPr>
          <w:p w14:paraId="0F107890">
            <w:pPr>
              <w:rPr>
                <w:rFonts w:eastAsia="仿宋_GB2312"/>
                <w:color w:val="auto"/>
                <w:sz w:val="30"/>
                <w:szCs w:val="30"/>
                <w:highlight w:val="none"/>
              </w:rPr>
            </w:pPr>
          </w:p>
        </w:tc>
      </w:tr>
      <w:tr w14:paraId="36AE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05CC01AE">
            <w:pPr>
              <w:rPr>
                <w:rFonts w:eastAsia="仿宋_GB2312"/>
                <w:color w:val="auto"/>
                <w:sz w:val="30"/>
                <w:szCs w:val="30"/>
                <w:highlight w:val="none"/>
              </w:rPr>
            </w:pPr>
          </w:p>
        </w:tc>
        <w:tc>
          <w:tcPr>
            <w:tcW w:w="1418" w:type="dxa"/>
            <w:noWrap w:val="0"/>
            <w:vAlign w:val="top"/>
          </w:tcPr>
          <w:p w14:paraId="7B0A9FBB">
            <w:pPr>
              <w:rPr>
                <w:rFonts w:eastAsia="仿宋_GB2312"/>
                <w:color w:val="auto"/>
                <w:sz w:val="30"/>
                <w:szCs w:val="30"/>
                <w:highlight w:val="none"/>
              </w:rPr>
            </w:pPr>
          </w:p>
        </w:tc>
        <w:tc>
          <w:tcPr>
            <w:tcW w:w="850" w:type="dxa"/>
            <w:noWrap w:val="0"/>
            <w:vAlign w:val="top"/>
          </w:tcPr>
          <w:p w14:paraId="7ED55853">
            <w:pPr>
              <w:rPr>
                <w:rFonts w:eastAsia="仿宋_GB2312"/>
                <w:color w:val="auto"/>
                <w:sz w:val="30"/>
                <w:szCs w:val="30"/>
                <w:highlight w:val="none"/>
              </w:rPr>
            </w:pPr>
          </w:p>
        </w:tc>
        <w:tc>
          <w:tcPr>
            <w:tcW w:w="1058" w:type="dxa"/>
            <w:noWrap w:val="0"/>
            <w:vAlign w:val="top"/>
          </w:tcPr>
          <w:p w14:paraId="0F9E727C">
            <w:pPr>
              <w:rPr>
                <w:rFonts w:eastAsia="仿宋_GB2312"/>
                <w:color w:val="auto"/>
                <w:sz w:val="30"/>
                <w:szCs w:val="30"/>
                <w:highlight w:val="none"/>
              </w:rPr>
            </w:pPr>
          </w:p>
        </w:tc>
        <w:tc>
          <w:tcPr>
            <w:tcW w:w="880" w:type="dxa"/>
            <w:noWrap w:val="0"/>
            <w:vAlign w:val="top"/>
          </w:tcPr>
          <w:p w14:paraId="64C18CDB">
            <w:pPr>
              <w:rPr>
                <w:rFonts w:eastAsia="仿宋_GB2312"/>
                <w:color w:val="auto"/>
                <w:sz w:val="30"/>
                <w:szCs w:val="30"/>
                <w:highlight w:val="none"/>
              </w:rPr>
            </w:pPr>
          </w:p>
        </w:tc>
        <w:tc>
          <w:tcPr>
            <w:tcW w:w="1020" w:type="dxa"/>
            <w:noWrap w:val="0"/>
            <w:vAlign w:val="top"/>
          </w:tcPr>
          <w:p w14:paraId="4A49424A">
            <w:pPr>
              <w:rPr>
                <w:rFonts w:eastAsia="仿宋_GB2312"/>
                <w:color w:val="auto"/>
                <w:sz w:val="30"/>
                <w:szCs w:val="30"/>
                <w:highlight w:val="none"/>
              </w:rPr>
            </w:pPr>
          </w:p>
        </w:tc>
        <w:tc>
          <w:tcPr>
            <w:tcW w:w="1480" w:type="dxa"/>
            <w:noWrap w:val="0"/>
            <w:vAlign w:val="top"/>
          </w:tcPr>
          <w:p w14:paraId="215F7ADF">
            <w:pPr>
              <w:rPr>
                <w:rFonts w:eastAsia="仿宋_GB2312"/>
                <w:color w:val="auto"/>
                <w:sz w:val="30"/>
                <w:szCs w:val="30"/>
                <w:highlight w:val="none"/>
              </w:rPr>
            </w:pPr>
          </w:p>
        </w:tc>
        <w:tc>
          <w:tcPr>
            <w:tcW w:w="1020" w:type="dxa"/>
            <w:noWrap w:val="0"/>
            <w:vAlign w:val="top"/>
          </w:tcPr>
          <w:p w14:paraId="2C96DBC3">
            <w:pPr>
              <w:rPr>
                <w:rFonts w:eastAsia="仿宋_GB2312"/>
                <w:color w:val="auto"/>
                <w:sz w:val="30"/>
                <w:szCs w:val="30"/>
                <w:highlight w:val="none"/>
              </w:rPr>
            </w:pPr>
          </w:p>
        </w:tc>
        <w:tc>
          <w:tcPr>
            <w:tcW w:w="921" w:type="dxa"/>
            <w:noWrap w:val="0"/>
            <w:vAlign w:val="top"/>
          </w:tcPr>
          <w:p w14:paraId="57D856D3">
            <w:pPr>
              <w:rPr>
                <w:rFonts w:eastAsia="仿宋_GB2312"/>
                <w:color w:val="auto"/>
                <w:sz w:val="30"/>
                <w:szCs w:val="30"/>
                <w:highlight w:val="none"/>
              </w:rPr>
            </w:pPr>
          </w:p>
        </w:tc>
      </w:tr>
      <w:tr w14:paraId="4A65A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173F9F96">
            <w:pPr>
              <w:rPr>
                <w:rFonts w:eastAsia="仿宋_GB2312"/>
                <w:color w:val="auto"/>
                <w:sz w:val="30"/>
                <w:szCs w:val="30"/>
                <w:highlight w:val="none"/>
              </w:rPr>
            </w:pPr>
          </w:p>
        </w:tc>
        <w:tc>
          <w:tcPr>
            <w:tcW w:w="1418" w:type="dxa"/>
            <w:noWrap w:val="0"/>
            <w:vAlign w:val="top"/>
          </w:tcPr>
          <w:p w14:paraId="5C1EBEDF">
            <w:pPr>
              <w:rPr>
                <w:rFonts w:eastAsia="仿宋_GB2312"/>
                <w:color w:val="auto"/>
                <w:sz w:val="30"/>
                <w:szCs w:val="30"/>
                <w:highlight w:val="none"/>
              </w:rPr>
            </w:pPr>
          </w:p>
        </w:tc>
        <w:tc>
          <w:tcPr>
            <w:tcW w:w="850" w:type="dxa"/>
            <w:noWrap w:val="0"/>
            <w:vAlign w:val="top"/>
          </w:tcPr>
          <w:p w14:paraId="31BD2B51">
            <w:pPr>
              <w:rPr>
                <w:rFonts w:eastAsia="仿宋_GB2312"/>
                <w:color w:val="auto"/>
                <w:sz w:val="30"/>
                <w:szCs w:val="30"/>
                <w:highlight w:val="none"/>
              </w:rPr>
            </w:pPr>
          </w:p>
        </w:tc>
        <w:tc>
          <w:tcPr>
            <w:tcW w:w="1058" w:type="dxa"/>
            <w:noWrap w:val="0"/>
            <w:vAlign w:val="top"/>
          </w:tcPr>
          <w:p w14:paraId="29AE8329">
            <w:pPr>
              <w:rPr>
                <w:rFonts w:eastAsia="仿宋_GB2312"/>
                <w:color w:val="auto"/>
                <w:sz w:val="30"/>
                <w:szCs w:val="30"/>
                <w:highlight w:val="none"/>
              </w:rPr>
            </w:pPr>
          </w:p>
        </w:tc>
        <w:tc>
          <w:tcPr>
            <w:tcW w:w="880" w:type="dxa"/>
            <w:noWrap w:val="0"/>
            <w:vAlign w:val="top"/>
          </w:tcPr>
          <w:p w14:paraId="5F049794">
            <w:pPr>
              <w:rPr>
                <w:rFonts w:eastAsia="仿宋_GB2312"/>
                <w:color w:val="auto"/>
                <w:sz w:val="30"/>
                <w:szCs w:val="30"/>
                <w:highlight w:val="none"/>
              </w:rPr>
            </w:pPr>
          </w:p>
        </w:tc>
        <w:tc>
          <w:tcPr>
            <w:tcW w:w="1020" w:type="dxa"/>
            <w:noWrap w:val="0"/>
            <w:vAlign w:val="top"/>
          </w:tcPr>
          <w:p w14:paraId="5D3B71AC">
            <w:pPr>
              <w:rPr>
                <w:rFonts w:eastAsia="仿宋_GB2312"/>
                <w:color w:val="auto"/>
                <w:sz w:val="30"/>
                <w:szCs w:val="30"/>
                <w:highlight w:val="none"/>
              </w:rPr>
            </w:pPr>
          </w:p>
        </w:tc>
        <w:tc>
          <w:tcPr>
            <w:tcW w:w="1480" w:type="dxa"/>
            <w:noWrap w:val="0"/>
            <w:vAlign w:val="top"/>
          </w:tcPr>
          <w:p w14:paraId="4E564E6A">
            <w:pPr>
              <w:rPr>
                <w:rFonts w:eastAsia="仿宋_GB2312"/>
                <w:color w:val="auto"/>
                <w:sz w:val="30"/>
                <w:szCs w:val="30"/>
                <w:highlight w:val="none"/>
              </w:rPr>
            </w:pPr>
          </w:p>
        </w:tc>
        <w:tc>
          <w:tcPr>
            <w:tcW w:w="1020" w:type="dxa"/>
            <w:noWrap w:val="0"/>
            <w:vAlign w:val="top"/>
          </w:tcPr>
          <w:p w14:paraId="07A7D432">
            <w:pPr>
              <w:rPr>
                <w:rFonts w:eastAsia="仿宋_GB2312"/>
                <w:color w:val="auto"/>
                <w:sz w:val="30"/>
                <w:szCs w:val="30"/>
                <w:highlight w:val="none"/>
              </w:rPr>
            </w:pPr>
          </w:p>
        </w:tc>
        <w:tc>
          <w:tcPr>
            <w:tcW w:w="921" w:type="dxa"/>
            <w:noWrap w:val="0"/>
            <w:vAlign w:val="top"/>
          </w:tcPr>
          <w:p w14:paraId="2829D63C">
            <w:pPr>
              <w:rPr>
                <w:rFonts w:eastAsia="仿宋_GB2312"/>
                <w:color w:val="auto"/>
                <w:sz w:val="30"/>
                <w:szCs w:val="30"/>
                <w:highlight w:val="none"/>
              </w:rPr>
            </w:pPr>
          </w:p>
        </w:tc>
      </w:tr>
      <w:tr w14:paraId="7CAE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0753FD6F">
            <w:pPr>
              <w:rPr>
                <w:rFonts w:eastAsia="仿宋_GB2312"/>
                <w:color w:val="auto"/>
                <w:sz w:val="30"/>
                <w:szCs w:val="30"/>
                <w:highlight w:val="none"/>
              </w:rPr>
            </w:pPr>
          </w:p>
        </w:tc>
        <w:tc>
          <w:tcPr>
            <w:tcW w:w="1418" w:type="dxa"/>
            <w:noWrap w:val="0"/>
            <w:vAlign w:val="top"/>
          </w:tcPr>
          <w:p w14:paraId="31F1ED08">
            <w:pPr>
              <w:rPr>
                <w:rFonts w:eastAsia="仿宋_GB2312"/>
                <w:color w:val="auto"/>
                <w:sz w:val="30"/>
                <w:szCs w:val="30"/>
                <w:highlight w:val="none"/>
              </w:rPr>
            </w:pPr>
          </w:p>
        </w:tc>
        <w:tc>
          <w:tcPr>
            <w:tcW w:w="850" w:type="dxa"/>
            <w:noWrap w:val="0"/>
            <w:vAlign w:val="top"/>
          </w:tcPr>
          <w:p w14:paraId="5CE1868E">
            <w:pPr>
              <w:rPr>
                <w:rFonts w:eastAsia="仿宋_GB2312"/>
                <w:color w:val="auto"/>
                <w:sz w:val="30"/>
                <w:szCs w:val="30"/>
                <w:highlight w:val="none"/>
              </w:rPr>
            </w:pPr>
          </w:p>
        </w:tc>
        <w:tc>
          <w:tcPr>
            <w:tcW w:w="1058" w:type="dxa"/>
            <w:noWrap w:val="0"/>
            <w:vAlign w:val="top"/>
          </w:tcPr>
          <w:p w14:paraId="78C7A66E">
            <w:pPr>
              <w:rPr>
                <w:rFonts w:eastAsia="仿宋_GB2312"/>
                <w:color w:val="auto"/>
                <w:sz w:val="30"/>
                <w:szCs w:val="30"/>
                <w:highlight w:val="none"/>
              </w:rPr>
            </w:pPr>
          </w:p>
        </w:tc>
        <w:tc>
          <w:tcPr>
            <w:tcW w:w="880" w:type="dxa"/>
            <w:noWrap w:val="0"/>
            <w:vAlign w:val="top"/>
          </w:tcPr>
          <w:p w14:paraId="7453EF41">
            <w:pPr>
              <w:rPr>
                <w:rFonts w:eastAsia="仿宋_GB2312"/>
                <w:color w:val="auto"/>
                <w:sz w:val="30"/>
                <w:szCs w:val="30"/>
                <w:highlight w:val="none"/>
              </w:rPr>
            </w:pPr>
          </w:p>
        </w:tc>
        <w:tc>
          <w:tcPr>
            <w:tcW w:w="1020" w:type="dxa"/>
            <w:noWrap w:val="0"/>
            <w:vAlign w:val="top"/>
          </w:tcPr>
          <w:p w14:paraId="2C87A68D">
            <w:pPr>
              <w:rPr>
                <w:rFonts w:eastAsia="仿宋_GB2312"/>
                <w:color w:val="auto"/>
                <w:sz w:val="30"/>
                <w:szCs w:val="30"/>
                <w:highlight w:val="none"/>
              </w:rPr>
            </w:pPr>
          </w:p>
        </w:tc>
        <w:tc>
          <w:tcPr>
            <w:tcW w:w="1480" w:type="dxa"/>
            <w:noWrap w:val="0"/>
            <w:vAlign w:val="top"/>
          </w:tcPr>
          <w:p w14:paraId="1266AF3D">
            <w:pPr>
              <w:rPr>
                <w:rFonts w:eastAsia="仿宋_GB2312"/>
                <w:color w:val="auto"/>
                <w:sz w:val="30"/>
                <w:szCs w:val="30"/>
                <w:highlight w:val="none"/>
              </w:rPr>
            </w:pPr>
          </w:p>
        </w:tc>
        <w:tc>
          <w:tcPr>
            <w:tcW w:w="1020" w:type="dxa"/>
            <w:noWrap w:val="0"/>
            <w:vAlign w:val="top"/>
          </w:tcPr>
          <w:p w14:paraId="5B9DF73E">
            <w:pPr>
              <w:rPr>
                <w:rFonts w:eastAsia="仿宋_GB2312"/>
                <w:color w:val="auto"/>
                <w:sz w:val="30"/>
                <w:szCs w:val="30"/>
                <w:highlight w:val="none"/>
              </w:rPr>
            </w:pPr>
          </w:p>
        </w:tc>
        <w:tc>
          <w:tcPr>
            <w:tcW w:w="921" w:type="dxa"/>
            <w:noWrap w:val="0"/>
            <w:vAlign w:val="top"/>
          </w:tcPr>
          <w:p w14:paraId="5A10FC69">
            <w:pPr>
              <w:rPr>
                <w:rFonts w:eastAsia="仿宋_GB2312"/>
                <w:color w:val="auto"/>
                <w:sz w:val="30"/>
                <w:szCs w:val="30"/>
                <w:highlight w:val="none"/>
              </w:rPr>
            </w:pPr>
          </w:p>
        </w:tc>
      </w:tr>
      <w:tr w14:paraId="6C350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660FACF3">
            <w:pPr>
              <w:rPr>
                <w:rFonts w:eastAsia="仿宋_GB2312"/>
                <w:color w:val="auto"/>
                <w:sz w:val="30"/>
                <w:szCs w:val="30"/>
                <w:highlight w:val="none"/>
              </w:rPr>
            </w:pPr>
          </w:p>
        </w:tc>
        <w:tc>
          <w:tcPr>
            <w:tcW w:w="1418" w:type="dxa"/>
            <w:noWrap w:val="0"/>
            <w:vAlign w:val="top"/>
          </w:tcPr>
          <w:p w14:paraId="7540A13A">
            <w:pPr>
              <w:rPr>
                <w:rFonts w:eastAsia="仿宋_GB2312"/>
                <w:color w:val="auto"/>
                <w:sz w:val="30"/>
                <w:szCs w:val="30"/>
                <w:highlight w:val="none"/>
              </w:rPr>
            </w:pPr>
          </w:p>
        </w:tc>
        <w:tc>
          <w:tcPr>
            <w:tcW w:w="850" w:type="dxa"/>
            <w:noWrap w:val="0"/>
            <w:vAlign w:val="top"/>
          </w:tcPr>
          <w:p w14:paraId="1E4D14FA">
            <w:pPr>
              <w:rPr>
                <w:rFonts w:eastAsia="仿宋_GB2312"/>
                <w:color w:val="auto"/>
                <w:sz w:val="30"/>
                <w:szCs w:val="30"/>
                <w:highlight w:val="none"/>
              </w:rPr>
            </w:pPr>
          </w:p>
        </w:tc>
        <w:tc>
          <w:tcPr>
            <w:tcW w:w="1058" w:type="dxa"/>
            <w:noWrap w:val="0"/>
            <w:vAlign w:val="top"/>
          </w:tcPr>
          <w:p w14:paraId="75F37967">
            <w:pPr>
              <w:rPr>
                <w:rFonts w:eastAsia="仿宋_GB2312"/>
                <w:color w:val="auto"/>
                <w:sz w:val="30"/>
                <w:szCs w:val="30"/>
                <w:highlight w:val="none"/>
              </w:rPr>
            </w:pPr>
          </w:p>
        </w:tc>
        <w:tc>
          <w:tcPr>
            <w:tcW w:w="880" w:type="dxa"/>
            <w:noWrap w:val="0"/>
            <w:vAlign w:val="top"/>
          </w:tcPr>
          <w:p w14:paraId="7455642B">
            <w:pPr>
              <w:rPr>
                <w:rFonts w:eastAsia="仿宋_GB2312"/>
                <w:color w:val="auto"/>
                <w:sz w:val="30"/>
                <w:szCs w:val="30"/>
                <w:highlight w:val="none"/>
              </w:rPr>
            </w:pPr>
          </w:p>
        </w:tc>
        <w:tc>
          <w:tcPr>
            <w:tcW w:w="1020" w:type="dxa"/>
            <w:noWrap w:val="0"/>
            <w:vAlign w:val="top"/>
          </w:tcPr>
          <w:p w14:paraId="5E6F417F">
            <w:pPr>
              <w:rPr>
                <w:rFonts w:eastAsia="仿宋_GB2312"/>
                <w:color w:val="auto"/>
                <w:sz w:val="30"/>
                <w:szCs w:val="30"/>
                <w:highlight w:val="none"/>
              </w:rPr>
            </w:pPr>
          </w:p>
        </w:tc>
        <w:tc>
          <w:tcPr>
            <w:tcW w:w="1480" w:type="dxa"/>
            <w:noWrap w:val="0"/>
            <w:vAlign w:val="top"/>
          </w:tcPr>
          <w:p w14:paraId="71CEE103">
            <w:pPr>
              <w:rPr>
                <w:rFonts w:eastAsia="仿宋_GB2312"/>
                <w:color w:val="auto"/>
                <w:sz w:val="30"/>
                <w:szCs w:val="30"/>
                <w:highlight w:val="none"/>
              </w:rPr>
            </w:pPr>
          </w:p>
        </w:tc>
        <w:tc>
          <w:tcPr>
            <w:tcW w:w="1020" w:type="dxa"/>
            <w:noWrap w:val="0"/>
            <w:vAlign w:val="top"/>
          </w:tcPr>
          <w:p w14:paraId="7ABC0C17">
            <w:pPr>
              <w:rPr>
                <w:rFonts w:eastAsia="仿宋_GB2312"/>
                <w:color w:val="auto"/>
                <w:sz w:val="30"/>
                <w:szCs w:val="30"/>
                <w:highlight w:val="none"/>
              </w:rPr>
            </w:pPr>
          </w:p>
        </w:tc>
        <w:tc>
          <w:tcPr>
            <w:tcW w:w="921" w:type="dxa"/>
            <w:noWrap w:val="0"/>
            <w:vAlign w:val="top"/>
          </w:tcPr>
          <w:p w14:paraId="788DBCAF">
            <w:pPr>
              <w:rPr>
                <w:rFonts w:eastAsia="仿宋_GB2312"/>
                <w:color w:val="auto"/>
                <w:sz w:val="30"/>
                <w:szCs w:val="30"/>
                <w:highlight w:val="none"/>
              </w:rPr>
            </w:pPr>
          </w:p>
        </w:tc>
      </w:tr>
    </w:tbl>
    <w:p w14:paraId="5F8BE736">
      <w:pPr>
        <w:spacing w:line="440" w:lineRule="exact"/>
        <w:rPr>
          <w:rFonts w:eastAsia="仿宋_GB2312"/>
          <w:color w:val="auto"/>
          <w:sz w:val="30"/>
          <w:szCs w:val="30"/>
          <w:highlight w:val="none"/>
        </w:rPr>
        <w:sectPr>
          <w:pgSz w:w="11907" w:h="16840"/>
          <w:pgMar w:top="1440" w:right="1440" w:bottom="1440" w:left="1797" w:header="851" w:footer="851" w:gutter="0"/>
          <w:cols w:space="720" w:num="1"/>
          <w:docGrid w:linePitch="312" w:charSpace="0"/>
        </w:sectPr>
      </w:pPr>
    </w:p>
    <w:p w14:paraId="1AC259C9">
      <w:pPr>
        <w:spacing w:line="440" w:lineRule="exact"/>
        <w:jc w:val="left"/>
        <w:rPr>
          <w:rFonts w:eastAsia="黑体"/>
          <w:color w:val="auto"/>
          <w:sz w:val="30"/>
          <w:szCs w:val="30"/>
          <w:highlight w:val="none"/>
        </w:rPr>
      </w:pPr>
      <w:r>
        <w:rPr>
          <w:rFonts w:hint="eastAsia" w:eastAsia="仿宋_GB2312" w:cs="仿宋_GB2312"/>
          <w:color w:val="auto"/>
          <w:sz w:val="30"/>
          <w:szCs w:val="30"/>
          <w:highlight w:val="none"/>
        </w:rPr>
        <w:t>附</w:t>
      </w:r>
      <w:bookmarkStart w:id="1519" w:name="_Toc296347227"/>
      <w:bookmarkStart w:id="1520" w:name="_Toc296346729"/>
      <w:bookmarkStart w:id="1521" w:name="_Toc296944567"/>
      <w:bookmarkStart w:id="1522" w:name="_Toc296503228"/>
      <w:bookmarkStart w:id="1523" w:name="_Toc296891056"/>
      <w:bookmarkStart w:id="1524" w:name="_Toc296891268"/>
      <w:bookmarkStart w:id="1525" w:name="_Toc267261699"/>
      <w:r>
        <w:rPr>
          <w:rFonts w:hint="eastAsia" w:eastAsia="仿宋_GB2312" w:cs="仿宋_GB2312"/>
          <w:color w:val="auto"/>
          <w:sz w:val="30"/>
          <w:szCs w:val="30"/>
          <w:highlight w:val="none"/>
        </w:rPr>
        <w:t>件</w:t>
      </w:r>
      <w:r>
        <w:rPr>
          <w:rFonts w:hint="eastAsia" w:eastAsia="仿宋_GB2312"/>
          <w:color w:val="auto"/>
          <w:sz w:val="30"/>
          <w:szCs w:val="30"/>
          <w:highlight w:val="none"/>
        </w:rPr>
        <w:t>5</w:t>
      </w:r>
      <w:r>
        <w:rPr>
          <w:rFonts w:hint="eastAsia" w:eastAsia="仿宋_GB2312" w:cs="仿宋_GB2312"/>
          <w:color w:val="auto"/>
          <w:sz w:val="30"/>
          <w:szCs w:val="30"/>
          <w:highlight w:val="none"/>
        </w:rPr>
        <w:t>：</w:t>
      </w:r>
    </w:p>
    <w:bookmarkEnd w:id="1519"/>
    <w:bookmarkEnd w:id="1520"/>
    <w:bookmarkEnd w:id="1521"/>
    <w:bookmarkEnd w:id="1522"/>
    <w:bookmarkEnd w:id="1523"/>
    <w:bookmarkEnd w:id="1524"/>
    <w:bookmarkEnd w:id="1525"/>
    <w:p w14:paraId="21AB35C7">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承包人主要施工管理人员表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612F4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F61E3CF">
            <w:pPr>
              <w:pStyle w:val="2"/>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名</w:t>
            </w:r>
            <w:r>
              <w:rPr>
                <w:rFonts w:eastAsia="仿宋_GB2312"/>
                <w:color w:val="auto"/>
                <w:sz w:val="28"/>
                <w:szCs w:val="28"/>
                <w:highlight w:val="none"/>
              </w:rPr>
              <w:t xml:space="preserve">    </w:t>
            </w:r>
            <w:r>
              <w:rPr>
                <w:rFonts w:hint="eastAsia" w:eastAsia="仿宋_GB2312" w:cs="仿宋_GB2312"/>
                <w:color w:val="auto"/>
                <w:sz w:val="28"/>
                <w:szCs w:val="28"/>
                <w:highlight w:val="none"/>
              </w:rPr>
              <w:t>称</w:t>
            </w:r>
          </w:p>
        </w:tc>
        <w:tc>
          <w:tcPr>
            <w:tcW w:w="1418" w:type="dxa"/>
            <w:noWrap w:val="0"/>
            <w:vAlign w:val="center"/>
          </w:tcPr>
          <w:p w14:paraId="3B6370F3">
            <w:pPr>
              <w:pStyle w:val="2"/>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姓名</w:t>
            </w:r>
          </w:p>
        </w:tc>
        <w:tc>
          <w:tcPr>
            <w:tcW w:w="1134" w:type="dxa"/>
            <w:noWrap w:val="0"/>
            <w:vAlign w:val="center"/>
          </w:tcPr>
          <w:p w14:paraId="2520D308">
            <w:pPr>
              <w:pStyle w:val="2"/>
              <w:keepNext/>
              <w:spacing w:after="0"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职务</w:t>
            </w:r>
          </w:p>
        </w:tc>
        <w:tc>
          <w:tcPr>
            <w:tcW w:w="1134" w:type="dxa"/>
            <w:noWrap w:val="0"/>
            <w:vAlign w:val="center"/>
          </w:tcPr>
          <w:p w14:paraId="20D8D9E4">
            <w:pPr>
              <w:pStyle w:val="2"/>
              <w:keepNext/>
              <w:spacing w:after="0"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职称</w:t>
            </w:r>
          </w:p>
        </w:tc>
        <w:tc>
          <w:tcPr>
            <w:tcW w:w="4252" w:type="dxa"/>
            <w:noWrap w:val="0"/>
            <w:vAlign w:val="center"/>
          </w:tcPr>
          <w:p w14:paraId="123EF408">
            <w:pPr>
              <w:pStyle w:val="2"/>
              <w:keepNext/>
              <w:spacing w:after="0" w:line="440" w:lineRule="exact"/>
              <w:ind w:left="0" w:leftChars="0" w:right="63"/>
              <w:rPr>
                <w:rFonts w:eastAsia="仿宋_GB2312"/>
                <w:color w:val="auto"/>
                <w:sz w:val="30"/>
                <w:szCs w:val="30"/>
                <w:highlight w:val="none"/>
              </w:rPr>
            </w:pPr>
            <w:r>
              <w:rPr>
                <w:rFonts w:hint="eastAsia" w:eastAsia="仿宋_GB2312" w:cs="仿宋_GB2312"/>
                <w:color w:val="auto"/>
                <w:sz w:val="30"/>
                <w:szCs w:val="30"/>
                <w:highlight w:val="none"/>
              </w:rPr>
              <w:t>计划进场时间</w:t>
            </w:r>
          </w:p>
        </w:tc>
      </w:tr>
      <w:tr w14:paraId="01829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2A60A765">
            <w:pPr>
              <w:pStyle w:val="2"/>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一、总部人员</w:t>
            </w:r>
          </w:p>
        </w:tc>
      </w:tr>
      <w:tr w14:paraId="2B413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113B4D9">
            <w:pPr>
              <w:pStyle w:val="2"/>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项目主管</w:t>
            </w:r>
          </w:p>
        </w:tc>
        <w:tc>
          <w:tcPr>
            <w:tcW w:w="1418" w:type="dxa"/>
            <w:noWrap w:val="0"/>
            <w:vAlign w:val="center"/>
          </w:tcPr>
          <w:p w14:paraId="127A4941">
            <w:pPr>
              <w:pStyle w:val="2"/>
              <w:keepNext/>
              <w:spacing w:after="0" w:line="440" w:lineRule="exact"/>
              <w:ind w:left="63" w:right="63"/>
              <w:rPr>
                <w:rFonts w:eastAsia="仿宋_GB2312"/>
                <w:color w:val="auto"/>
                <w:sz w:val="28"/>
                <w:szCs w:val="28"/>
                <w:highlight w:val="none"/>
              </w:rPr>
            </w:pPr>
          </w:p>
        </w:tc>
        <w:tc>
          <w:tcPr>
            <w:tcW w:w="1134" w:type="dxa"/>
            <w:noWrap w:val="0"/>
            <w:vAlign w:val="center"/>
          </w:tcPr>
          <w:p w14:paraId="647A4E56">
            <w:pPr>
              <w:pStyle w:val="2"/>
              <w:keepNext/>
              <w:spacing w:after="0" w:line="440" w:lineRule="exact"/>
              <w:ind w:left="63" w:right="63"/>
              <w:rPr>
                <w:rFonts w:eastAsia="仿宋_GB2312"/>
                <w:color w:val="auto"/>
                <w:sz w:val="30"/>
                <w:szCs w:val="30"/>
                <w:highlight w:val="none"/>
              </w:rPr>
            </w:pPr>
          </w:p>
        </w:tc>
        <w:tc>
          <w:tcPr>
            <w:tcW w:w="1134" w:type="dxa"/>
            <w:noWrap w:val="0"/>
            <w:vAlign w:val="center"/>
          </w:tcPr>
          <w:p w14:paraId="4B8233BF">
            <w:pPr>
              <w:pStyle w:val="2"/>
              <w:keepNext/>
              <w:spacing w:after="0" w:line="440" w:lineRule="exact"/>
              <w:ind w:left="63" w:right="63"/>
              <w:rPr>
                <w:rFonts w:eastAsia="仿宋_GB2312"/>
                <w:color w:val="auto"/>
                <w:sz w:val="30"/>
                <w:szCs w:val="30"/>
                <w:highlight w:val="none"/>
              </w:rPr>
            </w:pPr>
          </w:p>
        </w:tc>
        <w:tc>
          <w:tcPr>
            <w:tcW w:w="4252" w:type="dxa"/>
            <w:noWrap w:val="0"/>
            <w:vAlign w:val="center"/>
          </w:tcPr>
          <w:p w14:paraId="15CC90E9">
            <w:pPr>
              <w:pStyle w:val="2"/>
              <w:keepNext/>
              <w:spacing w:after="0" w:line="440" w:lineRule="exact"/>
              <w:ind w:left="63" w:right="63"/>
              <w:rPr>
                <w:rFonts w:eastAsia="仿宋_GB2312"/>
                <w:color w:val="auto"/>
                <w:sz w:val="30"/>
                <w:szCs w:val="30"/>
                <w:highlight w:val="none"/>
              </w:rPr>
            </w:pPr>
          </w:p>
        </w:tc>
      </w:tr>
      <w:tr w14:paraId="19A2A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1591D14A">
            <w:pPr>
              <w:pStyle w:val="2"/>
              <w:keepNext/>
              <w:spacing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14:paraId="3A1E6C0C">
            <w:pPr>
              <w:pStyle w:val="2"/>
              <w:keepNext/>
              <w:spacing w:after="0" w:line="440" w:lineRule="exact"/>
              <w:ind w:left="63" w:right="63"/>
              <w:rPr>
                <w:rFonts w:eastAsia="仿宋_GB2312"/>
                <w:color w:val="auto"/>
                <w:sz w:val="28"/>
                <w:szCs w:val="28"/>
                <w:highlight w:val="none"/>
              </w:rPr>
            </w:pPr>
          </w:p>
        </w:tc>
        <w:tc>
          <w:tcPr>
            <w:tcW w:w="1134" w:type="dxa"/>
            <w:noWrap w:val="0"/>
            <w:vAlign w:val="center"/>
          </w:tcPr>
          <w:p w14:paraId="2D5A9C71">
            <w:pPr>
              <w:pStyle w:val="2"/>
              <w:keepNext/>
              <w:spacing w:after="0" w:line="440" w:lineRule="exact"/>
              <w:ind w:left="63" w:right="63"/>
              <w:rPr>
                <w:rFonts w:eastAsia="仿宋_GB2312"/>
                <w:color w:val="auto"/>
                <w:sz w:val="30"/>
                <w:szCs w:val="30"/>
                <w:highlight w:val="none"/>
              </w:rPr>
            </w:pPr>
          </w:p>
        </w:tc>
        <w:tc>
          <w:tcPr>
            <w:tcW w:w="1134" w:type="dxa"/>
            <w:noWrap w:val="0"/>
            <w:vAlign w:val="center"/>
          </w:tcPr>
          <w:p w14:paraId="66070DF5">
            <w:pPr>
              <w:pStyle w:val="2"/>
              <w:keepNext/>
              <w:spacing w:after="0" w:line="440" w:lineRule="exact"/>
              <w:ind w:left="63" w:right="63"/>
              <w:rPr>
                <w:rFonts w:eastAsia="仿宋_GB2312"/>
                <w:color w:val="auto"/>
                <w:sz w:val="30"/>
                <w:szCs w:val="30"/>
                <w:highlight w:val="none"/>
              </w:rPr>
            </w:pPr>
          </w:p>
        </w:tc>
        <w:tc>
          <w:tcPr>
            <w:tcW w:w="4252" w:type="dxa"/>
            <w:noWrap w:val="0"/>
            <w:vAlign w:val="center"/>
          </w:tcPr>
          <w:p w14:paraId="28B480E9">
            <w:pPr>
              <w:pStyle w:val="2"/>
              <w:keepNext/>
              <w:spacing w:after="0" w:line="440" w:lineRule="exact"/>
              <w:ind w:left="63" w:right="63"/>
              <w:rPr>
                <w:rFonts w:eastAsia="仿宋_GB2312"/>
                <w:color w:val="auto"/>
                <w:sz w:val="30"/>
                <w:szCs w:val="30"/>
                <w:highlight w:val="none"/>
              </w:rPr>
            </w:pPr>
          </w:p>
        </w:tc>
      </w:tr>
      <w:tr w14:paraId="31D1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2427C2A">
            <w:pPr>
              <w:pStyle w:val="2"/>
              <w:keepNext/>
              <w:spacing w:after="0" w:line="440" w:lineRule="exact"/>
              <w:ind w:left="63" w:right="63"/>
              <w:rPr>
                <w:rFonts w:eastAsia="仿宋_GB2312"/>
                <w:color w:val="auto"/>
                <w:sz w:val="28"/>
                <w:szCs w:val="28"/>
                <w:highlight w:val="none"/>
              </w:rPr>
            </w:pPr>
          </w:p>
        </w:tc>
        <w:tc>
          <w:tcPr>
            <w:tcW w:w="1418" w:type="dxa"/>
            <w:noWrap w:val="0"/>
            <w:vAlign w:val="center"/>
          </w:tcPr>
          <w:p w14:paraId="59211934">
            <w:pPr>
              <w:pStyle w:val="2"/>
              <w:keepNext/>
              <w:spacing w:after="0" w:line="440" w:lineRule="exact"/>
              <w:ind w:left="63" w:right="63"/>
              <w:rPr>
                <w:rFonts w:eastAsia="仿宋_GB2312"/>
                <w:color w:val="auto"/>
                <w:sz w:val="28"/>
                <w:szCs w:val="28"/>
                <w:highlight w:val="none"/>
              </w:rPr>
            </w:pPr>
          </w:p>
        </w:tc>
        <w:tc>
          <w:tcPr>
            <w:tcW w:w="1134" w:type="dxa"/>
            <w:noWrap w:val="0"/>
            <w:vAlign w:val="center"/>
          </w:tcPr>
          <w:p w14:paraId="35609FBA">
            <w:pPr>
              <w:pStyle w:val="2"/>
              <w:keepNext/>
              <w:spacing w:after="0" w:line="440" w:lineRule="exact"/>
              <w:ind w:left="63" w:right="63"/>
              <w:rPr>
                <w:rFonts w:eastAsia="仿宋_GB2312"/>
                <w:color w:val="auto"/>
                <w:sz w:val="30"/>
                <w:szCs w:val="30"/>
                <w:highlight w:val="none"/>
              </w:rPr>
            </w:pPr>
          </w:p>
        </w:tc>
        <w:tc>
          <w:tcPr>
            <w:tcW w:w="1134" w:type="dxa"/>
            <w:noWrap w:val="0"/>
            <w:vAlign w:val="center"/>
          </w:tcPr>
          <w:p w14:paraId="7200733D">
            <w:pPr>
              <w:pStyle w:val="2"/>
              <w:keepNext/>
              <w:spacing w:after="0" w:line="440" w:lineRule="exact"/>
              <w:ind w:left="63" w:right="63"/>
              <w:rPr>
                <w:rFonts w:eastAsia="仿宋_GB2312"/>
                <w:color w:val="auto"/>
                <w:sz w:val="30"/>
                <w:szCs w:val="30"/>
                <w:highlight w:val="none"/>
              </w:rPr>
            </w:pPr>
          </w:p>
        </w:tc>
        <w:tc>
          <w:tcPr>
            <w:tcW w:w="4252" w:type="dxa"/>
            <w:noWrap w:val="0"/>
            <w:vAlign w:val="center"/>
          </w:tcPr>
          <w:p w14:paraId="40D377ED">
            <w:pPr>
              <w:pStyle w:val="2"/>
              <w:keepNext/>
              <w:spacing w:after="0" w:line="440" w:lineRule="exact"/>
              <w:ind w:left="63" w:right="63"/>
              <w:rPr>
                <w:rFonts w:eastAsia="仿宋_GB2312"/>
                <w:color w:val="auto"/>
                <w:sz w:val="30"/>
                <w:szCs w:val="30"/>
                <w:highlight w:val="none"/>
              </w:rPr>
            </w:pPr>
          </w:p>
        </w:tc>
      </w:tr>
      <w:tr w14:paraId="34CD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3177AF8">
            <w:pPr>
              <w:pStyle w:val="2"/>
              <w:keepNext/>
              <w:spacing w:after="0" w:line="440" w:lineRule="exact"/>
              <w:ind w:left="63" w:right="63"/>
              <w:rPr>
                <w:rFonts w:eastAsia="仿宋_GB2312"/>
                <w:color w:val="auto"/>
                <w:sz w:val="28"/>
                <w:szCs w:val="28"/>
                <w:highlight w:val="none"/>
              </w:rPr>
            </w:pPr>
          </w:p>
        </w:tc>
        <w:tc>
          <w:tcPr>
            <w:tcW w:w="1418" w:type="dxa"/>
            <w:noWrap w:val="0"/>
            <w:vAlign w:val="center"/>
          </w:tcPr>
          <w:p w14:paraId="35A6DB45">
            <w:pPr>
              <w:pStyle w:val="2"/>
              <w:keepNext/>
              <w:spacing w:after="0" w:line="440" w:lineRule="exact"/>
              <w:ind w:left="63" w:right="63"/>
              <w:rPr>
                <w:rFonts w:eastAsia="仿宋_GB2312"/>
                <w:color w:val="auto"/>
                <w:sz w:val="28"/>
                <w:szCs w:val="28"/>
                <w:highlight w:val="none"/>
              </w:rPr>
            </w:pPr>
          </w:p>
        </w:tc>
        <w:tc>
          <w:tcPr>
            <w:tcW w:w="1134" w:type="dxa"/>
            <w:noWrap w:val="0"/>
            <w:vAlign w:val="center"/>
          </w:tcPr>
          <w:p w14:paraId="55019F48">
            <w:pPr>
              <w:pStyle w:val="2"/>
              <w:keepNext/>
              <w:spacing w:after="0" w:line="440" w:lineRule="exact"/>
              <w:ind w:left="63" w:right="63"/>
              <w:rPr>
                <w:rFonts w:eastAsia="仿宋_GB2312"/>
                <w:color w:val="auto"/>
                <w:sz w:val="30"/>
                <w:szCs w:val="30"/>
                <w:highlight w:val="none"/>
              </w:rPr>
            </w:pPr>
          </w:p>
        </w:tc>
        <w:tc>
          <w:tcPr>
            <w:tcW w:w="1134" w:type="dxa"/>
            <w:noWrap w:val="0"/>
            <w:vAlign w:val="center"/>
          </w:tcPr>
          <w:p w14:paraId="7DDF0E35">
            <w:pPr>
              <w:pStyle w:val="2"/>
              <w:keepNext/>
              <w:spacing w:after="0" w:line="440" w:lineRule="exact"/>
              <w:ind w:left="63" w:right="63"/>
              <w:rPr>
                <w:rFonts w:eastAsia="仿宋_GB2312"/>
                <w:color w:val="auto"/>
                <w:sz w:val="30"/>
                <w:szCs w:val="30"/>
                <w:highlight w:val="none"/>
              </w:rPr>
            </w:pPr>
          </w:p>
        </w:tc>
        <w:tc>
          <w:tcPr>
            <w:tcW w:w="4252" w:type="dxa"/>
            <w:noWrap w:val="0"/>
            <w:vAlign w:val="center"/>
          </w:tcPr>
          <w:p w14:paraId="53A467FF">
            <w:pPr>
              <w:pStyle w:val="2"/>
              <w:keepNext/>
              <w:spacing w:after="0" w:line="440" w:lineRule="exact"/>
              <w:ind w:left="63" w:right="63"/>
              <w:rPr>
                <w:rFonts w:eastAsia="仿宋_GB2312"/>
                <w:color w:val="auto"/>
                <w:sz w:val="30"/>
                <w:szCs w:val="30"/>
                <w:highlight w:val="none"/>
              </w:rPr>
            </w:pPr>
          </w:p>
        </w:tc>
      </w:tr>
      <w:tr w14:paraId="6708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59E17C64">
            <w:pPr>
              <w:pStyle w:val="2"/>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二、现场人员</w:t>
            </w:r>
          </w:p>
        </w:tc>
      </w:tr>
      <w:tr w14:paraId="72158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32241BC">
            <w:pPr>
              <w:pStyle w:val="2"/>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项目经理</w:t>
            </w:r>
          </w:p>
        </w:tc>
        <w:tc>
          <w:tcPr>
            <w:tcW w:w="1418" w:type="dxa"/>
            <w:noWrap w:val="0"/>
            <w:vAlign w:val="center"/>
          </w:tcPr>
          <w:p w14:paraId="239E7D51">
            <w:pPr>
              <w:pStyle w:val="2"/>
              <w:keepNext/>
              <w:spacing w:after="0" w:line="440" w:lineRule="exact"/>
              <w:ind w:left="63" w:right="63"/>
              <w:rPr>
                <w:rFonts w:eastAsia="仿宋_GB2312"/>
                <w:color w:val="auto"/>
                <w:sz w:val="28"/>
                <w:szCs w:val="28"/>
                <w:highlight w:val="none"/>
              </w:rPr>
            </w:pPr>
          </w:p>
        </w:tc>
        <w:tc>
          <w:tcPr>
            <w:tcW w:w="1134" w:type="dxa"/>
            <w:noWrap w:val="0"/>
            <w:vAlign w:val="center"/>
          </w:tcPr>
          <w:p w14:paraId="23162117">
            <w:pPr>
              <w:pStyle w:val="2"/>
              <w:keepNext/>
              <w:spacing w:after="0" w:line="440" w:lineRule="exact"/>
              <w:ind w:left="63" w:right="63"/>
              <w:rPr>
                <w:rFonts w:eastAsia="仿宋_GB2312"/>
                <w:color w:val="auto"/>
                <w:sz w:val="30"/>
                <w:szCs w:val="30"/>
                <w:highlight w:val="none"/>
              </w:rPr>
            </w:pPr>
          </w:p>
        </w:tc>
        <w:tc>
          <w:tcPr>
            <w:tcW w:w="1134" w:type="dxa"/>
            <w:noWrap w:val="0"/>
            <w:vAlign w:val="center"/>
          </w:tcPr>
          <w:p w14:paraId="7CFB818E">
            <w:pPr>
              <w:pStyle w:val="2"/>
              <w:keepNext/>
              <w:spacing w:after="0" w:line="440" w:lineRule="exact"/>
              <w:ind w:left="63" w:right="63"/>
              <w:rPr>
                <w:rFonts w:eastAsia="仿宋_GB2312"/>
                <w:color w:val="auto"/>
                <w:sz w:val="30"/>
                <w:szCs w:val="30"/>
                <w:highlight w:val="none"/>
              </w:rPr>
            </w:pPr>
          </w:p>
        </w:tc>
        <w:tc>
          <w:tcPr>
            <w:tcW w:w="4252" w:type="dxa"/>
            <w:noWrap w:val="0"/>
            <w:vAlign w:val="center"/>
          </w:tcPr>
          <w:p w14:paraId="64BA5B17">
            <w:pPr>
              <w:pStyle w:val="2"/>
              <w:keepNext/>
              <w:spacing w:after="0" w:line="440" w:lineRule="exact"/>
              <w:ind w:left="63" w:right="63"/>
              <w:rPr>
                <w:rFonts w:eastAsia="仿宋_GB2312"/>
                <w:color w:val="auto"/>
                <w:sz w:val="30"/>
                <w:szCs w:val="30"/>
                <w:highlight w:val="none"/>
              </w:rPr>
            </w:pPr>
          </w:p>
        </w:tc>
      </w:tr>
      <w:tr w14:paraId="4934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C9792BD">
            <w:pPr>
              <w:pStyle w:val="2"/>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项目副经理</w:t>
            </w:r>
          </w:p>
        </w:tc>
        <w:tc>
          <w:tcPr>
            <w:tcW w:w="1418" w:type="dxa"/>
            <w:noWrap w:val="0"/>
            <w:vAlign w:val="center"/>
          </w:tcPr>
          <w:p w14:paraId="17236CB7">
            <w:pPr>
              <w:pStyle w:val="2"/>
              <w:keepNext/>
              <w:spacing w:after="0" w:line="440" w:lineRule="exact"/>
              <w:ind w:left="63" w:right="63"/>
              <w:rPr>
                <w:rFonts w:eastAsia="仿宋_GB2312"/>
                <w:color w:val="auto"/>
                <w:sz w:val="28"/>
                <w:szCs w:val="28"/>
                <w:highlight w:val="none"/>
              </w:rPr>
            </w:pPr>
          </w:p>
        </w:tc>
        <w:tc>
          <w:tcPr>
            <w:tcW w:w="1134" w:type="dxa"/>
            <w:noWrap w:val="0"/>
            <w:vAlign w:val="center"/>
          </w:tcPr>
          <w:p w14:paraId="6F780D3C">
            <w:pPr>
              <w:pStyle w:val="2"/>
              <w:keepNext/>
              <w:spacing w:after="0" w:line="440" w:lineRule="exact"/>
              <w:ind w:left="63" w:right="63"/>
              <w:rPr>
                <w:rFonts w:eastAsia="仿宋_GB2312"/>
                <w:color w:val="auto"/>
                <w:sz w:val="30"/>
                <w:szCs w:val="30"/>
                <w:highlight w:val="none"/>
              </w:rPr>
            </w:pPr>
          </w:p>
        </w:tc>
        <w:tc>
          <w:tcPr>
            <w:tcW w:w="1134" w:type="dxa"/>
            <w:noWrap w:val="0"/>
            <w:vAlign w:val="center"/>
          </w:tcPr>
          <w:p w14:paraId="7BC168C4">
            <w:pPr>
              <w:pStyle w:val="2"/>
              <w:keepNext/>
              <w:spacing w:after="0" w:line="440" w:lineRule="exact"/>
              <w:ind w:left="63" w:right="63"/>
              <w:rPr>
                <w:rFonts w:eastAsia="仿宋_GB2312"/>
                <w:color w:val="auto"/>
                <w:sz w:val="30"/>
                <w:szCs w:val="30"/>
                <w:highlight w:val="none"/>
              </w:rPr>
            </w:pPr>
          </w:p>
        </w:tc>
        <w:tc>
          <w:tcPr>
            <w:tcW w:w="4252" w:type="dxa"/>
            <w:noWrap w:val="0"/>
            <w:vAlign w:val="center"/>
          </w:tcPr>
          <w:p w14:paraId="7FD6BE7B">
            <w:pPr>
              <w:pStyle w:val="2"/>
              <w:keepNext/>
              <w:spacing w:after="0" w:line="440" w:lineRule="exact"/>
              <w:ind w:left="63" w:right="63"/>
              <w:rPr>
                <w:rFonts w:eastAsia="仿宋_GB2312"/>
                <w:color w:val="auto"/>
                <w:sz w:val="30"/>
                <w:szCs w:val="30"/>
                <w:highlight w:val="none"/>
              </w:rPr>
            </w:pPr>
          </w:p>
        </w:tc>
      </w:tr>
      <w:tr w14:paraId="3EBF2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B655A8E">
            <w:pPr>
              <w:pStyle w:val="2"/>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技术负责人</w:t>
            </w:r>
          </w:p>
        </w:tc>
        <w:tc>
          <w:tcPr>
            <w:tcW w:w="1418" w:type="dxa"/>
            <w:noWrap w:val="0"/>
            <w:vAlign w:val="center"/>
          </w:tcPr>
          <w:p w14:paraId="426D0AD0">
            <w:pPr>
              <w:pStyle w:val="2"/>
              <w:keepNext/>
              <w:spacing w:after="0" w:line="440" w:lineRule="exact"/>
              <w:ind w:left="63" w:right="63"/>
              <w:rPr>
                <w:rFonts w:eastAsia="仿宋_GB2312"/>
                <w:color w:val="auto"/>
                <w:sz w:val="28"/>
                <w:szCs w:val="28"/>
                <w:highlight w:val="none"/>
              </w:rPr>
            </w:pPr>
          </w:p>
        </w:tc>
        <w:tc>
          <w:tcPr>
            <w:tcW w:w="1134" w:type="dxa"/>
            <w:noWrap w:val="0"/>
            <w:vAlign w:val="center"/>
          </w:tcPr>
          <w:p w14:paraId="0A35189C">
            <w:pPr>
              <w:pStyle w:val="2"/>
              <w:keepNext/>
              <w:spacing w:after="0" w:line="440" w:lineRule="exact"/>
              <w:ind w:left="63" w:right="63"/>
              <w:rPr>
                <w:rFonts w:eastAsia="仿宋_GB2312"/>
                <w:color w:val="auto"/>
                <w:sz w:val="30"/>
                <w:szCs w:val="30"/>
                <w:highlight w:val="none"/>
              </w:rPr>
            </w:pPr>
          </w:p>
        </w:tc>
        <w:tc>
          <w:tcPr>
            <w:tcW w:w="1134" w:type="dxa"/>
            <w:noWrap w:val="0"/>
            <w:vAlign w:val="center"/>
          </w:tcPr>
          <w:p w14:paraId="442379F3">
            <w:pPr>
              <w:pStyle w:val="2"/>
              <w:keepNext/>
              <w:spacing w:after="0" w:line="440" w:lineRule="exact"/>
              <w:ind w:left="63" w:right="63"/>
              <w:rPr>
                <w:rFonts w:eastAsia="仿宋_GB2312"/>
                <w:color w:val="auto"/>
                <w:sz w:val="30"/>
                <w:szCs w:val="30"/>
                <w:highlight w:val="none"/>
              </w:rPr>
            </w:pPr>
          </w:p>
        </w:tc>
        <w:tc>
          <w:tcPr>
            <w:tcW w:w="4252" w:type="dxa"/>
            <w:noWrap w:val="0"/>
            <w:vAlign w:val="center"/>
          </w:tcPr>
          <w:p w14:paraId="0AD16EED">
            <w:pPr>
              <w:pStyle w:val="2"/>
              <w:keepNext/>
              <w:spacing w:after="0" w:line="440" w:lineRule="exact"/>
              <w:ind w:left="63" w:right="63"/>
              <w:rPr>
                <w:rFonts w:eastAsia="仿宋_GB2312"/>
                <w:color w:val="auto"/>
                <w:sz w:val="30"/>
                <w:szCs w:val="30"/>
                <w:highlight w:val="none"/>
              </w:rPr>
            </w:pPr>
          </w:p>
        </w:tc>
      </w:tr>
      <w:tr w14:paraId="2D9B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B72E416">
            <w:pPr>
              <w:pStyle w:val="2"/>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造价管理</w:t>
            </w:r>
          </w:p>
        </w:tc>
        <w:tc>
          <w:tcPr>
            <w:tcW w:w="1418" w:type="dxa"/>
            <w:noWrap w:val="0"/>
            <w:vAlign w:val="center"/>
          </w:tcPr>
          <w:p w14:paraId="5FA371BF">
            <w:pPr>
              <w:pStyle w:val="2"/>
              <w:keepNext/>
              <w:spacing w:after="0" w:line="440" w:lineRule="exact"/>
              <w:ind w:left="63" w:right="63"/>
              <w:rPr>
                <w:rFonts w:eastAsia="仿宋_GB2312"/>
                <w:color w:val="auto"/>
                <w:sz w:val="28"/>
                <w:szCs w:val="28"/>
                <w:highlight w:val="none"/>
              </w:rPr>
            </w:pPr>
          </w:p>
        </w:tc>
        <w:tc>
          <w:tcPr>
            <w:tcW w:w="1134" w:type="dxa"/>
            <w:noWrap w:val="0"/>
            <w:vAlign w:val="center"/>
          </w:tcPr>
          <w:p w14:paraId="29DC40FB">
            <w:pPr>
              <w:pStyle w:val="2"/>
              <w:keepNext/>
              <w:spacing w:after="0" w:line="440" w:lineRule="exact"/>
              <w:ind w:left="63" w:right="63"/>
              <w:rPr>
                <w:rFonts w:eastAsia="仿宋_GB2312"/>
                <w:color w:val="auto"/>
                <w:sz w:val="30"/>
                <w:szCs w:val="30"/>
                <w:highlight w:val="none"/>
              </w:rPr>
            </w:pPr>
          </w:p>
        </w:tc>
        <w:tc>
          <w:tcPr>
            <w:tcW w:w="1134" w:type="dxa"/>
            <w:noWrap w:val="0"/>
            <w:vAlign w:val="center"/>
          </w:tcPr>
          <w:p w14:paraId="2D723741">
            <w:pPr>
              <w:pStyle w:val="2"/>
              <w:keepNext/>
              <w:spacing w:after="0" w:line="440" w:lineRule="exact"/>
              <w:ind w:left="63" w:right="63"/>
              <w:rPr>
                <w:rFonts w:eastAsia="仿宋_GB2312"/>
                <w:color w:val="auto"/>
                <w:sz w:val="30"/>
                <w:szCs w:val="30"/>
                <w:highlight w:val="none"/>
              </w:rPr>
            </w:pPr>
          </w:p>
        </w:tc>
        <w:tc>
          <w:tcPr>
            <w:tcW w:w="4252" w:type="dxa"/>
            <w:noWrap w:val="0"/>
            <w:vAlign w:val="center"/>
          </w:tcPr>
          <w:p w14:paraId="352F5242">
            <w:pPr>
              <w:pStyle w:val="2"/>
              <w:keepNext/>
              <w:spacing w:after="0" w:line="440" w:lineRule="exact"/>
              <w:ind w:left="63" w:right="63"/>
              <w:rPr>
                <w:rFonts w:eastAsia="仿宋_GB2312"/>
                <w:color w:val="auto"/>
                <w:sz w:val="30"/>
                <w:szCs w:val="30"/>
                <w:highlight w:val="none"/>
              </w:rPr>
            </w:pPr>
          </w:p>
        </w:tc>
      </w:tr>
      <w:tr w14:paraId="699A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0C61CB88">
            <w:pPr>
              <w:pStyle w:val="2"/>
              <w:keepNext/>
              <w:spacing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质量管理</w:t>
            </w:r>
          </w:p>
        </w:tc>
        <w:tc>
          <w:tcPr>
            <w:tcW w:w="1418" w:type="dxa"/>
            <w:noWrap w:val="0"/>
            <w:vAlign w:val="center"/>
          </w:tcPr>
          <w:p w14:paraId="4899E18D">
            <w:pPr>
              <w:pStyle w:val="2"/>
              <w:keepNext/>
              <w:spacing w:after="0" w:line="440" w:lineRule="exact"/>
              <w:ind w:left="63" w:right="63"/>
              <w:rPr>
                <w:rFonts w:eastAsia="仿宋_GB2312"/>
                <w:color w:val="auto"/>
                <w:sz w:val="28"/>
                <w:szCs w:val="28"/>
                <w:highlight w:val="none"/>
              </w:rPr>
            </w:pPr>
          </w:p>
        </w:tc>
        <w:tc>
          <w:tcPr>
            <w:tcW w:w="1134" w:type="dxa"/>
            <w:noWrap w:val="0"/>
            <w:vAlign w:val="center"/>
          </w:tcPr>
          <w:p w14:paraId="721A231E">
            <w:pPr>
              <w:pStyle w:val="2"/>
              <w:keepNext/>
              <w:spacing w:after="0" w:line="440" w:lineRule="exact"/>
              <w:ind w:left="63" w:right="63"/>
              <w:rPr>
                <w:rFonts w:eastAsia="仿宋_GB2312"/>
                <w:color w:val="auto"/>
                <w:sz w:val="30"/>
                <w:szCs w:val="30"/>
                <w:highlight w:val="none"/>
              </w:rPr>
            </w:pPr>
          </w:p>
        </w:tc>
        <w:tc>
          <w:tcPr>
            <w:tcW w:w="1134" w:type="dxa"/>
            <w:noWrap w:val="0"/>
            <w:vAlign w:val="center"/>
          </w:tcPr>
          <w:p w14:paraId="00F54132">
            <w:pPr>
              <w:pStyle w:val="2"/>
              <w:keepNext/>
              <w:spacing w:after="0" w:line="440" w:lineRule="exact"/>
              <w:ind w:left="63" w:right="63"/>
              <w:rPr>
                <w:rFonts w:eastAsia="仿宋_GB2312"/>
                <w:color w:val="auto"/>
                <w:sz w:val="30"/>
                <w:szCs w:val="30"/>
                <w:highlight w:val="none"/>
              </w:rPr>
            </w:pPr>
          </w:p>
        </w:tc>
        <w:tc>
          <w:tcPr>
            <w:tcW w:w="4252" w:type="dxa"/>
            <w:noWrap w:val="0"/>
            <w:vAlign w:val="center"/>
          </w:tcPr>
          <w:p w14:paraId="34736068">
            <w:pPr>
              <w:pStyle w:val="2"/>
              <w:keepNext/>
              <w:spacing w:after="0" w:line="440" w:lineRule="exact"/>
              <w:ind w:left="63" w:right="63"/>
              <w:rPr>
                <w:rFonts w:eastAsia="仿宋_GB2312"/>
                <w:color w:val="auto"/>
                <w:sz w:val="30"/>
                <w:szCs w:val="30"/>
                <w:highlight w:val="none"/>
              </w:rPr>
            </w:pPr>
          </w:p>
        </w:tc>
      </w:tr>
      <w:tr w14:paraId="62B3C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D463989">
            <w:pPr>
              <w:pStyle w:val="2"/>
              <w:keepNext/>
              <w:spacing w:line="440" w:lineRule="exact"/>
              <w:ind w:left="63" w:right="63"/>
              <w:rPr>
                <w:rFonts w:eastAsia="仿宋_GB2312"/>
                <w:color w:val="auto"/>
                <w:sz w:val="28"/>
                <w:szCs w:val="28"/>
                <w:highlight w:val="none"/>
              </w:rPr>
            </w:pPr>
          </w:p>
        </w:tc>
        <w:tc>
          <w:tcPr>
            <w:tcW w:w="1418" w:type="dxa"/>
            <w:noWrap w:val="0"/>
            <w:vAlign w:val="center"/>
          </w:tcPr>
          <w:p w14:paraId="7BF56567">
            <w:pPr>
              <w:pStyle w:val="2"/>
              <w:keepNext/>
              <w:spacing w:after="0" w:line="440" w:lineRule="exact"/>
              <w:ind w:left="63" w:right="63"/>
              <w:rPr>
                <w:rFonts w:eastAsia="仿宋_GB2312"/>
                <w:color w:val="auto"/>
                <w:sz w:val="28"/>
                <w:szCs w:val="28"/>
                <w:highlight w:val="none"/>
              </w:rPr>
            </w:pPr>
          </w:p>
        </w:tc>
        <w:tc>
          <w:tcPr>
            <w:tcW w:w="1134" w:type="dxa"/>
            <w:noWrap w:val="0"/>
            <w:vAlign w:val="center"/>
          </w:tcPr>
          <w:p w14:paraId="5C86CE1A">
            <w:pPr>
              <w:pStyle w:val="2"/>
              <w:keepNext/>
              <w:spacing w:after="0" w:line="440" w:lineRule="exact"/>
              <w:ind w:left="63" w:right="63"/>
              <w:rPr>
                <w:rFonts w:eastAsia="仿宋_GB2312"/>
                <w:color w:val="auto"/>
                <w:sz w:val="30"/>
                <w:szCs w:val="30"/>
                <w:highlight w:val="none"/>
              </w:rPr>
            </w:pPr>
          </w:p>
        </w:tc>
        <w:tc>
          <w:tcPr>
            <w:tcW w:w="1134" w:type="dxa"/>
            <w:noWrap w:val="0"/>
            <w:vAlign w:val="center"/>
          </w:tcPr>
          <w:p w14:paraId="52F5F2BB">
            <w:pPr>
              <w:pStyle w:val="2"/>
              <w:keepNext/>
              <w:spacing w:after="0" w:line="440" w:lineRule="exact"/>
              <w:ind w:left="63" w:right="63"/>
              <w:rPr>
                <w:rFonts w:eastAsia="仿宋_GB2312"/>
                <w:color w:val="auto"/>
                <w:sz w:val="30"/>
                <w:szCs w:val="30"/>
                <w:highlight w:val="none"/>
              </w:rPr>
            </w:pPr>
          </w:p>
        </w:tc>
        <w:tc>
          <w:tcPr>
            <w:tcW w:w="4252" w:type="dxa"/>
            <w:noWrap w:val="0"/>
            <w:vAlign w:val="center"/>
          </w:tcPr>
          <w:p w14:paraId="15DF55A8">
            <w:pPr>
              <w:pStyle w:val="2"/>
              <w:keepNext/>
              <w:spacing w:after="0" w:line="440" w:lineRule="exact"/>
              <w:ind w:left="63" w:right="63"/>
              <w:rPr>
                <w:rFonts w:eastAsia="仿宋_GB2312"/>
                <w:color w:val="auto"/>
                <w:sz w:val="30"/>
                <w:szCs w:val="30"/>
                <w:highlight w:val="none"/>
              </w:rPr>
            </w:pPr>
          </w:p>
        </w:tc>
      </w:tr>
      <w:tr w14:paraId="2073A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23F0BC5">
            <w:pPr>
              <w:pStyle w:val="2"/>
              <w:keepNext/>
              <w:spacing w:after="0" w:line="440" w:lineRule="exact"/>
              <w:ind w:left="63" w:right="63"/>
              <w:rPr>
                <w:rFonts w:eastAsia="仿宋_GB2312"/>
                <w:color w:val="auto"/>
                <w:sz w:val="28"/>
                <w:szCs w:val="28"/>
                <w:highlight w:val="none"/>
              </w:rPr>
            </w:pPr>
          </w:p>
        </w:tc>
        <w:tc>
          <w:tcPr>
            <w:tcW w:w="1418" w:type="dxa"/>
            <w:noWrap w:val="0"/>
            <w:vAlign w:val="center"/>
          </w:tcPr>
          <w:p w14:paraId="4C07EEB5">
            <w:pPr>
              <w:pStyle w:val="2"/>
              <w:keepNext/>
              <w:spacing w:after="0" w:line="440" w:lineRule="exact"/>
              <w:ind w:left="63" w:right="63"/>
              <w:rPr>
                <w:rFonts w:eastAsia="仿宋_GB2312"/>
                <w:color w:val="auto"/>
                <w:sz w:val="28"/>
                <w:szCs w:val="28"/>
                <w:highlight w:val="none"/>
              </w:rPr>
            </w:pPr>
          </w:p>
        </w:tc>
        <w:tc>
          <w:tcPr>
            <w:tcW w:w="1134" w:type="dxa"/>
            <w:noWrap w:val="0"/>
            <w:vAlign w:val="center"/>
          </w:tcPr>
          <w:p w14:paraId="763F91EC">
            <w:pPr>
              <w:pStyle w:val="2"/>
              <w:keepNext/>
              <w:spacing w:after="0" w:line="440" w:lineRule="exact"/>
              <w:ind w:left="63" w:right="63"/>
              <w:rPr>
                <w:rFonts w:eastAsia="仿宋_GB2312"/>
                <w:color w:val="auto"/>
                <w:sz w:val="30"/>
                <w:szCs w:val="30"/>
                <w:highlight w:val="none"/>
              </w:rPr>
            </w:pPr>
          </w:p>
        </w:tc>
        <w:tc>
          <w:tcPr>
            <w:tcW w:w="1134" w:type="dxa"/>
            <w:noWrap w:val="0"/>
            <w:vAlign w:val="center"/>
          </w:tcPr>
          <w:p w14:paraId="5BC3465F">
            <w:pPr>
              <w:pStyle w:val="2"/>
              <w:keepNext/>
              <w:spacing w:after="0" w:line="440" w:lineRule="exact"/>
              <w:ind w:left="63" w:right="63"/>
              <w:rPr>
                <w:rFonts w:eastAsia="仿宋_GB2312"/>
                <w:color w:val="auto"/>
                <w:sz w:val="30"/>
                <w:szCs w:val="30"/>
                <w:highlight w:val="none"/>
              </w:rPr>
            </w:pPr>
          </w:p>
        </w:tc>
        <w:tc>
          <w:tcPr>
            <w:tcW w:w="4252" w:type="dxa"/>
            <w:noWrap w:val="0"/>
            <w:vAlign w:val="center"/>
          </w:tcPr>
          <w:p w14:paraId="2A0C5D31">
            <w:pPr>
              <w:pStyle w:val="2"/>
              <w:keepNext/>
              <w:spacing w:after="0" w:line="440" w:lineRule="exact"/>
              <w:ind w:left="63" w:right="63"/>
              <w:rPr>
                <w:rFonts w:eastAsia="仿宋_GB2312"/>
                <w:color w:val="auto"/>
                <w:sz w:val="30"/>
                <w:szCs w:val="30"/>
                <w:highlight w:val="none"/>
              </w:rPr>
            </w:pPr>
          </w:p>
        </w:tc>
      </w:tr>
      <w:tr w14:paraId="14924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B126772">
            <w:pPr>
              <w:pStyle w:val="2"/>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材料管理</w:t>
            </w:r>
          </w:p>
        </w:tc>
        <w:tc>
          <w:tcPr>
            <w:tcW w:w="1418" w:type="dxa"/>
            <w:noWrap w:val="0"/>
            <w:vAlign w:val="center"/>
          </w:tcPr>
          <w:p w14:paraId="222B3F1E">
            <w:pPr>
              <w:pStyle w:val="2"/>
              <w:keepNext/>
              <w:spacing w:after="0" w:line="440" w:lineRule="exact"/>
              <w:ind w:left="63" w:right="63"/>
              <w:rPr>
                <w:rFonts w:eastAsia="仿宋_GB2312"/>
                <w:color w:val="auto"/>
                <w:sz w:val="28"/>
                <w:szCs w:val="28"/>
                <w:highlight w:val="none"/>
              </w:rPr>
            </w:pPr>
          </w:p>
        </w:tc>
        <w:tc>
          <w:tcPr>
            <w:tcW w:w="1134" w:type="dxa"/>
            <w:noWrap w:val="0"/>
            <w:vAlign w:val="center"/>
          </w:tcPr>
          <w:p w14:paraId="4604C158">
            <w:pPr>
              <w:pStyle w:val="2"/>
              <w:keepNext/>
              <w:spacing w:after="0" w:line="440" w:lineRule="exact"/>
              <w:ind w:left="63" w:right="63"/>
              <w:rPr>
                <w:rFonts w:eastAsia="仿宋_GB2312"/>
                <w:color w:val="auto"/>
                <w:sz w:val="30"/>
                <w:szCs w:val="30"/>
                <w:highlight w:val="none"/>
              </w:rPr>
            </w:pPr>
          </w:p>
        </w:tc>
        <w:tc>
          <w:tcPr>
            <w:tcW w:w="1134" w:type="dxa"/>
            <w:noWrap w:val="0"/>
            <w:vAlign w:val="center"/>
          </w:tcPr>
          <w:p w14:paraId="1AABECC2">
            <w:pPr>
              <w:pStyle w:val="2"/>
              <w:keepNext/>
              <w:spacing w:after="0" w:line="440" w:lineRule="exact"/>
              <w:ind w:left="63" w:right="63"/>
              <w:rPr>
                <w:rFonts w:eastAsia="仿宋_GB2312"/>
                <w:color w:val="auto"/>
                <w:sz w:val="30"/>
                <w:szCs w:val="30"/>
                <w:highlight w:val="none"/>
              </w:rPr>
            </w:pPr>
          </w:p>
        </w:tc>
        <w:tc>
          <w:tcPr>
            <w:tcW w:w="4252" w:type="dxa"/>
            <w:noWrap w:val="0"/>
            <w:vAlign w:val="center"/>
          </w:tcPr>
          <w:p w14:paraId="61DCD086">
            <w:pPr>
              <w:pStyle w:val="2"/>
              <w:keepNext/>
              <w:spacing w:after="0" w:line="440" w:lineRule="exact"/>
              <w:ind w:left="63" w:right="63"/>
              <w:rPr>
                <w:rFonts w:eastAsia="仿宋_GB2312"/>
                <w:color w:val="auto"/>
                <w:sz w:val="30"/>
                <w:szCs w:val="30"/>
                <w:highlight w:val="none"/>
              </w:rPr>
            </w:pPr>
          </w:p>
        </w:tc>
      </w:tr>
      <w:tr w14:paraId="1CEC1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F3EE9B8">
            <w:pPr>
              <w:pStyle w:val="2"/>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计划管理</w:t>
            </w:r>
          </w:p>
        </w:tc>
        <w:tc>
          <w:tcPr>
            <w:tcW w:w="1418" w:type="dxa"/>
            <w:noWrap w:val="0"/>
            <w:vAlign w:val="center"/>
          </w:tcPr>
          <w:p w14:paraId="5E41BDD2">
            <w:pPr>
              <w:pStyle w:val="2"/>
              <w:keepNext/>
              <w:spacing w:after="0" w:line="440" w:lineRule="exact"/>
              <w:ind w:left="63" w:right="63"/>
              <w:rPr>
                <w:rFonts w:eastAsia="仿宋_GB2312"/>
                <w:color w:val="auto"/>
                <w:sz w:val="28"/>
                <w:szCs w:val="28"/>
                <w:highlight w:val="none"/>
              </w:rPr>
            </w:pPr>
          </w:p>
        </w:tc>
        <w:tc>
          <w:tcPr>
            <w:tcW w:w="1134" w:type="dxa"/>
            <w:noWrap w:val="0"/>
            <w:vAlign w:val="center"/>
          </w:tcPr>
          <w:p w14:paraId="61FB2D53">
            <w:pPr>
              <w:pStyle w:val="2"/>
              <w:keepNext/>
              <w:spacing w:after="0" w:line="440" w:lineRule="exact"/>
              <w:ind w:left="63" w:right="63"/>
              <w:rPr>
                <w:rFonts w:eastAsia="仿宋_GB2312"/>
                <w:color w:val="auto"/>
                <w:sz w:val="30"/>
                <w:szCs w:val="30"/>
                <w:highlight w:val="none"/>
              </w:rPr>
            </w:pPr>
          </w:p>
        </w:tc>
        <w:tc>
          <w:tcPr>
            <w:tcW w:w="1134" w:type="dxa"/>
            <w:noWrap w:val="0"/>
            <w:vAlign w:val="center"/>
          </w:tcPr>
          <w:p w14:paraId="0687F9F1">
            <w:pPr>
              <w:pStyle w:val="2"/>
              <w:keepNext/>
              <w:spacing w:after="0" w:line="440" w:lineRule="exact"/>
              <w:ind w:left="63" w:right="63"/>
              <w:rPr>
                <w:rFonts w:eastAsia="仿宋_GB2312"/>
                <w:color w:val="auto"/>
                <w:sz w:val="30"/>
                <w:szCs w:val="30"/>
                <w:highlight w:val="none"/>
              </w:rPr>
            </w:pPr>
          </w:p>
        </w:tc>
        <w:tc>
          <w:tcPr>
            <w:tcW w:w="4252" w:type="dxa"/>
            <w:noWrap w:val="0"/>
            <w:vAlign w:val="center"/>
          </w:tcPr>
          <w:p w14:paraId="3AD243F5">
            <w:pPr>
              <w:pStyle w:val="2"/>
              <w:keepNext/>
              <w:spacing w:after="0" w:line="440" w:lineRule="exact"/>
              <w:ind w:left="63" w:right="63"/>
              <w:rPr>
                <w:rFonts w:eastAsia="仿宋_GB2312"/>
                <w:color w:val="auto"/>
                <w:sz w:val="30"/>
                <w:szCs w:val="30"/>
                <w:highlight w:val="none"/>
              </w:rPr>
            </w:pPr>
          </w:p>
        </w:tc>
      </w:tr>
      <w:tr w14:paraId="540F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46C2BCBF">
            <w:pPr>
              <w:pStyle w:val="2"/>
              <w:keepNext/>
              <w:spacing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安全管理</w:t>
            </w:r>
          </w:p>
        </w:tc>
        <w:tc>
          <w:tcPr>
            <w:tcW w:w="1418" w:type="dxa"/>
            <w:noWrap w:val="0"/>
            <w:vAlign w:val="center"/>
          </w:tcPr>
          <w:p w14:paraId="78349722">
            <w:pPr>
              <w:pStyle w:val="2"/>
              <w:keepNext/>
              <w:spacing w:after="0" w:line="440" w:lineRule="exact"/>
              <w:ind w:left="63" w:right="63"/>
              <w:rPr>
                <w:rFonts w:eastAsia="仿宋_GB2312"/>
                <w:color w:val="auto"/>
                <w:sz w:val="28"/>
                <w:szCs w:val="28"/>
                <w:highlight w:val="none"/>
              </w:rPr>
            </w:pPr>
          </w:p>
        </w:tc>
        <w:tc>
          <w:tcPr>
            <w:tcW w:w="1134" w:type="dxa"/>
            <w:noWrap w:val="0"/>
            <w:vAlign w:val="center"/>
          </w:tcPr>
          <w:p w14:paraId="1DD6C2B2">
            <w:pPr>
              <w:pStyle w:val="2"/>
              <w:keepNext/>
              <w:spacing w:after="0" w:line="440" w:lineRule="exact"/>
              <w:ind w:left="63" w:right="63"/>
              <w:rPr>
                <w:rFonts w:eastAsia="仿宋_GB2312"/>
                <w:color w:val="auto"/>
                <w:sz w:val="30"/>
                <w:szCs w:val="30"/>
                <w:highlight w:val="none"/>
              </w:rPr>
            </w:pPr>
          </w:p>
        </w:tc>
        <w:tc>
          <w:tcPr>
            <w:tcW w:w="1134" w:type="dxa"/>
            <w:noWrap w:val="0"/>
            <w:vAlign w:val="center"/>
          </w:tcPr>
          <w:p w14:paraId="5CB0E9F8">
            <w:pPr>
              <w:pStyle w:val="2"/>
              <w:keepNext/>
              <w:spacing w:after="0" w:line="440" w:lineRule="exact"/>
              <w:ind w:left="63" w:right="63"/>
              <w:rPr>
                <w:rFonts w:eastAsia="仿宋_GB2312"/>
                <w:color w:val="auto"/>
                <w:sz w:val="30"/>
                <w:szCs w:val="30"/>
                <w:highlight w:val="none"/>
              </w:rPr>
            </w:pPr>
          </w:p>
        </w:tc>
        <w:tc>
          <w:tcPr>
            <w:tcW w:w="4252" w:type="dxa"/>
            <w:noWrap w:val="0"/>
            <w:vAlign w:val="center"/>
          </w:tcPr>
          <w:p w14:paraId="12BD2D96">
            <w:pPr>
              <w:pStyle w:val="2"/>
              <w:keepNext/>
              <w:spacing w:after="0" w:line="440" w:lineRule="exact"/>
              <w:ind w:left="63" w:right="63"/>
              <w:rPr>
                <w:rFonts w:eastAsia="仿宋_GB2312"/>
                <w:color w:val="auto"/>
                <w:sz w:val="30"/>
                <w:szCs w:val="30"/>
                <w:highlight w:val="none"/>
              </w:rPr>
            </w:pPr>
          </w:p>
        </w:tc>
      </w:tr>
      <w:tr w14:paraId="28EA5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CA76E25">
            <w:pPr>
              <w:pStyle w:val="2"/>
              <w:keepNext/>
              <w:spacing w:line="440" w:lineRule="exact"/>
              <w:ind w:left="63" w:right="63"/>
              <w:rPr>
                <w:rFonts w:eastAsia="仿宋_GB2312"/>
                <w:color w:val="auto"/>
                <w:sz w:val="28"/>
                <w:szCs w:val="28"/>
                <w:highlight w:val="none"/>
              </w:rPr>
            </w:pPr>
          </w:p>
        </w:tc>
        <w:tc>
          <w:tcPr>
            <w:tcW w:w="1418" w:type="dxa"/>
            <w:noWrap w:val="0"/>
            <w:vAlign w:val="center"/>
          </w:tcPr>
          <w:p w14:paraId="14B2591B">
            <w:pPr>
              <w:pStyle w:val="2"/>
              <w:keepNext/>
              <w:spacing w:after="0" w:line="440" w:lineRule="exact"/>
              <w:ind w:left="63" w:right="63"/>
              <w:rPr>
                <w:rFonts w:eastAsia="仿宋_GB2312"/>
                <w:color w:val="auto"/>
                <w:sz w:val="28"/>
                <w:szCs w:val="28"/>
                <w:highlight w:val="none"/>
              </w:rPr>
            </w:pPr>
          </w:p>
        </w:tc>
        <w:tc>
          <w:tcPr>
            <w:tcW w:w="1134" w:type="dxa"/>
            <w:noWrap w:val="0"/>
            <w:vAlign w:val="center"/>
          </w:tcPr>
          <w:p w14:paraId="0881A26E">
            <w:pPr>
              <w:pStyle w:val="2"/>
              <w:keepNext/>
              <w:spacing w:after="0" w:line="440" w:lineRule="exact"/>
              <w:ind w:left="63" w:right="63"/>
              <w:rPr>
                <w:rFonts w:eastAsia="仿宋_GB2312"/>
                <w:color w:val="auto"/>
                <w:sz w:val="30"/>
                <w:szCs w:val="30"/>
                <w:highlight w:val="none"/>
              </w:rPr>
            </w:pPr>
          </w:p>
        </w:tc>
        <w:tc>
          <w:tcPr>
            <w:tcW w:w="1134" w:type="dxa"/>
            <w:noWrap w:val="0"/>
            <w:vAlign w:val="center"/>
          </w:tcPr>
          <w:p w14:paraId="0A0B0457">
            <w:pPr>
              <w:pStyle w:val="2"/>
              <w:keepNext/>
              <w:spacing w:after="0" w:line="440" w:lineRule="exact"/>
              <w:ind w:left="63" w:right="63"/>
              <w:rPr>
                <w:rFonts w:eastAsia="仿宋_GB2312"/>
                <w:color w:val="auto"/>
                <w:sz w:val="30"/>
                <w:szCs w:val="30"/>
                <w:highlight w:val="none"/>
              </w:rPr>
            </w:pPr>
          </w:p>
        </w:tc>
        <w:tc>
          <w:tcPr>
            <w:tcW w:w="4252" w:type="dxa"/>
            <w:noWrap w:val="0"/>
            <w:vAlign w:val="center"/>
          </w:tcPr>
          <w:p w14:paraId="4BCFE0F9">
            <w:pPr>
              <w:pStyle w:val="2"/>
              <w:keepNext/>
              <w:spacing w:after="0" w:line="440" w:lineRule="exact"/>
              <w:ind w:left="63" w:right="63"/>
              <w:rPr>
                <w:rFonts w:eastAsia="仿宋_GB2312"/>
                <w:color w:val="auto"/>
                <w:sz w:val="30"/>
                <w:szCs w:val="30"/>
                <w:highlight w:val="none"/>
              </w:rPr>
            </w:pPr>
          </w:p>
        </w:tc>
      </w:tr>
      <w:tr w14:paraId="3BB45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5788BF1">
            <w:pPr>
              <w:pStyle w:val="2"/>
              <w:keepNext/>
              <w:spacing w:after="0" w:line="440" w:lineRule="exact"/>
              <w:ind w:left="63" w:right="63"/>
              <w:rPr>
                <w:rFonts w:eastAsia="仿宋_GB2312"/>
                <w:color w:val="auto"/>
                <w:sz w:val="28"/>
                <w:szCs w:val="28"/>
                <w:highlight w:val="none"/>
              </w:rPr>
            </w:pPr>
          </w:p>
        </w:tc>
        <w:tc>
          <w:tcPr>
            <w:tcW w:w="1418" w:type="dxa"/>
            <w:noWrap w:val="0"/>
            <w:vAlign w:val="center"/>
          </w:tcPr>
          <w:p w14:paraId="22F766BC">
            <w:pPr>
              <w:pStyle w:val="2"/>
              <w:keepNext/>
              <w:spacing w:after="0" w:line="440" w:lineRule="exact"/>
              <w:ind w:left="63" w:right="63"/>
              <w:rPr>
                <w:rFonts w:eastAsia="仿宋_GB2312"/>
                <w:color w:val="auto"/>
                <w:sz w:val="28"/>
                <w:szCs w:val="28"/>
                <w:highlight w:val="none"/>
              </w:rPr>
            </w:pPr>
          </w:p>
        </w:tc>
        <w:tc>
          <w:tcPr>
            <w:tcW w:w="1134" w:type="dxa"/>
            <w:noWrap w:val="0"/>
            <w:vAlign w:val="center"/>
          </w:tcPr>
          <w:p w14:paraId="1539B2F5">
            <w:pPr>
              <w:pStyle w:val="2"/>
              <w:keepNext/>
              <w:spacing w:after="0" w:line="440" w:lineRule="exact"/>
              <w:ind w:left="63" w:right="63"/>
              <w:rPr>
                <w:rFonts w:eastAsia="仿宋_GB2312"/>
                <w:color w:val="auto"/>
                <w:sz w:val="30"/>
                <w:szCs w:val="30"/>
                <w:highlight w:val="none"/>
              </w:rPr>
            </w:pPr>
          </w:p>
        </w:tc>
        <w:tc>
          <w:tcPr>
            <w:tcW w:w="1134" w:type="dxa"/>
            <w:noWrap w:val="0"/>
            <w:vAlign w:val="center"/>
          </w:tcPr>
          <w:p w14:paraId="04C7E416">
            <w:pPr>
              <w:pStyle w:val="2"/>
              <w:keepNext/>
              <w:spacing w:after="0" w:line="440" w:lineRule="exact"/>
              <w:ind w:left="63" w:right="63"/>
              <w:rPr>
                <w:rFonts w:eastAsia="仿宋_GB2312"/>
                <w:color w:val="auto"/>
                <w:sz w:val="30"/>
                <w:szCs w:val="30"/>
                <w:highlight w:val="none"/>
              </w:rPr>
            </w:pPr>
          </w:p>
        </w:tc>
        <w:tc>
          <w:tcPr>
            <w:tcW w:w="4252" w:type="dxa"/>
            <w:noWrap w:val="0"/>
            <w:vAlign w:val="center"/>
          </w:tcPr>
          <w:p w14:paraId="5FB9B748">
            <w:pPr>
              <w:pStyle w:val="2"/>
              <w:keepNext/>
              <w:spacing w:after="0" w:line="440" w:lineRule="exact"/>
              <w:ind w:left="63" w:right="63"/>
              <w:rPr>
                <w:rFonts w:eastAsia="仿宋_GB2312"/>
                <w:color w:val="auto"/>
                <w:sz w:val="30"/>
                <w:szCs w:val="30"/>
                <w:highlight w:val="none"/>
              </w:rPr>
            </w:pPr>
          </w:p>
        </w:tc>
      </w:tr>
      <w:tr w14:paraId="29EA5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316A472C">
            <w:pPr>
              <w:pStyle w:val="2"/>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14:paraId="5327BFF8">
            <w:pPr>
              <w:pStyle w:val="2"/>
              <w:keepNext/>
              <w:spacing w:after="0" w:line="440" w:lineRule="exact"/>
              <w:ind w:left="63" w:right="63"/>
              <w:rPr>
                <w:rFonts w:eastAsia="仿宋_GB2312"/>
                <w:color w:val="auto"/>
                <w:sz w:val="28"/>
                <w:szCs w:val="28"/>
                <w:highlight w:val="none"/>
              </w:rPr>
            </w:pPr>
          </w:p>
        </w:tc>
        <w:tc>
          <w:tcPr>
            <w:tcW w:w="1134" w:type="dxa"/>
            <w:noWrap w:val="0"/>
            <w:vAlign w:val="center"/>
          </w:tcPr>
          <w:p w14:paraId="551933C9">
            <w:pPr>
              <w:pStyle w:val="2"/>
              <w:keepNext/>
              <w:spacing w:after="0" w:line="440" w:lineRule="exact"/>
              <w:ind w:left="63" w:right="63"/>
              <w:rPr>
                <w:rFonts w:eastAsia="仿宋_GB2312"/>
                <w:color w:val="auto"/>
                <w:sz w:val="30"/>
                <w:szCs w:val="30"/>
                <w:highlight w:val="none"/>
              </w:rPr>
            </w:pPr>
          </w:p>
        </w:tc>
        <w:tc>
          <w:tcPr>
            <w:tcW w:w="1134" w:type="dxa"/>
            <w:noWrap w:val="0"/>
            <w:vAlign w:val="center"/>
          </w:tcPr>
          <w:p w14:paraId="64462F5C">
            <w:pPr>
              <w:pStyle w:val="2"/>
              <w:keepNext/>
              <w:spacing w:after="0" w:line="440" w:lineRule="exact"/>
              <w:ind w:left="63" w:right="63"/>
              <w:rPr>
                <w:rFonts w:eastAsia="仿宋_GB2312"/>
                <w:color w:val="auto"/>
                <w:sz w:val="30"/>
                <w:szCs w:val="30"/>
                <w:highlight w:val="none"/>
              </w:rPr>
            </w:pPr>
          </w:p>
        </w:tc>
        <w:tc>
          <w:tcPr>
            <w:tcW w:w="4252" w:type="dxa"/>
            <w:noWrap w:val="0"/>
            <w:vAlign w:val="center"/>
          </w:tcPr>
          <w:p w14:paraId="643DE3D0">
            <w:pPr>
              <w:pStyle w:val="2"/>
              <w:keepNext/>
              <w:spacing w:after="0" w:line="440" w:lineRule="exact"/>
              <w:ind w:left="63" w:right="63"/>
              <w:rPr>
                <w:rFonts w:eastAsia="仿宋_GB2312"/>
                <w:color w:val="auto"/>
                <w:sz w:val="30"/>
                <w:szCs w:val="30"/>
                <w:highlight w:val="none"/>
              </w:rPr>
            </w:pPr>
          </w:p>
        </w:tc>
      </w:tr>
      <w:tr w14:paraId="35FF1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4FF084B">
            <w:pPr>
              <w:pStyle w:val="2"/>
              <w:keepNext/>
              <w:spacing w:after="0" w:line="440" w:lineRule="exact"/>
              <w:ind w:left="63" w:right="63"/>
              <w:rPr>
                <w:rFonts w:eastAsia="仿宋_GB2312"/>
                <w:color w:val="auto"/>
                <w:sz w:val="28"/>
                <w:szCs w:val="28"/>
                <w:highlight w:val="none"/>
              </w:rPr>
            </w:pPr>
          </w:p>
        </w:tc>
        <w:tc>
          <w:tcPr>
            <w:tcW w:w="1418" w:type="dxa"/>
            <w:noWrap w:val="0"/>
            <w:vAlign w:val="center"/>
          </w:tcPr>
          <w:p w14:paraId="5EE63A23">
            <w:pPr>
              <w:pStyle w:val="2"/>
              <w:keepNext/>
              <w:spacing w:after="0" w:line="440" w:lineRule="exact"/>
              <w:ind w:left="63" w:right="63"/>
              <w:rPr>
                <w:rFonts w:eastAsia="仿宋_GB2312"/>
                <w:color w:val="auto"/>
                <w:sz w:val="28"/>
                <w:szCs w:val="28"/>
                <w:highlight w:val="none"/>
              </w:rPr>
            </w:pPr>
          </w:p>
        </w:tc>
        <w:tc>
          <w:tcPr>
            <w:tcW w:w="1134" w:type="dxa"/>
            <w:noWrap w:val="0"/>
            <w:vAlign w:val="center"/>
          </w:tcPr>
          <w:p w14:paraId="23FD6676">
            <w:pPr>
              <w:pStyle w:val="2"/>
              <w:keepNext/>
              <w:spacing w:after="0" w:line="440" w:lineRule="exact"/>
              <w:ind w:left="63" w:right="63"/>
              <w:rPr>
                <w:rFonts w:eastAsia="仿宋_GB2312"/>
                <w:color w:val="auto"/>
                <w:sz w:val="30"/>
                <w:szCs w:val="30"/>
                <w:highlight w:val="none"/>
              </w:rPr>
            </w:pPr>
          </w:p>
        </w:tc>
        <w:tc>
          <w:tcPr>
            <w:tcW w:w="1134" w:type="dxa"/>
            <w:noWrap w:val="0"/>
            <w:vAlign w:val="center"/>
          </w:tcPr>
          <w:p w14:paraId="428B8D29">
            <w:pPr>
              <w:pStyle w:val="2"/>
              <w:keepNext/>
              <w:spacing w:after="0" w:line="440" w:lineRule="exact"/>
              <w:ind w:left="63" w:right="63"/>
              <w:rPr>
                <w:rFonts w:eastAsia="仿宋_GB2312"/>
                <w:color w:val="auto"/>
                <w:sz w:val="30"/>
                <w:szCs w:val="30"/>
                <w:highlight w:val="none"/>
              </w:rPr>
            </w:pPr>
          </w:p>
        </w:tc>
        <w:tc>
          <w:tcPr>
            <w:tcW w:w="4252" w:type="dxa"/>
            <w:noWrap w:val="0"/>
            <w:vAlign w:val="center"/>
          </w:tcPr>
          <w:p w14:paraId="1B33ACC9">
            <w:pPr>
              <w:pStyle w:val="2"/>
              <w:keepNext/>
              <w:spacing w:after="0" w:line="440" w:lineRule="exact"/>
              <w:ind w:left="63" w:right="63"/>
              <w:rPr>
                <w:rFonts w:eastAsia="仿宋_GB2312"/>
                <w:color w:val="auto"/>
                <w:sz w:val="30"/>
                <w:szCs w:val="30"/>
                <w:highlight w:val="none"/>
              </w:rPr>
            </w:pPr>
          </w:p>
        </w:tc>
      </w:tr>
      <w:tr w14:paraId="3FEEC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3AB13F9">
            <w:pPr>
              <w:pStyle w:val="2"/>
              <w:keepNext/>
              <w:spacing w:after="0" w:line="440" w:lineRule="exact"/>
              <w:ind w:left="63" w:right="63"/>
              <w:rPr>
                <w:rFonts w:eastAsia="仿宋_GB2312"/>
                <w:color w:val="auto"/>
                <w:sz w:val="28"/>
                <w:szCs w:val="28"/>
                <w:highlight w:val="none"/>
              </w:rPr>
            </w:pPr>
          </w:p>
        </w:tc>
        <w:tc>
          <w:tcPr>
            <w:tcW w:w="1418" w:type="dxa"/>
            <w:noWrap w:val="0"/>
            <w:vAlign w:val="center"/>
          </w:tcPr>
          <w:p w14:paraId="4A5F2D50">
            <w:pPr>
              <w:pStyle w:val="2"/>
              <w:keepNext/>
              <w:spacing w:after="0" w:line="440" w:lineRule="exact"/>
              <w:ind w:left="63" w:right="63"/>
              <w:rPr>
                <w:rFonts w:eastAsia="仿宋_GB2312"/>
                <w:color w:val="auto"/>
                <w:sz w:val="28"/>
                <w:szCs w:val="28"/>
                <w:highlight w:val="none"/>
              </w:rPr>
            </w:pPr>
          </w:p>
        </w:tc>
        <w:tc>
          <w:tcPr>
            <w:tcW w:w="1134" w:type="dxa"/>
            <w:noWrap w:val="0"/>
            <w:vAlign w:val="center"/>
          </w:tcPr>
          <w:p w14:paraId="270C69BE">
            <w:pPr>
              <w:pStyle w:val="2"/>
              <w:keepNext/>
              <w:spacing w:after="0" w:line="440" w:lineRule="exact"/>
              <w:ind w:left="63" w:right="63"/>
              <w:rPr>
                <w:rFonts w:eastAsia="仿宋_GB2312"/>
                <w:color w:val="auto"/>
                <w:sz w:val="30"/>
                <w:szCs w:val="30"/>
                <w:highlight w:val="none"/>
              </w:rPr>
            </w:pPr>
          </w:p>
        </w:tc>
        <w:tc>
          <w:tcPr>
            <w:tcW w:w="1134" w:type="dxa"/>
            <w:noWrap w:val="0"/>
            <w:vAlign w:val="center"/>
          </w:tcPr>
          <w:p w14:paraId="3AE99AB5">
            <w:pPr>
              <w:pStyle w:val="2"/>
              <w:keepNext/>
              <w:spacing w:after="0" w:line="440" w:lineRule="exact"/>
              <w:ind w:left="63" w:right="63"/>
              <w:rPr>
                <w:rFonts w:eastAsia="仿宋_GB2312"/>
                <w:color w:val="auto"/>
                <w:sz w:val="30"/>
                <w:szCs w:val="30"/>
                <w:highlight w:val="none"/>
              </w:rPr>
            </w:pPr>
          </w:p>
        </w:tc>
        <w:tc>
          <w:tcPr>
            <w:tcW w:w="4252" w:type="dxa"/>
            <w:noWrap w:val="0"/>
            <w:vAlign w:val="center"/>
          </w:tcPr>
          <w:p w14:paraId="7AB94C82">
            <w:pPr>
              <w:pStyle w:val="2"/>
              <w:keepNext/>
              <w:spacing w:after="0" w:line="440" w:lineRule="exact"/>
              <w:ind w:left="63" w:right="63"/>
              <w:rPr>
                <w:rFonts w:eastAsia="仿宋_GB2312"/>
                <w:color w:val="auto"/>
                <w:sz w:val="30"/>
                <w:szCs w:val="30"/>
                <w:highlight w:val="none"/>
              </w:rPr>
            </w:pPr>
          </w:p>
        </w:tc>
      </w:tr>
      <w:tr w14:paraId="0F3A2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E1E4677">
            <w:pPr>
              <w:pStyle w:val="2"/>
              <w:keepNext/>
              <w:spacing w:after="0" w:line="440" w:lineRule="exact"/>
              <w:ind w:left="63" w:right="63"/>
              <w:rPr>
                <w:rFonts w:eastAsia="仿宋_GB2312"/>
                <w:color w:val="auto"/>
                <w:sz w:val="28"/>
                <w:szCs w:val="28"/>
                <w:highlight w:val="none"/>
              </w:rPr>
            </w:pPr>
          </w:p>
        </w:tc>
        <w:tc>
          <w:tcPr>
            <w:tcW w:w="1418" w:type="dxa"/>
            <w:noWrap w:val="0"/>
            <w:vAlign w:val="center"/>
          </w:tcPr>
          <w:p w14:paraId="7149A20F">
            <w:pPr>
              <w:pStyle w:val="2"/>
              <w:keepNext/>
              <w:spacing w:after="0" w:line="440" w:lineRule="exact"/>
              <w:ind w:left="63" w:right="63"/>
              <w:rPr>
                <w:rFonts w:eastAsia="仿宋_GB2312"/>
                <w:color w:val="auto"/>
                <w:sz w:val="28"/>
                <w:szCs w:val="28"/>
                <w:highlight w:val="none"/>
              </w:rPr>
            </w:pPr>
          </w:p>
        </w:tc>
        <w:tc>
          <w:tcPr>
            <w:tcW w:w="1134" w:type="dxa"/>
            <w:noWrap w:val="0"/>
            <w:vAlign w:val="center"/>
          </w:tcPr>
          <w:p w14:paraId="17706772">
            <w:pPr>
              <w:pStyle w:val="2"/>
              <w:keepNext/>
              <w:spacing w:after="0" w:line="440" w:lineRule="exact"/>
              <w:ind w:left="63" w:right="63"/>
              <w:rPr>
                <w:rFonts w:eastAsia="仿宋_GB2312"/>
                <w:color w:val="auto"/>
                <w:sz w:val="30"/>
                <w:szCs w:val="30"/>
                <w:highlight w:val="none"/>
              </w:rPr>
            </w:pPr>
          </w:p>
        </w:tc>
        <w:tc>
          <w:tcPr>
            <w:tcW w:w="1134" w:type="dxa"/>
            <w:noWrap w:val="0"/>
            <w:vAlign w:val="center"/>
          </w:tcPr>
          <w:p w14:paraId="7F238C90">
            <w:pPr>
              <w:pStyle w:val="2"/>
              <w:keepNext/>
              <w:spacing w:after="0" w:line="440" w:lineRule="exact"/>
              <w:ind w:left="63" w:right="63"/>
              <w:rPr>
                <w:rFonts w:eastAsia="仿宋_GB2312"/>
                <w:color w:val="auto"/>
                <w:sz w:val="30"/>
                <w:szCs w:val="30"/>
                <w:highlight w:val="none"/>
              </w:rPr>
            </w:pPr>
          </w:p>
        </w:tc>
        <w:tc>
          <w:tcPr>
            <w:tcW w:w="4252" w:type="dxa"/>
            <w:noWrap w:val="0"/>
            <w:vAlign w:val="center"/>
          </w:tcPr>
          <w:p w14:paraId="78993584">
            <w:pPr>
              <w:pStyle w:val="2"/>
              <w:keepNext/>
              <w:spacing w:after="0" w:line="440" w:lineRule="exact"/>
              <w:ind w:left="63" w:right="63"/>
              <w:rPr>
                <w:rFonts w:eastAsia="仿宋_GB2312"/>
                <w:color w:val="auto"/>
                <w:sz w:val="30"/>
                <w:szCs w:val="30"/>
                <w:highlight w:val="none"/>
              </w:rPr>
            </w:pPr>
          </w:p>
        </w:tc>
      </w:tr>
      <w:tr w14:paraId="106C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8D5BB94">
            <w:pPr>
              <w:pStyle w:val="2"/>
              <w:keepNext/>
              <w:spacing w:after="0" w:line="440" w:lineRule="exact"/>
              <w:ind w:left="63" w:right="63"/>
              <w:rPr>
                <w:rFonts w:eastAsia="仿宋_GB2312"/>
                <w:color w:val="auto"/>
                <w:sz w:val="28"/>
                <w:szCs w:val="28"/>
                <w:highlight w:val="none"/>
              </w:rPr>
            </w:pPr>
          </w:p>
        </w:tc>
        <w:tc>
          <w:tcPr>
            <w:tcW w:w="1418" w:type="dxa"/>
            <w:noWrap w:val="0"/>
            <w:vAlign w:val="center"/>
          </w:tcPr>
          <w:p w14:paraId="371BE0DE">
            <w:pPr>
              <w:pStyle w:val="2"/>
              <w:keepNext/>
              <w:spacing w:after="0" w:line="440" w:lineRule="exact"/>
              <w:ind w:left="63" w:right="63"/>
              <w:rPr>
                <w:rFonts w:eastAsia="仿宋_GB2312"/>
                <w:color w:val="auto"/>
                <w:sz w:val="28"/>
                <w:szCs w:val="28"/>
                <w:highlight w:val="none"/>
              </w:rPr>
            </w:pPr>
          </w:p>
        </w:tc>
        <w:tc>
          <w:tcPr>
            <w:tcW w:w="1134" w:type="dxa"/>
            <w:noWrap w:val="0"/>
            <w:vAlign w:val="center"/>
          </w:tcPr>
          <w:p w14:paraId="553F8B73">
            <w:pPr>
              <w:pStyle w:val="2"/>
              <w:keepNext/>
              <w:spacing w:after="0" w:line="440" w:lineRule="exact"/>
              <w:ind w:left="63" w:right="63"/>
              <w:rPr>
                <w:rFonts w:eastAsia="仿宋_GB2312"/>
                <w:color w:val="auto"/>
                <w:sz w:val="30"/>
                <w:szCs w:val="30"/>
                <w:highlight w:val="none"/>
              </w:rPr>
            </w:pPr>
          </w:p>
        </w:tc>
        <w:tc>
          <w:tcPr>
            <w:tcW w:w="1134" w:type="dxa"/>
            <w:noWrap w:val="0"/>
            <w:vAlign w:val="center"/>
          </w:tcPr>
          <w:p w14:paraId="597BE94C">
            <w:pPr>
              <w:pStyle w:val="2"/>
              <w:keepNext/>
              <w:spacing w:after="0" w:line="440" w:lineRule="exact"/>
              <w:ind w:left="63" w:right="63"/>
              <w:rPr>
                <w:rFonts w:eastAsia="仿宋_GB2312"/>
                <w:color w:val="auto"/>
                <w:sz w:val="30"/>
                <w:szCs w:val="30"/>
                <w:highlight w:val="none"/>
              </w:rPr>
            </w:pPr>
          </w:p>
        </w:tc>
        <w:tc>
          <w:tcPr>
            <w:tcW w:w="4252" w:type="dxa"/>
            <w:noWrap w:val="0"/>
            <w:vAlign w:val="center"/>
          </w:tcPr>
          <w:p w14:paraId="3E8AC118">
            <w:pPr>
              <w:pStyle w:val="2"/>
              <w:keepNext/>
              <w:spacing w:after="0" w:line="440" w:lineRule="exact"/>
              <w:ind w:left="63" w:right="63"/>
              <w:rPr>
                <w:rFonts w:eastAsia="仿宋_GB2312"/>
                <w:color w:val="auto"/>
                <w:sz w:val="30"/>
                <w:szCs w:val="30"/>
                <w:highlight w:val="none"/>
              </w:rPr>
            </w:pPr>
          </w:p>
        </w:tc>
      </w:tr>
      <w:tr w14:paraId="63007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01AA9EC">
            <w:pPr>
              <w:pStyle w:val="2"/>
              <w:keepNext/>
              <w:spacing w:after="0" w:line="440" w:lineRule="exact"/>
              <w:ind w:left="63" w:right="63"/>
              <w:rPr>
                <w:rFonts w:eastAsia="仿宋_GB2312"/>
                <w:color w:val="auto"/>
                <w:sz w:val="28"/>
                <w:szCs w:val="28"/>
                <w:highlight w:val="none"/>
              </w:rPr>
            </w:pPr>
          </w:p>
        </w:tc>
        <w:tc>
          <w:tcPr>
            <w:tcW w:w="1418" w:type="dxa"/>
            <w:noWrap w:val="0"/>
            <w:vAlign w:val="center"/>
          </w:tcPr>
          <w:p w14:paraId="10E5E499">
            <w:pPr>
              <w:pStyle w:val="2"/>
              <w:keepNext/>
              <w:spacing w:after="0" w:line="440" w:lineRule="exact"/>
              <w:ind w:left="63" w:right="63"/>
              <w:rPr>
                <w:rFonts w:eastAsia="仿宋_GB2312"/>
                <w:color w:val="auto"/>
                <w:sz w:val="28"/>
                <w:szCs w:val="28"/>
                <w:highlight w:val="none"/>
              </w:rPr>
            </w:pPr>
          </w:p>
        </w:tc>
        <w:tc>
          <w:tcPr>
            <w:tcW w:w="1134" w:type="dxa"/>
            <w:noWrap w:val="0"/>
            <w:vAlign w:val="center"/>
          </w:tcPr>
          <w:p w14:paraId="6EEF165A">
            <w:pPr>
              <w:pStyle w:val="2"/>
              <w:keepNext/>
              <w:spacing w:after="0" w:line="440" w:lineRule="exact"/>
              <w:ind w:left="63" w:right="63"/>
              <w:rPr>
                <w:rFonts w:eastAsia="仿宋_GB2312"/>
                <w:color w:val="auto"/>
                <w:sz w:val="30"/>
                <w:szCs w:val="30"/>
                <w:highlight w:val="none"/>
              </w:rPr>
            </w:pPr>
          </w:p>
        </w:tc>
        <w:tc>
          <w:tcPr>
            <w:tcW w:w="1134" w:type="dxa"/>
            <w:noWrap w:val="0"/>
            <w:vAlign w:val="center"/>
          </w:tcPr>
          <w:p w14:paraId="7E1F4ACC">
            <w:pPr>
              <w:pStyle w:val="2"/>
              <w:keepNext/>
              <w:spacing w:after="0" w:line="440" w:lineRule="exact"/>
              <w:ind w:left="63" w:right="63"/>
              <w:rPr>
                <w:rFonts w:eastAsia="仿宋_GB2312"/>
                <w:color w:val="auto"/>
                <w:sz w:val="30"/>
                <w:szCs w:val="30"/>
                <w:highlight w:val="none"/>
              </w:rPr>
            </w:pPr>
          </w:p>
        </w:tc>
        <w:tc>
          <w:tcPr>
            <w:tcW w:w="4252" w:type="dxa"/>
            <w:noWrap w:val="0"/>
            <w:vAlign w:val="center"/>
          </w:tcPr>
          <w:p w14:paraId="1FE86378">
            <w:pPr>
              <w:pStyle w:val="2"/>
              <w:keepNext/>
              <w:spacing w:after="0" w:line="440" w:lineRule="exact"/>
              <w:ind w:left="63" w:right="63"/>
              <w:rPr>
                <w:rFonts w:eastAsia="仿宋_GB2312"/>
                <w:color w:val="auto"/>
                <w:sz w:val="30"/>
                <w:szCs w:val="30"/>
                <w:highlight w:val="none"/>
              </w:rPr>
            </w:pPr>
          </w:p>
        </w:tc>
      </w:tr>
    </w:tbl>
    <w:p w14:paraId="1A0F5CAA">
      <w:pPr>
        <w:spacing w:line="440" w:lineRule="exact"/>
        <w:rPr>
          <w:rFonts w:eastAsia="黑体"/>
          <w:color w:val="auto"/>
          <w:sz w:val="30"/>
          <w:szCs w:val="30"/>
          <w:highlight w:val="none"/>
        </w:rPr>
      </w:pPr>
      <w:r>
        <w:rPr>
          <w:rFonts w:eastAsia="仿宋_GB2312"/>
          <w:color w:val="auto"/>
          <w:sz w:val="30"/>
          <w:szCs w:val="30"/>
          <w:highlight w:val="none"/>
        </w:rPr>
        <w:br w:type="page"/>
      </w:r>
      <w:r>
        <w:rPr>
          <w:rFonts w:hint="eastAsia" w:eastAsia="仿宋_GB2312" w:cs="仿宋_GB2312"/>
          <w:color w:val="auto"/>
          <w:sz w:val="30"/>
          <w:szCs w:val="30"/>
          <w:highlight w:val="none"/>
        </w:rPr>
        <w:t>附</w:t>
      </w:r>
      <w:bookmarkStart w:id="1526" w:name="_Toc296503229"/>
      <w:bookmarkStart w:id="1527" w:name="_Toc296891269"/>
      <w:bookmarkStart w:id="1528" w:name="_Toc296347228"/>
      <w:bookmarkStart w:id="1529" w:name="_Toc296891057"/>
      <w:bookmarkStart w:id="1530" w:name="_Toc296944568"/>
      <w:bookmarkStart w:id="1531" w:name="_Toc296346730"/>
      <w:r>
        <w:rPr>
          <w:rFonts w:hint="eastAsia" w:eastAsia="仿宋_GB2312" w:cs="仿宋_GB2312"/>
          <w:color w:val="auto"/>
          <w:sz w:val="30"/>
          <w:szCs w:val="30"/>
          <w:highlight w:val="none"/>
        </w:rPr>
        <w:t>件</w:t>
      </w:r>
      <w:r>
        <w:rPr>
          <w:rFonts w:hint="eastAsia" w:eastAsia="仿宋_GB2312"/>
          <w:color w:val="auto"/>
          <w:sz w:val="30"/>
          <w:szCs w:val="30"/>
          <w:highlight w:val="none"/>
        </w:rPr>
        <w:t>6</w:t>
      </w:r>
      <w:r>
        <w:rPr>
          <w:rFonts w:hint="eastAsia" w:eastAsia="仿宋_GB2312" w:cs="仿宋_GB2312"/>
          <w:color w:val="auto"/>
          <w:sz w:val="30"/>
          <w:szCs w:val="30"/>
          <w:highlight w:val="none"/>
        </w:rPr>
        <w:t>：</w:t>
      </w:r>
    </w:p>
    <w:bookmarkEnd w:id="1526"/>
    <w:bookmarkEnd w:id="1527"/>
    <w:bookmarkEnd w:id="1528"/>
    <w:bookmarkEnd w:id="1529"/>
    <w:bookmarkEnd w:id="1530"/>
    <w:bookmarkEnd w:id="1531"/>
    <w:p w14:paraId="43EB99F5">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分包人主要施工管理人员表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5C036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B5A2994">
            <w:pPr>
              <w:pStyle w:val="2"/>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名</w:t>
            </w:r>
            <w:r>
              <w:rPr>
                <w:rFonts w:eastAsia="仿宋_GB2312"/>
                <w:color w:val="auto"/>
                <w:sz w:val="28"/>
                <w:szCs w:val="28"/>
                <w:highlight w:val="none"/>
              </w:rPr>
              <w:t xml:space="preserve">    </w:t>
            </w:r>
            <w:r>
              <w:rPr>
                <w:rFonts w:hint="eastAsia" w:eastAsia="仿宋_GB2312" w:cs="仿宋_GB2312"/>
                <w:color w:val="auto"/>
                <w:sz w:val="28"/>
                <w:szCs w:val="28"/>
                <w:highlight w:val="none"/>
              </w:rPr>
              <w:t>称</w:t>
            </w:r>
          </w:p>
        </w:tc>
        <w:tc>
          <w:tcPr>
            <w:tcW w:w="1418" w:type="dxa"/>
            <w:noWrap w:val="0"/>
            <w:vAlign w:val="center"/>
          </w:tcPr>
          <w:p w14:paraId="48134285">
            <w:pPr>
              <w:pStyle w:val="2"/>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姓名</w:t>
            </w:r>
          </w:p>
        </w:tc>
        <w:tc>
          <w:tcPr>
            <w:tcW w:w="1134" w:type="dxa"/>
            <w:noWrap w:val="0"/>
            <w:vAlign w:val="center"/>
          </w:tcPr>
          <w:p w14:paraId="76768258">
            <w:pPr>
              <w:pStyle w:val="2"/>
              <w:keepNext/>
              <w:spacing w:after="0"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职务</w:t>
            </w:r>
          </w:p>
        </w:tc>
        <w:tc>
          <w:tcPr>
            <w:tcW w:w="1134" w:type="dxa"/>
            <w:noWrap w:val="0"/>
            <w:vAlign w:val="center"/>
          </w:tcPr>
          <w:p w14:paraId="79590A09">
            <w:pPr>
              <w:pStyle w:val="2"/>
              <w:keepNext/>
              <w:spacing w:after="0"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职称</w:t>
            </w:r>
          </w:p>
        </w:tc>
        <w:tc>
          <w:tcPr>
            <w:tcW w:w="4252" w:type="dxa"/>
            <w:noWrap w:val="0"/>
            <w:vAlign w:val="center"/>
          </w:tcPr>
          <w:p w14:paraId="4AD53EE6">
            <w:pPr>
              <w:pStyle w:val="2"/>
              <w:keepNext/>
              <w:spacing w:after="0"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主要资历、经验及承担过的项目</w:t>
            </w:r>
          </w:p>
        </w:tc>
      </w:tr>
      <w:tr w14:paraId="3ED0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7F59F6EF">
            <w:pPr>
              <w:pStyle w:val="2"/>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一、总部人员</w:t>
            </w:r>
          </w:p>
        </w:tc>
      </w:tr>
      <w:tr w14:paraId="705AE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27F5E8F">
            <w:pPr>
              <w:pStyle w:val="2"/>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项目主管</w:t>
            </w:r>
          </w:p>
        </w:tc>
        <w:tc>
          <w:tcPr>
            <w:tcW w:w="1418" w:type="dxa"/>
            <w:noWrap w:val="0"/>
            <w:vAlign w:val="center"/>
          </w:tcPr>
          <w:p w14:paraId="2C3D6B0A">
            <w:pPr>
              <w:pStyle w:val="2"/>
              <w:keepNext/>
              <w:spacing w:after="0" w:line="440" w:lineRule="exact"/>
              <w:ind w:left="63" w:right="63"/>
              <w:rPr>
                <w:rFonts w:eastAsia="仿宋_GB2312"/>
                <w:color w:val="auto"/>
                <w:sz w:val="28"/>
                <w:szCs w:val="28"/>
                <w:highlight w:val="none"/>
              </w:rPr>
            </w:pPr>
          </w:p>
        </w:tc>
        <w:tc>
          <w:tcPr>
            <w:tcW w:w="1134" w:type="dxa"/>
            <w:noWrap w:val="0"/>
            <w:vAlign w:val="center"/>
          </w:tcPr>
          <w:p w14:paraId="06F3C900">
            <w:pPr>
              <w:pStyle w:val="2"/>
              <w:keepNext/>
              <w:spacing w:after="0" w:line="440" w:lineRule="exact"/>
              <w:ind w:left="63" w:right="63"/>
              <w:rPr>
                <w:rFonts w:eastAsia="仿宋_GB2312"/>
                <w:color w:val="auto"/>
                <w:sz w:val="30"/>
                <w:szCs w:val="30"/>
                <w:highlight w:val="none"/>
              </w:rPr>
            </w:pPr>
          </w:p>
        </w:tc>
        <w:tc>
          <w:tcPr>
            <w:tcW w:w="1134" w:type="dxa"/>
            <w:noWrap w:val="0"/>
            <w:vAlign w:val="center"/>
          </w:tcPr>
          <w:p w14:paraId="72F53F93">
            <w:pPr>
              <w:pStyle w:val="2"/>
              <w:keepNext/>
              <w:spacing w:after="0" w:line="440" w:lineRule="exact"/>
              <w:ind w:left="63" w:right="63"/>
              <w:rPr>
                <w:rFonts w:eastAsia="仿宋_GB2312"/>
                <w:color w:val="auto"/>
                <w:sz w:val="30"/>
                <w:szCs w:val="30"/>
                <w:highlight w:val="none"/>
              </w:rPr>
            </w:pPr>
          </w:p>
        </w:tc>
        <w:tc>
          <w:tcPr>
            <w:tcW w:w="4252" w:type="dxa"/>
            <w:noWrap w:val="0"/>
            <w:vAlign w:val="center"/>
          </w:tcPr>
          <w:p w14:paraId="379D4FCE">
            <w:pPr>
              <w:pStyle w:val="2"/>
              <w:keepNext/>
              <w:spacing w:after="0" w:line="440" w:lineRule="exact"/>
              <w:ind w:left="63" w:right="63"/>
              <w:rPr>
                <w:rFonts w:eastAsia="仿宋_GB2312"/>
                <w:color w:val="auto"/>
                <w:sz w:val="30"/>
                <w:szCs w:val="30"/>
                <w:highlight w:val="none"/>
              </w:rPr>
            </w:pPr>
          </w:p>
        </w:tc>
      </w:tr>
      <w:tr w14:paraId="1A675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10DD680F">
            <w:pPr>
              <w:pStyle w:val="2"/>
              <w:keepNext/>
              <w:spacing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14:paraId="3C159414">
            <w:pPr>
              <w:pStyle w:val="2"/>
              <w:keepNext/>
              <w:spacing w:after="0" w:line="440" w:lineRule="exact"/>
              <w:ind w:left="63" w:right="63"/>
              <w:rPr>
                <w:rFonts w:eastAsia="仿宋_GB2312"/>
                <w:color w:val="auto"/>
                <w:sz w:val="28"/>
                <w:szCs w:val="28"/>
                <w:highlight w:val="none"/>
              </w:rPr>
            </w:pPr>
          </w:p>
        </w:tc>
        <w:tc>
          <w:tcPr>
            <w:tcW w:w="1134" w:type="dxa"/>
            <w:noWrap w:val="0"/>
            <w:vAlign w:val="center"/>
          </w:tcPr>
          <w:p w14:paraId="360D2311">
            <w:pPr>
              <w:pStyle w:val="2"/>
              <w:keepNext/>
              <w:spacing w:after="0" w:line="440" w:lineRule="exact"/>
              <w:ind w:left="63" w:right="63"/>
              <w:rPr>
                <w:rFonts w:eastAsia="仿宋_GB2312"/>
                <w:color w:val="auto"/>
                <w:sz w:val="30"/>
                <w:szCs w:val="30"/>
                <w:highlight w:val="none"/>
              </w:rPr>
            </w:pPr>
          </w:p>
        </w:tc>
        <w:tc>
          <w:tcPr>
            <w:tcW w:w="1134" w:type="dxa"/>
            <w:noWrap w:val="0"/>
            <w:vAlign w:val="center"/>
          </w:tcPr>
          <w:p w14:paraId="758EB0E3">
            <w:pPr>
              <w:pStyle w:val="2"/>
              <w:keepNext/>
              <w:spacing w:after="0" w:line="440" w:lineRule="exact"/>
              <w:ind w:left="63" w:right="63"/>
              <w:rPr>
                <w:rFonts w:eastAsia="仿宋_GB2312"/>
                <w:color w:val="auto"/>
                <w:sz w:val="30"/>
                <w:szCs w:val="30"/>
                <w:highlight w:val="none"/>
              </w:rPr>
            </w:pPr>
          </w:p>
        </w:tc>
        <w:tc>
          <w:tcPr>
            <w:tcW w:w="4252" w:type="dxa"/>
            <w:noWrap w:val="0"/>
            <w:vAlign w:val="center"/>
          </w:tcPr>
          <w:p w14:paraId="6AB0CC2E">
            <w:pPr>
              <w:pStyle w:val="2"/>
              <w:keepNext/>
              <w:spacing w:after="0" w:line="440" w:lineRule="exact"/>
              <w:ind w:left="63" w:right="63"/>
              <w:rPr>
                <w:rFonts w:eastAsia="仿宋_GB2312"/>
                <w:color w:val="auto"/>
                <w:sz w:val="30"/>
                <w:szCs w:val="30"/>
                <w:highlight w:val="none"/>
              </w:rPr>
            </w:pPr>
          </w:p>
        </w:tc>
      </w:tr>
      <w:tr w14:paraId="07369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CF169DC">
            <w:pPr>
              <w:pStyle w:val="2"/>
              <w:keepNext/>
              <w:spacing w:after="0" w:line="440" w:lineRule="exact"/>
              <w:ind w:left="63" w:right="63"/>
              <w:rPr>
                <w:rFonts w:eastAsia="仿宋_GB2312"/>
                <w:color w:val="auto"/>
                <w:sz w:val="28"/>
                <w:szCs w:val="28"/>
                <w:highlight w:val="none"/>
              </w:rPr>
            </w:pPr>
          </w:p>
        </w:tc>
        <w:tc>
          <w:tcPr>
            <w:tcW w:w="1418" w:type="dxa"/>
            <w:noWrap w:val="0"/>
            <w:vAlign w:val="center"/>
          </w:tcPr>
          <w:p w14:paraId="652B4DC3">
            <w:pPr>
              <w:pStyle w:val="2"/>
              <w:keepNext/>
              <w:spacing w:after="0" w:line="440" w:lineRule="exact"/>
              <w:ind w:left="63" w:right="63"/>
              <w:rPr>
                <w:rFonts w:eastAsia="仿宋_GB2312"/>
                <w:color w:val="auto"/>
                <w:sz w:val="28"/>
                <w:szCs w:val="28"/>
                <w:highlight w:val="none"/>
              </w:rPr>
            </w:pPr>
          </w:p>
        </w:tc>
        <w:tc>
          <w:tcPr>
            <w:tcW w:w="1134" w:type="dxa"/>
            <w:noWrap w:val="0"/>
            <w:vAlign w:val="center"/>
          </w:tcPr>
          <w:p w14:paraId="5AAD9958">
            <w:pPr>
              <w:pStyle w:val="2"/>
              <w:keepNext/>
              <w:spacing w:after="0" w:line="440" w:lineRule="exact"/>
              <w:ind w:left="63" w:right="63"/>
              <w:rPr>
                <w:rFonts w:eastAsia="仿宋_GB2312"/>
                <w:color w:val="auto"/>
                <w:sz w:val="30"/>
                <w:szCs w:val="30"/>
                <w:highlight w:val="none"/>
              </w:rPr>
            </w:pPr>
          </w:p>
        </w:tc>
        <w:tc>
          <w:tcPr>
            <w:tcW w:w="1134" w:type="dxa"/>
            <w:noWrap w:val="0"/>
            <w:vAlign w:val="center"/>
          </w:tcPr>
          <w:p w14:paraId="1B3B66FB">
            <w:pPr>
              <w:pStyle w:val="2"/>
              <w:keepNext/>
              <w:spacing w:after="0" w:line="440" w:lineRule="exact"/>
              <w:ind w:left="63" w:right="63"/>
              <w:rPr>
                <w:rFonts w:eastAsia="仿宋_GB2312"/>
                <w:color w:val="auto"/>
                <w:sz w:val="30"/>
                <w:szCs w:val="30"/>
                <w:highlight w:val="none"/>
              </w:rPr>
            </w:pPr>
          </w:p>
        </w:tc>
        <w:tc>
          <w:tcPr>
            <w:tcW w:w="4252" w:type="dxa"/>
            <w:noWrap w:val="0"/>
            <w:vAlign w:val="center"/>
          </w:tcPr>
          <w:p w14:paraId="6B53CA77">
            <w:pPr>
              <w:pStyle w:val="2"/>
              <w:keepNext/>
              <w:spacing w:after="0" w:line="440" w:lineRule="exact"/>
              <w:ind w:left="63" w:right="63"/>
              <w:rPr>
                <w:rFonts w:eastAsia="仿宋_GB2312"/>
                <w:color w:val="auto"/>
                <w:sz w:val="30"/>
                <w:szCs w:val="30"/>
                <w:highlight w:val="none"/>
              </w:rPr>
            </w:pPr>
          </w:p>
        </w:tc>
      </w:tr>
      <w:tr w14:paraId="1C95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5870268">
            <w:pPr>
              <w:pStyle w:val="2"/>
              <w:keepNext/>
              <w:spacing w:after="0" w:line="440" w:lineRule="exact"/>
              <w:ind w:left="63" w:right="63"/>
              <w:rPr>
                <w:rFonts w:eastAsia="仿宋_GB2312"/>
                <w:color w:val="auto"/>
                <w:sz w:val="28"/>
                <w:szCs w:val="28"/>
                <w:highlight w:val="none"/>
              </w:rPr>
            </w:pPr>
          </w:p>
        </w:tc>
        <w:tc>
          <w:tcPr>
            <w:tcW w:w="1418" w:type="dxa"/>
            <w:noWrap w:val="0"/>
            <w:vAlign w:val="center"/>
          </w:tcPr>
          <w:p w14:paraId="73754AAC">
            <w:pPr>
              <w:pStyle w:val="2"/>
              <w:keepNext/>
              <w:spacing w:after="0" w:line="440" w:lineRule="exact"/>
              <w:ind w:left="63" w:right="63"/>
              <w:rPr>
                <w:rFonts w:eastAsia="仿宋_GB2312"/>
                <w:color w:val="auto"/>
                <w:sz w:val="28"/>
                <w:szCs w:val="28"/>
                <w:highlight w:val="none"/>
              </w:rPr>
            </w:pPr>
          </w:p>
        </w:tc>
        <w:tc>
          <w:tcPr>
            <w:tcW w:w="1134" w:type="dxa"/>
            <w:noWrap w:val="0"/>
            <w:vAlign w:val="center"/>
          </w:tcPr>
          <w:p w14:paraId="416C2F32">
            <w:pPr>
              <w:pStyle w:val="2"/>
              <w:keepNext/>
              <w:spacing w:after="0" w:line="440" w:lineRule="exact"/>
              <w:ind w:left="63" w:right="63"/>
              <w:rPr>
                <w:rFonts w:eastAsia="仿宋_GB2312"/>
                <w:color w:val="auto"/>
                <w:sz w:val="30"/>
                <w:szCs w:val="30"/>
                <w:highlight w:val="none"/>
              </w:rPr>
            </w:pPr>
          </w:p>
        </w:tc>
        <w:tc>
          <w:tcPr>
            <w:tcW w:w="1134" w:type="dxa"/>
            <w:noWrap w:val="0"/>
            <w:vAlign w:val="center"/>
          </w:tcPr>
          <w:p w14:paraId="620A1451">
            <w:pPr>
              <w:pStyle w:val="2"/>
              <w:keepNext/>
              <w:spacing w:after="0" w:line="440" w:lineRule="exact"/>
              <w:ind w:left="63" w:right="63"/>
              <w:rPr>
                <w:rFonts w:eastAsia="仿宋_GB2312"/>
                <w:color w:val="auto"/>
                <w:sz w:val="30"/>
                <w:szCs w:val="30"/>
                <w:highlight w:val="none"/>
              </w:rPr>
            </w:pPr>
          </w:p>
        </w:tc>
        <w:tc>
          <w:tcPr>
            <w:tcW w:w="4252" w:type="dxa"/>
            <w:noWrap w:val="0"/>
            <w:vAlign w:val="center"/>
          </w:tcPr>
          <w:p w14:paraId="4BAD7712">
            <w:pPr>
              <w:pStyle w:val="2"/>
              <w:keepNext/>
              <w:spacing w:after="0" w:line="440" w:lineRule="exact"/>
              <w:ind w:left="63" w:right="63"/>
              <w:rPr>
                <w:rFonts w:eastAsia="仿宋_GB2312"/>
                <w:color w:val="auto"/>
                <w:sz w:val="30"/>
                <w:szCs w:val="30"/>
                <w:highlight w:val="none"/>
              </w:rPr>
            </w:pPr>
          </w:p>
        </w:tc>
      </w:tr>
      <w:tr w14:paraId="541B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41B8E657">
            <w:pPr>
              <w:pStyle w:val="2"/>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二、现场人员</w:t>
            </w:r>
          </w:p>
        </w:tc>
      </w:tr>
      <w:tr w14:paraId="6A94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1AA84B1">
            <w:pPr>
              <w:pStyle w:val="2"/>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项目经理</w:t>
            </w:r>
          </w:p>
        </w:tc>
        <w:tc>
          <w:tcPr>
            <w:tcW w:w="1418" w:type="dxa"/>
            <w:noWrap w:val="0"/>
            <w:vAlign w:val="center"/>
          </w:tcPr>
          <w:p w14:paraId="55922FCE">
            <w:pPr>
              <w:pStyle w:val="2"/>
              <w:keepNext/>
              <w:spacing w:after="0" w:line="440" w:lineRule="exact"/>
              <w:ind w:left="63" w:right="63"/>
              <w:rPr>
                <w:rFonts w:eastAsia="仿宋_GB2312"/>
                <w:color w:val="auto"/>
                <w:sz w:val="28"/>
                <w:szCs w:val="28"/>
                <w:highlight w:val="none"/>
              </w:rPr>
            </w:pPr>
          </w:p>
        </w:tc>
        <w:tc>
          <w:tcPr>
            <w:tcW w:w="1134" w:type="dxa"/>
            <w:noWrap w:val="0"/>
            <w:vAlign w:val="center"/>
          </w:tcPr>
          <w:p w14:paraId="5F35AEB1">
            <w:pPr>
              <w:pStyle w:val="2"/>
              <w:keepNext/>
              <w:spacing w:after="0" w:line="440" w:lineRule="exact"/>
              <w:ind w:left="63" w:right="63"/>
              <w:rPr>
                <w:rFonts w:eastAsia="仿宋_GB2312"/>
                <w:color w:val="auto"/>
                <w:sz w:val="30"/>
                <w:szCs w:val="30"/>
                <w:highlight w:val="none"/>
              </w:rPr>
            </w:pPr>
          </w:p>
        </w:tc>
        <w:tc>
          <w:tcPr>
            <w:tcW w:w="1134" w:type="dxa"/>
            <w:noWrap w:val="0"/>
            <w:vAlign w:val="center"/>
          </w:tcPr>
          <w:p w14:paraId="41CD475F">
            <w:pPr>
              <w:pStyle w:val="2"/>
              <w:keepNext/>
              <w:spacing w:after="0" w:line="440" w:lineRule="exact"/>
              <w:ind w:left="63" w:right="63"/>
              <w:rPr>
                <w:rFonts w:eastAsia="仿宋_GB2312"/>
                <w:color w:val="auto"/>
                <w:sz w:val="30"/>
                <w:szCs w:val="30"/>
                <w:highlight w:val="none"/>
              </w:rPr>
            </w:pPr>
          </w:p>
        </w:tc>
        <w:tc>
          <w:tcPr>
            <w:tcW w:w="4252" w:type="dxa"/>
            <w:noWrap w:val="0"/>
            <w:vAlign w:val="center"/>
          </w:tcPr>
          <w:p w14:paraId="358FE0F5">
            <w:pPr>
              <w:pStyle w:val="2"/>
              <w:keepNext/>
              <w:spacing w:after="0" w:line="440" w:lineRule="exact"/>
              <w:ind w:left="63" w:right="63"/>
              <w:rPr>
                <w:rFonts w:eastAsia="仿宋_GB2312"/>
                <w:color w:val="auto"/>
                <w:sz w:val="30"/>
                <w:szCs w:val="30"/>
                <w:highlight w:val="none"/>
              </w:rPr>
            </w:pPr>
          </w:p>
        </w:tc>
      </w:tr>
      <w:tr w14:paraId="370FD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A1F457A">
            <w:pPr>
              <w:pStyle w:val="2"/>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项目副经理</w:t>
            </w:r>
          </w:p>
        </w:tc>
        <w:tc>
          <w:tcPr>
            <w:tcW w:w="1418" w:type="dxa"/>
            <w:noWrap w:val="0"/>
            <w:vAlign w:val="center"/>
          </w:tcPr>
          <w:p w14:paraId="64C6DB4E">
            <w:pPr>
              <w:pStyle w:val="2"/>
              <w:keepNext/>
              <w:spacing w:after="0" w:line="440" w:lineRule="exact"/>
              <w:ind w:left="63" w:right="63"/>
              <w:rPr>
                <w:rFonts w:eastAsia="仿宋_GB2312"/>
                <w:color w:val="auto"/>
                <w:sz w:val="28"/>
                <w:szCs w:val="28"/>
                <w:highlight w:val="none"/>
              </w:rPr>
            </w:pPr>
          </w:p>
        </w:tc>
        <w:tc>
          <w:tcPr>
            <w:tcW w:w="1134" w:type="dxa"/>
            <w:noWrap w:val="0"/>
            <w:vAlign w:val="center"/>
          </w:tcPr>
          <w:p w14:paraId="52213584">
            <w:pPr>
              <w:pStyle w:val="2"/>
              <w:keepNext/>
              <w:spacing w:after="0" w:line="440" w:lineRule="exact"/>
              <w:ind w:left="63" w:right="63"/>
              <w:rPr>
                <w:rFonts w:eastAsia="仿宋_GB2312"/>
                <w:color w:val="auto"/>
                <w:sz w:val="30"/>
                <w:szCs w:val="30"/>
                <w:highlight w:val="none"/>
              </w:rPr>
            </w:pPr>
          </w:p>
        </w:tc>
        <w:tc>
          <w:tcPr>
            <w:tcW w:w="1134" w:type="dxa"/>
            <w:noWrap w:val="0"/>
            <w:vAlign w:val="center"/>
          </w:tcPr>
          <w:p w14:paraId="3EEF38DB">
            <w:pPr>
              <w:pStyle w:val="2"/>
              <w:keepNext/>
              <w:spacing w:after="0" w:line="440" w:lineRule="exact"/>
              <w:ind w:left="63" w:right="63"/>
              <w:rPr>
                <w:rFonts w:eastAsia="仿宋_GB2312"/>
                <w:color w:val="auto"/>
                <w:sz w:val="30"/>
                <w:szCs w:val="30"/>
                <w:highlight w:val="none"/>
              </w:rPr>
            </w:pPr>
          </w:p>
        </w:tc>
        <w:tc>
          <w:tcPr>
            <w:tcW w:w="4252" w:type="dxa"/>
            <w:noWrap w:val="0"/>
            <w:vAlign w:val="center"/>
          </w:tcPr>
          <w:p w14:paraId="72635E49">
            <w:pPr>
              <w:pStyle w:val="2"/>
              <w:keepNext/>
              <w:spacing w:after="0" w:line="440" w:lineRule="exact"/>
              <w:ind w:left="63" w:right="63"/>
              <w:rPr>
                <w:rFonts w:eastAsia="仿宋_GB2312"/>
                <w:color w:val="auto"/>
                <w:sz w:val="30"/>
                <w:szCs w:val="30"/>
                <w:highlight w:val="none"/>
              </w:rPr>
            </w:pPr>
          </w:p>
        </w:tc>
      </w:tr>
      <w:tr w14:paraId="46EDC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F4C0BA3">
            <w:pPr>
              <w:pStyle w:val="2"/>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技术负责人</w:t>
            </w:r>
          </w:p>
        </w:tc>
        <w:tc>
          <w:tcPr>
            <w:tcW w:w="1418" w:type="dxa"/>
            <w:noWrap w:val="0"/>
            <w:vAlign w:val="center"/>
          </w:tcPr>
          <w:p w14:paraId="4816BF66">
            <w:pPr>
              <w:pStyle w:val="2"/>
              <w:keepNext/>
              <w:spacing w:after="0" w:line="440" w:lineRule="exact"/>
              <w:ind w:left="63" w:right="63"/>
              <w:rPr>
                <w:rFonts w:eastAsia="仿宋_GB2312"/>
                <w:color w:val="auto"/>
                <w:sz w:val="28"/>
                <w:szCs w:val="28"/>
                <w:highlight w:val="none"/>
              </w:rPr>
            </w:pPr>
          </w:p>
        </w:tc>
        <w:tc>
          <w:tcPr>
            <w:tcW w:w="1134" w:type="dxa"/>
            <w:noWrap w:val="0"/>
            <w:vAlign w:val="center"/>
          </w:tcPr>
          <w:p w14:paraId="4E6B473E">
            <w:pPr>
              <w:pStyle w:val="2"/>
              <w:keepNext/>
              <w:spacing w:after="0" w:line="440" w:lineRule="exact"/>
              <w:ind w:left="63" w:right="63"/>
              <w:rPr>
                <w:rFonts w:eastAsia="仿宋_GB2312"/>
                <w:color w:val="auto"/>
                <w:sz w:val="30"/>
                <w:szCs w:val="30"/>
                <w:highlight w:val="none"/>
              </w:rPr>
            </w:pPr>
          </w:p>
        </w:tc>
        <w:tc>
          <w:tcPr>
            <w:tcW w:w="1134" w:type="dxa"/>
            <w:noWrap w:val="0"/>
            <w:vAlign w:val="center"/>
          </w:tcPr>
          <w:p w14:paraId="163F1D18">
            <w:pPr>
              <w:pStyle w:val="2"/>
              <w:keepNext/>
              <w:spacing w:after="0" w:line="440" w:lineRule="exact"/>
              <w:ind w:left="63" w:right="63"/>
              <w:rPr>
                <w:rFonts w:eastAsia="仿宋_GB2312"/>
                <w:color w:val="auto"/>
                <w:sz w:val="30"/>
                <w:szCs w:val="30"/>
                <w:highlight w:val="none"/>
              </w:rPr>
            </w:pPr>
          </w:p>
        </w:tc>
        <w:tc>
          <w:tcPr>
            <w:tcW w:w="4252" w:type="dxa"/>
            <w:noWrap w:val="0"/>
            <w:vAlign w:val="center"/>
          </w:tcPr>
          <w:p w14:paraId="799A41BB">
            <w:pPr>
              <w:pStyle w:val="2"/>
              <w:keepNext/>
              <w:spacing w:after="0" w:line="440" w:lineRule="exact"/>
              <w:ind w:left="63" w:right="63"/>
              <w:rPr>
                <w:rFonts w:eastAsia="仿宋_GB2312"/>
                <w:color w:val="auto"/>
                <w:sz w:val="30"/>
                <w:szCs w:val="30"/>
                <w:highlight w:val="none"/>
              </w:rPr>
            </w:pPr>
          </w:p>
        </w:tc>
      </w:tr>
      <w:tr w14:paraId="1327C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F432072">
            <w:pPr>
              <w:pStyle w:val="2"/>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造价管理</w:t>
            </w:r>
          </w:p>
        </w:tc>
        <w:tc>
          <w:tcPr>
            <w:tcW w:w="1418" w:type="dxa"/>
            <w:noWrap w:val="0"/>
            <w:vAlign w:val="center"/>
          </w:tcPr>
          <w:p w14:paraId="3EE2B570">
            <w:pPr>
              <w:pStyle w:val="2"/>
              <w:keepNext/>
              <w:spacing w:after="0" w:line="440" w:lineRule="exact"/>
              <w:ind w:left="63" w:right="63"/>
              <w:rPr>
                <w:rFonts w:eastAsia="仿宋_GB2312"/>
                <w:color w:val="auto"/>
                <w:sz w:val="28"/>
                <w:szCs w:val="28"/>
                <w:highlight w:val="none"/>
              </w:rPr>
            </w:pPr>
          </w:p>
        </w:tc>
        <w:tc>
          <w:tcPr>
            <w:tcW w:w="1134" w:type="dxa"/>
            <w:noWrap w:val="0"/>
            <w:vAlign w:val="center"/>
          </w:tcPr>
          <w:p w14:paraId="362CD1FE">
            <w:pPr>
              <w:pStyle w:val="2"/>
              <w:keepNext/>
              <w:spacing w:after="0" w:line="440" w:lineRule="exact"/>
              <w:ind w:left="63" w:right="63"/>
              <w:rPr>
                <w:rFonts w:eastAsia="仿宋_GB2312"/>
                <w:color w:val="auto"/>
                <w:sz w:val="30"/>
                <w:szCs w:val="30"/>
                <w:highlight w:val="none"/>
              </w:rPr>
            </w:pPr>
          </w:p>
        </w:tc>
        <w:tc>
          <w:tcPr>
            <w:tcW w:w="1134" w:type="dxa"/>
            <w:noWrap w:val="0"/>
            <w:vAlign w:val="center"/>
          </w:tcPr>
          <w:p w14:paraId="42462775">
            <w:pPr>
              <w:pStyle w:val="2"/>
              <w:keepNext/>
              <w:spacing w:after="0" w:line="440" w:lineRule="exact"/>
              <w:ind w:left="63" w:right="63"/>
              <w:rPr>
                <w:rFonts w:eastAsia="仿宋_GB2312"/>
                <w:color w:val="auto"/>
                <w:sz w:val="30"/>
                <w:szCs w:val="30"/>
                <w:highlight w:val="none"/>
              </w:rPr>
            </w:pPr>
          </w:p>
        </w:tc>
        <w:tc>
          <w:tcPr>
            <w:tcW w:w="4252" w:type="dxa"/>
            <w:noWrap w:val="0"/>
            <w:vAlign w:val="center"/>
          </w:tcPr>
          <w:p w14:paraId="0F6E1B72">
            <w:pPr>
              <w:pStyle w:val="2"/>
              <w:keepNext/>
              <w:spacing w:after="0" w:line="440" w:lineRule="exact"/>
              <w:ind w:left="63" w:right="63"/>
              <w:rPr>
                <w:rFonts w:eastAsia="仿宋_GB2312"/>
                <w:color w:val="auto"/>
                <w:sz w:val="30"/>
                <w:szCs w:val="30"/>
                <w:highlight w:val="none"/>
              </w:rPr>
            </w:pPr>
          </w:p>
        </w:tc>
      </w:tr>
      <w:tr w14:paraId="5FEA9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6ED33CC">
            <w:pPr>
              <w:pStyle w:val="2"/>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质量管理</w:t>
            </w:r>
          </w:p>
        </w:tc>
        <w:tc>
          <w:tcPr>
            <w:tcW w:w="1418" w:type="dxa"/>
            <w:noWrap w:val="0"/>
            <w:vAlign w:val="center"/>
          </w:tcPr>
          <w:p w14:paraId="5CB1327C">
            <w:pPr>
              <w:pStyle w:val="2"/>
              <w:keepNext/>
              <w:spacing w:after="0" w:line="440" w:lineRule="exact"/>
              <w:ind w:left="63" w:right="63"/>
              <w:rPr>
                <w:rFonts w:eastAsia="仿宋_GB2312"/>
                <w:color w:val="auto"/>
                <w:sz w:val="28"/>
                <w:szCs w:val="28"/>
                <w:highlight w:val="none"/>
              </w:rPr>
            </w:pPr>
          </w:p>
        </w:tc>
        <w:tc>
          <w:tcPr>
            <w:tcW w:w="1134" w:type="dxa"/>
            <w:noWrap w:val="0"/>
            <w:vAlign w:val="center"/>
          </w:tcPr>
          <w:p w14:paraId="291EB200">
            <w:pPr>
              <w:pStyle w:val="2"/>
              <w:keepNext/>
              <w:spacing w:after="0" w:line="440" w:lineRule="exact"/>
              <w:ind w:left="63" w:right="63"/>
              <w:rPr>
                <w:rFonts w:eastAsia="仿宋_GB2312"/>
                <w:color w:val="auto"/>
                <w:sz w:val="30"/>
                <w:szCs w:val="30"/>
                <w:highlight w:val="none"/>
              </w:rPr>
            </w:pPr>
          </w:p>
        </w:tc>
        <w:tc>
          <w:tcPr>
            <w:tcW w:w="1134" w:type="dxa"/>
            <w:noWrap w:val="0"/>
            <w:vAlign w:val="center"/>
          </w:tcPr>
          <w:p w14:paraId="69312472">
            <w:pPr>
              <w:pStyle w:val="2"/>
              <w:keepNext/>
              <w:spacing w:after="0" w:line="440" w:lineRule="exact"/>
              <w:ind w:left="63" w:right="63"/>
              <w:rPr>
                <w:rFonts w:eastAsia="仿宋_GB2312"/>
                <w:color w:val="auto"/>
                <w:sz w:val="30"/>
                <w:szCs w:val="30"/>
                <w:highlight w:val="none"/>
              </w:rPr>
            </w:pPr>
          </w:p>
        </w:tc>
        <w:tc>
          <w:tcPr>
            <w:tcW w:w="4252" w:type="dxa"/>
            <w:noWrap w:val="0"/>
            <w:vAlign w:val="center"/>
          </w:tcPr>
          <w:p w14:paraId="208108A2">
            <w:pPr>
              <w:pStyle w:val="2"/>
              <w:keepNext/>
              <w:spacing w:after="0" w:line="440" w:lineRule="exact"/>
              <w:ind w:left="63" w:right="63"/>
              <w:rPr>
                <w:rFonts w:eastAsia="仿宋_GB2312"/>
                <w:color w:val="auto"/>
                <w:sz w:val="30"/>
                <w:szCs w:val="30"/>
                <w:highlight w:val="none"/>
              </w:rPr>
            </w:pPr>
          </w:p>
        </w:tc>
      </w:tr>
      <w:tr w14:paraId="24DC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4D2096E">
            <w:pPr>
              <w:pStyle w:val="2"/>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材料管理</w:t>
            </w:r>
          </w:p>
        </w:tc>
        <w:tc>
          <w:tcPr>
            <w:tcW w:w="1418" w:type="dxa"/>
            <w:noWrap w:val="0"/>
            <w:vAlign w:val="center"/>
          </w:tcPr>
          <w:p w14:paraId="095A3603">
            <w:pPr>
              <w:pStyle w:val="2"/>
              <w:keepNext/>
              <w:spacing w:after="0" w:line="440" w:lineRule="exact"/>
              <w:ind w:left="63" w:right="63"/>
              <w:rPr>
                <w:rFonts w:eastAsia="仿宋_GB2312"/>
                <w:color w:val="auto"/>
                <w:sz w:val="28"/>
                <w:szCs w:val="28"/>
                <w:highlight w:val="none"/>
              </w:rPr>
            </w:pPr>
          </w:p>
        </w:tc>
        <w:tc>
          <w:tcPr>
            <w:tcW w:w="1134" w:type="dxa"/>
            <w:noWrap w:val="0"/>
            <w:vAlign w:val="center"/>
          </w:tcPr>
          <w:p w14:paraId="67583AE9">
            <w:pPr>
              <w:pStyle w:val="2"/>
              <w:keepNext/>
              <w:spacing w:after="0" w:line="440" w:lineRule="exact"/>
              <w:ind w:left="63" w:right="63"/>
              <w:rPr>
                <w:rFonts w:eastAsia="仿宋_GB2312"/>
                <w:color w:val="auto"/>
                <w:sz w:val="30"/>
                <w:szCs w:val="30"/>
                <w:highlight w:val="none"/>
              </w:rPr>
            </w:pPr>
          </w:p>
        </w:tc>
        <w:tc>
          <w:tcPr>
            <w:tcW w:w="1134" w:type="dxa"/>
            <w:noWrap w:val="0"/>
            <w:vAlign w:val="center"/>
          </w:tcPr>
          <w:p w14:paraId="525F2BE0">
            <w:pPr>
              <w:pStyle w:val="2"/>
              <w:keepNext/>
              <w:spacing w:after="0" w:line="440" w:lineRule="exact"/>
              <w:ind w:left="63" w:right="63"/>
              <w:rPr>
                <w:rFonts w:eastAsia="仿宋_GB2312"/>
                <w:color w:val="auto"/>
                <w:sz w:val="30"/>
                <w:szCs w:val="30"/>
                <w:highlight w:val="none"/>
              </w:rPr>
            </w:pPr>
          </w:p>
        </w:tc>
        <w:tc>
          <w:tcPr>
            <w:tcW w:w="4252" w:type="dxa"/>
            <w:noWrap w:val="0"/>
            <w:vAlign w:val="center"/>
          </w:tcPr>
          <w:p w14:paraId="1655E9C6">
            <w:pPr>
              <w:pStyle w:val="2"/>
              <w:keepNext/>
              <w:spacing w:after="0" w:line="440" w:lineRule="exact"/>
              <w:ind w:left="63" w:right="63"/>
              <w:rPr>
                <w:rFonts w:eastAsia="仿宋_GB2312"/>
                <w:color w:val="auto"/>
                <w:sz w:val="30"/>
                <w:szCs w:val="30"/>
                <w:highlight w:val="none"/>
              </w:rPr>
            </w:pPr>
          </w:p>
        </w:tc>
      </w:tr>
      <w:tr w14:paraId="32E1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6E22639">
            <w:pPr>
              <w:pStyle w:val="2"/>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计划管理</w:t>
            </w:r>
          </w:p>
        </w:tc>
        <w:tc>
          <w:tcPr>
            <w:tcW w:w="1418" w:type="dxa"/>
            <w:noWrap w:val="0"/>
            <w:vAlign w:val="center"/>
          </w:tcPr>
          <w:p w14:paraId="7A3A9BC9">
            <w:pPr>
              <w:pStyle w:val="2"/>
              <w:keepNext/>
              <w:spacing w:after="0" w:line="440" w:lineRule="exact"/>
              <w:ind w:left="63" w:right="63"/>
              <w:rPr>
                <w:rFonts w:eastAsia="仿宋_GB2312"/>
                <w:color w:val="auto"/>
                <w:sz w:val="28"/>
                <w:szCs w:val="28"/>
                <w:highlight w:val="none"/>
              </w:rPr>
            </w:pPr>
          </w:p>
        </w:tc>
        <w:tc>
          <w:tcPr>
            <w:tcW w:w="1134" w:type="dxa"/>
            <w:noWrap w:val="0"/>
            <w:vAlign w:val="center"/>
          </w:tcPr>
          <w:p w14:paraId="76D33F20">
            <w:pPr>
              <w:pStyle w:val="2"/>
              <w:keepNext/>
              <w:spacing w:after="0" w:line="440" w:lineRule="exact"/>
              <w:ind w:left="63" w:right="63"/>
              <w:rPr>
                <w:rFonts w:eastAsia="仿宋_GB2312"/>
                <w:color w:val="auto"/>
                <w:sz w:val="30"/>
                <w:szCs w:val="30"/>
                <w:highlight w:val="none"/>
              </w:rPr>
            </w:pPr>
          </w:p>
        </w:tc>
        <w:tc>
          <w:tcPr>
            <w:tcW w:w="1134" w:type="dxa"/>
            <w:noWrap w:val="0"/>
            <w:vAlign w:val="center"/>
          </w:tcPr>
          <w:p w14:paraId="6A9F271E">
            <w:pPr>
              <w:pStyle w:val="2"/>
              <w:keepNext/>
              <w:spacing w:after="0" w:line="440" w:lineRule="exact"/>
              <w:ind w:left="63" w:right="63"/>
              <w:rPr>
                <w:rFonts w:eastAsia="仿宋_GB2312"/>
                <w:color w:val="auto"/>
                <w:sz w:val="30"/>
                <w:szCs w:val="30"/>
                <w:highlight w:val="none"/>
              </w:rPr>
            </w:pPr>
          </w:p>
        </w:tc>
        <w:tc>
          <w:tcPr>
            <w:tcW w:w="4252" w:type="dxa"/>
            <w:noWrap w:val="0"/>
            <w:vAlign w:val="center"/>
          </w:tcPr>
          <w:p w14:paraId="1426275A">
            <w:pPr>
              <w:pStyle w:val="2"/>
              <w:keepNext/>
              <w:spacing w:after="0" w:line="440" w:lineRule="exact"/>
              <w:ind w:left="63" w:right="63"/>
              <w:rPr>
                <w:rFonts w:eastAsia="仿宋_GB2312"/>
                <w:color w:val="auto"/>
                <w:sz w:val="30"/>
                <w:szCs w:val="30"/>
                <w:highlight w:val="none"/>
              </w:rPr>
            </w:pPr>
          </w:p>
        </w:tc>
      </w:tr>
      <w:tr w14:paraId="0D67E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699BD20">
            <w:pPr>
              <w:pStyle w:val="2"/>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安全管理</w:t>
            </w:r>
          </w:p>
        </w:tc>
        <w:tc>
          <w:tcPr>
            <w:tcW w:w="1418" w:type="dxa"/>
            <w:noWrap w:val="0"/>
            <w:vAlign w:val="center"/>
          </w:tcPr>
          <w:p w14:paraId="3E0FA9CE">
            <w:pPr>
              <w:pStyle w:val="2"/>
              <w:keepNext/>
              <w:spacing w:after="0" w:line="440" w:lineRule="exact"/>
              <w:ind w:left="63" w:right="63"/>
              <w:rPr>
                <w:rFonts w:eastAsia="仿宋_GB2312"/>
                <w:color w:val="auto"/>
                <w:sz w:val="28"/>
                <w:szCs w:val="28"/>
                <w:highlight w:val="none"/>
              </w:rPr>
            </w:pPr>
          </w:p>
        </w:tc>
        <w:tc>
          <w:tcPr>
            <w:tcW w:w="1134" w:type="dxa"/>
            <w:noWrap w:val="0"/>
            <w:vAlign w:val="center"/>
          </w:tcPr>
          <w:p w14:paraId="78B0FFE1">
            <w:pPr>
              <w:pStyle w:val="2"/>
              <w:keepNext/>
              <w:spacing w:after="0" w:line="440" w:lineRule="exact"/>
              <w:ind w:left="63" w:right="63"/>
              <w:rPr>
                <w:rFonts w:eastAsia="仿宋_GB2312"/>
                <w:color w:val="auto"/>
                <w:sz w:val="30"/>
                <w:szCs w:val="30"/>
                <w:highlight w:val="none"/>
              </w:rPr>
            </w:pPr>
          </w:p>
        </w:tc>
        <w:tc>
          <w:tcPr>
            <w:tcW w:w="1134" w:type="dxa"/>
            <w:noWrap w:val="0"/>
            <w:vAlign w:val="center"/>
          </w:tcPr>
          <w:p w14:paraId="0CA7CB9F">
            <w:pPr>
              <w:pStyle w:val="2"/>
              <w:keepNext/>
              <w:spacing w:after="0" w:line="440" w:lineRule="exact"/>
              <w:ind w:left="63" w:right="63"/>
              <w:rPr>
                <w:rFonts w:eastAsia="仿宋_GB2312"/>
                <w:color w:val="auto"/>
                <w:sz w:val="30"/>
                <w:szCs w:val="30"/>
                <w:highlight w:val="none"/>
              </w:rPr>
            </w:pPr>
          </w:p>
        </w:tc>
        <w:tc>
          <w:tcPr>
            <w:tcW w:w="4252" w:type="dxa"/>
            <w:noWrap w:val="0"/>
            <w:vAlign w:val="center"/>
          </w:tcPr>
          <w:p w14:paraId="4DB3B329">
            <w:pPr>
              <w:pStyle w:val="2"/>
              <w:keepNext/>
              <w:spacing w:after="0" w:line="440" w:lineRule="exact"/>
              <w:ind w:left="63" w:right="63"/>
              <w:rPr>
                <w:rFonts w:eastAsia="仿宋_GB2312"/>
                <w:color w:val="auto"/>
                <w:sz w:val="30"/>
                <w:szCs w:val="30"/>
                <w:highlight w:val="none"/>
              </w:rPr>
            </w:pPr>
          </w:p>
        </w:tc>
      </w:tr>
      <w:tr w14:paraId="12ADE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63DBC388">
            <w:pPr>
              <w:pStyle w:val="2"/>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14:paraId="57764EF6">
            <w:pPr>
              <w:pStyle w:val="2"/>
              <w:keepNext/>
              <w:spacing w:after="0" w:line="440" w:lineRule="exact"/>
              <w:ind w:left="63" w:right="63"/>
              <w:rPr>
                <w:rFonts w:eastAsia="仿宋_GB2312"/>
                <w:color w:val="auto"/>
                <w:sz w:val="28"/>
                <w:szCs w:val="28"/>
                <w:highlight w:val="none"/>
              </w:rPr>
            </w:pPr>
          </w:p>
        </w:tc>
        <w:tc>
          <w:tcPr>
            <w:tcW w:w="1134" w:type="dxa"/>
            <w:noWrap w:val="0"/>
            <w:vAlign w:val="center"/>
          </w:tcPr>
          <w:p w14:paraId="7FFFB32B">
            <w:pPr>
              <w:pStyle w:val="2"/>
              <w:keepNext/>
              <w:spacing w:after="0" w:line="440" w:lineRule="exact"/>
              <w:ind w:left="63" w:right="63"/>
              <w:rPr>
                <w:rFonts w:eastAsia="仿宋_GB2312"/>
                <w:color w:val="auto"/>
                <w:sz w:val="30"/>
                <w:szCs w:val="30"/>
                <w:highlight w:val="none"/>
              </w:rPr>
            </w:pPr>
          </w:p>
        </w:tc>
        <w:tc>
          <w:tcPr>
            <w:tcW w:w="1134" w:type="dxa"/>
            <w:noWrap w:val="0"/>
            <w:vAlign w:val="center"/>
          </w:tcPr>
          <w:p w14:paraId="32D1FABD">
            <w:pPr>
              <w:pStyle w:val="2"/>
              <w:keepNext/>
              <w:spacing w:after="0" w:line="440" w:lineRule="exact"/>
              <w:ind w:left="63" w:right="63"/>
              <w:rPr>
                <w:rFonts w:eastAsia="仿宋_GB2312"/>
                <w:color w:val="auto"/>
                <w:sz w:val="30"/>
                <w:szCs w:val="30"/>
                <w:highlight w:val="none"/>
              </w:rPr>
            </w:pPr>
          </w:p>
        </w:tc>
        <w:tc>
          <w:tcPr>
            <w:tcW w:w="4252" w:type="dxa"/>
            <w:noWrap w:val="0"/>
            <w:vAlign w:val="center"/>
          </w:tcPr>
          <w:p w14:paraId="6AA0C0A7">
            <w:pPr>
              <w:pStyle w:val="2"/>
              <w:keepNext/>
              <w:spacing w:after="0" w:line="440" w:lineRule="exact"/>
              <w:ind w:left="63" w:right="63"/>
              <w:rPr>
                <w:rFonts w:eastAsia="仿宋_GB2312"/>
                <w:color w:val="auto"/>
                <w:sz w:val="30"/>
                <w:szCs w:val="30"/>
                <w:highlight w:val="none"/>
              </w:rPr>
            </w:pPr>
          </w:p>
        </w:tc>
      </w:tr>
      <w:tr w14:paraId="6C80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FEFEA11">
            <w:pPr>
              <w:pStyle w:val="2"/>
              <w:keepNext/>
              <w:spacing w:after="0" w:line="440" w:lineRule="exact"/>
              <w:ind w:left="63" w:right="63"/>
              <w:rPr>
                <w:rFonts w:eastAsia="仿宋_GB2312"/>
                <w:color w:val="auto"/>
                <w:sz w:val="28"/>
                <w:szCs w:val="28"/>
                <w:highlight w:val="none"/>
              </w:rPr>
            </w:pPr>
          </w:p>
        </w:tc>
        <w:tc>
          <w:tcPr>
            <w:tcW w:w="1418" w:type="dxa"/>
            <w:noWrap w:val="0"/>
            <w:vAlign w:val="center"/>
          </w:tcPr>
          <w:p w14:paraId="473DFF26">
            <w:pPr>
              <w:pStyle w:val="2"/>
              <w:keepNext/>
              <w:spacing w:after="0" w:line="440" w:lineRule="exact"/>
              <w:ind w:left="63" w:right="63"/>
              <w:rPr>
                <w:rFonts w:eastAsia="仿宋_GB2312"/>
                <w:color w:val="auto"/>
                <w:sz w:val="28"/>
                <w:szCs w:val="28"/>
                <w:highlight w:val="none"/>
              </w:rPr>
            </w:pPr>
          </w:p>
        </w:tc>
        <w:tc>
          <w:tcPr>
            <w:tcW w:w="1134" w:type="dxa"/>
            <w:noWrap w:val="0"/>
            <w:vAlign w:val="center"/>
          </w:tcPr>
          <w:p w14:paraId="0C15556B">
            <w:pPr>
              <w:pStyle w:val="2"/>
              <w:keepNext/>
              <w:spacing w:after="0" w:line="440" w:lineRule="exact"/>
              <w:ind w:left="63" w:right="63"/>
              <w:rPr>
                <w:rFonts w:eastAsia="仿宋_GB2312"/>
                <w:color w:val="auto"/>
                <w:sz w:val="30"/>
                <w:szCs w:val="30"/>
                <w:highlight w:val="none"/>
              </w:rPr>
            </w:pPr>
          </w:p>
        </w:tc>
        <w:tc>
          <w:tcPr>
            <w:tcW w:w="1134" w:type="dxa"/>
            <w:noWrap w:val="0"/>
            <w:vAlign w:val="center"/>
          </w:tcPr>
          <w:p w14:paraId="1D7A15AB">
            <w:pPr>
              <w:pStyle w:val="2"/>
              <w:keepNext/>
              <w:spacing w:after="0" w:line="440" w:lineRule="exact"/>
              <w:ind w:left="63" w:right="63"/>
              <w:rPr>
                <w:rFonts w:eastAsia="仿宋_GB2312"/>
                <w:color w:val="auto"/>
                <w:sz w:val="30"/>
                <w:szCs w:val="30"/>
                <w:highlight w:val="none"/>
              </w:rPr>
            </w:pPr>
          </w:p>
        </w:tc>
        <w:tc>
          <w:tcPr>
            <w:tcW w:w="4252" w:type="dxa"/>
            <w:noWrap w:val="0"/>
            <w:vAlign w:val="center"/>
          </w:tcPr>
          <w:p w14:paraId="49C38A80">
            <w:pPr>
              <w:pStyle w:val="2"/>
              <w:keepNext/>
              <w:spacing w:after="0" w:line="440" w:lineRule="exact"/>
              <w:ind w:left="63" w:right="63"/>
              <w:rPr>
                <w:rFonts w:eastAsia="仿宋_GB2312"/>
                <w:color w:val="auto"/>
                <w:sz w:val="30"/>
                <w:szCs w:val="30"/>
                <w:highlight w:val="none"/>
              </w:rPr>
            </w:pPr>
          </w:p>
        </w:tc>
      </w:tr>
      <w:tr w14:paraId="0519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A27AB68">
            <w:pPr>
              <w:pStyle w:val="2"/>
              <w:keepNext/>
              <w:spacing w:after="0" w:line="440" w:lineRule="exact"/>
              <w:ind w:left="63" w:right="63"/>
              <w:rPr>
                <w:rFonts w:eastAsia="仿宋_GB2312"/>
                <w:color w:val="auto"/>
                <w:sz w:val="28"/>
                <w:szCs w:val="28"/>
                <w:highlight w:val="none"/>
              </w:rPr>
            </w:pPr>
          </w:p>
        </w:tc>
        <w:tc>
          <w:tcPr>
            <w:tcW w:w="1418" w:type="dxa"/>
            <w:noWrap w:val="0"/>
            <w:vAlign w:val="center"/>
          </w:tcPr>
          <w:p w14:paraId="45309332">
            <w:pPr>
              <w:pStyle w:val="2"/>
              <w:keepNext/>
              <w:spacing w:after="0" w:line="440" w:lineRule="exact"/>
              <w:ind w:left="63" w:right="63"/>
              <w:rPr>
                <w:rFonts w:eastAsia="仿宋_GB2312"/>
                <w:color w:val="auto"/>
                <w:sz w:val="28"/>
                <w:szCs w:val="28"/>
                <w:highlight w:val="none"/>
              </w:rPr>
            </w:pPr>
          </w:p>
        </w:tc>
        <w:tc>
          <w:tcPr>
            <w:tcW w:w="1134" w:type="dxa"/>
            <w:noWrap w:val="0"/>
            <w:vAlign w:val="center"/>
          </w:tcPr>
          <w:p w14:paraId="2FB115ED">
            <w:pPr>
              <w:pStyle w:val="2"/>
              <w:keepNext/>
              <w:spacing w:after="0" w:line="440" w:lineRule="exact"/>
              <w:ind w:left="63" w:right="63"/>
              <w:rPr>
                <w:rFonts w:eastAsia="仿宋_GB2312"/>
                <w:color w:val="auto"/>
                <w:sz w:val="30"/>
                <w:szCs w:val="30"/>
                <w:highlight w:val="none"/>
              </w:rPr>
            </w:pPr>
          </w:p>
        </w:tc>
        <w:tc>
          <w:tcPr>
            <w:tcW w:w="1134" w:type="dxa"/>
            <w:noWrap w:val="0"/>
            <w:vAlign w:val="center"/>
          </w:tcPr>
          <w:p w14:paraId="67BB3E94">
            <w:pPr>
              <w:pStyle w:val="2"/>
              <w:keepNext/>
              <w:spacing w:after="0" w:line="440" w:lineRule="exact"/>
              <w:ind w:left="63" w:right="63"/>
              <w:rPr>
                <w:rFonts w:eastAsia="仿宋_GB2312"/>
                <w:color w:val="auto"/>
                <w:sz w:val="30"/>
                <w:szCs w:val="30"/>
                <w:highlight w:val="none"/>
              </w:rPr>
            </w:pPr>
          </w:p>
        </w:tc>
        <w:tc>
          <w:tcPr>
            <w:tcW w:w="4252" w:type="dxa"/>
            <w:noWrap w:val="0"/>
            <w:vAlign w:val="center"/>
          </w:tcPr>
          <w:p w14:paraId="5106DC9D">
            <w:pPr>
              <w:pStyle w:val="2"/>
              <w:keepNext/>
              <w:spacing w:after="0" w:line="440" w:lineRule="exact"/>
              <w:ind w:left="63" w:right="63"/>
              <w:rPr>
                <w:rFonts w:eastAsia="仿宋_GB2312"/>
                <w:color w:val="auto"/>
                <w:sz w:val="30"/>
                <w:szCs w:val="30"/>
                <w:highlight w:val="none"/>
              </w:rPr>
            </w:pPr>
          </w:p>
        </w:tc>
      </w:tr>
      <w:tr w14:paraId="3881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3FBB8B7">
            <w:pPr>
              <w:pStyle w:val="2"/>
              <w:keepNext/>
              <w:spacing w:after="0" w:line="440" w:lineRule="exact"/>
              <w:ind w:left="63" w:right="63"/>
              <w:rPr>
                <w:rFonts w:eastAsia="仿宋_GB2312"/>
                <w:color w:val="auto"/>
                <w:sz w:val="28"/>
                <w:szCs w:val="28"/>
                <w:highlight w:val="none"/>
              </w:rPr>
            </w:pPr>
          </w:p>
        </w:tc>
        <w:tc>
          <w:tcPr>
            <w:tcW w:w="1418" w:type="dxa"/>
            <w:noWrap w:val="0"/>
            <w:vAlign w:val="center"/>
          </w:tcPr>
          <w:p w14:paraId="3601CD95">
            <w:pPr>
              <w:pStyle w:val="2"/>
              <w:keepNext/>
              <w:spacing w:after="0" w:line="440" w:lineRule="exact"/>
              <w:ind w:left="63" w:right="63"/>
              <w:rPr>
                <w:rFonts w:eastAsia="仿宋_GB2312"/>
                <w:color w:val="auto"/>
                <w:sz w:val="28"/>
                <w:szCs w:val="28"/>
                <w:highlight w:val="none"/>
              </w:rPr>
            </w:pPr>
          </w:p>
        </w:tc>
        <w:tc>
          <w:tcPr>
            <w:tcW w:w="1134" w:type="dxa"/>
            <w:noWrap w:val="0"/>
            <w:vAlign w:val="center"/>
          </w:tcPr>
          <w:p w14:paraId="2C864C45">
            <w:pPr>
              <w:pStyle w:val="2"/>
              <w:keepNext/>
              <w:spacing w:after="0" w:line="440" w:lineRule="exact"/>
              <w:ind w:left="63" w:right="63"/>
              <w:rPr>
                <w:rFonts w:eastAsia="仿宋_GB2312"/>
                <w:color w:val="auto"/>
                <w:sz w:val="30"/>
                <w:szCs w:val="30"/>
                <w:highlight w:val="none"/>
              </w:rPr>
            </w:pPr>
          </w:p>
        </w:tc>
        <w:tc>
          <w:tcPr>
            <w:tcW w:w="1134" w:type="dxa"/>
            <w:noWrap w:val="0"/>
            <w:vAlign w:val="center"/>
          </w:tcPr>
          <w:p w14:paraId="7ADED23F">
            <w:pPr>
              <w:pStyle w:val="2"/>
              <w:keepNext/>
              <w:spacing w:after="0" w:line="440" w:lineRule="exact"/>
              <w:ind w:left="63" w:right="63"/>
              <w:rPr>
                <w:rFonts w:eastAsia="仿宋_GB2312"/>
                <w:color w:val="auto"/>
                <w:sz w:val="30"/>
                <w:szCs w:val="30"/>
                <w:highlight w:val="none"/>
              </w:rPr>
            </w:pPr>
          </w:p>
        </w:tc>
        <w:tc>
          <w:tcPr>
            <w:tcW w:w="4252" w:type="dxa"/>
            <w:noWrap w:val="0"/>
            <w:vAlign w:val="center"/>
          </w:tcPr>
          <w:p w14:paraId="73544453">
            <w:pPr>
              <w:pStyle w:val="2"/>
              <w:keepNext/>
              <w:spacing w:after="0" w:line="440" w:lineRule="exact"/>
              <w:ind w:left="63" w:right="63"/>
              <w:rPr>
                <w:rFonts w:eastAsia="仿宋_GB2312"/>
                <w:color w:val="auto"/>
                <w:sz w:val="30"/>
                <w:szCs w:val="30"/>
                <w:highlight w:val="none"/>
              </w:rPr>
            </w:pPr>
          </w:p>
        </w:tc>
      </w:tr>
      <w:tr w14:paraId="25510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1602F13">
            <w:pPr>
              <w:pStyle w:val="2"/>
              <w:keepNext/>
              <w:spacing w:after="0" w:line="440" w:lineRule="exact"/>
              <w:ind w:left="63" w:right="63"/>
              <w:rPr>
                <w:rFonts w:eastAsia="仿宋_GB2312"/>
                <w:color w:val="auto"/>
                <w:sz w:val="28"/>
                <w:szCs w:val="28"/>
                <w:highlight w:val="none"/>
              </w:rPr>
            </w:pPr>
          </w:p>
        </w:tc>
        <w:tc>
          <w:tcPr>
            <w:tcW w:w="1418" w:type="dxa"/>
            <w:noWrap w:val="0"/>
            <w:vAlign w:val="center"/>
          </w:tcPr>
          <w:p w14:paraId="3FF235D0">
            <w:pPr>
              <w:pStyle w:val="2"/>
              <w:keepNext/>
              <w:spacing w:after="0" w:line="440" w:lineRule="exact"/>
              <w:ind w:left="63" w:right="63"/>
              <w:rPr>
                <w:rFonts w:eastAsia="仿宋_GB2312"/>
                <w:color w:val="auto"/>
                <w:sz w:val="28"/>
                <w:szCs w:val="28"/>
                <w:highlight w:val="none"/>
              </w:rPr>
            </w:pPr>
          </w:p>
        </w:tc>
        <w:tc>
          <w:tcPr>
            <w:tcW w:w="1134" w:type="dxa"/>
            <w:noWrap w:val="0"/>
            <w:vAlign w:val="center"/>
          </w:tcPr>
          <w:p w14:paraId="6FEB3072">
            <w:pPr>
              <w:pStyle w:val="2"/>
              <w:keepNext/>
              <w:spacing w:after="0" w:line="440" w:lineRule="exact"/>
              <w:ind w:left="63" w:right="63"/>
              <w:rPr>
                <w:rFonts w:eastAsia="仿宋_GB2312"/>
                <w:color w:val="auto"/>
                <w:sz w:val="30"/>
                <w:szCs w:val="30"/>
                <w:highlight w:val="none"/>
              </w:rPr>
            </w:pPr>
          </w:p>
        </w:tc>
        <w:tc>
          <w:tcPr>
            <w:tcW w:w="1134" w:type="dxa"/>
            <w:noWrap w:val="0"/>
            <w:vAlign w:val="center"/>
          </w:tcPr>
          <w:p w14:paraId="7B5E2DDE">
            <w:pPr>
              <w:pStyle w:val="2"/>
              <w:keepNext/>
              <w:spacing w:after="0" w:line="440" w:lineRule="exact"/>
              <w:ind w:left="63" w:right="63"/>
              <w:rPr>
                <w:rFonts w:eastAsia="仿宋_GB2312"/>
                <w:color w:val="auto"/>
                <w:sz w:val="30"/>
                <w:szCs w:val="30"/>
                <w:highlight w:val="none"/>
              </w:rPr>
            </w:pPr>
          </w:p>
        </w:tc>
        <w:tc>
          <w:tcPr>
            <w:tcW w:w="4252" w:type="dxa"/>
            <w:noWrap w:val="0"/>
            <w:vAlign w:val="center"/>
          </w:tcPr>
          <w:p w14:paraId="724993C5">
            <w:pPr>
              <w:pStyle w:val="2"/>
              <w:keepNext/>
              <w:spacing w:after="0" w:line="440" w:lineRule="exact"/>
              <w:ind w:left="63" w:right="63"/>
              <w:rPr>
                <w:rFonts w:eastAsia="仿宋_GB2312"/>
                <w:color w:val="auto"/>
                <w:sz w:val="30"/>
                <w:szCs w:val="30"/>
                <w:highlight w:val="none"/>
              </w:rPr>
            </w:pPr>
          </w:p>
        </w:tc>
      </w:tr>
      <w:tr w14:paraId="33FE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9D041C4">
            <w:pPr>
              <w:pStyle w:val="2"/>
              <w:keepNext/>
              <w:spacing w:after="0" w:line="440" w:lineRule="exact"/>
              <w:ind w:left="63" w:right="63"/>
              <w:rPr>
                <w:rFonts w:eastAsia="仿宋_GB2312"/>
                <w:color w:val="auto"/>
                <w:sz w:val="28"/>
                <w:szCs w:val="28"/>
                <w:highlight w:val="none"/>
              </w:rPr>
            </w:pPr>
          </w:p>
        </w:tc>
        <w:tc>
          <w:tcPr>
            <w:tcW w:w="1418" w:type="dxa"/>
            <w:noWrap w:val="0"/>
            <w:vAlign w:val="center"/>
          </w:tcPr>
          <w:p w14:paraId="4C6E6358">
            <w:pPr>
              <w:pStyle w:val="2"/>
              <w:keepNext/>
              <w:spacing w:after="0" w:line="440" w:lineRule="exact"/>
              <w:ind w:left="63" w:right="63"/>
              <w:rPr>
                <w:rFonts w:eastAsia="仿宋_GB2312"/>
                <w:color w:val="auto"/>
                <w:sz w:val="28"/>
                <w:szCs w:val="28"/>
                <w:highlight w:val="none"/>
              </w:rPr>
            </w:pPr>
          </w:p>
        </w:tc>
        <w:tc>
          <w:tcPr>
            <w:tcW w:w="1134" w:type="dxa"/>
            <w:noWrap w:val="0"/>
            <w:vAlign w:val="center"/>
          </w:tcPr>
          <w:p w14:paraId="734A7C78">
            <w:pPr>
              <w:pStyle w:val="2"/>
              <w:keepNext/>
              <w:spacing w:after="0" w:line="440" w:lineRule="exact"/>
              <w:ind w:left="63" w:right="63"/>
              <w:rPr>
                <w:rFonts w:eastAsia="仿宋_GB2312"/>
                <w:color w:val="auto"/>
                <w:sz w:val="30"/>
                <w:szCs w:val="30"/>
                <w:highlight w:val="none"/>
              </w:rPr>
            </w:pPr>
          </w:p>
        </w:tc>
        <w:tc>
          <w:tcPr>
            <w:tcW w:w="1134" w:type="dxa"/>
            <w:noWrap w:val="0"/>
            <w:vAlign w:val="center"/>
          </w:tcPr>
          <w:p w14:paraId="2805E08B">
            <w:pPr>
              <w:pStyle w:val="2"/>
              <w:keepNext/>
              <w:spacing w:after="0" w:line="440" w:lineRule="exact"/>
              <w:ind w:left="63" w:right="63"/>
              <w:rPr>
                <w:rFonts w:eastAsia="仿宋_GB2312"/>
                <w:color w:val="auto"/>
                <w:sz w:val="30"/>
                <w:szCs w:val="30"/>
                <w:highlight w:val="none"/>
              </w:rPr>
            </w:pPr>
          </w:p>
        </w:tc>
        <w:tc>
          <w:tcPr>
            <w:tcW w:w="4252" w:type="dxa"/>
            <w:noWrap w:val="0"/>
            <w:vAlign w:val="center"/>
          </w:tcPr>
          <w:p w14:paraId="6B2398FB">
            <w:pPr>
              <w:pStyle w:val="2"/>
              <w:keepNext/>
              <w:spacing w:after="0" w:line="440" w:lineRule="exact"/>
              <w:ind w:left="63" w:right="63"/>
              <w:rPr>
                <w:rFonts w:eastAsia="仿宋_GB2312"/>
                <w:color w:val="auto"/>
                <w:sz w:val="30"/>
                <w:szCs w:val="30"/>
                <w:highlight w:val="none"/>
              </w:rPr>
            </w:pPr>
          </w:p>
        </w:tc>
      </w:tr>
    </w:tbl>
    <w:p w14:paraId="5B3CDFE9">
      <w:pPr>
        <w:pStyle w:val="11"/>
        <w:tabs>
          <w:tab w:val="left" w:pos="2472"/>
        </w:tabs>
        <w:spacing w:line="460" w:lineRule="exact"/>
        <w:jc w:val="center"/>
        <w:outlineLvl w:val="0"/>
        <w:rPr>
          <w:rFonts w:hint="eastAsia" w:ascii="宋体" w:hAnsi="宋体" w:eastAsia="宋体" w:cs="宋体"/>
          <w:b/>
          <w:color w:val="auto"/>
          <w:sz w:val="36"/>
          <w:highlight w:val="none"/>
        </w:rPr>
      </w:pPr>
      <w:r>
        <w:rPr>
          <w:rFonts w:eastAsia="仿宋_GB2312"/>
          <w:color w:val="auto"/>
          <w:sz w:val="30"/>
          <w:szCs w:val="30"/>
          <w:highlight w:val="none"/>
        </w:rPr>
        <w:br w:type="page"/>
      </w:r>
      <w:bookmarkStart w:id="1532" w:name="_Toc26884"/>
      <w:bookmarkStart w:id="1533" w:name="_Toc23994"/>
      <w:r>
        <w:rPr>
          <w:rFonts w:hint="eastAsia" w:ascii="宋体" w:hAnsi="宋体" w:eastAsia="宋体" w:cs="宋体"/>
          <w:b/>
          <w:color w:val="auto"/>
          <w:sz w:val="36"/>
          <w:highlight w:val="none"/>
        </w:rPr>
        <w:t>第六章 投标文件格式</w:t>
      </w:r>
      <w:bookmarkEnd w:id="1532"/>
      <w:bookmarkEnd w:id="1533"/>
    </w:p>
    <w:p w14:paraId="6B88ECB0">
      <w:pPr>
        <w:widowControl/>
        <w:spacing w:beforeAutospacing="1" w:line="360" w:lineRule="auto"/>
        <w:jc w:val="left"/>
        <w:rPr>
          <w:rFonts w:hint="eastAsia" w:ascii="宋体" w:hAnsi="宋体" w:eastAsia="宋体" w:cs="宋体"/>
          <w:color w:val="auto"/>
          <w:szCs w:val="20"/>
          <w:highlight w:val="none"/>
        </w:rPr>
        <w:sectPr>
          <w:pgSz w:w="11906" w:h="16838"/>
          <w:pgMar w:top="1134" w:right="1134" w:bottom="1134" w:left="1134" w:header="720" w:footer="720" w:gutter="0"/>
          <w:cols w:space="720" w:num="1"/>
          <w:docGrid w:type="lines" w:linePitch="331" w:charSpace="0"/>
        </w:sectPr>
      </w:pPr>
    </w:p>
    <w:p w14:paraId="10911ED9">
      <w:pPr>
        <w:pStyle w:val="11"/>
        <w:ind w:firstLine="551" w:firstLineChars="196"/>
        <w:jc w:val="center"/>
        <w:outlineLvl w:val="1"/>
        <w:rPr>
          <w:rFonts w:hint="eastAsia" w:ascii="宋体" w:hAnsi="宋体" w:eastAsia="宋体" w:cs="宋体"/>
          <w:b/>
          <w:bCs/>
          <w:color w:val="auto"/>
          <w:sz w:val="28"/>
          <w:szCs w:val="28"/>
          <w:highlight w:val="none"/>
        </w:rPr>
      </w:pPr>
      <w:bookmarkStart w:id="1534" w:name="_Toc6317"/>
      <w:bookmarkStart w:id="1535" w:name="_Toc17250"/>
      <w:r>
        <w:rPr>
          <w:rFonts w:hint="eastAsia" w:ascii="宋体" w:hAnsi="宋体" w:eastAsia="宋体" w:cs="宋体"/>
          <w:b/>
          <w:bCs/>
          <w:color w:val="auto"/>
          <w:sz w:val="28"/>
          <w:szCs w:val="28"/>
          <w:highlight w:val="none"/>
        </w:rPr>
        <w:t>第一节 投标文件外层包装封面</w:t>
      </w:r>
      <w:bookmarkEnd w:id="1534"/>
      <w:bookmarkEnd w:id="1535"/>
    </w:p>
    <w:p w14:paraId="0F4E397C">
      <w:pPr>
        <w:spacing w:before="120" w:beforeLines="50" w:after="120" w:afterLines="50"/>
        <w:jc w:val="center"/>
        <w:rPr>
          <w:rFonts w:hint="eastAsia" w:ascii="宋体" w:hAnsi="宋体" w:eastAsia="宋体" w:cs="宋体"/>
          <w:color w:val="auto"/>
          <w:spacing w:val="20"/>
          <w:sz w:val="44"/>
          <w:szCs w:val="44"/>
          <w:highlight w:val="none"/>
        </w:rPr>
      </w:pPr>
    </w:p>
    <w:p w14:paraId="65539738">
      <w:pPr>
        <w:spacing w:before="120" w:beforeLines="50" w:after="120" w:afterLines="50"/>
        <w:jc w:val="center"/>
        <w:rPr>
          <w:rFonts w:hint="eastAsia" w:ascii="宋体" w:hAnsi="宋体" w:eastAsia="宋体" w:cs="宋体"/>
          <w:color w:val="auto"/>
          <w:spacing w:val="20"/>
          <w:sz w:val="44"/>
          <w:szCs w:val="44"/>
          <w:highlight w:val="none"/>
        </w:rPr>
      </w:pPr>
    </w:p>
    <w:p w14:paraId="3EC3BC8F">
      <w:pPr>
        <w:spacing w:before="120" w:beforeLines="50" w:after="120" w:afterLines="50"/>
        <w:jc w:val="center"/>
        <w:rPr>
          <w:rFonts w:hint="eastAsia" w:ascii="宋体" w:hAnsi="宋体" w:eastAsia="宋体" w:cs="宋体"/>
          <w:color w:val="auto"/>
          <w:spacing w:val="20"/>
          <w:sz w:val="44"/>
          <w:szCs w:val="44"/>
          <w:highlight w:val="none"/>
        </w:rPr>
      </w:pPr>
    </w:p>
    <w:p w14:paraId="709C39AC">
      <w:pPr>
        <w:spacing w:before="120" w:beforeLines="50" w:after="120" w:afterLines="50"/>
        <w:jc w:val="center"/>
        <w:rPr>
          <w:rFonts w:hint="eastAsia" w:ascii="宋体" w:hAnsi="宋体" w:eastAsia="宋体" w:cs="宋体"/>
          <w:color w:val="auto"/>
          <w:spacing w:val="20"/>
          <w:sz w:val="44"/>
          <w:szCs w:val="44"/>
          <w:highlight w:val="none"/>
        </w:rPr>
      </w:pPr>
    </w:p>
    <w:p w14:paraId="14C31955">
      <w:pPr>
        <w:spacing w:before="120" w:beforeLines="50" w:after="120" w:afterLines="50"/>
        <w:jc w:val="center"/>
        <w:rPr>
          <w:rFonts w:hint="eastAsia" w:ascii="宋体" w:hAnsi="宋体" w:eastAsia="宋体" w:cs="宋体"/>
          <w:color w:val="auto"/>
          <w:spacing w:val="20"/>
          <w:sz w:val="44"/>
          <w:szCs w:val="44"/>
          <w:highlight w:val="none"/>
        </w:rPr>
      </w:pPr>
      <w:bookmarkStart w:id="1536" w:name="PO_3000001866_PM002_12"/>
      <w:r>
        <w:rPr>
          <w:rFonts w:hint="eastAsia" w:ascii="宋体" w:hAnsi="宋体" w:eastAsia="宋体" w:cs="宋体"/>
          <w:color w:val="auto"/>
          <w:spacing w:val="20"/>
          <w:sz w:val="44"/>
          <w:szCs w:val="44"/>
          <w:highlight w:val="none"/>
        </w:rPr>
        <w:t>[项目名称]</w:t>
      </w:r>
      <w:bookmarkEnd w:id="1536"/>
    </w:p>
    <w:p w14:paraId="1ADBF2C4">
      <w:pPr>
        <w:spacing w:before="120" w:beforeLines="50" w:after="120" w:afterLines="50"/>
        <w:jc w:val="center"/>
        <w:rPr>
          <w:rFonts w:hint="eastAsia" w:ascii="宋体" w:hAnsi="宋体" w:eastAsia="宋体" w:cs="宋体"/>
          <w:color w:val="auto"/>
          <w:spacing w:val="40"/>
          <w:w w:val="110"/>
          <w:sz w:val="44"/>
          <w:szCs w:val="44"/>
          <w:highlight w:val="none"/>
        </w:rPr>
      </w:pPr>
      <w:r>
        <w:rPr>
          <w:rFonts w:hint="eastAsia" w:ascii="宋体" w:hAnsi="宋体" w:eastAsia="宋体" w:cs="宋体"/>
          <w:color w:val="auto"/>
          <w:spacing w:val="40"/>
          <w:w w:val="110"/>
          <w:sz w:val="44"/>
          <w:szCs w:val="44"/>
          <w:highlight w:val="none"/>
        </w:rPr>
        <w:t>投标文件</w:t>
      </w:r>
    </w:p>
    <w:p w14:paraId="68D6DE9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（电子投标文件）</w:t>
      </w:r>
    </w:p>
    <w:tbl>
      <w:tblPr>
        <w:tblStyle w:val="20"/>
        <w:tblW w:w="7773" w:type="dxa"/>
        <w:jc w:val="center"/>
        <w:tblLayout w:type="fixed"/>
        <w:tblCellMar>
          <w:top w:w="0" w:type="dxa"/>
          <w:left w:w="108" w:type="dxa"/>
          <w:bottom w:w="0" w:type="dxa"/>
          <w:right w:w="108" w:type="dxa"/>
        </w:tblCellMar>
      </w:tblPr>
      <w:tblGrid>
        <w:gridCol w:w="1601"/>
        <w:gridCol w:w="6172"/>
      </w:tblGrid>
      <w:tr w14:paraId="6B18933F">
        <w:tblPrEx>
          <w:tblCellMar>
            <w:top w:w="0" w:type="dxa"/>
            <w:left w:w="108" w:type="dxa"/>
            <w:bottom w:w="0" w:type="dxa"/>
            <w:right w:w="108" w:type="dxa"/>
          </w:tblCellMar>
        </w:tblPrEx>
        <w:trPr>
          <w:jc w:val="center"/>
        </w:trPr>
        <w:tc>
          <w:tcPr>
            <w:tcW w:w="1601" w:type="dxa"/>
            <w:vAlign w:val="bottom"/>
          </w:tcPr>
          <w:p w14:paraId="7559C8A9">
            <w:pPr>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6172" w:type="dxa"/>
            <w:tcBorders>
              <w:top w:val="nil"/>
              <w:left w:val="nil"/>
              <w:bottom w:val="single" w:color="000000" w:sz="4" w:space="0"/>
              <w:right w:val="nil"/>
            </w:tcBorders>
            <w:vAlign w:val="bottom"/>
          </w:tcPr>
          <w:p w14:paraId="1DD4C75E">
            <w:pPr>
              <w:jc w:val="left"/>
              <w:rPr>
                <w:rFonts w:hint="eastAsia" w:ascii="宋体" w:hAnsi="宋体" w:eastAsia="宋体" w:cs="宋体"/>
                <w:color w:val="auto"/>
                <w:sz w:val="24"/>
                <w:highlight w:val="none"/>
              </w:rPr>
            </w:pPr>
          </w:p>
        </w:tc>
      </w:tr>
      <w:tr w14:paraId="3A8A2B4C">
        <w:tblPrEx>
          <w:tblCellMar>
            <w:top w:w="0" w:type="dxa"/>
            <w:left w:w="108" w:type="dxa"/>
            <w:bottom w:w="0" w:type="dxa"/>
            <w:right w:w="108" w:type="dxa"/>
          </w:tblCellMar>
        </w:tblPrEx>
        <w:trPr>
          <w:jc w:val="center"/>
        </w:trPr>
        <w:tc>
          <w:tcPr>
            <w:tcW w:w="1601" w:type="dxa"/>
            <w:vAlign w:val="bottom"/>
          </w:tcPr>
          <w:p w14:paraId="5CB0E06D">
            <w:pPr>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采购方式：</w:t>
            </w:r>
          </w:p>
        </w:tc>
        <w:tc>
          <w:tcPr>
            <w:tcW w:w="6172" w:type="dxa"/>
            <w:tcBorders>
              <w:top w:val="single" w:color="000000" w:sz="4" w:space="0"/>
              <w:left w:val="nil"/>
              <w:bottom w:val="single" w:color="000000" w:sz="4" w:space="0"/>
              <w:right w:val="nil"/>
            </w:tcBorders>
            <w:vAlign w:val="bottom"/>
          </w:tcPr>
          <w:p w14:paraId="5AF48CF5">
            <w:pPr>
              <w:jc w:val="left"/>
              <w:rPr>
                <w:rFonts w:hint="eastAsia" w:ascii="宋体" w:hAnsi="宋体" w:eastAsia="宋体" w:cs="宋体"/>
                <w:color w:val="auto"/>
                <w:sz w:val="24"/>
                <w:highlight w:val="none"/>
              </w:rPr>
            </w:pPr>
          </w:p>
        </w:tc>
      </w:tr>
      <w:tr w14:paraId="16AD47CA">
        <w:tblPrEx>
          <w:tblCellMar>
            <w:top w:w="0" w:type="dxa"/>
            <w:left w:w="108" w:type="dxa"/>
            <w:bottom w:w="0" w:type="dxa"/>
            <w:right w:w="108" w:type="dxa"/>
          </w:tblCellMar>
        </w:tblPrEx>
        <w:trPr>
          <w:jc w:val="center"/>
        </w:trPr>
        <w:tc>
          <w:tcPr>
            <w:tcW w:w="1601" w:type="dxa"/>
            <w:vAlign w:val="bottom"/>
          </w:tcPr>
          <w:p w14:paraId="4697EF76">
            <w:pPr>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c>
          <w:tcPr>
            <w:tcW w:w="6172" w:type="dxa"/>
            <w:tcBorders>
              <w:top w:val="single" w:color="000000" w:sz="4" w:space="0"/>
              <w:left w:val="nil"/>
              <w:bottom w:val="single" w:color="000000" w:sz="4" w:space="0"/>
              <w:right w:val="nil"/>
            </w:tcBorders>
            <w:vAlign w:val="bottom"/>
          </w:tcPr>
          <w:p w14:paraId="763FA7CA">
            <w:pPr>
              <w:jc w:val="left"/>
              <w:rPr>
                <w:rFonts w:hint="eastAsia" w:ascii="宋体" w:hAnsi="宋体" w:eastAsia="宋体" w:cs="宋体"/>
                <w:color w:val="auto"/>
                <w:sz w:val="24"/>
                <w:highlight w:val="none"/>
              </w:rPr>
            </w:pPr>
          </w:p>
        </w:tc>
      </w:tr>
      <w:tr w14:paraId="378CC3AB">
        <w:tblPrEx>
          <w:tblCellMar>
            <w:top w:w="0" w:type="dxa"/>
            <w:left w:w="108" w:type="dxa"/>
            <w:bottom w:w="0" w:type="dxa"/>
            <w:right w:w="108" w:type="dxa"/>
          </w:tblCellMar>
        </w:tblPrEx>
        <w:trPr>
          <w:jc w:val="center"/>
        </w:trPr>
        <w:tc>
          <w:tcPr>
            <w:tcW w:w="1601" w:type="dxa"/>
            <w:vAlign w:val="bottom"/>
          </w:tcPr>
          <w:p w14:paraId="1A234E6A">
            <w:pPr>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所投分标：</w:t>
            </w:r>
          </w:p>
        </w:tc>
        <w:tc>
          <w:tcPr>
            <w:tcW w:w="6172" w:type="dxa"/>
            <w:tcBorders>
              <w:top w:val="single" w:color="000000" w:sz="4" w:space="0"/>
              <w:left w:val="nil"/>
              <w:bottom w:val="single" w:color="000000" w:sz="4" w:space="0"/>
              <w:right w:val="nil"/>
            </w:tcBorders>
            <w:vAlign w:val="bottom"/>
          </w:tcPr>
          <w:p w14:paraId="6F529023">
            <w:pPr>
              <w:jc w:val="left"/>
              <w:rPr>
                <w:rFonts w:hint="eastAsia" w:ascii="宋体" w:hAnsi="宋体" w:eastAsia="宋体" w:cs="宋体"/>
                <w:color w:val="auto"/>
                <w:sz w:val="24"/>
                <w:highlight w:val="none"/>
              </w:rPr>
            </w:pPr>
          </w:p>
        </w:tc>
      </w:tr>
      <w:tr w14:paraId="781B9820">
        <w:tblPrEx>
          <w:tblCellMar>
            <w:top w:w="0" w:type="dxa"/>
            <w:left w:w="108" w:type="dxa"/>
            <w:bottom w:w="0" w:type="dxa"/>
            <w:right w:w="108" w:type="dxa"/>
          </w:tblCellMar>
        </w:tblPrEx>
        <w:trPr>
          <w:jc w:val="center"/>
        </w:trPr>
        <w:tc>
          <w:tcPr>
            <w:tcW w:w="1601" w:type="dxa"/>
            <w:vAlign w:val="bottom"/>
          </w:tcPr>
          <w:p w14:paraId="3A61D482">
            <w:pPr>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6172" w:type="dxa"/>
            <w:tcBorders>
              <w:top w:val="single" w:color="000000" w:sz="4" w:space="0"/>
              <w:left w:val="nil"/>
              <w:bottom w:val="single" w:color="000000" w:sz="4" w:space="0"/>
              <w:right w:val="nil"/>
            </w:tcBorders>
            <w:vAlign w:val="bottom"/>
          </w:tcPr>
          <w:p w14:paraId="5D192016">
            <w:pPr>
              <w:jc w:val="left"/>
              <w:rPr>
                <w:rFonts w:hint="eastAsia" w:ascii="宋体" w:hAnsi="宋体" w:eastAsia="宋体" w:cs="宋体"/>
                <w:color w:val="auto"/>
                <w:sz w:val="24"/>
                <w:highlight w:val="none"/>
              </w:rPr>
            </w:pPr>
          </w:p>
        </w:tc>
      </w:tr>
      <w:tr w14:paraId="54421595">
        <w:tblPrEx>
          <w:tblCellMar>
            <w:top w:w="0" w:type="dxa"/>
            <w:left w:w="108" w:type="dxa"/>
            <w:bottom w:w="0" w:type="dxa"/>
            <w:right w:w="108" w:type="dxa"/>
          </w:tblCellMar>
        </w:tblPrEx>
        <w:trPr>
          <w:jc w:val="center"/>
        </w:trPr>
        <w:tc>
          <w:tcPr>
            <w:tcW w:w="1601" w:type="dxa"/>
            <w:vAlign w:val="bottom"/>
          </w:tcPr>
          <w:p w14:paraId="74FA8CDE">
            <w:pPr>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投标人地址：</w:t>
            </w:r>
          </w:p>
        </w:tc>
        <w:tc>
          <w:tcPr>
            <w:tcW w:w="6172" w:type="dxa"/>
            <w:tcBorders>
              <w:top w:val="single" w:color="000000" w:sz="4" w:space="0"/>
              <w:left w:val="nil"/>
              <w:bottom w:val="single" w:color="000000" w:sz="4" w:space="0"/>
              <w:right w:val="nil"/>
            </w:tcBorders>
            <w:vAlign w:val="bottom"/>
          </w:tcPr>
          <w:p w14:paraId="0C3C3A3A">
            <w:pPr>
              <w:jc w:val="left"/>
              <w:rPr>
                <w:rFonts w:hint="eastAsia" w:ascii="宋体" w:hAnsi="宋体" w:eastAsia="宋体" w:cs="宋体"/>
                <w:color w:val="auto"/>
                <w:sz w:val="24"/>
                <w:highlight w:val="none"/>
              </w:rPr>
            </w:pPr>
          </w:p>
        </w:tc>
      </w:tr>
    </w:tbl>
    <w:p w14:paraId="3F985B58">
      <w:pPr>
        <w:ind w:firstLine="4200" w:firstLineChars="1750"/>
        <w:rPr>
          <w:rFonts w:hint="eastAsia" w:ascii="宋体" w:hAnsi="宋体" w:eastAsia="宋体" w:cs="宋体"/>
          <w:color w:val="auto"/>
          <w:sz w:val="24"/>
          <w:highlight w:val="none"/>
        </w:rPr>
      </w:pPr>
    </w:p>
    <w:p w14:paraId="302A0CA0">
      <w:pPr>
        <w:ind w:firstLine="4200" w:firstLineChars="1750"/>
        <w:rPr>
          <w:rFonts w:hint="eastAsia" w:ascii="宋体" w:hAnsi="宋体" w:eastAsia="宋体" w:cs="宋体"/>
          <w:color w:val="auto"/>
          <w:sz w:val="24"/>
          <w:highlight w:val="none"/>
        </w:rPr>
      </w:pPr>
    </w:p>
    <w:p w14:paraId="67E24340">
      <w:pPr>
        <w:ind w:firstLine="4200" w:firstLineChars="1750"/>
        <w:rPr>
          <w:rFonts w:hint="eastAsia" w:ascii="宋体" w:hAnsi="宋体" w:eastAsia="宋体" w:cs="宋体"/>
          <w:color w:val="auto"/>
          <w:sz w:val="24"/>
          <w:highlight w:val="none"/>
        </w:rPr>
      </w:pPr>
    </w:p>
    <w:p w14:paraId="4E9316C7">
      <w:pPr>
        <w:ind w:firstLine="5880" w:firstLineChars="245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投标截止时间前不得解密</w:t>
      </w:r>
    </w:p>
    <w:p w14:paraId="19937C54">
      <w:pPr>
        <w:ind w:firstLine="6480" w:firstLineChars="2700"/>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64491F36">
      <w:pPr>
        <w:widowControl/>
        <w:jc w:val="left"/>
        <w:rPr>
          <w:rFonts w:hint="eastAsia" w:ascii="宋体" w:hAnsi="宋体" w:eastAsia="宋体" w:cs="宋体"/>
          <w:color w:val="auto"/>
          <w:sz w:val="24"/>
          <w:highlight w:val="none"/>
        </w:rPr>
        <w:sectPr>
          <w:pgSz w:w="11907" w:h="16840"/>
          <w:pgMar w:top="1531" w:right="1418" w:bottom="1361" w:left="1418" w:header="720" w:footer="720" w:gutter="0"/>
          <w:cols w:space="720" w:num="1"/>
        </w:sectPr>
      </w:pPr>
    </w:p>
    <w:p w14:paraId="69F10E1D">
      <w:pPr>
        <w:pStyle w:val="11"/>
        <w:jc w:val="center"/>
        <w:outlineLvl w:val="1"/>
        <w:rPr>
          <w:rFonts w:hint="eastAsia" w:ascii="宋体" w:hAnsi="宋体" w:eastAsia="宋体" w:cs="宋体"/>
          <w:b/>
          <w:bCs/>
          <w:color w:val="auto"/>
          <w:sz w:val="28"/>
          <w:szCs w:val="28"/>
          <w:highlight w:val="none"/>
        </w:rPr>
      </w:pPr>
      <w:bookmarkStart w:id="1537" w:name="_Toc7317"/>
      <w:bookmarkStart w:id="1538" w:name="_Toc24486"/>
      <w:r>
        <w:rPr>
          <w:rFonts w:hint="eastAsia" w:ascii="宋体" w:hAnsi="宋体" w:eastAsia="宋体" w:cs="宋体"/>
          <w:b/>
          <w:bCs/>
          <w:color w:val="auto"/>
          <w:sz w:val="28"/>
          <w:szCs w:val="28"/>
          <w:highlight w:val="none"/>
        </w:rPr>
        <w:t>第二节 资格证明文件格式</w:t>
      </w:r>
      <w:bookmarkEnd w:id="1537"/>
      <w:bookmarkEnd w:id="1538"/>
    </w:p>
    <w:p w14:paraId="4950BF79">
      <w:pPr>
        <w:pStyle w:val="11"/>
        <w:spacing w:line="360" w:lineRule="auto"/>
        <w:ind w:firstLine="420"/>
        <w:rPr>
          <w:rFonts w:hint="eastAsia" w:ascii="宋体" w:hAnsi="宋体" w:eastAsia="宋体" w:cs="宋体"/>
          <w:color w:val="auto"/>
          <w:sz w:val="30"/>
          <w:highlight w:val="none"/>
        </w:rPr>
      </w:pPr>
    </w:p>
    <w:p w14:paraId="02700227">
      <w:pPr>
        <w:snapToGrid w:val="0"/>
        <w:spacing w:before="165"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电子投标文件</w:t>
      </w:r>
    </w:p>
    <w:p w14:paraId="06E85DC0">
      <w:pPr>
        <w:snapToGrid w:val="0"/>
        <w:spacing w:before="165" w:beforeLines="50" w:after="50"/>
        <w:rPr>
          <w:rFonts w:hint="eastAsia" w:ascii="宋体" w:hAnsi="宋体" w:eastAsia="宋体" w:cs="宋体"/>
          <w:color w:val="auto"/>
          <w:sz w:val="24"/>
          <w:szCs w:val="20"/>
          <w:highlight w:val="none"/>
        </w:rPr>
      </w:pPr>
    </w:p>
    <w:p w14:paraId="36C719E3">
      <w:pPr>
        <w:snapToGrid w:val="0"/>
        <w:spacing w:before="165" w:beforeLines="50" w:after="50"/>
        <w:jc w:val="center"/>
        <w:rPr>
          <w:rFonts w:hint="eastAsia" w:ascii="宋体" w:hAnsi="宋体" w:eastAsia="宋体" w:cs="宋体"/>
          <w:b/>
          <w:color w:val="auto"/>
          <w:sz w:val="24"/>
          <w:szCs w:val="20"/>
          <w:highlight w:val="none"/>
        </w:rPr>
      </w:pPr>
      <w:r>
        <w:rPr>
          <w:rFonts w:hint="eastAsia" w:ascii="宋体" w:hAnsi="宋体" w:eastAsia="宋体" w:cs="宋体"/>
          <w:b/>
          <w:color w:val="auto"/>
          <w:sz w:val="32"/>
          <w:szCs w:val="32"/>
          <w:highlight w:val="none"/>
        </w:rPr>
        <w:t>资格证明文件（封面）</w:t>
      </w:r>
    </w:p>
    <w:p w14:paraId="0E74DA53">
      <w:pPr>
        <w:snapToGrid w:val="0"/>
        <w:spacing w:before="165" w:beforeLines="50" w:after="50"/>
        <w:rPr>
          <w:rFonts w:hint="eastAsia" w:ascii="宋体" w:hAnsi="宋体" w:eastAsia="宋体" w:cs="宋体"/>
          <w:bCs/>
          <w:color w:val="auto"/>
          <w:sz w:val="24"/>
          <w:szCs w:val="20"/>
          <w:highlight w:val="none"/>
        </w:rPr>
      </w:pPr>
    </w:p>
    <w:p w14:paraId="317C7F58">
      <w:pPr>
        <w:snapToGrid w:val="0"/>
        <w:spacing w:before="165" w:beforeLines="50" w:after="50"/>
        <w:rPr>
          <w:rFonts w:hint="eastAsia" w:ascii="宋体" w:hAnsi="宋体" w:eastAsia="宋体" w:cs="宋体"/>
          <w:bCs/>
          <w:color w:val="auto"/>
          <w:sz w:val="24"/>
          <w:szCs w:val="20"/>
          <w:highlight w:val="none"/>
        </w:rPr>
      </w:pPr>
    </w:p>
    <w:p w14:paraId="32EB78D3">
      <w:pPr>
        <w:snapToGrid w:val="0"/>
        <w:spacing w:before="165" w:beforeLines="50" w:after="50"/>
        <w:rPr>
          <w:rFonts w:hint="eastAsia" w:ascii="宋体" w:hAnsi="宋体" w:eastAsia="宋体" w:cs="宋体"/>
          <w:bCs/>
          <w:color w:val="auto"/>
          <w:sz w:val="24"/>
          <w:szCs w:val="20"/>
          <w:highlight w:val="none"/>
        </w:rPr>
      </w:pPr>
    </w:p>
    <w:p w14:paraId="0E76C265">
      <w:pPr>
        <w:snapToGrid w:val="0"/>
        <w:spacing w:before="165" w:beforeLines="50" w:after="50"/>
        <w:rPr>
          <w:rFonts w:hint="eastAsia" w:ascii="宋体" w:hAnsi="宋体" w:eastAsia="宋体" w:cs="宋体"/>
          <w:bCs/>
          <w:color w:val="auto"/>
          <w:sz w:val="24"/>
          <w:szCs w:val="20"/>
          <w:highlight w:val="none"/>
        </w:rPr>
      </w:pPr>
    </w:p>
    <w:p w14:paraId="2791FB8A">
      <w:pPr>
        <w:snapToGrid w:val="0"/>
        <w:spacing w:before="165" w:beforeLines="50" w:after="50"/>
        <w:rPr>
          <w:rFonts w:hint="eastAsia" w:ascii="宋体" w:hAnsi="宋体" w:eastAsia="宋体" w:cs="宋体"/>
          <w:bCs/>
          <w:color w:val="auto"/>
          <w:sz w:val="24"/>
          <w:szCs w:val="20"/>
          <w:highlight w:val="none"/>
        </w:rPr>
      </w:pPr>
    </w:p>
    <w:p w14:paraId="3B49B40C">
      <w:pPr>
        <w:snapToGrid w:val="0"/>
        <w:spacing w:before="165" w:beforeLines="50" w:after="50"/>
        <w:rPr>
          <w:rFonts w:hint="eastAsia" w:ascii="宋体" w:hAnsi="宋体" w:eastAsia="宋体" w:cs="宋体"/>
          <w:bCs/>
          <w:color w:val="auto"/>
          <w:sz w:val="24"/>
          <w:szCs w:val="20"/>
          <w:highlight w:val="none"/>
        </w:rPr>
      </w:pPr>
    </w:p>
    <w:p w14:paraId="6E066C31">
      <w:pPr>
        <w:snapToGrid w:val="0"/>
        <w:spacing w:before="165" w:beforeLines="50" w:after="50"/>
        <w:rPr>
          <w:rFonts w:hint="eastAsia" w:ascii="宋体" w:hAnsi="宋体" w:eastAsia="宋体" w:cs="宋体"/>
          <w:bCs/>
          <w:color w:val="auto"/>
          <w:sz w:val="24"/>
          <w:szCs w:val="20"/>
          <w:highlight w:val="none"/>
        </w:rPr>
      </w:pPr>
    </w:p>
    <w:p w14:paraId="441C0DD0">
      <w:pPr>
        <w:snapToGrid w:val="0"/>
        <w:spacing w:before="165"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项目名称：</w:t>
      </w:r>
    </w:p>
    <w:p w14:paraId="61274718">
      <w:pPr>
        <w:snapToGrid w:val="0"/>
        <w:spacing w:before="165" w:beforeLines="50" w:after="50"/>
        <w:ind w:firstLine="540" w:firstLineChars="225"/>
        <w:rPr>
          <w:rFonts w:hint="eastAsia" w:ascii="宋体" w:hAnsi="宋体" w:eastAsia="宋体" w:cs="宋体"/>
          <w:bCs/>
          <w:color w:val="auto"/>
          <w:sz w:val="24"/>
          <w:szCs w:val="20"/>
          <w:highlight w:val="none"/>
        </w:rPr>
      </w:pPr>
    </w:p>
    <w:p w14:paraId="6C17ACC3">
      <w:pPr>
        <w:snapToGrid w:val="0"/>
        <w:spacing w:before="165"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项目编号：</w:t>
      </w:r>
    </w:p>
    <w:p w14:paraId="28C8F495">
      <w:pPr>
        <w:snapToGrid w:val="0"/>
        <w:spacing w:before="165" w:beforeLines="50" w:after="50"/>
        <w:ind w:firstLine="540" w:firstLineChars="225"/>
        <w:rPr>
          <w:rFonts w:hint="eastAsia" w:ascii="宋体" w:hAnsi="宋体" w:eastAsia="宋体" w:cs="宋体"/>
          <w:bCs/>
          <w:color w:val="auto"/>
          <w:sz w:val="24"/>
          <w:szCs w:val="20"/>
          <w:highlight w:val="none"/>
        </w:rPr>
      </w:pPr>
      <w:r>
        <w:rPr>
          <w:rFonts w:hint="eastAsia" w:ascii="宋体" w:hAnsi="宋体" w:eastAsia="宋体" w:cs="宋体"/>
          <w:bCs/>
          <w:color w:val="auto"/>
          <w:sz w:val="24"/>
          <w:highlight w:val="none"/>
        </w:rPr>
        <w:t xml:space="preserve"> </w:t>
      </w:r>
    </w:p>
    <w:p w14:paraId="6191C1C4">
      <w:pPr>
        <w:snapToGrid w:val="0"/>
        <w:spacing w:before="165"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w:t>
      </w:r>
    </w:p>
    <w:p w14:paraId="1034804C">
      <w:pPr>
        <w:pStyle w:val="8"/>
        <w:snapToGrid w:val="0"/>
        <w:spacing w:before="50" w:after="50"/>
        <w:ind w:firstLine="540" w:firstLineChars="225"/>
        <w:rPr>
          <w:rFonts w:hint="eastAsia" w:ascii="宋体" w:hAnsi="宋体" w:eastAsia="宋体" w:cs="宋体"/>
          <w:bCs/>
          <w:color w:val="auto"/>
          <w:sz w:val="24"/>
          <w:szCs w:val="24"/>
          <w:highlight w:val="none"/>
        </w:rPr>
      </w:pPr>
    </w:p>
    <w:p w14:paraId="0086FDD1">
      <w:pPr>
        <w:pStyle w:val="8"/>
        <w:snapToGrid w:val="0"/>
        <w:spacing w:before="50" w:after="50"/>
        <w:ind w:firstLine="540" w:firstLineChars="22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p>
    <w:p w14:paraId="662EA726">
      <w:pPr>
        <w:pStyle w:val="8"/>
        <w:snapToGrid w:val="0"/>
        <w:spacing w:before="50" w:after="50"/>
        <w:ind w:firstLine="540" w:firstLineChars="225"/>
        <w:rPr>
          <w:rFonts w:hint="eastAsia" w:ascii="宋体" w:hAnsi="宋体" w:eastAsia="宋体" w:cs="宋体"/>
          <w:bCs/>
          <w:color w:val="auto"/>
          <w:sz w:val="24"/>
          <w:szCs w:val="24"/>
          <w:highlight w:val="none"/>
        </w:rPr>
      </w:pPr>
    </w:p>
    <w:p w14:paraId="4FCB991F">
      <w:pPr>
        <w:pStyle w:val="8"/>
        <w:snapToGrid w:val="0"/>
        <w:spacing w:before="50" w:after="50"/>
        <w:ind w:firstLine="960" w:firstLineChars="400"/>
        <w:rPr>
          <w:rFonts w:hint="eastAsia" w:ascii="宋体" w:hAnsi="宋体" w:eastAsia="宋体" w:cs="宋体"/>
          <w:bCs/>
          <w:color w:val="auto"/>
          <w:sz w:val="24"/>
          <w:szCs w:val="24"/>
          <w:highlight w:val="none"/>
        </w:rPr>
      </w:pPr>
    </w:p>
    <w:p w14:paraId="3673E817">
      <w:pPr>
        <w:snapToGrid w:val="0"/>
        <w:spacing w:before="165" w:beforeLines="50" w:after="50"/>
        <w:ind w:firstLine="64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495DDC4B">
      <w:pPr>
        <w:widowControl/>
        <w:spacing w:line="360" w:lineRule="auto"/>
        <w:jc w:val="left"/>
        <w:rPr>
          <w:rFonts w:hint="eastAsia" w:ascii="宋体" w:hAnsi="宋体" w:eastAsia="宋体" w:cs="宋体"/>
          <w:color w:val="auto"/>
          <w:sz w:val="30"/>
          <w:szCs w:val="20"/>
          <w:highlight w:val="none"/>
        </w:rPr>
        <w:sectPr>
          <w:pgSz w:w="11906" w:h="16838"/>
          <w:pgMar w:top="1134" w:right="1134" w:bottom="1134" w:left="1134" w:header="720" w:footer="720" w:gutter="0"/>
          <w:cols w:space="720" w:num="1"/>
          <w:docGrid w:type="lines" w:linePitch="331" w:charSpace="0"/>
        </w:sectPr>
      </w:pPr>
    </w:p>
    <w:p w14:paraId="5535C19F">
      <w:pPr>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资格证明文件目录</w:t>
      </w:r>
    </w:p>
    <w:p w14:paraId="7C0A1939">
      <w:pPr>
        <w:snapToGrid w:val="0"/>
        <w:spacing w:line="360" w:lineRule="auto"/>
        <w:rPr>
          <w:rFonts w:hint="eastAsia" w:ascii="宋体" w:hAnsi="宋体" w:eastAsia="宋体" w:cs="宋体"/>
          <w:color w:val="auto"/>
          <w:kern w:val="0"/>
          <w:sz w:val="24"/>
          <w:highlight w:val="none"/>
        </w:rPr>
      </w:pPr>
    </w:p>
    <w:p w14:paraId="44A4DA6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营业执照</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或事业法人登记证或其他工商等登记证明材料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复印件（投标人为自然人的，须提供</w:t>
      </w:r>
      <w:r>
        <w:rPr>
          <w:rFonts w:hint="eastAsia" w:ascii="宋体" w:hAnsi="宋体" w:eastAsia="宋体" w:cs="宋体"/>
          <w:color w:val="auto"/>
          <w:kern w:val="0"/>
          <w:sz w:val="24"/>
          <w:highlight w:val="none"/>
        </w:rPr>
        <w:t>自然人的身份证明</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……………………………………………………………（页码）</w:t>
      </w:r>
    </w:p>
    <w:p w14:paraId="19B7FE2D">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二、符合参与政府采购活动的资格条件依法缴纳税收、社会保障资金等方面的材料…………………………………………………………………………………………（页码）</w:t>
      </w:r>
    </w:p>
    <w:p w14:paraId="4BDB09A7">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三、财务状况报告方面的材料…………………………………………………………（页码）</w:t>
      </w:r>
    </w:p>
    <w:p w14:paraId="587AFEF2">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四、投标人直接控股股东信息</w:t>
      </w:r>
      <w:r>
        <w:rPr>
          <w:rFonts w:hint="eastAsia" w:ascii="宋体" w:hAnsi="宋体" w:eastAsia="宋体" w:cs="宋体"/>
          <w:color w:val="auto"/>
          <w:kern w:val="0"/>
          <w:sz w:val="24"/>
          <w:highlight w:val="none"/>
        </w:rPr>
        <w:t>…………………………………………………………（页码）</w:t>
      </w:r>
    </w:p>
    <w:p w14:paraId="04703B54">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五、投标人直接关联关系信息表</w:t>
      </w:r>
      <w:r>
        <w:rPr>
          <w:rFonts w:hint="eastAsia" w:ascii="宋体" w:hAnsi="宋体" w:eastAsia="宋体" w:cs="宋体"/>
          <w:color w:val="auto"/>
          <w:kern w:val="0"/>
          <w:sz w:val="24"/>
          <w:highlight w:val="none"/>
        </w:rPr>
        <w:t>………………………………………………………（页码）</w:t>
      </w:r>
    </w:p>
    <w:p w14:paraId="03AEEF5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六、投标资格声明函……………………………………………………………………（页码）</w:t>
      </w:r>
    </w:p>
    <w:p w14:paraId="6E5653F3">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七、联合体协议书（</w:t>
      </w:r>
      <w:r>
        <w:rPr>
          <w:rFonts w:hint="eastAsia" w:ascii="宋体" w:hAnsi="宋体" w:eastAsia="宋体" w:cs="宋体"/>
          <w:color w:val="auto"/>
          <w:sz w:val="24"/>
          <w:highlight w:val="none"/>
        </w:rPr>
        <w:t>以联合体形式投标的，提供联合体协议；本项目不接受联合体投标或者投标人不以联合体形式投标的，则不需要提供</w:t>
      </w:r>
      <w:r>
        <w:rPr>
          <w:rFonts w:hint="eastAsia" w:ascii="宋体" w:hAnsi="宋体" w:eastAsia="宋体" w:cs="宋体"/>
          <w:color w:val="auto"/>
          <w:kern w:val="0"/>
          <w:sz w:val="24"/>
          <w:highlight w:val="none"/>
        </w:rPr>
        <w:t>）……………………………………（页码）</w:t>
      </w:r>
    </w:p>
    <w:p w14:paraId="64DB0D69">
      <w:pPr>
        <w:spacing w:line="360" w:lineRule="auto"/>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八</w:t>
      </w:r>
      <w:r>
        <w:rPr>
          <w:rFonts w:hint="eastAsia" w:ascii="宋体" w:hAnsi="宋体" w:eastAsia="宋体" w:cs="宋体"/>
          <w:color w:val="auto"/>
          <w:kern w:val="0"/>
          <w:sz w:val="24"/>
          <w:highlight w:val="none"/>
        </w:rPr>
        <w:t>、中小企业声明函或残疾人福利性单位声明函或属于监狱企业的证明文件……（页码）</w:t>
      </w:r>
    </w:p>
    <w:p w14:paraId="417AE944">
      <w:pPr>
        <w:snapToGrid w:val="0"/>
        <w:spacing w:line="360" w:lineRule="auto"/>
        <w:rPr>
          <w:rFonts w:hint="eastAsia" w:ascii="宋体" w:hAnsi="宋体" w:eastAsia="宋体" w:cs="宋体"/>
          <w:color w:val="auto"/>
          <w:kern w:val="0"/>
          <w:sz w:val="24"/>
          <w:highlight w:val="none"/>
        </w:rPr>
      </w:pPr>
      <w:r>
        <w:rPr>
          <w:rFonts w:hint="eastAsia" w:ascii="宋体" w:hAnsi="宋体" w:cs="宋体"/>
          <w:color w:val="auto"/>
          <w:sz w:val="24"/>
          <w:highlight w:val="none"/>
          <w:lang w:val="en-US" w:eastAsia="zh-CN"/>
        </w:rPr>
        <w:t>九</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符合特定资格条件的有关证明材料</w:t>
      </w:r>
      <w:r>
        <w:rPr>
          <w:rFonts w:hint="eastAsia" w:ascii="宋体" w:hAnsi="宋体" w:eastAsia="宋体" w:cs="宋体"/>
          <w:color w:val="auto"/>
          <w:kern w:val="0"/>
          <w:sz w:val="24"/>
          <w:highlight w:val="none"/>
        </w:rPr>
        <w:t>………………………………………………（页码）</w:t>
      </w:r>
    </w:p>
    <w:p w14:paraId="6005A7F6">
      <w:pPr>
        <w:snapToGrid w:val="0"/>
        <w:spacing w:line="360" w:lineRule="auto"/>
        <w:rPr>
          <w:rFonts w:hint="eastAsia" w:ascii="宋体" w:hAnsi="宋体" w:eastAsia="宋体" w:cs="宋体"/>
          <w:color w:val="auto"/>
          <w:kern w:val="0"/>
          <w:sz w:val="24"/>
          <w:highlight w:val="none"/>
        </w:rPr>
      </w:pPr>
      <w:r>
        <w:rPr>
          <w:rFonts w:hint="eastAsia" w:ascii="宋体" w:hAnsi="宋体" w:cs="宋体"/>
          <w:color w:val="auto"/>
          <w:sz w:val="24"/>
          <w:highlight w:val="none"/>
          <w:lang w:val="en-US" w:eastAsia="zh-CN"/>
        </w:rPr>
        <w:t>十</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建设工程项目管理承诺书</w:t>
      </w:r>
      <w:r>
        <w:rPr>
          <w:rFonts w:hint="eastAsia" w:ascii="宋体" w:hAnsi="宋体" w:eastAsia="宋体" w:cs="宋体"/>
          <w:color w:val="auto"/>
          <w:kern w:val="0"/>
          <w:sz w:val="24"/>
          <w:highlight w:val="none"/>
        </w:rPr>
        <w:t>…………………………………………………………（页码）</w:t>
      </w:r>
    </w:p>
    <w:p w14:paraId="2214A705">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注：以上目录是基本格式要求，各投标人可根据自身情况进一步向下增加内容或细化。</w:t>
      </w:r>
    </w:p>
    <w:p w14:paraId="0ACE2E7E">
      <w:pPr>
        <w:widowControl/>
        <w:spacing w:line="360" w:lineRule="auto"/>
        <w:jc w:val="left"/>
        <w:rPr>
          <w:rFonts w:hint="eastAsia" w:ascii="宋体" w:hAnsi="宋体" w:eastAsia="宋体" w:cs="宋体"/>
          <w:color w:val="auto"/>
          <w:sz w:val="30"/>
          <w:szCs w:val="20"/>
          <w:highlight w:val="none"/>
        </w:rPr>
        <w:sectPr>
          <w:pgSz w:w="11906" w:h="16838"/>
          <w:pgMar w:top="1134" w:right="1134" w:bottom="1134" w:left="1134" w:header="720" w:footer="720" w:gutter="0"/>
          <w:cols w:space="720" w:num="1"/>
          <w:docGrid w:type="lines" w:linePitch="331" w:charSpace="0"/>
        </w:sectPr>
      </w:pPr>
    </w:p>
    <w:p w14:paraId="49F44F7B">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kern w:val="0"/>
          <w:sz w:val="32"/>
          <w:szCs w:val="32"/>
          <w:highlight w:val="none"/>
          <w:lang w:val="zh-CN"/>
        </w:rPr>
        <w:t>一、</w:t>
      </w:r>
      <w:r>
        <w:rPr>
          <w:rFonts w:hint="eastAsia" w:ascii="宋体" w:hAnsi="宋体" w:eastAsia="宋体" w:cs="宋体"/>
          <w:b/>
          <w:color w:val="auto"/>
          <w:sz w:val="30"/>
          <w:szCs w:val="30"/>
          <w:highlight w:val="none"/>
        </w:rPr>
        <w:t>营业执照</w:t>
      </w:r>
      <w:r>
        <w:rPr>
          <w:rFonts w:hint="eastAsia" w:ascii="宋体" w:hAnsi="宋体" w:eastAsia="宋体" w:cs="宋体"/>
          <w:b/>
          <w:color w:val="auto"/>
          <w:sz w:val="30"/>
          <w:szCs w:val="30"/>
          <w:highlight w:val="none"/>
          <w:lang w:eastAsia="zh-CN"/>
        </w:rPr>
        <w:t>（</w:t>
      </w:r>
      <w:r>
        <w:rPr>
          <w:rFonts w:hint="eastAsia" w:ascii="宋体" w:hAnsi="宋体" w:eastAsia="宋体" w:cs="宋体"/>
          <w:b/>
          <w:color w:val="auto"/>
          <w:sz w:val="30"/>
          <w:szCs w:val="30"/>
          <w:highlight w:val="none"/>
        </w:rPr>
        <w:t>或事业法人登记证或其他工商等登记证明材料</w:t>
      </w:r>
      <w:r>
        <w:rPr>
          <w:rFonts w:hint="eastAsia" w:ascii="宋体" w:hAnsi="宋体" w:eastAsia="宋体" w:cs="宋体"/>
          <w:b/>
          <w:color w:val="auto"/>
          <w:sz w:val="30"/>
          <w:szCs w:val="30"/>
          <w:highlight w:val="none"/>
          <w:lang w:eastAsia="zh-CN"/>
        </w:rPr>
        <w:t>）</w:t>
      </w:r>
      <w:r>
        <w:rPr>
          <w:rFonts w:hint="eastAsia" w:ascii="宋体" w:hAnsi="宋体" w:eastAsia="宋体" w:cs="宋体"/>
          <w:b/>
          <w:color w:val="auto"/>
          <w:sz w:val="30"/>
          <w:szCs w:val="30"/>
          <w:highlight w:val="none"/>
        </w:rPr>
        <w:t>复印件（投标人为自然人的，提供自然人的身份证明）</w:t>
      </w:r>
    </w:p>
    <w:p w14:paraId="796EC1BC">
      <w:pPr>
        <w:spacing w:line="360" w:lineRule="auto"/>
        <w:rPr>
          <w:rFonts w:hint="eastAsia" w:ascii="宋体" w:hAnsi="宋体" w:eastAsia="宋体" w:cs="宋体"/>
          <w:b/>
          <w:color w:val="auto"/>
          <w:sz w:val="30"/>
          <w:szCs w:val="30"/>
          <w:highlight w:val="none"/>
        </w:rPr>
      </w:pPr>
    </w:p>
    <w:p w14:paraId="67F46DFC">
      <w:pPr>
        <w:snapToGrid w:val="0"/>
        <w:spacing w:line="360" w:lineRule="auto"/>
        <w:ind w:firstLine="576"/>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投标人名称（电子签章）：                              </w:t>
      </w:r>
    </w:p>
    <w:p w14:paraId="2D0C2941">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color w:val="auto"/>
          <w:kern w:val="0"/>
          <w:sz w:val="24"/>
          <w:highlight w:val="none"/>
          <w:lang w:val="zh-CN"/>
        </w:rPr>
        <w:t xml:space="preserve">                   日期：  年  月</w:t>
      </w:r>
    </w:p>
    <w:p w14:paraId="42A434D6">
      <w:pPr>
        <w:spacing w:line="360" w:lineRule="auto"/>
        <w:jc w:val="center"/>
        <w:rPr>
          <w:rFonts w:hint="eastAsia" w:ascii="宋体" w:hAnsi="宋体" w:eastAsia="宋体" w:cs="宋体"/>
          <w:b/>
          <w:color w:val="auto"/>
          <w:sz w:val="30"/>
          <w:szCs w:val="30"/>
          <w:highlight w:val="none"/>
        </w:rPr>
      </w:pPr>
    </w:p>
    <w:p w14:paraId="28006C49">
      <w:pPr>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sz w:val="30"/>
          <w:szCs w:val="30"/>
          <w:highlight w:val="none"/>
        </w:rPr>
        <w:t>二、</w:t>
      </w:r>
      <w:r>
        <w:rPr>
          <w:rFonts w:hint="eastAsia" w:ascii="宋体" w:hAnsi="宋体" w:eastAsia="宋体" w:cs="宋体"/>
          <w:b/>
          <w:color w:val="auto"/>
          <w:kern w:val="0"/>
          <w:sz w:val="32"/>
          <w:szCs w:val="32"/>
          <w:highlight w:val="none"/>
        </w:rPr>
        <w:t>符合参与政府采购活动的资格条件依法缴纳税收、社会保障资金等方面的材料</w:t>
      </w:r>
    </w:p>
    <w:p w14:paraId="0AE16982">
      <w:pPr>
        <w:snapToGrid w:val="0"/>
        <w:spacing w:line="360" w:lineRule="auto"/>
        <w:ind w:firstLine="480" w:firstLineChars="200"/>
        <w:rPr>
          <w:rFonts w:hint="eastAsia" w:ascii="宋体" w:hAnsi="宋体" w:eastAsia="宋体" w:cs="宋体"/>
          <w:color w:val="auto"/>
          <w:sz w:val="24"/>
          <w:highlight w:val="none"/>
        </w:rPr>
      </w:pPr>
    </w:p>
    <w:p w14:paraId="3A702893">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69E4DE69">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 xml:space="preserve"> 投标人名称（电子签章）：</w:t>
      </w:r>
    </w:p>
    <w:p w14:paraId="7CC13616">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1F18803">
      <w:pPr>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sz w:val="30"/>
          <w:szCs w:val="30"/>
          <w:highlight w:val="none"/>
        </w:rPr>
        <w:t>三、</w:t>
      </w:r>
      <w:r>
        <w:rPr>
          <w:rFonts w:hint="eastAsia" w:ascii="宋体" w:hAnsi="宋体" w:eastAsia="宋体" w:cs="宋体"/>
          <w:b/>
          <w:color w:val="auto"/>
          <w:kern w:val="0"/>
          <w:sz w:val="32"/>
          <w:szCs w:val="32"/>
          <w:highlight w:val="none"/>
        </w:rPr>
        <w:t>财务状况报告方面的材料</w:t>
      </w:r>
    </w:p>
    <w:p w14:paraId="4A3F6C58">
      <w:pPr>
        <w:snapToGrid w:val="0"/>
        <w:spacing w:line="360" w:lineRule="auto"/>
        <w:ind w:firstLine="480" w:firstLineChars="200"/>
        <w:rPr>
          <w:rFonts w:hint="eastAsia" w:ascii="宋体" w:hAnsi="宋体" w:eastAsia="宋体" w:cs="宋体"/>
          <w:color w:val="auto"/>
          <w:sz w:val="24"/>
          <w:highlight w:val="none"/>
        </w:rPr>
      </w:pPr>
    </w:p>
    <w:p w14:paraId="2846E6D9">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447B094D">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 xml:space="preserve"> 投标人名称（电子签章）：</w:t>
      </w:r>
    </w:p>
    <w:p w14:paraId="5D75DB38">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4A07D595">
      <w:pPr>
        <w:snapToGrid w:val="0"/>
        <w:spacing w:line="360" w:lineRule="auto"/>
        <w:ind w:firstLine="5160" w:firstLineChars="2150"/>
        <w:rPr>
          <w:rFonts w:hint="eastAsia" w:ascii="宋体" w:hAnsi="宋体" w:eastAsia="宋体" w:cs="宋体"/>
          <w:color w:val="auto"/>
          <w:kern w:val="0"/>
          <w:sz w:val="24"/>
          <w:highlight w:val="none"/>
          <w:lang w:val="zh-CN"/>
        </w:rPr>
      </w:pPr>
    </w:p>
    <w:p w14:paraId="0BA373EA">
      <w:pPr>
        <w:snapToGrid w:val="0"/>
        <w:spacing w:line="360" w:lineRule="auto"/>
        <w:ind w:right="480"/>
        <w:jc w:val="center"/>
        <w:rPr>
          <w:rFonts w:hint="eastAsia" w:ascii="宋体" w:hAnsi="宋体" w:eastAsia="宋体" w:cs="宋体"/>
          <w:b/>
          <w:color w:val="auto"/>
          <w:kern w:val="0"/>
          <w:sz w:val="32"/>
          <w:szCs w:val="32"/>
          <w:highlight w:val="none"/>
          <w:lang w:val="zh-CN"/>
        </w:rPr>
      </w:pPr>
    </w:p>
    <w:p w14:paraId="606A853D">
      <w:pPr>
        <w:snapToGrid w:val="0"/>
        <w:spacing w:line="360" w:lineRule="auto"/>
        <w:ind w:right="480"/>
        <w:jc w:val="center"/>
        <w:rPr>
          <w:rFonts w:hint="eastAsia" w:ascii="宋体" w:hAnsi="宋体" w:eastAsia="宋体" w:cs="宋体"/>
          <w:b/>
          <w:color w:val="auto"/>
          <w:sz w:val="28"/>
          <w:szCs w:val="28"/>
          <w:highlight w:val="none"/>
        </w:rPr>
      </w:pPr>
      <w:r>
        <w:rPr>
          <w:rFonts w:hint="eastAsia" w:ascii="宋体" w:hAnsi="宋体" w:eastAsia="宋体" w:cs="宋体"/>
          <w:b/>
          <w:color w:val="auto"/>
          <w:kern w:val="0"/>
          <w:sz w:val="32"/>
          <w:szCs w:val="32"/>
          <w:highlight w:val="none"/>
        </w:rPr>
        <w:br w:type="page"/>
      </w:r>
    </w:p>
    <w:p w14:paraId="31EC8148">
      <w:pPr>
        <w:snapToGrid w:val="0"/>
        <w:spacing w:before="50" w:after="165" w:afterLines="50"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四、投标人直接控股股东信息表</w:t>
      </w:r>
    </w:p>
    <w:tbl>
      <w:tblPr>
        <w:tblStyle w:val="20"/>
        <w:tblW w:w="9476" w:type="dxa"/>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640A242E">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EB8724A">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2B3DBC0">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6BA1C80">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C05A060">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085BCD8">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74C96FB6">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3C6B1A">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FFB132">
            <w:pPr>
              <w:spacing w:line="360" w:lineRule="auto"/>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8208F9">
            <w:pPr>
              <w:spacing w:line="360" w:lineRule="auto"/>
              <w:jc w:val="center"/>
              <w:rPr>
                <w:rFonts w:hint="eastAsia" w:ascii="宋体" w:hAnsi="宋体" w:eastAsia="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B70360">
            <w:pPr>
              <w:spacing w:line="360" w:lineRule="auto"/>
              <w:jc w:val="center"/>
              <w:rPr>
                <w:rFonts w:hint="eastAsia"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76E0D3">
            <w:pPr>
              <w:spacing w:line="360" w:lineRule="auto"/>
              <w:jc w:val="center"/>
              <w:rPr>
                <w:rFonts w:hint="eastAsia" w:ascii="宋体" w:hAnsi="宋体" w:eastAsia="宋体" w:cs="宋体"/>
                <w:color w:val="auto"/>
                <w:kern w:val="0"/>
                <w:sz w:val="24"/>
                <w:highlight w:val="none"/>
              </w:rPr>
            </w:pPr>
          </w:p>
        </w:tc>
      </w:tr>
      <w:tr w14:paraId="7A0D6C47">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91CBA9">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8B96C6">
            <w:pPr>
              <w:spacing w:line="360" w:lineRule="auto"/>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FE45E0">
            <w:pPr>
              <w:spacing w:line="360" w:lineRule="auto"/>
              <w:jc w:val="center"/>
              <w:rPr>
                <w:rFonts w:hint="eastAsia" w:ascii="宋体" w:hAnsi="宋体" w:eastAsia="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6019EF">
            <w:pPr>
              <w:spacing w:line="360" w:lineRule="auto"/>
              <w:jc w:val="center"/>
              <w:rPr>
                <w:rFonts w:hint="eastAsia"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6D8D09">
            <w:pPr>
              <w:spacing w:line="360" w:lineRule="auto"/>
              <w:jc w:val="center"/>
              <w:rPr>
                <w:rFonts w:hint="eastAsia" w:ascii="宋体" w:hAnsi="宋体" w:eastAsia="宋体" w:cs="宋体"/>
                <w:color w:val="auto"/>
                <w:kern w:val="0"/>
                <w:sz w:val="24"/>
                <w:highlight w:val="none"/>
              </w:rPr>
            </w:pPr>
          </w:p>
        </w:tc>
      </w:tr>
      <w:tr w14:paraId="2AEE8A10">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E3A2E9">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C098FE">
            <w:pPr>
              <w:spacing w:line="360" w:lineRule="auto"/>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D469A9">
            <w:pPr>
              <w:spacing w:line="360" w:lineRule="auto"/>
              <w:jc w:val="center"/>
              <w:rPr>
                <w:rFonts w:hint="eastAsia" w:ascii="宋体" w:hAnsi="宋体" w:eastAsia="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FD7502">
            <w:pPr>
              <w:spacing w:line="360" w:lineRule="auto"/>
              <w:jc w:val="center"/>
              <w:rPr>
                <w:rFonts w:hint="eastAsia"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22F282">
            <w:pPr>
              <w:spacing w:line="360" w:lineRule="auto"/>
              <w:jc w:val="center"/>
              <w:rPr>
                <w:rFonts w:hint="eastAsia" w:ascii="宋体" w:hAnsi="宋体" w:eastAsia="宋体" w:cs="宋体"/>
                <w:color w:val="auto"/>
                <w:kern w:val="0"/>
                <w:sz w:val="24"/>
                <w:highlight w:val="none"/>
              </w:rPr>
            </w:pPr>
          </w:p>
        </w:tc>
      </w:tr>
      <w:tr w14:paraId="7EEDDCE6">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7DAE4F">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4234ED">
            <w:pPr>
              <w:spacing w:line="360" w:lineRule="auto"/>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D18884">
            <w:pPr>
              <w:spacing w:line="360" w:lineRule="auto"/>
              <w:jc w:val="center"/>
              <w:rPr>
                <w:rFonts w:hint="eastAsia" w:ascii="宋体" w:hAnsi="宋体" w:eastAsia="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8B4E5B">
            <w:pPr>
              <w:spacing w:line="360" w:lineRule="auto"/>
              <w:jc w:val="center"/>
              <w:rPr>
                <w:rFonts w:hint="eastAsia"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8DFEAE">
            <w:pPr>
              <w:spacing w:line="360" w:lineRule="auto"/>
              <w:jc w:val="center"/>
              <w:rPr>
                <w:rFonts w:hint="eastAsia" w:ascii="宋体" w:hAnsi="宋体" w:eastAsia="宋体" w:cs="宋体"/>
                <w:color w:val="auto"/>
                <w:kern w:val="0"/>
                <w:sz w:val="24"/>
                <w:highlight w:val="none"/>
              </w:rPr>
            </w:pPr>
          </w:p>
        </w:tc>
      </w:tr>
    </w:tbl>
    <w:p w14:paraId="717B57C9">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79EBAFF9">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B18C738">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2.本表所指的控股关系仅限于直接控股关系，不包括间接的控股关系。公司实际控制人与公司之间的关系不属于本表所指的直接控股关系。</w:t>
      </w:r>
    </w:p>
    <w:p w14:paraId="26AD338F">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3.供应商不存在直接控股股东的，则填“无”。</w:t>
      </w:r>
    </w:p>
    <w:p w14:paraId="198C03A6">
      <w:pPr>
        <w:snapToGrid w:val="0"/>
        <w:spacing w:line="360" w:lineRule="auto"/>
        <w:jc w:val="left"/>
        <w:rPr>
          <w:rFonts w:hint="eastAsia" w:ascii="宋体" w:hAnsi="宋体" w:eastAsia="宋体" w:cs="宋体"/>
          <w:color w:val="auto"/>
          <w:sz w:val="24"/>
          <w:highlight w:val="none"/>
        </w:rPr>
      </w:pPr>
    </w:p>
    <w:p w14:paraId="0A89DFBB">
      <w:pPr>
        <w:snapToGrid w:val="0"/>
        <w:spacing w:line="360" w:lineRule="auto"/>
        <w:jc w:val="left"/>
        <w:rPr>
          <w:rFonts w:hint="eastAsia" w:ascii="宋体" w:hAnsi="宋体" w:eastAsia="宋体" w:cs="宋体"/>
          <w:color w:val="auto"/>
          <w:sz w:val="24"/>
          <w:highlight w:val="none"/>
        </w:rPr>
      </w:pPr>
    </w:p>
    <w:p w14:paraId="49274455">
      <w:pPr>
        <w:snapToGrid w:val="0"/>
        <w:spacing w:line="360" w:lineRule="auto"/>
        <w:jc w:val="left"/>
        <w:rPr>
          <w:rFonts w:hint="eastAsia" w:ascii="宋体" w:hAnsi="宋体" w:eastAsia="宋体" w:cs="宋体"/>
          <w:color w:val="auto"/>
          <w:sz w:val="24"/>
          <w:highlight w:val="none"/>
        </w:rPr>
      </w:pPr>
    </w:p>
    <w:p w14:paraId="6FEA29E3">
      <w:pPr>
        <w:snapToGrid w:val="0"/>
        <w:spacing w:line="360" w:lineRule="auto"/>
        <w:jc w:val="left"/>
        <w:rPr>
          <w:rFonts w:hint="eastAsia" w:ascii="宋体" w:hAnsi="宋体" w:eastAsia="宋体" w:cs="宋体"/>
          <w:color w:val="auto"/>
          <w:sz w:val="24"/>
          <w:highlight w:val="none"/>
        </w:rPr>
      </w:pPr>
    </w:p>
    <w:p w14:paraId="2B757113">
      <w:pPr>
        <w:snapToGrid w:val="0"/>
        <w:spacing w:line="360" w:lineRule="auto"/>
        <w:jc w:val="left"/>
        <w:rPr>
          <w:rFonts w:hint="eastAsia" w:ascii="宋体" w:hAnsi="宋体" w:eastAsia="宋体" w:cs="宋体"/>
          <w:color w:val="auto"/>
          <w:sz w:val="24"/>
          <w:highlight w:val="none"/>
        </w:rPr>
      </w:pPr>
    </w:p>
    <w:p w14:paraId="2443D13B">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78066332">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726DC83">
      <w:pPr>
        <w:snapToGrid w:val="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04F5DCED">
      <w:pPr>
        <w:snapToGri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五、投标人直接管理关系信息表</w:t>
      </w:r>
    </w:p>
    <w:tbl>
      <w:tblPr>
        <w:tblStyle w:val="20"/>
        <w:tblW w:w="9652" w:type="dxa"/>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3DEBCB2F">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A49E6E6">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E338450">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0C215AF">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2FEA3E1">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764C333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3322C0">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0A43DA">
            <w:pPr>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DCF073">
            <w:pPr>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A07B22">
            <w:pPr>
              <w:spacing w:line="360" w:lineRule="auto"/>
              <w:jc w:val="center"/>
              <w:rPr>
                <w:rFonts w:hint="eastAsia" w:ascii="宋体" w:hAnsi="宋体" w:eastAsia="宋体" w:cs="宋体"/>
                <w:color w:val="auto"/>
                <w:kern w:val="0"/>
                <w:sz w:val="24"/>
                <w:highlight w:val="none"/>
              </w:rPr>
            </w:pPr>
          </w:p>
        </w:tc>
      </w:tr>
      <w:tr w14:paraId="36ED96AC">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A3B46E">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6D00AE">
            <w:pPr>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22120B">
            <w:pPr>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A02660">
            <w:pPr>
              <w:spacing w:line="360" w:lineRule="auto"/>
              <w:jc w:val="center"/>
              <w:rPr>
                <w:rFonts w:hint="eastAsia" w:ascii="宋体" w:hAnsi="宋体" w:eastAsia="宋体" w:cs="宋体"/>
                <w:color w:val="auto"/>
                <w:kern w:val="0"/>
                <w:sz w:val="24"/>
                <w:highlight w:val="none"/>
              </w:rPr>
            </w:pPr>
          </w:p>
        </w:tc>
      </w:tr>
      <w:tr w14:paraId="368CCC00">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C27DA7">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C985CB">
            <w:pPr>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FDC4CFA">
            <w:pPr>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C35F3C">
            <w:pPr>
              <w:spacing w:line="360" w:lineRule="auto"/>
              <w:jc w:val="center"/>
              <w:rPr>
                <w:rFonts w:hint="eastAsia" w:ascii="宋体" w:hAnsi="宋体" w:eastAsia="宋体" w:cs="宋体"/>
                <w:color w:val="auto"/>
                <w:kern w:val="0"/>
                <w:sz w:val="24"/>
                <w:highlight w:val="none"/>
              </w:rPr>
            </w:pPr>
          </w:p>
        </w:tc>
      </w:tr>
      <w:tr w14:paraId="057484BC">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DC1465">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A4B28E">
            <w:pPr>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0F5A3C">
            <w:pPr>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286FA0">
            <w:pPr>
              <w:spacing w:line="360" w:lineRule="auto"/>
              <w:jc w:val="center"/>
              <w:rPr>
                <w:rFonts w:hint="eastAsia" w:ascii="宋体" w:hAnsi="宋体" w:eastAsia="宋体" w:cs="宋体"/>
                <w:color w:val="auto"/>
                <w:kern w:val="0"/>
                <w:sz w:val="24"/>
                <w:highlight w:val="none"/>
              </w:rPr>
            </w:pPr>
          </w:p>
        </w:tc>
      </w:tr>
    </w:tbl>
    <w:p w14:paraId="482CC974">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62B8F9D0">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1.管理关系：是指不具有出资持股关系的其他单位之间存在的管理与被管理关系，如一些上下级关系的事业单位和团体组织。</w:t>
      </w:r>
    </w:p>
    <w:p w14:paraId="2431CC05">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6"/>
          <w:sz w:val="24"/>
          <w:highlight w:val="none"/>
        </w:rPr>
        <w:t>本表所指的管理关系仅限于直接管理关系，不包括间接的管理关系。</w:t>
      </w:r>
    </w:p>
    <w:p w14:paraId="71B820EF">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3.供应商不存在直接管理关系的，则填“无”。</w:t>
      </w:r>
    </w:p>
    <w:p w14:paraId="65B22A36">
      <w:pPr>
        <w:snapToGrid w:val="0"/>
        <w:spacing w:line="360" w:lineRule="auto"/>
        <w:jc w:val="left"/>
        <w:rPr>
          <w:rFonts w:hint="eastAsia" w:ascii="宋体" w:hAnsi="宋体" w:eastAsia="宋体" w:cs="宋体"/>
          <w:color w:val="auto"/>
          <w:sz w:val="24"/>
          <w:highlight w:val="none"/>
        </w:rPr>
      </w:pPr>
    </w:p>
    <w:p w14:paraId="7ED0311A">
      <w:pPr>
        <w:snapToGrid w:val="0"/>
        <w:spacing w:line="360" w:lineRule="auto"/>
        <w:jc w:val="left"/>
        <w:rPr>
          <w:rFonts w:hint="eastAsia" w:ascii="宋体" w:hAnsi="宋体" w:eastAsia="宋体" w:cs="宋体"/>
          <w:color w:val="auto"/>
          <w:sz w:val="24"/>
          <w:highlight w:val="none"/>
        </w:rPr>
      </w:pPr>
    </w:p>
    <w:p w14:paraId="0D53CEE2">
      <w:pPr>
        <w:snapToGrid w:val="0"/>
        <w:spacing w:line="360" w:lineRule="auto"/>
        <w:jc w:val="left"/>
        <w:rPr>
          <w:rFonts w:hint="eastAsia" w:ascii="宋体" w:hAnsi="宋体" w:eastAsia="宋体" w:cs="宋体"/>
          <w:color w:val="auto"/>
          <w:sz w:val="24"/>
          <w:highlight w:val="none"/>
        </w:rPr>
      </w:pPr>
    </w:p>
    <w:p w14:paraId="14A2DA4A">
      <w:pPr>
        <w:snapToGrid w:val="0"/>
        <w:spacing w:line="360" w:lineRule="auto"/>
        <w:jc w:val="left"/>
        <w:rPr>
          <w:rFonts w:hint="eastAsia" w:ascii="宋体" w:hAnsi="宋体" w:eastAsia="宋体" w:cs="宋体"/>
          <w:color w:val="auto"/>
          <w:sz w:val="24"/>
          <w:highlight w:val="none"/>
        </w:rPr>
      </w:pPr>
    </w:p>
    <w:p w14:paraId="6231F205">
      <w:pPr>
        <w:snapToGrid w:val="0"/>
        <w:spacing w:line="360" w:lineRule="auto"/>
        <w:jc w:val="left"/>
        <w:rPr>
          <w:rFonts w:hint="eastAsia" w:ascii="宋体" w:hAnsi="宋体" w:eastAsia="宋体" w:cs="宋体"/>
          <w:color w:val="auto"/>
          <w:sz w:val="24"/>
          <w:highlight w:val="none"/>
        </w:rPr>
      </w:pPr>
    </w:p>
    <w:p w14:paraId="53C2FB2E">
      <w:pPr>
        <w:snapToGrid w:val="0"/>
        <w:spacing w:line="360" w:lineRule="auto"/>
        <w:jc w:val="left"/>
        <w:rPr>
          <w:rFonts w:hint="eastAsia" w:ascii="宋体" w:hAnsi="宋体" w:eastAsia="宋体" w:cs="宋体"/>
          <w:color w:val="auto"/>
          <w:sz w:val="24"/>
          <w:highlight w:val="none"/>
        </w:rPr>
      </w:pPr>
    </w:p>
    <w:p w14:paraId="183FE738">
      <w:pPr>
        <w:snapToGrid w:val="0"/>
        <w:spacing w:line="360" w:lineRule="auto"/>
        <w:jc w:val="left"/>
        <w:rPr>
          <w:rFonts w:hint="eastAsia" w:ascii="宋体" w:hAnsi="宋体" w:eastAsia="宋体" w:cs="宋体"/>
          <w:color w:val="auto"/>
          <w:sz w:val="24"/>
          <w:highlight w:val="none"/>
        </w:rPr>
      </w:pPr>
    </w:p>
    <w:p w14:paraId="2DE08C08">
      <w:pPr>
        <w:snapToGrid w:val="0"/>
        <w:spacing w:line="360" w:lineRule="auto"/>
        <w:jc w:val="left"/>
        <w:rPr>
          <w:rFonts w:hint="eastAsia" w:ascii="宋体" w:hAnsi="宋体" w:eastAsia="宋体" w:cs="宋体"/>
          <w:color w:val="auto"/>
          <w:sz w:val="24"/>
          <w:highlight w:val="none"/>
        </w:rPr>
      </w:pPr>
    </w:p>
    <w:p w14:paraId="779D3FC8">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50A9D91F">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CD8B461">
      <w:pPr>
        <w:snapToGrid w:val="0"/>
        <w:spacing w:before="50" w:after="165" w:afterLines="50"/>
        <w:jc w:val="left"/>
        <w:rPr>
          <w:rFonts w:hint="eastAsia" w:ascii="宋体" w:hAnsi="宋体" w:eastAsia="宋体" w:cs="宋体"/>
          <w:color w:val="auto"/>
          <w:szCs w:val="21"/>
          <w:highlight w:val="none"/>
        </w:rPr>
      </w:pPr>
    </w:p>
    <w:p w14:paraId="1724351B">
      <w:pPr>
        <w:snapToGrid w:val="0"/>
        <w:spacing w:before="165" w:beforeLines="50" w:after="50"/>
        <w:jc w:val="left"/>
        <w:rPr>
          <w:rFonts w:hint="eastAsia" w:ascii="宋体" w:hAnsi="宋体" w:eastAsia="宋体" w:cs="宋体"/>
          <w:b/>
          <w:color w:val="auto"/>
          <w:sz w:val="24"/>
          <w:szCs w:val="20"/>
          <w:highlight w:val="none"/>
        </w:rPr>
      </w:pPr>
    </w:p>
    <w:p w14:paraId="4D5D3EC6">
      <w:pPr>
        <w:snapToGrid w:val="0"/>
        <w:spacing w:before="165" w:beforeLines="50" w:after="50"/>
        <w:jc w:val="left"/>
        <w:rPr>
          <w:rFonts w:hint="eastAsia" w:ascii="宋体" w:hAnsi="宋体" w:eastAsia="宋体" w:cs="宋体"/>
          <w:b/>
          <w:color w:val="auto"/>
          <w:sz w:val="24"/>
          <w:highlight w:val="none"/>
        </w:rPr>
      </w:pPr>
    </w:p>
    <w:p w14:paraId="5B85D4BB">
      <w:pPr>
        <w:snapToGrid w:val="0"/>
        <w:spacing w:before="165" w:beforeLines="50" w:after="50"/>
        <w:jc w:val="left"/>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 xml:space="preserve"> </w:t>
      </w:r>
    </w:p>
    <w:p w14:paraId="2B03A16B">
      <w:pPr>
        <w:snapToGrid w:val="0"/>
        <w:spacing w:before="165" w:beforeLines="50" w:after="50"/>
        <w:jc w:val="left"/>
        <w:rPr>
          <w:rFonts w:hint="eastAsia" w:ascii="宋体" w:hAnsi="宋体" w:eastAsia="宋体" w:cs="宋体"/>
          <w:b/>
          <w:color w:val="auto"/>
          <w:sz w:val="24"/>
          <w:szCs w:val="20"/>
          <w:highlight w:val="none"/>
        </w:rPr>
      </w:pPr>
    </w:p>
    <w:p w14:paraId="0C628A13">
      <w:pPr>
        <w:pStyle w:val="29"/>
        <w:rPr>
          <w:rFonts w:hint="eastAsia" w:ascii="宋体" w:hAnsi="宋体" w:eastAsia="宋体" w:cs="宋体"/>
          <w:color w:val="auto"/>
          <w:highlight w:val="none"/>
        </w:rPr>
      </w:pPr>
    </w:p>
    <w:p w14:paraId="7AC3F263">
      <w:pPr>
        <w:snapToGrid w:val="0"/>
        <w:spacing w:before="50" w:after="165" w:afterLines="50"/>
        <w:jc w:val="left"/>
        <w:rPr>
          <w:rFonts w:hint="eastAsia" w:ascii="宋体" w:hAnsi="宋体" w:eastAsia="宋体" w:cs="宋体"/>
          <w:color w:val="auto"/>
          <w:highlight w:val="none"/>
        </w:rPr>
      </w:pPr>
    </w:p>
    <w:p w14:paraId="0B00C207">
      <w:pPr>
        <w:snapToGrid w:val="0"/>
        <w:spacing w:before="50" w:after="165" w:afterLines="5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六、投标资格声明函</w:t>
      </w:r>
    </w:p>
    <w:p w14:paraId="0F96EFCC">
      <w:pPr>
        <w:tabs>
          <w:tab w:val="left" w:pos="7200"/>
        </w:tabs>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致：</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5D0D50EA">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我方愿意参加贵方组织的</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）项目的投标，为便于贵方公正、择优地确定中标人，我方就本次投标有关事项郑重声明如下：</w:t>
      </w:r>
    </w:p>
    <w:p w14:paraId="4AEFED72">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5E745CFC">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3332A75">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3.经查询，在“信用中国”和“中国政府采购网”网站我方未被列入失信被执行人、重大税收违法案件当事人名单、政府采购严重违法失信行为记录名单。</w:t>
      </w:r>
    </w:p>
    <w:p w14:paraId="40EAFE6E">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4.以上事项如有虚假或隐瞒，我方愿意承担一切后果，并不再寻求任何旨在减轻或免除法律责任的辩解。 </w:t>
      </w:r>
    </w:p>
    <w:p w14:paraId="2AA04A7A">
      <w:pPr>
        <w:tabs>
          <w:tab w:val="left" w:pos="7200"/>
        </w:tabs>
        <w:ind w:firstLine="270" w:firstLineChars="15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说明：</w:t>
      </w:r>
    </w:p>
    <w:p w14:paraId="595D7359">
      <w:pPr>
        <w:ind w:firstLine="360" w:firstLineChars="20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1.投标人应当通过 “信用中国”（www.creditchina.gov.cn）和“中国政府采购网”网站（www.ccgp.gov.cn）查询投标人相关主体的信用记录。查询时间为本项目投标截止时间前10日至投标截止时间中任意一天。对列入失信被执行人、重大税收违法案件当事人名单、政府采购严重违法失信行为记录名单的投标人，将被拒绝参与本项目政府采购活动。</w:t>
      </w:r>
    </w:p>
    <w:p w14:paraId="7FDF672E">
      <w:pPr>
        <w:ind w:firstLine="360" w:firstLineChars="20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558286A">
      <w:pPr>
        <w:snapToGrid w:val="0"/>
        <w:spacing w:before="50" w:after="165" w:afterLines="5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w:t>
      </w:r>
      <w:r>
        <w:rPr>
          <w:rFonts w:hint="eastAsia" w:ascii="宋体" w:hAnsi="宋体" w:eastAsia="宋体" w:cs="宋体"/>
          <w:b/>
          <w:color w:val="auto"/>
          <w:sz w:val="18"/>
          <w:szCs w:val="18"/>
          <w:highlight w:val="none"/>
        </w:rPr>
        <w:t xml:space="preserve">  3.如为联合体投标，盖章处须加盖联合体各方公章并由联合体各方法定代表人分别签署，否则投标无效。</w:t>
      </w:r>
    </w:p>
    <w:p w14:paraId="7EEF7694">
      <w:pPr>
        <w:snapToGrid w:val="0"/>
        <w:spacing w:before="50" w:after="331" w:afterLines="10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2CB78D1">
      <w:pPr>
        <w:snapToGrid w:val="0"/>
        <w:spacing w:before="50" w:after="331" w:afterLines="100" w:line="360" w:lineRule="auto"/>
        <w:ind w:left="7428" w:leftChars="2223" w:hanging="2760" w:hangingChars="1150"/>
        <w:jc w:val="left"/>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lang w:val="zh-CN"/>
        </w:rPr>
        <w:t>投标人名称（电子签章）：</w:t>
      </w:r>
      <w:r>
        <w:rPr>
          <w:rFonts w:hint="eastAsia" w:ascii="宋体" w:hAnsi="宋体" w:eastAsia="宋体" w:cs="宋体"/>
          <w:color w:val="auto"/>
          <w:szCs w:val="21"/>
          <w:highlight w:val="none"/>
        </w:rPr>
        <w:t xml:space="preserve">                                     年    月    日</w:t>
      </w:r>
    </w:p>
    <w:p w14:paraId="1FFB0589">
      <w:pPr>
        <w:pStyle w:val="11"/>
        <w:spacing w:line="600" w:lineRule="exact"/>
        <w:jc w:val="center"/>
        <w:rPr>
          <w:rFonts w:hint="eastAsia" w:ascii="宋体" w:hAnsi="宋体" w:eastAsia="宋体" w:cs="宋体"/>
          <w:b/>
          <w:bCs/>
          <w:color w:val="auto"/>
          <w:sz w:val="30"/>
          <w:szCs w:val="30"/>
          <w:highlight w:val="none"/>
        </w:rPr>
      </w:pPr>
    </w:p>
    <w:p w14:paraId="2739AE4B">
      <w:pPr>
        <w:pStyle w:val="11"/>
        <w:spacing w:line="600" w:lineRule="exact"/>
        <w:jc w:val="center"/>
        <w:rPr>
          <w:rFonts w:hint="eastAsia" w:ascii="宋体" w:hAnsi="宋体" w:eastAsia="宋体" w:cs="宋体"/>
          <w:b/>
          <w:bCs/>
          <w:color w:val="auto"/>
          <w:sz w:val="30"/>
          <w:szCs w:val="30"/>
          <w:highlight w:val="none"/>
        </w:rPr>
      </w:pPr>
    </w:p>
    <w:p w14:paraId="7DEE4BE9">
      <w:pPr>
        <w:widowControl/>
        <w:jc w:val="left"/>
        <w:rPr>
          <w:rFonts w:hint="eastAsia" w:ascii="宋体" w:hAnsi="宋体" w:eastAsia="宋体" w:cs="宋体"/>
          <w:b/>
          <w:bCs/>
          <w:color w:val="auto"/>
          <w:sz w:val="30"/>
          <w:szCs w:val="30"/>
          <w:highlight w:val="none"/>
        </w:rPr>
        <w:sectPr>
          <w:pgSz w:w="11906" w:h="16838"/>
          <w:pgMar w:top="1134" w:right="1134" w:bottom="1134" w:left="1134" w:header="720" w:footer="720" w:gutter="0"/>
          <w:cols w:space="720" w:num="1"/>
          <w:docGrid w:type="lines" w:linePitch="331" w:charSpace="0"/>
        </w:sectPr>
      </w:pPr>
    </w:p>
    <w:p w14:paraId="258128BD">
      <w:pPr>
        <w:pStyle w:val="11"/>
        <w:spacing w:line="600" w:lineRule="exact"/>
        <w:jc w:val="center"/>
        <w:rPr>
          <w:rFonts w:hint="eastAsia" w:ascii="宋体" w:hAnsi="宋体" w:eastAsia="宋体" w:cs="宋体"/>
          <w:color w:val="auto"/>
          <w:highlight w:val="none"/>
        </w:rPr>
      </w:pPr>
      <w:r>
        <w:rPr>
          <w:rFonts w:hint="eastAsia" w:ascii="宋体" w:hAnsi="宋体" w:eastAsia="宋体" w:cs="宋体"/>
          <w:b/>
          <w:bCs/>
          <w:color w:val="auto"/>
          <w:sz w:val="30"/>
          <w:szCs w:val="30"/>
          <w:highlight w:val="none"/>
        </w:rPr>
        <w:t>七、联合体协议书</w:t>
      </w:r>
    </w:p>
    <w:p w14:paraId="4718F678">
      <w:pPr>
        <w:autoSpaceDE w:val="0"/>
        <w:autoSpaceDN w:val="0"/>
        <w:adjustRightInd w:val="0"/>
        <w:spacing w:line="360" w:lineRule="auto"/>
        <w:jc w:val="left"/>
        <w:rPr>
          <w:rFonts w:hint="eastAsia" w:ascii="宋体" w:hAnsi="宋体" w:eastAsia="宋体" w:cs="宋体"/>
          <w:color w:val="auto"/>
          <w:kern w:val="0"/>
          <w:szCs w:val="21"/>
          <w:highlight w:val="none"/>
          <w:u w:val="single"/>
        </w:rPr>
      </w:pPr>
    </w:p>
    <w:p w14:paraId="659769FA">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（所有成员单位名称）自愿组成联合体，共同参加</w:t>
      </w:r>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组织的</w:t>
      </w:r>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（项目编号：</w:t>
      </w:r>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）投标。现就联合体投标事宜订立如下协议：</w:t>
      </w:r>
    </w:p>
    <w:p w14:paraId="6554053F">
      <w:pPr>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highlight w:val="none"/>
        </w:rPr>
        <w:t>________________________</w:t>
      </w:r>
      <w:r>
        <w:rPr>
          <w:rFonts w:hint="eastAsia" w:ascii="宋体" w:hAnsi="宋体" w:eastAsia="宋体" w:cs="宋体"/>
          <w:color w:val="auto"/>
          <w:kern w:val="0"/>
          <w:szCs w:val="21"/>
          <w:highlight w:val="none"/>
        </w:rPr>
        <w:t>（某成员单位名称）为联合体名称牵头人。</w:t>
      </w:r>
    </w:p>
    <w:p w14:paraId="67C4CD52">
      <w:pPr>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71EE4CEE">
      <w:pPr>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52C6DD59">
      <w:pPr>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4、联合体各成员单位内部的职责分工如下</w:t>
      </w:r>
      <w:r>
        <w:rPr>
          <w:rFonts w:hint="eastAsia" w:ascii="宋体" w:hAnsi="宋体" w:eastAsia="宋体" w:cs="宋体"/>
          <w:color w:val="auto"/>
          <w:kern w:val="0"/>
          <w:szCs w:val="21"/>
          <w:highlight w:val="none"/>
          <w:u w:val="single"/>
        </w:rPr>
        <w:t>：</w:t>
      </w:r>
      <w:r>
        <w:rPr>
          <w:rFonts w:hint="eastAsia" w:ascii="宋体" w:hAnsi="宋体" w:eastAsia="宋体" w:cs="宋体"/>
          <w:color w:val="auto"/>
          <w:szCs w:val="21"/>
          <w:highlight w:val="none"/>
          <w:u w:val="single"/>
        </w:rPr>
        <w:t>________________________________________________</w:t>
      </w:r>
      <w:r>
        <w:rPr>
          <w:rFonts w:hint="eastAsia" w:ascii="宋体" w:hAnsi="宋体" w:eastAsia="宋体" w:cs="宋体"/>
          <w:color w:val="auto"/>
          <w:kern w:val="0"/>
          <w:szCs w:val="21"/>
          <w:highlight w:val="none"/>
        </w:rPr>
        <w:t>。</w:t>
      </w:r>
    </w:p>
    <w:p w14:paraId="3D4F2C4F">
      <w:pPr>
        <w:pStyle w:val="11"/>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highlight w:val="none"/>
        </w:rPr>
        <w:t>5、本联合体中</w:t>
      </w:r>
      <w:r>
        <w:rPr>
          <w:rFonts w:hint="eastAsia" w:ascii="宋体" w:hAnsi="宋体" w:eastAsia="宋体" w:cs="宋体"/>
          <w:color w:val="auto"/>
          <w:kern w:val="0"/>
          <w:highlight w:val="none"/>
          <w:u w:val="single"/>
        </w:rPr>
        <w:t>，</w:t>
      </w:r>
      <w:r>
        <w:rPr>
          <w:rFonts w:hint="eastAsia" w:ascii="宋体" w:hAnsi="宋体" w:eastAsia="宋体" w:cs="宋体"/>
          <w:color w:val="auto"/>
          <w:highlight w:val="none"/>
          <w:u w:val="single"/>
        </w:rPr>
        <w:t>________________________</w:t>
      </w:r>
      <w:r>
        <w:rPr>
          <w:rFonts w:hint="eastAsia" w:ascii="宋体" w:hAnsi="宋体" w:eastAsia="宋体" w:cs="宋体"/>
          <w:color w:val="auto"/>
          <w:kern w:val="0"/>
          <w:highlight w:val="none"/>
          <w:u w:val="single"/>
        </w:rPr>
        <w:t>（某成员单位名称）为</w:t>
      </w:r>
      <w:r>
        <w:rPr>
          <w:rFonts w:hint="eastAsia" w:ascii="宋体" w:hAnsi="宋体" w:eastAsia="宋体" w:cs="宋体"/>
          <w:color w:val="auto"/>
          <w:highlight w:val="none"/>
          <w:u w:val="single"/>
        </w:rPr>
        <w:t>______</w:t>
      </w:r>
      <w:r>
        <w:rPr>
          <w:rFonts w:hint="eastAsia" w:ascii="宋体" w:hAnsi="宋体" w:eastAsia="宋体" w:cs="宋体"/>
          <w:color w:val="auto"/>
          <w:highlight w:val="none"/>
        </w:rPr>
        <w:t>（请填写：中型、小型、微型）企业，其协议合同金额占联合体协议合同总金额的</w:t>
      </w:r>
      <w:r>
        <w:rPr>
          <w:rFonts w:hint="eastAsia" w:ascii="宋体" w:hAnsi="宋体" w:eastAsia="宋体" w:cs="宋体"/>
          <w:color w:val="auto"/>
          <w:highlight w:val="none"/>
          <w:u w:val="single"/>
        </w:rPr>
        <w:t>______</w:t>
      </w:r>
      <w:r>
        <w:rPr>
          <w:rFonts w:hint="eastAsia" w:ascii="宋体" w:hAnsi="宋体" w:eastAsia="宋体" w:cs="宋体"/>
          <w:color w:val="auto"/>
          <w:highlight w:val="none"/>
        </w:rPr>
        <w:t>%。【如联合体成员中有小型、微型企业的，请填写此条，否则无需填写；如联合体成员中有多个小型、微型企业的，请逐一列出。】</w:t>
      </w:r>
    </w:p>
    <w:p w14:paraId="627A3FAF">
      <w:pPr>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6、本协议书自签署之日起生效，合同履行完毕后自动失效。</w:t>
      </w:r>
    </w:p>
    <w:p w14:paraId="46750CAE">
      <w:pPr>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7、本协议书一式</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份，联合体成员和采购代理机构各执一份。</w:t>
      </w:r>
    </w:p>
    <w:p w14:paraId="0C367B76">
      <w:pPr>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注：本协议书由法定代表人签字的，应附法定代表人身份证明；本协议书由委托代理人签字的，应附法定代表人授权委托书。</w:t>
      </w:r>
    </w:p>
    <w:p w14:paraId="5DA1E9C3">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牵头人名称：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（公章/电子签章）</w:t>
      </w:r>
    </w:p>
    <w:p w14:paraId="4D6A29AB">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法定代表人或其委托代理人：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（手写签名/电子签名）</w:t>
      </w:r>
    </w:p>
    <w:p w14:paraId="109F0273">
      <w:pPr>
        <w:autoSpaceDE w:val="0"/>
        <w:autoSpaceDN w:val="0"/>
        <w:adjustRightInd w:val="0"/>
        <w:spacing w:line="360" w:lineRule="auto"/>
        <w:jc w:val="left"/>
        <w:rPr>
          <w:rFonts w:hint="eastAsia" w:ascii="宋体" w:hAnsi="宋体" w:eastAsia="宋体" w:cs="宋体"/>
          <w:color w:val="auto"/>
          <w:kern w:val="0"/>
          <w:szCs w:val="21"/>
          <w:highlight w:val="none"/>
        </w:rPr>
      </w:pPr>
    </w:p>
    <w:p w14:paraId="1FA22A77">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成员一名称：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（公章/电子签章）</w:t>
      </w:r>
    </w:p>
    <w:p w14:paraId="2CF8F389">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法定代表人或其委托代理人：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（手写签名/电子签名）</w:t>
      </w:r>
    </w:p>
    <w:p w14:paraId="5EBC5AF0">
      <w:pPr>
        <w:autoSpaceDE w:val="0"/>
        <w:autoSpaceDN w:val="0"/>
        <w:adjustRightInd w:val="0"/>
        <w:spacing w:line="360" w:lineRule="auto"/>
        <w:jc w:val="left"/>
        <w:rPr>
          <w:rFonts w:hint="eastAsia" w:ascii="宋体" w:hAnsi="宋体" w:eastAsia="宋体" w:cs="宋体"/>
          <w:color w:val="auto"/>
          <w:kern w:val="0"/>
          <w:szCs w:val="21"/>
          <w:highlight w:val="none"/>
        </w:rPr>
      </w:pPr>
    </w:p>
    <w:p w14:paraId="59F658F6">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成员二名称：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（公章/电子签章）</w:t>
      </w:r>
    </w:p>
    <w:p w14:paraId="70ABA26D">
      <w:pPr>
        <w:pStyle w:val="11"/>
        <w:spacing w:line="6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法定代表人或其委托代理人：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（手写签名/电子签名）</w:t>
      </w:r>
    </w:p>
    <w:p w14:paraId="16194544">
      <w:pPr>
        <w:pStyle w:val="11"/>
        <w:spacing w:line="600" w:lineRule="exact"/>
        <w:jc w:val="center"/>
        <w:rPr>
          <w:rFonts w:hint="eastAsia" w:ascii="宋体" w:hAnsi="宋体" w:eastAsia="宋体" w:cs="宋体"/>
          <w:b/>
          <w:bCs/>
          <w:color w:val="auto"/>
          <w:sz w:val="30"/>
          <w:szCs w:val="30"/>
          <w:highlight w:val="none"/>
          <w:lang w:eastAsia="zh-CN"/>
        </w:rPr>
      </w:pPr>
    </w:p>
    <w:p w14:paraId="1188E544">
      <w:pPr>
        <w:pStyle w:val="11"/>
        <w:spacing w:line="600" w:lineRule="exact"/>
        <w:jc w:val="center"/>
        <w:rPr>
          <w:rFonts w:hint="eastAsia" w:hAnsi="宋体" w:cs="宋体"/>
          <w:b/>
          <w:bCs/>
          <w:color w:val="auto"/>
          <w:sz w:val="30"/>
          <w:szCs w:val="30"/>
          <w:highlight w:val="none"/>
          <w:lang w:val="en-US" w:eastAsia="zh-CN"/>
        </w:rPr>
      </w:pPr>
    </w:p>
    <w:p w14:paraId="138612DF">
      <w:pPr>
        <w:pStyle w:val="11"/>
        <w:spacing w:line="600" w:lineRule="exact"/>
        <w:jc w:val="center"/>
        <w:rPr>
          <w:rFonts w:hint="eastAsia" w:ascii="宋体" w:hAnsi="宋体" w:eastAsia="宋体" w:cs="宋体"/>
          <w:color w:val="auto"/>
          <w:highlight w:val="none"/>
        </w:rPr>
      </w:pPr>
      <w:r>
        <w:rPr>
          <w:rFonts w:hint="eastAsia" w:hAnsi="宋体" w:cs="宋体"/>
          <w:b/>
          <w:bCs/>
          <w:color w:val="auto"/>
          <w:sz w:val="30"/>
          <w:szCs w:val="30"/>
          <w:highlight w:val="none"/>
          <w:lang w:val="en-US" w:eastAsia="zh-CN"/>
        </w:rPr>
        <w:t>八</w:t>
      </w:r>
      <w:r>
        <w:rPr>
          <w:rFonts w:hint="eastAsia" w:ascii="宋体" w:hAnsi="宋体" w:eastAsia="宋体" w:cs="宋体"/>
          <w:b/>
          <w:bCs/>
          <w:color w:val="auto"/>
          <w:sz w:val="30"/>
          <w:szCs w:val="30"/>
          <w:highlight w:val="none"/>
        </w:rPr>
        <w:t>、中小企业声明函或残疾人福利性单位声明函或属于监狱企业的证明文件</w:t>
      </w:r>
    </w:p>
    <w:p w14:paraId="4005E1AB">
      <w:pPr>
        <w:spacing w:line="30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中小企业声明函（工程）</w:t>
      </w:r>
    </w:p>
    <w:p w14:paraId="573A8057">
      <w:pPr>
        <w:spacing w:line="360" w:lineRule="auto"/>
        <w:ind w:firstLine="550"/>
        <w:rPr>
          <w:rFonts w:hint="eastAsia" w:ascii="宋体" w:hAnsi="宋体" w:eastAsia="宋体" w:cs="宋体"/>
          <w:color w:val="auto"/>
          <w:kern w:val="0"/>
          <w:sz w:val="24"/>
          <w:highlight w:val="none"/>
        </w:rPr>
      </w:pPr>
    </w:p>
    <w:p w14:paraId="7BB60D11">
      <w:pPr>
        <w:spacing w:line="360" w:lineRule="auto"/>
        <w:ind w:firstLine="5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本公司（联合体）郑重声明，根据《政府采购促进中小企业发展管理办法》（财库﹝2020﹞46 号）的规定，本公司（联合体）参加</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的</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kern w:val="0"/>
          <w:sz w:val="24"/>
          <w:highlight w:val="none"/>
        </w:rPr>
        <w:t>采购活动，工程的施工单位全部为符合政策要求的</w:t>
      </w:r>
      <w:r>
        <w:rPr>
          <w:rFonts w:hint="eastAsia" w:ascii="宋体" w:hAnsi="宋体" w:cs="宋体"/>
          <w:color w:val="auto"/>
          <w:kern w:val="0"/>
          <w:sz w:val="24"/>
          <w:highlight w:val="none"/>
          <w:lang w:val="en-US" w:eastAsia="zh-CN"/>
        </w:rPr>
        <w:t>小微</w:t>
      </w:r>
      <w:r>
        <w:rPr>
          <w:rFonts w:hint="eastAsia" w:ascii="宋体" w:hAnsi="宋体" w:eastAsia="宋体" w:cs="宋体"/>
          <w:color w:val="auto"/>
          <w:kern w:val="0"/>
          <w:sz w:val="24"/>
          <w:highlight w:val="none"/>
        </w:rPr>
        <w:t>企业（或者：服务全部由符合政策要求的</w:t>
      </w:r>
      <w:r>
        <w:rPr>
          <w:rFonts w:hint="eastAsia" w:ascii="宋体" w:hAnsi="宋体" w:cs="宋体"/>
          <w:color w:val="auto"/>
          <w:kern w:val="0"/>
          <w:sz w:val="24"/>
          <w:highlight w:val="none"/>
          <w:lang w:val="en-US" w:eastAsia="zh-CN"/>
        </w:rPr>
        <w:t>小微</w:t>
      </w:r>
      <w:r>
        <w:rPr>
          <w:rFonts w:hint="eastAsia" w:ascii="宋体" w:hAnsi="宋体" w:eastAsia="宋体" w:cs="宋体"/>
          <w:color w:val="auto"/>
          <w:kern w:val="0"/>
          <w:sz w:val="24"/>
          <w:highlight w:val="none"/>
        </w:rPr>
        <w:t>企业承接）。相关企业（含联合体中的</w:t>
      </w:r>
      <w:r>
        <w:rPr>
          <w:rFonts w:hint="eastAsia" w:ascii="宋体" w:hAnsi="宋体" w:cs="宋体"/>
          <w:color w:val="auto"/>
          <w:kern w:val="0"/>
          <w:sz w:val="24"/>
          <w:highlight w:val="none"/>
          <w:lang w:val="en-US" w:eastAsia="zh-CN"/>
        </w:rPr>
        <w:t>小微</w:t>
      </w:r>
      <w:r>
        <w:rPr>
          <w:rFonts w:hint="eastAsia" w:ascii="宋体" w:hAnsi="宋体" w:eastAsia="宋体" w:cs="宋体"/>
          <w:color w:val="auto"/>
          <w:kern w:val="0"/>
          <w:sz w:val="24"/>
          <w:highlight w:val="none"/>
        </w:rPr>
        <w:t>企业、签订分包意向协议的</w:t>
      </w:r>
      <w:r>
        <w:rPr>
          <w:rFonts w:hint="eastAsia" w:ascii="宋体" w:hAnsi="宋体" w:cs="宋体"/>
          <w:color w:val="auto"/>
          <w:kern w:val="0"/>
          <w:sz w:val="24"/>
          <w:highlight w:val="none"/>
          <w:lang w:val="en-US" w:eastAsia="zh-CN"/>
        </w:rPr>
        <w:t>小微</w:t>
      </w:r>
      <w:r>
        <w:rPr>
          <w:rFonts w:hint="eastAsia" w:ascii="宋体" w:hAnsi="宋体" w:eastAsia="宋体" w:cs="宋体"/>
          <w:color w:val="auto"/>
          <w:kern w:val="0"/>
          <w:sz w:val="24"/>
          <w:highlight w:val="none"/>
        </w:rPr>
        <w:t>企业）的具体情况如下：</w:t>
      </w:r>
    </w:p>
    <w:p w14:paraId="6CC835DB">
      <w:pPr>
        <w:spacing w:line="360" w:lineRule="auto"/>
        <w:ind w:firstLine="5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 </w:t>
      </w:r>
      <w:r>
        <w:rPr>
          <w:rFonts w:hint="eastAsia" w:ascii="宋体" w:hAnsi="宋体" w:eastAsia="宋体" w:cs="宋体"/>
          <w:color w:val="auto"/>
          <w:kern w:val="0"/>
          <w:sz w:val="24"/>
          <w:highlight w:val="none"/>
          <w:u w:val="single"/>
        </w:rPr>
        <w:t>（标的名称）</w:t>
      </w:r>
      <w:r>
        <w:rPr>
          <w:rFonts w:hint="eastAsia" w:ascii="宋体" w:hAnsi="宋体" w:eastAsia="宋体" w:cs="宋体"/>
          <w:color w:val="auto"/>
          <w:kern w:val="0"/>
          <w:sz w:val="24"/>
          <w:highlight w:val="none"/>
        </w:rPr>
        <w:t>，属于</w:t>
      </w:r>
      <w:r>
        <w:rPr>
          <w:rFonts w:hint="eastAsia" w:ascii="宋体" w:hAnsi="宋体" w:eastAsia="宋体" w:cs="宋体"/>
          <w:color w:val="auto"/>
          <w:kern w:val="0"/>
          <w:sz w:val="24"/>
          <w:highlight w:val="none"/>
          <w:u w:val="single"/>
        </w:rPr>
        <w:t>（采购文件中明确的所属行业：见</w:t>
      </w:r>
      <w:r>
        <w:rPr>
          <w:rFonts w:hint="eastAsia" w:ascii="宋体" w:hAnsi="宋体" w:cs="宋体"/>
          <w:color w:val="auto"/>
          <w:kern w:val="0"/>
          <w:sz w:val="24"/>
          <w:highlight w:val="none"/>
          <w:u w:val="single"/>
          <w:lang w:eastAsia="zh-CN"/>
        </w:rPr>
        <w:t>技术需求一览表</w:t>
      </w:r>
      <w:r>
        <w:rPr>
          <w:rFonts w:hint="eastAsia" w:ascii="宋体" w:hAnsi="宋体" w:eastAsia="宋体" w:cs="宋体"/>
          <w:color w:val="auto"/>
          <w:kern w:val="0"/>
          <w:sz w:val="24"/>
          <w:highlight w:val="none"/>
          <w:u w:val="single"/>
        </w:rPr>
        <w:t>）</w:t>
      </w:r>
      <w:r>
        <w:rPr>
          <w:rFonts w:hint="eastAsia" w:ascii="宋体" w:hAnsi="宋体" w:eastAsia="宋体" w:cs="宋体"/>
          <w:color w:val="auto"/>
          <w:kern w:val="0"/>
          <w:sz w:val="24"/>
          <w:highlight w:val="none"/>
        </w:rPr>
        <w:t>行业；承建（承接）企业为</w:t>
      </w:r>
      <w:r>
        <w:rPr>
          <w:rFonts w:hint="eastAsia" w:ascii="宋体" w:hAnsi="宋体" w:eastAsia="宋体" w:cs="宋体"/>
          <w:color w:val="auto"/>
          <w:kern w:val="0"/>
          <w:sz w:val="24"/>
          <w:highlight w:val="none"/>
          <w:u w:val="single"/>
        </w:rPr>
        <w:t>（企业名称）</w:t>
      </w:r>
      <w:r>
        <w:rPr>
          <w:rFonts w:hint="eastAsia" w:ascii="宋体" w:hAnsi="宋体" w:eastAsia="宋体" w:cs="宋体"/>
          <w:color w:val="auto"/>
          <w:kern w:val="0"/>
          <w:sz w:val="24"/>
          <w:highlight w:val="none"/>
        </w:rPr>
        <w:t>，从业人员</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人，营业收入为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万元，资产总额为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万元</w:t>
      </w:r>
      <w:r>
        <w:rPr>
          <w:rFonts w:hint="eastAsia" w:ascii="宋体" w:hAnsi="宋体" w:eastAsia="宋体" w:cs="宋体"/>
          <w:color w:val="auto"/>
          <w:sz w:val="24"/>
          <w:highlight w:val="none"/>
          <w:vertAlign w:val="superscript"/>
        </w:rPr>
        <w:t>1</w:t>
      </w:r>
      <w:r>
        <w:rPr>
          <w:rFonts w:hint="eastAsia" w:ascii="宋体" w:hAnsi="宋体" w:eastAsia="宋体" w:cs="宋体"/>
          <w:color w:val="auto"/>
          <w:kern w:val="0"/>
          <w:sz w:val="24"/>
          <w:highlight w:val="none"/>
        </w:rPr>
        <w:t>，属于</w:t>
      </w:r>
      <w:r>
        <w:rPr>
          <w:rFonts w:hint="eastAsia" w:ascii="宋体" w:hAnsi="宋体" w:eastAsia="宋体" w:cs="宋体"/>
          <w:color w:val="auto"/>
          <w:kern w:val="0"/>
          <w:sz w:val="24"/>
          <w:highlight w:val="none"/>
          <w:u w:val="single"/>
        </w:rPr>
        <w:t>（中型企业、小型企业、微型企业）</w:t>
      </w:r>
      <w:r>
        <w:rPr>
          <w:rFonts w:hint="eastAsia" w:ascii="宋体" w:hAnsi="宋体" w:eastAsia="宋体" w:cs="宋体"/>
          <w:color w:val="auto"/>
          <w:kern w:val="0"/>
          <w:sz w:val="24"/>
          <w:highlight w:val="none"/>
        </w:rPr>
        <w:t>；</w:t>
      </w:r>
    </w:p>
    <w:p w14:paraId="2DF9E3F9">
      <w:pPr>
        <w:spacing w:line="360" w:lineRule="auto"/>
        <w:ind w:firstLine="5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2. </w:t>
      </w:r>
      <w:r>
        <w:rPr>
          <w:rFonts w:hint="eastAsia" w:ascii="宋体" w:hAnsi="宋体" w:eastAsia="宋体" w:cs="宋体"/>
          <w:color w:val="auto"/>
          <w:kern w:val="0"/>
          <w:sz w:val="24"/>
          <w:highlight w:val="none"/>
          <w:u w:val="single"/>
        </w:rPr>
        <w:t>（标的名称）</w:t>
      </w:r>
      <w:r>
        <w:rPr>
          <w:rFonts w:hint="eastAsia" w:ascii="宋体" w:hAnsi="宋体" w:eastAsia="宋体" w:cs="宋体"/>
          <w:color w:val="auto"/>
          <w:kern w:val="0"/>
          <w:sz w:val="24"/>
          <w:highlight w:val="none"/>
        </w:rPr>
        <w:t>，属于</w:t>
      </w:r>
      <w:r>
        <w:rPr>
          <w:rFonts w:hint="eastAsia" w:ascii="宋体" w:hAnsi="宋体" w:eastAsia="宋体" w:cs="宋体"/>
          <w:color w:val="auto"/>
          <w:kern w:val="0"/>
          <w:sz w:val="24"/>
          <w:highlight w:val="none"/>
          <w:u w:val="single"/>
        </w:rPr>
        <w:t>（采购文件中明确的所属行业：见</w:t>
      </w:r>
      <w:r>
        <w:rPr>
          <w:rFonts w:hint="eastAsia" w:ascii="宋体" w:hAnsi="宋体" w:cs="宋体"/>
          <w:color w:val="auto"/>
          <w:kern w:val="0"/>
          <w:sz w:val="24"/>
          <w:highlight w:val="none"/>
          <w:u w:val="single"/>
          <w:lang w:eastAsia="zh-CN"/>
        </w:rPr>
        <w:t>技术需求一览表</w:t>
      </w:r>
      <w:r>
        <w:rPr>
          <w:rFonts w:hint="eastAsia" w:ascii="宋体" w:hAnsi="宋体" w:eastAsia="宋体" w:cs="宋体"/>
          <w:color w:val="auto"/>
          <w:kern w:val="0"/>
          <w:sz w:val="24"/>
          <w:highlight w:val="none"/>
          <w:u w:val="single"/>
        </w:rPr>
        <w:t>）</w:t>
      </w:r>
      <w:r>
        <w:rPr>
          <w:rFonts w:hint="eastAsia" w:ascii="宋体" w:hAnsi="宋体" w:eastAsia="宋体" w:cs="宋体"/>
          <w:color w:val="auto"/>
          <w:kern w:val="0"/>
          <w:sz w:val="24"/>
          <w:highlight w:val="none"/>
        </w:rPr>
        <w:t>行业；承建（承接）企业为</w:t>
      </w:r>
      <w:r>
        <w:rPr>
          <w:rFonts w:hint="eastAsia" w:ascii="宋体" w:hAnsi="宋体" w:eastAsia="宋体" w:cs="宋体"/>
          <w:color w:val="auto"/>
          <w:kern w:val="0"/>
          <w:sz w:val="24"/>
          <w:highlight w:val="none"/>
          <w:u w:val="single"/>
        </w:rPr>
        <w:t>（企业名称）</w:t>
      </w:r>
      <w:r>
        <w:rPr>
          <w:rFonts w:hint="eastAsia" w:ascii="宋体" w:hAnsi="宋体" w:eastAsia="宋体" w:cs="宋体"/>
          <w:color w:val="auto"/>
          <w:kern w:val="0"/>
          <w:sz w:val="24"/>
          <w:highlight w:val="none"/>
        </w:rPr>
        <w:t>，从业人员</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人，营业收入为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万元，资产总额为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万元，属于</w:t>
      </w:r>
      <w:r>
        <w:rPr>
          <w:rFonts w:hint="eastAsia" w:ascii="宋体" w:hAnsi="宋体" w:eastAsia="宋体" w:cs="宋体"/>
          <w:color w:val="auto"/>
          <w:kern w:val="0"/>
          <w:sz w:val="24"/>
          <w:highlight w:val="none"/>
          <w:u w:val="single"/>
        </w:rPr>
        <w:t>（中型企业、小型企业、微型企业）</w:t>
      </w:r>
      <w:r>
        <w:rPr>
          <w:rFonts w:hint="eastAsia" w:ascii="宋体" w:hAnsi="宋体" w:eastAsia="宋体" w:cs="宋体"/>
          <w:color w:val="auto"/>
          <w:kern w:val="0"/>
          <w:sz w:val="24"/>
          <w:highlight w:val="none"/>
        </w:rPr>
        <w:t>；</w:t>
      </w:r>
    </w:p>
    <w:p w14:paraId="3088C3A2">
      <w:pPr>
        <w:spacing w:line="360" w:lineRule="auto"/>
        <w:ind w:firstLine="5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 </w:t>
      </w:r>
    </w:p>
    <w:p w14:paraId="7952BAEC">
      <w:pPr>
        <w:spacing w:line="360" w:lineRule="auto"/>
        <w:ind w:firstLine="5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以上企业，不属于大企业的分支机构，不存在控股股东为大企业的情形，也不存在与大企业的负责人为同一人的情形。</w:t>
      </w:r>
    </w:p>
    <w:p w14:paraId="63FCE677">
      <w:pPr>
        <w:spacing w:line="360" w:lineRule="auto"/>
        <w:ind w:firstLine="5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本企业对上述声明内容的真实性负责。如有虚假，将依法承担相应责任。</w:t>
      </w:r>
    </w:p>
    <w:p w14:paraId="54C5CD68">
      <w:pPr>
        <w:ind w:firstLine="552"/>
        <w:rPr>
          <w:rFonts w:hint="eastAsia" w:ascii="宋体" w:hAnsi="宋体" w:eastAsia="宋体" w:cs="宋体"/>
          <w:color w:val="auto"/>
          <w:kern w:val="0"/>
          <w:szCs w:val="21"/>
          <w:highlight w:val="none"/>
        </w:rPr>
      </w:pPr>
    </w:p>
    <w:p w14:paraId="2D908079">
      <w:pPr>
        <w:pStyle w:val="2"/>
        <w:spacing w:after="0" w:line="360" w:lineRule="auto"/>
        <w:contextualSpacing/>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1从业人员、营业收入、资产总额填报上一年度数据，无上一年度数据的新成立企业可不填报。</w:t>
      </w:r>
    </w:p>
    <w:p w14:paraId="2DD06C8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0407D41">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442FF17">
      <w:pPr>
        <w:pStyle w:val="2"/>
        <w:spacing w:after="0" w:line="360" w:lineRule="auto"/>
        <w:ind w:left="3960" w:right="1808"/>
        <w:contextualSpacing/>
        <w:rPr>
          <w:rFonts w:hint="eastAsia" w:ascii="宋体" w:hAnsi="宋体" w:eastAsia="宋体" w:cs="宋体"/>
          <w:color w:val="auto"/>
          <w:highlight w:val="none"/>
        </w:rPr>
      </w:pPr>
    </w:p>
    <w:p w14:paraId="0D92858E">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486BF10">
      <w:pPr>
        <w:spacing w:line="520" w:lineRule="exact"/>
        <w:jc w:val="center"/>
        <w:rPr>
          <w:rFonts w:hint="eastAsia" w:ascii="宋体" w:hAnsi="宋体" w:eastAsia="宋体" w:cs="宋体"/>
          <w:color w:val="auto"/>
          <w:sz w:val="44"/>
          <w:szCs w:val="44"/>
          <w:highlight w:val="none"/>
        </w:rPr>
      </w:pPr>
    </w:p>
    <w:p w14:paraId="0C68CE02">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残疾人福利性单位声明函</w:t>
      </w:r>
    </w:p>
    <w:p w14:paraId="0A8C47C3">
      <w:pPr>
        <w:spacing w:line="520" w:lineRule="exact"/>
        <w:rPr>
          <w:rFonts w:hint="eastAsia" w:ascii="宋体" w:hAnsi="宋体" w:eastAsia="宋体" w:cs="宋体"/>
          <w:color w:val="auto"/>
          <w:sz w:val="32"/>
          <w:szCs w:val="32"/>
          <w:highlight w:val="none"/>
        </w:rPr>
      </w:pPr>
    </w:p>
    <w:p w14:paraId="0D20F75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项目采购活动由本单位提供服务。</w:t>
      </w:r>
    </w:p>
    <w:p w14:paraId="138F3A5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38901F61">
      <w:pPr>
        <w:spacing w:line="360" w:lineRule="auto"/>
        <w:contextualSpacing/>
        <w:rPr>
          <w:rFonts w:hint="eastAsia" w:ascii="宋体" w:hAnsi="宋体" w:eastAsia="宋体" w:cs="宋体"/>
          <w:color w:val="auto"/>
          <w:sz w:val="24"/>
          <w:highlight w:val="none"/>
        </w:rPr>
      </w:pPr>
    </w:p>
    <w:p w14:paraId="1AFCB8BF">
      <w:pPr>
        <w:spacing w:line="360" w:lineRule="auto"/>
        <w:contextualSpacing/>
        <w:rPr>
          <w:rFonts w:hint="eastAsia" w:ascii="宋体" w:hAnsi="宋体" w:eastAsia="宋体" w:cs="宋体"/>
          <w:color w:val="auto"/>
          <w:sz w:val="24"/>
          <w:highlight w:val="none"/>
        </w:rPr>
      </w:pPr>
    </w:p>
    <w:p w14:paraId="65D90ABA">
      <w:pPr>
        <w:spacing w:line="360" w:lineRule="auto"/>
        <w:contextualSpacing/>
        <w:rPr>
          <w:rFonts w:hint="eastAsia" w:ascii="宋体" w:hAnsi="宋体" w:eastAsia="宋体" w:cs="宋体"/>
          <w:color w:val="auto"/>
          <w:sz w:val="24"/>
          <w:highlight w:val="none"/>
        </w:rPr>
      </w:pPr>
    </w:p>
    <w:p w14:paraId="02D5E060">
      <w:pPr>
        <w:spacing w:line="360" w:lineRule="auto"/>
        <w:ind w:firstLine="2400" w:firstLineChars="10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08F38099">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7917D977">
      <w:pPr>
        <w:spacing w:line="360" w:lineRule="auto"/>
        <w:contextualSpacing/>
        <w:rPr>
          <w:rFonts w:hint="eastAsia" w:ascii="宋体" w:hAnsi="宋体" w:eastAsia="宋体" w:cs="宋体"/>
          <w:color w:val="auto"/>
          <w:sz w:val="24"/>
          <w:highlight w:val="none"/>
        </w:rPr>
      </w:pPr>
    </w:p>
    <w:p w14:paraId="1BC9A408">
      <w:pPr>
        <w:spacing w:line="360" w:lineRule="auto"/>
        <w:contextualSpacing/>
        <w:rPr>
          <w:rFonts w:hint="eastAsia" w:ascii="宋体" w:hAnsi="宋体" w:eastAsia="宋体" w:cs="宋体"/>
          <w:color w:val="auto"/>
          <w:sz w:val="24"/>
          <w:highlight w:val="none"/>
        </w:rPr>
      </w:pPr>
    </w:p>
    <w:p w14:paraId="1601E89B">
      <w:pPr>
        <w:spacing w:line="360" w:lineRule="auto"/>
        <w:contextualSpacing/>
        <w:rPr>
          <w:rFonts w:hint="eastAsia" w:ascii="宋体" w:hAnsi="宋体" w:eastAsia="宋体" w:cs="宋体"/>
          <w:color w:val="auto"/>
          <w:sz w:val="24"/>
          <w:highlight w:val="none"/>
        </w:rPr>
      </w:pPr>
    </w:p>
    <w:p w14:paraId="721681A7">
      <w:pPr>
        <w:pStyle w:val="11"/>
        <w:spacing w:line="600" w:lineRule="exact"/>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color w:val="auto"/>
          <w:sz w:val="24"/>
          <w:highlight w:val="none"/>
        </w:rPr>
        <w:t>注：请根据自己的真实情况出具《残疾人福利性单位声明函》。依法享受</w:t>
      </w:r>
      <w:r>
        <w:rPr>
          <w:rFonts w:hint="eastAsia" w:ascii="宋体" w:hAnsi="宋体" w:eastAsia="宋体" w:cs="宋体"/>
          <w:color w:val="auto"/>
          <w:kern w:val="2"/>
          <w:sz w:val="24"/>
          <w:highlight w:val="none"/>
        </w:rPr>
        <w:t>中小</w:t>
      </w:r>
      <w:r>
        <w:rPr>
          <w:rFonts w:hint="eastAsia" w:ascii="宋体" w:hAnsi="宋体" w:eastAsia="宋体" w:cs="宋体"/>
          <w:color w:val="auto"/>
          <w:sz w:val="24"/>
          <w:highlight w:val="none"/>
        </w:rPr>
        <w:t>企业优惠政策的，采购人或者采购代理机构在公告中标结果时，同时公告其《残疾人福利性单位声明函》，接受社会监督。</w:t>
      </w:r>
    </w:p>
    <w:p w14:paraId="331937E8">
      <w:pPr>
        <w:pStyle w:val="11"/>
        <w:spacing w:line="600" w:lineRule="exact"/>
        <w:jc w:val="center"/>
        <w:rPr>
          <w:rFonts w:hint="eastAsia" w:hAnsi="宋体" w:cs="宋体"/>
          <w:b/>
          <w:bCs/>
          <w:color w:val="auto"/>
          <w:sz w:val="30"/>
          <w:szCs w:val="30"/>
          <w:highlight w:val="none"/>
          <w:lang w:val="en-US" w:eastAsia="zh-CN"/>
        </w:rPr>
      </w:pPr>
    </w:p>
    <w:p w14:paraId="78FE72AE">
      <w:pPr>
        <w:pStyle w:val="11"/>
        <w:spacing w:line="600" w:lineRule="exact"/>
        <w:jc w:val="center"/>
        <w:rPr>
          <w:rFonts w:hint="eastAsia" w:hAnsi="宋体" w:cs="宋体"/>
          <w:b/>
          <w:bCs/>
          <w:color w:val="auto"/>
          <w:sz w:val="30"/>
          <w:szCs w:val="30"/>
          <w:highlight w:val="none"/>
          <w:lang w:val="en-US" w:eastAsia="zh-CN"/>
        </w:rPr>
      </w:pPr>
    </w:p>
    <w:p w14:paraId="063A6F6B">
      <w:pPr>
        <w:pStyle w:val="11"/>
        <w:spacing w:line="600" w:lineRule="exact"/>
        <w:jc w:val="center"/>
        <w:rPr>
          <w:rFonts w:hint="eastAsia" w:hAnsi="宋体" w:cs="宋体"/>
          <w:b/>
          <w:bCs/>
          <w:color w:val="auto"/>
          <w:sz w:val="30"/>
          <w:szCs w:val="30"/>
          <w:highlight w:val="none"/>
          <w:lang w:val="en-US" w:eastAsia="zh-CN"/>
        </w:rPr>
      </w:pPr>
    </w:p>
    <w:p w14:paraId="7F909831">
      <w:pPr>
        <w:pStyle w:val="11"/>
        <w:spacing w:line="600" w:lineRule="exact"/>
        <w:jc w:val="center"/>
        <w:rPr>
          <w:rFonts w:hint="eastAsia" w:hAnsi="宋体" w:cs="宋体"/>
          <w:b/>
          <w:bCs/>
          <w:color w:val="auto"/>
          <w:sz w:val="30"/>
          <w:szCs w:val="30"/>
          <w:highlight w:val="none"/>
          <w:lang w:val="en-US" w:eastAsia="zh-CN"/>
        </w:rPr>
      </w:pPr>
    </w:p>
    <w:p w14:paraId="0D277E5B">
      <w:pPr>
        <w:pStyle w:val="11"/>
        <w:spacing w:line="600" w:lineRule="exact"/>
        <w:jc w:val="center"/>
        <w:rPr>
          <w:rFonts w:hint="eastAsia" w:hAnsi="宋体" w:cs="宋体"/>
          <w:b/>
          <w:bCs/>
          <w:color w:val="auto"/>
          <w:sz w:val="30"/>
          <w:szCs w:val="30"/>
          <w:highlight w:val="none"/>
          <w:lang w:val="en-US" w:eastAsia="zh-CN"/>
        </w:rPr>
      </w:pPr>
    </w:p>
    <w:p w14:paraId="7A568BFD">
      <w:pPr>
        <w:pStyle w:val="11"/>
        <w:spacing w:line="600" w:lineRule="exact"/>
        <w:jc w:val="center"/>
        <w:rPr>
          <w:rFonts w:hint="eastAsia" w:hAnsi="宋体" w:cs="宋体"/>
          <w:b/>
          <w:bCs/>
          <w:color w:val="auto"/>
          <w:sz w:val="30"/>
          <w:szCs w:val="30"/>
          <w:highlight w:val="none"/>
          <w:lang w:val="en-US" w:eastAsia="zh-CN"/>
        </w:rPr>
      </w:pPr>
    </w:p>
    <w:p w14:paraId="02C6FDCA">
      <w:pPr>
        <w:pStyle w:val="11"/>
        <w:spacing w:line="600" w:lineRule="exact"/>
        <w:jc w:val="center"/>
        <w:rPr>
          <w:rFonts w:hint="eastAsia" w:hAnsi="宋体" w:cs="宋体"/>
          <w:b/>
          <w:bCs/>
          <w:color w:val="auto"/>
          <w:sz w:val="30"/>
          <w:szCs w:val="30"/>
          <w:highlight w:val="none"/>
          <w:lang w:val="en-US" w:eastAsia="zh-CN"/>
        </w:rPr>
      </w:pPr>
    </w:p>
    <w:p w14:paraId="726EA5E4">
      <w:pPr>
        <w:pStyle w:val="11"/>
        <w:spacing w:line="600" w:lineRule="exact"/>
        <w:jc w:val="center"/>
        <w:rPr>
          <w:rFonts w:hint="eastAsia" w:hAnsi="宋体" w:cs="宋体"/>
          <w:b/>
          <w:bCs/>
          <w:color w:val="auto"/>
          <w:sz w:val="30"/>
          <w:szCs w:val="30"/>
          <w:highlight w:val="none"/>
          <w:lang w:val="en-US" w:eastAsia="zh-CN"/>
        </w:rPr>
      </w:pPr>
    </w:p>
    <w:p w14:paraId="73B946A6">
      <w:pPr>
        <w:pStyle w:val="11"/>
        <w:spacing w:line="600" w:lineRule="exact"/>
        <w:jc w:val="center"/>
        <w:rPr>
          <w:rFonts w:hint="eastAsia" w:hAnsi="宋体" w:cs="宋体"/>
          <w:b/>
          <w:bCs/>
          <w:color w:val="auto"/>
          <w:sz w:val="30"/>
          <w:szCs w:val="30"/>
          <w:highlight w:val="none"/>
          <w:lang w:val="en-US" w:eastAsia="zh-CN"/>
        </w:rPr>
      </w:pPr>
    </w:p>
    <w:p w14:paraId="3EB41B7B">
      <w:pPr>
        <w:pStyle w:val="11"/>
        <w:spacing w:line="600" w:lineRule="exact"/>
        <w:jc w:val="center"/>
        <w:rPr>
          <w:rFonts w:hint="eastAsia" w:ascii="宋体" w:hAnsi="宋体" w:eastAsia="宋体" w:cs="宋体"/>
          <w:b/>
          <w:bCs/>
          <w:color w:val="auto"/>
          <w:sz w:val="30"/>
          <w:szCs w:val="30"/>
          <w:highlight w:val="none"/>
        </w:rPr>
      </w:pPr>
      <w:r>
        <w:rPr>
          <w:rFonts w:hint="eastAsia" w:hAnsi="宋体" w:cs="宋体"/>
          <w:b/>
          <w:bCs/>
          <w:color w:val="auto"/>
          <w:sz w:val="30"/>
          <w:szCs w:val="30"/>
          <w:highlight w:val="none"/>
          <w:lang w:val="en-US" w:eastAsia="zh-CN"/>
        </w:rPr>
        <w:t>九</w:t>
      </w:r>
      <w:r>
        <w:rPr>
          <w:rFonts w:hint="eastAsia" w:ascii="宋体" w:hAnsi="宋体" w:eastAsia="宋体" w:cs="宋体"/>
          <w:b/>
          <w:bCs/>
          <w:color w:val="auto"/>
          <w:sz w:val="30"/>
          <w:szCs w:val="30"/>
          <w:highlight w:val="none"/>
        </w:rPr>
        <w:t>、符合特定资格条件的有关证明材料</w:t>
      </w:r>
    </w:p>
    <w:p w14:paraId="6CAC8268">
      <w:pPr>
        <w:pStyle w:val="11"/>
        <w:spacing w:line="600" w:lineRule="exact"/>
        <w:jc w:val="center"/>
        <w:rPr>
          <w:rFonts w:hint="eastAsia" w:ascii="宋体" w:hAnsi="宋体" w:eastAsia="宋体" w:cs="宋体"/>
          <w:b/>
          <w:bCs/>
          <w:color w:val="auto"/>
          <w:sz w:val="30"/>
          <w:szCs w:val="30"/>
          <w:highlight w:val="none"/>
        </w:rPr>
      </w:pPr>
    </w:p>
    <w:p w14:paraId="38332F01">
      <w:pPr>
        <w:pStyle w:val="11"/>
        <w:spacing w:line="600" w:lineRule="exact"/>
        <w:jc w:val="center"/>
        <w:rPr>
          <w:rFonts w:hint="eastAsia" w:ascii="宋体" w:hAnsi="宋体" w:eastAsia="宋体" w:cs="宋体"/>
          <w:b/>
          <w:bCs/>
          <w:color w:val="auto"/>
          <w:sz w:val="30"/>
          <w:szCs w:val="30"/>
          <w:highlight w:val="none"/>
        </w:rPr>
      </w:pPr>
    </w:p>
    <w:p w14:paraId="0B48EC3E">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099DA4CF">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4A47908">
      <w:pPr>
        <w:widowControl/>
        <w:spacing w:line="360" w:lineRule="auto"/>
        <w:jc w:val="left"/>
        <w:rPr>
          <w:rFonts w:hint="eastAsia" w:ascii="宋体" w:hAnsi="宋体" w:eastAsia="宋体" w:cs="宋体"/>
          <w:color w:val="auto"/>
          <w:szCs w:val="21"/>
          <w:highlight w:val="none"/>
        </w:rPr>
        <w:sectPr>
          <w:pgSz w:w="11906" w:h="16838"/>
          <w:pgMar w:top="1134" w:right="1134" w:bottom="1134" w:left="1134" w:header="720" w:footer="720" w:gutter="0"/>
          <w:cols w:space="720" w:num="1"/>
          <w:docGrid w:type="lines" w:linePitch="331" w:charSpace="0"/>
        </w:sectPr>
      </w:pPr>
    </w:p>
    <w:p w14:paraId="1E8A6755">
      <w:pPr>
        <w:numPr>
          <w:ilvl w:val="0"/>
          <w:numId w:val="0"/>
        </w:numPr>
        <w:snapToGrid w:val="0"/>
        <w:spacing w:line="360" w:lineRule="auto"/>
        <w:ind w:firstLine="602" w:firstLineChars="200"/>
        <w:rPr>
          <w:rFonts w:hint="eastAsia"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lang w:val="en-US" w:eastAsia="zh-CN"/>
        </w:rPr>
        <w:t>十、</w:t>
      </w:r>
      <w:r>
        <w:rPr>
          <w:rFonts w:hint="eastAsia" w:ascii="宋体" w:hAnsi="宋体" w:eastAsia="宋体" w:cs="宋体"/>
          <w:b/>
          <w:color w:val="auto"/>
          <w:sz w:val="30"/>
          <w:szCs w:val="30"/>
          <w:highlight w:val="none"/>
          <w:lang w:val="en-US" w:eastAsia="zh-CN"/>
        </w:rPr>
        <w:t>建设工程项目管理承诺书</w:t>
      </w:r>
    </w:p>
    <w:p w14:paraId="77FE7D54">
      <w:pPr>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建设工程项目管理承诺书</w:t>
      </w:r>
    </w:p>
    <w:p w14:paraId="2AB76946">
      <w:pPr>
        <w:pStyle w:val="36"/>
        <w:spacing w:line="480" w:lineRule="auto"/>
        <w:jc w:val="left"/>
        <w:rPr>
          <w:rStyle w:val="22"/>
          <w:rFonts w:hint="eastAsia" w:asciiTheme="minorEastAsia" w:hAnsiTheme="minorEastAsia" w:eastAsiaTheme="minorEastAsia" w:cstheme="minorEastAsia"/>
          <w:color w:val="auto"/>
          <w:sz w:val="24"/>
          <w:szCs w:val="24"/>
          <w:highlight w:val="none"/>
        </w:rPr>
      </w:pPr>
      <w:r>
        <w:rPr>
          <w:rStyle w:val="22"/>
          <w:rFonts w:hint="eastAsia" w:asciiTheme="minorEastAsia" w:hAnsiTheme="minorEastAsia" w:eastAsiaTheme="minorEastAsia" w:cstheme="minorEastAsia"/>
          <w:color w:val="auto"/>
          <w:sz w:val="24"/>
          <w:szCs w:val="24"/>
          <w:highlight w:val="none"/>
        </w:rPr>
        <w:t>致</w:t>
      </w:r>
      <w:r>
        <w:rPr>
          <w:rStyle w:val="22"/>
          <w:rFonts w:hint="eastAsia" w:asciiTheme="minorEastAsia" w:hAnsiTheme="minorEastAsia" w:eastAsiaTheme="minorEastAsia" w:cstheme="minorEastAsia"/>
          <w:color w:val="auto"/>
          <w:sz w:val="24"/>
          <w:szCs w:val="24"/>
          <w:highlight w:val="none"/>
          <w:u w:val="single"/>
        </w:rPr>
        <w:t xml:space="preserve">                        </w:t>
      </w:r>
      <w:r>
        <w:rPr>
          <w:rStyle w:val="22"/>
          <w:rFonts w:hint="eastAsia" w:asciiTheme="minorEastAsia" w:hAnsiTheme="minorEastAsia" w:eastAsiaTheme="minorEastAsia" w:cstheme="minorEastAsia"/>
          <w:color w:val="auto"/>
          <w:sz w:val="24"/>
          <w:szCs w:val="24"/>
          <w:highlight w:val="none"/>
        </w:rPr>
        <w:t>（招标人名称）：</w:t>
      </w:r>
    </w:p>
    <w:p w14:paraId="4BED6885">
      <w:pPr>
        <w:pStyle w:val="36"/>
        <w:spacing w:line="520" w:lineRule="exact"/>
        <w:ind w:left="-10" w:firstLine="520" w:firstLineChars="217"/>
        <w:jc w:val="left"/>
        <w:rPr>
          <w:rStyle w:val="22"/>
          <w:rFonts w:hint="eastAsia" w:asciiTheme="minorEastAsia" w:hAnsiTheme="minorEastAsia" w:eastAsiaTheme="minorEastAsia" w:cstheme="minorEastAsia"/>
          <w:color w:val="auto"/>
          <w:sz w:val="24"/>
          <w:szCs w:val="24"/>
          <w:highlight w:val="none"/>
        </w:rPr>
      </w:pPr>
      <w:r>
        <w:rPr>
          <w:rStyle w:val="22"/>
          <w:rFonts w:hint="eastAsia" w:asciiTheme="minorEastAsia" w:hAnsiTheme="minorEastAsia" w:eastAsiaTheme="minorEastAsia" w:cstheme="minorEastAsia"/>
          <w:color w:val="auto"/>
          <w:sz w:val="24"/>
          <w:szCs w:val="24"/>
          <w:highlight w:val="none"/>
        </w:rPr>
        <w:t>作为参与</w:t>
      </w:r>
      <w:r>
        <w:rPr>
          <w:rStyle w:val="22"/>
          <w:rFonts w:hint="eastAsia" w:asciiTheme="minorEastAsia" w:hAnsiTheme="minorEastAsia" w:eastAsiaTheme="minorEastAsia" w:cstheme="minorEastAsia"/>
          <w:color w:val="auto"/>
          <w:sz w:val="24"/>
          <w:szCs w:val="24"/>
          <w:highlight w:val="none"/>
          <w:u w:val="single"/>
        </w:rPr>
        <w:t xml:space="preserve">                  </w:t>
      </w:r>
      <w:r>
        <w:rPr>
          <w:rStyle w:val="22"/>
          <w:rFonts w:hint="eastAsia" w:asciiTheme="minorEastAsia" w:hAnsiTheme="minorEastAsia" w:eastAsiaTheme="minorEastAsia" w:cstheme="minorEastAsia"/>
          <w:color w:val="auto"/>
          <w:sz w:val="24"/>
          <w:szCs w:val="24"/>
          <w:highlight w:val="none"/>
        </w:rPr>
        <w:t>（工程名称）项目的投标方，根据国家、自治区相关文件规定，我方在此向招标人承诺：</w:t>
      </w:r>
    </w:p>
    <w:p w14:paraId="4948FF12">
      <w:pPr>
        <w:pStyle w:val="36"/>
        <w:spacing w:line="520" w:lineRule="exact"/>
        <w:ind w:left="-10" w:firstLine="520" w:firstLineChars="217"/>
        <w:jc w:val="left"/>
        <w:rPr>
          <w:rStyle w:val="22"/>
          <w:rFonts w:hint="eastAsia" w:asciiTheme="minorEastAsia" w:hAnsiTheme="minorEastAsia" w:eastAsiaTheme="minorEastAsia" w:cstheme="minorEastAsia"/>
          <w:color w:val="auto"/>
          <w:sz w:val="24"/>
          <w:szCs w:val="24"/>
          <w:highlight w:val="none"/>
        </w:rPr>
      </w:pPr>
      <w:r>
        <w:rPr>
          <w:rStyle w:val="22"/>
          <w:rFonts w:hint="eastAsia" w:asciiTheme="minorEastAsia" w:hAnsiTheme="minorEastAsia" w:eastAsiaTheme="minorEastAsia" w:cstheme="minorEastAsia"/>
          <w:color w:val="auto"/>
          <w:sz w:val="24"/>
          <w:szCs w:val="24"/>
          <w:highlight w:val="none"/>
        </w:rPr>
        <w:t>1、一旦中标，我方保证按照政府相关部门的规定，在中标后7个工作日内，按照《保障农民工工资支付条例》规定及广西壮族自治区有关规定开设农民工工资专用账户，并按</w:t>
      </w:r>
      <w:r>
        <w:rPr>
          <w:rStyle w:val="22"/>
          <w:rFonts w:hint="eastAsia" w:asciiTheme="minorEastAsia" w:hAnsiTheme="minorEastAsia" w:eastAsiaTheme="minorEastAsia" w:cstheme="minorEastAsia"/>
          <w:color w:val="auto"/>
          <w:sz w:val="24"/>
          <w:szCs w:val="24"/>
          <w:highlight w:val="none"/>
          <w:u w:val="single"/>
        </w:rPr>
        <w:t>要求</w:t>
      </w:r>
      <w:r>
        <w:rPr>
          <w:rStyle w:val="22"/>
          <w:rFonts w:hint="eastAsia" w:asciiTheme="minorEastAsia" w:hAnsiTheme="minorEastAsia" w:eastAsiaTheme="minorEastAsia" w:cstheme="minorEastAsia"/>
          <w:color w:val="auto"/>
          <w:sz w:val="24"/>
          <w:szCs w:val="24"/>
          <w:highlight w:val="none"/>
        </w:rPr>
        <w:t>比例将农民工工资保证金存入帐户，专项用于支付本工程提供劳动的农民工被拖欠的工资。按照与农民工依法约定的工资支付周期和具体支付日期支付工资，保证每月至少向农民工足额支付一次工资。</w:t>
      </w:r>
    </w:p>
    <w:p w14:paraId="12D42446">
      <w:pPr>
        <w:pStyle w:val="36"/>
        <w:spacing w:line="520" w:lineRule="exact"/>
        <w:ind w:left="-10" w:firstLine="520" w:firstLineChars="217"/>
        <w:jc w:val="left"/>
        <w:rPr>
          <w:rStyle w:val="22"/>
          <w:rFonts w:hint="eastAsia" w:asciiTheme="minorEastAsia" w:hAnsiTheme="minorEastAsia" w:eastAsiaTheme="minorEastAsia" w:cstheme="minorEastAsia"/>
          <w:color w:val="auto"/>
          <w:sz w:val="24"/>
          <w:szCs w:val="24"/>
          <w:highlight w:val="none"/>
        </w:rPr>
      </w:pPr>
      <w:r>
        <w:rPr>
          <w:rStyle w:val="22"/>
          <w:rFonts w:hint="eastAsia" w:asciiTheme="minorEastAsia" w:hAnsiTheme="minorEastAsia" w:eastAsiaTheme="minorEastAsia" w:cstheme="minorEastAsia"/>
          <w:color w:val="auto"/>
          <w:sz w:val="24"/>
          <w:szCs w:val="24"/>
          <w:highlight w:val="none"/>
        </w:rPr>
        <w:t>2、一旦中标，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1434C0EF">
      <w:pPr>
        <w:pStyle w:val="36"/>
        <w:spacing w:line="520" w:lineRule="exact"/>
        <w:ind w:left="-2" w:leftChars="-1" w:firstLine="513" w:firstLineChars="214"/>
        <w:jc w:val="left"/>
        <w:rPr>
          <w:rStyle w:val="22"/>
          <w:rFonts w:hint="eastAsia" w:asciiTheme="minorEastAsia" w:hAnsiTheme="minorEastAsia" w:eastAsiaTheme="minorEastAsia" w:cstheme="minorEastAsia"/>
          <w:color w:val="auto"/>
          <w:sz w:val="24"/>
          <w:szCs w:val="24"/>
          <w:highlight w:val="none"/>
        </w:rPr>
      </w:pPr>
      <w:r>
        <w:rPr>
          <w:rStyle w:val="22"/>
          <w:rFonts w:hint="eastAsia" w:asciiTheme="minorEastAsia" w:hAnsiTheme="minorEastAsia" w:eastAsiaTheme="minorEastAsia" w:cstheme="minorEastAsia"/>
          <w:color w:val="auto"/>
          <w:sz w:val="24"/>
          <w:szCs w:val="24"/>
          <w:highlight w:val="none"/>
        </w:rPr>
        <w:t>3、一旦中标，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1EEB2812">
      <w:pPr>
        <w:pStyle w:val="36"/>
        <w:spacing w:line="520" w:lineRule="exact"/>
        <w:ind w:left="-10" w:firstLine="520" w:firstLineChars="217"/>
        <w:jc w:val="left"/>
        <w:rPr>
          <w:rStyle w:val="22"/>
          <w:rFonts w:hint="eastAsia" w:asciiTheme="minorEastAsia" w:hAnsiTheme="minorEastAsia" w:eastAsiaTheme="minorEastAsia" w:cstheme="minorEastAsia"/>
          <w:color w:val="auto"/>
          <w:sz w:val="24"/>
          <w:szCs w:val="24"/>
          <w:highlight w:val="none"/>
        </w:rPr>
      </w:pPr>
      <w:r>
        <w:rPr>
          <w:rStyle w:val="22"/>
          <w:rFonts w:hint="eastAsia" w:asciiTheme="minorEastAsia" w:hAnsiTheme="minorEastAsia" w:eastAsiaTheme="minorEastAsia" w:cstheme="minorEastAsia"/>
          <w:color w:val="auto"/>
          <w:sz w:val="24"/>
          <w:szCs w:val="24"/>
          <w:highlight w:val="none"/>
        </w:rPr>
        <w:t>4、一旦中标，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7644AD53">
      <w:pPr>
        <w:pStyle w:val="36"/>
        <w:spacing w:line="520" w:lineRule="exact"/>
        <w:ind w:left="-10" w:firstLine="520" w:firstLineChars="217"/>
        <w:jc w:val="left"/>
        <w:rPr>
          <w:rStyle w:val="22"/>
          <w:rFonts w:hint="eastAsia" w:asciiTheme="minorEastAsia" w:hAnsiTheme="minorEastAsia" w:eastAsiaTheme="minorEastAsia" w:cstheme="minorEastAsia"/>
          <w:color w:val="auto"/>
          <w:sz w:val="24"/>
          <w:szCs w:val="24"/>
          <w:highlight w:val="none"/>
        </w:rPr>
      </w:pPr>
      <w:r>
        <w:rPr>
          <w:rStyle w:val="22"/>
          <w:rFonts w:hint="eastAsia" w:asciiTheme="minorEastAsia" w:hAnsiTheme="minorEastAsia" w:eastAsiaTheme="minorEastAsia" w:cstheme="minorEastAsia"/>
          <w:color w:val="auto"/>
          <w:sz w:val="24"/>
          <w:szCs w:val="24"/>
          <w:highlight w:val="none"/>
        </w:rPr>
        <w:t>5、一旦中标，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0428886C">
      <w:pPr>
        <w:pStyle w:val="36"/>
        <w:spacing w:line="520" w:lineRule="exact"/>
        <w:jc w:val="left"/>
        <w:rPr>
          <w:rStyle w:val="22"/>
          <w:rFonts w:hint="eastAsia" w:asciiTheme="minorEastAsia" w:hAnsiTheme="minorEastAsia" w:eastAsiaTheme="minorEastAsia" w:cstheme="minorEastAsia"/>
          <w:color w:val="auto"/>
          <w:sz w:val="24"/>
          <w:szCs w:val="24"/>
          <w:highlight w:val="none"/>
        </w:rPr>
      </w:pPr>
    </w:p>
    <w:p w14:paraId="12099D87">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D442939">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15D3BBC7">
      <w:pPr>
        <w:pStyle w:val="11"/>
        <w:jc w:val="both"/>
        <w:outlineLvl w:val="9"/>
        <w:rPr>
          <w:rFonts w:hint="eastAsia" w:ascii="宋体" w:hAnsi="宋体" w:eastAsia="宋体" w:cs="宋体"/>
          <w:color w:val="auto"/>
          <w:szCs w:val="21"/>
          <w:highlight w:val="none"/>
        </w:rPr>
      </w:pPr>
    </w:p>
    <w:p w14:paraId="72A5D1D9">
      <w:pPr>
        <w:pStyle w:val="36"/>
        <w:spacing w:line="360" w:lineRule="auto"/>
        <w:jc w:val="center"/>
        <w:rPr>
          <w:rStyle w:val="22"/>
          <w:rFonts w:ascii="Times New Roman" w:hAnsi="Times New Roman" w:eastAsia="宋体" w:cs="Times New Roman"/>
          <w:color w:val="auto"/>
          <w:szCs w:val="21"/>
          <w:highlight w:val="none"/>
        </w:rPr>
      </w:pPr>
      <w:r>
        <w:rPr>
          <w:rStyle w:val="22"/>
          <w:rFonts w:hint="eastAsia" w:ascii="Times New Roman" w:hAnsi="Times New Roman" w:eastAsia="宋体" w:cs="宋体"/>
          <w:b/>
          <w:bCs/>
          <w:color w:val="auto"/>
          <w:sz w:val="28"/>
          <w:szCs w:val="28"/>
          <w:highlight w:val="none"/>
        </w:rPr>
        <w:t>广西壮族自治区建筑工程安全文明施工措施项目清单内容</w:t>
      </w:r>
    </w:p>
    <w:p w14:paraId="04AAC56A">
      <w:pPr>
        <w:pStyle w:val="36"/>
        <w:spacing w:line="360" w:lineRule="auto"/>
        <w:ind w:firstLine="600" w:firstLineChars="250"/>
        <w:jc w:val="center"/>
        <w:rPr>
          <w:rStyle w:val="22"/>
          <w:rFonts w:ascii="Times New Roman" w:hAnsi="Times New Roman" w:eastAsia="宋体" w:cs="Times New Roman"/>
          <w:color w:val="auto"/>
          <w:sz w:val="24"/>
          <w:szCs w:val="24"/>
          <w:highlight w:val="none"/>
        </w:rPr>
      </w:pPr>
      <w:r>
        <w:rPr>
          <w:rStyle w:val="22"/>
          <w:rFonts w:hint="eastAsia" w:ascii="Times New Roman" w:hAnsi="Times New Roman" w:eastAsia="宋体" w:cs="宋体"/>
          <w:color w:val="auto"/>
          <w:sz w:val="24"/>
          <w:szCs w:val="24"/>
          <w:highlight w:val="none"/>
        </w:rPr>
        <w:t>（桂建质〔</w:t>
      </w:r>
      <w:r>
        <w:rPr>
          <w:rStyle w:val="22"/>
          <w:rFonts w:ascii="Times New Roman" w:hAnsi="Times New Roman" w:eastAsia="宋体" w:cs="Times New Roman"/>
          <w:color w:val="auto"/>
          <w:sz w:val="24"/>
          <w:szCs w:val="24"/>
          <w:highlight w:val="none"/>
        </w:rPr>
        <w:t>2015</w:t>
      </w:r>
      <w:r>
        <w:rPr>
          <w:rStyle w:val="22"/>
          <w:rFonts w:hint="eastAsia" w:ascii="Times New Roman" w:hAnsi="Times New Roman" w:eastAsia="宋体" w:cs="宋体"/>
          <w:color w:val="auto"/>
          <w:sz w:val="24"/>
          <w:szCs w:val="24"/>
          <w:highlight w:val="none"/>
        </w:rPr>
        <w:t>〕</w:t>
      </w:r>
      <w:r>
        <w:rPr>
          <w:rStyle w:val="22"/>
          <w:rFonts w:ascii="Times New Roman" w:hAnsi="Times New Roman" w:eastAsia="宋体" w:cs="Times New Roman"/>
          <w:color w:val="auto"/>
          <w:sz w:val="24"/>
          <w:szCs w:val="24"/>
          <w:highlight w:val="none"/>
        </w:rPr>
        <w:t>16</w:t>
      </w:r>
      <w:r>
        <w:rPr>
          <w:rStyle w:val="22"/>
          <w:rFonts w:hint="eastAsia" w:ascii="Times New Roman" w:hAnsi="Times New Roman" w:eastAsia="宋体" w:cs="宋体"/>
          <w:color w:val="auto"/>
          <w:sz w:val="24"/>
          <w:szCs w:val="24"/>
          <w:highlight w:val="none"/>
        </w:rPr>
        <w:t>号文附件一）</w:t>
      </w:r>
    </w:p>
    <w:p w14:paraId="53768A46">
      <w:pPr>
        <w:pStyle w:val="36"/>
        <w:spacing w:line="240" w:lineRule="atLeast"/>
        <w:jc w:val="center"/>
        <w:rPr>
          <w:rStyle w:val="22"/>
          <w:rFonts w:ascii="Times New Roman" w:hAnsi="Times New Roman" w:eastAsia="宋体" w:cs="Times New Roman"/>
          <w:b/>
          <w:bCs/>
          <w:color w:val="auto"/>
          <w:w w:val="90"/>
          <w:sz w:val="24"/>
          <w:szCs w:val="24"/>
          <w:highlight w:val="none"/>
        </w:rPr>
      </w:pPr>
      <w:r>
        <w:rPr>
          <w:rStyle w:val="22"/>
          <w:rFonts w:hint="eastAsia" w:ascii="宋体" w:hAnsi="宋体" w:eastAsia="宋体" w:cs="宋体"/>
          <w:b/>
          <w:bCs/>
          <w:color w:val="auto"/>
          <w:sz w:val="24"/>
          <w:szCs w:val="24"/>
          <w:highlight w:val="none"/>
        </w:rPr>
        <w:t>广西壮族自治区</w:t>
      </w:r>
      <w:r>
        <w:rPr>
          <w:rStyle w:val="22"/>
          <w:rFonts w:hint="eastAsia" w:ascii="Times New Roman" w:hAnsi="Times New Roman" w:eastAsia="宋体" w:cs="宋体"/>
          <w:b/>
          <w:bCs/>
          <w:color w:val="auto"/>
          <w:w w:val="90"/>
          <w:sz w:val="24"/>
          <w:szCs w:val="24"/>
          <w:highlight w:val="none"/>
        </w:rPr>
        <w:t>建设工程安全文明施工措施项目清单内容</w:t>
      </w:r>
    </w:p>
    <w:p w14:paraId="656ACFD4">
      <w:pPr>
        <w:pStyle w:val="36"/>
        <w:spacing w:line="240" w:lineRule="atLeast"/>
        <w:ind w:firstLine="546"/>
        <w:jc w:val="center"/>
        <w:rPr>
          <w:rStyle w:val="22"/>
          <w:rFonts w:ascii="Times New Roman" w:hAnsi="Times New Roman" w:eastAsia="宋体" w:cs="Times New Roman"/>
          <w:b/>
          <w:bCs/>
          <w:color w:val="auto"/>
          <w:w w:val="90"/>
          <w:sz w:val="24"/>
          <w:szCs w:val="24"/>
          <w:highlight w:val="none"/>
        </w:rPr>
      </w:pPr>
    </w:p>
    <w:tbl>
      <w:tblPr>
        <w:tblStyle w:val="20"/>
        <w:tblW w:w="945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645"/>
      </w:tblGrid>
      <w:tr w14:paraId="280177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738" w:type="dxa"/>
            <w:tcBorders>
              <w:top w:val="single" w:color="auto" w:sz="12" w:space="0"/>
            </w:tcBorders>
            <w:noWrap w:val="0"/>
            <w:vAlign w:val="center"/>
          </w:tcPr>
          <w:p w14:paraId="2F2E3EA9">
            <w:pPr>
              <w:pStyle w:val="36"/>
              <w:widowControl w:val="0"/>
              <w:spacing w:line="300" w:lineRule="exact"/>
              <w:jc w:val="center"/>
              <w:rPr>
                <w:rStyle w:val="22"/>
                <w:rFonts w:ascii="方正仿宋_GBK" w:hAnsi="Times New Roman" w:eastAsia="方正仿宋_GBK" w:cs="Times New Roman"/>
                <w:b/>
                <w:bCs/>
                <w:color w:val="auto"/>
                <w:kern w:val="2"/>
                <w:sz w:val="21"/>
                <w:szCs w:val="21"/>
                <w:highlight w:val="none"/>
                <w:lang w:val="en-US" w:eastAsia="zh-CN" w:bidi="ar-SA"/>
              </w:rPr>
            </w:pPr>
            <w:r>
              <w:rPr>
                <w:rStyle w:val="22"/>
                <w:rFonts w:hint="eastAsia" w:ascii="方正仿宋_GBK" w:hAnsi="Times New Roman" w:eastAsia="方正仿宋_GBK" w:cs="方正仿宋_GBK"/>
                <w:b/>
                <w:bCs/>
                <w:color w:val="auto"/>
                <w:kern w:val="2"/>
                <w:sz w:val="21"/>
                <w:szCs w:val="21"/>
                <w:highlight w:val="none"/>
                <w:lang w:val="en-US" w:eastAsia="zh-CN" w:bidi="ar-SA"/>
              </w:rPr>
              <w:t>类别</w:t>
            </w:r>
          </w:p>
        </w:tc>
        <w:tc>
          <w:tcPr>
            <w:tcW w:w="2070" w:type="dxa"/>
            <w:gridSpan w:val="2"/>
            <w:tcBorders>
              <w:top w:val="single" w:color="auto" w:sz="12" w:space="0"/>
            </w:tcBorders>
            <w:noWrap w:val="0"/>
            <w:vAlign w:val="center"/>
          </w:tcPr>
          <w:p w14:paraId="2E596BE5">
            <w:pPr>
              <w:pStyle w:val="36"/>
              <w:widowControl w:val="0"/>
              <w:spacing w:line="300" w:lineRule="exact"/>
              <w:jc w:val="center"/>
              <w:rPr>
                <w:rStyle w:val="22"/>
                <w:rFonts w:ascii="方正仿宋_GBK" w:hAnsi="Times New Roman" w:eastAsia="方正仿宋_GBK" w:cs="Times New Roman"/>
                <w:b/>
                <w:bCs/>
                <w:color w:val="auto"/>
                <w:kern w:val="2"/>
                <w:sz w:val="21"/>
                <w:szCs w:val="21"/>
                <w:highlight w:val="none"/>
                <w:lang w:val="en-US" w:eastAsia="zh-CN" w:bidi="ar-SA"/>
              </w:rPr>
            </w:pPr>
            <w:r>
              <w:rPr>
                <w:rStyle w:val="22"/>
                <w:rFonts w:hint="eastAsia" w:ascii="方正仿宋_GBK" w:hAnsi="Times New Roman" w:eastAsia="方正仿宋_GBK" w:cs="方正仿宋_GBK"/>
                <w:b/>
                <w:bCs/>
                <w:color w:val="auto"/>
                <w:kern w:val="2"/>
                <w:sz w:val="21"/>
                <w:szCs w:val="21"/>
                <w:highlight w:val="none"/>
                <w:lang w:val="en-US" w:eastAsia="zh-CN" w:bidi="ar-SA"/>
              </w:rPr>
              <w:t>项目名称</w:t>
            </w:r>
          </w:p>
        </w:tc>
        <w:tc>
          <w:tcPr>
            <w:tcW w:w="6645" w:type="dxa"/>
            <w:tcBorders>
              <w:top w:val="single" w:color="auto" w:sz="12" w:space="0"/>
            </w:tcBorders>
            <w:noWrap w:val="0"/>
            <w:vAlign w:val="center"/>
          </w:tcPr>
          <w:p w14:paraId="559763F1">
            <w:pPr>
              <w:pStyle w:val="36"/>
              <w:widowControl w:val="0"/>
              <w:spacing w:line="300" w:lineRule="exact"/>
              <w:jc w:val="center"/>
              <w:rPr>
                <w:rStyle w:val="22"/>
                <w:rFonts w:ascii="方正仿宋_GBK" w:hAnsi="Times New Roman" w:eastAsia="方正仿宋_GBK" w:cs="Times New Roman"/>
                <w:b/>
                <w:bCs/>
                <w:color w:val="auto"/>
                <w:kern w:val="2"/>
                <w:sz w:val="21"/>
                <w:szCs w:val="21"/>
                <w:highlight w:val="none"/>
                <w:lang w:val="en-US" w:eastAsia="zh-CN" w:bidi="ar-SA"/>
              </w:rPr>
            </w:pPr>
            <w:r>
              <w:rPr>
                <w:rStyle w:val="22"/>
                <w:rFonts w:hint="eastAsia" w:ascii="方正仿宋_GBK" w:hAnsi="Times New Roman" w:eastAsia="方正仿宋_GBK" w:cs="方正仿宋_GBK"/>
                <w:b/>
                <w:bCs/>
                <w:color w:val="auto"/>
                <w:kern w:val="2"/>
                <w:sz w:val="21"/>
                <w:szCs w:val="21"/>
                <w:highlight w:val="none"/>
                <w:lang w:val="en-US" w:eastAsia="zh-CN" w:bidi="ar-SA"/>
              </w:rPr>
              <w:t>主要内容和要求</w:t>
            </w:r>
          </w:p>
        </w:tc>
      </w:tr>
      <w:tr w14:paraId="14FD2A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restart"/>
            <w:noWrap w:val="0"/>
            <w:vAlign w:val="center"/>
          </w:tcPr>
          <w:p w14:paraId="502397B9">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文明</w:t>
            </w:r>
          </w:p>
          <w:p w14:paraId="0E625846">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施工</w:t>
            </w:r>
          </w:p>
          <w:p w14:paraId="3CBA6161">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与</w:t>
            </w:r>
          </w:p>
          <w:p w14:paraId="4E9361B6">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环境</w:t>
            </w:r>
          </w:p>
          <w:p w14:paraId="3FFB2973">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保护</w:t>
            </w:r>
          </w:p>
        </w:tc>
        <w:tc>
          <w:tcPr>
            <w:tcW w:w="2070" w:type="dxa"/>
            <w:gridSpan w:val="2"/>
            <w:noWrap w:val="0"/>
            <w:vAlign w:val="center"/>
          </w:tcPr>
          <w:p w14:paraId="2FBBD067">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安全警示</w:t>
            </w:r>
          </w:p>
          <w:p w14:paraId="4DA29A78">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标志牌</w:t>
            </w:r>
          </w:p>
        </w:tc>
        <w:tc>
          <w:tcPr>
            <w:tcW w:w="6645" w:type="dxa"/>
            <w:noWrap w:val="0"/>
            <w:vAlign w:val="center"/>
          </w:tcPr>
          <w:p w14:paraId="16C37CA9">
            <w:pPr>
              <w:pStyle w:val="36"/>
              <w:widowControl w:val="0"/>
              <w:spacing w:line="300" w:lineRule="exact"/>
              <w:jc w:val="both"/>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在易发伤亡事故（或危险）处设置明显的、符合国家标准要求的安全警示标志牌。</w:t>
            </w:r>
          </w:p>
        </w:tc>
      </w:tr>
      <w:tr w14:paraId="2DCF16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5A9FB47E">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p>
        </w:tc>
        <w:tc>
          <w:tcPr>
            <w:tcW w:w="2070" w:type="dxa"/>
            <w:gridSpan w:val="2"/>
            <w:noWrap w:val="0"/>
            <w:vAlign w:val="center"/>
          </w:tcPr>
          <w:p w14:paraId="3045A748">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现场围挡</w:t>
            </w:r>
          </w:p>
        </w:tc>
        <w:tc>
          <w:tcPr>
            <w:tcW w:w="6645" w:type="dxa"/>
            <w:noWrap w:val="0"/>
            <w:vAlign w:val="center"/>
          </w:tcPr>
          <w:p w14:paraId="00172AD1">
            <w:pPr>
              <w:pStyle w:val="36"/>
              <w:widowControl w:val="0"/>
              <w:spacing w:line="300" w:lineRule="exact"/>
              <w:jc w:val="both"/>
              <w:rPr>
                <w:rStyle w:val="22"/>
                <w:rFonts w:ascii="方正仿宋_GBK" w:hAnsi="Times New Roman" w:eastAsia="方正仿宋_GBK" w:cs="Times New Roman"/>
                <w:color w:val="auto"/>
                <w:kern w:val="2"/>
                <w:sz w:val="21"/>
                <w:szCs w:val="21"/>
                <w:highlight w:val="none"/>
                <w:lang w:val="en-US" w:eastAsia="zh-CN" w:bidi="ar-SA"/>
              </w:rPr>
            </w:pPr>
            <w:r>
              <w:rPr>
                <w:rStyle w:val="22"/>
                <w:rFonts w:ascii="方正仿宋_GBK" w:hAnsi="Times New Roman" w:eastAsia="方正仿宋_GBK" w:cs="方正仿宋_GBK"/>
                <w:color w:val="auto"/>
                <w:kern w:val="2"/>
                <w:sz w:val="21"/>
                <w:szCs w:val="21"/>
                <w:highlight w:val="none"/>
                <w:lang w:val="en-US" w:eastAsia="zh-CN" w:bidi="ar-SA"/>
              </w:rPr>
              <w:t xml:space="preserve">1. </w:t>
            </w:r>
            <w:r>
              <w:rPr>
                <w:rStyle w:val="22"/>
                <w:rFonts w:hint="eastAsia" w:ascii="方正仿宋_GBK" w:hAnsi="Times New Roman" w:eastAsia="方正仿宋_GBK" w:cs="方正仿宋_GBK"/>
                <w:color w:val="auto"/>
                <w:kern w:val="2"/>
                <w:sz w:val="21"/>
                <w:szCs w:val="21"/>
                <w:highlight w:val="none"/>
                <w:lang w:val="en-US" w:eastAsia="zh-CN" w:bidi="ar-SA"/>
              </w:rPr>
              <w:t>现场采用封闭围挡，高度不小于</w:t>
            </w:r>
            <w:r>
              <w:rPr>
                <w:rStyle w:val="22"/>
                <w:rFonts w:ascii="方正仿宋_GBK" w:hAnsi="Times New Roman" w:eastAsia="方正仿宋_GBK" w:cs="方正仿宋_GBK"/>
                <w:color w:val="auto"/>
                <w:kern w:val="2"/>
                <w:sz w:val="21"/>
                <w:szCs w:val="21"/>
                <w:highlight w:val="none"/>
                <w:lang w:val="en-US" w:eastAsia="zh-CN" w:bidi="ar-SA"/>
              </w:rPr>
              <w:t>1.8m</w:t>
            </w:r>
            <w:r>
              <w:rPr>
                <w:rStyle w:val="22"/>
                <w:rFonts w:hint="eastAsia" w:ascii="方正仿宋_GBK" w:hAnsi="Times New Roman" w:eastAsia="方正仿宋_GBK" w:cs="方正仿宋_GBK"/>
                <w:color w:val="auto"/>
                <w:kern w:val="2"/>
                <w:sz w:val="21"/>
                <w:szCs w:val="21"/>
                <w:highlight w:val="none"/>
                <w:lang w:val="en-US" w:eastAsia="zh-CN" w:bidi="ar-SA"/>
              </w:rPr>
              <w:t>。</w:t>
            </w:r>
          </w:p>
          <w:p w14:paraId="235833B0">
            <w:pPr>
              <w:pStyle w:val="36"/>
              <w:widowControl w:val="0"/>
              <w:spacing w:line="300" w:lineRule="exact"/>
              <w:jc w:val="both"/>
              <w:rPr>
                <w:rStyle w:val="22"/>
                <w:rFonts w:ascii="方正仿宋_GBK" w:hAnsi="Times New Roman" w:eastAsia="方正仿宋_GBK" w:cs="Times New Roman"/>
                <w:color w:val="auto"/>
                <w:kern w:val="2"/>
                <w:sz w:val="21"/>
                <w:szCs w:val="21"/>
                <w:highlight w:val="none"/>
                <w:lang w:val="en-US" w:eastAsia="zh-CN" w:bidi="ar-SA"/>
              </w:rPr>
            </w:pPr>
            <w:r>
              <w:rPr>
                <w:rStyle w:val="22"/>
                <w:rFonts w:ascii="方正仿宋_GBK" w:hAnsi="Times New Roman" w:eastAsia="方正仿宋_GBK" w:cs="方正仿宋_GBK"/>
                <w:color w:val="auto"/>
                <w:kern w:val="2"/>
                <w:sz w:val="21"/>
                <w:szCs w:val="21"/>
                <w:highlight w:val="none"/>
                <w:lang w:val="en-US" w:eastAsia="zh-CN" w:bidi="ar-SA"/>
              </w:rPr>
              <w:t xml:space="preserve">2. </w:t>
            </w:r>
            <w:r>
              <w:rPr>
                <w:rStyle w:val="22"/>
                <w:rFonts w:hint="eastAsia" w:ascii="方正仿宋_GBK" w:hAnsi="Times New Roman" w:eastAsia="方正仿宋_GBK" w:cs="方正仿宋_GBK"/>
                <w:color w:val="auto"/>
                <w:kern w:val="2"/>
                <w:sz w:val="21"/>
                <w:szCs w:val="21"/>
                <w:highlight w:val="none"/>
                <w:lang w:val="en-US" w:eastAsia="zh-CN" w:bidi="ar-SA"/>
              </w:rPr>
              <w:t>围挡材料可用彩色、定型钢板，砌块等墙体。</w:t>
            </w:r>
          </w:p>
        </w:tc>
      </w:tr>
      <w:tr w14:paraId="39A223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376EF2FB">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p>
        </w:tc>
        <w:tc>
          <w:tcPr>
            <w:tcW w:w="2070" w:type="dxa"/>
            <w:gridSpan w:val="2"/>
            <w:noWrap w:val="0"/>
            <w:vAlign w:val="center"/>
          </w:tcPr>
          <w:p w14:paraId="2FDB33C1">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七牌二图</w:t>
            </w:r>
          </w:p>
        </w:tc>
        <w:tc>
          <w:tcPr>
            <w:tcW w:w="6645" w:type="dxa"/>
            <w:noWrap w:val="0"/>
            <w:vAlign w:val="center"/>
          </w:tcPr>
          <w:p w14:paraId="704FC0C1">
            <w:pPr>
              <w:pStyle w:val="36"/>
              <w:widowControl w:val="0"/>
              <w:spacing w:line="300" w:lineRule="exact"/>
              <w:jc w:val="both"/>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在进门处悬挂工程概况、现场出入制度、管理人员名单及监督电话、安全生产规定、文明施工、消防保卫、节能公示等七牌以及施工现场总平面图、工程效果图。</w:t>
            </w:r>
          </w:p>
        </w:tc>
      </w:tr>
      <w:tr w14:paraId="3FE157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8" w:type="dxa"/>
            <w:vMerge w:val="continue"/>
            <w:noWrap w:val="0"/>
            <w:vAlign w:val="center"/>
          </w:tcPr>
          <w:p w14:paraId="26469FBD">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p>
        </w:tc>
        <w:tc>
          <w:tcPr>
            <w:tcW w:w="2070" w:type="dxa"/>
            <w:gridSpan w:val="2"/>
            <w:noWrap w:val="0"/>
            <w:vAlign w:val="center"/>
          </w:tcPr>
          <w:p w14:paraId="06C306B9">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企业标志</w:t>
            </w:r>
          </w:p>
        </w:tc>
        <w:tc>
          <w:tcPr>
            <w:tcW w:w="6645" w:type="dxa"/>
            <w:noWrap w:val="0"/>
            <w:vAlign w:val="center"/>
          </w:tcPr>
          <w:p w14:paraId="76424002">
            <w:pPr>
              <w:pStyle w:val="36"/>
              <w:widowControl w:val="0"/>
              <w:spacing w:line="300" w:lineRule="exact"/>
              <w:jc w:val="both"/>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现场出入的大门应设有本企业标志或企业标识。</w:t>
            </w:r>
          </w:p>
        </w:tc>
      </w:tr>
      <w:tr w14:paraId="7776FD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20E0BD66">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p>
        </w:tc>
        <w:tc>
          <w:tcPr>
            <w:tcW w:w="2070" w:type="dxa"/>
            <w:gridSpan w:val="2"/>
            <w:noWrap w:val="0"/>
            <w:vAlign w:val="center"/>
          </w:tcPr>
          <w:p w14:paraId="759D84C5">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场容场貌</w:t>
            </w:r>
          </w:p>
        </w:tc>
        <w:tc>
          <w:tcPr>
            <w:tcW w:w="6645" w:type="dxa"/>
            <w:noWrap w:val="0"/>
            <w:vAlign w:val="center"/>
          </w:tcPr>
          <w:p w14:paraId="62253012">
            <w:pPr>
              <w:pStyle w:val="36"/>
              <w:widowControl w:val="0"/>
              <w:spacing w:line="300" w:lineRule="exact"/>
              <w:jc w:val="both"/>
              <w:rPr>
                <w:rStyle w:val="22"/>
                <w:rFonts w:ascii="方正仿宋_GBK" w:hAnsi="Times New Roman" w:eastAsia="方正仿宋_GBK" w:cs="Times New Roman"/>
                <w:color w:val="auto"/>
                <w:kern w:val="2"/>
                <w:sz w:val="21"/>
                <w:szCs w:val="21"/>
                <w:highlight w:val="none"/>
                <w:lang w:val="en-US" w:eastAsia="zh-CN" w:bidi="ar-SA"/>
              </w:rPr>
            </w:pPr>
            <w:r>
              <w:rPr>
                <w:rStyle w:val="22"/>
                <w:rFonts w:ascii="方正仿宋_GBK" w:hAnsi="Times New Roman" w:eastAsia="方正仿宋_GBK" w:cs="方正仿宋_GBK"/>
                <w:color w:val="auto"/>
                <w:kern w:val="2"/>
                <w:sz w:val="21"/>
                <w:szCs w:val="21"/>
                <w:highlight w:val="none"/>
                <w:lang w:val="en-US" w:eastAsia="zh-CN" w:bidi="ar-SA"/>
              </w:rPr>
              <w:t xml:space="preserve">1. </w:t>
            </w:r>
            <w:r>
              <w:rPr>
                <w:rStyle w:val="22"/>
                <w:rFonts w:hint="eastAsia" w:ascii="方正仿宋_GBK" w:hAnsi="Times New Roman" w:eastAsia="方正仿宋_GBK" w:cs="方正仿宋_GBK"/>
                <w:color w:val="auto"/>
                <w:kern w:val="2"/>
                <w:sz w:val="21"/>
                <w:szCs w:val="21"/>
                <w:highlight w:val="none"/>
                <w:lang w:val="en-US" w:eastAsia="zh-CN" w:bidi="ar-SA"/>
              </w:rPr>
              <w:t>道路畅通。</w:t>
            </w:r>
          </w:p>
          <w:p w14:paraId="64D00F7A">
            <w:pPr>
              <w:pStyle w:val="36"/>
              <w:widowControl w:val="0"/>
              <w:spacing w:line="300" w:lineRule="exact"/>
              <w:jc w:val="both"/>
              <w:rPr>
                <w:rStyle w:val="22"/>
                <w:rFonts w:ascii="方正仿宋_GBK" w:hAnsi="Times New Roman" w:eastAsia="方正仿宋_GBK" w:cs="Times New Roman"/>
                <w:color w:val="auto"/>
                <w:kern w:val="2"/>
                <w:sz w:val="21"/>
                <w:szCs w:val="21"/>
                <w:highlight w:val="none"/>
                <w:lang w:val="en-US" w:eastAsia="zh-CN" w:bidi="ar-SA"/>
              </w:rPr>
            </w:pPr>
            <w:r>
              <w:rPr>
                <w:rStyle w:val="22"/>
                <w:rFonts w:ascii="方正仿宋_GBK" w:hAnsi="Times New Roman" w:eastAsia="方正仿宋_GBK" w:cs="方正仿宋_GBK"/>
                <w:color w:val="auto"/>
                <w:kern w:val="2"/>
                <w:sz w:val="21"/>
                <w:szCs w:val="21"/>
                <w:highlight w:val="none"/>
                <w:lang w:val="en-US" w:eastAsia="zh-CN" w:bidi="ar-SA"/>
              </w:rPr>
              <w:t xml:space="preserve">2. </w:t>
            </w:r>
            <w:r>
              <w:rPr>
                <w:rStyle w:val="22"/>
                <w:rFonts w:hint="eastAsia" w:ascii="方正仿宋_GBK" w:hAnsi="Times New Roman" w:eastAsia="方正仿宋_GBK" w:cs="方正仿宋_GBK"/>
                <w:color w:val="auto"/>
                <w:kern w:val="2"/>
                <w:sz w:val="21"/>
                <w:szCs w:val="21"/>
                <w:highlight w:val="none"/>
                <w:lang w:val="en-US" w:eastAsia="zh-CN" w:bidi="ar-SA"/>
              </w:rPr>
              <w:t>排水设施齐全畅通。</w:t>
            </w:r>
          </w:p>
          <w:p w14:paraId="0551AF09">
            <w:pPr>
              <w:pStyle w:val="36"/>
              <w:widowControl w:val="0"/>
              <w:spacing w:line="300" w:lineRule="exact"/>
              <w:jc w:val="both"/>
              <w:rPr>
                <w:rStyle w:val="22"/>
                <w:rFonts w:ascii="方正仿宋_GBK" w:hAnsi="Times New Roman" w:eastAsia="方正仿宋_GBK" w:cs="Times New Roman"/>
                <w:color w:val="auto"/>
                <w:kern w:val="2"/>
                <w:sz w:val="21"/>
                <w:szCs w:val="21"/>
                <w:highlight w:val="none"/>
                <w:lang w:val="en-US" w:eastAsia="zh-CN" w:bidi="ar-SA"/>
              </w:rPr>
            </w:pPr>
            <w:r>
              <w:rPr>
                <w:rStyle w:val="22"/>
                <w:rFonts w:ascii="方正仿宋_GBK" w:hAnsi="Times New Roman" w:eastAsia="方正仿宋_GBK" w:cs="方正仿宋_GBK"/>
                <w:color w:val="auto"/>
                <w:kern w:val="2"/>
                <w:sz w:val="21"/>
                <w:szCs w:val="21"/>
                <w:highlight w:val="none"/>
                <w:lang w:val="en-US" w:eastAsia="zh-CN" w:bidi="ar-SA"/>
              </w:rPr>
              <w:t xml:space="preserve">3. </w:t>
            </w:r>
            <w:r>
              <w:rPr>
                <w:rStyle w:val="22"/>
                <w:rFonts w:hint="eastAsia" w:ascii="方正仿宋_GBK" w:hAnsi="Times New Roman" w:eastAsia="方正仿宋_GBK" w:cs="方正仿宋_GBK"/>
                <w:color w:val="auto"/>
                <w:kern w:val="2"/>
                <w:sz w:val="21"/>
                <w:szCs w:val="21"/>
                <w:highlight w:val="none"/>
                <w:lang w:val="en-US" w:eastAsia="zh-CN" w:bidi="ar-SA"/>
              </w:rPr>
              <w:t>工地地面硬化处理（办公区、生活区、现场道路、材料堆放、混凝土搅拌、砂浆搅拌、钢筋加工等场地和外脚手架基础等）。</w:t>
            </w:r>
          </w:p>
        </w:tc>
      </w:tr>
      <w:tr w14:paraId="396D6F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53F69529">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p>
        </w:tc>
        <w:tc>
          <w:tcPr>
            <w:tcW w:w="2070" w:type="dxa"/>
            <w:gridSpan w:val="2"/>
            <w:noWrap w:val="0"/>
            <w:vAlign w:val="center"/>
          </w:tcPr>
          <w:p w14:paraId="3D857538">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材料堆放</w:t>
            </w:r>
          </w:p>
        </w:tc>
        <w:tc>
          <w:tcPr>
            <w:tcW w:w="6645" w:type="dxa"/>
            <w:noWrap w:val="0"/>
            <w:vAlign w:val="center"/>
          </w:tcPr>
          <w:p w14:paraId="42D332D7">
            <w:pPr>
              <w:pStyle w:val="36"/>
              <w:widowControl w:val="0"/>
              <w:numPr>
                <w:ilvl w:val="0"/>
                <w:numId w:val="6"/>
              </w:numPr>
              <w:spacing w:line="300" w:lineRule="exact"/>
              <w:jc w:val="both"/>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材料、构件、料具等堆放时，应有名称、品种、规格等标牌。</w:t>
            </w:r>
          </w:p>
          <w:p w14:paraId="26D2FFBD">
            <w:pPr>
              <w:pStyle w:val="36"/>
              <w:widowControl w:val="0"/>
              <w:spacing w:line="300" w:lineRule="exact"/>
              <w:jc w:val="both"/>
              <w:rPr>
                <w:rStyle w:val="22"/>
                <w:rFonts w:ascii="方正仿宋_GBK" w:hAnsi="Times New Roman" w:eastAsia="方正仿宋_GBK" w:cs="Times New Roman"/>
                <w:color w:val="auto"/>
                <w:kern w:val="2"/>
                <w:sz w:val="21"/>
                <w:szCs w:val="21"/>
                <w:highlight w:val="none"/>
                <w:lang w:val="en-US" w:eastAsia="zh-CN" w:bidi="ar-SA"/>
              </w:rPr>
            </w:pPr>
            <w:r>
              <w:rPr>
                <w:rStyle w:val="22"/>
                <w:rFonts w:ascii="方正仿宋_GBK" w:hAnsi="Times New Roman" w:eastAsia="方正仿宋_GBK" w:cs="方正仿宋_GBK"/>
                <w:color w:val="auto"/>
                <w:kern w:val="2"/>
                <w:sz w:val="21"/>
                <w:szCs w:val="21"/>
                <w:highlight w:val="none"/>
                <w:lang w:val="en-US" w:eastAsia="zh-CN" w:bidi="ar-SA"/>
              </w:rPr>
              <w:t xml:space="preserve">2. </w:t>
            </w:r>
            <w:r>
              <w:rPr>
                <w:rStyle w:val="22"/>
                <w:rFonts w:hint="eastAsia" w:ascii="方正仿宋_GBK" w:hAnsi="Times New Roman" w:eastAsia="方正仿宋_GBK" w:cs="方正仿宋_GBK"/>
                <w:color w:val="auto"/>
                <w:kern w:val="2"/>
                <w:sz w:val="21"/>
                <w:szCs w:val="21"/>
                <w:highlight w:val="none"/>
                <w:lang w:val="en-US" w:eastAsia="zh-CN" w:bidi="ar-SA"/>
              </w:rPr>
              <w:t>水泥和其它易飞扬细颗粒建筑材料应封闭存放或采取覆盖等措施。</w:t>
            </w:r>
          </w:p>
          <w:p w14:paraId="312162BB">
            <w:pPr>
              <w:pStyle w:val="36"/>
              <w:widowControl w:val="0"/>
              <w:spacing w:line="300" w:lineRule="exact"/>
              <w:jc w:val="both"/>
              <w:rPr>
                <w:rStyle w:val="22"/>
                <w:rFonts w:ascii="方正仿宋_GBK" w:hAnsi="Times New Roman" w:eastAsia="方正仿宋_GBK" w:cs="Times New Roman"/>
                <w:color w:val="auto"/>
                <w:kern w:val="2"/>
                <w:sz w:val="21"/>
                <w:szCs w:val="21"/>
                <w:highlight w:val="none"/>
                <w:lang w:val="en-US" w:eastAsia="zh-CN" w:bidi="ar-SA"/>
              </w:rPr>
            </w:pPr>
            <w:r>
              <w:rPr>
                <w:rStyle w:val="22"/>
                <w:rFonts w:ascii="方正仿宋_GBK" w:hAnsi="Times New Roman" w:eastAsia="方正仿宋_GBK" w:cs="方正仿宋_GBK"/>
                <w:color w:val="auto"/>
                <w:kern w:val="2"/>
                <w:sz w:val="21"/>
                <w:szCs w:val="21"/>
                <w:highlight w:val="none"/>
                <w:lang w:val="en-US" w:eastAsia="zh-CN" w:bidi="ar-SA"/>
              </w:rPr>
              <w:t xml:space="preserve">3. </w:t>
            </w:r>
            <w:r>
              <w:rPr>
                <w:rStyle w:val="22"/>
                <w:rFonts w:hint="eastAsia" w:ascii="方正仿宋_GBK" w:hAnsi="Times New Roman" w:eastAsia="方正仿宋_GBK" w:cs="方正仿宋_GBK"/>
                <w:color w:val="auto"/>
                <w:kern w:val="2"/>
                <w:sz w:val="21"/>
                <w:szCs w:val="21"/>
                <w:highlight w:val="none"/>
                <w:lang w:val="en-US" w:eastAsia="zh-CN" w:bidi="ar-SA"/>
              </w:rPr>
              <w:t>易燃、易爆和有毒有害物品分类存放。</w:t>
            </w:r>
          </w:p>
        </w:tc>
      </w:tr>
      <w:tr w14:paraId="008C8E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38" w:type="dxa"/>
            <w:vMerge w:val="continue"/>
            <w:noWrap w:val="0"/>
            <w:vAlign w:val="center"/>
          </w:tcPr>
          <w:p w14:paraId="76EC0F1E">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p>
        </w:tc>
        <w:tc>
          <w:tcPr>
            <w:tcW w:w="2070" w:type="dxa"/>
            <w:gridSpan w:val="2"/>
            <w:noWrap w:val="0"/>
            <w:vAlign w:val="center"/>
          </w:tcPr>
          <w:p w14:paraId="0568BBBF">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现场防火</w:t>
            </w:r>
          </w:p>
        </w:tc>
        <w:tc>
          <w:tcPr>
            <w:tcW w:w="6645" w:type="dxa"/>
            <w:noWrap w:val="0"/>
            <w:vAlign w:val="center"/>
          </w:tcPr>
          <w:p w14:paraId="26856026">
            <w:pPr>
              <w:pStyle w:val="36"/>
              <w:widowControl w:val="0"/>
              <w:spacing w:line="300" w:lineRule="exact"/>
              <w:jc w:val="both"/>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消防器材配置合理，符合消防要求。</w:t>
            </w:r>
          </w:p>
        </w:tc>
      </w:tr>
      <w:tr w14:paraId="13BF23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5F5531CA">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p>
        </w:tc>
        <w:tc>
          <w:tcPr>
            <w:tcW w:w="2070" w:type="dxa"/>
            <w:gridSpan w:val="2"/>
            <w:noWrap w:val="0"/>
            <w:vAlign w:val="center"/>
          </w:tcPr>
          <w:p w14:paraId="2CE83D8D">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垃圾清运</w:t>
            </w:r>
          </w:p>
        </w:tc>
        <w:tc>
          <w:tcPr>
            <w:tcW w:w="6645" w:type="dxa"/>
            <w:noWrap w:val="0"/>
            <w:vAlign w:val="center"/>
          </w:tcPr>
          <w:p w14:paraId="3BDB63B7">
            <w:pPr>
              <w:pStyle w:val="36"/>
              <w:widowControl w:val="0"/>
              <w:spacing w:line="300" w:lineRule="exact"/>
              <w:jc w:val="both"/>
              <w:rPr>
                <w:rStyle w:val="22"/>
                <w:rFonts w:ascii="方正仿宋_GBK" w:hAnsi="Times New Roman" w:eastAsia="方正仿宋_GBK" w:cs="Times New Roman"/>
                <w:color w:val="auto"/>
                <w:kern w:val="2"/>
                <w:sz w:val="21"/>
                <w:szCs w:val="21"/>
                <w:highlight w:val="none"/>
                <w:lang w:val="en-US" w:eastAsia="zh-CN" w:bidi="ar-SA"/>
              </w:rPr>
            </w:pPr>
            <w:r>
              <w:rPr>
                <w:rStyle w:val="22"/>
                <w:rFonts w:ascii="方正仿宋_GBK" w:hAnsi="Times New Roman" w:eastAsia="方正仿宋_GBK" w:cs="方正仿宋_GBK"/>
                <w:color w:val="auto"/>
                <w:kern w:val="2"/>
                <w:sz w:val="21"/>
                <w:szCs w:val="21"/>
                <w:highlight w:val="none"/>
                <w:lang w:val="en-US" w:eastAsia="zh-CN" w:bidi="ar-SA"/>
              </w:rPr>
              <w:t xml:space="preserve">1. </w:t>
            </w:r>
            <w:r>
              <w:rPr>
                <w:rStyle w:val="22"/>
                <w:rFonts w:hint="eastAsia" w:ascii="方正仿宋_GBK" w:hAnsi="Times New Roman" w:eastAsia="方正仿宋_GBK" w:cs="方正仿宋_GBK"/>
                <w:color w:val="auto"/>
                <w:kern w:val="2"/>
                <w:sz w:val="21"/>
                <w:szCs w:val="21"/>
                <w:highlight w:val="none"/>
                <w:lang w:val="en-US" w:eastAsia="zh-CN" w:bidi="ar-SA"/>
              </w:rPr>
              <w:t>施工现场应设置密闭式垃圾站，施工垃圾、生活垃圾应分类存放。</w:t>
            </w:r>
          </w:p>
          <w:p w14:paraId="11F6AFBE">
            <w:pPr>
              <w:pStyle w:val="36"/>
              <w:widowControl w:val="0"/>
              <w:spacing w:line="300" w:lineRule="exact"/>
              <w:jc w:val="both"/>
              <w:rPr>
                <w:rStyle w:val="22"/>
                <w:rFonts w:ascii="方正仿宋_GBK" w:hAnsi="Times New Roman" w:eastAsia="方正仿宋_GBK" w:cs="Times New Roman"/>
                <w:color w:val="auto"/>
                <w:kern w:val="2"/>
                <w:sz w:val="21"/>
                <w:szCs w:val="21"/>
                <w:highlight w:val="none"/>
                <w:lang w:val="en-US" w:eastAsia="zh-CN" w:bidi="ar-SA"/>
              </w:rPr>
            </w:pPr>
            <w:r>
              <w:rPr>
                <w:rStyle w:val="22"/>
                <w:rFonts w:ascii="方正仿宋_GBK" w:hAnsi="Times New Roman" w:eastAsia="方正仿宋_GBK" w:cs="方正仿宋_GBK"/>
                <w:color w:val="auto"/>
                <w:kern w:val="2"/>
                <w:sz w:val="21"/>
                <w:szCs w:val="21"/>
                <w:highlight w:val="none"/>
                <w:lang w:val="en-US" w:eastAsia="zh-CN" w:bidi="ar-SA"/>
              </w:rPr>
              <w:t xml:space="preserve">2. </w:t>
            </w:r>
            <w:r>
              <w:rPr>
                <w:rStyle w:val="22"/>
                <w:rFonts w:hint="eastAsia" w:ascii="方正仿宋_GBK" w:hAnsi="Times New Roman" w:eastAsia="方正仿宋_GBK" w:cs="方正仿宋_GBK"/>
                <w:color w:val="auto"/>
                <w:kern w:val="2"/>
                <w:sz w:val="21"/>
                <w:szCs w:val="21"/>
                <w:highlight w:val="none"/>
                <w:lang w:val="en-US" w:eastAsia="zh-CN" w:bidi="ar-SA"/>
              </w:rPr>
              <w:t>施工垃圾必须采用相应容器或管道运输。</w:t>
            </w:r>
          </w:p>
        </w:tc>
      </w:tr>
      <w:tr w14:paraId="114367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7B77F61D">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p>
        </w:tc>
        <w:tc>
          <w:tcPr>
            <w:tcW w:w="2070" w:type="dxa"/>
            <w:gridSpan w:val="2"/>
            <w:noWrap w:val="0"/>
            <w:vAlign w:val="center"/>
          </w:tcPr>
          <w:p w14:paraId="566803C0">
            <w:pPr>
              <w:pStyle w:val="36"/>
              <w:widowControl w:val="0"/>
              <w:spacing w:line="300" w:lineRule="exact"/>
              <w:jc w:val="both"/>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宣传栏、环保及不扰民措施</w:t>
            </w:r>
          </w:p>
        </w:tc>
        <w:tc>
          <w:tcPr>
            <w:tcW w:w="6645" w:type="dxa"/>
            <w:noWrap w:val="0"/>
            <w:vAlign w:val="center"/>
          </w:tcPr>
          <w:p w14:paraId="2110289F">
            <w:pPr>
              <w:pStyle w:val="36"/>
              <w:widowControl w:val="0"/>
              <w:spacing w:line="300" w:lineRule="exact"/>
              <w:jc w:val="both"/>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宣传栏、安全宣传标语等，洗车（防止污染市区道路）、粉尘、噪声控制和排污（污水、废气）措施等。</w:t>
            </w:r>
          </w:p>
        </w:tc>
      </w:tr>
      <w:tr w14:paraId="685A97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restart"/>
            <w:noWrap w:val="0"/>
            <w:vAlign w:val="center"/>
          </w:tcPr>
          <w:p w14:paraId="4C75627B">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临时设施</w:t>
            </w:r>
          </w:p>
        </w:tc>
        <w:tc>
          <w:tcPr>
            <w:tcW w:w="2070" w:type="dxa"/>
            <w:gridSpan w:val="2"/>
            <w:noWrap w:val="0"/>
            <w:vAlign w:val="center"/>
          </w:tcPr>
          <w:p w14:paraId="331913B8">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现场办公</w:t>
            </w:r>
          </w:p>
          <w:p w14:paraId="3BC35D74">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生活设施</w:t>
            </w:r>
          </w:p>
        </w:tc>
        <w:tc>
          <w:tcPr>
            <w:tcW w:w="6645" w:type="dxa"/>
            <w:noWrap w:val="0"/>
            <w:vAlign w:val="center"/>
          </w:tcPr>
          <w:p w14:paraId="688583E3">
            <w:pPr>
              <w:pStyle w:val="36"/>
              <w:widowControl w:val="0"/>
              <w:spacing w:line="300" w:lineRule="exact"/>
              <w:jc w:val="both"/>
              <w:rPr>
                <w:rStyle w:val="22"/>
                <w:rFonts w:ascii="方正仿宋_GBK" w:hAnsi="Times New Roman" w:eastAsia="方正仿宋_GBK" w:cs="Times New Roman"/>
                <w:color w:val="auto"/>
                <w:kern w:val="2"/>
                <w:sz w:val="21"/>
                <w:szCs w:val="21"/>
                <w:highlight w:val="none"/>
                <w:lang w:val="en-US" w:eastAsia="zh-CN" w:bidi="ar-SA"/>
              </w:rPr>
            </w:pPr>
            <w:r>
              <w:rPr>
                <w:rStyle w:val="22"/>
                <w:rFonts w:ascii="方正仿宋_GBK" w:hAnsi="Times New Roman" w:eastAsia="方正仿宋_GBK" w:cs="方正仿宋_GBK"/>
                <w:color w:val="auto"/>
                <w:kern w:val="2"/>
                <w:sz w:val="21"/>
                <w:szCs w:val="21"/>
                <w:highlight w:val="none"/>
                <w:lang w:val="en-US" w:eastAsia="zh-CN" w:bidi="ar-SA"/>
              </w:rPr>
              <w:t xml:space="preserve">1. </w:t>
            </w:r>
            <w:r>
              <w:rPr>
                <w:rStyle w:val="22"/>
                <w:rFonts w:hint="eastAsia" w:ascii="方正仿宋_GBK" w:hAnsi="Times New Roman" w:eastAsia="方正仿宋_GBK" w:cs="方正仿宋_GBK"/>
                <w:color w:val="auto"/>
                <w:kern w:val="2"/>
                <w:sz w:val="21"/>
                <w:szCs w:val="21"/>
                <w:highlight w:val="none"/>
                <w:lang w:val="en-US" w:eastAsia="zh-CN" w:bidi="ar-SA"/>
              </w:rPr>
              <w:t>施工现场办公、生活区与作业区分开设置，保持安全距离。</w:t>
            </w:r>
          </w:p>
          <w:p w14:paraId="6FBD2B1C">
            <w:pPr>
              <w:pStyle w:val="36"/>
              <w:widowControl w:val="0"/>
              <w:spacing w:line="300" w:lineRule="exact"/>
              <w:jc w:val="both"/>
              <w:rPr>
                <w:rStyle w:val="22"/>
                <w:rFonts w:ascii="方正仿宋_GBK" w:hAnsi="Times New Roman" w:eastAsia="方正仿宋_GBK" w:cs="Times New Roman"/>
                <w:color w:val="auto"/>
                <w:kern w:val="2"/>
                <w:sz w:val="21"/>
                <w:szCs w:val="21"/>
                <w:highlight w:val="none"/>
                <w:lang w:val="en-US" w:eastAsia="zh-CN" w:bidi="ar-SA"/>
              </w:rPr>
            </w:pPr>
            <w:r>
              <w:rPr>
                <w:rStyle w:val="22"/>
                <w:rFonts w:ascii="方正仿宋_GBK" w:hAnsi="Times New Roman" w:eastAsia="方正仿宋_GBK" w:cs="方正仿宋_GBK"/>
                <w:color w:val="auto"/>
                <w:kern w:val="2"/>
                <w:sz w:val="21"/>
                <w:szCs w:val="21"/>
                <w:highlight w:val="none"/>
                <w:lang w:val="en-US" w:eastAsia="zh-CN" w:bidi="ar-SA"/>
              </w:rPr>
              <w:t xml:space="preserve">2. </w:t>
            </w:r>
            <w:r>
              <w:rPr>
                <w:rStyle w:val="22"/>
                <w:rFonts w:hint="eastAsia" w:ascii="方正仿宋_GBK" w:hAnsi="Times New Roman" w:eastAsia="方正仿宋_GBK" w:cs="方正仿宋_GBK"/>
                <w:color w:val="auto"/>
                <w:kern w:val="2"/>
                <w:sz w:val="21"/>
                <w:szCs w:val="21"/>
                <w:highlight w:val="none"/>
                <w:lang w:val="en-US" w:eastAsia="zh-CN" w:bidi="ar-SA"/>
              </w:rPr>
              <w:t>工地办公室、现场宿舍、食堂、厕所、饮水、沐浴、休息场所等符合卫生、消防安全要求。</w:t>
            </w:r>
          </w:p>
        </w:tc>
      </w:tr>
      <w:tr w14:paraId="49057E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3D5D52A7">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p>
        </w:tc>
        <w:tc>
          <w:tcPr>
            <w:tcW w:w="525" w:type="dxa"/>
            <w:vMerge w:val="restart"/>
            <w:noWrap w:val="0"/>
            <w:vAlign w:val="center"/>
          </w:tcPr>
          <w:p w14:paraId="7F06D019">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施工现场</w:t>
            </w:r>
          </w:p>
          <w:p w14:paraId="54A90BC9">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临时用电</w:t>
            </w:r>
          </w:p>
        </w:tc>
        <w:tc>
          <w:tcPr>
            <w:tcW w:w="1545" w:type="dxa"/>
            <w:noWrap w:val="0"/>
            <w:vAlign w:val="center"/>
          </w:tcPr>
          <w:p w14:paraId="40B220F2">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配电线路</w:t>
            </w:r>
          </w:p>
        </w:tc>
        <w:tc>
          <w:tcPr>
            <w:tcW w:w="6645" w:type="dxa"/>
            <w:noWrap w:val="0"/>
            <w:vAlign w:val="center"/>
          </w:tcPr>
          <w:p w14:paraId="1E28FBFB">
            <w:pPr>
              <w:pStyle w:val="36"/>
              <w:widowControl w:val="0"/>
              <w:spacing w:line="300" w:lineRule="exact"/>
              <w:jc w:val="both"/>
              <w:rPr>
                <w:rStyle w:val="22"/>
                <w:rFonts w:ascii="方正仿宋_GBK" w:hAnsi="Times New Roman" w:eastAsia="方正仿宋_GBK" w:cs="Times New Roman"/>
                <w:color w:val="auto"/>
                <w:kern w:val="2"/>
                <w:sz w:val="21"/>
                <w:szCs w:val="21"/>
                <w:highlight w:val="none"/>
                <w:lang w:val="en-US" w:eastAsia="zh-CN" w:bidi="ar-SA"/>
              </w:rPr>
            </w:pPr>
            <w:r>
              <w:rPr>
                <w:rStyle w:val="22"/>
                <w:rFonts w:ascii="方正仿宋_GBK" w:hAnsi="Times New Roman" w:eastAsia="方正仿宋_GBK" w:cs="方正仿宋_GBK"/>
                <w:color w:val="auto"/>
                <w:kern w:val="2"/>
                <w:sz w:val="21"/>
                <w:szCs w:val="21"/>
                <w:highlight w:val="none"/>
                <w:lang w:val="en-US" w:eastAsia="zh-CN" w:bidi="ar-SA"/>
              </w:rPr>
              <w:t xml:space="preserve">1. </w:t>
            </w:r>
            <w:r>
              <w:rPr>
                <w:rStyle w:val="22"/>
                <w:rFonts w:hint="eastAsia" w:ascii="方正仿宋_GBK" w:hAnsi="Times New Roman" w:eastAsia="方正仿宋_GBK" w:cs="方正仿宋_GBK"/>
                <w:color w:val="auto"/>
                <w:kern w:val="2"/>
                <w:sz w:val="21"/>
                <w:szCs w:val="21"/>
                <w:highlight w:val="none"/>
                <w:lang w:val="en-US" w:eastAsia="zh-CN" w:bidi="ar-SA"/>
              </w:rPr>
              <w:t>按照</w:t>
            </w:r>
            <w:r>
              <w:rPr>
                <w:rStyle w:val="22"/>
                <w:rFonts w:ascii="方正仿宋_GBK" w:hAnsi="Times New Roman" w:eastAsia="方正仿宋_GBK" w:cs="方正仿宋_GBK"/>
                <w:color w:val="auto"/>
                <w:kern w:val="2"/>
                <w:sz w:val="21"/>
                <w:szCs w:val="21"/>
                <w:highlight w:val="none"/>
                <w:lang w:val="en-US" w:eastAsia="zh-CN" w:bidi="ar-SA"/>
              </w:rPr>
              <w:t>TN-S</w:t>
            </w:r>
            <w:r>
              <w:rPr>
                <w:rStyle w:val="22"/>
                <w:rFonts w:hint="eastAsia" w:ascii="方正仿宋_GBK" w:hAnsi="Times New Roman" w:eastAsia="方正仿宋_GBK" w:cs="方正仿宋_GBK"/>
                <w:color w:val="auto"/>
                <w:kern w:val="2"/>
                <w:sz w:val="21"/>
                <w:szCs w:val="21"/>
                <w:highlight w:val="none"/>
                <w:lang w:val="en-US" w:eastAsia="zh-CN" w:bidi="ar-SA"/>
              </w:rPr>
              <w:t>系统要求配备五芯电缆、四芯电缆和三芯电缆。</w:t>
            </w:r>
          </w:p>
          <w:p w14:paraId="284F338F">
            <w:pPr>
              <w:pStyle w:val="36"/>
              <w:widowControl w:val="0"/>
              <w:spacing w:line="300" w:lineRule="exact"/>
              <w:jc w:val="both"/>
              <w:rPr>
                <w:rStyle w:val="22"/>
                <w:rFonts w:ascii="方正仿宋_GBK" w:hAnsi="Times New Roman" w:eastAsia="方正仿宋_GBK" w:cs="Times New Roman"/>
                <w:color w:val="auto"/>
                <w:kern w:val="2"/>
                <w:sz w:val="21"/>
                <w:szCs w:val="21"/>
                <w:highlight w:val="none"/>
                <w:lang w:val="en-US" w:eastAsia="zh-CN" w:bidi="ar-SA"/>
              </w:rPr>
            </w:pPr>
            <w:r>
              <w:rPr>
                <w:rStyle w:val="22"/>
                <w:rFonts w:ascii="方正仿宋_GBK" w:hAnsi="Times New Roman" w:eastAsia="方正仿宋_GBK" w:cs="方正仿宋_GBK"/>
                <w:color w:val="auto"/>
                <w:kern w:val="2"/>
                <w:sz w:val="21"/>
                <w:szCs w:val="21"/>
                <w:highlight w:val="none"/>
                <w:lang w:val="en-US" w:eastAsia="zh-CN" w:bidi="ar-SA"/>
              </w:rPr>
              <w:t xml:space="preserve">2. </w:t>
            </w:r>
            <w:r>
              <w:rPr>
                <w:rStyle w:val="22"/>
                <w:rFonts w:hint="eastAsia" w:ascii="方正仿宋_GBK" w:hAnsi="Times New Roman" w:eastAsia="方正仿宋_GBK" w:cs="方正仿宋_GBK"/>
                <w:color w:val="auto"/>
                <w:kern w:val="2"/>
                <w:sz w:val="21"/>
                <w:szCs w:val="21"/>
                <w:highlight w:val="none"/>
                <w:lang w:val="en-US" w:eastAsia="zh-CN" w:bidi="ar-SA"/>
              </w:rPr>
              <w:t>按要求架设临时用电线路的电杆、横担、瓷夹、瓷瓶等，或电缆埋地的地沟。</w:t>
            </w:r>
          </w:p>
          <w:p w14:paraId="27719942">
            <w:pPr>
              <w:pStyle w:val="36"/>
              <w:widowControl w:val="0"/>
              <w:spacing w:line="300" w:lineRule="exact"/>
              <w:jc w:val="both"/>
              <w:rPr>
                <w:rStyle w:val="22"/>
                <w:rFonts w:ascii="方正仿宋_GBK" w:hAnsi="Times New Roman" w:eastAsia="方正仿宋_GBK" w:cs="Times New Roman"/>
                <w:color w:val="auto"/>
                <w:kern w:val="2"/>
                <w:sz w:val="21"/>
                <w:szCs w:val="21"/>
                <w:highlight w:val="none"/>
                <w:lang w:val="en-US" w:eastAsia="zh-CN" w:bidi="ar-SA"/>
              </w:rPr>
            </w:pPr>
            <w:r>
              <w:rPr>
                <w:rStyle w:val="22"/>
                <w:rFonts w:ascii="方正仿宋_GBK" w:hAnsi="Times New Roman" w:eastAsia="方正仿宋_GBK" w:cs="方正仿宋_GBK"/>
                <w:color w:val="auto"/>
                <w:kern w:val="2"/>
                <w:sz w:val="21"/>
                <w:szCs w:val="21"/>
                <w:highlight w:val="none"/>
                <w:lang w:val="en-US" w:eastAsia="zh-CN" w:bidi="ar-SA"/>
              </w:rPr>
              <w:t xml:space="preserve">3. </w:t>
            </w:r>
            <w:r>
              <w:rPr>
                <w:rStyle w:val="22"/>
                <w:rFonts w:hint="eastAsia" w:ascii="方正仿宋_GBK" w:hAnsi="Times New Roman" w:eastAsia="方正仿宋_GBK" w:cs="方正仿宋_GBK"/>
                <w:color w:val="auto"/>
                <w:kern w:val="2"/>
                <w:sz w:val="21"/>
                <w:szCs w:val="21"/>
                <w:highlight w:val="none"/>
                <w:lang w:val="en-US" w:eastAsia="zh-CN" w:bidi="ar-SA"/>
              </w:rPr>
              <w:t>对靠近施工现场的外电线路，设置木质、塑料等绝缘体的防护设施。</w:t>
            </w:r>
          </w:p>
        </w:tc>
      </w:tr>
      <w:tr w14:paraId="2BF012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3B46DC87">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p>
        </w:tc>
        <w:tc>
          <w:tcPr>
            <w:tcW w:w="525" w:type="dxa"/>
            <w:vMerge w:val="continue"/>
            <w:noWrap w:val="0"/>
            <w:vAlign w:val="center"/>
          </w:tcPr>
          <w:p w14:paraId="1B0FF3CE">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p>
        </w:tc>
        <w:tc>
          <w:tcPr>
            <w:tcW w:w="1545" w:type="dxa"/>
            <w:noWrap w:val="0"/>
            <w:vAlign w:val="center"/>
          </w:tcPr>
          <w:p w14:paraId="54F90B6D">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配电箱</w:t>
            </w:r>
          </w:p>
          <w:p w14:paraId="316D5FFE">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开关箱</w:t>
            </w:r>
          </w:p>
        </w:tc>
        <w:tc>
          <w:tcPr>
            <w:tcW w:w="6645" w:type="dxa"/>
            <w:noWrap w:val="0"/>
            <w:vAlign w:val="center"/>
          </w:tcPr>
          <w:p w14:paraId="3024D4FA">
            <w:pPr>
              <w:pStyle w:val="36"/>
              <w:widowControl w:val="0"/>
              <w:spacing w:line="300" w:lineRule="exact"/>
              <w:jc w:val="both"/>
              <w:rPr>
                <w:rStyle w:val="22"/>
                <w:rFonts w:ascii="方正仿宋_GBK" w:hAnsi="Times New Roman" w:eastAsia="方正仿宋_GBK" w:cs="Times New Roman"/>
                <w:color w:val="auto"/>
                <w:kern w:val="2"/>
                <w:sz w:val="21"/>
                <w:szCs w:val="21"/>
                <w:highlight w:val="none"/>
                <w:lang w:val="en-US" w:eastAsia="zh-CN" w:bidi="ar-SA"/>
              </w:rPr>
            </w:pPr>
            <w:r>
              <w:rPr>
                <w:rStyle w:val="22"/>
                <w:rFonts w:ascii="方正仿宋_GBK" w:hAnsi="Times New Roman" w:eastAsia="方正仿宋_GBK" w:cs="方正仿宋_GBK"/>
                <w:color w:val="auto"/>
                <w:kern w:val="2"/>
                <w:sz w:val="21"/>
                <w:szCs w:val="21"/>
                <w:highlight w:val="none"/>
                <w:lang w:val="en-US" w:eastAsia="zh-CN" w:bidi="ar-SA"/>
              </w:rPr>
              <w:t xml:space="preserve">1. </w:t>
            </w:r>
            <w:r>
              <w:rPr>
                <w:rStyle w:val="22"/>
                <w:rFonts w:hint="eastAsia" w:ascii="方正仿宋_GBK" w:hAnsi="Times New Roman" w:eastAsia="方正仿宋_GBK" w:cs="方正仿宋_GBK"/>
                <w:color w:val="auto"/>
                <w:kern w:val="2"/>
                <w:sz w:val="21"/>
                <w:szCs w:val="21"/>
                <w:highlight w:val="none"/>
                <w:lang w:val="en-US" w:eastAsia="zh-CN" w:bidi="ar-SA"/>
              </w:rPr>
              <w:t>按三级配电要求，配备总配电箱、分配电箱、开关箱三类（铁质）标准电箱，开关箱应符合“一机、一箱、一闸、一漏”，三类电箱中的各类电器应是合格品。</w:t>
            </w:r>
          </w:p>
          <w:p w14:paraId="4F875696">
            <w:pPr>
              <w:pStyle w:val="36"/>
              <w:widowControl w:val="0"/>
              <w:spacing w:line="300" w:lineRule="exact"/>
              <w:jc w:val="both"/>
              <w:rPr>
                <w:rStyle w:val="22"/>
                <w:rFonts w:ascii="方正仿宋_GBK" w:hAnsi="Times New Roman" w:eastAsia="方正仿宋_GBK" w:cs="Times New Roman"/>
                <w:color w:val="auto"/>
                <w:kern w:val="2"/>
                <w:sz w:val="21"/>
                <w:szCs w:val="21"/>
                <w:highlight w:val="none"/>
                <w:lang w:val="en-US" w:eastAsia="zh-CN" w:bidi="ar-SA"/>
              </w:rPr>
            </w:pPr>
            <w:r>
              <w:rPr>
                <w:rStyle w:val="22"/>
                <w:rFonts w:ascii="方正仿宋_GBK" w:hAnsi="Times New Roman" w:eastAsia="方正仿宋_GBK" w:cs="方正仿宋_GBK"/>
                <w:color w:val="auto"/>
                <w:kern w:val="2"/>
                <w:sz w:val="21"/>
                <w:szCs w:val="21"/>
                <w:highlight w:val="none"/>
                <w:lang w:val="en-US" w:eastAsia="zh-CN" w:bidi="ar-SA"/>
              </w:rPr>
              <w:t xml:space="preserve">2. </w:t>
            </w:r>
            <w:r>
              <w:rPr>
                <w:rStyle w:val="22"/>
                <w:rFonts w:hint="eastAsia" w:ascii="方正仿宋_GBK" w:hAnsi="Times New Roman" w:eastAsia="方正仿宋_GBK" w:cs="方正仿宋_GBK"/>
                <w:color w:val="auto"/>
                <w:kern w:val="2"/>
                <w:sz w:val="21"/>
                <w:szCs w:val="21"/>
                <w:highlight w:val="none"/>
                <w:lang w:val="en-US" w:eastAsia="zh-CN" w:bidi="ar-SA"/>
              </w:rPr>
              <w:t>按两级保护的要求，选取符合容量要求和质量合格的总配电箱和开关箱中的漏电保护器。</w:t>
            </w:r>
          </w:p>
          <w:p w14:paraId="660C401B">
            <w:pPr>
              <w:pStyle w:val="36"/>
              <w:widowControl w:val="0"/>
              <w:spacing w:line="300" w:lineRule="exact"/>
              <w:jc w:val="both"/>
              <w:rPr>
                <w:rStyle w:val="22"/>
                <w:rFonts w:ascii="方正仿宋_GBK" w:hAnsi="Times New Roman" w:eastAsia="方正仿宋_GBK" w:cs="Times New Roman"/>
                <w:color w:val="auto"/>
                <w:kern w:val="2"/>
                <w:sz w:val="21"/>
                <w:szCs w:val="21"/>
                <w:highlight w:val="none"/>
                <w:lang w:val="en-US" w:eastAsia="zh-CN" w:bidi="ar-SA"/>
              </w:rPr>
            </w:pPr>
            <w:r>
              <w:rPr>
                <w:rStyle w:val="22"/>
                <w:rFonts w:ascii="方正仿宋_GBK" w:hAnsi="Times New Roman" w:eastAsia="方正仿宋_GBK" w:cs="方正仿宋_GBK"/>
                <w:color w:val="auto"/>
                <w:kern w:val="2"/>
                <w:sz w:val="21"/>
                <w:szCs w:val="21"/>
                <w:highlight w:val="none"/>
                <w:lang w:val="en-US" w:eastAsia="zh-CN" w:bidi="ar-SA"/>
              </w:rPr>
              <w:t xml:space="preserve">3. </w:t>
            </w:r>
            <w:r>
              <w:rPr>
                <w:rStyle w:val="22"/>
                <w:rFonts w:hint="eastAsia" w:ascii="方正仿宋_GBK" w:hAnsi="Times New Roman" w:eastAsia="方正仿宋_GBK" w:cs="方正仿宋_GBK"/>
                <w:color w:val="auto"/>
                <w:kern w:val="2"/>
                <w:sz w:val="21"/>
                <w:szCs w:val="21"/>
                <w:highlight w:val="none"/>
                <w:lang w:val="en-US" w:eastAsia="zh-CN" w:bidi="ar-SA"/>
              </w:rPr>
              <w:t>对大型、落地式分配电箱、开关箱设置防护棚和通透式围挡。</w:t>
            </w:r>
          </w:p>
        </w:tc>
      </w:tr>
      <w:tr w14:paraId="734CDD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738" w:type="dxa"/>
            <w:vMerge w:val="continue"/>
            <w:noWrap w:val="0"/>
            <w:vAlign w:val="center"/>
          </w:tcPr>
          <w:p w14:paraId="19C78BBF">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p>
        </w:tc>
        <w:tc>
          <w:tcPr>
            <w:tcW w:w="525" w:type="dxa"/>
            <w:vMerge w:val="continue"/>
            <w:noWrap w:val="0"/>
            <w:vAlign w:val="center"/>
          </w:tcPr>
          <w:p w14:paraId="30A4E947">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p>
        </w:tc>
        <w:tc>
          <w:tcPr>
            <w:tcW w:w="1545" w:type="dxa"/>
            <w:noWrap w:val="0"/>
            <w:vAlign w:val="center"/>
          </w:tcPr>
          <w:p w14:paraId="513B06A5">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接地装置</w:t>
            </w:r>
          </w:p>
        </w:tc>
        <w:tc>
          <w:tcPr>
            <w:tcW w:w="6645" w:type="dxa"/>
            <w:noWrap w:val="0"/>
            <w:vAlign w:val="center"/>
          </w:tcPr>
          <w:p w14:paraId="36814748">
            <w:pPr>
              <w:pStyle w:val="36"/>
              <w:widowControl w:val="0"/>
              <w:spacing w:line="300" w:lineRule="exact"/>
              <w:jc w:val="both"/>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施工现场应设置不少于三处的重复接地装置。</w:t>
            </w:r>
          </w:p>
        </w:tc>
      </w:tr>
      <w:tr w14:paraId="199AC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738" w:type="dxa"/>
            <w:vMerge w:val="continue"/>
            <w:noWrap w:val="0"/>
            <w:vAlign w:val="center"/>
          </w:tcPr>
          <w:p w14:paraId="06C0F33E">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p>
        </w:tc>
        <w:tc>
          <w:tcPr>
            <w:tcW w:w="525" w:type="dxa"/>
            <w:vMerge w:val="continue"/>
            <w:noWrap w:val="0"/>
            <w:vAlign w:val="center"/>
          </w:tcPr>
          <w:p w14:paraId="6A03A663">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p>
        </w:tc>
        <w:tc>
          <w:tcPr>
            <w:tcW w:w="1545" w:type="dxa"/>
            <w:noWrap w:val="0"/>
            <w:vAlign w:val="center"/>
          </w:tcPr>
          <w:p w14:paraId="66D98955">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现场变配电装置</w:t>
            </w:r>
          </w:p>
        </w:tc>
        <w:tc>
          <w:tcPr>
            <w:tcW w:w="6645" w:type="dxa"/>
            <w:noWrap w:val="0"/>
            <w:vAlign w:val="center"/>
          </w:tcPr>
          <w:p w14:paraId="31E9E660">
            <w:pPr>
              <w:pStyle w:val="36"/>
              <w:widowControl w:val="0"/>
              <w:spacing w:line="300" w:lineRule="exact"/>
              <w:jc w:val="both"/>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总配电房建筑材料必须达到消防防火要求，室内做硬地坪、电缆沟。</w:t>
            </w:r>
          </w:p>
        </w:tc>
      </w:tr>
      <w:tr w14:paraId="585048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38" w:type="dxa"/>
            <w:noWrap w:val="0"/>
            <w:vAlign w:val="center"/>
          </w:tcPr>
          <w:p w14:paraId="3DBC8E59">
            <w:pPr>
              <w:pStyle w:val="36"/>
              <w:widowControl w:val="0"/>
              <w:spacing w:line="300" w:lineRule="exact"/>
              <w:jc w:val="center"/>
              <w:rPr>
                <w:rStyle w:val="22"/>
                <w:rFonts w:ascii="方正仿宋_GBK" w:hAnsi="Times New Roman" w:eastAsia="方正仿宋_GBK" w:cs="Times New Roman"/>
                <w:b/>
                <w:bCs/>
                <w:color w:val="auto"/>
                <w:kern w:val="2"/>
                <w:sz w:val="21"/>
                <w:szCs w:val="21"/>
                <w:highlight w:val="none"/>
                <w:lang w:val="en-US" w:eastAsia="zh-CN" w:bidi="ar-SA"/>
              </w:rPr>
            </w:pPr>
            <w:r>
              <w:rPr>
                <w:rStyle w:val="22"/>
                <w:rFonts w:hint="eastAsia" w:ascii="方正仿宋_GBK" w:hAnsi="Times New Roman" w:eastAsia="方正仿宋_GBK" w:cs="方正仿宋_GBK"/>
                <w:b/>
                <w:bCs/>
                <w:color w:val="auto"/>
                <w:kern w:val="2"/>
                <w:sz w:val="21"/>
                <w:szCs w:val="21"/>
                <w:highlight w:val="none"/>
                <w:lang w:val="en-US" w:eastAsia="zh-CN" w:bidi="ar-SA"/>
              </w:rPr>
              <w:t>类别</w:t>
            </w:r>
          </w:p>
        </w:tc>
        <w:tc>
          <w:tcPr>
            <w:tcW w:w="2070" w:type="dxa"/>
            <w:gridSpan w:val="2"/>
            <w:noWrap w:val="0"/>
            <w:vAlign w:val="center"/>
          </w:tcPr>
          <w:p w14:paraId="385C457D">
            <w:pPr>
              <w:pStyle w:val="36"/>
              <w:widowControl w:val="0"/>
              <w:spacing w:line="300" w:lineRule="exact"/>
              <w:jc w:val="center"/>
              <w:rPr>
                <w:rStyle w:val="22"/>
                <w:rFonts w:ascii="方正仿宋_GBK" w:hAnsi="Times New Roman" w:eastAsia="方正仿宋_GBK" w:cs="Times New Roman"/>
                <w:b/>
                <w:bCs/>
                <w:color w:val="auto"/>
                <w:kern w:val="2"/>
                <w:sz w:val="21"/>
                <w:szCs w:val="21"/>
                <w:highlight w:val="none"/>
                <w:lang w:val="en-US" w:eastAsia="zh-CN" w:bidi="ar-SA"/>
              </w:rPr>
            </w:pPr>
            <w:r>
              <w:rPr>
                <w:rStyle w:val="22"/>
                <w:rFonts w:hint="eastAsia" w:ascii="方正仿宋_GBK" w:hAnsi="Times New Roman" w:eastAsia="方正仿宋_GBK" w:cs="方正仿宋_GBK"/>
                <w:b/>
                <w:bCs/>
                <w:color w:val="auto"/>
                <w:kern w:val="2"/>
                <w:sz w:val="21"/>
                <w:szCs w:val="21"/>
                <w:highlight w:val="none"/>
                <w:lang w:val="en-US" w:eastAsia="zh-CN" w:bidi="ar-SA"/>
              </w:rPr>
              <w:t>项目名称</w:t>
            </w:r>
          </w:p>
        </w:tc>
        <w:tc>
          <w:tcPr>
            <w:tcW w:w="6645" w:type="dxa"/>
            <w:noWrap w:val="0"/>
            <w:vAlign w:val="center"/>
          </w:tcPr>
          <w:p w14:paraId="667A9586">
            <w:pPr>
              <w:pStyle w:val="36"/>
              <w:widowControl w:val="0"/>
              <w:spacing w:line="300" w:lineRule="exact"/>
              <w:jc w:val="center"/>
              <w:rPr>
                <w:rStyle w:val="22"/>
                <w:rFonts w:ascii="方正仿宋_GBK" w:hAnsi="Times New Roman" w:eastAsia="方正仿宋_GBK" w:cs="Times New Roman"/>
                <w:b/>
                <w:bCs/>
                <w:color w:val="auto"/>
                <w:kern w:val="2"/>
                <w:sz w:val="21"/>
                <w:szCs w:val="21"/>
                <w:highlight w:val="none"/>
                <w:lang w:val="en-US" w:eastAsia="zh-CN" w:bidi="ar-SA"/>
              </w:rPr>
            </w:pPr>
            <w:r>
              <w:rPr>
                <w:rStyle w:val="22"/>
                <w:rFonts w:hint="eastAsia" w:ascii="方正仿宋_GBK" w:hAnsi="Times New Roman" w:eastAsia="方正仿宋_GBK" w:cs="方正仿宋_GBK"/>
                <w:b/>
                <w:bCs/>
                <w:color w:val="auto"/>
                <w:kern w:val="2"/>
                <w:sz w:val="21"/>
                <w:szCs w:val="21"/>
                <w:highlight w:val="none"/>
                <w:lang w:val="en-US" w:eastAsia="zh-CN" w:bidi="ar-SA"/>
              </w:rPr>
              <w:t>主要内容和要求</w:t>
            </w:r>
          </w:p>
        </w:tc>
      </w:tr>
      <w:tr w14:paraId="502617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restart"/>
            <w:noWrap w:val="0"/>
            <w:vAlign w:val="center"/>
          </w:tcPr>
          <w:p w14:paraId="047FFF6C">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安全施工</w:t>
            </w:r>
          </w:p>
        </w:tc>
        <w:tc>
          <w:tcPr>
            <w:tcW w:w="525" w:type="dxa"/>
            <w:vMerge w:val="restart"/>
            <w:noWrap w:val="0"/>
            <w:vAlign w:val="center"/>
          </w:tcPr>
          <w:p w14:paraId="7BD40616">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高处作业防护</w:t>
            </w:r>
          </w:p>
        </w:tc>
        <w:tc>
          <w:tcPr>
            <w:tcW w:w="1545" w:type="dxa"/>
            <w:noWrap w:val="0"/>
            <w:vAlign w:val="center"/>
          </w:tcPr>
          <w:p w14:paraId="79BEF4E5">
            <w:pPr>
              <w:pStyle w:val="36"/>
              <w:widowControl w:val="0"/>
              <w:spacing w:line="300" w:lineRule="exact"/>
              <w:jc w:val="both"/>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楼层、屋面、阳台等临边</w:t>
            </w:r>
          </w:p>
        </w:tc>
        <w:tc>
          <w:tcPr>
            <w:tcW w:w="6645" w:type="dxa"/>
            <w:noWrap w:val="0"/>
            <w:vAlign w:val="center"/>
          </w:tcPr>
          <w:p w14:paraId="0707D70F">
            <w:pPr>
              <w:pStyle w:val="36"/>
              <w:widowControl w:val="0"/>
              <w:spacing w:line="300" w:lineRule="exact"/>
              <w:jc w:val="both"/>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设两道防护栏杆和</w:t>
            </w:r>
            <w:r>
              <w:rPr>
                <w:rStyle w:val="22"/>
                <w:rFonts w:ascii="方正仿宋_GBK" w:hAnsi="Times New Roman" w:eastAsia="方正仿宋_GBK" w:cs="方正仿宋_GBK"/>
                <w:color w:val="auto"/>
                <w:kern w:val="2"/>
                <w:sz w:val="21"/>
                <w:szCs w:val="21"/>
                <w:highlight w:val="none"/>
                <w:lang w:val="en-US" w:eastAsia="zh-CN" w:bidi="ar-SA"/>
              </w:rPr>
              <w:t>18cm</w:t>
            </w:r>
            <w:r>
              <w:rPr>
                <w:rStyle w:val="22"/>
                <w:rFonts w:hint="eastAsia" w:ascii="方正仿宋_GBK" w:hAnsi="Times New Roman" w:eastAsia="方正仿宋_GBK" w:cs="方正仿宋_GBK"/>
                <w:color w:val="auto"/>
                <w:kern w:val="2"/>
                <w:sz w:val="21"/>
                <w:szCs w:val="21"/>
                <w:highlight w:val="none"/>
                <w:lang w:val="en-US" w:eastAsia="zh-CN" w:bidi="ar-SA"/>
              </w:rPr>
              <w:t>高的踢脚板，用密目式安全立网全封闭。</w:t>
            </w:r>
          </w:p>
        </w:tc>
      </w:tr>
      <w:tr w14:paraId="0F97A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7F2F91F5">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p>
        </w:tc>
        <w:tc>
          <w:tcPr>
            <w:tcW w:w="525" w:type="dxa"/>
            <w:vMerge w:val="continue"/>
            <w:noWrap w:val="0"/>
            <w:vAlign w:val="center"/>
          </w:tcPr>
          <w:p w14:paraId="599A02F4">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p>
        </w:tc>
        <w:tc>
          <w:tcPr>
            <w:tcW w:w="1545" w:type="dxa"/>
            <w:noWrap w:val="0"/>
            <w:vAlign w:val="center"/>
          </w:tcPr>
          <w:p w14:paraId="104263AE">
            <w:pPr>
              <w:pStyle w:val="36"/>
              <w:widowControl w:val="0"/>
              <w:spacing w:line="300" w:lineRule="exact"/>
              <w:jc w:val="both"/>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通道口</w:t>
            </w:r>
          </w:p>
        </w:tc>
        <w:tc>
          <w:tcPr>
            <w:tcW w:w="6645" w:type="dxa"/>
            <w:noWrap w:val="0"/>
            <w:vAlign w:val="center"/>
          </w:tcPr>
          <w:p w14:paraId="74D97DB5">
            <w:pPr>
              <w:pStyle w:val="36"/>
              <w:widowControl w:val="0"/>
              <w:spacing w:line="300" w:lineRule="exact"/>
              <w:jc w:val="both"/>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设防护棚，防护棚应为不小于</w:t>
            </w:r>
            <w:r>
              <w:rPr>
                <w:rStyle w:val="22"/>
                <w:rFonts w:ascii="方正仿宋_GBK" w:hAnsi="Times New Roman" w:eastAsia="方正仿宋_GBK" w:cs="方正仿宋_GBK"/>
                <w:color w:val="auto"/>
                <w:kern w:val="2"/>
                <w:sz w:val="21"/>
                <w:szCs w:val="21"/>
                <w:highlight w:val="none"/>
                <w:lang w:val="en-US" w:eastAsia="zh-CN" w:bidi="ar-SA"/>
              </w:rPr>
              <w:t>5cm</w:t>
            </w:r>
            <w:r>
              <w:rPr>
                <w:rStyle w:val="22"/>
                <w:rFonts w:hint="eastAsia" w:ascii="方正仿宋_GBK" w:hAnsi="Times New Roman" w:eastAsia="方正仿宋_GBK" w:cs="方正仿宋_GBK"/>
                <w:color w:val="auto"/>
                <w:kern w:val="2"/>
                <w:sz w:val="21"/>
                <w:szCs w:val="21"/>
                <w:highlight w:val="none"/>
                <w:lang w:val="en-US" w:eastAsia="zh-CN" w:bidi="ar-SA"/>
              </w:rPr>
              <w:t>厚的木板或两道相距</w:t>
            </w:r>
            <w:r>
              <w:rPr>
                <w:rStyle w:val="22"/>
                <w:rFonts w:ascii="方正仿宋_GBK" w:hAnsi="Times New Roman" w:eastAsia="方正仿宋_GBK" w:cs="方正仿宋_GBK"/>
                <w:color w:val="auto"/>
                <w:kern w:val="2"/>
                <w:sz w:val="21"/>
                <w:szCs w:val="21"/>
                <w:highlight w:val="none"/>
                <w:lang w:val="en-US" w:eastAsia="zh-CN" w:bidi="ar-SA"/>
              </w:rPr>
              <w:t>50cm</w:t>
            </w:r>
            <w:r>
              <w:rPr>
                <w:rStyle w:val="22"/>
                <w:rFonts w:hint="eastAsia" w:ascii="方正仿宋_GBK" w:hAnsi="Times New Roman" w:eastAsia="方正仿宋_GBK" w:cs="方正仿宋_GBK"/>
                <w:color w:val="auto"/>
                <w:kern w:val="2"/>
                <w:sz w:val="21"/>
                <w:szCs w:val="21"/>
                <w:highlight w:val="none"/>
                <w:lang w:val="en-US" w:eastAsia="zh-CN" w:bidi="ar-SA"/>
              </w:rPr>
              <w:t>的竹笆。两侧应沿栏杆架用密目式安全网封闭。</w:t>
            </w:r>
          </w:p>
        </w:tc>
      </w:tr>
      <w:tr w14:paraId="5DB8D2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35A4A721">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p>
        </w:tc>
        <w:tc>
          <w:tcPr>
            <w:tcW w:w="525" w:type="dxa"/>
            <w:vMerge w:val="continue"/>
            <w:noWrap w:val="0"/>
            <w:vAlign w:val="center"/>
          </w:tcPr>
          <w:p w14:paraId="59661D16">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p>
        </w:tc>
        <w:tc>
          <w:tcPr>
            <w:tcW w:w="1545" w:type="dxa"/>
            <w:noWrap w:val="0"/>
            <w:vAlign w:val="center"/>
          </w:tcPr>
          <w:p w14:paraId="0287314A">
            <w:pPr>
              <w:pStyle w:val="36"/>
              <w:widowControl w:val="0"/>
              <w:spacing w:line="300" w:lineRule="exact"/>
              <w:jc w:val="both"/>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预留洞口</w:t>
            </w:r>
          </w:p>
        </w:tc>
        <w:tc>
          <w:tcPr>
            <w:tcW w:w="6645" w:type="dxa"/>
            <w:noWrap w:val="0"/>
            <w:vAlign w:val="center"/>
          </w:tcPr>
          <w:p w14:paraId="40A98AD1">
            <w:pPr>
              <w:pStyle w:val="36"/>
              <w:widowControl w:val="0"/>
              <w:spacing w:line="300" w:lineRule="exact"/>
              <w:jc w:val="both"/>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用硬质材料全封闭，短边超过</w:t>
            </w:r>
            <w:r>
              <w:rPr>
                <w:rStyle w:val="22"/>
                <w:rFonts w:ascii="方正仿宋_GBK" w:hAnsi="Times New Roman" w:eastAsia="方正仿宋_GBK" w:cs="方正仿宋_GBK"/>
                <w:color w:val="auto"/>
                <w:kern w:val="2"/>
                <w:sz w:val="21"/>
                <w:szCs w:val="21"/>
                <w:highlight w:val="none"/>
                <w:lang w:val="en-US" w:eastAsia="zh-CN" w:bidi="ar-SA"/>
              </w:rPr>
              <w:t>1.5m</w:t>
            </w:r>
            <w:r>
              <w:rPr>
                <w:rStyle w:val="22"/>
                <w:rFonts w:hint="eastAsia" w:ascii="方正仿宋_GBK" w:hAnsi="Times New Roman" w:eastAsia="方正仿宋_GBK" w:cs="方正仿宋_GBK"/>
                <w:color w:val="auto"/>
                <w:kern w:val="2"/>
                <w:sz w:val="21"/>
                <w:szCs w:val="21"/>
                <w:highlight w:val="none"/>
                <w:lang w:val="en-US" w:eastAsia="zh-CN" w:bidi="ar-SA"/>
              </w:rPr>
              <w:t>长的洞口，除封闭外四周还应设有防护栏杆。</w:t>
            </w:r>
          </w:p>
        </w:tc>
      </w:tr>
      <w:tr w14:paraId="6266F8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38" w:type="dxa"/>
            <w:vMerge w:val="continue"/>
            <w:noWrap w:val="0"/>
            <w:vAlign w:val="center"/>
          </w:tcPr>
          <w:p w14:paraId="24380D50">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p>
        </w:tc>
        <w:tc>
          <w:tcPr>
            <w:tcW w:w="525" w:type="dxa"/>
            <w:vMerge w:val="continue"/>
            <w:noWrap w:val="0"/>
            <w:vAlign w:val="center"/>
          </w:tcPr>
          <w:p w14:paraId="3A91A927">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p>
        </w:tc>
        <w:tc>
          <w:tcPr>
            <w:tcW w:w="1545" w:type="dxa"/>
            <w:noWrap w:val="0"/>
            <w:vAlign w:val="center"/>
          </w:tcPr>
          <w:p w14:paraId="531E85E1">
            <w:pPr>
              <w:pStyle w:val="36"/>
              <w:widowControl w:val="0"/>
              <w:spacing w:line="300" w:lineRule="exact"/>
              <w:jc w:val="both"/>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电梯井口</w:t>
            </w:r>
          </w:p>
        </w:tc>
        <w:tc>
          <w:tcPr>
            <w:tcW w:w="6645" w:type="dxa"/>
            <w:noWrap w:val="0"/>
            <w:vAlign w:val="center"/>
          </w:tcPr>
          <w:p w14:paraId="0B4F4169">
            <w:pPr>
              <w:pStyle w:val="36"/>
              <w:widowControl w:val="0"/>
              <w:spacing w:line="300" w:lineRule="exact"/>
              <w:jc w:val="both"/>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设置定型化、工具化的防护门，在电梯井内每隔</w:t>
            </w:r>
            <w:r>
              <w:rPr>
                <w:rStyle w:val="22"/>
                <w:rFonts w:ascii="方正仿宋_GBK" w:hAnsi="Times New Roman" w:eastAsia="方正仿宋_GBK" w:cs="方正仿宋_GBK"/>
                <w:color w:val="auto"/>
                <w:kern w:val="2"/>
                <w:sz w:val="21"/>
                <w:szCs w:val="21"/>
                <w:highlight w:val="none"/>
                <w:lang w:val="en-US" w:eastAsia="zh-CN" w:bidi="ar-SA"/>
              </w:rPr>
              <w:t>2</w:t>
            </w:r>
            <w:r>
              <w:rPr>
                <w:rStyle w:val="22"/>
                <w:rFonts w:hint="eastAsia" w:ascii="方正仿宋_GBK" w:hAnsi="Times New Roman" w:eastAsia="方正仿宋_GBK" w:cs="方正仿宋_GBK"/>
                <w:color w:val="auto"/>
                <w:kern w:val="2"/>
                <w:sz w:val="21"/>
                <w:szCs w:val="21"/>
                <w:highlight w:val="none"/>
                <w:lang w:val="en-US" w:eastAsia="zh-CN" w:bidi="ar-SA"/>
              </w:rPr>
              <w:t>层（不大于</w:t>
            </w:r>
            <w:r>
              <w:rPr>
                <w:rStyle w:val="22"/>
                <w:rFonts w:ascii="方正仿宋_GBK" w:hAnsi="Times New Roman" w:eastAsia="方正仿宋_GBK" w:cs="方正仿宋_GBK"/>
                <w:color w:val="auto"/>
                <w:kern w:val="2"/>
                <w:sz w:val="21"/>
                <w:szCs w:val="21"/>
                <w:highlight w:val="none"/>
                <w:lang w:val="en-US" w:eastAsia="zh-CN" w:bidi="ar-SA"/>
              </w:rPr>
              <w:t>10m</w:t>
            </w:r>
            <w:r>
              <w:rPr>
                <w:rStyle w:val="22"/>
                <w:rFonts w:hint="eastAsia" w:ascii="方正仿宋_GBK" w:hAnsi="Times New Roman" w:eastAsia="方正仿宋_GBK" w:cs="方正仿宋_GBK"/>
                <w:color w:val="auto"/>
                <w:kern w:val="2"/>
                <w:sz w:val="21"/>
                <w:szCs w:val="21"/>
                <w:highlight w:val="none"/>
                <w:lang w:val="en-US" w:eastAsia="zh-CN" w:bidi="ar-SA"/>
              </w:rPr>
              <w:t>）设置一道水平防护。</w:t>
            </w:r>
          </w:p>
        </w:tc>
      </w:tr>
      <w:tr w14:paraId="4FD420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0B196AA9">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p>
        </w:tc>
        <w:tc>
          <w:tcPr>
            <w:tcW w:w="525" w:type="dxa"/>
            <w:vMerge w:val="continue"/>
            <w:noWrap w:val="0"/>
            <w:vAlign w:val="center"/>
          </w:tcPr>
          <w:p w14:paraId="449539D1">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p>
        </w:tc>
        <w:tc>
          <w:tcPr>
            <w:tcW w:w="1545" w:type="dxa"/>
            <w:noWrap w:val="0"/>
            <w:vAlign w:val="center"/>
          </w:tcPr>
          <w:p w14:paraId="09B499A6">
            <w:pPr>
              <w:pStyle w:val="36"/>
              <w:widowControl w:val="0"/>
              <w:spacing w:line="300" w:lineRule="exact"/>
              <w:jc w:val="both"/>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楼梯边</w:t>
            </w:r>
          </w:p>
        </w:tc>
        <w:tc>
          <w:tcPr>
            <w:tcW w:w="6645" w:type="dxa"/>
            <w:noWrap w:val="0"/>
            <w:vAlign w:val="center"/>
          </w:tcPr>
          <w:p w14:paraId="5220B431">
            <w:pPr>
              <w:pStyle w:val="36"/>
              <w:widowControl w:val="0"/>
              <w:spacing w:line="300" w:lineRule="exact"/>
              <w:jc w:val="both"/>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设</w:t>
            </w:r>
            <w:r>
              <w:rPr>
                <w:rStyle w:val="22"/>
                <w:rFonts w:ascii="方正仿宋_GBK" w:hAnsi="Times New Roman" w:eastAsia="方正仿宋_GBK" w:cs="方正仿宋_GBK"/>
                <w:color w:val="auto"/>
                <w:kern w:val="2"/>
                <w:sz w:val="21"/>
                <w:szCs w:val="21"/>
                <w:highlight w:val="none"/>
                <w:lang w:val="en-US" w:eastAsia="zh-CN" w:bidi="ar-SA"/>
              </w:rPr>
              <w:t>1.2m</w:t>
            </w:r>
            <w:r>
              <w:rPr>
                <w:rStyle w:val="22"/>
                <w:rFonts w:hint="eastAsia" w:ascii="方正仿宋_GBK" w:hAnsi="Times New Roman" w:eastAsia="方正仿宋_GBK" w:cs="方正仿宋_GBK"/>
                <w:color w:val="auto"/>
                <w:kern w:val="2"/>
                <w:sz w:val="21"/>
                <w:szCs w:val="21"/>
                <w:highlight w:val="none"/>
                <w:lang w:val="en-US" w:eastAsia="zh-CN" w:bidi="ar-SA"/>
              </w:rPr>
              <w:t>高的定型化、工具化的防护栏，</w:t>
            </w:r>
            <w:r>
              <w:rPr>
                <w:rStyle w:val="22"/>
                <w:rFonts w:ascii="方正仿宋_GBK" w:hAnsi="Times New Roman" w:eastAsia="方正仿宋_GBK" w:cs="方正仿宋_GBK"/>
                <w:color w:val="auto"/>
                <w:kern w:val="2"/>
                <w:sz w:val="21"/>
                <w:szCs w:val="21"/>
                <w:highlight w:val="none"/>
                <w:lang w:val="en-US" w:eastAsia="zh-CN" w:bidi="ar-SA"/>
              </w:rPr>
              <w:t>18cm</w:t>
            </w:r>
            <w:r>
              <w:rPr>
                <w:rStyle w:val="22"/>
                <w:rFonts w:hint="eastAsia" w:ascii="方正仿宋_GBK" w:hAnsi="Times New Roman" w:eastAsia="方正仿宋_GBK" w:cs="方正仿宋_GBK"/>
                <w:color w:val="auto"/>
                <w:kern w:val="2"/>
                <w:sz w:val="21"/>
                <w:szCs w:val="21"/>
                <w:highlight w:val="none"/>
                <w:lang w:val="en-US" w:eastAsia="zh-CN" w:bidi="ar-SA"/>
              </w:rPr>
              <w:t>高的踢脚板。</w:t>
            </w:r>
          </w:p>
        </w:tc>
      </w:tr>
      <w:tr w14:paraId="569068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719E50B2">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p>
        </w:tc>
        <w:tc>
          <w:tcPr>
            <w:tcW w:w="525" w:type="dxa"/>
            <w:vMerge w:val="continue"/>
            <w:noWrap w:val="0"/>
            <w:vAlign w:val="center"/>
          </w:tcPr>
          <w:p w14:paraId="77F1BBFB">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p>
        </w:tc>
        <w:tc>
          <w:tcPr>
            <w:tcW w:w="1545" w:type="dxa"/>
            <w:noWrap w:val="0"/>
            <w:vAlign w:val="center"/>
          </w:tcPr>
          <w:p w14:paraId="26D4D5E2">
            <w:pPr>
              <w:pStyle w:val="36"/>
              <w:widowControl w:val="0"/>
              <w:spacing w:line="300" w:lineRule="exact"/>
              <w:jc w:val="both"/>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垂直方向交叉作业</w:t>
            </w:r>
          </w:p>
        </w:tc>
        <w:tc>
          <w:tcPr>
            <w:tcW w:w="6645" w:type="dxa"/>
            <w:noWrap w:val="0"/>
            <w:vAlign w:val="center"/>
          </w:tcPr>
          <w:p w14:paraId="710E5429">
            <w:pPr>
              <w:pStyle w:val="36"/>
              <w:widowControl w:val="0"/>
              <w:spacing w:line="300" w:lineRule="exact"/>
              <w:jc w:val="both"/>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设置防护隔离棚或其它设施。</w:t>
            </w:r>
          </w:p>
        </w:tc>
      </w:tr>
      <w:tr w14:paraId="528DAB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45E3B61D">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p>
        </w:tc>
        <w:tc>
          <w:tcPr>
            <w:tcW w:w="525" w:type="dxa"/>
            <w:vMerge w:val="continue"/>
            <w:noWrap w:val="0"/>
            <w:vAlign w:val="center"/>
          </w:tcPr>
          <w:p w14:paraId="4488F633">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p>
        </w:tc>
        <w:tc>
          <w:tcPr>
            <w:tcW w:w="1545" w:type="dxa"/>
            <w:noWrap w:val="0"/>
            <w:vAlign w:val="center"/>
          </w:tcPr>
          <w:p w14:paraId="783E7A4A">
            <w:pPr>
              <w:pStyle w:val="36"/>
              <w:widowControl w:val="0"/>
              <w:spacing w:line="300" w:lineRule="exact"/>
              <w:jc w:val="both"/>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高处作业</w:t>
            </w:r>
          </w:p>
        </w:tc>
        <w:tc>
          <w:tcPr>
            <w:tcW w:w="6645" w:type="dxa"/>
            <w:noWrap w:val="0"/>
            <w:vAlign w:val="center"/>
          </w:tcPr>
          <w:p w14:paraId="0C78541E">
            <w:pPr>
              <w:pStyle w:val="36"/>
              <w:widowControl w:val="0"/>
              <w:spacing w:line="300" w:lineRule="exact"/>
              <w:jc w:val="both"/>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有悬挂安全带的悬索或其它设施，有操作平台，有上下的梯子或其它形式的通道。</w:t>
            </w:r>
          </w:p>
        </w:tc>
      </w:tr>
      <w:tr w14:paraId="3006E1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1F20F4E5">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p>
        </w:tc>
        <w:tc>
          <w:tcPr>
            <w:tcW w:w="525" w:type="dxa"/>
            <w:vMerge w:val="continue"/>
            <w:noWrap w:val="0"/>
            <w:vAlign w:val="center"/>
          </w:tcPr>
          <w:p w14:paraId="11925F58">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p>
        </w:tc>
        <w:tc>
          <w:tcPr>
            <w:tcW w:w="1545" w:type="dxa"/>
            <w:noWrap w:val="0"/>
            <w:vAlign w:val="center"/>
          </w:tcPr>
          <w:p w14:paraId="69D352C0">
            <w:pPr>
              <w:pStyle w:val="36"/>
              <w:widowControl w:val="0"/>
              <w:spacing w:line="300" w:lineRule="exact"/>
              <w:jc w:val="both"/>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基坑、物料平台</w:t>
            </w:r>
          </w:p>
        </w:tc>
        <w:tc>
          <w:tcPr>
            <w:tcW w:w="6645" w:type="dxa"/>
            <w:noWrap w:val="0"/>
            <w:vAlign w:val="center"/>
          </w:tcPr>
          <w:p w14:paraId="04762219">
            <w:pPr>
              <w:pStyle w:val="36"/>
              <w:widowControl w:val="0"/>
              <w:spacing w:line="300" w:lineRule="exact"/>
              <w:jc w:val="both"/>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设</w:t>
            </w:r>
            <w:r>
              <w:rPr>
                <w:rStyle w:val="22"/>
                <w:rFonts w:ascii="方正仿宋_GBK" w:hAnsi="Times New Roman" w:eastAsia="方正仿宋_GBK" w:cs="方正仿宋_GBK"/>
                <w:color w:val="auto"/>
                <w:kern w:val="2"/>
                <w:sz w:val="21"/>
                <w:szCs w:val="21"/>
                <w:highlight w:val="none"/>
                <w:lang w:val="en-US" w:eastAsia="zh-CN" w:bidi="ar-SA"/>
              </w:rPr>
              <w:t>1.2m</w:t>
            </w:r>
            <w:r>
              <w:rPr>
                <w:rStyle w:val="22"/>
                <w:rFonts w:hint="eastAsia" w:ascii="方正仿宋_GBK" w:hAnsi="Times New Roman" w:eastAsia="方正仿宋_GBK" w:cs="方正仿宋_GBK"/>
                <w:color w:val="auto"/>
                <w:kern w:val="2"/>
                <w:sz w:val="21"/>
                <w:szCs w:val="21"/>
                <w:highlight w:val="none"/>
                <w:lang w:val="en-US" w:eastAsia="zh-CN" w:bidi="ar-SA"/>
              </w:rPr>
              <w:t>高标准化的防护栏，用密目式安全立网封闭，悬挂标识。</w:t>
            </w:r>
          </w:p>
        </w:tc>
      </w:tr>
      <w:tr w14:paraId="1F10F9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0403FB41">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p>
        </w:tc>
        <w:tc>
          <w:tcPr>
            <w:tcW w:w="2070" w:type="dxa"/>
            <w:gridSpan w:val="2"/>
            <w:noWrap w:val="0"/>
            <w:vAlign w:val="center"/>
          </w:tcPr>
          <w:p w14:paraId="6748919E">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安全防护用品</w:t>
            </w:r>
          </w:p>
        </w:tc>
        <w:tc>
          <w:tcPr>
            <w:tcW w:w="6645" w:type="dxa"/>
            <w:noWrap w:val="0"/>
            <w:vAlign w:val="center"/>
          </w:tcPr>
          <w:p w14:paraId="5ABE75E7">
            <w:pPr>
              <w:pStyle w:val="36"/>
              <w:widowControl w:val="0"/>
              <w:spacing w:line="300" w:lineRule="exact"/>
              <w:jc w:val="both"/>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安全帽、安全带、特种作业人员（电工、焊工、架子工等）防护服装、用品等。</w:t>
            </w:r>
          </w:p>
        </w:tc>
      </w:tr>
      <w:tr w14:paraId="6C280A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738" w:type="dxa"/>
            <w:vMerge w:val="restart"/>
            <w:noWrap w:val="0"/>
            <w:vAlign w:val="center"/>
          </w:tcPr>
          <w:p w14:paraId="795FAF69">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其它</w:t>
            </w:r>
          </w:p>
        </w:tc>
        <w:tc>
          <w:tcPr>
            <w:tcW w:w="525" w:type="dxa"/>
            <w:vMerge w:val="restart"/>
            <w:noWrap w:val="0"/>
            <w:vAlign w:val="center"/>
          </w:tcPr>
          <w:p w14:paraId="04543EE4">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机械设备防护</w:t>
            </w:r>
          </w:p>
        </w:tc>
        <w:tc>
          <w:tcPr>
            <w:tcW w:w="1545" w:type="dxa"/>
            <w:noWrap w:val="0"/>
            <w:vAlign w:val="center"/>
          </w:tcPr>
          <w:p w14:paraId="775999B1">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中小型机械</w:t>
            </w:r>
          </w:p>
        </w:tc>
        <w:tc>
          <w:tcPr>
            <w:tcW w:w="6645" w:type="dxa"/>
            <w:noWrap w:val="0"/>
            <w:vAlign w:val="center"/>
          </w:tcPr>
          <w:p w14:paraId="7F37B3A6">
            <w:pPr>
              <w:pStyle w:val="36"/>
              <w:widowControl w:val="0"/>
              <w:spacing w:line="300" w:lineRule="exact"/>
              <w:jc w:val="both"/>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设防护棚（同通道口防护并有防雨措施）。</w:t>
            </w:r>
          </w:p>
        </w:tc>
      </w:tr>
      <w:tr w14:paraId="5F134A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49EDB7F5">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p>
        </w:tc>
        <w:tc>
          <w:tcPr>
            <w:tcW w:w="525" w:type="dxa"/>
            <w:vMerge w:val="continue"/>
            <w:noWrap w:val="0"/>
            <w:vAlign w:val="center"/>
          </w:tcPr>
          <w:p w14:paraId="71C19138">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p>
        </w:tc>
        <w:tc>
          <w:tcPr>
            <w:tcW w:w="1545" w:type="dxa"/>
            <w:noWrap w:val="0"/>
            <w:vAlign w:val="center"/>
          </w:tcPr>
          <w:p w14:paraId="2EA6726F">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垂直运输设备</w:t>
            </w:r>
          </w:p>
        </w:tc>
        <w:tc>
          <w:tcPr>
            <w:tcW w:w="6645" w:type="dxa"/>
            <w:noWrap w:val="0"/>
            <w:vAlign w:val="center"/>
          </w:tcPr>
          <w:p w14:paraId="124AED6C">
            <w:pPr>
              <w:pStyle w:val="36"/>
              <w:widowControl w:val="0"/>
              <w:spacing w:line="300" w:lineRule="exact"/>
              <w:jc w:val="both"/>
              <w:rPr>
                <w:rStyle w:val="22"/>
                <w:rFonts w:ascii="方正仿宋_GBK" w:hAnsi="Times New Roman" w:eastAsia="方正仿宋_GBK" w:cs="Times New Roman"/>
                <w:color w:val="auto"/>
                <w:kern w:val="2"/>
                <w:sz w:val="21"/>
                <w:szCs w:val="21"/>
                <w:highlight w:val="none"/>
                <w:lang w:val="en-US" w:eastAsia="zh-CN" w:bidi="ar-SA"/>
              </w:rPr>
            </w:pPr>
            <w:r>
              <w:rPr>
                <w:rStyle w:val="22"/>
                <w:rFonts w:ascii="方正仿宋_GBK" w:hAnsi="Times New Roman" w:eastAsia="方正仿宋_GBK" w:cs="方正仿宋_GBK"/>
                <w:color w:val="auto"/>
                <w:kern w:val="2"/>
                <w:sz w:val="21"/>
                <w:szCs w:val="21"/>
                <w:highlight w:val="none"/>
                <w:lang w:val="en-US" w:eastAsia="zh-CN" w:bidi="ar-SA"/>
              </w:rPr>
              <w:t xml:space="preserve">1. </w:t>
            </w:r>
            <w:r>
              <w:rPr>
                <w:rStyle w:val="22"/>
                <w:rFonts w:hint="eastAsia" w:ascii="方正仿宋_GBK" w:hAnsi="Times New Roman" w:eastAsia="方正仿宋_GBK" w:cs="方正仿宋_GBK"/>
                <w:color w:val="auto"/>
                <w:kern w:val="2"/>
                <w:sz w:val="21"/>
                <w:szCs w:val="21"/>
                <w:highlight w:val="none"/>
                <w:lang w:val="en-US" w:eastAsia="zh-CN" w:bidi="ar-SA"/>
              </w:rPr>
              <w:t>垂直运输设备检测、检验、日常维护、保养等。</w:t>
            </w:r>
          </w:p>
          <w:p w14:paraId="74592F57">
            <w:pPr>
              <w:pStyle w:val="36"/>
              <w:widowControl w:val="0"/>
              <w:spacing w:line="300" w:lineRule="exact"/>
              <w:jc w:val="both"/>
              <w:rPr>
                <w:rStyle w:val="22"/>
                <w:rFonts w:ascii="方正仿宋_GBK" w:hAnsi="Times New Roman" w:eastAsia="方正仿宋_GBK" w:cs="Times New Roman"/>
                <w:color w:val="auto"/>
                <w:kern w:val="2"/>
                <w:sz w:val="21"/>
                <w:szCs w:val="21"/>
                <w:highlight w:val="none"/>
                <w:lang w:val="en-US" w:eastAsia="zh-CN" w:bidi="ar-SA"/>
              </w:rPr>
            </w:pPr>
            <w:r>
              <w:rPr>
                <w:rStyle w:val="22"/>
                <w:rFonts w:ascii="方正仿宋_GBK" w:hAnsi="Times New Roman" w:eastAsia="方正仿宋_GBK" w:cs="方正仿宋_GBK"/>
                <w:color w:val="auto"/>
                <w:kern w:val="2"/>
                <w:sz w:val="21"/>
                <w:szCs w:val="21"/>
                <w:highlight w:val="none"/>
                <w:lang w:val="en-US" w:eastAsia="zh-CN" w:bidi="ar-SA"/>
              </w:rPr>
              <w:t xml:space="preserve">2. </w:t>
            </w:r>
            <w:r>
              <w:rPr>
                <w:rStyle w:val="22"/>
                <w:rFonts w:hint="eastAsia" w:ascii="方正仿宋_GBK" w:hAnsi="Times New Roman" w:eastAsia="方正仿宋_GBK" w:cs="方正仿宋_GBK"/>
                <w:color w:val="auto"/>
                <w:kern w:val="2"/>
                <w:sz w:val="21"/>
                <w:szCs w:val="21"/>
                <w:highlight w:val="none"/>
                <w:lang w:val="en-US" w:eastAsia="zh-CN" w:bidi="ar-SA"/>
              </w:rPr>
              <w:t>物料提升机、施工电梯等物料平台搭设、外侧用密目式安全立网全封闭，有安全通道、安全防护门、防护棚等。</w:t>
            </w:r>
          </w:p>
        </w:tc>
      </w:tr>
      <w:tr w14:paraId="4BFC87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38" w:type="dxa"/>
            <w:vMerge w:val="continue"/>
            <w:noWrap w:val="0"/>
            <w:vAlign w:val="center"/>
          </w:tcPr>
          <w:p w14:paraId="4F38AFBB">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p>
        </w:tc>
        <w:tc>
          <w:tcPr>
            <w:tcW w:w="2070" w:type="dxa"/>
            <w:gridSpan w:val="2"/>
            <w:noWrap w:val="0"/>
            <w:vAlign w:val="center"/>
          </w:tcPr>
          <w:p w14:paraId="7719FC31">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专家论证审查</w:t>
            </w:r>
          </w:p>
        </w:tc>
        <w:tc>
          <w:tcPr>
            <w:tcW w:w="6645" w:type="dxa"/>
            <w:noWrap w:val="0"/>
            <w:vAlign w:val="center"/>
          </w:tcPr>
          <w:p w14:paraId="20B3E8F7">
            <w:pPr>
              <w:pStyle w:val="36"/>
              <w:widowControl w:val="0"/>
              <w:spacing w:line="300" w:lineRule="exact"/>
              <w:jc w:val="both"/>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超过一定规模的危险性较大分部分项工程专家论证审查。</w:t>
            </w:r>
          </w:p>
        </w:tc>
      </w:tr>
      <w:tr w14:paraId="1DE817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38" w:type="dxa"/>
            <w:vMerge w:val="continue"/>
            <w:noWrap w:val="0"/>
            <w:vAlign w:val="center"/>
          </w:tcPr>
          <w:p w14:paraId="2FFE0509">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p>
        </w:tc>
        <w:tc>
          <w:tcPr>
            <w:tcW w:w="2070" w:type="dxa"/>
            <w:gridSpan w:val="2"/>
            <w:noWrap w:val="0"/>
            <w:vAlign w:val="center"/>
          </w:tcPr>
          <w:p w14:paraId="5ADB2718">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应急救援预案</w:t>
            </w:r>
          </w:p>
        </w:tc>
        <w:tc>
          <w:tcPr>
            <w:tcW w:w="6645" w:type="dxa"/>
            <w:noWrap w:val="0"/>
            <w:vAlign w:val="center"/>
          </w:tcPr>
          <w:p w14:paraId="70A5E579">
            <w:pPr>
              <w:pStyle w:val="36"/>
              <w:widowControl w:val="0"/>
              <w:spacing w:line="300" w:lineRule="exact"/>
              <w:jc w:val="both"/>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救援器材准备及演练等。</w:t>
            </w:r>
          </w:p>
        </w:tc>
      </w:tr>
      <w:tr w14:paraId="4FF24F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tcBorders>
              <w:bottom w:val="single" w:color="auto" w:sz="12" w:space="0"/>
            </w:tcBorders>
            <w:noWrap w:val="0"/>
            <w:vAlign w:val="center"/>
          </w:tcPr>
          <w:p w14:paraId="0AA4270C">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p>
        </w:tc>
        <w:tc>
          <w:tcPr>
            <w:tcW w:w="2070" w:type="dxa"/>
            <w:gridSpan w:val="2"/>
            <w:tcBorders>
              <w:bottom w:val="single" w:color="auto" w:sz="12" w:space="0"/>
            </w:tcBorders>
            <w:noWrap w:val="0"/>
            <w:vAlign w:val="center"/>
          </w:tcPr>
          <w:p w14:paraId="3F00D071">
            <w:pPr>
              <w:pStyle w:val="36"/>
              <w:widowControl w:val="0"/>
              <w:spacing w:line="300" w:lineRule="exact"/>
              <w:jc w:val="center"/>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非正常情况施工</w:t>
            </w:r>
          </w:p>
        </w:tc>
        <w:tc>
          <w:tcPr>
            <w:tcW w:w="6645" w:type="dxa"/>
            <w:tcBorders>
              <w:bottom w:val="single" w:color="auto" w:sz="12" w:space="0"/>
            </w:tcBorders>
            <w:noWrap w:val="0"/>
            <w:vAlign w:val="center"/>
          </w:tcPr>
          <w:p w14:paraId="5026CE8C">
            <w:pPr>
              <w:pStyle w:val="36"/>
              <w:widowControl w:val="0"/>
              <w:spacing w:line="300" w:lineRule="exact"/>
              <w:jc w:val="both"/>
              <w:rPr>
                <w:rStyle w:val="22"/>
                <w:rFonts w:ascii="方正仿宋_GBK" w:hAnsi="Times New Roman" w:eastAsia="方正仿宋_GBK" w:cs="Times New Roman"/>
                <w:color w:val="auto"/>
                <w:kern w:val="2"/>
                <w:sz w:val="21"/>
                <w:szCs w:val="21"/>
                <w:highlight w:val="none"/>
                <w:lang w:val="en-US" w:eastAsia="zh-CN" w:bidi="ar-SA"/>
              </w:rPr>
            </w:pPr>
            <w:r>
              <w:rPr>
                <w:rStyle w:val="22"/>
                <w:rFonts w:hint="eastAsia" w:ascii="方正仿宋_GBK" w:hAnsi="Times New Roman" w:eastAsia="方正仿宋_GBK" w:cs="方正仿宋_GBK"/>
                <w:color w:val="auto"/>
                <w:kern w:val="2"/>
                <w:sz w:val="21"/>
                <w:szCs w:val="21"/>
                <w:highlight w:val="none"/>
                <w:lang w:val="en-US" w:eastAsia="zh-CN" w:bidi="ar-SA"/>
              </w:rPr>
              <w:t>其它特殊情况下的防护费用，如：城市主干道、人流密集、河边等处施工及文物、古建筑、古树保护等。</w:t>
            </w:r>
          </w:p>
        </w:tc>
      </w:tr>
    </w:tbl>
    <w:p w14:paraId="17B60CA2">
      <w:pPr>
        <w:pStyle w:val="36"/>
        <w:spacing w:line="240" w:lineRule="atLeast"/>
        <w:ind w:firstLine="546"/>
        <w:jc w:val="center"/>
        <w:rPr>
          <w:rStyle w:val="22"/>
          <w:rFonts w:ascii="Times New Roman" w:hAnsi="Times New Roman" w:eastAsia="宋体" w:cs="Times New Roman"/>
          <w:b/>
          <w:bCs/>
          <w:color w:val="auto"/>
          <w:w w:val="90"/>
          <w:sz w:val="24"/>
          <w:szCs w:val="24"/>
          <w:highlight w:val="none"/>
        </w:rPr>
      </w:pPr>
    </w:p>
    <w:p w14:paraId="6DBBA870">
      <w:pPr>
        <w:pStyle w:val="11"/>
        <w:jc w:val="both"/>
        <w:outlineLvl w:val="9"/>
        <w:rPr>
          <w:rFonts w:hint="eastAsia" w:ascii="宋体" w:hAnsi="宋体" w:eastAsia="宋体" w:cs="宋体"/>
          <w:color w:val="auto"/>
          <w:szCs w:val="21"/>
          <w:highlight w:val="none"/>
        </w:rPr>
      </w:pPr>
      <w:r>
        <w:rPr>
          <w:rStyle w:val="22"/>
          <w:rFonts w:hint="eastAsia" w:ascii="Times New Roman" w:hAnsi="Times New Roman" w:eastAsia="宋体" w:cs="宋体"/>
          <w:color w:val="auto"/>
          <w:szCs w:val="21"/>
          <w:highlight w:val="none"/>
        </w:rPr>
        <w:t>注：本表所列建筑工程安全文明施工费，是依据现行法律法规及标准规范确定的。如法律法规和标准规范修订，本表所列项目应按照修订后的法律法规和标准规范进行调整。</w:t>
      </w:r>
    </w:p>
    <w:p w14:paraId="2A0A1C58">
      <w:pPr>
        <w:pStyle w:val="11"/>
        <w:jc w:val="both"/>
        <w:outlineLvl w:val="9"/>
        <w:rPr>
          <w:rFonts w:hint="eastAsia" w:ascii="宋体" w:hAnsi="宋体" w:eastAsia="宋体" w:cs="宋体"/>
          <w:color w:val="auto"/>
          <w:szCs w:val="21"/>
          <w:highlight w:val="none"/>
        </w:rPr>
      </w:pPr>
    </w:p>
    <w:p w14:paraId="2A632DEE">
      <w:pPr>
        <w:pStyle w:val="11"/>
        <w:jc w:val="center"/>
        <w:outlineLvl w:val="1"/>
        <w:rPr>
          <w:rFonts w:hint="eastAsia" w:ascii="宋体" w:hAnsi="宋体" w:eastAsia="宋体" w:cs="宋体"/>
          <w:b/>
          <w:bCs/>
          <w:color w:val="auto"/>
          <w:sz w:val="28"/>
          <w:szCs w:val="28"/>
          <w:highlight w:val="none"/>
        </w:rPr>
      </w:pPr>
      <w:bookmarkStart w:id="1539" w:name="_Toc19686838"/>
      <w:bookmarkStart w:id="1540" w:name="_Toc6839"/>
    </w:p>
    <w:p w14:paraId="263C111F">
      <w:pPr>
        <w:pStyle w:val="11"/>
        <w:jc w:val="center"/>
        <w:outlineLvl w:val="1"/>
        <w:rPr>
          <w:rFonts w:hint="eastAsia" w:ascii="宋体" w:hAnsi="宋体" w:eastAsia="宋体" w:cs="宋体"/>
          <w:b/>
          <w:bCs/>
          <w:color w:val="auto"/>
          <w:sz w:val="28"/>
          <w:szCs w:val="28"/>
          <w:highlight w:val="none"/>
        </w:rPr>
      </w:pPr>
    </w:p>
    <w:p w14:paraId="71F86875">
      <w:pPr>
        <w:pStyle w:val="11"/>
        <w:jc w:val="center"/>
        <w:outlineLvl w:val="1"/>
        <w:rPr>
          <w:rFonts w:hint="eastAsia" w:ascii="宋体" w:hAnsi="宋体" w:eastAsia="宋体" w:cs="宋体"/>
          <w:b/>
          <w:bCs/>
          <w:color w:val="auto"/>
          <w:sz w:val="28"/>
          <w:szCs w:val="28"/>
          <w:highlight w:val="none"/>
        </w:rPr>
      </w:pPr>
    </w:p>
    <w:p w14:paraId="152BD6EC">
      <w:pPr>
        <w:pStyle w:val="11"/>
        <w:jc w:val="center"/>
        <w:outlineLvl w:val="1"/>
        <w:rPr>
          <w:rFonts w:hint="eastAsia" w:ascii="宋体" w:hAnsi="宋体" w:eastAsia="宋体" w:cs="宋体"/>
          <w:b/>
          <w:bCs/>
          <w:color w:val="auto"/>
          <w:sz w:val="28"/>
          <w:szCs w:val="28"/>
          <w:highlight w:val="none"/>
        </w:rPr>
      </w:pPr>
    </w:p>
    <w:p w14:paraId="60141E4E">
      <w:pPr>
        <w:pStyle w:val="11"/>
        <w:jc w:val="center"/>
        <w:outlineLvl w:val="1"/>
        <w:rPr>
          <w:rFonts w:hint="eastAsia" w:ascii="宋体" w:hAnsi="宋体" w:eastAsia="宋体" w:cs="宋体"/>
          <w:b/>
          <w:bCs/>
          <w:color w:val="auto"/>
          <w:sz w:val="28"/>
          <w:szCs w:val="28"/>
          <w:highlight w:val="none"/>
        </w:rPr>
      </w:pPr>
    </w:p>
    <w:p w14:paraId="25C04DB8">
      <w:pPr>
        <w:pStyle w:val="11"/>
        <w:jc w:val="center"/>
        <w:outlineLvl w:val="1"/>
        <w:rPr>
          <w:rFonts w:hint="eastAsia" w:ascii="宋体" w:hAnsi="宋体" w:eastAsia="宋体" w:cs="宋体"/>
          <w:b/>
          <w:bCs/>
          <w:color w:val="auto"/>
          <w:sz w:val="28"/>
          <w:szCs w:val="28"/>
          <w:highlight w:val="none"/>
        </w:rPr>
      </w:pPr>
    </w:p>
    <w:p w14:paraId="7EDC62DE">
      <w:pPr>
        <w:pStyle w:val="11"/>
        <w:jc w:val="center"/>
        <w:outlineLvl w:val="1"/>
        <w:rPr>
          <w:rFonts w:hint="eastAsia" w:ascii="宋体" w:hAnsi="宋体" w:eastAsia="宋体" w:cs="宋体"/>
          <w:b/>
          <w:bCs/>
          <w:color w:val="auto"/>
          <w:sz w:val="28"/>
          <w:szCs w:val="28"/>
          <w:highlight w:val="none"/>
        </w:rPr>
      </w:pPr>
      <w:bookmarkStart w:id="1541" w:name="_Toc26695"/>
      <w:r>
        <w:rPr>
          <w:rFonts w:hint="eastAsia" w:ascii="宋体" w:hAnsi="宋体" w:eastAsia="宋体" w:cs="宋体"/>
          <w:b/>
          <w:bCs/>
          <w:color w:val="auto"/>
          <w:sz w:val="28"/>
          <w:szCs w:val="28"/>
          <w:highlight w:val="none"/>
        </w:rPr>
        <w:t>第三节 商务文件格式</w:t>
      </w:r>
      <w:bookmarkEnd w:id="1539"/>
      <w:bookmarkEnd w:id="1540"/>
      <w:bookmarkEnd w:id="1541"/>
    </w:p>
    <w:p w14:paraId="0CEDEFAD">
      <w:pPr>
        <w:snapToGrid w:val="0"/>
        <w:spacing w:before="165" w:beforeLines="50" w:after="50"/>
        <w:rPr>
          <w:rFonts w:hint="eastAsia" w:ascii="宋体" w:hAnsi="宋体" w:eastAsia="宋体" w:cs="宋体"/>
          <w:color w:val="auto"/>
          <w:sz w:val="30"/>
          <w:szCs w:val="20"/>
          <w:highlight w:val="none"/>
        </w:rPr>
      </w:pPr>
    </w:p>
    <w:p w14:paraId="006CE509">
      <w:pPr>
        <w:snapToGrid w:val="0"/>
        <w:spacing w:before="165"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 xml:space="preserve">             电子投标文件</w:t>
      </w:r>
    </w:p>
    <w:p w14:paraId="0522C138">
      <w:pPr>
        <w:snapToGrid w:val="0"/>
        <w:spacing w:before="165" w:beforeLines="50" w:after="50"/>
        <w:rPr>
          <w:rFonts w:hint="eastAsia" w:ascii="宋体" w:hAnsi="宋体" w:eastAsia="宋体" w:cs="宋体"/>
          <w:color w:val="auto"/>
          <w:sz w:val="24"/>
          <w:szCs w:val="20"/>
          <w:highlight w:val="none"/>
        </w:rPr>
      </w:pPr>
    </w:p>
    <w:p w14:paraId="3EED07EA">
      <w:pPr>
        <w:snapToGrid w:val="0"/>
        <w:spacing w:before="165" w:beforeLines="50" w:after="50"/>
        <w:jc w:val="center"/>
        <w:rPr>
          <w:rFonts w:hint="eastAsia" w:ascii="宋体" w:hAnsi="宋体" w:eastAsia="宋体" w:cs="宋体"/>
          <w:b/>
          <w:color w:val="auto"/>
          <w:sz w:val="24"/>
          <w:szCs w:val="20"/>
          <w:highlight w:val="none"/>
        </w:rPr>
      </w:pPr>
      <w:r>
        <w:rPr>
          <w:rFonts w:hint="eastAsia" w:ascii="宋体" w:hAnsi="宋体" w:eastAsia="宋体" w:cs="宋体"/>
          <w:b/>
          <w:color w:val="auto"/>
          <w:sz w:val="32"/>
          <w:szCs w:val="32"/>
          <w:highlight w:val="none"/>
        </w:rPr>
        <w:t>商务文件（封面）</w:t>
      </w:r>
    </w:p>
    <w:p w14:paraId="6023FE65">
      <w:pPr>
        <w:snapToGrid w:val="0"/>
        <w:spacing w:before="165" w:beforeLines="50" w:after="50"/>
        <w:rPr>
          <w:rFonts w:hint="eastAsia" w:ascii="宋体" w:hAnsi="宋体" w:eastAsia="宋体" w:cs="宋体"/>
          <w:bCs/>
          <w:color w:val="auto"/>
          <w:sz w:val="24"/>
          <w:szCs w:val="20"/>
          <w:highlight w:val="none"/>
        </w:rPr>
      </w:pPr>
    </w:p>
    <w:p w14:paraId="501817BB">
      <w:pPr>
        <w:snapToGrid w:val="0"/>
        <w:spacing w:before="165"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项目名称：</w:t>
      </w:r>
    </w:p>
    <w:p w14:paraId="24A0974F">
      <w:pPr>
        <w:snapToGrid w:val="0"/>
        <w:spacing w:before="165" w:beforeLines="50" w:after="50"/>
        <w:ind w:firstLine="540" w:firstLineChars="225"/>
        <w:rPr>
          <w:rFonts w:hint="eastAsia" w:ascii="宋体" w:hAnsi="宋体" w:eastAsia="宋体" w:cs="宋体"/>
          <w:bCs/>
          <w:color w:val="auto"/>
          <w:sz w:val="24"/>
          <w:szCs w:val="20"/>
          <w:highlight w:val="none"/>
        </w:rPr>
      </w:pPr>
    </w:p>
    <w:p w14:paraId="63A71A4C">
      <w:pPr>
        <w:snapToGrid w:val="0"/>
        <w:spacing w:before="165"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项目编号：</w:t>
      </w:r>
    </w:p>
    <w:p w14:paraId="343B74AC">
      <w:pPr>
        <w:snapToGrid w:val="0"/>
        <w:spacing w:before="165" w:beforeLines="50" w:after="50"/>
        <w:ind w:firstLine="540" w:firstLineChars="225"/>
        <w:rPr>
          <w:rFonts w:hint="eastAsia" w:ascii="宋体" w:hAnsi="宋体" w:eastAsia="宋体" w:cs="宋体"/>
          <w:bCs/>
          <w:color w:val="auto"/>
          <w:sz w:val="24"/>
          <w:szCs w:val="20"/>
          <w:highlight w:val="none"/>
        </w:rPr>
      </w:pPr>
      <w:r>
        <w:rPr>
          <w:rFonts w:hint="eastAsia" w:ascii="宋体" w:hAnsi="宋体" w:eastAsia="宋体" w:cs="宋体"/>
          <w:bCs/>
          <w:color w:val="auto"/>
          <w:sz w:val="24"/>
          <w:highlight w:val="none"/>
        </w:rPr>
        <w:t xml:space="preserve"> </w:t>
      </w:r>
    </w:p>
    <w:p w14:paraId="3C5C86DB">
      <w:pPr>
        <w:snapToGrid w:val="0"/>
        <w:spacing w:before="165"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w:t>
      </w:r>
    </w:p>
    <w:p w14:paraId="4F9ABC78">
      <w:pPr>
        <w:snapToGrid w:val="0"/>
        <w:spacing w:before="165" w:beforeLines="50" w:after="50"/>
        <w:ind w:firstLine="540" w:firstLineChars="225"/>
        <w:rPr>
          <w:rFonts w:hint="eastAsia" w:ascii="宋体" w:hAnsi="宋体" w:eastAsia="宋体" w:cs="宋体"/>
          <w:bCs/>
          <w:color w:val="auto"/>
          <w:sz w:val="24"/>
          <w:szCs w:val="20"/>
          <w:highlight w:val="none"/>
        </w:rPr>
      </w:pPr>
    </w:p>
    <w:p w14:paraId="758D94A8">
      <w:pPr>
        <w:pStyle w:val="8"/>
        <w:snapToGrid w:val="0"/>
        <w:spacing w:before="50" w:after="50"/>
        <w:ind w:firstLine="540" w:firstLineChars="22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p>
    <w:p w14:paraId="3307791B">
      <w:pPr>
        <w:pStyle w:val="8"/>
        <w:snapToGrid w:val="0"/>
        <w:spacing w:before="50" w:after="50"/>
        <w:ind w:firstLine="540" w:firstLineChars="225"/>
        <w:rPr>
          <w:rFonts w:hint="eastAsia" w:ascii="宋体" w:hAnsi="宋体" w:eastAsia="宋体" w:cs="宋体"/>
          <w:bCs/>
          <w:color w:val="auto"/>
          <w:sz w:val="24"/>
          <w:szCs w:val="24"/>
          <w:highlight w:val="none"/>
        </w:rPr>
      </w:pPr>
    </w:p>
    <w:p w14:paraId="1BDCC996">
      <w:pPr>
        <w:pStyle w:val="8"/>
        <w:snapToGrid w:val="0"/>
        <w:spacing w:before="50" w:after="50"/>
        <w:ind w:firstLine="540" w:firstLineChars="22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投标人地址：</w:t>
      </w:r>
    </w:p>
    <w:p w14:paraId="2263562B">
      <w:pPr>
        <w:pStyle w:val="8"/>
        <w:snapToGrid w:val="0"/>
        <w:spacing w:before="50" w:after="50"/>
        <w:ind w:firstLine="960" w:firstLineChars="400"/>
        <w:rPr>
          <w:rFonts w:hint="eastAsia" w:ascii="宋体" w:hAnsi="宋体" w:eastAsia="宋体" w:cs="宋体"/>
          <w:bCs/>
          <w:color w:val="auto"/>
          <w:sz w:val="24"/>
          <w:szCs w:val="24"/>
          <w:highlight w:val="none"/>
        </w:rPr>
      </w:pPr>
    </w:p>
    <w:p w14:paraId="677C1236">
      <w:pPr>
        <w:snapToGrid w:val="0"/>
        <w:spacing w:before="165" w:beforeLines="50" w:after="50"/>
        <w:ind w:firstLine="64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3FF79F19">
      <w:pPr>
        <w:snapToGrid w:val="0"/>
        <w:spacing w:before="165" w:beforeLines="50" w:after="5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w:t>
      </w:r>
    </w:p>
    <w:p w14:paraId="4DBC8D7F">
      <w:pPr>
        <w:spacing w:line="360" w:lineRule="auto"/>
        <w:ind w:right="420"/>
        <w:rPr>
          <w:rFonts w:hint="eastAsia" w:ascii="宋体" w:hAnsi="宋体" w:eastAsia="宋体" w:cs="宋体"/>
          <w:color w:val="auto"/>
          <w:sz w:val="24"/>
          <w:szCs w:val="20"/>
          <w:highlight w:val="none"/>
        </w:rPr>
      </w:pPr>
    </w:p>
    <w:p w14:paraId="7C7B1A93">
      <w:pPr>
        <w:spacing w:line="360" w:lineRule="auto"/>
        <w:ind w:right="420"/>
        <w:rPr>
          <w:rFonts w:hint="eastAsia" w:ascii="宋体" w:hAnsi="宋体" w:eastAsia="宋体" w:cs="宋体"/>
          <w:color w:val="auto"/>
          <w:sz w:val="24"/>
          <w:szCs w:val="20"/>
          <w:highlight w:val="none"/>
        </w:rPr>
      </w:pPr>
    </w:p>
    <w:p w14:paraId="3ECEDA0D">
      <w:pPr>
        <w:spacing w:line="360" w:lineRule="auto"/>
        <w:ind w:right="420"/>
        <w:rPr>
          <w:rFonts w:hint="eastAsia" w:ascii="宋体" w:hAnsi="宋体" w:eastAsia="宋体" w:cs="宋体"/>
          <w:color w:val="auto"/>
          <w:sz w:val="24"/>
          <w:szCs w:val="20"/>
          <w:highlight w:val="none"/>
        </w:rPr>
      </w:pPr>
    </w:p>
    <w:p w14:paraId="2DE8DA08">
      <w:pPr>
        <w:spacing w:line="360" w:lineRule="auto"/>
        <w:ind w:right="420"/>
        <w:rPr>
          <w:rFonts w:hint="eastAsia" w:ascii="宋体" w:hAnsi="宋体" w:eastAsia="宋体" w:cs="宋体"/>
          <w:color w:val="auto"/>
          <w:sz w:val="24"/>
          <w:szCs w:val="20"/>
          <w:highlight w:val="none"/>
        </w:rPr>
      </w:pPr>
    </w:p>
    <w:p w14:paraId="600B3BC3">
      <w:pPr>
        <w:spacing w:line="360" w:lineRule="auto"/>
        <w:ind w:right="420"/>
        <w:rPr>
          <w:rFonts w:hint="eastAsia" w:ascii="宋体" w:hAnsi="宋体" w:eastAsia="宋体" w:cs="宋体"/>
          <w:color w:val="auto"/>
          <w:sz w:val="24"/>
          <w:szCs w:val="20"/>
          <w:highlight w:val="none"/>
        </w:rPr>
      </w:pPr>
    </w:p>
    <w:p w14:paraId="3ECD53E9">
      <w:pPr>
        <w:spacing w:line="360" w:lineRule="auto"/>
        <w:ind w:right="420"/>
        <w:rPr>
          <w:rFonts w:hint="eastAsia" w:ascii="宋体" w:hAnsi="宋体" w:eastAsia="宋体" w:cs="宋体"/>
          <w:color w:val="auto"/>
          <w:sz w:val="24"/>
          <w:szCs w:val="20"/>
          <w:highlight w:val="none"/>
        </w:rPr>
      </w:pPr>
    </w:p>
    <w:p w14:paraId="0B44619A">
      <w:pPr>
        <w:spacing w:line="360" w:lineRule="auto"/>
        <w:ind w:right="420"/>
        <w:rPr>
          <w:rFonts w:hint="eastAsia" w:ascii="宋体" w:hAnsi="宋体" w:eastAsia="宋体" w:cs="宋体"/>
          <w:color w:val="auto"/>
          <w:sz w:val="24"/>
          <w:szCs w:val="20"/>
          <w:highlight w:val="none"/>
        </w:rPr>
      </w:pPr>
    </w:p>
    <w:p w14:paraId="75B10D12">
      <w:pPr>
        <w:spacing w:line="360" w:lineRule="auto"/>
        <w:ind w:right="420"/>
        <w:rPr>
          <w:rFonts w:hint="eastAsia" w:ascii="宋体" w:hAnsi="宋体" w:eastAsia="宋体" w:cs="宋体"/>
          <w:color w:val="auto"/>
          <w:sz w:val="24"/>
          <w:szCs w:val="20"/>
          <w:highlight w:val="none"/>
        </w:rPr>
      </w:pPr>
    </w:p>
    <w:p w14:paraId="2C3CA723">
      <w:pPr>
        <w:spacing w:line="360" w:lineRule="auto"/>
        <w:ind w:right="420"/>
        <w:rPr>
          <w:rFonts w:hint="eastAsia" w:ascii="宋体" w:hAnsi="宋体" w:eastAsia="宋体" w:cs="宋体"/>
          <w:color w:val="auto"/>
          <w:sz w:val="24"/>
          <w:szCs w:val="20"/>
          <w:highlight w:val="none"/>
        </w:rPr>
      </w:pPr>
    </w:p>
    <w:p w14:paraId="06C4C66D">
      <w:pPr>
        <w:spacing w:line="360" w:lineRule="auto"/>
        <w:ind w:right="42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 xml:space="preserve"> </w:t>
      </w:r>
    </w:p>
    <w:p w14:paraId="76F8C74D">
      <w:pPr>
        <w:rPr>
          <w:rFonts w:hint="eastAsia" w:ascii="宋体" w:hAnsi="宋体" w:eastAsia="宋体" w:cs="宋体"/>
          <w:b/>
          <w:color w:val="auto"/>
          <w:kern w:val="0"/>
          <w:sz w:val="24"/>
          <w:highlight w:val="none"/>
        </w:rPr>
      </w:pPr>
    </w:p>
    <w:p w14:paraId="02C501B3">
      <w:pPr>
        <w:rPr>
          <w:rFonts w:hint="eastAsia" w:ascii="宋体" w:hAnsi="宋体" w:eastAsia="宋体" w:cs="宋体"/>
          <w:b/>
          <w:color w:val="auto"/>
          <w:kern w:val="0"/>
          <w:sz w:val="24"/>
          <w:highlight w:val="none"/>
        </w:rPr>
      </w:pPr>
    </w:p>
    <w:p w14:paraId="059CB6B0">
      <w:pPr>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商务文件目录</w:t>
      </w:r>
    </w:p>
    <w:p w14:paraId="1E7B2F95">
      <w:pPr>
        <w:pStyle w:val="35"/>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6155A67A">
      <w:pPr>
        <w:pStyle w:val="35"/>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044E1AE4">
      <w:pPr>
        <w:pStyle w:val="35"/>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1D612CE3">
      <w:pPr>
        <w:pStyle w:val="35"/>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6CC45905">
      <w:pPr>
        <w:pStyle w:val="35"/>
        <w:spacing w:line="360" w:lineRule="auto"/>
        <w:rPr>
          <w:rFonts w:hint="eastAsia" w:ascii="宋体" w:hAnsi="宋体" w:eastAsia="宋体" w:cs="宋体"/>
          <w:color w:val="auto"/>
          <w:highlight w:val="none"/>
        </w:rPr>
      </w:pPr>
      <w:bookmarkStart w:id="1542" w:name="OLE_LINK6"/>
      <w:bookmarkStart w:id="1543" w:name="OLE_LINK7"/>
      <w:bookmarkStart w:id="1544" w:name="OLE_LINK5"/>
      <w:r>
        <w:rPr>
          <w:rFonts w:hint="eastAsia" w:ascii="宋体" w:hAnsi="宋体" w:eastAsia="宋体" w:cs="宋体"/>
          <w:color w:val="auto"/>
          <w:highlight w:val="none"/>
        </w:rPr>
        <w:t>五、投标人情况介绍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52FCC8A6">
      <w:pPr>
        <w:pStyle w:val="35"/>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六、投标人类似业绩的证明文件（如有要求）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1542"/>
      <w:bookmarkEnd w:id="1543"/>
    </w:p>
    <w:p w14:paraId="611F1E9B">
      <w:pPr>
        <w:pStyle w:val="35"/>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七、其他商务文件或说明</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544"/>
    <w:p w14:paraId="290115C9">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注：以上目录是基本格式要求，各投标人可根据自身情况进一步向下增加内容或细化。</w:t>
      </w:r>
    </w:p>
    <w:p w14:paraId="7ED0F2E7">
      <w:pPr>
        <w:widowControl/>
        <w:spacing w:line="360" w:lineRule="auto"/>
        <w:jc w:val="left"/>
        <w:rPr>
          <w:rFonts w:hint="eastAsia" w:ascii="宋体" w:hAnsi="宋体" w:eastAsia="宋体" w:cs="宋体"/>
          <w:color w:val="auto"/>
          <w:highlight w:val="none"/>
        </w:rPr>
        <w:sectPr>
          <w:pgSz w:w="11906" w:h="16838"/>
          <w:pgMar w:top="1134" w:right="1134" w:bottom="1134" w:left="1134" w:header="720" w:footer="720" w:gutter="0"/>
          <w:cols w:space="720" w:num="1"/>
          <w:docGrid w:type="lines" w:linePitch="331" w:charSpace="0"/>
        </w:sectPr>
      </w:pPr>
    </w:p>
    <w:p w14:paraId="1764FFAC">
      <w:pPr>
        <w:snapToGrid w:val="0"/>
        <w:spacing w:before="120" w:beforeLines="50" w:after="50"/>
        <w:ind w:left="42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一、无串标行为承诺函</w:t>
      </w:r>
    </w:p>
    <w:p w14:paraId="6409CEC2">
      <w:pPr>
        <w:snapToGrid w:val="0"/>
        <w:spacing w:before="120" w:beforeLines="50" w:after="50"/>
        <w:ind w:left="42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投标人参加本项目无围标串标行为的承诺函</w:t>
      </w:r>
    </w:p>
    <w:p w14:paraId="1F46A8D6">
      <w:pPr>
        <w:snapToGrid w:val="0"/>
        <w:spacing w:before="120" w:beforeLines="50" w:after="50"/>
        <w:rPr>
          <w:rFonts w:hint="eastAsia" w:ascii="宋体" w:hAnsi="宋体" w:eastAsia="宋体" w:cs="宋体"/>
          <w:b/>
          <w:color w:val="auto"/>
          <w:szCs w:val="21"/>
          <w:highlight w:val="none"/>
        </w:rPr>
      </w:pPr>
    </w:p>
    <w:p w14:paraId="0EE26DC2">
      <w:pPr>
        <w:snapToGrid w:val="0"/>
        <w:spacing w:before="120" w:beforeLines="50" w:after="50"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一、我方承诺无下列相互串通投标的情形：</w:t>
      </w:r>
    </w:p>
    <w:p w14:paraId="20AF1412">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1.不同投标人的投标文件由同一单位或者个人编制；或者不同投标人报名的IP地址一致的；或者编制标书硬件设备CPU编号、硬盘编号、网卡地址一致的情况。</w:t>
      </w:r>
    </w:p>
    <w:p w14:paraId="07434588">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2.不同投标人委托同一单位或者个人办理投标事宜；</w:t>
      </w:r>
    </w:p>
    <w:p w14:paraId="44F09094">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3.不同的投标人的投标文件载明的项目管理员为同一个人；</w:t>
      </w:r>
    </w:p>
    <w:p w14:paraId="2626D012">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4.不同投标人的投标文件异常一致或者投标报价呈规律性差异；</w:t>
      </w:r>
    </w:p>
    <w:p w14:paraId="4A2427FA">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5.不同投标人的投标文件相互混装；</w:t>
      </w:r>
    </w:p>
    <w:p w14:paraId="268B8F12">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6.不同投标人的投标保证金从同一单位或者个人账户转出。</w:t>
      </w:r>
    </w:p>
    <w:p w14:paraId="527B6B71">
      <w:pPr>
        <w:snapToGrid w:val="0"/>
        <w:spacing w:before="120" w:beforeLines="50" w:after="50" w:line="360" w:lineRule="auto"/>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二、我方承诺无下列恶意串通的情形：</w:t>
      </w:r>
    </w:p>
    <w:p w14:paraId="08EE5D99">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1.投标人直接或者间接从采购人或者采购代理机构处获得其他投标人的相关信息并修改其投标文件或者投标文件；</w:t>
      </w:r>
    </w:p>
    <w:p w14:paraId="58946ECD">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2.投标人按照采购人或者采购代理机构的授意撤换、修改投标文件或者投标文件；</w:t>
      </w:r>
    </w:p>
    <w:p w14:paraId="2758B9E1">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3.投标人之间协商报价、技术方案等投标文件或者投标文件的实质性内容；</w:t>
      </w:r>
    </w:p>
    <w:p w14:paraId="67A3A66C">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4.属于同一集团、协会、商会等组织成员的投标人按照该组织要求协同参加政府采购活动；</w:t>
      </w:r>
    </w:p>
    <w:p w14:paraId="3F469CBA">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7A69BFF7">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6.投标人之间商定部分投标人放弃参加政府采购活动或者放弃中标；</w:t>
      </w:r>
    </w:p>
    <w:p w14:paraId="111C97D9">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7.投标人与采购人或者采购代理机构之间、投标人相互之间，为谋求特定投标人中标或者排斥其他投标人的其他串通行为。</w:t>
      </w:r>
    </w:p>
    <w:p w14:paraId="1D64BDBA">
      <w:pPr>
        <w:snapToGrid w:val="0"/>
        <w:spacing w:before="120" w:beforeLines="50" w:after="50"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以上情形一经核查属实，我方愿意承担一切后果，接受政府采购监管部门对我方认定存在围标串标行为，并不再寻求任何旨在减轻或者免除法律责任的辩解。</w:t>
      </w:r>
    </w:p>
    <w:p w14:paraId="3EBF7131">
      <w:pPr>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投标人名称（电子签章）：</w:t>
      </w:r>
    </w:p>
    <w:p w14:paraId="2ADFEE5C">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40136BCE">
      <w:pPr>
        <w:pStyle w:val="11"/>
        <w:snapToGrid w:val="0"/>
        <w:spacing w:before="295" w:after="295"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bCs/>
          <w:color w:val="auto"/>
          <w:sz w:val="30"/>
          <w:szCs w:val="30"/>
          <w:highlight w:val="none"/>
        </w:rPr>
        <w:t>二、法定代表人身份证明</w:t>
      </w:r>
    </w:p>
    <w:p w14:paraId="7CBF5156">
      <w:pPr>
        <w:spacing w:before="240" w:beforeLines="100" w:after="120" w:afterLines="50"/>
        <w:ind w:left="540"/>
        <w:jc w:val="center"/>
        <w:rPr>
          <w:rFonts w:hint="eastAsia" w:ascii="宋体" w:hAnsi="宋体" w:eastAsia="宋体" w:cs="宋体"/>
          <w:b/>
          <w:color w:val="auto"/>
          <w:sz w:val="32"/>
          <w:szCs w:val="32"/>
          <w:highlight w:val="none"/>
        </w:rPr>
      </w:pPr>
    </w:p>
    <w:p w14:paraId="433D4598">
      <w:pPr>
        <w:spacing w:before="240" w:beforeLines="100" w:after="120" w:afterLines="50"/>
        <w:ind w:left="540"/>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法定代表人身份证明</w:t>
      </w:r>
    </w:p>
    <w:p w14:paraId="13FBD020">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投 标 人：</w:t>
      </w:r>
      <w:r>
        <w:rPr>
          <w:rFonts w:hint="eastAsia" w:ascii="宋体" w:hAnsi="宋体" w:eastAsia="宋体" w:cs="宋体"/>
          <w:color w:val="auto"/>
          <w:sz w:val="24"/>
          <w:highlight w:val="none"/>
          <w:u w:val="single"/>
        </w:rPr>
        <w:t xml:space="preserve">                                                        </w:t>
      </w:r>
    </w:p>
    <w:p w14:paraId="3BBD7E11">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48B75113">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7EA3E22C">
      <w:pPr>
        <w:spacing w:line="500" w:lineRule="exact"/>
        <w:ind w:left="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3EE232A0">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376535B8">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（投标人名称）              </w:t>
      </w:r>
      <w:r>
        <w:rPr>
          <w:rFonts w:hint="eastAsia" w:ascii="宋体" w:hAnsi="宋体" w:eastAsia="宋体" w:cs="宋体"/>
          <w:color w:val="auto"/>
          <w:sz w:val="24"/>
          <w:highlight w:val="none"/>
        </w:rPr>
        <w:t>的法定代表人。</w:t>
      </w:r>
    </w:p>
    <w:p w14:paraId="33C49576">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62650EA7">
      <w:pPr>
        <w:spacing w:line="500" w:lineRule="exact"/>
        <w:ind w:left="540"/>
        <w:rPr>
          <w:rFonts w:hint="eastAsia" w:ascii="宋体" w:hAnsi="宋体" w:eastAsia="宋体" w:cs="宋体"/>
          <w:color w:val="auto"/>
          <w:sz w:val="24"/>
          <w:highlight w:val="none"/>
        </w:rPr>
      </w:pPr>
    </w:p>
    <w:p w14:paraId="36EF7FD3">
      <w:pPr>
        <w:spacing w:line="500" w:lineRule="exact"/>
        <w:ind w:left="540"/>
        <w:rPr>
          <w:rFonts w:hint="eastAsia" w:ascii="宋体" w:hAnsi="宋体" w:eastAsia="宋体" w:cs="宋体"/>
          <w:color w:val="auto"/>
          <w:sz w:val="24"/>
          <w:highlight w:val="none"/>
        </w:rPr>
      </w:pPr>
    </w:p>
    <w:p w14:paraId="693795CB">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342C2F5A">
      <w:pPr>
        <w:spacing w:line="500" w:lineRule="exact"/>
        <w:ind w:left="540"/>
        <w:rPr>
          <w:rFonts w:hint="eastAsia" w:ascii="宋体" w:hAnsi="宋体" w:eastAsia="宋体" w:cs="宋体"/>
          <w:color w:val="auto"/>
          <w:sz w:val="24"/>
          <w:highlight w:val="none"/>
        </w:rPr>
      </w:pPr>
    </w:p>
    <w:p w14:paraId="3B93FCCE">
      <w:pPr>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投标人名称（电子签章）：</w:t>
      </w:r>
    </w:p>
    <w:p w14:paraId="16FA4269">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43190116">
      <w:pPr>
        <w:snapToGrid w:val="0"/>
        <w:spacing w:before="120" w:beforeLines="50" w:after="50"/>
        <w:jc w:val="center"/>
        <w:rPr>
          <w:rFonts w:hint="eastAsia" w:ascii="宋体" w:hAnsi="宋体" w:eastAsia="宋体" w:cs="宋体"/>
          <w:b/>
          <w:color w:val="auto"/>
          <w:sz w:val="24"/>
          <w:highlight w:val="none"/>
        </w:rPr>
      </w:pPr>
    </w:p>
    <w:p w14:paraId="755EF492">
      <w:pPr>
        <w:snapToGrid w:val="0"/>
        <w:spacing w:before="120" w:beforeLines="50" w:after="50"/>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注：自然人投标的无需提供</w:t>
      </w:r>
    </w:p>
    <w:p w14:paraId="0A05C5B3">
      <w:pPr>
        <w:snapToGrid w:val="0"/>
        <w:spacing w:before="120" w:beforeLines="50" w:after="50"/>
        <w:ind w:firstLine="600" w:firstLineChars="250"/>
        <w:jc w:val="left"/>
        <w:rPr>
          <w:rFonts w:hint="eastAsia" w:ascii="宋体" w:hAnsi="宋体" w:eastAsia="宋体" w:cs="宋体"/>
          <w:color w:val="auto"/>
          <w:sz w:val="24"/>
          <w:highlight w:val="none"/>
        </w:rPr>
      </w:pPr>
    </w:p>
    <w:p w14:paraId="063DE0D0">
      <w:pPr>
        <w:snapToGrid w:val="0"/>
        <w:spacing w:before="120" w:beforeLines="50" w:after="50"/>
        <w:ind w:firstLine="602" w:firstLineChars="250"/>
        <w:jc w:val="left"/>
        <w:rPr>
          <w:rFonts w:hint="eastAsia" w:ascii="宋体" w:hAnsi="宋体" w:eastAsia="宋体" w:cs="宋体"/>
          <w:b/>
          <w:color w:val="auto"/>
          <w:sz w:val="24"/>
          <w:szCs w:val="20"/>
          <w:highlight w:val="none"/>
        </w:rPr>
      </w:pPr>
    </w:p>
    <w:tbl>
      <w:tblPr>
        <w:tblStyle w:val="20"/>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5540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vAlign w:val="top"/>
          </w:tcPr>
          <w:p w14:paraId="024E608B">
            <w:pPr>
              <w:spacing w:line="360" w:lineRule="auto"/>
              <w:rPr>
                <w:rFonts w:hint="eastAsia" w:ascii="宋体" w:hAnsi="宋体" w:eastAsia="宋体" w:cs="宋体"/>
                <w:b/>
                <w:color w:val="auto"/>
                <w:sz w:val="24"/>
                <w:highlight w:val="none"/>
              </w:rPr>
            </w:pPr>
          </w:p>
          <w:p w14:paraId="47BFFC5D">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法定代表身份证复印件粘帖处（正、反面）</w:t>
            </w:r>
          </w:p>
        </w:tc>
      </w:tr>
    </w:tbl>
    <w:p w14:paraId="68E4723A">
      <w:pPr>
        <w:pStyle w:val="11"/>
        <w:snapToGrid w:val="0"/>
        <w:spacing w:before="295" w:after="295"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rPr>
        <w:br w:type="page"/>
      </w:r>
      <w:r>
        <w:rPr>
          <w:rFonts w:hint="eastAsia" w:ascii="宋体" w:hAnsi="宋体" w:eastAsia="宋体" w:cs="宋体"/>
          <w:b/>
          <w:bCs/>
          <w:color w:val="auto"/>
          <w:sz w:val="30"/>
          <w:szCs w:val="30"/>
          <w:highlight w:val="none"/>
        </w:rPr>
        <w:t>三、法定代表人授权委托书（如有委托时）</w:t>
      </w:r>
    </w:p>
    <w:p w14:paraId="74C61A51">
      <w:pPr>
        <w:snapToGrid w:val="0"/>
        <w:spacing w:before="120" w:beforeLines="50" w:after="5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法定代表人授权委托书</w:t>
      </w:r>
    </w:p>
    <w:p w14:paraId="1C9C0FC3">
      <w:pPr>
        <w:snapToGrid w:val="0"/>
        <w:spacing w:before="120" w:beforeLines="50" w:after="50"/>
        <w:jc w:val="center"/>
        <w:rPr>
          <w:rFonts w:hint="eastAsia" w:ascii="宋体" w:hAnsi="宋体" w:eastAsia="宋体" w:cs="宋体"/>
          <w:b/>
          <w:color w:val="auto"/>
          <w:sz w:val="24"/>
          <w:highlight w:val="none"/>
        </w:rPr>
      </w:pPr>
    </w:p>
    <w:p w14:paraId="2572B637">
      <w:pPr>
        <w:pStyle w:val="11"/>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3A221FAF">
      <w:pPr>
        <w:pStyle w:val="11"/>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（姓名）系</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（投标人名称）的法定代表人，现授权我单位在职正式员工</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（姓名和职务）为我方代理人。代理人根据授权，以我方名义签署、澄清、说明、补正、递交、撤回、修改贵方组织的</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项目（项目编号：</w:t>
      </w:r>
      <w:r>
        <w:rPr>
          <w:rFonts w:hint="eastAsia" w:hAnsi="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）的投标文件、签订合同和处理一切有关事宜，其法律后果由我方承担。</w:t>
      </w:r>
    </w:p>
    <w:p w14:paraId="19815946">
      <w:pPr>
        <w:pStyle w:val="11"/>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本授权书于</w:t>
      </w:r>
      <w:r>
        <w:rPr>
          <w:rFonts w:hint="eastAsia" w:ascii="宋体" w:hAnsi="宋体" w:eastAsia="宋体" w:cs="宋体"/>
          <w:color w:val="auto"/>
          <w:spacing w:val="10"/>
          <w:sz w:val="24"/>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spacing w:val="10"/>
          <w:sz w:val="24"/>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spacing w:val="10"/>
          <w:sz w:val="24"/>
          <w:highlight w:val="none"/>
          <w:u w:val="single"/>
        </w:rPr>
        <w:t xml:space="preserve">    </w:t>
      </w:r>
      <w:r>
        <w:rPr>
          <w:rFonts w:hint="eastAsia" w:ascii="宋体" w:hAnsi="宋体" w:eastAsia="宋体" w:cs="宋体"/>
          <w:color w:val="auto"/>
          <w:highlight w:val="none"/>
        </w:rPr>
        <w:t>日签字生效，委托期限：</w:t>
      </w:r>
      <w:r>
        <w:rPr>
          <w:rFonts w:hint="eastAsia" w:ascii="宋体" w:hAnsi="宋体" w:eastAsia="宋体" w:cs="宋体"/>
          <w:color w:val="auto"/>
          <w:spacing w:val="10"/>
          <w:sz w:val="24"/>
          <w:highlight w:val="none"/>
          <w:u w:val="single"/>
        </w:rPr>
        <w:t xml:space="preserve">    </w:t>
      </w:r>
      <w:r>
        <w:rPr>
          <w:rFonts w:hint="eastAsia" w:ascii="宋体" w:hAnsi="宋体" w:eastAsia="宋体" w:cs="宋体"/>
          <w:color w:val="auto"/>
          <w:highlight w:val="none"/>
        </w:rPr>
        <w:t>。</w:t>
      </w:r>
    </w:p>
    <w:p w14:paraId="0F15F2DC">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代理人无转委托权。</w:t>
      </w:r>
    </w:p>
    <w:p w14:paraId="7E623B51">
      <w:pPr>
        <w:pStyle w:val="11"/>
        <w:spacing w:line="360" w:lineRule="auto"/>
        <w:ind w:firstLine="420"/>
        <w:rPr>
          <w:rFonts w:hint="eastAsia" w:ascii="宋体" w:hAnsi="宋体" w:eastAsia="宋体" w:cs="宋体"/>
          <w:color w:val="auto"/>
          <w:highlight w:val="none"/>
        </w:rPr>
      </w:pPr>
    </w:p>
    <w:p w14:paraId="2D7290D1">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投标人（或联合体投标</w:t>
      </w:r>
      <w:r>
        <w:rPr>
          <w:rFonts w:hint="eastAsia" w:ascii="宋体" w:hAnsi="宋体" w:eastAsia="宋体" w:cs="宋体"/>
          <w:color w:val="auto"/>
          <w:kern w:val="0"/>
          <w:szCs w:val="21"/>
          <w:highlight w:val="none"/>
        </w:rPr>
        <w:t>牵头人名称</w:t>
      </w:r>
      <w:r>
        <w:rPr>
          <w:rFonts w:hint="eastAsia" w:ascii="宋体" w:hAnsi="宋体" w:eastAsia="宋体" w:cs="宋体"/>
          <w:color w:val="auto"/>
          <w:highlight w:val="none"/>
        </w:rPr>
        <w:t>）（盖单位公章）：</w:t>
      </w:r>
      <w:r>
        <w:rPr>
          <w:rFonts w:hint="eastAsia" w:ascii="宋体" w:hAnsi="宋体" w:eastAsia="宋体" w:cs="宋体"/>
          <w:color w:val="auto"/>
          <w:highlight w:val="none"/>
          <w:u w:val="single"/>
        </w:rPr>
        <w:t xml:space="preserve">                                    </w:t>
      </w:r>
    </w:p>
    <w:p w14:paraId="7A7DFFED">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法定代表人（签字）：</w:t>
      </w:r>
      <w:r>
        <w:rPr>
          <w:rFonts w:hint="eastAsia" w:ascii="宋体" w:hAnsi="宋体" w:eastAsia="宋体" w:cs="宋体"/>
          <w:color w:val="auto"/>
          <w:highlight w:val="none"/>
          <w:u w:val="single"/>
        </w:rPr>
        <w:t xml:space="preserve">                                </w:t>
      </w:r>
    </w:p>
    <w:p w14:paraId="2B44B848">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法定代表人身份证号码：</w:t>
      </w:r>
      <w:r>
        <w:rPr>
          <w:rFonts w:hint="eastAsia" w:ascii="宋体" w:hAnsi="宋体" w:eastAsia="宋体" w:cs="宋体"/>
          <w:color w:val="auto"/>
          <w:highlight w:val="none"/>
          <w:u w:val="single"/>
        </w:rPr>
        <w:t xml:space="preserve">                                   </w:t>
      </w:r>
    </w:p>
    <w:p w14:paraId="2C509284">
      <w:pPr>
        <w:pStyle w:val="11"/>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委托代理人（签字）：</w:t>
      </w:r>
      <w:r>
        <w:rPr>
          <w:rFonts w:hint="eastAsia" w:ascii="宋体" w:hAnsi="宋体" w:eastAsia="宋体" w:cs="宋体"/>
          <w:color w:val="auto"/>
          <w:highlight w:val="none"/>
          <w:u w:val="single"/>
        </w:rPr>
        <w:t xml:space="preserve">                                </w:t>
      </w:r>
    </w:p>
    <w:p w14:paraId="7945EC0A">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委托代理人身份证号码：</w:t>
      </w:r>
      <w:r>
        <w:rPr>
          <w:rFonts w:hint="eastAsia" w:ascii="宋体" w:hAnsi="宋体" w:eastAsia="宋体" w:cs="宋体"/>
          <w:color w:val="auto"/>
          <w:highlight w:val="none"/>
          <w:u w:val="single"/>
        </w:rPr>
        <w:t xml:space="preserve">                                   </w:t>
      </w:r>
    </w:p>
    <w:p w14:paraId="03DC1087">
      <w:pPr>
        <w:pStyle w:val="11"/>
        <w:spacing w:line="360" w:lineRule="auto"/>
        <w:ind w:firstLine="420"/>
        <w:rPr>
          <w:rFonts w:hint="eastAsia" w:ascii="宋体" w:hAnsi="宋体" w:eastAsia="宋体" w:cs="宋体"/>
          <w:color w:val="auto"/>
          <w:highlight w:val="none"/>
          <w:u w:val="single"/>
        </w:rPr>
      </w:pPr>
    </w:p>
    <w:p w14:paraId="3F1B6AB7">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kern w:val="0"/>
          <w:szCs w:val="21"/>
          <w:highlight w:val="none"/>
        </w:rPr>
        <w:t>成员一名称：</w:t>
      </w:r>
      <w:r>
        <w:rPr>
          <w:rFonts w:hint="eastAsia" w:ascii="宋体" w:hAnsi="宋体" w:eastAsia="宋体" w:cs="宋体"/>
          <w:color w:val="auto"/>
          <w:highlight w:val="none"/>
        </w:rPr>
        <w:t>（盖单位公章）：</w:t>
      </w:r>
      <w:r>
        <w:rPr>
          <w:rFonts w:hint="eastAsia" w:ascii="宋体" w:hAnsi="宋体" w:eastAsia="宋体" w:cs="宋体"/>
          <w:color w:val="auto"/>
          <w:highlight w:val="none"/>
          <w:u w:val="single"/>
        </w:rPr>
        <w:t xml:space="preserve">                                    </w:t>
      </w:r>
    </w:p>
    <w:p w14:paraId="40A55152">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法定代表人（签字）：</w:t>
      </w:r>
      <w:r>
        <w:rPr>
          <w:rFonts w:hint="eastAsia" w:ascii="宋体" w:hAnsi="宋体" w:eastAsia="宋体" w:cs="宋体"/>
          <w:color w:val="auto"/>
          <w:highlight w:val="none"/>
          <w:u w:val="single"/>
        </w:rPr>
        <w:t xml:space="preserve">                                </w:t>
      </w:r>
    </w:p>
    <w:p w14:paraId="08300D00">
      <w:pPr>
        <w:pStyle w:val="11"/>
        <w:spacing w:line="360" w:lineRule="auto"/>
        <w:ind w:firstLine="420"/>
        <w:rPr>
          <w:rFonts w:hint="eastAsia" w:ascii="宋体" w:hAnsi="宋体" w:eastAsia="宋体" w:cs="宋体"/>
          <w:color w:val="auto"/>
          <w:highlight w:val="none"/>
          <w:u w:val="single"/>
        </w:rPr>
      </w:pPr>
    </w:p>
    <w:p w14:paraId="46D69061">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成员二名称：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（盖单位公章）</w:t>
      </w:r>
    </w:p>
    <w:p w14:paraId="2BF9A836">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法定代表人或其委托代理人：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（签字）</w:t>
      </w:r>
    </w:p>
    <w:p w14:paraId="3542AFDA">
      <w:pPr>
        <w:pStyle w:val="11"/>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p>
    <w:p w14:paraId="75F9FFF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3CCD445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1.法定代表人和委托代理人必须在授权委托书上亲笔签名，不得使用印章、签名章或者其他电子制版签名代替，</w:t>
      </w:r>
      <w:r>
        <w:rPr>
          <w:rFonts w:hint="eastAsia" w:ascii="宋体" w:hAnsi="宋体" w:eastAsia="宋体" w:cs="宋体"/>
          <w:b/>
          <w:bCs/>
          <w:color w:val="auto"/>
          <w:szCs w:val="21"/>
          <w:highlight w:val="none"/>
        </w:rPr>
        <w:t>否则作无效投标处理</w:t>
      </w:r>
      <w:r>
        <w:rPr>
          <w:rFonts w:hint="eastAsia" w:ascii="宋体" w:hAnsi="宋体" w:eastAsia="宋体" w:cs="宋体"/>
          <w:color w:val="auto"/>
          <w:szCs w:val="21"/>
          <w:highlight w:val="none"/>
        </w:rPr>
        <w:t>；</w:t>
      </w:r>
    </w:p>
    <w:p w14:paraId="185E3EA3">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2.以联合体形式投标的，本授权委托书应由联合体牵头人的法定代表人按上述规定签署。</w:t>
      </w:r>
    </w:p>
    <w:p w14:paraId="4DEFC814">
      <w:pPr>
        <w:snapToGrid w:val="0"/>
        <w:spacing w:before="50" w:after="120" w:afterLines="5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100A363C">
      <w:pPr>
        <w:snapToGrid w:val="0"/>
        <w:spacing w:before="50" w:after="120" w:afterLines="5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 若为联合体投标须各方签字或盖章。</w:t>
      </w:r>
    </w:p>
    <w:p w14:paraId="1B86C4CB">
      <w:pPr>
        <w:spacing w:line="360" w:lineRule="auto"/>
        <w:rPr>
          <w:rFonts w:hint="eastAsia" w:ascii="宋体" w:hAnsi="宋体" w:eastAsia="宋体" w:cs="宋体"/>
          <w:b/>
          <w:color w:val="auto"/>
          <w:sz w:val="24"/>
          <w:highlight w:val="none"/>
        </w:rPr>
      </w:pPr>
    </w:p>
    <w:p w14:paraId="1B5AAC9C">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p>
    <w:tbl>
      <w:tblPr>
        <w:tblStyle w:val="20"/>
        <w:tblpPr w:leftFromText="180" w:rightFromText="180" w:vertAnchor="text" w:horzAnchor="margin" w:tblpY="263"/>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32605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90" w:type="dxa"/>
            <w:tcBorders>
              <w:top w:val="single" w:color="auto" w:sz="4" w:space="0"/>
              <w:left w:val="single" w:color="auto" w:sz="4" w:space="0"/>
              <w:bottom w:val="single" w:color="auto" w:sz="4" w:space="0"/>
              <w:right w:val="single" w:color="auto" w:sz="4" w:space="0"/>
            </w:tcBorders>
            <w:vAlign w:val="top"/>
          </w:tcPr>
          <w:p w14:paraId="77DD7047">
            <w:pPr>
              <w:spacing w:line="360" w:lineRule="auto"/>
              <w:rPr>
                <w:rFonts w:hint="eastAsia" w:ascii="宋体" w:hAnsi="宋体" w:eastAsia="宋体" w:cs="宋体"/>
                <w:b/>
                <w:color w:val="auto"/>
                <w:sz w:val="24"/>
                <w:highlight w:val="none"/>
              </w:rPr>
            </w:pPr>
          </w:p>
          <w:p w14:paraId="5D7FE509">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全权代表身份证复印件粘帖处（正、反面）</w:t>
            </w:r>
          </w:p>
        </w:tc>
      </w:tr>
    </w:tbl>
    <w:p w14:paraId="2DE63DBF">
      <w:pPr>
        <w:snapToGrid w:val="0"/>
        <w:spacing w:before="50" w:after="120" w:afterLines="50" w:line="360" w:lineRule="auto"/>
        <w:jc w:val="left"/>
        <w:rPr>
          <w:rFonts w:hint="eastAsia" w:ascii="宋体" w:hAnsi="宋体" w:eastAsia="宋体" w:cs="宋体"/>
          <w:color w:val="auto"/>
          <w:szCs w:val="21"/>
          <w:highlight w:val="none"/>
        </w:rPr>
      </w:pPr>
    </w:p>
    <w:p w14:paraId="1404AC32">
      <w:pPr>
        <w:snapToGrid w:val="0"/>
        <w:spacing w:before="120" w:beforeLines="50" w:after="50"/>
        <w:ind w:firstLine="566" w:firstLineChars="236"/>
        <w:jc w:val="center"/>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rPr>
        <w:br w:type="page"/>
      </w:r>
    </w:p>
    <w:p w14:paraId="6ABCCC32">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四、商务条款偏离表</w:t>
      </w:r>
    </w:p>
    <w:p w14:paraId="4B2676B0">
      <w:pPr>
        <w:jc w:val="center"/>
        <w:rPr>
          <w:rFonts w:hint="eastAsia" w:ascii="宋体" w:hAnsi="宋体" w:eastAsia="宋体" w:cs="宋体"/>
          <w:b/>
          <w:color w:val="auto"/>
          <w:sz w:val="24"/>
          <w:szCs w:val="20"/>
          <w:highlight w:val="none"/>
          <w:lang w:eastAsia="zh-CN"/>
        </w:rPr>
      </w:pPr>
      <w:r>
        <w:rPr>
          <w:rFonts w:hint="eastAsia" w:ascii="宋体" w:hAnsi="宋体" w:eastAsia="宋体" w:cs="宋体"/>
          <w:color w:val="auto"/>
          <w:sz w:val="30"/>
          <w:szCs w:val="20"/>
          <w:highlight w:val="none"/>
          <w:lang w:eastAsia="zh-CN"/>
        </w:rPr>
        <w:t>（</w:t>
      </w:r>
      <w:r>
        <w:rPr>
          <w:rFonts w:hint="eastAsia" w:ascii="宋体" w:hAnsi="宋体" w:eastAsia="宋体" w:cs="宋体"/>
          <w:color w:val="auto"/>
          <w:sz w:val="30"/>
          <w:szCs w:val="20"/>
          <w:highlight w:val="none"/>
        </w:rPr>
        <w:t>注：按项目需求表具体项目修改</w:t>
      </w:r>
      <w:r>
        <w:rPr>
          <w:rFonts w:hint="eastAsia" w:ascii="宋体" w:hAnsi="宋体" w:eastAsia="宋体" w:cs="宋体"/>
          <w:color w:val="auto"/>
          <w:sz w:val="30"/>
          <w:szCs w:val="20"/>
          <w:highlight w:val="none"/>
          <w:lang w:eastAsia="zh-CN"/>
        </w:rPr>
        <w:t>）</w:t>
      </w:r>
    </w:p>
    <w:p w14:paraId="079AC7B9">
      <w:pPr>
        <w:snapToGrid w:val="0"/>
        <w:spacing w:before="50"/>
        <w:jc w:val="left"/>
        <w:rPr>
          <w:rFonts w:hint="eastAsia" w:ascii="宋体" w:hAnsi="宋体" w:eastAsia="宋体" w:cs="宋体"/>
          <w:color w:val="auto"/>
          <w:sz w:val="24"/>
          <w:highlight w:val="none"/>
        </w:rPr>
      </w:pPr>
    </w:p>
    <w:p w14:paraId="672F6CAA">
      <w:pPr>
        <w:pStyle w:val="11"/>
        <w:spacing w:line="360" w:lineRule="auto"/>
        <w:ind w:left="-424" w:leftChars="-202" w:firstLine="846"/>
        <w:rPr>
          <w:rFonts w:hint="eastAsia" w:ascii="宋体" w:hAnsi="宋体" w:eastAsia="宋体" w:cs="宋体"/>
          <w:color w:val="auto"/>
          <w:sz w:val="24"/>
          <w:szCs w:val="24"/>
          <w:highlight w:val="none"/>
        </w:rPr>
      </w:pPr>
      <w:r>
        <w:rPr>
          <w:rFonts w:hint="eastAsia" w:ascii="宋体" w:hAnsi="宋体" w:eastAsia="宋体" w:cs="宋体"/>
          <w:color w:val="auto"/>
          <w:highlight w:val="none"/>
        </w:rPr>
        <w:t>请逐条对应本项目招标文件第二章“</w:t>
      </w:r>
      <w:r>
        <w:rPr>
          <w:rFonts w:hint="eastAsia" w:hAnsi="宋体" w:cs="宋体"/>
          <w:color w:val="auto"/>
          <w:highlight w:val="none"/>
          <w:lang w:eastAsia="zh-CN"/>
        </w:rPr>
        <w:t>技术需求一览表</w:t>
      </w:r>
      <w:r>
        <w:rPr>
          <w:rFonts w:hint="eastAsia" w:ascii="宋体" w:hAnsi="宋体" w:eastAsia="宋体" w:cs="宋体"/>
          <w:color w:val="auto"/>
          <w:highlight w:val="none"/>
        </w:rPr>
        <w:t>”中“商务条款”的要求，详细填写相应的具体内容。“偏离说明”一栏应当选择“正偏离”、“负偏离”或“无偏离”进行填写。</w:t>
      </w:r>
    </w:p>
    <w:tbl>
      <w:tblPr>
        <w:tblStyle w:val="20"/>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516"/>
      </w:tblGrid>
      <w:tr w14:paraId="226C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vAlign w:val="top"/>
          </w:tcPr>
          <w:p w14:paraId="36FCE10D">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757" w:type="dxa"/>
            <w:tcBorders>
              <w:top w:val="single" w:color="auto" w:sz="4" w:space="0"/>
              <w:left w:val="single" w:color="auto" w:sz="4" w:space="0"/>
              <w:bottom w:val="single" w:color="auto" w:sz="4" w:space="0"/>
              <w:right w:val="single" w:color="auto" w:sz="4" w:space="0"/>
            </w:tcBorders>
            <w:vAlign w:val="top"/>
          </w:tcPr>
          <w:p w14:paraId="070947EA">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招标文件的商务需求</w:t>
            </w:r>
          </w:p>
        </w:tc>
        <w:tc>
          <w:tcPr>
            <w:tcW w:w="2516" w:type="dxa"/>
            <w:tcBorders>
              <w:top w:val="single" w:color="auto" w:sz="4" w:space="0"/>
              <w:left w:val="single" w:color="auto" w:sz="4" w:space="0"/>
              <w:right w:val="single" w:color="auto" w:sz="4" w:space="0"/>
            </w:tcBorders>
            <w:vAlign w:val="top"/>
          </w:tcPr>
          <w:p w14:paraId="4FBC4D22">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投标文件承诺的商务条款</w:t>
            </w:r>
          </w:p>
        </w:tc>
        <w:tc>
          <w:tcPr>
            <w:tcW w:w="2516" w:type="dxa"/>
            <w:tcBorders>
              <w:top w:val="single" w:color="auto" w:sz="4" w:space="0"/>
              <w:left w:val="single" w:color="auto" w:sz="4" w:space="0"/>
              <w:right w:val="single" w:color="auto" w:sz="4" w:space="0"/>
            </w:tcBorders>
            <w:vAlign w:val="top"/>
          </w:tcPr>
          <w:p w14:paraId="1C078D2B">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0E545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vAlign w:val="top"/>
          </w:tcPr>
          <w:p w14:paraId="3B1E75F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757" w:type="dxa"/>
            <w:tcBorders>
              <w:top w:val="single" w:color="auto" w:sz="4" w:space="0"/>
              <w:left w:val="single" w:color="auto" w:sz="4" w:space="0"/>
              <w:bottom w:val="single" w:color="auto" w:sz="4" w:space="0"/>
              <w:right w:val="single" w:color="auto" w:sz="4" w:space="0"/>
            </w:tcBorders>
            <w:vAlign w:val="top"/>
          </w:tcPr>
          <w:p w14:paraId="1015254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tc>
        <w:tc>
          <w:tcPr>
            <w:tcW w:w="2516" w:type="dxa"/>
            <w:tcBorders>
              <w:top w:val="single" w:color="auto" w:sz="4" w:space="0"/>
              <w:left w:val="single" w:color="auto" w:sz="4" w:space="0"/>
              <w:right w:val="single" w:color="auto" w:sz="4" w:space="0"/>
            </w:tcBorders>
            <w:vAlign w:val="top"/>
          </w:tcPr>
          <w:p w14:paraId="1F23606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tc>
        <w:tc>
          <w:tcPr>
            <w:tcW w:w="2516" w:type="dxa"/>
            <w:tcBorders>
              <w:top w:val="single" w:color="auto" w:sz="4" w:space="0"/>
              <w:left w:val="single" w:color="auto" w:sz="4" w:space="0"/>
              <w:right w:val="single" w:color="auto" w:sz="4" w:space="0"/>
            </w:tcBorders>
            <w:vAlign w:val="top"/>
          </w:tcPr>
          <w:p w14:paraId="40532BEC">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0DFFB421">
            <w:pPr>
              <w:spacing w:line="300" w:lineRule="exact"/>
              <w:rPr>
                <w:rFonts w:hint="eastAsia" w:ascii="宋体" w:hAnsi="宋体" w:eastAsia="宋体" w:cs="宋体"/>
                <w:color w:val="auto"/>
                <w:szCs w:val="21"/>
                <w:highlight w:val="none"/>
              </w:rPr>
            </w:pPr>
          </w:p>
        </w:tc>
      </w:tr>
      <w:tr w14:paraId="0535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vAlign w:val="top"/>
          </w:tcPr>
          <w:p w14:paraId="580EBF5C">
            <w:pPr>
              <w:spacing w:line="340" w:lineRule="exact"/>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14:paraId="24C4125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E1D4438">
            <w:pPr>
              <w:spacing w:line="340" w:lineRule="exact"/>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vAlign w:val="top"/>
          </w:tcPr>
          <w:p w14:paraId="03648CC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A4BD3F5">
            <w:pPr>
              <w:spacing w:line="300" w:lineRule="exact"/>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vAlign w:val="top"/>
          </w:tcPr>
          <w:p w14:paraId="52D07513">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6126AC37">
            <w:pPr>
              <w:spacing w:line="300" w:lineRule="exact"/>
              <w:rPr>
                <w:rFonts w:hint="eastAsia" w:ascii="宋体" w:hAnsi="宋体" w:eastAsia="宋体" w:cs="宋体"/>
                <w:color w:val="auto"/>
                <w:szCs w:val="21"/>
                <w:highlight w:val="none"/>
              </w:rPr>
            </w:pPr>
          </w:p>
        </w:tc>
      </w:tr>
      <w:tr w14:paraId="1BD2E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vAlign w:val="top"/>
          </w:tcPr>
          <w:p w14:paraId="24EC8737">
            <w:pPr>
              <w:spacing w:line="340" w:lineRule="exact"/>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14:paraId="2B5E913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8B363D8">
            <w:pPr>
              <w:spacing w:line="340" w:lineRule="exact"/>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vAlign w:val="top"/>
          </w:tcPr>
          <w:p w14:paraId="5E58493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0C64814">
            <w:pPr>
              <w:spacing w:line="300" w:lineRule="exact"/>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vAlign w:val="top"/>
          </w:tcPr>
          <w:p w14:paraId="18AA541C">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42C04BE2">
            <w:pPr>
              <w:spacing w:line="300" w:lineRule="exact"/>
              <w:rPr>
                <w:rFonts w:hint="eastAsia" w:ascii="宋体" w:hAnsi="宋体" w:eastAsia="宋体" w:cs="宋体"/>
                <w:color w:val="auto"/>
                <w:szCs w:val="21"/>
                <w:highlight w:val="none"/>
              </w:rPr>
            </w:pPr>
          </w:p>
        </w:tc>
      </w:tr>
      <w:tr w14:paraId="2BCE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vAlign w:val="top"/>
          </w:tcPr>
          <w:p w14:paraId="31E7642F">
            <w:pPr>
              <w:spacing w:line="340" w:lineRule="exact"/>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14:paraId="44A9DD6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516" w:type="dxa"/>
            <w:tcBorders>
              <w:left w:val="single" w:color="auto" w:sz="4" w:space="0"/>
              <w:bottom w:val="single" w:color="auto" w:sz="4" w:space="0"/>
              <w:right w:val="single" w:color="auto" w:sz="4" w:space="0"/>
            </w:tcBorders>
            <w:vAlign w:val="top"/>
          </w:tcPr>
          <w:p w14:paraId="2C3DF907">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516" w:type="dxa"/>
            <w:tcBorders>
              <w:left w:val="single" w:color="auto" w:sz="4" w:space="0"/>
              <w:bottom w:val="single" w:color="auto" w:sz="4" w:space="0"/>
              <w:right w:val="single" w:color="auto" w:sz="4" w:space="0"/>
            </w:tcBorders>
            <w:vAlign w:val="top"/>
          </w:tcPr>
          <w:p w14:paraId="2A3FDB60">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38CEA854">
            <w:pPr>
              <w:spacing w:line="300" w:lineRule="exact"/>
              <w:rPr>
                <w:rFonts w:hint="eastAsia" w:ascii="宋体" w:hAnsi="宋体" w:eastAsia="宋体" w:cs="宋体"/>
                <w:color w:val="auto"/>
                <w:szCs w:val="21"/>
                <w:highlight w:val="none"/>
              </w:rPr>
            </w:pPr>
          </w:p>
        </w:tc>
      </w:tr>
      <w:tr w14:paraId="5F3D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vAlign w:val="top"/>
          </w:tcPr>
          <w:p w14:paraId="09CCC60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757" w:type="dxa"/>
            <w:tcBorders>
              <w:top w:val="single" w:color="auto" w:sz="4" w:space="0"/>
              <w:left w:val="single" w:color="auto" w:sz="4" w:space="0"/>
              <w:bottom w:val="single" w:color="auto" w:sz="4" w:space="0"/>
              <w:right w:val="single" w:color="auto" w:sz="4" w:space="0"/>
            </w:tcBorders>
            <w:vAlign w:val="top"/>
          </w:tcPr>
          <w:p w14:paraId="5FDC934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tc>
        <w:tc>
          <w:tcPr>
            <w:tcW w:w="2516" w:type="dxa"/>
            <w:tcBorders>
              <w:top w:val="single" w:color="auto" w:sz="4" w:space="0"/>
              <w:left w:val="single" w:color="auto" w:sz="4" w:space="0"/>
              <w:right w:val="single" w:color="auto" w:sz="4" w:space="0"/>
            </w:tcBorders>
            <w:vAlign w:val="top"/>
          </w:tcPr>
          <w:p w14:paraId="6653A76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tc>
        <w:tc>
          <w:tcPr>
            <w:tcW w:w="2516" w:type="dxa"/>
            <w:tcBorders>
              <w:top w:val="single" w:color="auto" w:sz="4" w:space="0"/>
              <w:left w:val="single" w:color="auto" w:sz="4" w:space="0"/>
              <w:right w:val="single" w:color="auto" w:sz="4" w:space="0"/>
            </w:tcBorders>
            <w:vAlign w:val="top"/>
          </w:tcPr>
          <w:p w14:paraId="365163DD">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7E02FA0C">
            <w:pPr>
              <w:spacing w:line="300" w:lineRule="exact"/>
              <w:rPr>
                <w:rFonts w:hint="eastAsia" w:ascii="宋体" w:hAnsi="宋体" w:eastAsia="宋体" w:cs="宋体"/>
                <w:color w:val="auto"/>
                <w:szCs w:val="21"/>
                <w:highlight w:val="none"/>
              </w:rPr>
            </w:pPr>
          </w:p>
        </w:tc>
      </w:tr>
      <w:tr w14:paraId="6BCA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vAlign w:val="top"/>
          </w:tcPr>
          <w:p w14:paraId="4F7A1EE5">
            <w:pPr>
              <w:spacing w:line="340" w:lineRule="exact"/>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14:paraId="7B6F713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C6FA16C">
            <w:pPr>
              <w:spacing w:line="340" w:lineRule="exact"/>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vAlign w:val="top"/>
          </w:tcPr>
          <w:p w14:paraId="0561A5B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CFFCB91">
            <w:pPr>
              <w:spacing w:line="300" w:lineRule="exact"/>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vAlign w:val="top"/>
          </w:tcPr>
          <w:p w14:paraId="1D60C953">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40ACF595">
            <w:pPr>
              <w:spacing w:line="300" w:lineRule="exact"/>
              <w:rPr>
                <w:rFonts w:hint="eastAsia" w:ascii="宋体" w:hAnsi="宋体" w:eastAsia="宋体" w:cs="宋体"/>
                <w:color w:val="auto"/>
                <w:szCs w:val="21"/>
                <w:highlight w:val="none"/>
              </w:rPr>
            </w:pPr>
          </w:p>
        </w:tc>
      </w:tr>
      <w:tr w14:paraId="2F4E1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vAlign w:val="top"/>
          </w:tcPr>
          <w:p w14:paraId="24C077E5">
            <w:pPr>
              <w:spacing w:line="340" w:lineRule="exact"/>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14:paraId="6B94147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7A03BD4">
            <w:pPr>
              <w:spacing w:line="340" w:lineRule="exact"/>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vAlign w:val="top"/>
          </w:tcPr>
          <w:p w14:paraId="05180AD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B20D2FD">
            <w:pPr>
              <w:spacing w:line="300" w:lineRule="exact"/>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vAlign w:val="top"/>
          </w:tcPr>
          <w:p w14:paraId="72D16512">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37B8DC69">
            <w:pPr>
              <w:spacing w:line="300" w:lineRule="exact"/>
              <w:rPr>
                <w:rFonts w:hint="eastAsia" w:ascii="宋体" w:hAnsi="宋体" w:eastAsia="宋体" w:cs="宋体"/>
                <w:color w:val="auto"/>
                <w:szCs w:val="21"/>
                <w:highlight w:val="none"/>
              </w:rPr>
            </w:pPr>
          </w:p>
        </w:tc>
      </w:tr>
      <w:tr w14:paraId="2A9E2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vAlign w:val="top"/>
          </w:tcPr>
          <w:p w14:paraId="5468C364">
            <w:pPr>
              <w:spacing w:line="340" w:lineRule="exact"/>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14:paraId="1DEB3D5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516" w:type="dxa"/>
            <w:tcBorders>
              <w:left w:val="single" w:color="auto" w:sz="4" w:space="0"/>
              <w:bottom w:val="single" w:color="auto" w:sz="4" w:space="0"/>
              <w:right w:val="single" w:color="auto" w:sz="4" w:space="0"/>
            </w:tcBorders>
            <w:vAlign w:val="top"/>
          </w:tcPr>
          <w:p w14:paraId="4E285019">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516" w:type="dxa"/>
            <w:tcBorders>
              <w:left w:val="single" w:color="auto" w:sz="4" w:space="0"/>
              <w:bottom w:val="single" w:color="auto" w:sz="4" w:space="0"/>
              <w:right w:val="single" w:color="auto" w:sz="4" w:space="0"/>
            </w:tcBorders>
            <w:vAlign w:val="top"/>
          </w:tcPr>
          <w:p w14:paraId="0646CA77">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51388011">
            <w:pPr>
              <w:spacing w:line="300" w:lineRule="exact"/>
              <w:rPr>
                <w:rFonts w:hint="eastAsia" w:ascii="宋体" w:hAnsi="宋体" w:eastAsia="宋体" w:cs="宋体"/>
                <w:color w:val="auto"/>
                <w:szCs w:val="21"/>
                <w:highlight w:val="none"/>
              </w:rPr>
            </w:pPr>
          </w:p>
        </w:tc>
      </w:tr>
      <w:tr w14:paraId="52707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vAlign w:val="top"/>
          </w:tcPr>
          <w:p w14:paraId="69C9A42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757" w:type="dxa"/>
            <w:tcBorders>
              <w:top w:val="single" w:color="auto" w:sz="4" w:space="0"/>
              <w:left w:val="single" w:color="auto" w:sz="4" w:space="0"/>
              <w:bottom w:val="single" w:color="auto" w:sz="4" w:space="0"/>
              <w:right w:val="single" w:color="auto" w:sz="4" w:space="0"/>
            </w:tcBorders>
            <w:vAlign w:val="top"/>
          </w:tcPr>
          <w:p w14:paraId="5B3D7E9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tc>
        <w:tc>
          <w:tcPr>
            <w:tcW w:w="2516" w:type="dxa"/>
            <w:tcBorders>
              <w:top w:val="single" w:color="auto" w:sz="4" w:space="0"/>
              <w:left w:val="single" w:color="auto" w:sz="4" w:space="0"/>
              <w:right w:val="single" w:color="auto" w:sz="4" w:space="0"/>
            </w:tcBorders>
            <w:vAlign w:val="top"/>
          </w:tcPr>
          <w:p w14:paraId="6E78E61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tc>
        <w:tc>
          <w:tcPr>
            <w:tcW w:w="2516" w:type="dxa"/>
            <w:tcBorders>
              <w:top w:val="single" w:color="auto" w:sz="4" w:space="0"/>
              <w:left w:val="single" w:color="auto" w:sz="4" w:space="0"/>
              <w:right w:val="single" w:color="auto" w:sz="4" w:space="0"/>
            </w:tcBorders>
            <w:vAlign w:val="top"/>
          </w:tcPr>
          <w:p w14:paraId="0065ABF4">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0BF49A73">
            <w:pPr>
              <w:spacing w:line="300" w:lineRule="exact"/>
              <w:rPr>
                <w:rFonts w:hint="eastAsia" w:ascii="宋体" w:hAnsi="宋体" w:eastAsia="宋体" w:cs="宋体"/>
                <w:color w:val="auto"/>
                <w:szCs w:val="21"/>
                <w:highlight w:val="none"/>
              </w:rPr>
            </w:pPr>
          </w:p>
        </w:tc>
      </w:tr>
      <w:tr w14:paraId="682C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vAlign w:val="top"/>
          </w:tcPr>
          <w:p w14:paraId="5E39DDF6">
            <w:pPr>
              <w:spacing w:line="340" w:lineRule="exact"/>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14:paraId="3E3CC1D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7EA2AC58">
            <w:pPr>
              <w:spacing w:line="340" w:lineRule="exact"/>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vAlign w:val="top"/>
          </w:tcPr>
          <w:p w14:paraId="1CF4697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E24702B">
            <w:pPr>
              <w:spacing w:line="300" w:lineRule="exact"/>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vAlign w:val="top"/>
          </w:tcPr>
          <w:p w14:paraId="67446602">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16023EA5">
            <w:pPr>
              <w:spacing w:line="300" w:lineRule="exact"/>
              <w:rPr>
                <w:rFonts w:hint="eastAsia" w:ascii="宋体" w:hAnsi="宋体" w:eastAsia="宋体" w:cs="宋体"/>
                <w:color w:val="auto"/>
                <w:szCs w:val="21"/>
                <w:highlight w:val="none"/>
              </w:rPr>
            </w:pPr>
          </w:p>
        </w:tc>
      </w:tr>
      <w:tr w14:paraId="2866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vAlign w:val="top"/>
          </w:tcPr>
          <w:p w14:paraId="7597A21A">
            <w:pPr>
              <w:spacing w:line="340" w:lineRule="exact"/>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14:paraId="60B41AF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0D2887A">
            <w:pPr>
              <w:spacing w:line="340" w:lineRule="exact"/>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vAlign w:val="top"/>
          </w:tcPr>
          <w:p w14:paraId="43B8F5E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C16D62F">
            <w:pPr>
              <w:spacing w:line="300" w:lineRule="exact"/>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vAlign w:val="top"/>
          </w:tcPr>
          <w:p w14:paraId="30BFEDC9">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596868DC">
            <w:pPr>
              <w:spacing w:line="300" w:lineRule="exact"/>
              <w:rPr>
                <w:rFonts w:hint="eastAsia" w:ascii="宋体" w:hAnsi="宋体" w:eastAsia="宋体" w:cs="宋体"/>
                <w:color w:val="auto"/>
                <w:szCs w:val="21"/>
                <w:highlight w:val="none"/>
              </w:rPr>
            </w:pPr>
          </w:p>
        </w:tc>
      </w:tr>
      <w:tr w14:paraId="2FA81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vAlign w:val="top"/>
          </w:tcPr>
          <w:p w14:paraId="371F1A6B">
            <w:pPr>
              <w:spacing w:line="340" w:lineRule="exact"/>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14:paraId="0753310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516" w:type="dxa"/>
            <w:tcBorders>
              <w:left w:val="single" w:color="auto" w:sz="4" w:space="0"/>
              <w:bottom w:val="single" w:color="auto" w:sz="4" w:space="0"/>
              <w:right w:val="single" w:color="auto" w:sz="4" w:space="0"/>
            </w:tcBorders>
            <w:vAlign w:val="top"/>
          </w:tcPr>
          <w:p w14:paraId="2DC66087">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516" w:type="dxa"/>
            <w:tcBorders>
              <w:left w:val="single" w:color="auto" w:sz="4" w:space="0"/>
              <w:bottom w:val="single" w:color="auto" w:sz="4" w:space="0"/>
              <w:right w:val="single" w:color="auto" w:sz="4" w:space="0"/>
            </w:tcBorders>
            <w:vAlign w:val="top"/>
          </w:tcPr>
          <w:p w14:paraId="33C52219">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09697E46">
            <w:pPr>
              <w:spacing w:line="300" w:lineRule="exact"/>
              <w:rPr>
                <w:rFonts w:hint="eastAsia" w:ascii="宋体" w:hAnsi="宋体" w:eastAsia="宋体" w:cs="宋体"/>
                <w:color w:val="auto"/>
                <w:szCs w:val="21"/>
                <w:highlight w:val="none"/>
              </w:rPr>
            </w:pPr>
          </w:p>
        </w:tc>
      </w:tr>
      <w:tr w14:paraId="4B116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vAlign w:val="top"/>
          </w:tcPr>
          <w:p w14:paraId="2BCF264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bl>
    <w:p w14:paraId="45F855B4">
      <w:pPr>
        <w:pStyle w:val="11"/>
        <w:spacing w:line="360" w:lineRule="auto"/>
        <w:ind w:left="-708" w:leftChars="-337"/>
        <w:rPr>
          <w:rFonts w:hint="eastAsia" w:ascii="宋体" w:hAnsi="宋体" w:eastAsia="宋体" w:cs="宋体"/>
          <w:color w:val="auto"/>
          <w:highlight w:val="none"/>
        </w:rPr>
      </w:pPr>
    </w:p>
    <w:p w14:paraId="5D8839D6">
      <w:pPr>
        <w:pStyle w:val="11"/>
        <w:spacing w:line="360" w:lineRule="auto"/>
        <w:ind w:left="-708" w:leftChars="-337"/>
        <w:rPr>
          <w:rFonts w:hint="eastAsia" w:ascii="宋体" w:hAnsi="宋体" w:eastAsia="宋体" w:cs="宋体"/>
          <w:color w:val="auto"/>
          <w:highlight w:val="none"/>
        </w:rPr>
      </w:pPr>
      <w:r>
        <w:rPr>
          <w:rFonts w:hint="eastAsia" w:ascii="宋体" w:hAnsi="宋体" w:eastAsia="宋体" w:cs="宋体"/>
          <w:color w:val="auto"/>
          <w:highlight w:val="none"/>
        </w:rPr>
        <w:t>注：</w:t>
      </w:r>
    </w:p>
    <w:p w14:paraId="51D9D395">
      <w:pPr>
        <w:pStyle w:val="11"/>
        <w:spacing w:line="360" w:lineRule="auto"/>
        <w:ind w:left="-708" w:leftChars="-337"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1.表格内容均需按要求填写并盖章，不得留空，否则按投标无效处理。</w:t>
      </w:r>
    </w:p>
    <w:p w14:paraId="6CB6171A">
      <w:pPr>
        <w:pStyle w:val="11"/>
        <w:spacing w:line="360" w:lineRule="auto"/>
        <w:ind w:left="-603" w:leftChars="-287"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2.如果招标文件需求为小于或大于某个数值标准时，投标文件承诺不得直接复制招标文件需求，投标文件承诺内容应当写明投标货物具体参数或商务响应承诺的具体数值，否则按投标无效处理。如该采购需求属于不能明确具体数值的，采购人应在此采购需求的数值后标注◆号，对标注◆号的采购需求不适用上述“</w:t>
      </w:r>
      <w:r>
        <w:rPr>
          <w:rFonts w:hint="eastAsia" w:ascii="宋体" w:hAnsi="宋体" w:eastAsia="宋体" w:cs="宋体"/>
          <w:color w:val="auto"/>
          <w:highlight w:val="none"/>
          <w:lang w:eastAsia="zh-CN"/>
        </w:rPr>
        <w:t>投标</w:t>
      </w:r>
      <w:r>
        <w:rPr>
          <w:rFonts w:hint="eastAsia" w:ascii="宋体" w:hAnsi="宋体" w:eastAsia="宋体" w:cs="宋体"/>
          <w:color w:val="auto"/>
          <w:highlight w:val="none"/>
        </w:rPr>
        <w:t>无效”条款。</w:t>
      </w:r>
    </w:p>
    <w:p w14:paraId="6CB93638">
      <w:pPr>
        <w:pStyle w:val="11"/>
        <w:spacing w:line="360" w:lineRule="auto"/>
        <w:ind w:left="-603" w:leftChars="-287"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3.当投标文件的商务内容低于招标文件要求时，投标人应当如实写明“负偏离”，否则视为虚假应标。</w:t>
      </w:r>
    </w:p>
    <w:p w14:paraId="05D24CF4">
      <w:pPr>
        <w:pStyle w:val="11"/>
        <w:spacing w:line="360" w:lineRule="auto"/>
        <w:ind w:left="-708" w:leftChars="-337"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4.采购需求中带“▲”及“★”的条款，也要分别在本表“投标文件的商务需求”、“投标文件承诺的商务条款”中标记。</w:t>
      </w:r>
    </w:p>
    <w:p w14:paraId="108B2B39">
      <w:pPr>
        <w:snapToGrid w:val="0"/>
        <w:spacing w:before="50" w:after="50"/>
        <w:rPr>
          <w:rFonts w:hint="eastAsia" w:ascii="宋体" w:hAnsi="宋体" w:eastAsia="宋体" w:cs="宋体"/>
          <w:color w:val="auto"/>
          <w:sz w:val="24"/>
          <w:highlight w:val="none"/>
        </w:rPr>
      </w:pPr>
    </w:p>
    <w:p w14:paraId="1D7D0822">
      <w:pPr>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投标人名称（电子签章）：</w:t>
      </w:r>
    </w:p>
    <w:p w14:paraId="1CE4576E">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ACE5D78">
      <w:pPr>
        <w:widowControl/>
        <w:jc w:val="left"/>
        <w:rPr>
          <w:rFonts w:hint="eastAsia" w:ascii="宋体" w:hAnsi="宋体" w:eastAsia="宋体" w:cs="宋体"/>
          <w:color w:val="auto"/>
          <w:szCs w:val="21"/>
          <w:highlight w:val="none"/>
        </w:rPr>
        <w:sectPr>
          <w:pgSz w:w="11906" w:h="16838"/>
          <w:pgMar w:top="1440" w:right="1797" w:bottom="1440" w:left="1797" w:header="851" w:footer="992" w:gutter="0"/>
          <w:cols w:space="720" w:num="1"/>
        </w:sectPr>
      </w:pPr>
    </w:p>
    <w:p w14:paraId="28B37B4B">
      <w:pPr>
        <w:snapToGrid w:val="0"/>
        <w:spacing w:before="165" w:beforeLines="50" w:after="50"/>
        <w:ind w:firstLine="602" w:firstLineChars="20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五、投标人情况介绍</w:t>
      </w:r>
    </w:p>
    <w:p w14:paraId="5D500F36">
      <w:pPr>
        <w:spacing w:line="360" w:lineRule="auto"/>
        <w:ind w:firstLine="4048" w:firstLineChars="1687"/>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（格式自拟）</w:t>
      </w:r>
    </w:p>
    <w:p w14:paraId="31CA3798">
      <w:pPr>
        <w:snapToGrid w:val="0"/>
        <w:spacing w:line="360" w:lineRule="auto"/>
        <w:ind w:firstLine="4935" w:firstLineChars="2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7C7D632F">
      <w:pPr>
        <w:snapToGrid w:val="0"/>
        <w:spacing w:line="360" w:lineRule="auto"/>
        <w:ind w:firstLine="4935" w:firstLineChars="2350"/>
        <w:rPr>
          <w:rFonts w:hint="eastAsia" w:ascii="宋体" w:hAnsi="宋体" w:eastAsia="宋体" w:cs="宋体"/>
          <w:color w:val="auto"/>
          <w:szCs w:val="21"/>
          <w:highlight w:val="none"/>
        </w:rPr>
      </w:pPr>
    </w:p>
    <w:p w14:paraId="34243E62">
      <w:pPr>
        <w:snapToGrid w:val="0"/>
        <w:spacing w:line="360" w:lineRule="auto"/>
        <w:ind w:firstLine="4935" w:firstLineChars="2350"/>
        <w:rPr>
          <w:rFonts w:hint="eastAsia" w:ascii="宋体" w:hAnsi="宋体" w:eastAsia="宋体" w:cs="宋体"/>
          <w:color w:val="auto"/>
          <w:szCs w:val="21"/>
          <w:highlight w:val="none"/>
        </w:rPr>
      </w:pPr>
    </w:p>
    <w:p w14:paraId="5A0C982D">
      <w:pPr>
        <w:snapToGrid w:val="0"/>
        <w:spacing w:line="360" w:lineRule="auto"/>
        <w:ind w:firstLine="4935" w:firstLineChars="2350"/>
        <w:rPr>
          <w:rFonts w:hint="eastAsia" w:ascii="宋体" w:hAnsi="宋体" w:eastAsia="宋体" w:cs="宋体"/>
          <w:color w:val="auto"/>
          <w:szCs w:val="21"/>
          <w:highlight w:val="none"/>
        </w:rPr>
      </w:pPr>
    </w:p>
    <w:p w14:paraId="1B92FE7C">
      <w:pPr>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投标人名称（电子签章）：</w:t>
      </w:r>
    </w:p>
    <w:p w14:paraId="2DF3D354">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0DFC35CD">
      <w:pPr>
        <w:snapToGrid w:val="0"/>
        <w:spacing w:before="165" w:beforeLines="50" w:after="50"/>
        <w:ind w:firstLine="602" w:firstLineChars="200"/>
        <w:jc w:val="center"/>
        <w:rPr>
          <w:rFonts w:hint="eastAsia" w:ascii="宋体" w:hAnsi="宋体" w:eastAsia="宋体" w:cs="宋体"/>
          <w:b/>
          <w:bCs/>
          <w:color w:val="auto"/>
          <w:sz w:val="30"/>
          <w:szCs w:val="30"/>
          <w:highlight w:val="none"/>
        </w:rPr>
      </w:pPr>
    </w:p>
    <w:p w14:paraId="6F91C129">
      <w:pPr>
        <w:widowControl/>
        <w:jc w:val="left"/>
        <w:rPr>
          <w:rFonts w:hint="eastAsia" w:ascii="宋体" w:hAnsi="宋体" w:eastAsia="宋体" w:cs="宋体"/>
          <w:b/>
          <w:bCs/>
          <w:color w:val="auto"/>
          <w:sz w:val="30"/>
          <w:szCs w:val="30"/>
          <w:highlight w:val="none"/>
        </w:rPr>
        <w:sectPr>
          <w:pgSz w:w="11906" w:h="16838"/>
          <w:pgMar w:top="1134" w:right="1134" w:bottom="1134" w:left="1134" w:header="720" w:footer="720" w:gutter="0"/>
          <w:cols w:space="720" w:num="1"/>
          <w:docGrid w:type="lines" w:linePitch="331" w:charSpace="0"/>
        </w:sectPr>
      </w:pPr>
    </w:p>
    <w:p w14:paraId="446F27C3">
      <w:pPr>
        <w:snapToGrid w:val="0"/>
        <w:spacing w:before="165" w:beforeLines="50" w:after="50"/>
        <w:ind w:firstLine="602" w:firstLineChars="20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六、投标人类似的业绩证明文件（如有要求）</w:t>
      </w:r>
    </w:p>
    <w:p w14:paraId="21E31E45">
      <w:pPr>
        <w:pStyle w:val="15"/>
        <w:snapToGrid w:val="0"/>
        <w:ind w:left="480" w:hanging="480"/>
        <w:rPr>
          <w:rFonts w:hint="eastAsia" w:ascii="宋体" w:hAnsi="宋体" w:eastAsia="宋体" w:cs="宋体"/>
          <w:color w:val="auto"/>
          <w:sz w:val="24"/>
          <w:highlight w:val="none"/>
        </w:rPr>
      </w:pPr>
    </w:p>
    <w:p w14:paraId="3F6FBD38">
      <w:pPr>
        <w:pStyle w:val="15"/>
        <w:snapToGrid w:val="0"/>
        <w:ind w:left="480" w:hanging="480"/>
        <w:rPr>
          <w:rFonts w:hint="eastAsia" w:ascii="宋体" w:hAnsi="宋体" w:eastAsia="宋体" w:cs="宋体"/>
          <w:color w:val="auto"/>
          <w:sz w:val="24"/>
          <w:highlight w:val="none"/>
        </w:rPr>
      </w:pPr>
    </w:p>
    <w:p w14:paraId="707E99D6">
      <w:pPr>
        <w:pStyle w:val="15"/>
        <w:snapToGrid w:val="0"/>
        <w:ind w:left="480" w:hanging="480"/>
        <w:rPr>
          <w:rFonts w:hint="eastAsia" w:ascii="宋体" w:hAnsi="宋体" w:eastAsia="宋体" w:cs="宋体"/>
          <w:color w:val="auto"/>
          <w:sz w:val="24"/>
          <w:highlight w:val="none"/>
        </w:rPr>
      </w:pPr>
    </w:p>
    <w:p w14:paraId="5E7EA68C">
      <w:pPr>
        <w:autoSpaceDE w:val="0"/>
        <w:autoSpaceDN w:val="0"/>
        <w:spacing w:line="360" w:lineRule="auto"/>
        <w:ind w:firstLine="120"/>
        <w:rPr>
          <w:rFonts w:hint="eastAsia" w:ascii="宋体" w:hAnsi="宋体" w:eastAsia="宋体" w:cs="宋体"/>
          <w:color w:val="auto"/>
          <w:sz w:val="24"/>
          <w:highlight w:val="none"/>
        </w:rPr>
      </w:pPr>
      <w:r>
        <w:rPr>
          <w:rFonts w:hint="eastAsia" w:ascii="宋体" w:hAnsi="宋体" w:eastAsia="宋体" w:cs="宋体"/>
          <w:b/>
          <w:color w:val="auto"/>
          <w:sz w:val="24"/>
          <w:highlight w:val="none"/>
        </w:rPr>
        <w:t>附表 :相关项目业绩一览表（投标人同类项目合同复印件、用户验收报告、用户评价意见格式自拟）</w:t>
      </w:r>
    </w:p>
    <w:tbl>
      <w:tblPr>
        <w:tblStyle w:val="20"/>
        <w:tblW w:w="14567"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1E7EB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0335A574">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14:paraId="614C5AA5">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715" w:type="dxa"/>
            <w:vMerge w:val="restart"/>
            <w:tcBorders>
              <w:top w:val="single" w:color="auto" w:sz="4" w:space="0"/>
              <w:left w:val="single" w:color="auto" w:sz="4" w:space="0"/>
              <w:bottom w:val="single" w:color="auto" w:sz="4" w:space="0"/>
              <w:right w:val="single" w:color="auto" w:sz="4" w:space="0"/>
            </w:tcBorders>
            <w:vAlign w:val="center"/>
          </w:tcPr>
          <w:p w14:paraId="122A06B5">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p w14:paraId="1F3BA922">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金额</w:t>
            </w:r>
          </w:p>
          <w:p w14:paraId="257F5801">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4536" w:type="dxa"/>
            <w:gridSpan w:val="3"/>
            <w:tcBorders>
              <w:top w:val="single" w:color="auto" w:sz="4" w:space="0"/>
              <w:left w:val="single" w:color="auto" w:sz="4" w:space="0"/>
              <w:bottom w:val="single" w:color="auto" w:sz="4" w:space="0"/>
              <w:right w:val="single" w:color="auto" w:sz="4" w:space="0"/>
            </w:tcBorders>
            <w:vAlign w:val="center"/>
          </w:tcPr>
          <w:p w14:paraId="02538E44">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14:paraId="7342AAC9">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采购人联系人及</w:t>
            </w:r>
          </w:p>
          <w:p w14:paraId="04571ED4">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r>
      <w:tr w14:paraId="057A8F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5D9C6310">
            <w:pPr>
              <w:widowControl/>
              <w:jc w:val="left"/>
              <w:rPr>
                <w:rFonts w:hint="eastAsia" w:ascii="宋体" w:hAnsi="宋体" w:eastAsia="宋体" w:cs="宋体"/>
                <w:color w:val="auto"/>
                <w:sz w:val="24"/>
                <w:highlight w:val="none"/>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14:paraId="7A1531C5">
            <w:pPr>
              <w:widowControl/>
              <w:jc w:val="left"/>
              <w:rPr>
                <w:rFonts w:hint="eastAsia" w:ascii="宋体" w:hAnsi="宋体" w:eastAsia="宋体" w:cs="宋体"/>
                <w:color w:val="auto"/>
                <w:sz w:val="24"/>
                <w:highlight w:val="none"/>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14:paraId="1A9C6B2B">
            <w:pPr>
              <w:widowControl/>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3DDF8FC0">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tc>
        <w:tc>
          <w:tcPr>
            <w:tcW w:w="1559" w:type="dxa"/>
            <w:tcBorders>
              <w:top w:val="single" w:color="auto" w:sz="4" w:space="0"/>
              <w:left w:val="single" w:color="auto" w:sz="4" w:space="0"/>
              <w:bottom w:val="single" w:color="auto" w:sz="4" w:space="0"/>
              <w:right w:val="single" w:color="auto" w:sz="4" w:space="0"/>
            </w:tcBorders>
            <w:vAlign w:val="center"/>
          </w:tcPr>
          <w:p w14:paraId="05DD4103">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验收报告</w:t>
            </w:r>
          </w:p>
        </w:tc>
        <w:tc>
          <w:tcPr>
            <w:tcW w:w="1418" w:type="dxa"/>
            <w:tcBorders>
              <w:top w:val="single" w:color="auto" w:sz="4" w:space="0"/>
              <w:left w:val="single" w:color="auto" w:sz="4" w:space="0"/>
              <w:bottom w:val="single" w:color="auto" w:sz="4" w:space="0"/>
              <w:right w:val="single" w:color="auto" w:sz="4" w:space="0"/>
            </w:tcBorders>
            <w:vAlign w:val="center"/>
          </w:tcPr>
          <w:p w14:paraId="73604772">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用户评价</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266390E8">
            <w:pPr>
              <w:widowControl/>
              <w:jc w:val="left"/>
              <w:rPr>
                <w:rFonts w:hint="eastAsia" w:ascii="宋体" w:hAnsi="宋体" w:eastAsia="宋体" w:cs="宋体"/>
                <w:color w:val="auto"/>
                <w:sz w:val="24"/>
                <w:highlight w:val="none"/>
              </w:rPr>
            </w:pPr>
          </w:p>
        </w:tc>
      </w:tr>
      <w:tr w14:paraId="538809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vAlign w:val="top"/>
          </w:tcPr>
          <w:p w14:paraId="36A3BE66">
            <w:pPr>
              <w:snapToGrid w:val="0"/>
              <w:spacing w:line="240" w:lineRule="exact"/>
              <w:jc w:val="left"/>
              <w:rPr>
                <w:rFonts w:hint="eastAsia" w:ascii="宋体" w:hAnsi="宋体" w:eastAsia="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vAlign w:val="top"/>
          </w:tcPr>
          <w:p w14:paraId="23C7428E">
            <w:pPr>
              <w:snapToGrid w:val="0"/>
              <w:spacing w:line="240" w:lineRule="exact"/>
              <w:jc w:val="lef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vAlign w:val="top"/>
          </w:tcPr>
          <w:p w14:paraId="60D100C3">
            <w:pPr>
              <w:snapToGrid w:val="0"/>
              <w:spacing w:line="240" w:lineRule="exact"/>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top"/>
          </w:tcPr>
          <w:p w14:paraId="7402BF3A">
            <w:pPr>
              <w:snapToGrid w:val="0"/>
              <w:spacing w:line="240" w:lineRule="exact"/>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top"/>
          </w:tcPr>
          <w:p w14:paraId="5936C9A7">
            <w:pPr>
              <w:snapToGrid w:val="0"/>
              <w:spacing w:line="240" w:lineRule="exact"/>
              <w:jc w:val="left"/>
              <w:rPr>
                <w:rFonts w:hint="eastAsia" w:ascii="宋体" w:hAnsi="宋体" w:eastAsia="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top"/>
          </w:tcPr>
          <w:p w14:paraId="7D4DFC65">
            <w:pPr>
              <w:snapToGrid w:val="0"/>
              <w:spacing w:line="240" w:lineRule="exact"/>
              <w:jc w:val="left"/>
              <w:rPr>
                <w:rFonts w:hint="eastAsia" w:ascii="宋体" w:hAnsi="宋体" w:eastAsia="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vAlign w:val="top"/>
          </w:tcPr>
          <w:p w14:paraId="5DBED49F">
            <w:pPr>
              <w:snapToGrid w:val="0"/>
              <w:spacing w:line="240" w:lineRule="exact"/>
              <w:jc w:val="left"/>
              <w:rPr>
                <w:rFonts w:hint="eastAsia" w:ascii="宋体" w:hAnsi="宋体" w:eastAsia="宋体" w:cs="宋体"/>
                <w:color w:val="auto"/>
                <w:sz w:val="24"/>
                <w:highlight w:val="none"/>
              </w:rPr>
            </w:pPr>
          </w:p>
        </w:tc>
      </w:tr>
      <w:tr w14:paraId="5505F5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vAlign w:val="top"/>
          </w:tcPr>
          <w:p w14:paraId="575B294B">
            <w:pPr>
              <w:snapToGrid w:val="0"/>
              <w:spacing w:before="50" w:after="165" w:afterLines="50" w:line="400" w:lineRule="exact"/>
              <w:jc w:val="left"/>
              <w:rPr>
                <w:rFonts w:hint="eastAsia" w:ascii="宋体" w:hAnsi="宋体" w:eastAsia="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vAlign w:val="top"/>
          </w:tcPr>
          <w:p w14:paraId="2FB3DE7F">
            <w:pPr>
              <w:snapToGrid w:val="0"/>
              <w:spacing w:before="50" w:after="165" w:afterLines="50" w:line="400" w:lineRule="exact"/>
              <w:jc w:val="lef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vAlign w:val="top"/>
          </w:tcPr>
          <w:p w14:paraId="7CA21083">
            <w:pPr>
              <w:snapToGrid w:val="0"/>
              <w:spacing w:before="50" w:after="165" w:afterLines="50" w:line="400" w:lineRule="exact"/>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top"/>
          </w:tcPr>
          <w:p w14:paraId="4A5586A3">
            <w:pPr>
              <w:snapToGrid w:val="0"/>
              <w:spacing w:before="50" w:after="165" w:afterLines="50" w:line="400" w:lineRule="exact"/>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top"/>
          </w:tcPr>
          <w:p w14:paraId="2C929F58">
            <w:pPr>
              <w:snapToGrid w:val="0"/>
              <w:spacing w:before="50" w:after="165" w:afterLines="50" w:line="400" w:lineRule="exact"/>
              <w:jc w:val="left"/>
              <w:rPr>
                <w:rFonts w:hint="eastAsia" w:ascii="宋体" w:hAnsi="宋体" w:eastAsia="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top"/>
          </w:tcPr>
          <w:p w14:paraId="778E8CAF">
            <w:pPr>
              <w:snapToGrid w:val="0"/>
              <w:spacing w:before="50" w:after="165" w:afterLines="50" w:line="400" w:lineRule="exact"/>
              <w:jc w:val="left"/>
              <w:rPr>
                <w:rFonts w:hint="eastAsia" w:ascii="宋体" w:hAnsi="宋体" w:eastAsia="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vAlign w:val="top"/>
          </w:tcPr>
          <w:p w14:paraId="47A00A35">
            <w:pPr>
              <w:snapToGrid w:val="0"/>
              <w:spacing w:before="50" w:after="165" w:afterLines="50" w:line="400" w:lineRule="exact"/>
              <w:jc w:val="left"/>
              <w:rPr>
                <w:rFonts w:hint="eastAsia" w:ascii="宋体" w:hAnsi="宋体" w:eastAsia="宋体" w:cs="宋体"/>
                <w:color w:val="auto"/>
                <w:sz w:val="24"/>
                <w:highlight w:val="none"/>
              </w:rPr>
            </w:pPr>
          </w:p>
        </w:tc>
      </w:tr>
      <w:tr w14:paraId="13B2DD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vAlign w:val="top"/>
          </w:tcPr>
          <w:p w14:paraId="3C931413">
            <w:pPr>
              <w:snapToGrid w:val="0"/>
              <w:spacing w:before="50" w:after="165" w:afterLines="50" w:line="400" w:lineRule="exact"/>
              <w:jc w:val="left"/>
              <w:rPr>
                <w:rFonts w:hint="eastAsia" w:ascii="宋体" w:hAnsi="宋体" w:eastAsia="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vAlign w:val="top"/>
          </w:tcPr>
          <w:p w14:paraId="1E930A3A">
            <w:pPr>
              <w:snapToGrid w:val="0"/>
              <w:spacing w:before="50" w:after="165" w:afterLines="50" w:line="400" w:lineRule="exact"/>
              <w:jc w:val="lef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vAlign w:val="top"/>
          </w:tcPr>
          <w:p w14:paraId="786AB429">
            <w:pPr>
              <w:snapToGrid w:val="0"/>
              <w:spacing w:before="50" w:after="165" w:afterLines="50" w:line="400" w:lineRule="exact"/>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top"/>
          </w:tcPr>
          <w:p w14:paraId="14306FA7">
            <w:pPr>
              <w:snapToGrid w:val="0"/>
              <w:spacing w:before="50" w:after="165" w:afterLines="50" w:line="400" w:lineRule="exact"/>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top"/>
          </w:tcPr>
          <w:p w14:paraId="6CD2CB6E">
            <w:pPr>
              <w:snapToGrid w:val="0"/>
              <w:spacing w:before="50" w:after="165" w:afterLines="50" w:line="400" w:lineRule="exact"/>
              <w:jc w:val="left"/>
              <w:rPr>
                <w:rFonts w:hint="eastAsia" w:ascii="宋体" w:hAnsi="宋体" w:eastAsia="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top"/>
          </w:tcPr>
          <w:p w14:paraId="0AB970DC">
            <w:pPr>
              <w:snapToGrid w:val="0"/>
              <w:spacing w:before="50" w:after="165" w:afterLines="50" w:line="400" w:lineRule="exact"/>
              <w:jc w:val="left"/>
              <w:rPr>
                <w:rFonts w:hint="eastAsia" w:ascii="宋体" w:hAnsi="宋体" w:eastAsia="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vAlign w:val="top"/>
          </w:tcPr>
          <w:p w14:paraId="747D1249">
            <w:pPr>
              <w:snapToGrid w:val="0"/>
              <w:spacing w:before="50" w:after="165" w:afterLines="50" w:line="400" w:lineRule="exact"/>
              <w:jc w:val="left"/>
              <w:rPr>
                <w:rFonts w:hint="eastAsia" w:ascii="宋体" w:hAnsi="宋体" w:eastAsia="宋体" w:cs="宋体"/>
                <w:color w:val="auto"/>
                <w:sz w:val="24"/>
                <w:highlight w:val="none"/>
              </w:rPr>
            </w:pPr>
          </w:p>
        </w:tc>
      </w:tr>
      <w:tr w14:paraId="4811E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vAlign w:val="top"/>
          </w:tcPr>
          <w:p w14:paraId="73E5FC1F">
            <w:pPr>
              <w:snapToGrid w:val="0"/>
              <w:spacing w:before="50" w:after="165" w:afterLines="50" w:line="400" w:lineRule="exact"/>
              <w:jc w:val="left"/>
              <w:rPr>
                <w:rFonts w:hint="eastAsia" w:ascii="宋体" w:hAnsi="宋体" w:eastAsia="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vAlign w:val="top"/>
          </w:tcPr>
          <w:p w14:paraId="1B1CCA71">
            <w:pPr>
              <w:snapToGrid w:val="0"/>
              <w:spacing w:before="50" w:after="165" w:afterLines="50" w:line="400" w:lineRule="exact"/>
              <w:jc w:val="lef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vAlign w:val="top"/>
          </w:tcPr>
          <w:p w14:paraId="1BCB62E9">
            <w:pPr>
              <w:snapToGrid w:val="0"/>
              <w:spacing w:before="50" w:after="165" w:afterLines="50" w:line="400" w:lineRule="exact"/>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top"/>
          </w:tcPr>
          <w:p w14:paraId="4F4D4488">
            <w:pPr>
              <w:snapToGrid w:val="0"/>
              <w:spacing w:before="50" w:after="165" w:afterLines="50" w:line="400" w:lineRule="exact"/>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top"/>
          </w:tcPr>
          <w:p w14:paraId="29497DEA">
            <w:pPr>
              <w:snapToGrid w:val="0"/>
              <w:spacing w:before="50" w:after="165" w:afterLines="50" w:line="400" w:lineRule="exact"/>
              <w:jc w:val="left"/>
              <w:rPr>
                <w:rFonts w:hint="eastAsia" w:ascii="宋体" w:hAnsi="宋体" w:eastAsia="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top"/>
          </w:tcPr>
          <w:p w14:paraId="4CE3E36F">
            <w:pPr>
              <w:snapToGrid w:val="0"/>
              <w:spacing w:before="50" w:after="165" w:afterLines="50" w:line="400" w:lineRule="exact"/>
              <w:jc w:val="left"/>
              <w:rPr>
                <w:rFonts w:hint="eastAsia" w:ascii="宋体" w:hAnsi="宋体" w:eastAsia="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vAlign w:val="top"/>
          </w:tcPr>
          <w:p w14:paraId="7C20935C">
            <w:pPr>
              <w:snapToGrid w:val="0"/>
              <w:spacing w:before="50" w:after="165" w:afterLines="50" w:line="400" w:lineRule="exact"/>
              <w:jc w:val="left"/>
              <w:rPr>
                <w:rFonts w:hint="eastAsia" w:ascii="宋体" w:hAnsi="宋体" w:eastAsia="宋体" w:cs="宋体"/>
                <w:color w:val="auto"/>
                <w:sz w:val="24"/>
                <w:highlight w:val="none"/>
              </w:rPr>
            </w:pPr>
          </w:p>
        </w:tc>
      </w:tr>
      <w:tr w14:paraId="22BA9A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vAlign w:val="top"/>
          </w:tcPr>
          <w:p w14:paraId="0A819E3F">
            <w:pPr>
              <w:snapToGrid w:val="0"/>
              <w:spacing w:before="50" w:after="165" w:afterLines="50" w:line="400" w:lineRule="exact"/>
              <w:jc w:val="left"/>
              <w:rPr>
                <w:rFonts w:hint="eastAsia" w:ascii="宋体" w:hAnsi="宋体" w:eastAsia="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vAlign w:val="top"/>
          </w:tcPr>
          <w:p w14:paraId="29FBEE8C">
            <w:pPr>
              <w:snapToGrid w:val="0"/>
              <w:spacing w:before="50" w:after="165" w:afterLines="50" w:line="400" w:lineRule="exact"/>
              <w:jc w:val="lef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vAlign w:val="top"/>
          </w:tcPr>
          <w:p w14:paraId="4FC902AE">
            <w:pPr>
              <w:snapToGrid w:val="0"/>
              <w:spacing w:before="50" w:after="165" w:afterLines="50" w:line="400" w:lineRule="exact"/>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top"/>
          </w:tcPr>
          <w:p w14:paraId="20CAEAF8">
            <w:pPr>
              <w:snapToGrid w:val="0"/>
              <w:spacing w:before="50" w:after="165" w:afterLines="50" w:line="400" w:lineRule="exact"/>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top"/>
          </w:tcPr>
          <w:p w14:paraId="3CF0CE47">
            <w:pPr>
              <w:snapToGrid w:val="0"/>
              <w:spacing w:before="50" w:after="165" w:afterLines="50" w:line="400" w:lineRule="exact"/>
              <w:jc w:val="left"/>
              <w:rPr>
                <w:rFonts w:hint="eastAsia" w:ascii="宋体" w:hAnsi="宋体" w:eastAsia="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top"/>
          </w:tcPr>
          <w:p w14:paraId="2F6E29D3">
            <w:pPr>
              <w:snapToGrid w:val="0"/>
              <w:spacing w:before="50" w:after="165" w:afterLines="50" w:line="400" w:lineRule="exact"/>
              <w:jc w:val="left"/>
              <w:rPr>
                <w:rFonts w:hint="eastAsia" w:ascii="宋体" w:hAnsi="宋体" w:eastAsia="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vAlign w:val="top"/>
          </w:tcPr>
          <w:p w14:paraId="1D73AC34">
            <w:pPr>
              <w:snapToGrid w:val="0"/>
              <w:spacing w:before="50" w:after="165" w:afterLines="50" w:line="400" w:lineRule="exact"/>
              <w:jc w:val="left"/>
              <w:rPr>
                <w:rFonts w:hint="eastAsia" w:ascii="宋体" w:hAnsi="宋体" w:eastAsia="宋体" w:cs="宋体"/>
                <w:color w:val="auto"/>
                <w:sz w:val="24"/>
                <w:highlight w:val="none"/>
              </w:rPr>
            </w:pPr>
          </w:p>
        </w:tc>
      </w:tr>
    </w:tbl>
    <w:p w14:paraId="69996CE0">
      <w:pPr>
        <w:pStyle w:val="11"/>
        <w:spacing w:line="360" w:lineRule="auto"/>
        <w:ind w:left="72"/>
        <w:rPr>
          <w:rFonts w:hint="eastAsia" w:ascii="宋体" w:hAnsi="宋体" w:eastAsia="宋体" w:cs="宋体"/>
          <w:color w:val="auto"/>
          <w:highlight w:val="none"/>
        </w:rPr>
      </w:pPr>
      <w:r>
        <w:rPr>
          <w:rFonts w:hint="eastAsia" w:ascii="宋体" w:hAnsi="宋体" w:eastAsia="宋体" w:cs="宋体"/>
          <w:color w:val="auto"/>
          <w:highlight w:val="none"/>
        </w:rPr>
        <w:t>注：投标人可按上述的格式自行编制，须随表提交相应的合同复印件和用户单位验收证明并注明所在投标人商务技术文件页码。</w:t>
      </w:r>
    </w:p>
    <w:p w14:paraId="1D3C975A">
      <w:pPr>
        <w:snapToGrid w:val="0"/>
        <w:spacing w:line="360" w:lineRule="auto"/>
        <w:ind w:firstLine="4935" w:firstLineChars="2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775A9AA">
      <w:pPr>
        <w:snapToGrid w:val="0"/>
        <w:spacing w:line="360" w:lineRule="auto"/>
        <w:ind w:firstLine="4935" w:firstLineChars="2350"/>
        <w:rPr>
          <w:rFonts w:hint="eastAsia" w:ascii="宋体" w:hAnsi="宋体" w:eastAsia="宋体" w:cs="宋体"/>
          <w:color w:val="auto"/>
          <w:szCs w:val="21"/>
          <w:highlight w:val="none"/>
        </w:rPr>
      </w:pPr>
    </w:p>
    <w:p w14:paraId="64077B93">
      <w:pPr>
        <w:snapToGrid w:val="0"/>
        <w:spacing w:line="360" w:lineRule="auto"/>
        <w:ind w:firstLine="10080" w:firstLineChars="480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投标人名称（电子签章）：</w:t>
      </w:r>
    </w:p>
    <w:p w14:paraId="0D8290A6">
      <w:pPr>
        <w:snapToGrid w:val="0"/>
        <w:spacing w:line="360" w:lineRule="auto"/>
        <w:ind w:firstLine="10080" w:firstLineChars="4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114FCDF">
      <w:pPr>
        <w:widowControl/>
        <w:spacing w:line="360" w:lineRule="auto"/>
        <w:jc w:val="left"/>
        <w:rPr>
          <w:rFonts w:hint="eastAsia" w:ascii="宋体" w:hAnsi="宋体" w:eastAsia="宋体" w:cs="宋体"/>
          <w:color w:val="auto"/>
          <w:kern w:val="0"/>
          <w:sz w:val="24"/>
          <w:highlight w:val="none"/>
          <w:lang w:val="zh-CN"/>
        </w:rPr>
        <w:sectPr>
          <w:pgSz w:w="16838" w:h="11906" w:orient="landscape"/>
          <w:pgMar w:top="1134" w:right="1134" w:bottom="1134" w:left="1134" w:header="720" w:footer="720" w:gutter="0"/>
          <w:cols w:space="720" w:num="1"/>
          <w:docGrid w:type="lines" w:linePitch="331" w:charSpace="0"/>
        </w:sectPr>
      </w:pPr>
    </w:p>
    <w:p w14:paraId="39E301A3">
      <w:pPr>
        <w:pStyle w:val="11"/>
        <w:jc w:val="center"/>
        <w:outlineLvl w:val="1"/>
        <w:rPr>
          <w:rFonts w:hint="eastAsia" w:ascii="宋体" w:hAnsi="宋体" w:eastAsia="宋体" w:cs="宋体"/>
          <w:b/>
          <w:bCs/>
          <w:color w:val="auto"/>
          <w:sz w:val="28"/>
          <w:szCs w:val="28"/>
          <w:highlight w:val="none"/>
        </w:rPr>
      </w:pPr>
      <w:bookmarkStart w:id="1545" w:name="_Toc24033"/>
      <w:bookmarkStart w:id="1546" w:name="_Toc17437"/>
      <w:bookmarkStart w:id="1547" w:name="_Toc19686839"/>
      <w:r>
        <w:rPr>
          <w:rFonts w:hint="eastAsia" w:ascii="宋体" w:hAnsi="宋体" w:eastAsia="宋体" w:cs="宋体"/>
          <w:b/>
          <w:bCs/>
          <w:color w:val="auto"/>
          <w:sz w:val="28"/>
          <w:szCs w:val="28"/>
          <w:highlight w:val="none"/>
        </w:rPr>
        <w:t>第四节 技术文件格式</w:t>
      </w:r>
      <w:bookmarkEnd w:id="1545"/>
      <w:bookmarkEnd w:id="1546"/>
      <w:bookmarkEnd w:id="1547"/>
    </w:p>
    <w:p w14:paraId="6338D929">
      <w:pPr>
        <w:snapToGrid w:val="0"/>
        <w:spacing w:before="165"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电子投标文件</w:t>
      </w:r>
    </w:p>
    <w:p w14:paraId="21F32F39">
      <w:pPr>
        <w:snapToGrid w:val="0"/>
        <w:spacing w:before="165" w:beforeLines="50" w:after="50"/>
        <w:rPr>
          <w:rFonts w:hint="eastAsia" w:ascii="宋体" w:hAnsi="宋体" w:eastAsia="宋体" w:cs="宋体"/>
          <w:color w:val="auto"/>
          <w:sz w:val="24"/>
          <w:szCs w:val="20"/>
          <w:highlight w:val="none"/>
        </w:rPr>
      </w:pPr>
    </w:p>
    <w:p w14:paraId="22D71B01">
      <w:pPr>
        <w:snapToGrid w:val="0"/>
        <w:spacing w:before="165" w:beforeLines="50" w:after="50"/>
        <w:jc w:val="center"/>
        <w:rPr>
          <w:rFonts w:hint="eastAsia" w:ascii="宋体" w:hAnsi="宋体" w:eastAsia="宋体" w:cs="宋体"/>
          <w:b/>
          <w:bCs/>
          <w:color w:val="auto"/>
          <w:sz w:val="32"/>
          <w:szCs w:val="32"/>
          <w:highlight w:val="none"/>
        </w:rPr>
      </w:pPr>
    </w:p>
    <w:p w14:paraId="0AA74F17">
      <w:pPr>
        <w:snapToGrid w:val="0"/>
        <w:spacing w:before="165" w:beforeLines="50" w:after="50"/>
        <w:jc w:val="center"/>
        <w:rPr>
          <w:rFonts w:hint="eastAsia" w:ascii="宋体" w:hAnsi="宋体" w:eastAsia="宋体" w:cs="宋体"/>
          <w:b/>
          <w:bCs/>
          <w:color w:val="auto"/>
          <w:sz w:val="32"/>
          <w:szCs w:val="32"/>
          <w:highlight w:val="none"/>
        </w:rPr>
      </w:pPr>
    </w:p>
    <w:p w14:paraId="6EC1A776">
      <w:pPr>
        <w:snapToGrid w:val="0"/>
        <w:spacing w:before="165" w:beforeLines="50" w:after="50"/>
        <w:jc w:val="center"/>
        <w:rPr>
          <w:rFonts w:hint="eastAsia" w:ascii="宋体" w:hAnsi="宋体" w:eastAsia="宋体" w:cs="宋体"/>
          <w:b/>
          <w:bCs/>
          <w:color w:val="auto"/>
          <w:sz w:val="32"/>
          <w:szCs w:val="32"/>
          <w:highlight w:val="none"/>
        </w:rPr>
      </w:pPr>
    </w:p>
    <w:p w14:paraId="1303DDD9">
      <w:pPr>
        <w:snapToGrid w:val="0"/>
        <w:spacing w:before="165" w:beforeLines="50" w:after="5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技术文件（封面）</w:t>
      </w:r>
    </w:p>
    <w:p w14:paraId="0E965F4A">
      <w:pPr>
        <w:snapToGrid w:val="0"/>
        <w:spacing w:before="165" w:beforeLines="50" w:after="50"/>
        <w:rPr>
          <w:rFonts w:hint="eastAsia" w:ascii="宋体" w:hAnsi="宋体" w:eastAsia="宋体" w:cs="宋体"/>
          <w:bCs/>
          <w:color w:val="auto"/>
          <w:sz w:val="24"/>
          <w:szCs w:val="20"/>
          <w:highlight w:val="none"/>
        </w:rPr>
      </w:pPr>
    </w:p>
    <w:p w14:paraId="24686F45">
      <w:pPr>
        <w:snapToGrid w:val="0"/>
        <w:spacing w:before="165" w:beforeLines="50" w:after="50" w:line="400" w:lineRule="exact"/>
        <w:ind w:firstLine="360" w:firstLineChars="150"/>
        <w:rPr>
          <w:rFonts w:hint="eastAsia" w:ascii="宋体" w:hAnsi="宋体" w:eastAsia="宋体" w:cs="宋体"/>
          <w:bCs/>
          <w:color w:val="auto"/>
          <w:sz w:val="24"/>
          <w:szCs w:val="20"/>
          <w:highlight w:val="none"/>
        </w:rPr>
      </w:pPr>
      <w:r>
        <w:rPr>
          <w:rFonts w:hint="eastAsia" w:ascii="宋体" w:hAnsi="宋体" w:eastAsia="宋体" w:cs="宋体"/>
          <w:bCs/>
          <w:color w:val="auto"/>
          <w:sz w:val="24"/>
          <w:highlight w:val="none"/>
        </w:rPr>
        <w:t xml:space="preserve">项目名称： </w:t>
      </w:r>
    </w:p>
    <w:p w14:paraId="63290C96">
      <w:pP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项目编号： </w:t>
      </w:r>
    </w:p>
    <w:p w14:paraId="2F40DFF2">
      <w:pP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w:t>
      </w:r>
    </w:p>
    <w:p w14:paraId="1C3C7FFD">
      <w:pP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投标人名称：</w:t>
      </w:r>
    </w:p>
    <w:p w14:paraId="275450D2">
      <w:pP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投标人地址：</w:t>
      </w:r>
    </w:p>
    <w:p w14:paraId="532939FA">
      <w:pPr>
        <w:snapToGrid w:val="0"/>
        <w:spacing w:before="165" w:beforeLines="50" w:after="50"/>
        <w:ind w:firstLine="64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468D0ECE">
      <w:pPr>
        <w:snapToGrid w:val="0"/>
        <w:spacing w:before="165" w:beforeLines="50" w:after="50"/>
        <w:ind w:firstLine="645"/>
        <w:jc w:val="center"/>
        <w:rPr>
          <w:rFonts w:hint="eastAsia" w:ascii="宋体" w:hAnsi="宋体" w:eastAsia="宋体" w:cs="宋体"/>
          <w:color w:val="auto"/>
          <w:sz w:val="24"/>
          <w:szCs w:val="20"/>
          <w:highlight w:val="none"/>
        </w:rPr>
      </w:pPr>
    </w:p>
    <w:p w14:paraId="518AB1EF">
      <w:pPr>
        <w:jc w:val="center"/>
        <w:rPr>
          <w:rFonts w:hint="eastAsia" w:ascii="宋体" w:hAnsi="宋体" w:eastAsia="宋体" w:cs="宋体"/>
          <w:b/>
          <w:color w:val="auto"/>
          <w:kern w:val="0"/>
          <w:sz w:val="28"/>
          <w:szCs w:val="28"/>
          <w:highlight w:val="none"/>
        </w:rPr>
      </w:pPr>
      <w:r>
        <w:rPr>
          <w:rFonts w:hint="eastAsia" w:ascii="宋体" w:hAnsi="宋体" w:eastAsia="宋体" w:cs="宋体"/>
          <w:b/>
          <w:bCs/>
          <w:color w:val="auto"/>
          <w:sz w:val="24"/>
          <w:highlight w:val="none"/>
        </w:rPr>
        <w:br w:type="page"/>
      </w:r>
      <w:r>
        <w:rPr>
          <w:rFonts w:hint="eastAsia" w:ascii="宋体" w:hAnsi="宋体" w:eastAsia="宋体" w:cs="宋体"/>
          <w:b/>
          <w:color w:val="auto"/>
          <w:kern w:val="0"/>
          <w:sz w:val="28"/>
          <w:szCs w:val="28"/>
          <w:highlight w:val="none"/>
        </w:rPr>
        <w:t>技术文件目录</w:t>
      </w:r>
    </w:p>
    <w:p w14:paraId="2270984D">
      <w:pPr>
        <w:pStyle w:val="35"/>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w:t>
      </w:r>
      <w:r>
        <w:rPr>
          <w:rFonts w:hint="eastAsia" w:ascii="宋体" w:hAnsi="宋体" w:eastAsia="宋体" w:cs="宋体"/>
          <w:color w:val="auto"/>
          <w:highlight w:val="none"/>
          <w:lang w:eastAsia="zh-CN"/>
        </w:rPr>
        <w:t>技术需求偏离表</w:t>
      </w:r>
      <w:r>
        <w:rPr>
          <w:rFonts w:hint="eastAsia" w:ascii="宋体" w:hAnsi="宋体" w:eastAsia="宋体" w:cs="宋体"/>
          <w:color w:val="auto"/>
          <w:highlight w:val="none"/>
        </w:rPr>
        <w:t>……………………………………………………（页码）</w:t>
      </w:r>
    </w:p>
    <w:p w14:paraId="096677AC">
      <w:pPr>
        <w:pStyle w:val="35"/>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w:t>
      </w:r>
      <w:r>
        <w:rPr>
          <w:rFonts w:hint="eastAsia" w:ascii="宋体" w:hAnsi="宋体" w:eastAsia="宋体" w:cs="宋体"/>
          <w:color w:val="auto"/>
          <w:highlight w:val="none"/>
          <w:lang w:eastAsia="zh-CN"/>
        </w:rPr>
        <w:t>施工组织设计</w:t>
      </w:r>
      <w:r>
        <w:rPr>
          <w:rFonts w:hint="eastAsia" w:ascii="宋体" w:hAnsi="宋体" w:eastAsia="宋体" w:cs="宋体"/>
          <w:color w:val="auto"/>
          <w:highlight w:val="none"/>
        </w:rPr>
        <w:t>…………………………………………………………………（页码）</w:t>
      </w:r>
    </w:p>
    <w:p w14:paraId="307C4D58">
      <w:pPr>
        <w:pStyle w:val="35"/>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rPr>
        <w:t>、</w:t>
      </w:r>
      <w:r>
        <w:rPr>
          <w:rFonts w:hint="eastAsia" w:ascii="宋体" w:hAnsi="宋体" w:eastAsia="宋体" w:cs="宋体"/>
          <w:color w:val="auto"/>
          <w:highlight w:val="none"/>
          <w:lang w:val="zh-CN"/>
        </w:rPr>
        <w:t>项目管理机构………………………………</w:t>
      </w:r>
      <w:r>
        <w:rPr>
          <w:rFonts w:hint="eastAsia" w:ascii="宋体" w:hAnsi="宋体" w:eastAsia="宋体" w:cs="宋体"/>
          <w:color w:val="auto"/>
          <w:highlight w:val="none"/>
        </w:rPr>
        <w:t>…………………………（页码）</w:t>
      </w:r>
    </w:p>
    <w:p w14:paraId="0903B79F">
      <w:pPr>
        <w:pStyle w:val="35"/>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、认为需要的其他技术文件或说明（如有）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2F3E45A5">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注：以上目录是基本格式要求，各投标人可根据自身情况进一步向下增加内容或细化。</w:t>
      </w:r>
    </w:p>
    <w:p w14:paraId="79BE1372">
      <w:pPr>
        <w:snapToGrid w:val="0"/>
        <w:spacing w:before="165" w:beforeLines="50" w:after="50"/>
        <w:ind w:left="143" w:leftChars="68" w:firstLine="472" w:firstLineChars="196"/>
        <w:jc w:val="left"/>
        <w:rPr>
          <w:rFonts w:hint="eastAsia" w:ascii="宋体" w:hAnsi="宋体" w:eastAsia="宋体" w:cs="宋体"/>
          <w:b/>
          <w:color w:val="auto"/>
          <w:sz w:val="24"/>
          <w:highlight w:val="none"/>
        </w:rPr>
      </w:pPr>
    </w:p>
    <w:p w14:paraId="77421762">
      <w:pPr>
        <w:snapToGrid w:val="0"/>
        <w:spacing w:before="165" w:beforeLines="50" w:after="50"/>
        <w:ind w:left="143" w:leftChars="68" w:firstLine="472" w:firstLineChars="196"/>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 xml:space="preserve"> </w:t>
      </w:r>
    </w:p>
    <w:p w14:paraId="185372D2">
      <w:pPr>
        <w:pStyle w:val="11"/>
        <w:spacing w:line="500" w:lineRule="exact"/>
        <w:jc w:val="center"/>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一、</w:t>
      </w:r>
      <w:r>
        <w:rPr>
          <w:rFonts w:hint="eastAsia" w:hAnsi="宋体" w:cs="宋体"/>
          <w:b/>
          <w:bCs/>
          <w:color w:val="auto"/>
          <w:sz w:val="30"/>
          <w:szCs w:val="30"/>
          <w:highlight w:val="none"/>
          <w:lang w:eastAsia="zh-CN"/>
        </w:rPr>
        <w:t>技术需求偏离表</w:t>
      </w:r>
    </w:p>
    <w:p w14:paraId="279E3BB5">
      <w:pPr>
        <w:pStyle w:val="11"/>
        <w:spacing w:line="440" w:lineRule="exact"/>
        <w:ind w:firstLine="420" w:firstLineChars="200"/>
        <w:rPr>
          <w:rFonts w:hint="eastAsia" w:ascii="宋体" w:hAnsi="宋体" w:eastAsia="宋体" w:cs="宋体"/>
          <w:color w:val="auto"/>
          <w:highlight w:val="none"/>
        </w:rPr>
      </w:pPr>
    </w:p>
    <w:p w14:paraId="1D4B6787">
      <w:pPr>
        <w:pStyle w:val="11"/>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请根据所投</w:t>
      </w:r>
      <w:r>
        <w:rPr>
          <w:rFonts w:hint="eastAsia" w:hAnsi="宋体" w:cs="宋体"/>
          <w:color w:val="auto"/>
          <w:sz w:val="24"/>
          <w:szCs w:val="24"/>
          <w:highlight w:val="none"/>
          <w:lang w:val="en-US" w:eastAsia="zh-CN"/>
        </w:rPr>
        <w:t>工程</w:t>
      </w:r>
      <w:r>
        <w:rPr>
          <w:rFonts w:hint="eastAsia" w:ascii="宋体" w:hAnsi="宋体" w:eastAsia="宋体" w:cs="宋体"/>
          <w:color w:val="auto"/>
          <w:sz w:val="24"/>
          <w:szCs w:val="24"/>
          <w:highlight w:val="none"/>
        </w:rPr>
        <w:t>的实际技术参数，</w:t>
      </w:r>
      <w:r>
        <w:rPr>
          <w:rFonts w:hint="eastAsia" w:ascii="宋体" w:hAnsi="宋体" w:eastAsia="宋体" w:cs="宋体"/>
          <w:b/>
          <w:color w:val="auto"/>
          <w:sz w:val="28"/>
          <w:szCs w:val="28"/>
          <w:highlight w:val="none"/>
        </w:rPr>
        <w:t>逐条对应</w:t>
      </w:r>
      <w:r>
        <w:rPr>
          <w:rFonts w:hint="eastAsia" w:ascii="宋体" w:hAnsi="宋体" w:eastAsia="宋体" w:cs="宋体"/>
          <w:color w:val="auto"/>
          <w:sz w:val="24"/>
          <w:szCs w:val="24"/>
          <w:highlight w:val="none"/>
        </w:rPr>
        <w:t>本项目招标文件第二章“</w:t>
      </w:r>
      <w:r>
        <w:rPr>
          <w:rFonts w:hint="eastAsia" w:hAnsi="宋体" w:cs="宋体"/>
          <w:color w:val="auto"/>
          <w:sz w:val="24"/>
          <w:szCs w:val="24"/>
          <w:highlight w:val="none"/>
          <w:lang w:eastAsia="zh-CN"/>
        </w:rPr>
        <w:t>技术需求一览表</w:t>
      </w:r>
      <w:r>
        <w:rPr>
          <w:rFonts w:hint="eastAsia" w:ascii="宋体" w:hAnsi="宋体" w:eastAsia="宋体" w:cs="宋体"/>
          <w:color w:val="auto"/>
          <w:sz w:val="24"/>
          <w:szCs w:val="24"/>
          <w:highlight w:val="none"/>
        </w:rPr>
        <w:t>”中的</w:t>
      </w:r>
      <w:r>
        <w:rPr>
          <w:rFonts w:hint="eastAsia" w:ascii="宋体" w:hAnsi="宋体" w:eastAsia="宋体" w:cs="宋体"/>
          <w:b/>
          <w:color w:val="auto"/>
          <w:sz w:val="28"/>
          <w:szCs w:val="28"/>
          <w:highlight w:val="none"/>
        </w:rPr>
        <w:t>采购清单及</w:t>
      </w:r>
      <w:r>
        <w:rPr>
          <w:rFonts w:hint="eastAsia" w:hAnsi="宋体" w:cs="宋体"/>
          <w:b/>
          <w:color w:val="auto"/>
          <w:sz w:val="28"/>
          <w:szCs w:val="28"/>
          <w:highlight w:val="none"/>
          <w:lang w:val="en-US" w:eastAsia="zh-CN"/>
        </w:rPr>
        <w:t>技术</w:t>
      </w:r>
      <w:r>
        <w:rPr>
          <w:rFonts w:hint="eastAsia" w:ascii="宋体" w:hAnsi="宋体" w:eastAsia="宋体" w:cs="宋体"/>
          <w:b/>
          <w:color w:val="auto"/>
          <w:sz w:val="28"/>
          <w:szCs w:val="28"/>
          <w:highlight w:val="none"/>
        </w:rPr>
        <w:t>参数</w:t>
      </w:r>
      <w:r>
        <w:rPr>
          <w:rFonts w:hint="eastAsia" w:ascii="宋体" w:hAnsi="宋体" w:eastAsia="宋体" w:cs="宋体"/>
          <w:color w:val="auto"/>
          <w:sz w:val="24"/>
          <w:szCs w:val="24"/>
          <w:highlight w:val="none"/>
        </w:rPr>
        <w:t>详细填写相应的具体内容。“偏离说明”一栏应当选择“正偏离”、“负偏离”或“无偏离”进行填写。</w:t>
      </w:r>
    </w:p>
    <w:tbl>
      <w:tblPr>
        <w:tblStyle w:val="20"/>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5891B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3E5B7DE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14:paraId="0CDA076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vAlign w:val="center"/>
          </w:tcPr>
          <w:p w14:paraId="71E1A59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14:paraId="02A01AD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37DB2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14:paraId="4EAF0FA6">
            <w:pPr>
              <w:widowControl/>
              <w:jc w:val="left"/>
              <w:rPr>
                <w:rFonts w:hint="eastAsia" w:ascii="宋体" w:hAnsi="宋体" w:eastAsia="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1215537">
            <w:pPr>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标的</w:t>
            </w:r>
            <w:r>
              <w:rPr>
                <w:rFonts w:hint="eastAsia" w:ascii="宋体" w:hAnsi="宋体" w:eastAsia="宋体" w:cs="宋体"/>
                <w:color w:val="auto"/>
                <w:szCs w:val="21"/>
                <w:highlight w:val="none"/>
              </w:rPr>
              <w:t>名称</w:t>
            </w:r>
          </w:p>
        </w:tc>
        <w:tc>
          <w:tcPr>
            <w:tcW w:w="2310" w:type="dxa"/>
            <w:tcBorders>
              <w:top w:val="single" w:color="auto" w:sz="4" w:space="0"/>
              <w:left w:val="single" w:color="auto" w:sz="4" w:space="0"/>
              <w:bottom w:val="single" w:color="auto" w:sz="4" w:space="0"/>
              <w:right w:val="single" w:color="auto" w:sz="4" w:space="0"/>
            </w:tcBorders>
            <w:vAlign w:val="center"/>
          </w:tcPr>
          <w:p w14:paraId="078E438C">
            <w:pPr>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技术</w:t>
            </w:r>
            <w:r>
              <w:rPr>
                <w:rFonts w:hint="eastAsia" w:ascii="宋体" w:hAnsi="宋体" w:eastAsia="宋体" w:cs="宋体"/>
                <w:color w:val="auto"/>
                <w:szCs w:val="21"/>
                <w:highlight w:val="none"/>
              </w:rPr>
              <w:t>参数</w:t>
            </w:r>
          </w:p>
        </w:tc>
        <w:tc>
          <w:tcPr>
            <w:tcW w:w="1516" w:type="dxa"/>
            <w:tcBorders>
              <w:top w:val="single" w:color="auto" w:sz="4" w:space="0"/>
              <w:left w:val="single" w:color="auto" w:sz="4" w:space="0"/>
              <w:bottom w:val="single" w:color="auto" w:sz="4" w:space="0"/>
              <w:right w:val="single" w:color="auto" w:sz="4" w:space="0"/>
            </w:tcBorders>
            <w:vAlign w:val="center"/>
          </w:tcPr>
          <w:p w14:paraId="0412E3E6">
            <w:pPr>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标的</w:t>
            </w:r>
            <w:r>
              <w:rPr>
                <w:rFonts w:hint="eastAsia" w:ascii="宋体" w:hAnsi="宋体" w:eastAsia="宋体" w:cs="宋体"/>
                <w:color w:val="auto"/>
                <w:szCs w:val="21"/>
                <w:highlight w:val="none"/>
              </w:rPr>
              <w:t>名称</w:t>
            </w:r>
          </w:p>
        </w:tc>
        <w:tc>
          <w:tcPr>
            <w:tcW w:w="3297" w:type="dxa"/>
            <w:tcBorders>
              <w:top w:val="single" w:color="auto" w:sz="4" w:space="0"/>
              <w:left w:val="single" w:color="auto" w:sz="4" w:space="0"/>
              <w:bottom w:val="single" w:color="auto" w:sz="4" w:space="0"/>
              <w:right w:val="single" w:color="auto" w:sz="4" w:space="0"/>
            </w:tcBorders>
            <w:vAlign w:val="center"/>
          </w:tcPr>
          <w:p w14:paraId="4958DB4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所提供</w:t>
            </w:r>
            <w:r>
              <w:rPr>
                <w:rFonts w:hint="eastAsia" w:ascii="宋体" w:hAnsi="宋体" w:cs="宋体"/>
                <w:color w:val="auto"/>
                <w:szCs w:val="21"/>
                <w:highlight w:val="none"/>
                <w:lang w:val="en-US" w:eastAsia="zh-CN"/>
              </w:rPr>
              <w:t>技术</w:t>
            </w:r>
            <w:r>
              <w:rPr>
                <w:rFonts w:hint="eastAsia" w:ascii="宋体" w:hAnsi="宋体" w:eastAsia="宋体" w:cs="宋体"/>
                <w:color w:val="auto"/>
                <w:szCs w:val="21"/>
                <w:highlight w:val="none"/>
              </w:rPr>
              <w:t>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06D02424">
            <w:pPr>
              <w:widowControl/>
              <w:jc w:val="left"/>
              <w:rPr>
                <w:rFonts w:hint="eastAsia" w:ascii="宋体" w:hAnsi="宋体" w:eastAsia="宋体" w:cs="宋体"/>
                <w:color w:val="auto"/>
                <w:szCs w:val="21"/>
                <w:highlight w:val="none"/>
              </w:rPr>
            </w:pPr>
          </w:p>
        </w:tc>
      </w:tr>
      <w:tr w14:paraId="655F1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6B63210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485A416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5E89546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EEF350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B8B977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A0C542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5AC5E6C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32D2564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805D5A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7FBF6C4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D30479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336E7AA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tc>
      </w:tr>
      <w:tr w14:paraId="440A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1A6E567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2CB045C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54B7376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9D5140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78AFB5C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BF70D4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0CA2E87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305B367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1A76E6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712B4A5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261701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0154077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tc>
      </w:tr>
      <w:tr w14:paraId="31823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1E26ED9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18262C69">
            <w:pPr>
              <w:rPr>
                <w:rFonts w:hint="eastAsia" w:ascii="宋体" w:hAnsi="宋体" w:eastAsia="宋体" w:cs="宋体"/>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14:paraId="771B6817">
            <w:pPr>
              <w:rPr>
                <w:rFonts w:hint="eastAsia" w:ascii="宋体" w:hAnsi="宋体" w:eastAsia="宋体" w:cs="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6FC8E423">
            <w:pPr>
              <w:rPr>
                <w:rFonts w:hint="eastAsia" w:ascii="宋体" w:hAnsi="宋体" w:eastAsia="宋体" w:cs="宋体"/>
                <w:color w:val="auto"/>
                <w:szCs w:val="21"/>
                <w:highlight w:val="none"/>
              </w:rPr>
            </w:pPr>
          </w:p>
        </w:tc>
        <w:tc>
          <w:tcPr>
            <w:tcW w:w="3297" w:type="dxa"/>
            <w:tcBorders>
              <w:top w:val="single" w:color="auto" w:sz="4" w:space="0"/>
              <w:left w:val="single" w:color="auto" w:sz="4" w:space="0"/>
              <w:bottom w:val="single" w:color="auto" w:sz="4" w:space="0"/>
              <w:right w:val="single" w:color="auto" w:sz="4" w:space="0"/>
            </w:tcBorders>
            <w:vAlign w:val="center"/>
          </w:tcPr>
          <w:p w14:paraId="2FCA9992">
            <w:pPr>
              <w:rPr>
                <w:rFonts w:hint="eastAsia" w:ascii="宋体" w:hAnsi="宋体" w:eastAsia="宋体" w:cs="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14:paraId="0C777DBC">
            <w:pPr>
              <w:rPr>
                <w:rFonts w:hint="eastAsia" w:ascii="宋体" w:hAnsi="宋体" w:eastAsia="宋体" w:cs="宋体"/>
                <w:color w:val="auto"/>
                <w:szCs w:val="21"/>
                <w:highlight w:val="none"/>
              </w:rPr>
            </w:pPr>
          </w:p>
        </w:tc>
      </w:tr>
      <w:tr w14:paraId="278AF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14:paraId="3EBD9D78">
            <w:pP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bl>
    <w:p w14:paraId="63E38614">
      <w:pPr>
        <w:pStyle w:val="1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30436B3B">
      <w:pPr>
        <w:pStyle w:val="1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1.表格内容均需按要求填写并盖章，不得留空，</w:t>
      </w:r>
      <w:r>
        <w:rPr>
          <w:rFonts w:hint="eastAsia" w:ascii="宋体" w:hAnsi="宋体" w:eastAsia="宋体" w:cs="宋体"/>
          <w:bCs/>
          <w:color w:val="auto"/>
          <w:szCs w:val="21"/>
          <w:highlight w:val="none"/>
        </w:rPr>
        <w:t>否则按投标无效处理</w:t>
      </w:r>
      <w:r>
        <w:rPr>
          <w:rFonts w:hint="eastAsia" w:ascii="宋体" w:hAnsi="宋体" w:eastAsia="宋体" w:cs="宋体"/>
          <w:color w:val="auto"/>
          <w:szCs w:val="21"/>
          <w:highlight w:val="none"/>
        </w:rPr>
        <w:t>。</w:t>
      </w:r>
    </w:p>
    <w:p w14:paraId="48789E29">
      <w:pPr>
        <w:pStyle w:val="11"/>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2.当投标文件的</w:t>
      </w:r>
      <w:r>
        <w:rPr>
          <w:rFonts w:hint="eastAsia" w:hAnsi="宋体" w:cs="宋体"/>
          <w:bCs/>
          <w:color w:val="auto"/>
          <w:szCs w:val="21"/>
          <w:highlight w:val="none"/>
          <w:lang w:eastAsia="zh-CN"/>
        </w:rPr>
        <w:t>技术</w:t>
      </w:r>
      <w:r>
        <w:rPr>
          <w:rFonts w:hint="eastAsia" w:ascii="宋体" w:hAnsi="宋体" w:eastAsia="宋体" w:cs="宋体"/>
          <w:bCs/>
          <w:color w:val="auto"/>
          <w:szCs w:val="21"/>
          <w:highlight w:val="none"/>
        </w:rPr>
        <w:t>内容低于招标文件要求时，投标人应当如实写明“负偏离”，否则视为虚假应标。</w:t>
      </w:r>
    </w:p>
    <w:p w14:paraId="5AB8267F">
      <w:pPr>
        <w:pStyle w:val="1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szCs w:val="21"/>
          <w:highlight w:val="none"/>
        </w:rPr>
        <w:t>采购需求中带“▲”及“★”的条款，也要分别在本表“</w:t>
      </w:r>
      <w:r>
        <w:rPr>
          <w:rFonts w:hint="eastAsia" w:hAnsi="宋体" w:cs="宋体"/>
          <w:color w:val="auto"/>
          <w:szCs w:val="21"/>
          <w:highlight w:val="none"/>
          <w:lang w:eastAsia="zh-CN"/>
        </w:rPr>
        <w:t>技术</w:t>
      </w:r>
      <w:r>
        <w:rPr>
          <w:rFonts w:hint="eastAsia" w:ascii="宋体" w:hAnsi="宋体" w:eastAsia="宋体" w:cs="宋体"/>
          <w:color w:val="auto"/>
          <w:szCs w:val="21"/>
          <w:highlight w:val="none"/>
        </w:rPr>
        <w:t>参数”、“所提供</w:t>
      </w:r>
      <w:r>
        <w:rPr>
          <w:rFonts w:hint="eastAsia" w:hAnsi="宋体" w:cs="宋体"/>
          <w:color w:val="auto"/>
          <w:szCs w:val="21"/>
          <w:highlight w:val="none"/>
          <w:lang w:eastAsia="zh-CN"/>
        </w:rPr>
        <w:t>技术</w:t>
      </w:r>
      <w:r>
        <w:rPr>
          <w:rFonts w:hint="eastAsia" w:ascii="宋体" w:hAnsi="宋体" w:eastAsia="宋体" w:cs="宋体"/>
          <w:color w:val="auto"/>
          <w:szCs w:val="21"/>
          <w:highlight w:val="none"/>
        </w:rPr>
        <w:t>的内容”中标记。</w:t>
      </w:r>
    </w:p>
    <w:p w14:paraId="167D840B">
      <w:pPr>
        <w:snapToGrid w:val="0"/>
        <w:spacing w:line="360" w:lineRule="auto"/>
        <w:ind w:firstLine="5640" w:firstLineChars="2350"/>
        <w:rPr>
          <w:rFonts w:hint="eastAsia" w:ascii="宋体" w:hAnsi="宋体" w:eastAsia="宋体" w:cs="宋体"/>
          <w:color w:val="auto"/>
          <w:kern w:val="0"/>
          <w:sz w:val="24"/>
          <w:highlight w:val="none"/>
          <w:lang w:val="zh-CN"/>
        </w:rPr>
      </w:pPr>
    </w:p>
    <w:p w14:paraId="6D7E6BAB">
      <w:pPr>
        <w:snapToGrid w:val="0"/>
        <w:spacing w:line="360" w:lineRule="auto"/>
        <w:ind w:firstLine="5640" w:firstLineChars="2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16D87A10">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6E777A15">
      <w:pPr>
        <w:widowControl/>
        <w:jc w:val="left"/>
        <w:rPr>
          <w:rFonts w:hint="eastAsia" w:ascii="宋体" w:hAnsi="宋体" w:eastAsia="宋体" w:cs="宋体"/>
          <w:color w:val="auto"/>
          <w:sz w:val="30"/>
          <w:szCs w:val="20"/>
          <w:highlight w:val="none"/>
        </w:rPr>
        <w:sectPr>
          <w:pgSz w:w="11906" w:h="16838"/>
          <w:pgMar w:top="1134" w:right="1134" w:bottom="1134" w:left="1134" w:header="720" w:footer="720" w:gutter="0"/>
          <w:cols w:space="720" w:num="1"/>
          <w:docGrid w:type="lines" w:linePitch="331" w:charSpace="0"/>
        </w:sectPr>
      </w:pPr>
    </w:p>
    <w:p w14:paraId="514EB0D8">
      <w:pPr>
        <w:snapToGrid w:val="0"/>
        <w:spacing w:before="165" w:beforeLines="50" w:after="5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二、施工组织设计</w:t>
      </w:r>
    </w:p>
    <w:p w14:paraId="00457A74">
      <w:pPr>
        <w:autoSpaceDE w:val="0"/>
        <w:autoSpaceDN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w:t>
      </w:r>
      <w:r>
        <w:rPr>
          <w:rFonts w:hint="eastAsia" w:ascii="宋体" w:hAnsi="宋体" w:cs="宋体"/>
          <w:b/>
          <w:bCs/>
          <w:color w:val="auto"/>
          <w:sz w:val="24"/>
          <w:highlight w:val="none"/>
          <w:lang w:val="en-US" w:eastAsia="zh-CN"/>
        </w:rPr>
        <w:t>可</w:t>
      </w:r>
      <w:r>
        <w:rPr>
          <w:rFonts w:hint="eastAsia" w:ascii="宋体" w:hAnsi="宋体" w:eastAsia="宋体" w:cs="宋体"/>
          <w:b/>
          <w:bCs/>
          <w:color w:val="auto"/>
          <w:sz w:val="24"/>
          <w:highlight w:val="none"/>
        </w:rPr>
        <w:t>由投标人根据采购需求及招标文件要求</w:t>
      </w:r>
      <w:r>
        <w:rPr>
          <w:rFonts w:hint="eastAsia" w:ascii="宋体" w:hAnsi="宋体" w:cs="宋体"/>
          <w:b/>
          <w:bCs/>
          <w:color w:val="auto"/>
          <w:sz w:val="24"/>
          <w:highlight w:val="none"/>
          <w:lang w:val="en-US" w:eastAsia="zh-CN"/>
        </w:rPr>
        <w:t>自行</w:t>
      </w:r>
      <w:r>
        <w:rPr>
          <w:rFonts w:hint="eastAsia" w:ascii="宋体" w:hAnsi="宋体" w:eastAsia="宋体" w:cs="宋体"/>
          <w:b/>
          <w:bCs/>
          <w:color w:val="auto"/>
          <w:sz w:val="24"/>
          <w:highlight w:val="none"/>
        </w:rPr>
        <w:t>编制）</w:t>
      </w:r>
    </w:p>
    <w:p w14:paraId="24294E24">
      <w:pPr>
        <w:pStyle w:val="38"/>
        <w:tabs>
          <w:tab w:val="left" w:pos="923"/>
        </w:tabs>
        <w:ind w:firstLine="420" w:firstLineChars="200"/>
        <w:rPr>
          <w:rFonts w:hint="eastAsia"/>
          <w:color w:val="auto"/>
          <w:sz w:val="21"/>
          <w:szCs w:val="21"/>
          <w:highlight w:val="none"/>
          <w:lang w:val="en-US"/>
        </w:rPr>
      </w:pPr>
      <w:r>
        <w:rPr>
          <w:rFonts w:hint="eastAsia"/>
          <w:color w:val="auto"/>
          <w:sz w:val="21"/>
          <w:szCs w:val="21"/>
          <w:highlight w:val="none"/>
          <w:lang w:val="en-US"/>
        </w:rPr>
        <w:t>1.</w:t>
      </w:r>
      <w:r>
        <w:rPr>
          <w:rFonts w:hint="eastAsia"/>
          <w:color w:val="auto"/>
          <w:sz w:val="21"/>
          <w:szCs w:val="21"/>
          <w:highlight w:val="none"/>
        </w:rPr>
        <w:t>投标人编制施工组织设计时，应采用文字并结合图表形式说明工程的施工组织、施工方法、技术组织措施，同时应对关键工序、复杂环节重点提出相应技术措施，如冬雨季施工技术、减少噪音、降低环境污染、地下管线及其它地上地下设施的保护加固措施等。施工组织设计还应结合工程特点提出切实可行的工程质量、工程进度、安全生产、防汛度汛、文明施工、水土保持、环境保护管理方案。</w:t>
      </w:r>
    </w:p>
    <w:p w14:paraId="3EF4765C">
      <w:pPr>
        <w:pStyle w:val="38"/>
        <w:ind w:firstLine="420" w:firstLineChars="200"/>
        <w:rPr>
          <w:rFonts w:hint="eastAsia"/>
          <w:color w:val="auto"/>
          <w:sz w:val="21"/>
          <w:szCs w:val="21"/>
          <w:highlight w:val="none"/>
          <w:lang w:val="en-US"/>
        </w:rPr>
      </w:pPr>
      <w:bookmarkStart w:id="1548" w:name="bookmark2227"/>
      <w:bookmarkEnd w:id="1548"/>
      <w:r>
        <w:rPr>
          <w:rFonts w:hint="eastAsia"/>
          <w:color w:val="auto"/>
          <w:sz w:val="21"/>
          <w:szCs w:val="21"/>
          <w:highlight w:val="none"/>
          <w:lang w:val="en-US"/>
        </w:rPr>
        <w:t>施工组织设计应附的文字说明如下(包括但不限于以下内容)：</w:t>
      </w:r>
    </w:p>
    <w:p w14:paraId="4F9DE2B5">
      <w:pPr>
        <w:pStyle w:val="38"/>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rPr>
        <w:t>主要施工方法</w:t>
      </w:r>
    </w:p>
    <w:p w14:paraId="135F86B4">
      <w:pPr>
        <w:pStyle w:val="38"/>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rPr>
        <w:t>拟投入的主要物资计划</w:t>
      </w:r>
    </w:p>
    <w:p w14:paraId="3647ABED">
      <w:pPr>
        <w:pStyle w:val="38"/>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rPr>
        <w:t>拟投入的主要施工机械、设备计划</w:t>
      </w:r>
    </w:p>
    <w:p w14:paraId="6AC9C2B6">
      <w:pPr>
        <w:pStyle w:val="38"/>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rPr>
        <w:t>劳动力安排计划</w:t>
      </w:r>
    </w:p>
    <w:p w14:paraId="0DF8A5DF">
      <w:pPr>
        <w:pStyle w:val="38"/>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rPr>
        <w:t>确保工程质量的技术组织措施</w:t>
      </w:r>
    </w:p>
    <w:p w14:paraId="71437F74">
      <w:pPr>
        <w:pStyle w:val="38"/>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en-US"/>
        </w:rPr>
        <w:t>确保安全生产的技术组织措施</w:t>
      </w:r>
    </w:p>
    <w:p w14:paraId="7276BB40">
      <w:pPr>
        <w:pStyle w:val="38"/>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en-US"/>
        </w:rPr>
        <w:t>确保工期的技术组织措施</w:t>
      </w:r>
    </w:p>
    <w:p w14:paraId="61402302">
      <w:pPr>
        <w:pStyle w:val="38"/>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en-US"/>
        </w:rPr>
        <w:t>工程施工的重点和难点及保证措施</w:t>
      </w:r>
    </w:p>
    <w:p w14:paraId="31AE130F">
      <w:pPr>
        <w:pStyle w:val="38"/>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（9）施工总平面图</w:t>
      </w:r>
    </w:p>
    <w:p w14:paraId="62B4B667">
      <w:pPr>
        <w:pStyle w:val="38"/>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w:t>
      </w:r>
    </w:p>
    <w:p w14:paraId="49A8881A">
      <w:pPr>
        <w:pStyle w:val="38"/>
        <w:ind w:firstLine="420" w:firstLineChars="200"/>
        <w:rPr>
          <w:rFonts w:hint="eastAsia"/>
          <w:color w:val="auto"/>
          <w:sz w:val="21"/>
          <w:szCs w:val="21"/>
          <w:highlight w:val="none"/>
          <w:lang w:val="en-US"/>
        </w:rPr>
      </w:pPr>
    </w:p>
    <w:p w14:paraId="221C9D8F">
      <w:pPr>
        <w:pStyle w:val="38"/>
        <w:ind w:firstLine="420" w:firstLineChars="200"/>
        <w:rPr>
          <w:rFonts w:hint="eastAsia"/>
          <w:color w:val="auto"/>
          <w:sz w:val="21"/>
          <w:szCs w:val="21"/>
          <w:highlight w:val="none"/>
        </w:rPr>
      </w:pPr>
      <w:r>
        <w:rPr>
          <w:rFonts w:hint="eastAsia"/>
          <w:color w:val="auto"/>
          <w:sz w:val="21"/>
          <w:szCs w:val="21"/>
          <w:highlight w:val="none"/>
          <w:lang w:val="en-US"/>
        </w:rPr>
        <w:t>2.</w:t>
      </w:r>
      <w:r>
        <w:rPr>
          <w:rFonts w:hint="eastAsia"/>
          <w:color w:val="auto"/>
          <w:sz w:val="21"/>
          <w:szCs w:val="21"/>
          <w:highlight w:val="none"/>
        </w:rPr>
        <w:t xml:space="preserve">施工组织设计除采用文字表述外应附下列图表，图表及格式要求附后。 </w:t>
      </w:r>
    </w:p>
    <w:p w14:paraId="341D4706">
      <w:pPr>
        <w:pStyle w:val="38"/>
        <w:ind w:firstLine="420" w:firstLineChars="200"/>
        <w:rPr>
          <w:rFonts w:hint="eastAsia"/>
          <w:color w:val="auto"/>
          <w:sz w:val="21"/>
          <w:szCs w:val="21"/>
          <w:highlight w:val="none"/>
        </w:rPr>
      </w:pPr>
      <w:r>
        <w:rPr>
          <w:rFonts w:hint="eastAsia"/>
          <w:color w:val="auto"/>
          <w:sz w:val="21"/>
          <w:szCs w:val="21"/>
          <w:highlight w:val="none"/>
        </w:rPr>
        <w:t>附件一：拟投入本合同工程的主要施工设备表</w:t>
      </w:r>
    </w:p>
    <w:p w14:paraId="3E496373">
      <w:pPr>
        <w:pStyle w:val="38"/>
        <w:ind w:firstLine="420" w:firstLineChars="200"/>
        <w:rPr>
          <w:rFonts w:hint="eastAsia"/>
          <w:color w:val="auto"/>
          <w:sz w:val="21"/>
          <w:szCs w:val="21"/>
          <w:highlight w:val="none"/>
        </w:rPr>
      </w:pPr>
      <w:r>
        <w:rPr>
          <w:rFonts w:hint="eastAsia"/>
          <w:color w:val="auto"/>
          <w:sz w:val="21"/>
          <w:szCs w:val="21"/>
          <w:highlight w:val="none"/>
        </w:rPr>
        <w:t>附件二：拟投入本合同工程的试验和检测仪器设备表</w:t>
      </w:r>
    </w:p>
    <w:p w14:paraId="0C15B73D">
      <w:pPr>
        <w:pStyle w:val="38"/>
        <w:ind w:firstLine="420" w:firstLineChars="200"/>
        <w:rPr>
          <w:rFonts w:hint="eastAsia"/>
          <w:color w:val="auto"/>
          <w:sz w:val="21"/>
          <w:szCs w:val="21"/>
          <w:highlight w:val="none"/>
        </w:rPr>
      </w:pPr>
      <w:r>
        <w:rPr>
          <w:rFonts w:hint="eastAsia"/>
          <w:color w:val="auto"/>
          <w:sz w:val="21"/>
          <w:szCs w:val="21"/>
          <w:highlight w:val="none"/>
        </w:rPr>
        <w:t>附件三：拟投入本合同工程的劳动力计划表</w:t>
      </w:r>
    </w:p>
    <w:p w14:paraId="50B4F61C">
      <w:pPr>
        <w:pStyle w:val="38"/>
        <w:ind w:firstLine="420" w:firstLineChars="200"/>
        <w:rPr>
          <w:rFonts w:hint="eastAsia"/>
          <w:color w:val="auto"/>
          <w:sz w:val="21"/>
          <w:szCs w:val="21"/>
          <w:highlight w:val="none"/>
        </w:rPr>
      </w:pPr>
      <w:r>
        <w:rPr>
          <w:rFonts w:hint="eastAsia"/>
          <w:color w:val="auto"/>
          <w:sz w:val="21"/>
          <w:szCs w:val="21"/>
          <w:highlight w:val="none"/>
        </w:rPr>
        <w:t>附件四、拟投入本合同工程的材料进场计划表</w:t>
      </w:r>
    </w:p>
    <w:p w14:paraId="74A06ABE">
      <w:pPr>
        <w:pStyle w:val="38"/>
        <w:ind w:firstLine="420" w:firstLineChars="200"/>
        <w:rPr>
          <w:rFonts w:hint="eastAsia"/>
          <w:color w:val="auto"/>
          <w:sz w:val="21"/>
          <w:szCs w:val="21"/>
          <w:highlight w:val="none"/>
        </w:rPr>
      </w:pPr>
      <w:r>
        <w:rPr>
          <w:rFonts w:hint="eastAsia"/>
          <w:color w:val="auto"/>
          <w:sz w:val="21"/>
          <w:szCs w:val="21"/>
          <w:highlight w:val="none"/>
        </w:rPr>
        <w:t>附件五：计划开工日期、完工日期和施工进度网络图(或横递图)</w:t>
      </w:r>
    </w:p>
    <w:p w14:paraId="2AB56E41">
      <w:pPr>
        <w:pStyle w:val="38"/>
        <w:ind w:firstLine="420" w:firstLineChars="200"/>
        <w:rPr>
          <w:rFonts w:hint="eastAsia" w:eastAsia="宋体"/>
          <w:color w:val="auto"/>
          <w:sz w:val="21"/>
          <w:szCs w:val="21"/>
          <w:highlight w:val="none"/>
          <w:lang w:val="en-US" w:eastAsia="zh-CN"/>
        </w:rPr>
      </w:pPr>
      <w:r>
        <w:rPr>
          <w:rFonts w:hint="eastAsia"/>
          <w:color w:val="auto"/>
          <w:sz w:val="21"/>
          <w:szCs w:val="21"/>
          <w:highlight w:val="none"/>
        </w:rPr>
        <w:t>附件六：施工总平面图</w:t>
      </w:r>
    </w:p>
    <w:p w14:paraId="33EB9067">
      <w:pPr>
        <w:pStyle w:val="38"/>
        <w:ind w:firstLine="420" w:firstLineChars="200"/>
        <w:rPr>
          <w:rFonts w:hint="eastAsia"/>
          <w:color w:val="auto"/>
          <w:sz w:val="21"/>
          <w:szCs w:val="21"/>
          <w:highlight w:val="none"/>
        </w:rPr>
      </w:pPr>
      <w:r>
        <w:rPr>
          <w:rFonts w:hint="eastAsia"/>
          <w:color w:val="auto"/>
          <w:sz w:val="21"/>
          <w:szCs w:val="21"/>
          <w:highlight w:val="none"/>
        </w:rPr>
        <w:t>附件七：临时用地表</w:t>
      </w:r>
    </w:p>
    <w:p w14:paraId="0D63501B">
      <w:pPr>
        <w:rPr>
          <w:rFonts w:hint="eastAsia" w:ascii="宋体" w:hAnsi="宋体" w:cs="宋体"/>
          <w:b/>
          <w:color w:val="auto"/>
          <w:szCs w:val="21"/>
          <w:highlight w:val="none"/>
        </w:rPr>
      </w:pPr>
      <w:r>
        <w:rPr>
          <w:rFonts w:hint="eastAsia" w:ascii="仿宋" w:hAnsi="仿宋" w:eastAsia="仿宋" w:cs="仿宋"/>
          <w:b/>
          <w:color w:val="auto"/>
          <w:sz w:val="30"/>
          <w:szCs w:val="30"/>
          <w:highlight w:val="none"/>
        </w:rPr>
        <w:br w:type="page"/>
      </w:r>
      <w:bookmarkStart w:id="1549" w:name="bookmark2230"/>
      <w:bookmarkStart w:id="1550" w:name="bookmark2228"/>
      <w:bookmarkStart w:id="1551" w:name="bookmark2229"/>
      <w:r>
        <w:rPr>
          <w:rFonts w:hint="eastAsia" w:ascii="宋体" w:hAnsi="宋体" w:cs="宋体"/>
          <w:b/>
          <w:color w:val="auto"/>
          <w:szCs w:val="21"/>
          <w:highlight w:val="none"/>
        </w:rPr>
        <w:t>附件一：拟投入本标段的主要施工设备表</w:t>
      </w:r>
      <w:bookmarkEnd w:id="1549"/>
      <w:bookmarkEnd w:id="1550"/>
      <w:bookmarkEnd w:id="1551"/>
    </w:p>
    <w:p w14:paraId="5F69E1FE">
      <w:pPr>
        <w:rPr>
          <w:rFonts w:hint="eastAsia" w:ascii="宋体" w:hAnsi="宋体" w:cs="宋体"/>
          <w:color w:val="auto"/>
          <w:szCs w:val="21"/>
          <w:highlight w:val="none"/>
        </w:rPr>
      </w:pPr>
    </w:p>
    <w:p w14:paraId="51C4AE6B">
      <w:pPr>
        <w:jc w:val="center"/>
        <w:rPr>
          <w:rFonts w:hint="eastAsia" w:ascii="宋体" w:hAnsi="宋体" w:cs="宋体"/>
          <w:b/>
          <w:color w:val="auto"/>
          <w:szCs w:val="21"/>
          <w:highlight w:val="none"/>
        </w:rPr>
      </w:pPr>
      <w:bookmarkStart w:id="1552" w:name="_Toc13379"/>
      <w:bookmarkStart w:id="1553" w:name="bookmark2232"/>
      <w:bookmarkStart w:id="1554" w:name="bookmark2231"/>
      <w:bookmarkStart w:id="1555" w:name="_Toc19570"/>
      <w:bookmarkStart w:id="1556" w:name="bookmark2233"/>
      <w:r>
        <w:rPr>
          <w:rFonts w:hint="eastAsia" w:ascii="宋体" w:hAnsi="宋体" w:cs="宋体"/>
          <w:b/>
          <w:color w:val="auto"/>
          <w:szCs w:val="21"/>
          <w:highlight w:val="none"/>
        </w:rPr>
        <w:t>拟投入本标段的主要施工设备表</w:t>
      </w:r>
      <w:bookmarkEnd w:id="1552"/>
      <w:bookmarkEnd w:id="1553"/>
      <w:bookmarkEnd w:id="1554"/>
      <w:bookmarkEnd w:id="1555"/>
      <w:bookmarkEnd w:id="1556"/>
    </w:p>
    <w:p w14:paraId="27E963D9">
      <w:pPr>
        <w:jc w:val="center"/>
        <w:rPr>
          <w:rFonts w:hint="eastAsia" w:ascii="宋体" w:hAnsi="宋体" w:cs="宋体"/>
          <w:color w:val="auto"/>
          <w:highlight w:val="none"/>
        </w:rPr>
      </w:pPr>
    </w:p>
    <w:tbl>
      <w:tblPr>
        <w:tblStyle w:val="20"/>
        <w:tblW w:w="9351" w:type="dxa"/>
        <w:jc w:val="center"/>
        <w:tblLayout w:type="fixed"/>
        <w:tblCellMar>
          <w:top w:w="0" w:type="dxa"/>
          <w:left w:w="10" w:type="dxa"/>
          <w:bottom w:w="0" w:type="dxa"/>
          <w:right w:w="10" w:type="dxa"/>
        </w:tblCellMar>
      </w:tblPr>
      <w:tblGrid>
        <w:gridCol w:w="427"/>
        <w:gridCol w:w="1133"/>
        <w:gridCol w:w="864"/>
        <w:gridCol w:w="869"/>
        <w:gridCol w:w="864"/>
        <w:gridCol w:w="864"/>
        <w:gridCol w:w="864"/>
        <w:gridCol w:w="864"/>
        <w:gridCol w:w="864"/>
        <w:gridCol w:w="864"/>
        <w:gridCol w:w="874"/>
      </w:tblGrid>
      <w:tr w14:paraId="267C224C">
        <w:tblPrEx>
          <w:tblCellMar>
            <w:top w:w="0" w:type="dxa"/>
            <w:left w:w="10" w:type="dxa"/>
            <w:bottom w:w="0" w:type="dxa"/>
            <w:right w:w="10" w:type="dxa"/>
          </w:tblCellMar>
        </w:tblPrEx>
        <w:trPr>
          <w:trHeight w:val="832" w:hRule="exact"/>
          <w:jc w:val="center"/>
        </w:trPr>
        <w:tc>
          <w:tcPr>
            <w:tcW w:w="427" w:type="dxa"/>
            <w:tcBorders>
              <w:top w:val="single" w:color="auto" w:sz="4" w:space="0"/>
              <w:left w:val="single" w:color="auto" w:sz="4" w:space="0"/>
            </w:tcBorders>
            <w:shd w:val="clear" w:color="auto" w:fill="FFFFFF"/>
            <w:noWrap w:val="0"/>
            <w:vAlign w:val="center"/>
          </w:tcPr>
          <w:p w14:paraId="654BF721">
            <w:pPr>
              <w:pStyle w:val="39"/>
              <w:spacing w:line="264" w:lineRule="exact"/>
              <w:jc w:val="center"/>
              <w:rPr>
                <w:rFonts w:hint="eastAsia"/>
                <w:color w:val="auto"/>
                <w:sz w:val="21"/>
                <w:szCs w:val="21"/>
                <w:highlight w:val="none"/>
              </w:rPr>
            </w:pPr>
            <w:r>
              <w:rPr>
                <w:rFonts w:hint="eastAsia"/>
                <w:color w:val="auto"/>
                <w:sz w:val="21"/>
                <w:szCs w:val="21"/>
                <w:highlight w:val="none"/>
              </w:rPr>
              <w:t>序 号</w:t>
            </w:r>
          </w:p>
        </w:tc>
        <w:tc>
          <w:tcPr>
            <w:tcW w:w="1133" w:type="dxa"/>
            <w:tcBorders>
              <w:top w:val="single" w:color="auto" w:sz="4" w:space="0"/>
              <w:left w:val="single" w:color="auto" w:sz="4" w:space="0"/>
            </w:tcBorders>
            <w:shd w:val="clear" w:color="auto" w:fill="FFFFFF"/>
            <w:noWrap w:val="0"/>
            <w:vAlign w:val="center"/>
          </w:tcPr>
          <w:p w14:paraId="150B69C8">
            <w:pPr>
              <w:pStyle w:val="39"/>
              <w:spacing w:line="269" w:lineRule="exact"/>
              <w:jc w:val="center"/>
              <w:rPr>
                <w:rFonts w:hint="eastAsia"/>
                <w:color w:val="auto"/>
                <w:sz w:val="21"/>
                <w:szCs w:val="21"/>
                <w:highlight w:val="none"/>
              </w:rPr>
            </w:pPr>
            <w:r>
              <w:rPr>
                <w:rFonts w:hint="eastAsia"/>
                <w:color w:val="auto"/>
                <w:sz w:val="21"/>
                <w:szCs w:val="21"/>
                <w:highlight w:val="none"/>
              </w:rPr>
              <w:t>施工机械名称</w:t>
            </w:r>
          </w:p>
        </w:tc>
        <w:tc>
          <w:tcPr>
            <w:tcW w:w="864" w:type="dxa"/>
            <w:tcBorders>
              <w:top w:val="single" w:color="auto" w:sz="4" w:space="0"/>
              <w:left w:val="single" w:color="auto" w:sz="4" w:space="0"/>
            </w:tcBorders>
            <w:shd w:val="clear" w:color="auto" w:fill="FFFFFF"/>
            <w:noWrap w:val="0"/>
            <w:vAlign w:val="center"/>
          </w:tcPr>
          <w:p w14:paraId="6A7F1C47">
            <w:pPr>
              <w:pStyle w:val="39"/>
              <w:spacing w:after="60" w:line="240" w:lineRule="auto"/>
              <w:jc w:val="center"/>
              <w:rPr>
                <w:rFonts w:hint="eastAsia"/>
                <w:color w:val="auto"/>
                <w:sz w:val="21"/>
                <w:szCs w:val="21"/>
                <w:highlight w:val="none"/>
              </w:rPr>
            </w:pPr>
            <w:r>
              <w:rPr>
                <w:rFonts w:hint="eastAsia"/>
                <w:color w:val="auto"/>
                <w:sz w:val="21"/>
                <w:szCs w:val="21"/>
                <w:highlight w:val="none"/>
              </w:rPr>
              <w:t>型号</w:t>
            </w:r>
            <w:r>
              <w:rPr>
                <w:rFonts w:hint="eastAsia"/>
                <w:color w:val="auto"/>
                <w:sz w:val="21"/>
                <w:szCs w:val="21"/>
                <w:highlight w:val="none"/>
                <w:lang w:eastAsia="zh-CN"/>
              </w:rPr>
              <w:t>、</w:t>
            </w:r>
            <w:r>
              <w:rPr>
                <w:rFonts w:hint="eastAsia"/>
                <w:color w:val="auto"/>
                <w:sz w:val="21"/>
                <w:szCs w:val="21"/>
                <w:highlight w:val="none"/>
              </w:rPr>
              <w:t>规格</w:t>
            </w:r>
          </w:p>
        </w:tc>
        <w:tc>
          <w:tcPr>
            <w:tcW w:w="869" w:type="dxa"/>
            <w:tcBorders>
              <w:top w:val="single" w:color="auto" w:sz="4" w:space="0"/>
              <w:left w:val="single" w:color="auto" w:sz="4" w:space="0"/>
            </w:tcBorders>
            <w:shd w:val="clear" w:color="auto" w:fill="FFFFFF"/>
            <w:noWrap w:val="0"/>
            <w:vAlign w:val="center"/>
          </w:tcPr>
          <w:p w14:paraId="6B730CA3">
            <w:pPr>
              <w:pStyle w:val="39"/>
              <w:spacing w:line="240" w:lineRule="auto"/>
              <w:jc w:val="center"/>
              <w:rPr>
                <w:rFonts w:hint="eastAsia"/>
                <w:color w:val="auto"/>
                <w:sz w:val="21"/>
                <w:szCs w:val="21"/>
                <w:highlight w:val="none"/>
              </w:rPr>
            </w:pPr>
            <w:r>
              <w:rPr>
                <w:rFonts w:hint="eastAsia"/>
                <w:color w:val="auto"/>
                <w:sz w:val="21"/>
                <w:szCs w:val="21"/>
                <w:highlight w:val="none"/>
              </w:rPr>
              <w:t>数量</w:t>
            </w:r>
          </w:p>
        </w:tc>
        <w:tc>
          <w:tcPr>
            <w:tcW w:w="864" w:type="dxa"/>
            <w:tcBorders>
              <w:top w:val="single" w:color="auto" w:sz="4" w:space="0"/>
              <w:left w:val="single" w:color="auto" w:sz="4" w:space="0"/>
            </w:tcBorders>
            <w:shd w:val="clear" w:color="auto" w:fill="FFFFFF"/>
            <w:noWrap w:val="0"/>
            <w:vAlign w:val="center"/>
          </w:tcPr>
          <w:p w14:paraId="7E792A5A">
            <w:pPr>
              <w:pStyle w:val="39"/>
              <w:spacing w:line="266" w:lineRule="exact"/>
              <w:jc w:val="center"/>
              <w:rPr>
                <w:rFonts w:hint="eastAsia"/>
                <w:color w:val="auto"/>
                <w:sz w:val="21"/>
                <w:szCs w:val="21"/>
                <w:highlight w:val="none"/>
              </w:rPr>
            </w:pPr>
            <w:r>
              <w:rPr>
                <w:rFonts w:hint="eastAsia"/>
                <w:color w:val="auto"/>
                <w:sz w:val="21"/>
                <w:szCs w:val="21"/>
                <w:highlight w:val="none"/>
              </w:rPr>
              <w:t>制造年份</w:t>
            </w:r>
          </w:p>
        </w:tc>
        <w:tc>
          <w:tcPr>
            <w:tcW w:w="864" w:type="dxa"/>
            <w:tcBorders>
              <w:top w:val="single" w:color="auto" w:sz="4" w:space="0"/>
              <w:left w:val="single" w:color="auto" w:sz="4" w:space="0"/>
            </w:tcBorders>
            <w:shd w:val="clear" w:color="auto" w:fill="FFFFFF"/>
            <w:noWrap w:val="0"/>
            <w:vAlign w:val="center"/>
          </w:tcPr>
          <w:p w14:paraId="1C2AC3B0">
            <w:pPr>
              <w:pStyle w:val="39"/>
              <w:spacing w:line="265" w:lineRule="exact"/>
              <w:rPr>
                <w:rFonts w:hint="eastAsia"/>
                <w:color w:val="auto"/>
                <w:sz w:val="21"/>
                <w:szCs w:val="21"/>
                <w:highlight w:val="none"/>
              </w:rPr>
            </w:pPr>
            <w:r>
              <w:rPr>
                <w:rFonts w:hint="eastAsia"/>
                <w:color w:val="auto"/>
                <w:sz w:val="21"/>
                <w:szCs w:val="21"/>
                <w:highlight w:val="none"/>
              </w:rPr>
              <w:t xml:space="preserve">额定功率 </w:t>
            </w:r>
            <w:r>
              <w:rPr>
                <w:rFonts w:hint="eastAsia"/>
                <w:color w:val="auto"/>
                <w:sz w:val="21"/>
                <w:szCs w:val="21"/>
                <w:highlight w:val="none"/>
                <w:lang w:val="en-US" w:bidi="en-US"/>
              </w:rPr>
              <w:t>（KW）</w:t>
            </w:r>
            <w:r>
              <w:rPr>
                <w:rFonts w:hint="eastAsia"/>
                <w:color w:val="auto"/>
                <w:sz w:val="21"/>
                <w:szCs w:val="21"/>
                <w:highlight w:val="none"/>
              </w:rPr>
              <w:t xml:space="preserve"> </w:t>
            </w:r>
          </w:p>
        </w:tc>
        <w:tc>
          <w:tcPr>
            <w:tcW w:w="864" w:type="dxa"/>
            <w:tcBorders>
              <w:top w:val="single" w:color="auto" w:sz="4" w:space="0"/>
              <w:left w:val="single" w:color="auto" w:sz="4" w:space="0"/>
            </w:tcBorders>
            <w:shd w:val="clear" w:color="auto" w:fill="FFFFFF"/>
            <w:noWrap w:val="0"/>
            <w:vAlign w:val="center"/>
          </w:tcPr>
          <w:p w14:paraId="2FCB676F">
            <w:pPr>
              <w:pStyle w:val="39"/>
              <w:spacing w:line="240" w:lineRule="auto"/>
              <w:jc w:val="center"/>
              <w:rPr>
                <w:rFonts w:hint="eastAsia"/>
                <w:color w:val="auto"/>
                <w:sz w:val="21"/>
                <w:szCs w:val="21"/>
                <w:highlight w:val="none"/>
              </w:rPr>
            </w:pPr>
            <w:r>
              <w:rPr>
                <w:rFonts w:hint="eastAsia"/>
                <w:color w:val="auto"/>
                <w:sz w:val="21"/>
                <w:szCs w:val="21"/>
                <w:highlight w:val="none"/>
              </w:rPr>
              <w:t>国别、产地</w:t>
            </w:r>
          </w:p>
        </w:tc>
        <w:tc>
          <w:tcPr>
            <w:tcW w:w="864" w:type="dxa"/>
            <w:tcBorders>
              <w:top w:val="single" w:color="auto" w:sz="4" w:space="0"/>
              <w:left w:val="single" w:color="auto" w:sz="4" w:space="0"/>
            </w:tcBorders>
            <w:shd w:val="clear" w:color="auto" w:fill="FFFFFF"/>
            <w:noWrap w:val="0"/>
            <w:vAlign w:val="center"/>
          </w:tcPr>
          <w:p w14:paraId="3C41E05C">
            <w:pPr>
              <w:pStyle w:val="39"/>
              <w:spacing w:line="240" w:lineRule="auto"/>
              <w:jc w:val="center"/>
              <w:rPr>
                <w:rFonts w:hint="eastAsia"/>
                <w:color w:val="auto"/>
                <w:sz w:val="21"/>
                <w:szCs w:val="21"/>
                <w:highlight w:val="none"/>
              </w:rPr>
            </w:pPr>
            <w:r>
              <w:rPr>
                <w:rFonts w:hint="eastAsia"/>
                <w:color w:val="auto"/>
                <w:sz w:val="21"/>
                <w:szCs w:val="21"/>
                <w:highlight w:val="none"/>
              </w:rPr>
              <w:t>生产能力</w:t>
            </w:r>
          </w:p>
        </w:tc>
        <w:tc>
          <w:tcPr>
            <w:tcW w:w="864" w:type="dxa"/>
            <w:tcBorders>
              <w:top w:val="single" w:color="auto" w:sz="4" w:space="0"/>
              <w:left w:val="single" w:color="auto" w:sz="4" w:space="0"/>
            </w:tcBorders>
            <w:shd w:val="clear" w:color="auto" w:fill="FFFFFF"/>
            <w:noWrap w:val="0"/>
            <w:vAlign w:val="center"/>
          </w:tcPr>
          <w:p w14:paraId="0100D4EE">
            <w:pPr>
              <w:pStyle w:val="39"/>
              <w:spacing w:line="240" w:lineRule="auto"/>
              <w:jc w:val="right"/>
              <w:rPr>
                <w:rFonts w:hint="eastAsia"/>
                <w:color w:val="auto"/>
                <w:sz w:val="21"/>
                <w:szCs w:val="21"/>
                <w:highlight w:val="none"/>
              </w:rPr>
            </w:pPr>
            <w:r>
              <w:rPr>
                <w:rFonts w:hint="eastAsia"/>
                <w:color w:val="auto"/>
                <w:sz w:val="21"/>
                <w:szCs w:val="21"/>
                <w:highlight w:val="none"/>
              </w:rPr>
              <w:t>进场时间</w:t>
            </w:r>
          </w:p>
        </w:tc>
        <w:tc>
          <w:tcPr>
            <w:tcW w:w="864" w:type="dxa"/>
            <w:tcBorders>
              <w:top w:val="single" w:color="auto" w:sz="4" w:space="0"/>
              <w:left w:val="single" w:color="auto" w:sz="4" w:space="0"/>
            </w:tcBorders>
            <w:shd w:val="clear" w:color="auto" w:fill="FFFFFF"/>
            <w:noWrap w:val="0"/>
            <w:vAlign w:val="center"/>
          </w:tcPr>
          <w:p w14:paraId="21D74271">
            <w:pPr>
              <w:pStyle w:val="39"/>
              <w:spacing w:line="240" w:lineRule="auto"/>
              <w:jc w:val="right"/>
              <w:rPr>
                <w:rFonts w:hint="eastAsia"/>
                <w:color w:val="auto"/>
                <w:sz w:val="21"/>
                <w:szCs w:val="21"/>
                <w:highlight w:val="none"/>
              </w:rPr>
            </w:pPr>
            <w:r>
              <w:rPr>
                <w:rFonts w:hint="eastAsia"/>
                <w:color w:val="auto"/>
                <w:sz w:val="21"/>
                <w:szCs w:val="21"/>
                <w:highlight w:val="none"/>
              </w:rPr>
              <w:t>退场时间</w:t>
            </w:r>
          </w:p>
        </w:tc>
        <w:tc>
          <w:tcPr>
            <w:tcW w:w="874" w:type="dxa"/>
            <w:tcBorders>
              <w:top w:val="single" w:color="auto" w:sz="4" w:space="0"/>
              <w:left w:val="single" w:color="auto" w:sz="4" w:space="0"/>
              <w:right w:val="single" w:color="auto" w:sz="4" w:space="0"/>
            </w:tcBorders>
            <w:shd w:val="clear" w:color="auto" w:fill="FFFFFF"/>
            <w:noWrap w:val="0"/>
            <w:vAlign w:val="center"/>
          </w:tcPr>
          <w:p w14:paraId="3A826C3B">
            <w:pPr>
              <w:pStyle w:val="39"/>
              <w:spacing w:line="257" w:lineRule="exact"/>
              <w:jc w:val="center"/>
              <w:rPr>
                <w:rFonts w:hint="eastAsia"/>
                <w:color w:val="auto"/>
                <w:sz w:val="21"/>
                <w:szCs w:val="21"/>
                <w:highlight w:val="none"/>
              </w:rPr>
            </w:pPr>
            <w:r>
              <w:rPr>
                <w:rFonts w:hint="eastAsia"/>
                <w:color w:val="auto"/>
                <w:sz w:val="21"/>
                <w:szCs w:val="21"/>
                <w:highlight w:val="none"/>
              </w:rPr>
              <w:t>用于施工 部位</w:t>
            </w:r>
          </w:p>
        </w:tc>
      </w:tr>
      <w:tr w14:paraId="70939C9A">
        <w:tblPrEx>
          <w:tblCellMar>
            <w:top w:w="0" w:type="dxa"/>
            <w:left w:w="10" w:type="dxa"/>
            <w:bottom w:w="0" w:type="dxa"/>
            <w:right w:w="10" w:type="dxa"/>
          </w:tblCellMar>
        </w:tblPrEx>
        <w:trPr>
          <w:trHeight w:val="566" w:hRule="exact"/>
          <w:jc w:val="center"/>
        </w:trPr>
        <w:tc>
          <w:tcPr>
            <w:tcW w:w="427" w:type="dxa"/>
            <w:tcBorders>
              <w:top w:val="single" w:color="auto" w:sz="4" w:space="0"/>
              <w:left w:val="single" w:color="auto" w:sz="4" w:space="0"/>
            </w:tcBorders>
            <w:shd w:val="clear" w:color="auto" w:fill="FFFFFF"/>
            <w:noWrap w:val="0"/>
            <w:vAlign w:val="top"/>
          </w:tcPr>
          <w:p w14:paraId="177BAE6B">
            <w:pPr>
              <w:rPr>
                <w:rFonts w:hint="eastAsia" w:ascii="宋体" w:hAnsi="宋体" w:cs="宋体"/>
                <w:color w:val="auto"/>
                <w:szCs w:val="21"/>
                <w:highlight w:val="none"/>
              </w:rPr>
            </w:pPr>
          </w:p>
        </w:tc>
        <w:tc>
          <w:tcPr>
            <w:tcW w:w="1133" w:type="dxa"/>
            <w:tcBorders>
              <w:top w:val="single" w:color="auto" w:sz="4" w:space="0"/>
              <w:left w:val="single" w:color="auto" w:sz="4" w:space="0"/>
            </w:tcBorders>
            <w:shd w:val="clear" w:color="auto" w:fill="FFFFFF"/>
            <w:noWrap w:val="0"/>
            <w:vAlign w:val="top"/>
          </w:tcPr>
          <w:p w14:paraId="0CA5B5F2">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2E57BD50">
            <w:pPr>
              <w:rPr>
                <w:rFonts w:hint="eastAsia" w:ascii="宋体" w:hAnsi="宋体" w:cs="宋体"/>
                <w:color w:val="auto"/>
                <w:szCs w:val="21"/>
                <w:highlight w:val="none"/>
              </w:rPr>
            </w:pPr>
          </w:p>
        </w:tc>
        <w:tc>
          <w:tcPr>
            <w:tcW w:w="869" w:type="dxa"/>
            <w:tcBorders>
              <w:top w:val="single" w:color="auto" w:sz="4" w:space="0"/>
              <w:left w:val="single" w:color="auto" w:sz="4" w:space="0"/>
            </w:tcBorders>
            <w:shd w:val="clear" w:color="auto" w:fill="FFFFFF"/>
            <w:noWrap w:val="0"/>
            <w:vAlign w:val="top"/>
          </w:tcPr>
          <w:p w14:paraId="524A99D0">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4A3C00A0">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4CF5AF88">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1E895E75">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53C3A691">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04FE2A48">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6E3BB423">
            <w:pPr>
              <w:rPr>
                <w:rFonts w:hint="eastAsia" w:ascii="宋体" w:hAnsi="宋体" w:cs="宋体"/>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noWrap w:val="0"/>
            <w:vAlign w:val="top"/>
          </w:tcPr>
          <w:p w14:paraId="3ABEE0E3">
            <w:pPr>
              <w:rPr>
                <w:rFonts w:hint="eastAsia" w:ascii="宋体" w:hAnsi="宋体" w:cs="宋体"/>
                <w:color w:val="auto"/>
                <w:szCs w:val="21"/>
                <w:highlight w:val="none"/>
              </w:rPr>
            </w:pPr>
          </w:p>
        </w:tc>
      </w:tr>
      <w:tr w14:paraId="6E21DE13">
        <w:tblPrEx>
          <w:tblCellMar>
            <w:top w:w="0" w:type="dxa"/>
            <w:left w:w="10" w:type="dxa"/>
            <w:bottom w:w="0" w:type="dxa"/>
            <w:right w:w="10" w:type="dxa"/>
          </w:tblCellMar>
        </w:tblPrEx>
        <w:trPr>
          <w:trHeight w:val="566" w:hRule="exact"/>
          <w:jc w:val="center"/>
        </w:trPr>
        <w:tc>
          <w:tcPr>
            <w:tcW w:w="427" w:type="dxa"/>
            <w:tcBorders>
              <w:top w:val="single" w:color="auto" w:sz="4" w:space="0"/>
              <w:left w:val="single" w:color="auto" w:sz="4" w:space="0"/>
            </w:tcBorders>
            <w:shd w:val="clear" w:color="auto" w:fill="FFFFFF"/>
            <w:noWrap w:val="0"/>
            <w:vAlign w:val="top"/>
          </w:tcPr>
          <w:p w14:paraId="7A02E933">
            <w:pPr>
              <w:rPr>
                <w:rFonts w:hint="eastAsia" w:ascii="宋体" w:hAnsi="宋体" w:cs="宋体"/>
                <w:color w:val="auto"/>
                <w:szCs w:val="21"/>
                <w:highlight w:val="none"/>
              </w:rPr>
            </w:pPr>
          </w:p>
        </w:tc>
        <w:tc>
          <w:tcPr>
            <w:tcW w:w="1133" w:type="dxa"/>
            <w:tcBorders>
              <w:top w:val="single" w:color="auto" w:sz="4" w:space="0"/>
              <w:left w:val="single" w:color="auto" w:sz="4" w:space="0"/>
            </w:tcBorders>
            <w:shd w:val="clear" w:color="auto" w:fill="FFFFFF"/>
            <w:noWrap w:val="0"/>
            <w:vAlign w:val="top"/>
          </w:tcPr>
          <w:p w14:paraId="71D8B353">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6503E940">
            <w:pPr>
              <w:rPr>
                <w:rFonts w:hint="eastAsia" w:ascii="宋体" w:hAnsi="宋体" w:cs="宋体"/>
                <w:color w:val="auto"/>
                <w:szCs w:val="21"/>
                <w:highlight w:val="none"/>
              </w:rPr>
            </w:pPr>
          </w:p>
        </w:tc>
        <w:tc>
          <w:tcPr>
            <w:tcW w:w="869" w:type="dxa"/>
            <w:tcBorders>
              <w:top w:val="single" w:color="auto" w:sz="4" w:space="0"/>
              <w:left w:val="single" w:color="auto" w:sz="4" w:space="0"/>
            </w:tcBorders>
            <w:shd w:val="clear" w:color="auto" w:fill="FFFFFF"/>
            <w:noWrap w:val="0"/>
            <w:vAlign w:val="top"/>
          </w:tcPr>
          <w:p w14:paraId="61DFDE5E">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06E774DD">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68AE106E">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30689E0E">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71BF5A18">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0EA49D41">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75A08049">
            <w:pPr>
              <w:rPr>
                <w:rFonts w:hint="eastAsia" w:ascii="宋体" w:hAnsi="宋体" w:cs="宋体"/>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noWrap w:val="0"/>
            <w:vAlign w:val="top"/>
          </w:tcPr>
          <w:p w14:paraId="40951171">
            <w:pPr>
              <w:rPr>
                <w:rFonts w:hint="eastAsia" w:ascii="宋体" w:hAnsi="宋体" w:cs="宋体"/>
                <w:color w:val="auto"/>
                <w:szCs w:val="21"/>
                <w:highlight w:val="none"/>
              </w:rPr>
            </w:pPr>
          </w:p>
        </w:tc>
      </w:tr>
      <w:tr w14:paraId="7441C500">
        <w:tblPrEx>
          <w:tblCellMar>
            <w:top w:w="0" w:type="dxa"/>
            <w:left w:w="10" w:type="dxa"/>
            <w:bottom w:w="0" w:type="dxa"/>
            <w:right w:w="10" w:type="dxa"/>
          </w:tblCellMar>
        </w:tblPrEx>
        <w:trPr>
          <w:trHeight w:val="566" w:hRule="exact"/>
          <w:jc w:val="center"/>
        </w:trPr>
        <w:tc>
          <w:tcPr>
            <w:tcW w:w="427" w:type="dxa"/>
            <w:tcBorders>
              <w:top w:val="single" w:color="auto" w:sz="4" w:space="0"/>
              <w:left w:val="single" w:color="auto" w:sz="4" w:space="0"/>
            </w:tcBorders>
            <w:shd w:val="clear" w:color="auto" w:fill="FFFFFF"/>
            <w:noWrap w:val="0"/>
            <w:vAlign w:val="top"/>
          </w:tcPr>
          <w:p w14:paraId="6D2EF068">
            <w:pPr>
              <w:rPr>
                <w:rFonts w:hint="eastAsia" w:ascii="宋体" w:hAnsi="宋体" w:cs="宋体"/>
                <w:color w:val="auto"/>
                <w:szCs w:val="21"/>
                <w:highlight w:val="none"/>
              </w:rPr>
            </w:pPr>
          </w:p>
        </w:tc>
        <w:tc>
          <w:tcPr>
            <w:tcW w:w="1133" w:type="dxa"/>
            <w:tcBorders>
              <w:top w:val="single" w:color="auto" w:sz="4" w:space="0"/>
              <w:left w:val="single" w:color="auto" w:sz="4" w:space="0"/>
            </w:tcBorders>
            <w:shd w:val="clear" w:color="auto" w:fill="FFFFFF"/>
            <w:noWrap w:val="0"/>
            <w:vAlign w:val="top"/>
          </w:tcPr>
          <w:p w14:paraId="46136782">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2595EC93">
            <w:pPr>
              <w:rPr>
                <w:rFonts w:hint="eastAsia" w:ascii="宋体" w:hAnsi="宋体" w:cs="宋体"/>
                <w:color w:val="auto"/>
                <w:szCs w:val="21"/>
                <w:highlight w:val="none"/>
              </w:rPr>
            </w:pPr>
          </w:p>
        </w:tc>
        <w:tc>
          <w:tcPr>
            <w:tcW w:w="869" w:type="dxa"/>
            <w:tcBorders>
              <w:top w:val="single" w:color="auto" w:sz="4" w:space="0"/>
              <w:left w:val="single" w:color="auto" w:sz="4" w:space="0"/>
            </w:tcBorders>
            <w:shd w:val="clear" w:color="auto" w:fill="FFFFFF"/>
            <w:noWrap w:val="0"/>
            <w:vAlign w:val="top"/>
          </w:tcPr>
          <w:p w14:paraId="084CBE19">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028680D3">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5968456E">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53A57618">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0E9EFD7C">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42781DEE">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21DB1E3A">
            <w:pPr>
              <w:rPr>
                <w:rFonts w:hint="eastAsia" w:ascii="宋体" w:hAnsi="宋体" w:cs="宋体"/>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noWrap w:val="0"/>
            <w:vAlign w:val="top"/>
          </w:tcPr>
          <w:p w14:paraId="0797781A">
            <w:pPr>
              <w:rPr>
                <w:rFonts w:hint="eastAsia" w:ascii="宋体" w:hAnsi="宋体" w:cs="宋体"/>
                <w:color w:val="auto"/>
                <w:szCs w:val="21"/>
                <w:highlight w:val="none"/>
              </w:rPr>
            </w:pPr>
          </w:p>
        </w:tc>
      </w:tr>
      <w:tr w14:paraId="35129222">
        <w:tblPrEx>
          <w:tblCellMar>
            <w:top w:w="0" w:type="dxa"/>
            <w:left w:w="10" w:type="dxa"/>
            <w:bottom w:w="0" w:type="dxa"/>
            <w:right w:w="10" w:type="dxa"/>
          </w:tblCellMar>
        </w:tblPrEx>
        <w:trPr>
          <w:trHeight w:val="566" w:hRule="exact"/>
          <w:jc w:val="center"/>
        </w:trPr>
        <w:tc>
          <w:tcPr>
            <w:tcW w:w="427" w:type="dxa"/>
            <w:tcBorders>
              <w:top w:val="single" w:color="auto" w:sz="4" w:space="0"/>
              <w:left w:val="single" w:color="auto" w:sz="4" w:space="0"/>
            </w:tcBorders>
            <w:shd w:val="clear" w:color="auto" w:fill="FFFFFF"/>
            <w:noWrap w:val="0"/>
            <w:vAlign w:val="top"/>
          </w:tcPr>
          <w:p w14:paraId="2B542F6E">
            <w:pPr>
              <w:rPr>
                <w:rFonts w:hint="eastAsia" w:ascii="宋体" w:hAnsi="宋体" w:cs="宋体"/>
                <w:color w:val="auto"/>
                <w:szCs w:val="21"/>
                <w:highlight w:val="none"/>
              </w:rPr>
            </w:pPr>
          </w:p>
        </w:tc>
        <w:tc>
          <w:tcPr>
            <w:tcW w:w="1133" w:type="dxa"/>
            <w:tcBorders>
              <w:top w:val="single" w:color="auto" w:sz="4" w:space="0"/>
              <w:left w:val="single" w:color="auto" w:sz="4" w:space="0"/>
            </w:tcBorders>
            <w:shd w:val="clear" w:color="auto" w:fill="FFFFFF"/>
            <w:noWrap w:val="0"/>
            <w:vAlign w:val="top"/>
          </w:tcPr>
          <w:p w14:paraId="708865A3">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28E7C8F6">
            <w:pPr>
              <w:rPr>
                <w:rFonts w:hint="eastAsia" w:ascii="宋体" w:hAnsi="宋体" w:cs="宋体"/>
                <w:color w:val="auto"/>
                <w:szCs w:val="21"/>
                <w:highlight w:val="none"/>
              </w:rPr>
            </w:pPr>
          </w:p>
        </w:tc>
        <w:tc>
          <w:tcPr>
            <w:tcW w:w="869" w:type="dxa"/>
            <w:tcBorders>
              <w:top w:val="single" w:color="auto" w:sz="4" w:space="0"/>
              <w:left w:val="single" w:color="auto" w:sz="4" w:space="0"/>
            </w:tcBorders>
            <w:shd w:val="clear" w:color="auto" w:fill="FFFFFF"/>
            <w:noWrap w:val="0"/>
            <w:vAlign w:val="top"/>
          </w:tcPr>
          <w:p w14:paraId="6A2E539A">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380030A4">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4E589588">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70C74411">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32F3AAC8">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79EBA044">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1AF32532">
            <w:pPr>
              <w:rPr>
                <w:rFonts w:hint="eastAsia" w:ascii="宋体" w:hAnsi="宋体" w:cs="宋体"/>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noWrap w:val="0"/>
            <w:vAlign w:val="top"/>
          </w:tcPr>
          <w:p w14:paraId="27A504FF">
            <w:pPr>
              <w:rPr>
                <w:rFonts w:hint="eastAsia" w:ascii="宋体" w:hAnsi="宋体" w:cs="宋体"/>
                <w:color w:val="auto"/>
                <w:szCs w:val="21"/>
                <w:highlight w:val="none"/>
              </w:rPr>
            </w:pPr>
          </w:p>
        </w:tc>
      </w:tr>
      <w:tr w14:paraId="109B099A">
        <w:tblPrEx>
          <w:tblCellMar>
            <w:top w:w="0" w:type="dxa"/>
            <w:left w:w="10" w:type="dxa"/>
            <w:bottom w:w="0" w:type="dxa"/>
            <w:right w:w="10" w:type="dxa"/>
          </w:tblCellMar>
        </w:tblPrEx>
        <w:trPr>
          <w:trHeight w:val="576" w:hRule="exact"/>
          <w:jc w:val="center"/>
        </w:trPr>
        <w:tc>
          <w:tcPr>
            <w:tcW w:w="427" w:type="dxa"/>
            <w:tcBorders>
              <w:top w:val="single" w:color="auto" w:sz="4" w:space="0"/>
              <w:left w:val="single" w:color="auto" w:sz="4" w:space="0"/>
              <w:bottom w:val="single" w:color="auto" w:sz="4" w:space="0"/>
            </w:tcBorders>
            <w:shd w:val="clear" w:color="auto" w:fill="FFFFFF"/>
            <w:noWrap w:val="0"/>
            <w:vAlign w:val="top"/>
          </w:tcPr>
          <w:p w14:paraId="4334D86F">
            <w:pPr>
              <w:rPr>
                <w:rFonts w:hint="eastAsia" w:ascii="宋体" w:hAnsi="宋体" w:cs="宋体"/>
                <w:color w:val="auto"/>
                <w:szCs w:val="21"/>
                <w:highlight w:val="none"/>
              </w:rPr>
            </w:pPr>
          </w:p>
        </w:tc>
        <w:tc>
          <w:tcPr>
            <w:tcW w:w="1133" w:type="dxa"/>
            <w:tcBorders>
              <w:top w:val="single" w:color="auto" w:sz="4" w:space="0"/>
              <w:left w:val="single" w:color="auto" w:sz="4" w:space="0"/>
              <w:bottom w:val="single" w:color="auto" w:sz="4" w:space="0"/>
            </w:tcBorders>
            <w:shd w:val="clear" w:color="auto" w:fill="FFFFFF"/>
            <w:noWrap w:val="0"/>
            <w:vAlign w:val="top"/>
          </w:tcPr>
          <w:p w14:paraId="1E8239C6">
            <w:pPr>
              <w:rPr>
                <w:rFonts w:hint="eastAsia" w:ascii="宋体" w:hAnsi="宋体" w:cs="宋体"/>
                <w:color w:val="auto"/>
                <w:szCs w:val="21"/>
                <w:highlight w:val="none"/>
              </w:rPr>
            </w:pPr>
          </w:p>
        </w:tc>
        <w:tc>
          <w:tcPr>
            <w:tcW w:w="864" w:type="dxa"/>
            <w:tcBorders>
              <w:top w:val="single" w:color="auto" w:sz="4" w:space="0"/>
              <w:left w:val="single" w:color="auto" w:sz="4" w:space="0"/>
              <w:bottom w:val="single" w:color="auto" w:sz="4" w:space="0"/>
            </w:tcBorders>
            <w:shd w:val="clear" w:color="auto" w:fill="FFFFFF"/>
            <w:noWrap w:val="0"/>
            <w:vAlign w:val="top"/>
          </w:tcPr>
          <w:p w14:paraId="1A084E88">
            <w:pPr>
              <w:rPr>
                <w:rFonts w:hint="eastAsia" w:ascii="宋体" w:hAnsi="宋体" w:cs="宋体"/>
                <w:color w:val="auto"/>
                <w:szCs w:val="21"/>
                <w:highlight w:val="none"/>
              </w:rPr>
            </w:pPr>
          </w:p>
        </w:tc>
        <w:tc>
          <w:tcPr>
            <w:tcW w:w="869" w:type="dxa"/>
            <w:tcBorders>
              <w:top w:val="single" w:color="auto" w:sz="4" w:space="0"/>
              <w:left w:val="single" w:color="auto" w:sz="4" w:space="0"/>
              <w:bottom w:val="single" w:color="auto" w:sz="4" w:space="0"/>
            </w:tcBorders>
            <w:shd w:val="clear" w:color="auto" w:fill="FFFFFF"/>
            <w:noWrap w:val="0"/>
            <w:vAlign w:val="top"/>
          </w:tcPr>
          <w:p w14:paraId="16D64434">
            <w:pPr>
              <w:rPr>
                <w:rFonts w:hint="eastAsia" w:ascii="宋体" w:hAnsi="宋体" w:cs="宋体"/>
                <w:color w:val="auto"/>
                <w:szCs w:val="21"/>
                <w:highlight w:val="none"/>
              </w:rPr>
            </w:pPr>
          </w:p>
        </w:tc>
        <w:tc>
          <w:tcPr>
            <w:tcW w:w="864" w:type="dxa"/>
            <w:tcBorders>
              <w:top w:val="single" w:color="auto" w:sz="4" w:space="0"/>
              <w:left w:val="single" w:color="auto" w:sz="4" w:space="0"/>
              <w:bottom w:val="single" w:color="auto" w:sz="4" w:space="0"/>
            </w:tcBorders>
            <w:shd w:val="clear" w:color="auto" w:fill="FFFFFF"/>
            <w:noWrap w:val="0"/>
            <w:vAlign w:val="top"/>
          </w:tcPr>
          <w:p w14:paraId="75105A3E">
            <w:pPr>
              <w:rPr>
                <w:rFonts w:hint="eastAsia" w:ascii="宋体" w:hAnsi="宋体" w:cs="宋体"/>
                <w:color w:val="auto"/>
                <w:szCs w:val="21"/>
                <w:highlight w:val="none"/>
              </w:rPr>
            </w:pPr>
          </w:p>
        </w:tc>
        <w:tc>
          <w:tcPr>
            <w:tcW w:w="864" w:type="dxa"/>
            <w:tcBorders>
              <w:top w:val="single" w:color="auto" w:sz="4" w:space="0"/>
              <w:left w:val="single" w:color="auto" w:sz="4" w:space="0"/>
              <w:bottom w:val="single" w:color="auto" w:sz="4" w:space="0"/>
            </w:tcBorders>
            <w:shd w:val="clear" w:color="auto" w:fill="FFFFFF"/>
            <w:noWrap w:val="0"/>
            <w:vAlign w:val="top"/>
          </w:tcPr>
          <w:p w14:paraId="3FD27C42">
            <w:pPr>
              <w:rPr>
                <w:rFonts w:hint="eastAsia" w:ascii="宋体" w:hAnsi="宋体" w:cs="宋体"/>
                <w:color w:val="auto"/>
                <w:szCs w:val="21"/>
                <w:highlight w:val="none"/>
              </w:rPr>
            </w:pPr>
          </w:p>
        </w:tc>
        <w:tc>
          <w:tcPr>
            <w:tcW w:w="864" w:type="dxa"/>
            <w:tcBorders>
              <w:top w:val="single" w:color="auto" w:sz="4" w:space="0"/>
              <w:left w:val="single" w:color="auto" w:sz="4" w:space="0"/>
              <w:bottom w:val="single" w:color="auto" w:sz="4" w:space="0"/>
            </w:tcBorders>
            <w:shd w:val="clear" w:color="auto" w:fill="FFFFFF"/>
            <w:noWrap w:val="0"/>
            <w:vAlign w:val="top"/>
          </w:tcPr>
          <w:p w14:paraId="1857D83C">
            <w:pPr>
              <w:rPr>
                <w:rFonts w:hint="eastAsia" w:ascii="宋体" w:hAnsi="宋体" w:cs="宋体"/>
                <w:color w:val="auto"/>
                <w:szCs w:val="21"/>
                <w:highlight w:val="none"/>
              </w:rPr>
            </w:pPr>
          </w:p>
        </w:tc>
        <w:tc>
          <w:tcPr>
            <w:tcW w:w="864" w:type="dxa"/>
            <w:tcBorders>
              <w:top w:val="single" w:color="auto" w:sz="4" w:space="0"/>
              <w:left w:val="single" w:color="auto" w:sz="4" w:space="0"/>
              <w:bottom w:val="single" w:color="auto" w:sz="4" w:space="0"/>
            </w:tcBorders>
            <w:shd w:val="clear" w:color="auto" w:fill="FFFFFF"/>
            <w:noWrap w:val="0"/>
            <w:vAlign w:val="top"/>
          </w:tcPr>
          <w:p w14:paraId="2B49EA35">
            <w:pPr>
              <w:rPr>
                <w:rFonts w:hint="eastAsia" w:ascii="宋体" w:hAnsi="宋体" w:cs="宋体"/>
                <w:color w:val="auto"/>
                <w:szCs w:val="21"/>
                <w:highlight w:val="none"/>
              </w:rPr>
            </w:pPr>
          </w:p>
        </w:tc>
        <w:tc>
          <w:tcPr>
            <w:tcW w:w="864" w:type="dxa"/>
            <w:tcBorders>
              <w:top w:val="single" w:color="auto" w:sz="4" w:space="0"/>
              <w:left w:val="single" w:color="auto" w:sz="4" w:space="0"/>
              <w:bottom w:val="single" w:color="auto" w:sz="4" w:space="0"/>
            </w:tcBorders>
            <w:shd w:val="clear" w:color="auto" w:fill="FFFFFF"/>
            <w:noWrap w:val="0"/>
            <w:vAlign w:val="top"/>
          </w:tcPr>
          <w:p w14:paraId="41E2A871">
            <w:pPr>
              <w:rPr>
                <w:rFonts w:hint="eastAsia" w:ascii="宋体" w:hAnsi="宋体" w:cs="宋体"/>
                <w:color w:val="auto"/>
                <w:szCs w:val="21"/>
                <w:highlight w:val="none"/>
              </w:rPr>
            </w:pPr>
          </w:p>
        </w:tc>
        <w:tc>
          <w:tcPr>
            <w:tcW w:w="864" w:type="dxa"/>
            <w:tcBorders>
              <w:top w:val="single" w:color="auto" w:sz="4" w:space="0"/>
              <w:left w:val="single" w:color="auto" w:sz="4" w:space="0"/>
              <w:bottom w:val="single" w:color="auto" w:sz="4" w:space="0"/>
            </w:tcBorders>
            <w:shd w:val="clear" w:color="auto" w:fill="FFFFFF"/>
            <w:noWrap w:val="0"/>
            <w:vAlign w:val="top"/>
          </w:tcPr>
          <w:p w14:paraId="2E713A13">
            <w:pPr>
              <w:rPr>
                <w:rFonts w:hint="eastAsia" w:ascii="宋体" w:hAnsi="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29CD5296">
            <w:pPr>
              <w:rPr>
                <w:rFonts w:hint="eastAsia" w:ascii="宋体" w:hAnsi="宋体" w:cs="宋体"/>
                <w:color w:val="auto"/>
                <w:szCs w:val="21"/>
                <w:highlight w:val="none"/>
              </w:rPr>
            </w:pPr>
          </w:p>
        </w:tc>
      </w:tr>
    </w:tbl>
    <w:p w14:paraId="4DA224DC">
      <w:pPr>
        <w:spacing w:line="500" w:lineRule="exact"/>
        <w:rPr>
          <w:rFonts w:hint="eastAsia" w:ascii="宋体" w:hAnsi="宋体" w:cs="宋体"/>
          <w:b/>
          <w:bCs/>
          <w:color w:val="auto"/>
          <w:szCs w:val="21"/>
          <w:highlight w:val="none"/>
        </w:rPr>
      </w:pPr>
      <w:bookmarkStart w:id="1557" w:name="_Toc27417"/>
      <w:bookmarkStart w:id="1558" w:name="bookmark2234"/>
      <w:bookmarkStart w:id="1559" w:name="bookmark2235"/>
      <w:bookmarkStart w:id="1560" w:name="bookmark2236"/>
      <w:bookmarkStart w:id="1561" w:name="_Toc3373"/>
      <w:r>
        <w:rPr>
          <w:rFonts w:hint="eastAsia" w:ascii="宋体" w:hAnsi="宋体" w:cs="宋体"/>
          <w:b/>
          <w:bCs/>
          <w:color w:val="auto"/>
          <w:szCs w:val="21"/>
          <w:highlight w:val="none"/>
        </w:rPr>
        <w:t>备注：表中内容须按要求填写，并不得留空，否则按无效响应处理。</w:t>
      </w:r>
    </w:p>
    <w:p w14:paraId="2772282F">
      <w:pPr>
        <w:pStyle w:val="2"/>
        <w:rPr>
          <w:rFonts w:hint="eastAsia" w:ascii="宋体" w:hAnsi="宋体" w:cs="宋体"/>
          <w:color w:val="auto"/>
          <w:highlight w:val="none"/>
        </w:rPr>
      </w:pPr>
    </w:p>
    <w:p w14:paraId="283811F1">
      <w:pPr>
        <w:rPr>
          <w:rFonts w:hint="eastAsia" w:ascii="宋体" w:hAnsi="宋体" w:cs="宋体"/>
          <w:b/>
          <w:color w:val="auto"/>
          <w:sz w:val="20"/>
          <w:szCs w:val="20"/>
          <w:highlight w:val="none"/>
        </w:rPr>
      </w:pPr>
    </w:p>
    <w:p w14:paraId="30C786B5">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r>
        <w:rPr>
          <w:rFonts w:hint="eastAsia" w:ascii="宋体" w:hAnsi="宋体" w:cs="宋体"/>
          <w:color w:val="auto"/>
          <w:kern w:val="0"/>
          <w:sz w:val="24"/>
          <w:highlight w:val="none"/>
        </w:rPr>
        <w:t>：</w:t>
      </w:r>
    </w:p>
    <w:p w14:paraId="519816A9">
      <w:pPr>
        <w:autoSpaceDE w:val="0"/>
        <w:autoSpaceDN w:val="0"/>
        <w:spacing w:line="360" w:lineRule="auto"/>
        <w:ind w:firstLine="6300" w:firstLineChars="2625"/>
        <w:rPr>
          <w:rFonts w:hint="eastAsia"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58F1A90C">
      <w:pPr>
        <w:rPr>
          <w:rFonts w:hint="eastAsia" w:ascii="宋体" w:hAnsi="宋体" w:cs="宋体"/>
          <w:b/>
          <w:color w:val="auto"/>
          <w:szCs w:val="21"/>
          <w:highlight w:val="none"/>
        </w:rPr>
      </w:pPr>
      <w:r>
        <w:rPr>
          <w:rFonts w:hint="eastAsia" w:ascii="宋体" w:hAnsi="宋体" w:cs="宋体"/>
          <w:b/>
          <w:color w:val="auto"/>
          <w:szCs w:val="21"/>
          <w:highlight w:val="none"/>
        </w:rPr>
        <w:t>附件二：拟投入本合同工程的试验和检测仪器设备表</w:t>
      </w:r>
      <w:bookmarkEnd w:id="1557"/>
    </w:p>
    <w:p w14:paraId="4FF68FB9">
      <w:pPr>
        <w:rPr>
          <w:rFonts w:hint="eastAsia" w:ascii="宋体" w:hAnsi="宋体" w:cs="宋体"/>
          <w:color w:val="auto"/>
          <w:szCs w:val="21"/>
          <w:highlight w:val="none"/>
        </w:rPr>
      </w:pPr>
    </w:p>
    <w:p w14:paraId="2A3783C2">
      <w:pPr>
        <w:jc w:val="center"/>
        <w:rPr>
          <w:rFonts w:hint="eastAsia" w:ascii="宋体" w:hAnsi="宋体" w:cs="宋体"/>
          <w:b/>
          <w:color w:val="auto"/>
          <w:szCs w:val="21"/>
          <w:highlight w:val="none"/>
        </w:rPr>
      </w:pPr>
      <w:bookmarkStart w:id="1562" w:name="_Toc24555"/>
      <w:r>
        <w:rPr>
          <w:rFonts w:hint="eastAsia" w:ascii="宋体" w:hAnsi="宋体" w:cs="宋体"/>
          <w:b/>
          <w:color w:val="auto"/>
          <w:szCs w:val="21"/>
          <w:highlight w:val="none"/>
        </w:rPr>
        <w:t>拟投入本合同工程的试验和检测仪器设备表</w:t>
      </w:r>
      <w:bookmarkEnd w:id="1558"/>
      <w:bookmarkEnd w:id="1559"/>
      <w:bookmarkEnd w:id="1560"/>
      <w:bookmarkEnd w:id="1561"/>
      <w:bookmarkEnd w:id="1562"/>
    </w:p>
    <w:p w14:paraId="774229B6">
      <w:pPr>
        <w:jc w:val="center"/>
        <w:rPr>
          <w:rFonts w:hint="eastAsia" w:ascii="宋体" w:hAnsi="宋体" w:cs="宋体"/>
          <w:b/>
          <w:color w:val="auto"/>
          <w:highlight w:val="none"/>
        </w:rPr>
      </w:pPr>
    </w:p>
    <w:tbl>
      <w:tblPr>
        <w:tblStyle w:val="20"/>
        <w:tblW w:w="8591"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 w:type="dxa"/>
          <w:bottom w:w="0" w:type="dxa"/>
          <w:right w:w="10" w:type="dxa"/>
        </w:tblCellMar>
      </w:tblPr>
      <w:tblGrid>
        <w:gridCol w:w="576"/>
        <w:gridCol w:w="1656"/>
        <w:gridCol w:w="907"/>
        <w:gridCol w:w="907"/>
        <w:gridCol w:w="907"/>
        <w:gridCol w:w="912"/>
        <w:gridCol w:w="902"/>
        <w:gridCol w:w="907"/>
        <w:gridCol w:w="917"/>
      </w:tblGrid>
      <w:tr w14:paraId="48433C3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859" w:hRule="exact"/>
          <w:jc w:val="center"/>
        </w:trPr>
        <w:tc>
          <w:tcPr>
            <w:tcW w:w="576" w:type="dxa"/>
            <w:shd w:val="clear" w:color="auto" w:fill="FFFFFF"/>
            <w:noWrap w:val="0"/>
            <w:vAlign w:val="center"/>
          </w:tcPr>
          <w:p w14:paraId="432B8AA6">
            <w:pPr>
              <w:pStyle w:val="39"/>
              <w:spacing w:line="240" w:lineRule="auto"/>
              <w:jc w:val="center"/>
              <w:rPr>
                <w:rFonts w:hint="eastAsia"/>
                <w:color w:val="auto"/>
                <w:sz w:val="21"/>
                <w:szCs w:val="21"/>
                <w:highlight w:val="none"/>
              </w:rPr>
            </w:pPr>
            <w:r>
              <w:rPr>
                <w:rFonts w:hint="eastAsia"/>
                <w:color w:val="auto"/>
                <w:sz w:val="21"/>
                <w:szCs w:val="21"/>
                <w:highlight w:val="none"/>
              </w:rPr>
              <w:t>序号</w:t>
            </w:r>
          </w:p>
        </w:tc>
        <w:tc>
          <w:tcPr>
            <w:tcW w:w="1656" w:type="dxa"/>
            <w:tcBorders>
              <w:left w:val="single" w:color="auto" w:sz="4" w:space="0"/>
            </w:tcBorders>
            <w:shd w:val="clear" w:color="auto" w:fill="FFFFFF"/>
            <w:noWrap w:val="0"/>
            <w:vAlign w:val="center"/>
          </w:tcPr>
          <w:p w14:paraId="2CB5E374">
            <w:pPr>
              <w:pStyle w:val="39"/>
              <w:spacing w:line="240" w:lineRule="auto"/>
              <w:jc w:val="center"/>
              <w:rPr>
                <w:rFonts w:hint="eastAsia"/>
                <w:color w:val="auto"/>
                <w:sz w:val="21"/>
                <w:szCs w:val="21"/>
                <w:highlight w:val="none"/>
              </w:rPr>
            </w:pPr>
            <w:r>
              <w:rPr>
                <w:rFonts w:hint="eastAsia"/>
                <w:color w:val="auto"/>
                <w:sz w:val="21"/>
                <w:szCs w:val="21"/>
                <w:highlight w:val="none"/>
              </w:rPr>
              <w:t>仪器设备名称</w:t>
            </w:r>
          </w:p>
        </w:tc>
        <w:tc>
          <w:tcPr>
            <w:tcW w:w="907" w:type="dxa"/>
            <w:tcBorders>
              <w:left w:val="single" w:color="auto" w:sz="4" w:space="0"/>
            </w:tcBorders>
            <w:shd w:val="clear" w:color="auto" w:fill="FFFFFF"/>
            <w:noWrap w:val="0"/>
            <w:vAlign w:val="center"/>
          </w:tcPr>
          <w:p w14:paraId="60250C27">
            <w:pPr>
              <w:pStyle w:val="39"/>
              <w:spacing w:line="240" w:lineRule="auto"/>
              <w:jc w:val="center"/>
              <w:rPr>
                <w:rFonts w:hint="eastAsia"/>
                <w:color w:val="auto"/>
                <w:sz w:val="21"/>
                <w:szCs w:val="21"/>
                <w:highlight w:val="none"/>
              </w:rPr>
            </w:pPr>
            <w:r>
              <w:rPr>
                <w:rFonts w:hint="eastAsia"/>
                <w:color w:val="auto"/>
                <w:sz w:val="21"/>
                <w:szCs w:val="21"/>
                <w:highlight w:val="none"/>
              </w:rPr>
              <w:t>型号</w:t>
            </w:r>
            <w:r>
              <w:rPr>
                <w:rFonts w:hint="eastAsia"/>
                <w:color w:val="auto"/>
                <w:sz w:val="21"/>
                <w:szCs w:val="21"/>
                <w:highlight w:val="none"/>
                <w:lang w:eastAsia="zh-CN"/>
              </w:rPr>
              <w:t>、</w:t>
            </w:r>
            <w:r>
              <w:rPr>
                <w:rFonts w:hint="eastAsia"/>
                <w:color w:val="auto"/>
                <w:sz w:val="21"/>
                <w:szCs w:val="21"/>
                <w:highlight w:val="none"/>
              </w:rPr>
              <w:t>规格</w:t>
            </w:r>
          </w:p>
        </w:tc>
        <w:tc>
          <w:tcPr>
            <w:tcW w:w="907" w:type="dxa"/>
            <w:tcBorders>
              <w:left w:val="single" w:color="auto" w:sz="4" w:space="0"/>
            </w:tcBorders>
            <w:shd w:val="clear" w:color="auto" w:fill="FFFFFF"/>
            <w:noWrap w:val="0"/>
            <w:vAlign w:val="center"/>
          </w:tcPr>
          <w:p w14:paraId="29C0F107">
            <w:pPr>
              <w:pStyle w:val="39"/>
              <w:spacing w:line="240" w:lineRule="auto"/>
              <w:jc w:val="center"/>
              <w:rPr>
                <w:rFonts w:hint="eastAsia"/>
                <w:color w:val="auto"/>
                <w:sz w:val="21"/>
                <w:szCs w:val="21"/>
                <w:highlight w:val="none"/>
              </w:rPr>
            </w:pPr>
            <w:r>
              <w:rPr>
                <w:rFonts w:hint="eastAsia"/>
                <w:color w:val="auto"/>
                <w:sz w:val="21"/>
                <w:szCs w:val="21"/>
                <w:highlight w:val="none"/>
              </w:rPr>
              <w:t>数量</w:t>
            </w:r>
          </w:p>
        </w:tc>
        <w:tc>
          <w:tcPr>
            <w:tcW w:w="907" w:type="dxa"/>
            <w:tcBorders>
              <w:left w:val="single" w:color="auto" w:sz="4" w:space="0"/>
            </w:tcBorders>
            <w:shd w:val="clear" w:color="auto" w:fill="FFFFFF"/>
            <w:noWrap w:val="0"/>
            <w:vAlign w:val="center"/>
          </w:tcPr>
          <w:p w14:paraId="7C3FA543">
            <w:pPr>
              <w:pStyle w:val="39"/>
              <w:spacing w:line="240" w:lineRule="auto"/>
              <w:jc w:val="center"/>
              <w:rPr>
                <w:rFonts w:hint="eastAsia"/>
                <w:color w:val="auto"/>
                <w:sz w:val="21"/>
                <w:szCs w:val="21"/>
                <w:highlight w:val="none"/>
              </w:rPr>
            </w:pPr>
            <w:r>
              <w:rPr>
                <w:rFonts w:hint="eastAsia"/>
                <w:color w:val="auto"/>
                <w:sz w:val="21"/>
                <w:szCs w:val="21"/>
                <w:highlight w:val="none"/>
              </w:rPr>
              <w:t>国别</w:t>
            </w:r>
            <w:r>
              <w:rPr>
                <w:rFonts w:hint="eastAsia"/>
                <w:color w:val="auto"/>
                <w:sz w:val="21"/>
                <w:szCs w:val="21"/>
                <w:highlight w:val="none"/>
                <w:lang w:eastAsia="zh-CN"/>
              </w:rPr>
              <w:t>、</w:t>
            </w:r>
            <w:r>
              <w:rPr>
                <w:rFonts w:hint="eastAsia"/>
                <w:color w:val="auto"/>
                <w:sz w:val="21"/>
                <w:szCs w:val="21"/>
                <w:highlight w:val="none"/>
              </w:rPr>
              <w:t>产地</w:t>
            </w:r>
          </w:p>
        </w:tc>
        <w:tc>
          <w:tcPr>
            <w:tcW w:w="912" w:type="dxa"/>
            <w:tcBorders>
              <w:left w:val="single" w:color="auto" w:sz="4" w:space="0"/>
            </w:tcBorders>
            <w:shd w:val="clear" w:color="auto" w:fill="FFFFFF"/>
            <w:noWrap w:val="0"/>
            <w:vAlign w:val="center"/>
          </w:tcPr>
          <w:p w14:paraId="6C2B1176">
            <w:pPr>
              <w:pStyle w:val="39"/>
              <w:spacing w:line="240" w:lineRule="auto"/>
              <w:jc w:val="center"/>
              <w:rPr>
                <w:rFonts w:hint="eastAsia"/>
                <w:color w:val="auto"/>
                <w:sz w:val="21"/>
                <w:szCs w:val="21"/>
                <w:highlight w:val="none"/>
              </w:rPr>
            </w:pPr>
            <w:r>
              <w:rPr>
                <w:rFonts w:hint="eastAsia"/>
                <w:color w:val="auto"/>
                <w:sz w:val="21"/>
                <w:szCs w:val="21"/>
                <w:highlight w:val="none"/>
              </w:rPr>
              <w:t>制造年份</w:t>
            </w:r>
          </w:p>
        </w:tc>
        <w:tc>
          <w:tcPr>
            <w:tcW w:w="902" w:type="dxa"/>
            <w:tcBorders>
              <w:left w:val="single" w:color="auto" w:sz="4" w:space="0"/>
            </w:tcBorders>
            <w:shd w:val="clear" w:color="auto" w:fill="FFFFFF"/>
            <w:noWrap w:val="0"/>
            <w:vAlign w:val="center"/>
          </w:tcPr>
          <w:p w14:paraId="207C66F5">
            <w:pPr>
              <w:pStyle w:val="39"/>
              <w:spacing w:line="264" w:lineRule="exact"/>
              <w:jc w:val="center"/>
              <w:rPr>
                <w:rFonts w:hint="eastAsia"/>
                <w:color w:val="auto"/>
                <w:sz w:val="21"/>
                <w:szCs w:val="21"/>
                <w:highlight w:val="none"/>
              </w:rPr>
            </w:pPr>
            <w:r>
              <w:rPr>
                <w:rFonts w:hint="eastAsia"/>
                <w:color w:val="auto"/>
                <w:sz w:val="21"/>
                <w:szCs w:val="21"/>
                <w:highlight w:val="none"/>
              </w:rPr>
              <w:t>己使用台时数</w:t>
            </w:r>
          </w:p>
        </w:tc>
        <w:tc>
          <w:tcPr>
            <w:tcW w:w="907" w:type="dxa"/>
            <w:tcBorders>
              <w:left w:val="single" w:color="auto" w:sz="4" w:space="0"/>
            </w:tcBorders>
            <w:shd w:val="clear" w:color="auto" w:fill="FFFFFF"/>
            <w:noWrap w:val="0"/>
            <w:vAlign w:val="center"/>
          </w:tcPr>
          <w:p w14:paraId="2E7590AF">
            <w:pPr>
              <w:pStyle w:val="39"/>
              <w:spacing w:line="240" w:lineRule="auto"/>
              <w:jc w:val="center"/>
              <w:rPr>
                <w:rFonts w:hint="eastAsia"/>
                <w:color w:val="auto"/>
                <w:sz w:val="21"/>
                <w:szCs w:val="21"/>
                <w:highlight w:val="none"/>
              </w:rPr>
            </w:pPr>
            <w:r>
              <w:rPr>
                <w:rFonts w:hint="eastAsia"/>
                <w:color w:val="auto"/>
                <w:sz w:val="21"/>
                <w:szCs w:val="21"/>
                <w:highlight w:val="none"/>
              </w:rPr>
              <w:t>用途</w:t>
            </w:r>
          </w:p>
        </w:tc>
        <w:tc>
          <w:tcPr>
            <w:tcW w:w="917" w:type="dxa"/>
            <w:tcBorders>
              <w:left w:val="single" w:color="auto" w:sz="4" w:space="0"/>
            </w:tcBorders>
            <w:shd w:val="clear" w:color="auto" w:fill="FFFFFF"/>
            <w:noWrap w:val="0"/>
            <w:vAlign w:val="center"/>
          </w:tcPr>
          <w:p w14:paraId="0D7FCD5F">
            <w:pPr>
              <w:pStyle w:val="39"/>
              <w:spacing w:line="240" w:lineRule="auto"/>
              <w:jc w:val="center"/>
              <w:rPr>
                <w:rFonts w:hint="eastAsia"/>
                <w:color w:val="auto"/>
                <w:sz w:val="21"/>
                <w:szCs w:val="21"/>
                <w:highlight w:val="none"/>
              </w:rPr>
            </w:pPr>
            <w:r>
              <w:rPr>
                <w:rFonts w:hint="eastAsia"/>
                <w:color w:val="auto"/>
                <w:sz w:val="21"/>
                <w:szCs w:val="21"/>
                <w:highlight w:val="none"/>
              </w:rPr>
              <w:t>备注</w:t>
            </w:r>
          </w:p>
        </w:tc>
      </w:tr>
      <w:tr w14:paraId="3BF5A1D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66" w:hRule="exact"/>
          <w:jc w:val="center"/>
        </w:trPr>
        <w:tc>
          <w:tcPr>
            <w:tcW w:w="576" w:type="dxa"/>
            <w:tcBorders>
              <w:top w:val="single" w:color="auto" w:sz="4" w:space="0"/>
            </w:tcBorders>
            <w:shd w:val="clear" w:color="auto" w:fill="FFFFFF"/>
            <w:noWrap w:val="0"/>
            <w:vAlign w:val="top"/>
          </w:tcPr>
          <w:p w14:paraId="0BD65119">
            <w:pPr>
              <w:rPr>
                <w:rFonts w:hint="eastAsia" w:ascii="宋体" w:hAnsi="宋体" w:cs="宋体"/>
                <w:color w:val="auto"/>
                <w:sz w:val="21"/>
                <w:szCs w:val="21"/>
                <w:highlight w:val="none"/>
              </w:rPr>
            </w:pPr>
          </w:p>
        </w:tc>
        <w:tc>
          <w:tcPr>
            <w:tcW w:w="1656" w:type="dxa"/>
            <w:tcBorders>
              <w:top w:val="single" w:color="auto" w:sz="4" w:space="0"/>
              <w:left w:val="single" w:color="auto" w:sz="4" w:space="0"/>
            </w:tcBorders>
            <w:shd w:val="clear" w:color="auto" w:fill="FFFFFF"/>
            <w:noWrap w:val="0"/>
            <w:vAlign w:val="top"/>
          </w:tcPr>
          <w:p w14:paraId="10111E6B">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469885FC">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1EBE5B4B">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167BF35A">
            <w:pPr>
              <w:rPr>
                <w:rFonts w:hint="eastAsia" w:ascii="宋体" w:hAnsi="宋体" w:cs="宋体"/>
                <w:color w:val="auto"/>
                <w:sz w:val="21"/>
                <w:szCs w:val="21"/>
                <w:highlight w:val="none"/>
              </w:rPr>
            </w:pPr>
          </w:p>
        </w:tc>
        <w:tc>
          <w:tcPr>
            <w:tcW w:w="912" w:type="dxa"/>
            <w:tcBorders>
              <w:top w:val="single" w:color="auto" w:sz="4" w:space="0"/>
              <w:left w:val="single" w:color="auto" w:sz="4" w:space="0"/>
            </w:tcBorders>
            <w:shd w:val="clear" w:color="auto" w:fill="FFFFFF"/>
            <w:noWrap w:val="0"/>
            <w:vAlign w:val="top"/>
          </w:tcPr>
          <w:p w14:paraId="7F924B2B">
            <w:pPr>
              <w:rPr>
                <w:rFonts w:hint="eastAsia" w:ascii="宋体" w:hAnsi="宋体" w:cs="宋体"/>
                <w:color w:val="auto"/>
                <w:sz w:val="21"/>
                <w:szCs w:val="21"/>
                <w:highlight w:val="none"/>
              </w:rPr>
            </w:pPr>
          </w:p>
        </w:tc>
        <w:tc>
          <w:tcPr>
            <w:tcW w:w="902" w:type="dxa"/>
            <w:tcBorders>
              <w:top w:val="single" w:color="auto" w:sz="4" w:space="0"/>
              <w:left w:val="single" w:color="auto" w:sz="4" w:space="0"/>
            </w:tcBorders>
            <w:shd w:val="clear" w:color="auto" w:fill="FFFFFF"/>
            <w:noWrap w:val="0"/>
            <w:vAlign w:val="top"/>
          </w:tcPr>
          <w:p w14:paraId="4204D1A9">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725F46B1">
            <w:pPr>
              <w:rPr>
                <w:rFonts w:hint="eastAsia" w:ascii="宋体" w:hAnsi="宋体" w:cs="宋体"/>
                <w:color w:val="auto"/>
                <w:sz w:val="21"/>
                <w:szCs w:val="21"/>
                <w:highlight w:val="none"/>
              </w:rPr>
            </w:pPr>
          </w:p>
        </w:tc>
        <w:tc>
          <w:tcPr>
            <w:tcW w:w="917" w:type="dxa"/>
            <w:tcBorders>
              <w:top w:val="single" w:color="auto" w:sz="4" w:space="0"/>
              <w:left w:val="single" w:color="auto" w:sz="4" w:space="0"/>
            </w:tcBorders>
            <w:shd w:val="clear" w:color="auto" w:fill="FFFFFF"/>
            <w:noWrap w:val="0"/>
            <w:vAlign w:val="top"/>
          </w:tcPr>
          <w:p w14:paraId="745E1A0A">
            <w:pPr>
              <w:rPr>
                <w:rFonts w:hint="eastAsia" w:ascii="宋体" w:hAnsi="宋体" w:cs="宋体"/>
                <w:color w:val="auto"/>
                <w:sz w:val="21"/>
                <w:szCs w:val="21"/>
                <w:highlight w:val="none"/>
              </w:rPr>
            </w:pPr>
          </w:p>
        </w:tc>
      </w:tr>
      <w:tr w14:paraId="0896718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66" w:hRule="exact"/>
          <w:jc w:val="center"/>
        </w:trPr>
        <w:tc>
          <w:tcPr>
            <w:tcW w:w="576" w:type="dxa"/>
            <w:tcBorders>
              <w:top w:val="single" w:color="auto" w:sz="4" w:space="0"/>
            </w:tcBorders>
            <w:shd w:val="clear" w:color="auto" w:fill="FFFFFF"/>
            <w:noWrap w:val="0"/>
            <w:vAlign w:val="top"/>
          </w:tcPr>
          <w:p w14:paraId="27352DE6">
            <w:pPr>
              <w:rPr>
                <w:rFonts w:hint="eastAsia" w:ascii="宋体" w:hAnsi="宋体" w:cs="宋体"/>
                <w:color w:val="auto"/>
                <w:sz w:val="21"/>
                <w:szCs w:val="21"/>
                <w:highlight w:val="none"/>
              </w:rPr>
            </w:pPr>
          </w:p>
        </w:tc>
        <w:tc>
          <w:tcPr>
            <w:tcW w:w="1656" w:type="dxa"/>
            <w:tcBorders>
              <w:top w:val="single" w:color="auto" w:sz="4" w:space="0"/>
              <w:left w:val="single" w:color="auto" w:sz="4" w:space="0"/>
            </w:tcBorders>
            <w:shd w:val="clear" w:color="auto" w:fill="FFFFFF"/>
            <w:noWrap w:val="0"/>
            <w:vAlign w:val="top"/>
          </w:tcPr>
          <w:p w14:paraId="77AECF0D">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15D143F8">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7AA01CBE">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0367F4C2">
            <w:pPr>
              <w:rPr>
                <w:rFonts w:hint="eastAsia" w:ascii="宋体" w:hAnsi="宋体" w:cs="宋体"/>
                <w:color w:val="auto"/>
                <w:sz w:val="21"/>
                <w:szCs w:val="21"/>
                <w:highlight w:val="none"/>
              </w:rPr>
            </w:pPr>
          </w:p>
        </w:tc>
        <w:tc>
          <w:tcPr>
            <w:tcW w:w="912" w:type="dxa"/>
            <w:tcBorders>
              <w:top w:val="single" w:color="auto" w:sz="4" w:space="0"/>
              <w:left w:val="single" w:color="auto" w:sz="4" w:space="0"/>
            </w:tcBorders>
            <w:shd w:val="clear" w:color="auto" w:fill="FFFFFF"/>
            <w:noWrap w:val="0"/>
            <w:vAlign w:val="top"/>
          </w:tcPr>
          <w:p w14:paraId="69D2AAAB">
            <w:pPr>
              <w:rPr>
                <w:rFonts w:hint="eastAsia" w:ascii="宋体" w:hAnsi="宋体" w:cs="宋体"/>
                <w:color w:val="auto"/>
                <w:sz w:val="21"/>
                <w:szCs w:val="21"/>
                <w:highlight w:val="none"/>
              </w:rPr>
            </w:pPr>
          </w:p>
        </w:tc>
        <w:tc>
          <w:tcPr>
            <w:tcW w:w="902" w:type="dxa"/>
            <w:tcBorders>
              <w:top w:val="single" w:color="auto" w:sz="4" w:space="0"/>
              <w:left w:val="single" w:color="auto" w:sz="4" w:space="0"/>
            </w:tcBorders>
            <w:shd w:val="clear" w:color="auto" w:fill="FFFFFF"/>
            <w:noWrap w:val="0"/>
            <w:vAlign w:val="top"/>
          </w:tcPr>
          <w:p w14:paraId="0703D185">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2B6E6312">
            <w:pPr>
              <w:rPr>
                <w:rFonts w:hint="eastAsia" w:ascii="宋体" w:hAnsi="宋体" w:cs="宋体"/>
                <w:color w:val="auto"/>
                <w:sz w:val="21"/>
                <w:szCs w:val="21"/>
                <w:highlight w:val="none"/>
              </w:rPr>
            </w:pPr>
          </w:p>
        </w:tc>
        <w:tc>
          <w:tcPr>
            <w:tcW w:w="917" w:type="dxa"/>
            <w:tcBorders>
              <w:top w:val="single" w:color="auto" w:sz="4" w:space="0"/>
              <w:left w:val="single" w:color="auto" w:sz="4" w:space="0"/>
            </w:tcBorders>
            <w:shd w:val="clear" w:color="auto" w:fill="FFFFFF"/>
            <w:noWrap w:val="0"/>
            <w:vAlign w:val="top"/>
          </w:tcPr>
          <w:p w14:paraId="28BA2006">
            <w:pPr>
              <w:rPr>
                <w:rFonts w:hint="eastAsia" w:ascii="宋体" w:hAnsi="宋体" w:cs="宋体"/>
                <w:color w:val="auto"/>
                <w:sz w:val="21"/>
                <w:szCs w:val="21"/>
                <w:highlight w:val="none"/>
              </w:rPr>
            </w:pPr>
          </w:p>
        </w:tc>
      </w:tr>
      <w:tr w14:paraId="697BFB4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66" w:hRule="exact"/>
          <w:jc w:val="center"/>
        </w:trPr>
        <w:tc>
          <w:tcPr>
            <w:tcW w:w="576" w:type="dxa"/>
            <w:tcBorders>
              <w:top w:val="single" w:color="auto" w:sz="4" w:space="0"/>
            </w:tcBorders>
            <w:shd w:val="clear" w:color="auto" w:fill="FFFFFF"/>
            <w:noWrap w:val="0"/>
            <w:vAlign w:val="top"/>
          </w:tcPr>
          <w:p w14:paraId="3F30AA7A">
            <w:pPr>
              <w:rPr>
                <w:rFonts w:hint="eastAsia" w:ascii="宋体" w:hAnsi="宋体" w:cs="宋体"/>
                <w:color w:val="auto"/>
                <w:sz w:val="21"/>
                <w:szCs w:val="21"/>
                <w:highlight w:val="none"/>
              </w:rPr>
            </w:pPr>
          </w:p>
        </w:tc>
        <w:tc>
          <w:tcPr>
            <w:tcW w:w="1656" w:type="dxa"/>
            <w:tcBorders>
              <w:top w:val="single" w:color="auto" w:sz="4" w:space="0"/>
              <w:left w:val="single" w:color="auto" w:sz="4" w:space="0"/>
            </w:tcBorders>
            <w:shd w:val="clear" w:color="auto" w:fill="FFFFFF"/>
            <w:noWrap w:val="0"/>
            <w:vAlign w:val="top"/>
          </w:tcPr>
          <w:p w14:paraId="6A2AD24E">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135C4923">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207B59D0">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68D2CDA3">
            <w:pPr>
              <w:rPr>
                <w:rFonts w:hint="eastAsia" w:ascii="宋体" w:hAnsi="宋体" w:cs="宋体"/>
                <w:color w:val="auto"/>
                <w:sz w:val="21"/>
                <w:szCs w:val="21"/>
                <w:highlight w:val="none"/>
              </w:rPr>
            </w:pPr>
          </w:p>
        </w:tc>
        <w:tc>
          <w:tcPr>
            <w:tcW w:w="912" w:type="dxa"/>
            <w:tcBorders>
              <w:top w:val="single" w:color="auto" w:sz="4" w:space="0"/>
              <w:left w:val="single" w:color="auto" w:sz="4" w:space="0"/>
            </w:tcBorders>
            <w:shd w:val="clear" w:color="auto" w:fill="FFFFFF"/>
            <w:noWrap w:val="0"/>
            <w:vAlign w:val="top"/>
          </w:tcPr>
          <w:p w14:paraId="15166FA6">
            <w:pPr>
              <w:rPr>
                <w:rFonts w:hint="eastAsia" w:ascii="宋体" w:hAnsi="宋体" w:cs="宋体"/>
                <w:color w:val="auto"/>
                <w:sz w:val="21"/>
                <w:szCs w:val="21"/>
                <w:highlight w:val="none"/>
              </w:rPr>
            </w:pPr>
          </w:p>
        </w:tc>
        <w:tc>
          <w:tcPr>
            <w:tcW w:w="902" w:type="dxa"/>
            <w:tcBorders>
              <w:top w:val="single" w:color="auto" w:sz="4" w:space="0"/>
              <w:left w:val="single" w:color="auto" w:sz="4" w:space="0"/>
            </w:tcBorders>
            <w:shd w:val="clear" w:color="auto" w:fill="FFFFFF"/>
            <w:noWrap w:val="0"/>
            <w:vAlign w:val="top"/>
          </w:tcPr>
          <w:p w14:paraId="54CDDAEA">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49E42B15">
            <w:pPr>
              <w:rPr>
                <w:rFonts w:hint="eastAsia" w:ascii="宋体" w:hAnsi="宋体" w:cs="宋体"/>
                <w:color w:val="auto"/>
                <w:sz w:val="21"/>
                <w:szCs w:val="21"/>
                <w:highlight w:val="none"/>
              </w:rPr>
            </w:pPr>
          </w:p>
        </w:tc>
        <w:tc>
          <w:tcPr>
            <w:tcW w:w="917" w:type="dxa"/>
            <w:tcBorders>
              <w:top w:val="single" w:color="auto" w:sz="4" w:space="0"/>
              <w:left w:val="single" w:color="auto" w:sz="4" w:space="0"/>
            </w:tcBorders>
            <w:shd w:val="clear" w:color="auto" w:fill="FFFFFF"/>
            <w:noWrap w:val="0"/>
            <w:vAlign w:val="top"/>
          </w:tcPr>
          <w:p w14:paraId="23C8E50A">
            <w:pPr>
              <w:rPr>
                <w:rFonts w:hint="eastAsia" w:ascii="宋体" w:hAnsi="宋体" w:cs="宋体"/>
                <w:color w:val="auto"/>
                <w:sz w:val="21"/>
                <w:szCs w:val="21"/>
                <w:highlight w:val="none"/>
              </w:rPr>
            </w:pPr>
          </w:p>
        </w:tc>
      </w:tr>
      <w:tr w14:paraId="107EE17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66" w:hRule="exact"/>
          <w:jc w:val="center"/>
        </w:trPr>
        <w:tc>
          <w:tcPr>
            <w:tcW w:w="576" w:type="dxa"/>
            <w:tcBorders>
              <w:top w:val="single" w:color="auto" w:sz="4" w:space="0"/>
            </w:tcBorders>
            <w:shd w:val="clear" w:color="auto" w:fill="FFFFFF"/>
            <w:noWrap w:val="0"/>
            <w:vAlign w:val="top"/>
          </w:tcPr>
          <w:p w14:paraId="78E908DA">
            <w:pPr>
              <w:rPr>
                <w:rFonts w:hint="eastAsia" w:ascii="宋体" w:hAnsi="宋体" w:cs="宋体"/>
                <w:color w:val="auto"/>
                <w:sz w:val="21"/>
                <w:szCs w:val="21"/>
                <w:highlight w:val="none"/>
              </w:rPr>
            </w:pPr>
          </w:p>
        </w:tc>
        <w:tc>
          <w:tcPr>
            <w:tcW w:w="1656" w:type="dxa"/>
            <w:tcBorders>
              <w:top w:val="single" w:color="auto" w:sz="4" w:space="0"/>
              <w:left w:val="single" w:color="auto" w:sz="4" w:space="0"/>
            </w:tcBorders>
            <w:shd w:val="clear" w:color="auto" w:fill="FFFFFF"/>
            <w:noWrap w:val="0"/>
            <w:vAlign w:val="top"/>
          </w:tcPr>
          <w:p w14:paraId="4E3F1C85">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46300D6D">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06137710">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768098A3">
            <w:pPr>
              <w:rPr>
                <w:rFonts w:hint="eastAsia" w:ascii="宋体" w:hAnsi="宋体" w:cs="宋体"/>
                <w:color w:val="auto"/>
                <w:sz w:val="21"/>
                <w:szCs w:val="21"/>
                <w:highlight w:val="none"/>
              </w:rPr>
            </w:pPr>
          </w:p>
        </w:tc>
        <w:tc>
          <w:tcPr>
            <w:tcW w:w="912" w:type="dxa"/>
            <w:tcBorders>
              <w:top w:val="single" w:color="auto" w:sz="4" w:space="0"/>
              <w:left w:val="single" w:color="auto" w:sz="4" w:space="0"/>
            </w:tcBorders>
            <w:shd w:val="clear" w:color="auto" w:fill="FFFFFF"/>
            <w:noWrap w:val="0"/>
            <w:vAlign w:val="top"/>
          </w:tcPr>
          <w:p w14:paraId="5693A935">
            <w:pPr>
              <w:rPr>
                <w:rFonts w:hint="eastAsia" w:ascii="宋体" w:hAnsi="宋体" w:cs="宋体"/>
                <w:color w:val="auto"/>
                <w:sz w:val="21"/>
                <w:szCs w:val="21"/>
                <w:highlight w:val="none"/>
              </w:rPr>
            </w:pPr>
          </w:p>
        </w:tc>
        <w:tc>
          <w:tcPr>
            <w:tcW w:w="902" w:type="dxa"/>
            <w:tcBorders>
              <w:top w:val="single" w:color="auto" w:sz="4" w:space="0"/>
              <w:left w:val="single" w:color="auto" w:sz="4" w:space="0"/>
            </w:tcBorders>
            <w:shd w:val="clear" w:color="auto" w:fill="FFFFFF"/>
            <w:noWrap w:val="0"/>
            <w:vAlign w:val="top"/>
          </w:tcPr>
          <w:p w14:paraId="76311793">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02A0510F">
            <w:pPr>
              <w:rPr>
                <w:rFonts w:hint="eastAsia" w:ascii="宋体" w:hAnsi="宋体" w:cs="宋体"/>
                <w:color w:val="auto"/>
                <w:sz w:val="21"/>
                <w:szCs w:val="21"/>
                <w:highlight w:val="none"/>
              </w:rPr>
            </w:pPr>
          </w:p>
        </w:tc>
        <w:tc>
          <w:tcPr>
            <w:tcW w:w="917" w:type="dxa"/>
            <w:tcBorders>
              <w:top w:val="single" w:color="auto" w:sz="4" w:space="0"/>
              <w:left w:val="single" w:color="auto" w:sz="4" w:space="0"/>
            </w:tcBorders>
            <w:shd w:val="clear" w:color="auto" w:fill="FFFFFF"/>
            <w:noWrap w:val="0"/>
            <w:vAlign w:val="top"/>
          </w:tcPr>
          <w:p w14:paraId="44682B00">
            <w:pPr>
              <w:rPr>
                <w:rFonts w:hint="eastAsia" w:ascii="宋体" w:hAnsi="宋体" w:cs="宋体"/>
                <w:color w:val="auto"/>
                <w:sz w:val="21"/>
                <w:szCs w:val="21"/>
                <w:highlight w:val="none"/>
              </w:rPr>
            </w:pPr>
          </w:p>
        </w:tc>
      </w:tr>
      <w:tr w14:paraId="477ED04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66" w:hRule="exact"/>
          <w:jc w:val="center"/>
        </w:trPr>
        <w:tc>
          <w:tcPr>
            <w:tcW w:w="576" w:type="dxa"/>
            <w:tcBorders>
              <w:top w:val="single" w:color="auto" w:sz="4" w:space="0"/>
            </w:tcBorders>
            <w:shd w:val="clear" w:color="auto" w:fill="FFFFFF"/>
            <w:noWrap w:val="0"/>
            <w:vAlign w:val="top"/>
          </w:tcPr>
          <w:p w14:paraId="0BA59358">
            <w:pPr>
              <w:rPr>
                <w:rFonts w:hint="eastAsia" w:ascii="宋体" w:hAnsi="宋体" w:cs="宋体"/>
                <w:color w:val="auto"/>
                <w:sz w:val="21"/>
                <w:szCs w:val="21"/>
                <w:highlight w:val="none"/>
              </w:rPr>
            </w:pPr>
          </w:p>
        </w:tc>
        <w:tc>
          <w:tcPr>
            <w:tcW w:w="1656" w:type="dxa"/>
            <w:tcBorders>
              <w:top w:val="single" w:color="auto" w:sz="4" w:space="0"/>
              <w:left w:val="single" w:color="auto" w:sz="4" w:space="0"/>
            </w:tcBorders>
            <w:shd w:val="clear" w:color="auto" w:fill="FFFFFF"/>
            <w:noWrap w:val="0"/>
            <w:vAlign w:val="top"/>
          </w:tcPr>
          <w:p w14:paraId="311FF32A">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7A2A3EFC">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4FEACCBC">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7177138F">
            <w:pPr>
              <w:rPr>
                <w:rFonts w:hint="eastAsia" w:ascii="宋体" w:hAnsi="宋体" w:cs="宋体"/>
                <w:color w:val="auto"/>
                <w:sz w:val="21"/>
                <w:szCs w:val="21"/>
                <w:highlight w:val="none"/>
              </w:rPr>
            </w:pPr>
          </w:p>
        </w:tc>
        <w:tc>
          <w:tcPr>
            <w:tcW w:w="912" w:type="dxa"/>
            <w:tcBorders>
              <w:top w:val="single" w:color="auto" w:sz="4" w:space="0"/>
              <w:left w:val="single" w:color="auto" w:sz="4" w:space="0"/>
            </w:tcBorders>
            <w:shd w:val="clear" w:color="auto" w:fill="FFFFFF"/>
            <w:noWrap w:val="0"/>
            <w:vAlign w:val="top"/>
          </w:tcPr>
          <w:p w14:paraId="204F5681">
            <w:pPr>
              <w:rPr>
                <w:rFonts w:hint="eastAsia" w:ascii="宋体" w:hAnsi="宋体" w:cs="宋体"/>
                <w:color w:val="auto"/>
                <w:sz w:val="21"/>
                <w:szCs w:val="21"/>
                <w:highlight w:val="none"/>
              </w:rPr>
            </w:pPr>
          </w:p>
        </w:tc>
        <w:tc>
          <w:tcPr>
            <w:tcW w:w="902" w:type="dxa"/>
            <w:tcBorders>
              <w:top w:val="single" w:color="auto" w:sz="4" w:space="0"/>
              <w:left w:val="single" w:color="auto" w:sz="4" w:space="0"/>
            </w:tcBorders>
            <w:shd w:val="clear" w:color="auto" w:fill="FFFFFF"/>
            <w:noWrap w:val="0"/>
            <w:vAlign w:val="top"/>
          </w:tcPr>
          <w:p w14:paraId="120388A0">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68FE7870">
            <w:pPr>
              <w:rPr>
                <w:rFonts w:hint="eastAsia" w:ascii="宋体" w:hAnsi="宋体" w:cs="宋体"/>
                <w:color w:val="auto"/>
                <w:sz w:val="21"/>
                <w:szCs w:val="21"/>
                <w:highlight w:val="none"/>
              </w:rPr>
            </w:pPr>
          </w:p>
        </w:tc>
        <w:tc>
          <w:tcPr>
            <w:tcW w:w="917" w:type="dxa"/>
            <w:tcBorders>
              <w:top w:val="single" w:color="auto" w:sz="4" w:space="0"/>
              <w:left w:val="single" w:color="auto" w:sz="4" w:space="0"/>
            </w:tcBorders>
            <w:shd w:val="clear" w:color="auto" w:fill="FFFFFF"/>
            <w:noWrap w:val="0"/>
            <w:vAlign w:val="top"/>
          </w:tcPr>
          <w:p w14:paraId="5D66E48C">
            <w:pPr>
              <w:rPr>
                <w:rFonts w:hint="eastAsia" w:ascii="宋体" w:hAnsi="宋体" w:cs="宋体"/>
                <w:color w:val="auto"/>
                <w:sz w:val="21"/>
                <w:szCs w:val="21"/>
                <w:highlight w:val="none"/>
              </w:rPr>
            </w:pPr>
          </w:p>
        </w:tc>
      </w:tr>
    </w:tbl>
    <w:p w14:paraId="11540CA4">
      <w:pPr>
        <w:spacing w:after="299" w:line="1" w:lineRule="exact"/>
        <w:rPr>
          <w:rFonts w:hint="eastAsia" w:ascii="宋体" w:hAnsi="宋体" w:cs="宋体"/>
          <w:color w:val="auto"/>
          <w:highlight w:val="none"/>
        </w:rPr>
      </w:pPr>
    </w:p>
    <w:p w14:paraId="5469CA64">
      <w:pPr>
        <w:spacing w:line="500" w:lineRule="exact"/>
        <w:rPr>
          <w:rFonts w:hint="eastAsia" w:ascii="宋体" w:hAnsi="宋体" w:cs="宋体"/>
          <w:b/>
          <w:bCs/>
          <w:color w:val="auto"/>
          <w:szCs w:val="21"/>
          <w:highlight w:val="none"/>
        </w:rPr>
      </w:pPr>
      <w:bookmarkStart w:id="1563" w:name="bookmark2239"/>
      <w:bookmarkStart w:id="1564" w:name="bookmark2238"/>
      <w:bookmarkStart w:id="1565" w:name="bookmark2237"/>
      <w:r>
        <w:rPr>
          <w:rFonts w:hint="eastAsia" w:ascii="宋体" w:hAnsi="宋体" w:cs="宋体"/>
          <w:b/>
          <w:bCs/>
          <w:color w:val="auto"/>
          <w:szCs w:val="21"/>
          <w:highlight w:val="none"/>
        </w:rPr>
        <w:t>备注：表中内容须按要求填写，并不得留空，否则按无效响应处理。</w:t>
      </w:r>
    </w:p>
    <w:p w14:paraId="5235AEAB">
      <w:pPr>
        <w:rPr>
          <w:rFonts w:hint="eastAsia" w:ascii="宋体" w:hAnsi="宋体" w:cs="宋体"/>
          <w:b/>
          <w:color w:val="auto"/>
          <w:sz w:val="20"/>
          <w:szCs w:val="20"/>
          <w:highlight w:val="none"/>
        </w:rPr>
      </w:pPr>
    </w:p>
    <w:p w14:paraId="5F566449">
      <w:pPr>
        <w:pStyle w:val="2"/>
        <w:rPr>
          <w:rFonts w:hint="eastAsia" w:ascii="宋体" w:hAnsi="宋体" w:cs="宋体"/>
          <w:b/>
          <w:color w:val="auto"/>
          <w:sz w:val="20"/>
          <w:szCs w:val="20"/>
          <w:highlight w:val="none"/>
        </w:rPr>
      </w:pPr>
    </w:p>
    <w:p w14:paraId="71256141">
      <w:pPr>
        <w:pStyle w:val="2"/>
        <w:rPr>
          <w:rFonts w:hint="eastAsia" w:ascii="宋体" w:hAnsi="宋体" w:cs="宋体"/>
          <w:b/>
          <w:color w:val="auto"/>
          <w:sz w:val="20"/>
          <w:szCs w:val="20"/>
          <w:highlight w:val="none"/>
        </w:rPr>
      </w:pPr>
    </w:p>
    <w:p w14:paraId="35361AD4">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r>
        <w:rPr>
          <w:rFonts w:hint="eastAsia" w:ascii="宋体" w:hAnsi="宋体" w:cs="宋体"/>
          <w:color w:val="auto"/>
          <w:kern w:val="0"/>
          <w:sz w:val="24"/>
          <w:highlight w:val="none"/>
        </w:rPr>
        <w:t>：</w:t>
      </w:r>
    </w:p>
    <w:p w14:paraId="3FFA9C94">
      <w:pPr>
        <w:autoSpaceDE w:val="0"/>
        <w:autoSpaceDN w:val="0"/>
        <w:spacing w:line="360" w:lineRule="auto"/>
        <w:ind w:firstLine="6300" w:firstLineChars="2625"/>
        <w:rPr>
          <w:rFonts w:hint="eastAsia"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487DD724">
      <w:pPr>
        <w:widowControl/>
        <w:jc w:val="left"/>
        <w:rPr>
          <w:rFonts w:hint="eastAsia" w:ascii="宋体" w:hAnsi="宋体" w:cs="宋体"/>
          <w:color w:val="auto"/>
          <w:sz w:val="32"/>
          <w:szCs w:val="32"/>
          <w:highlight w:val="none"/>
        </w:rPr>
        <w:sectPr>
          <w:pgSz w:w="11910" w:h="16840"/>
          <w:pgMar w:top="1134" w:right="1417" w:bottom="1134" w:left="1474" w:header="720" w:footer="720" w:gutter="0"/>
          <w:cols w:space="720" w:num="1"/>
        </w:sectPr>
      </w:pPr>
    </w:p>
    <w:p w14:paraId="2E4E9747">
      <w:pPr>
        <w:rPr>
          <w:rFonts w:hint="eastAsia" w:ascii="宋体" w:hAnsi="宋体" w:cs="宋体"/>
          <w:b/>
          <w:color w:val="auto"/>
          <w:szCs w:val="21"/>
          <w:highlight w:val="none"/>
        </w:rPr>
      </w:pPr>
      <w:r>
        <w:rPr>
          <w:rFonts w:hint="eastAsia" w:ascii="宋体" w:hAnsi="宋体" w:cs="宋体"/>
          <w:b/>
          <w:color w:val="auto"/>
          <w:szCs w:val="21"/>
          <w:highlight w:val="none"/>
        </w:rPr>
        <w:t>附件三：拟投入本合同工程的劳动力计划表</w:t>
      </w:r>
      <w:bookmarkEnd w:id="1563"/>
      <w:bookmarkEnd w:id="1564"/>
      <w:bookmarkEnd w:id="1565"/>
    </w:p>
    <w:p w14:paraId="3A44E78A">
      <w:pPr>
        <w:rPr>
          <w:rFonts w:hint="eastAsia" w:ascii="宋体" w:hAnsi="宋体" w:cs="宋体"/>
          <w:b/>
          <w:color w:val="auto"/>
          <w:szCs w:val="21"/>
          <w:highlight w:val="none"/>
        </w:rPr>
      </w:pPr>
    </w:p>
    <w:p w14:paraId="0A42A4B5">
      <w:pPr>
        <w:jc w:val="center"/>
        <w:rPr>
          <w:rFonts w:hint="eastAsia" w:ascii="宋体" w:hAnsi="宋体" w:cs="宋体"/>
          <w:b/>
          <w:color w:val="auto"/>
          <w:szCs w:val="21"/>
          <w:highlight w:val="none"/>
        </w:rPr>
      </w:pPr>
      <w:bookmarkStart w:id="1566" w:name="_Toc26872"/>
      <w:bookmarkStart w:id="1567" w:name="bookmark2240"/>
      <w:bookmarkStart w:id="1568" w:name="bookmark2241"/>
      <w:bookmarkStart w:id="1569" w:name="bookmark2242"/>
      <w:bookmarkStart w:id="1570" w:name="_Toc30824"/>
      <w:r>
        <w:rPr>
          <w:rFonts w:hint="eastAsia" w:ascii="宋体" w:hAnsi="宋体" w:cs="宋体"/>
          <w:b/>
          <w:color w:val="auto"/>
          <w:szCs w:val="21"/>
          <w:highlight w:val="none"/>
        </w:rPr>
        <w:t>拟投入本合同工程的劳动力计划表</w:t>
      </w:r>
      <w:bookmarkEnd w:id="1566"/>
      <w:bookmarkEnd w:id="1567"/>
      <w:bookmarkEnd w:id="1568"/>
      <w:bookmarkEnd w:id="1569"/>
      <w:bookmarkEnd w:id="1570"/>
    </w:p>
    <w:p w14:paraId="727C47AD">
      <w:pPr>
        <w:jc w:val="center"/>
        <w:rPr>
          <w:rFonts w:hint="eastAsia" w:ascii="宋体" w:hAnsi="宋体" w:cs="宋体"/>
          <w:b/>
          <w:color w:val="auto"/>
          <w:highlight w:val="none"/>
        </w:rPr>
      </w:pPr>
    </w:p>
    <w:tbl>
      <w:tblPr>
        <w:tblStyle w:val="20"/>
        <w:tblW w:w="8352" w:type="dxa"/>
        <w:jc w:val="center"/>
        <w:tblLayout w:type="fixed"/>
        <w:tblCellMar>
          <w:top w:w="0" w:type="dxa"/>
          <w:left w:w="10" w:type="dxa"/>
          <w:bottom w:w="0" w:type="dxa"/>
          <w:right w:w="10" w:type="dxa"/>
        </w:tblCellMar>
      </w:tblPr>
      <w:tblGrid>
        <w:gridCol w:w="1426"/>
        <w:gridCol w:w="1421"/>
        <w:gridCol w:w="643"/>
        <w:gridCol w:w="648"/>
        <w:gridCol w:w="643"/>
        <w:gridCol w:w="648"/>
        <w:gridCol w:w="648"/>
        <w:gridCol w:w="1133"/>
        <w:gridCol w:w="1142"/>
      </w:tblGrid>
      <w:tr w14:paraId="600C9275">
        <w:tblPrEx>
          <w:tblCellMar>
            <w:top w:w="0" w:type="dxa"/>
            <w:left w:w="10" w:type="dxa"/>
            <w:bottom w:w="0" w:type="dxa"/>
            <w:right w:w="10" w:type="dxa"/>
          </w:tblCellMar>
        </w:tblPrEx>
        <w:trPr>
          <w:trHeight w:val="576" w:hRule="exact"/>
          <w:jc w:val="center"/>
        </w:trPr>
        <w:tc>
          <w:tcPr>
            <w:tcW w:w="2847" w:type="dxa"/>
            <w:gridSpan w:val="2"/>
            <w:vMerge w:val="restart"/>
            <w:tcBorders>
              <w:top w:val="single" w:color="auto" w:sz="4" w:space="0"/>
              <w:left w:val="single" w:color="auto" w:sz="4" w:space="0"/>
            </w:tcBorders>
            <w:shd w:val="clear" w:color="auto" w:fill="FFFFFF"/>
            <w:noWrap w:val="0"/>
            <w:vAlign w:val="center"/>
          </w:tcPr>
          <w:p w14:paraId="40CD46DB">
            <w:pPr>
              <w:pStyle w:val="39"/>
              <w:spacing w:line="266" w:lineRule="exact"/>
              <w:ind w:left="1060" w:firstLine="1220"/>
              <w:rPr>
                <w:rFonts w:hint="eastAsia"/>
                <w:color w:val="auto"/>
                <w:sz w:val="21"/>
                <w:szCs w:val="21"/>
                <w:highlight w:val="none"/>
              </w:rPr>
            </w:pPr>
            <w:r>
              <w:rPr>
                <w:rFonts w:hint="eastAsia"/>
                <w:color w:val="auto"/>
                <w:sz w:val="21"/>
                <w:szCs w:val="21"/>
                <w:highlight w:val="none"/>
                <w:lang w:bidi="mn-Mong-CN"/>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1905</wp:posOffset>
                      </wp:positionV>
                      <wp:extent cx="1822450" cy="366395"/>
                      <wp:effectExtent l="635" t="4445" r="5715" b="10160"/>
                      <wp:wrapNone/>
                      <wp:docPr id="2" name="直接箭头连接符 2"/>
                      <wp:cNvGraphicFramePr/>
                      <a:graphic xmlns:a="http://schemas.openxmlformats.org/drawingml/2006/main">
                        <a:graphicData uri="http://schemas.microsoft.com/office/word/2010/wordprocessingShape">
                          <wps:wsp>
                            <wps:cNvCnPr/>
                            <wps:spPr>
                              <a:xfrm>
                                <a:off x="0" y="0"/>
                                <a:ext cx="1822450" cy="3663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5pt;margin-top:0.15pt;height:28.85pt;width:143.5pt;z-index:251660288;mso-width-relative:page;mso-height-relative:page;" filled="f" stroked="t" coordsize="21600,21600" o:gfxdata="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8wSHzTAAAABQEAAA8AAAAAAAAAAQAgAAAAIgAAAGRycy9kb3ducmV2&#10;LnhtbFBLAQIUABQAAAAIAIdO4kBxuxStAQIAAPEDAAAOAAAAAAAAAAEAIAAAACIBAABkcnMvZTJv&#10;RG9jLnhtbFBLBQYAAAAABgAGAFkBAACVBQAAAAA=&#10;">
                      <v:fill on="f" focussize="0,0"/>
                      <v:stroke color="#000000" joinstyle="round"/>
                      <v:imagedata o:title=""/>
                      <o:lock v:ext="edit" aspectratio="f"/>
                    </v:shape>
                  </w:pict>
                </mc:Fallback>
              </mc:AlternateContent>
            </w:r>
            <w:r>
              <w:rPr>
                <w:rFonts w:hint="eastAsia"/>
                <w:color w:val="auto"/>
                <w:sz w:val="21"/>
                <w:szCs w:val="21"/>
                <w:highlight w:val="none"/>
                <w:lang w:val="en-US" w:bidi="mn-Mong-CN"/>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-8255</wp:posOffset>
                      </wp:positionV>
                      <wp:extent cx="1139190" cy="728980"/>
                      <wp:effectExtent l="2540" t="3810" r="20320" b="10160"/>
                      <wp:wrapNone/>
                      <wp:docPr id="4" name="直接箭头连接符 4"/>
                      <wp:cNvGraphicFramePr/>
                      <a:graphic xmlns:a="http://schemas.openxmlformats.org/drawingml/2006/main">
                        <a:graphicData uri="http://schemas.microsoft.com/office/word/2010/wordprocessingShape">
                          <wps:wsp>
                            <wps:cNvCnPr/>
                            <wps:spPr>
                              <a:xfrm>
                                <a:off x="0" y="0"/>
                                <a:ext cx="1139190" cy="72898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pt;margin-top:-0.65pt;height:57.4pt;width:89.7pt;z-index:251661312;mso-width-relative:page;mso-height-relative:page;" filled="f" stroked="t" coordsize="21600,21600" o:gfxdata="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ha+1XXAAAACQEAAA8AAAAAAAAAAQAgAAAAIgAAAGRycy9k&#10;b3ducmV2LnhtbFBLAQIUABQAAAAIAIdO4kCo8hqcAwIAAPEDAAAOAAAAAAAAAAEAIAAAACYBAABk&#10;cnMvZTJvRG9jLnhtbFBLBQYAAAAABgAGAFkBAACbBQAAAAA=&#10;">
                      <v:fill on="f" focussize="0,0"/>
                      <v:stroke color="#000000" joinstyle="round"/>
                      <v:imagedata o:title=""/>
                      <o:lock v:ext="edit" aspectratio="f"/>
                    </v:shape>
                  </w:pict>
                </mc:Fallback>
              </mc:AlternateContent>
            </w:r>
            <w:r>
              <w:rPr>
                <w:rFonts w:hint="eastAsia"/>
                <w:color w:val="auto"/>
                <w:sz w:val="21"/>
                <w:szCs w:val="21"/>
                <w:highlight w:val="none"/>
              </w:rPr>
              <w:t>工种 人数</w:t>
            </w:r>
          </w:p>
          <w:p w14:paraId="3DAB9620">
            <w:pPr>
              <w:pStyle w:val="39"/>
              <w:spacing w:line="266" w:lineRule="exact"/>
              <w:ind w:firstLine="180"/>
              <w:rPr>
                <w:rFonts w:hint="eastAsia"/>
                <w:color w:val="auto"/>
                <w:sz w:val="21"/>
                <w:szCs w:val="21"/>
                <w:highlight w:val="none"/>
              </w:rPr>
            </w:pPr>
            <w:r>
              <w:rPr>
                <w:rFonts w:hint="eastAsia"/>
                <w:color w:val="auto"/>
                <w:sz w:val="21"/>
                <w:szCs w:val="21"/>
                <w:highlight w:val="none"/>
              </w:rPr>
              <w:t>时间</w:t>
            </w:r>
          </w:p>
        </w:tc>
        <w:tc>
          <w:tcPr>
            <w:tcW w:w="643" w:type="dxa"/>
            <w:vMerge w:val="restart"/>
            <w:tcBorders>
              <w:top w:val="single" w:color="auto" w:sz="4" w:space="0"/>
              <w:left w:val="single" w:color="auto" w:sz="4" w:space="0"/>
            </w:tcBorders>
            <w:shd w:val="clear" w:color="auto" w:fill="FFFFFF"/>
            <w:noWrap w:val="0"/>
            <w:vAlign w:val="top"/>
          </w:tcPr>
          <w:p w14:paraId="32630A5D">
            <w:pPr>
              <w:rPr>
                <w:rFonts w:hint="eastAsia" w:ascii="宋体" w:hAnsi="宋体" w:cs="宋体"/>
                <w:color w:val="auto"/>
                <w:sz w:val="21"/>
                <w:szCs w:val="21"/>
                <w:highlight w:val="none"/>
              </w:rPr>
            </w:pPr>
          </w:p>
        </w:tc>
        <w:tc>
          <w:tcPr>
            <w:tcW w:w="648" w:type="dxa"/>
            <w:vMerge w:val="restart"/>
            <w:tcBorders>
              <w:top w:val="single" w:color="auto" w:sz="4" w:space="0"/>
              <w:left w:val="single" w:color="auto" w:sz="4" w:space="0"/>
            </w:tcBorders>
            <w:shd w:val="clear" w:color="auto" w:fill="FFFFFF"/>
            <w:noWrap w:val="0"/>
            <w:vAlign w:val="top"/>
          </w:tcPr>
          <w:p w14:paraId="4856D486">
            <w:pPr>
              <w:rPr>
                <w:rFonts w:hint="eastAsia" w:ascii="宋体" w:hAnsi="宋体" w:cs="宋体"/>
                <w:color w:val="auto"/>
                <w:sz w:val="21"/>
                <w:szCs w:val="21"/>
                <w:highlight w:val="none"/>
              </w:rPr>
            </w:pPr>
          </w:p>
        </w:tc>
        <w:tc>
          <w:tcPr>
            <w:tcW w:w="643" w:type="dxa"/>
            <w:vMerge w:val="restart"/>
            <w:tcBorders>
              <w:top w:val="single" w:color="auto" w:sz="4" w:space="0"/>
              <w:left w:val="single" w:color="auto" w:sz="4" w:space="0"/>
            </w:tcBorders>
            <w:shd w:val="clear" w:color="auto" w:fill="FFFFFF"/>
            <w:noWrap w:val="0"/>
            <w:vAlign w:val="top"/>
          </w:tcPr>
          <w:p w14:paraId="4EE530BF">
            <w:pPr>
              <w:rPr>
                <w:rFonts w:hint="eastAsia" w:ascii="宋体" w:hAnsi="宋体" w:cs="宋体"/>
                <w:color w:val="auto"/>
                <w:sz w:val="21"/>
                <w:szCs w:val="21"/>
                <w:highlight w:val="none"/>
              </w:rPr>
            </w:pPr>
          </w:p>
        </w:tc>
        <w:tc>
          <w:tcPr>
            <w:tcW w:w="648" w:type="dxa"/>
            <w:vMerge w:val="restart"/>
            <w:tcBorders>
              <w:top w:val="single" w:color="auto" w:sz="4" w:space="0"/>
              <w:left w:val="single" w:color="auto" w:sz="4" w:space="0"/>
            </w:tcBorders>
            <w:shd w:val="clear" w:color="auto" w:fill="FFFFFF"/>
            <w:noWrap w:val="0"/>
            <w:vAlign w:val="top"/>
          </w:tcPr>
          <w:p w14:paraId="56779098">
            <w:pPr>
              <w:rPr>
                <w:rFonts w:hint="eastAsia" w:ascii="宋体" w:hAnsi="宋体" w:cs="宋体"/>
                <w:color w:val="auto"/>
                <w:sz w:val="21"/>
                <w:szCs w:val="21"/>
                <w:highlight w:val="none"/>
              </w:rPr>
            </w:pPr>
          </w:p>
        </w:tc>
        <w:tc>
          <w:tcPr>
            <w:tcW w:w="648" w:type="dxa"/>
            <w:vMerge w:val="restart"/>
            <w:tcBorders>
              <w:top w:val="single" w:color="auto" w:sz="4" w:space="0"/>
              <w:left w:val="single" w:color="auto" w:sz="4" w:space="0"/>
            </w:tcBorders>
            <w:shd w:val="clear" w:color="auto" w:fill="FFFFFF"/>
            <w:noWrap w:val="0"/>
            <w:vAlign w:val="top"/>
          </w:tcPr>
          <w:p w14:paraId="077A607D">
            <w:pPr>
              <w:rPr>
                <w:rFonts w:hint="eastAsia" w:ascii="宋体" w:hAnsi="宋体" w:cs="宋体"/>
                <w:color w:val="auto"/>
                <w:sz w:val="21"/>
                <w:szCs w:val="21"/>
                <w:highlight w:val="none"/>
              </w:rPr>
            </w:pPr>
          </w:p>
        </w:tc>
        <w:tc>
          <w:tcPr>
            <w:tcW w:w="2275" w:type="dxa"/>
            <w:gridSpan w:val="2"/>
            <w:tcBorders>
              <w:top w:val="single" w:color="auto" w:sz="4" w:space="0"/>
              <w:left w:val="single" w:color="auto" w:sz="4" w:space="0"/>
              <w:right w:val="single" w:color="auto" w:sz="4" w:space="0"/>
            </w:tcBorders>
            <w:shd w:val="clear" w:color="auto" w:fill="FFFFFF"/>
            <w:noWrap w:val="0"/>
            <w:vAlign w:val="center"/>
          </w:tcPr>
          <w:p w14:paraId="2D7339D5">
            <w:pPr>
              <w:pStyle w:val="39"/>
              <w:spacing w:line="240" w:lineRule="auto"/>
              <w:jc w:val="center"/>
              <w:rPr>
                <w:rFonts w:hint="eastAsia"/>
                <w:color w:val="auto"/>
                <w:sz w:val="21"/>
                <w:szCs w:val="21"/>
                <w:highlight w:val="none"/>
              </w:rPr>
            </w:pPr>
            <w:r>
              <w:rPr>
                <w:rFonts w:hint="eastAsia"/>
                <w:color w:val="auto"/>
                <w:sz w:val="21"/>
                <w:szCs w:val="21"/>
                <w:highlight w:val="none"/>
              </w:rPr>
              <w:t>合 计</w:t>
            </w:r>
          </w:p>
        </w:tc>
      </w:tr>
      <w:tr w14:paraId="47BB034D">
        <w:tblPrEx>
          <w:tblCellMar>
            <w:top w:w="0" w:type="dxa"/>
            <w:left w:w="10" w:type="dxa"/>
            <w:bottom w:w="0" w:type="dxa"/>
            <w:right w:w="10" w:type="dxa"/>
          </w:tblCellMar>
        </w:tblPrEx>
        <w:trPr>
          <w:trHeight w:val="566" w:hRule="exact"/>
          <w:jc w:val="center"/>
        </w:trPr>
        <w:tc>
          <w:tcPr>
            <w:tcW w:w="2847" w:type="dxa"/>
            <w:gridSpan w:val="2"/>
            <w:vMerge w:val="continue"/>
            <w:tcBorders>
              <w:left w:val="single" w:color="auto" w:sz="4" w:space="0"/>
            </w:tcBorders>
            <w:shd w:val="clear" w:color="auto" w:fill="FFFFFF"/>
            <w:noWrap w:val="0"/>
            <w:vAlign w:val="center"/>
          </w:tcPr>
          <w:p w14:paraId="3265E1B4">
            <w:pPr>
              <w:rPr>
                <w:rFonts w:hint="eastAsia" w:ascii="宋体" w:hAnsi="宋体" w:cs="宋体"/>
                <w:color w:val="auto"/>
                <w:sz w:val="21"/>
                <w:szCs w:val="21"/>
                <w:highlight w:val="none"/>
              </w:rPr>
            </w:pPr>
          </w:p>
        </w:tc>
        <w:tc>
          <w:tcPr>
            <w:tcW w:w="643" w:type="dxa"/>
            <w:vMerge w:val="continue"/>
            <w:tcBorders>
              <w:left w:val="single" w:color="auto" w:sz="4" w:space="0"/>
            </w:tcBorders>
            <w:shd w:val="clear" w:color="auto" w:fill="FFFFFF"/>
            <w:noWrap w:val="0"/>
            <w:vAlign w:val="top"/>
          </w:tcPr>
          <w:p w14:paraId="54B55A2F">
            <w:pPr>
              <w:rPr>
                <w:rFonts w:hint="eastAsia" w:ascii="宋体" w:hAnsi="宋体" w:cs="宋体"/>
                <w:color w:val="auto"/>
                <w:sz w:val="21"/>
                <w:szCs w:val="21"/>
                <w:highlight w:val="none"/>
              </w:rPr>
            </w:pPr>
          </w:p>
        </w:tc>
        <w:tc>
          <w:tcPr>
            <w:tcW w:w="648" w:type="dxa"/>
            <w:vMerge w:val="continue"/>
            <w:tcBorders>
              <w:left w:val="single" w:color="auto" w:sz="4" w:space="0"/>
            </w:tcBorders>
            <w:shd w:val="clear" w:color="auto" w:fill="FFFFFF"/>
            <w:noWrap w:val="0"/>
            <w:vAlign w:val="top"/>
          </w:tcPr>
          <w:p w14:paraId="6123758F">
            <w:pPr>
              <w:rPr>
                <w:rFonts w:hint="eastAsia" w:ascii="宋体" w:hAnsi="宋体" w:cs="宋体"/>
                <w:color w:val="auto"/>
                <w:sz w:val="21"/>
                <w:szCs w:val="21"/>
                <w:highlight w:val="none"/>
              </w:rPr>
            </w:pPr>
          </w:p>
        </w:tc>
        <w:tc>
          <w:tcPr>
            <w:tcW w:w="643" w:type="dxa"/>
            <w:vMerge w:val="continue"/>
            <w:tcBorders>
              <w:left w:val="single" w:color="auto" w:sz="4" w:space="0"/>
            </w:tcBorders>
            <w:shd w:val="clear" w:color="auto" w:fill="FFFFFF"/>
            <w:noWrap w:val="0"/>
            <w:vAlign w:val="top"/>
          </w:tcPr>
          <w:p w14:paraId="74245A21">
            <w:pPr>
              <w:rPr>
                <w:rFonts w:hint="eastAsia" w:ascii="宋体" w:hAnsi="宋体" w:cs="宋体"/>
                <w:color w:val="auto"/>
                <w:sz w:val="21"/>
                <w:szCs w:val="21"/>
                <w:highlight w:val="none"/>
              </w:rPr>
            </w:pPr>
          </w:p>
        </w:tc>
        <w:tc>
          <w:tcPr>
            <w:tcW w:w="648" w:type="dxa"/>
            <w:vMerge w:val="continue"/>
            <w:tcBorders>
              <w:left w:val="single" w:color="auto" w:sz="4" w:space="0"/>
            </w:tcBorders>
            <w:shd w:val="clear" w:color="auto" w:fill="FFFFFF"/>
            <w:noWrap w:val="0"/>
            <w:vAlign w:val="top"/>
          </w:tcPr>
          <w:p w14:paraId="0515D83F">
            <w:pPr>
              <w:rPr>
                <w:rFonts w:hint="eastAsia" w:ascii="宋体" w:hAnsi="宋体" w:cs="宋体"/>
                <w:color w:val="auto"/>
                <w:sz w:val="21"/>
                <w:szCs w:val="21"/>
                <w:highlight w:val="none"/>
              </w:rPr>
            </w:pPr>
          </w:p>
        </w:tc>
        <w:tc>
          <w:tcPr>
            <w:tcW w:w="648" w:type="dxa"/>
            <w:vMerge w:val="continue"/>
            <w:tcBorders>
              <w:left w:val="single" w:color="auto" w:sz="4" w:space="0"/>
            </w:tcBorders>
            <w:shd w:val="clear" w:color="auto" w:fill="FFFFFF"/>
            <w:noWrap w:val="0"/>
            <w:vAlign w:val="top"/>
          </w:tcPr>
          <w:p w14:paraId="263B9D16">
            <w:pPr>
              <w:rPr>
                <w:rFonts w:hint="eastAsia" w:ascii="宋体" w:hAnsi="宋体" w:cs="宋体"/>
                <w:color w:val="auto"/>
                <w:sz w:val="21"/>
                <w:szCs w:val="21"/>
                <w:highlight w:val="none"/>
              </w:rPr>
            </w:pPr>
          </w:p>
        </w:tc>
        <w:tc>
          <w:tcPr>
            <w:tcW w:w="1133" w:type="dxa"/>
            <w:tcBorders>
              <w:top w:val="single" w:color="auto" w:sz="4" w:space="0"/>
              <w:left w:val="single" w:color="auto" w:sz="4" w:space="0"/>
            </w:tcBorders>
            <w:shd w:val="clear" w:color="auto" w:fill="FFFFFF"/>
            <w:noWrap w:val="0"/>
            <w:vAlign w:val="center"/>
          </w:tcPr>
          <w:p w14:paraId="7BA6EB14">
            <w:pPr>
              <w:pStyle w:val="39"/>
              <w:spacing w:line="240" w:lineRule="auto"/>
              <w:jc w:val="center"/>
              <w:rPr>
                <w:rFonts w:hint="eastAsia"/>
                <w:color w:val="auto"/>
                <w:sz w:val="21"/>
                <w:szCs w:val="21"/>
                <w:highlight w:val="none"/>
              </w:rPr>
            </w:pPr>
            <w:r>
              <w:rPr>
                <w:rFonts w:hint="eastAsia"/>
                <w:color w:val="auto"/>
                <w:sz w:val="21"/>
                <w:szCs w:val="21"/>
                <w:highlight w:val="none"/>
              </w:rPr>
              <w:t>人数</w:t>
            </w:r>
          </w:p>
        </w:tc>
        <w:tc>
          <w:tcPr>
            <w:tcW w:w="1142" w:type="dxa"/>
            <w:tcBorders>
              <w:top w:val="single" w:color="auto" w:sz="4" w:space="0"/>
              <w:left w:val="single" w:color="auto" w:sz="4" w:space="0"/>
              <w:right w:val="single" w:color="auto" w:sz="4" w:space="0"/>
            </w:tcBorders>
            <w:shd w:val="clear" w:color="auto" w:fill="FFFFFF"/>
            <w:noWrap w:val="0"/>
            <w:vAlign w:val="center"/>
          </w:tcPr>
          <w:p w14:paraId="46FC6E11">
            <w:pPr>
              <w:pStyle w:val="39"/>
              <w:spacing w:line="240" w:lineRule="auto"/>
              <w:jc w:val="center"/>
              <w:rPr>
                <w:rFonts w:hint="eastAsia"/>
                <w:color w:val="auto"/>
                <w:sz w:val="21"/>
                <w:szCs w:val="21"/>
                <w:highlight w:val="none"/>
              </w:rPr>
            </w:pPr>
            <w:r>
              <w:rPr>
                <w:rFonts w:hint="eastAsia"/>
                <w:color w:val="auto"/>
                <w:sz w:val="21"/>
                <w:szCs w:val="21"/>
                <w:highlight w:val="none"/>
              </w:rPr>
              <w:t>人工工日数</w:t>
            </w:r>
          </w:p>
        </w:tc>
      </w:tr>
      <w:tr w14:paraId="53D6BE7B">
        <w:tblPrEx>
          <w:tblCellMar>
            <w:top w:w="0" w:type="dxa"/>
            <w:left w:w="10" w:type="dxa"/>
            <w:bottom w:w="0" w:type="dxa"/>
            <w:right w:w="10" w:type="dxa"/>
          </w:tblCellMar>
        </w:tblPrEx>
        <w:trPr>
          <w:trHeight w:val="566" w:hRule="exact"/>
          <w:jc w:val="center"/>
        </w:trPr>
        <w:tc>
          <w:tcPr>
            <w:tcW w:w="1426" w:type="dxa"/>
            <w:vMerge w:val="restart"/>
            <w:tcBorders>
              <w:top w:val="single" w:color="auto" w:sz="4" w:space="0"/>
              <w:left w:val="single" w:color="auto" w:sz="4" w:space="0"/>
            </w:tcBorders>
            <w:shd w:val="clear" w:color="auto" w:fill="FFFFFF"/>
            <w:noWrap w:val="0"/>
            <w:vAlign w:val="center"/>
          </w:tcPr>
          <w:p w14:paraId="2BACFFB0">
            <w:pPr>
              <w:pStyle w:val="39"/>
              <w:spacing w:line="240" w:lineRule="auto"/>
              <w:ind w:left="1120"/>
              <w:rPr>
                <w:rFonts w:hint="eastAsia"/>
                <w:color w:val="auto"/>
                <w:sz w:val="21"/>
                <w:szCs w:val="21"/>
                <w:highlight w:val="none"/>
              </w:rPr>
            </w:pPr>
            <w:r>
              <w:rPr>
                <w:rFonts w:hint="eastAsia"/>
                <w:color w:val="auto"/>
                <w:sz w:val="21"/>
                <w:szCs w:val="21"/>
                <w:highlight w:val="none"/>
              </w:rPr>
              <w:t>年</w:t>
            </w:r>
          </w:p>
        </w:tc>
        <w:tc>
          <w:tcPr>
            <w:tcW w:w="1421" w:type="dxa"/>
            <w:tcBorders>
              <w:top w:val="single" w:color="auto" w:sz="4" w:space="0"/>
              <w:left w:val="single" w:color="auto" w:sz="4" w:space="0"/>
            </w:tcBorders>
            <w:shd w:val="clear" w:color="auto" w:fill="FFFFFF"/>
            <w:noWrap w:val="0"/>
            <w:vAlign w:val="center"/>
          </w:tcPr>
          <w:p w14:paraId="7F3BCFBB">
            <w:pPr>
              <w:pStyle w:val="39"/>
              <w:spacing w:line="240" w:lineRule="auto"/>
              <w:ind w:left="1120"/>
              <w:rPr>
                <w:rFonts w:hint="eastAsia"/>
                <w:color w:val="auto"/>
                <w:sz w:val="21"/>
                <w:szCs w:val="21"/>
                <w:highlight w:val="none"/>
              </w:rPr>
            </w:pPr>
            <w:r>
              <w:rPr>
                <w:rFonts w:hint="eastAsia"/>
                <w:color w:val="auto"/>
                <w:sz w:val="21"/>
                <w:szCs w:val="21"/>
                <w:highlight w:val="none"/>
              </w:rPr>
              <w:t>月</w:t>
            </w:r>
          </w:p>
        </w:tc>
        <w:tc>
          <w:tcPr>
            <w:tcW w:w="643" w:type="dxa"/>
            <w:tcBorders>
              <w:top w:val="single" w:color="auto" w:sz="4" w:space="0"/>
              <w:left w:val="single" w:color="auto" w:sz="4" w:space="0"/>
            </w:tcBorders>
            <w:shd w:val="clear" w:color="auto" w:fill="FFFFFF"/>
            <w:noWrap w:val="0"/>
            <w:vAlign w:val="top"/>
          </w:tcPr>
          <w:p w14:paraId="5C0BAACB">
            <w:pPr>
              <w:rPr>
                <w:rFonts w:hint="eastAsia" w:ascii="宋体" w:hAnsi="宋体" w:cs="宋体"/>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20C8540D">
            <w:pPr>
              <w:rPr>
                <w:rFonts w:hint="eastAsia" w:ascii="宋体" w:hAnsi="宋体" w:cs="宋体"/>
                <w:color w:val="auto"/>
                <w:sz w:val="21"/>
                <w:szCs w:val="21"/>
                <w:highlight w:val="none"/>
              </w:rPr>
            </w:pPr>
          </w:p>
        </w:tc>
        <w:tc>
          <w:tcPr>
            <w:tcW w:w="643" w:type="dxa"/>
            <w:tcBorders>
              <w:top w:val="single" w:color="auto" w:sz="4" w:space="0"/>
              <w:left w:val="single" w:color="auto" w:sz="4" w:space="0"/>
            </w:tcBorders>
            <w:shd w:val="clear" w:color="auto" w:fill="FFFFFF"/>
            <w:noWrap w:val="0"/>
            <w:vAlign w:val="top"/>
          </w:tcPr>
          <w:p w14:paraId="78C8AFBE">
            <w:pPr>
              <w:rPr>
                <w:rFonts w:hint="eastAsia" w:ascii="宋体" w:hAnsi="宋体" w:cs="宋体"/>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59346748">
            <w:pPr>
              <w:rPr>
                <w:rFonts w:hint="eastAsia" w:ascii="宋体" w:hAnsi="宋体" w:cs="宋体"/>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564AA5DC">
            <w:pPr>
              <w:rPr>
                <w:rFonts w:hint="eastAsia" w:ascii="宋体" w:hAnsi="宋体" w:cs="宋体"/>
                <w:color w:val="auto"/>
                <w:sz w:val="21"/>
                <w:szCs w:val="21"/>
                <w:highlight w:val="none"/>
              </w:rPr>
            </w:pPr>
          </w:p>
        </w:tc>
        <w:tc>
          <w:tcPr>
            <w:tcW w:w="1133" w:type="dxa"/>
            <w:tcBorders>
              <w:top w:val="single" w:color="auto" w:sz="4" w:space="0"/>
              <w:left w:val="single" w:color="auto" w:sz="4" w:space="0"/>
            </w:tcBorders>
            <w:shd w:val="clear" w:color="auto" w:fill="FFFFFF"/>
            <w:noWrap w:val="0"/>
            <w:vAlign w:val="top"/>
          </w:tcPr>
          <w:p w14:paraId="6D7B4454">
            <w:pPr>
              <w:rPr>
                <w:rFonts w:hint="eastAsia" w:ascii="宋体" w:hAnsi="宋体" w:cs="宋体"/>
                <w:color w:val="auto"/>
                <w:sz w:val="21"/>
                <w:szCs w:val="21"/>
                <w:highlight w:val="none"/>
              </w:rPr>
            </w:pPr>
          </w:p>
        </w:tc>
        <w:tc>
          <w:tcPr>
            <w:tcW w:w="1142" w:type="dxa"/>
            <w:tcBorders>
              <w:top w:val="single" w:color="auto" w:sz="4" w:space="0"/>
              <w:left w:val="single" w:color="auto" w:sz="4" w:space="0"/>
              <w:right w:val="single" w:color="auto" w:sz="4" w:space="0"/>
            </w:tcBorders>
            <w:shd w:val="clear" w:color="auto" w:fill="FFFFFF"/>
            <w:noWrap w:val="0"/>
            <w:vAlign w:val="center"/>
          </w:tcPr>
          <w:p w14:paraId="493E422B">
            <w:pPr>
              <w:jc w:val="center"/>
              <w:rPr>
                <w:rFonts w:hint="eastAsia" w:ascii="宋体" w:hAnsi="宋体" w:cs="宋体"/>
                <w:color w:val="auto"/>
                <w:sz w:val="21"/>
                <w:szCs w:val="21"/>
                <w:highlight w:val="none"/>
              </w:rPr>
            </w:pPr>
          </w:p>
        </w:tc>
      </w:tr>
      <w:tr w14:paraId="3969E42F">
        <w:tblPrEx>
          <w:tblCellMar>
            <w:top w:w="0" w:type="dxa"/>
            <w:left w:w="10" w:type="dxa"/>
            <w:bottom w:w="0" w:type="dxa"/>
            <w:right w:w="10" w:type="dxa"/>
          </w:tblCellMar>
        </w:tblPrEx>
        <w:trPr>
          <w:trHeight w:val="566" w:hRule="exact"/>
          <w:jc w:val="center"/>
        </w:trPr>
        <w:tc>
          <w:tcPr>
            <w:tcW w:w="1426" w:type="dxa"/>
            <w:vMerge w:val="continue"/>
            <w:tcBorders>
              <w:left w:val="single" w:color="auto" w:sz="4" w:space="0"/>
            </w:tcBorders>
            <w:shd w:val="clear" w:color="auto" w:fill="FFFFFF"/>
            <w:noWrap w:val="0"/>
            <w:vAlign w:val="center"/>
          </w:tcPr>
          <w:p w14:paraId="28D619A4">
            <w:pPr>
              <w:rPr>
                <w:rFonts w:hint="eastAsia" w:ascii="宋体" w:hAnsi="宋体" w:cs="宋体"/>
                <w:color w:val="auto"/>
                <w:sz w:val="21"/>
                <w:szCs w:val="21"/>
                <w:highlight w:val="none"/>
              </w:rPr>
            </w:pPr>
          </w:p>
        </w:tc>
        <w:tc>
          <w:tcPr>
            <w:tcW w:w="1421" w:type="dxa"/>
            <w:tcBorders>
              <w:top w:val="single" w:color="auto" w:sz="4" w:space="0"/>
              <w:left w:val="single" w:color="auto" w:sz="4" w:space="0"/>
            </w:tcBorders>
            <w:shd w:val="clear" w:color="auto" w:fill="FFFFFF"/>
            <w:noWrap w:val="0"/>
            <w:vAlign w:val="center"/>
          </w:tcPr>
          <w:p w14:paraId="02D52E9B">
            <w:pPr>
              <w:pStyle w:val="39"/>
              <w:spacing w:line="240" w:lineRule="auto"/>
              <w:ind w:left="1120"/>
              <w:rPr>
                <w:rFonts w:hint="eastAsia"/>
                <w:color w:val="auto"/>
                <w:sz w:val="21"/>
                <w:szCs w:val="21"/>
                <w:highlight w:val="none"/>
              </w:rPr>
            </w:pPr>
            <w:r>
              <w:rPr>
                <w:rFonts w:hint="eastAsia"/>
                <w:color w:val="auto"/>
                <w:sz w:val="21"/>
                <w:szCs w:val="21"/>
                <w:highlight w:val="none"/>
              </w:rPr>
              <w:t>月</w:t>
            </w:r>
          </w:p>
        </w:tc>
        <w:tc>
          <w:tcPr>
            <w:tcW w:w="643" w:type="dxa"/>
            <w:tcBorders>
              <w:top w:val="single" w:color="auto" w:sz="4" w:space="0"/>
              <w:left w:val="single" w:color="auto" w:sz="4" w:space="0"/>
            </w:tcBorders>
            <w:shd w:val="clear" w:color="auto" w:fill="FFFFFF"/>
            <w:noWrap w:val="0"/>
            <w:vAlign w:val="top"/>
          </w:tcPr>
          <w:p w14:paraId="50CEC974">
            <w:pPr>
              <w:rPr>
                <w:rFonts w:hint="eastAsia" w:ascii="宋体" w:hAnsi="宋体" w:cs="宋体"/>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26DCEE6E">
            <w:pPr>
              <w:rPr>
                <w:rFonts w:hint="eastAsia" w:ascii="宋体" w:hAnsi="宋体" w:cs="宋体"/>
                <w:color w:val="auto"/>
                <w:sz w:val="21"/>
                <w:szCs w:val="21"/>
                <w:highlight w:val="none"/>
              </w:rPr>
            </w:pPr>
          </w:p>
        </w:tc>
        <w:tc>
          <w:tcPr>
            <w:tcW w:w="643" w:type="dxa"/>
            <w:tcBorders>
              <w:top w:val="single" w:color="auto" w:sz="4" w:space="0"/>
              <w:left w:val="single" w:color="auto" w:sz="4" w:space="0"/>
            </w:tcBorders>
            <w:shd w:val="clear" w:color="auto" w:fill="FFFFFF"/>
            <w:noWrap w:val="0"/>
            <w:vAlign w:val="top"/>
          </w:tcPr>
          <w:p w14:paraId="25E8F074">
            <w:pPr>
              <w:rPr>
                <w:rFonts w:hint="eastAsia" w:ascii="宋体" w:hAnsi="宋体" w:cs="宋体"/>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489284FA">
            <w:pPr>
              <w:rPr>
                <w:rFonts w:hint="eastAsia" w:ascii="宋体" w:hAnsi="宋体" w:cs="宋体"/>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24D3E58E">
            <w:pPr>
              <w:rPr>
                <w:rFonts w:hint="eastAsia" w:ascii="宋体" w:hAnsi="宋体" w:cs="宋体"/>
                <w:color w:val="auto"/>
                <w:sz w:val="21"/>
                <w:szCs w:val="21"/>
                <w:highlight w:val="none"/>
              </w:rPr>
            </w:pPr>
          </w:p>
        </w:tc>
        <w:tc>
          <w:tcPr>
            <w:tcW w:w="1133" w:type="dxa"/>
            <w:tcBorders>
              <w:top w:val="single" w:color="auto" w:sz="4" w:space="0"/>
              <w:left w:val="single" w:color="auto" w:sz="4" w:space="0"/>
            </w:tcBorders>
            <w:shd w:val="clear" w:color="auto" w:fill="FFFFFF"/>
            <w:noWrap w:val="0"/>
            <w:vAlign w:val="top"/>
          </w:tcPr>
          <w:p w14:paraId="678873FE">
            <w:pPr>
              <w:rPr>
                <w:rFonts w:hint="eastAsia" w:ascii="宋体" w:hAnsi="宋体" w:cs="宋体"/>
                <w:color w:val="auto"/>
                <w:sz w:val="21"/>
                <w:szCs w:val="21"/>
                <w:highlight w:val="none"/>
              </w:rPr>
            </w:pPr>
          </w:p>
        </w:tc>
        <w:tc>
          <w:tcPr>
            <w:tcW w:w="1142" w:type="dxa"/>
            <w:tcBorders>
              <w:top w:val="single" w:color="auto" w:sz="4" w:space="0"/>
              <w:left w:val="single" w:color="auto" w:sz="4" w:space="0"/>
              <w:right w:val="single" w:color="auto" w:sz="4" w:space="0"/>
            </w:tcBorders>
            <w:shd w:val="clear" w:color="auto" w:fill="FFFFFF"/>
            <w:noWrap w:val="0"/>
            <w:vAlign w:val="center"/>
          </w:tcPr>
          <w:p w14:paraId="589BFB55">
            <w:pPr>
              <w:jc w:val="center"/>
              <w:rPr>
                <w:rFonts w:hint="eastAsia" w:ascii="宋体" w:hAnsi="宋体" w:cs="宋体"/>
                <w:color w:val="auto"/>
                <w:sz w:val="21"/>
                <w:szCs w:val="21"/>
                <w:highlight w:val="none"/>
              </w:rPr>
            </w:pPr>
          </w:p>
        </w:tc>
      </w:tr>
      <w:tr w14:paraId="30905A7D">
        <w:tblPrEx>
          <w:tblCellMar>
            <w:top w:w="0" w:type="dxa"/>
            <w:left w:w="10" w:type="dxa"/>
            <w:bottom w:w="0" w:type="dxa"/>
            <w:right w:w="10" w:type="dxa"/>
          </w:tblCellMar>
        </w:tblPrEx>
        <w:trPr>
          <w:trHeight w:val="566" w:hRule="exact"/>
          <w:jc w:val="center"/>
        </w:trPr>
        <w:tc>
          <w:tcPr>
            <w:tcW w:w="1426" w:type="dxa"/>
            <w:vMerge w:val="continue"/>
            <w:tcBorders>
              <w:left w:val="single" w:color="auto" w:sz="4" w:space="0"/>
            </w:tcBorders>
            <w:shd w:val="clear" w:color="auto" w:fill="FFFFFF"/>
            <w:noWrap w:val="0"/>
            <w:vAlign w:val="center"/>
          </w:tcPr>
          <w:p w14:paraId="655EA999">
            <w:pPr>
              <w:rPr>
                <w:rFonts w:hint="eastAsia" w:ascii="宋体" w:hAnsi="宋体" w:cs="宋体"/>
                <w:color w:val="auto"/>
                <w:sz w:val="21"/>
                <w:szCs w:val="21"/>
                <w:highlight w:val="none"/>
              </w:rPr>
            </w:pPr>
          </w:p>
        </w:tc>
        <w:tc>
          <w:tcPr>
            <w:tcW w:w="1421" w:type="dxa"/>
            <w:tcBorders>
              <w:top w:val="single" w:color="auto" w:sz="4" w:space="0"/>
              <w:left w:val="single" w:color="auto" w:sz="4" w:space="0"/>
            </w:tcBorders>
            <w:shd w:val="clear" w:color="auto" w:fill="FFFFFF"/>
            <w:noWrap w:val="0"/>
            <w:vAlign w:val="center"/>
          </w:tcPr>
          <w:p w14:paraId="0C456CFD">
            <w:pPr>
              <w:pStyle w:val="39"/>
              <w:spacing w:line="240" w:lineRule="auto"/>
              <w:ind w:left="1120"/>
              <w:rPr>
                <w:rFonts w:hint="eastAsia"/>
                <w:color w:val="auto"/>
                <w:sz w:val="21"/>
                <w:szCs w:val="21"/>
                <w:highlight w:val="none"/>
              </w:rPr>
            </w:pPr>
            <w:r>
              <w:rPr>
                <w:rFonts w:hint="eastAsia"/>
                <w:color w:val="auto"/>
                <w:sz w:val="21"/>
                <w:szCs w:val="21"/>
                <w:highlight w:val="none"/>
              </w:rPr>
              <w:t>月</w:t>
            </w:r>
          </w:p>
        </w:tc>
        <w:tc>
          <w:tcPr>
            <w:tcW w:w="643" w:type="dxa"/>
            <w:tcBorders>
              <w:top w:val="single" w:color="auto" w:sz="4" w:space="0"/>
              <w:left w:val="single" w:color="auto" w:sz="4" w:space="0"/>
            </w:tcBorders>
            <w:shd w:val="clear" w:color="auto" w:fill="FFFFFF"/>
            <w:noWrap w:val="0"/>
            <w:vAlign w:val="top"/>
          </w:tcPr>
          <w:p w14:paraId="20870138">
            <w:pPr>
              <w:rPr>
                <w:rFonts w:hint="eastAsia" w:ascii="宋体" w:hAnsi="宋体" w:cs="宋体"/>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4926FD72">
            <w:pPr>
              <w:rPr>
                <w:rFonts w:hint="eastAsia" w:ascii="宋体" w:hAnsi="宋体" w:cs="宋体"/>
                <w:color w:val="auto"/>
                <w:sz w:val="21"/>
                <w:szCs w:val="21"/>
                <w:highlight w:val="none"/>
              </w:rPr>
            </w:pPr>
          </w:p>
        </w:tc>
        <w:tc>
          <w:tcPr>
            <w:tcW w:w="643" w:type="dxa"/>
            <w:tcBorders>
              <w:top w:val="single" w:color="auto" w:sz="4" w:space="0"/>
              <w:left w:val="single" w:color="auto" w:sz="4" w:space="0"/>
            </w:tcBorders>
            <w:shd w:val="clear" w:color="auto" w:fill="FFFFFF"/>
            <w:noWrap w:val="0"/>
            <w:vAlign w:val="top"/>
          </w:tcPr>
          <w:p w14:paraId="790F719F">
            <w:pPr>
              <w:rPr>
                <w:rFonts w:hint="eastAsia" w:ascii="宋体" w:hAnsi="宋体" w:cs="宋体"/>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70D60733">
            <w:pPr>
              <w:rPr>
                <w:rFonts w:hint="eastAsia" w:ascii="宋体" w:hAnsi="宋体" w:cs="宋体"/>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48D88D31">
            <w:pPr>
              <w:rPr>
                <w:rFonts w:hint="eastAsia" w:ascii="宋体" w:hAnsi="宋体" w:cs="宋体"/>
                <w:color w:val="auto"/>
                <w:sz w:val="21"/>
                <w:szCs w:val="21"/>
                <w:highlight w:val="none"/>
              </w:rPr>
            </w:pPr>
          </w:p>
        </w:tc>
        <w:tc>
          <w:tcPr>
            <w:tcW w:w="1133" w:type="dxa"/>
            <w:tcBorders>
              <w:top w:val="single" w:color="auto" w:sz="4" w:space="0"/>
              <w:left w:val="single" w:color="auto" w:sz="4" w:space="0"/>
            </w:tcBorders>
            <w:shd w:val="clear" w:color="auto" w:fill="FFFFFF"/>
            <w:noWrap w:val="0"/>
            <w:vAlign w:val="top"/>
          </w:tcPr>
          <w:p w14:paraId="584D5586">
            <w:pPr>
              <w:rPr>
                <w:rFonts w:hint="eastAsia" w:ascii="宋体" w:hAnsi="宋体" w:cs="宋体"/>
                <w:color w:val="auto"/>
                <w:sz w:val="21"/>
                <w:szCs w:val="21"/>
                <w:highlight w:val="none"/>
              </w:rPr>
            </w:pPr>
          </w:p>
        </w:tc>
        <w:tc>
          <w:tcPr>
            <w:tcW w:w="1142" w:type="dxa"/>
            <w:tcBorders>
              <w:top w:val="single" w:color="auto" w:sz="4" w:space="0"/>
              <w:left w:val="single" w:color="auto" w:sz="4" w:space="0"/>
              <w:right w:val="single" w:color="auto" w:sz="4" w:space="0"/>
            </w:tcBorders>
            <w:shd w:val="clear" w:color="auto" w:fill="FFFFFF"/>
            <w:noWrap w:val="0"/>
            <w:vAlign w:val="top"/>
          </w:tcPr>
          <w:p w14:paraId="3D5A8D27">
            <w:pPr>
              <w:rPr>
                <w:rFonts w:hint="eastAsia" w:ascii="宋体" w:hAnsi="宋体" w:cs="宋体"/>
                <w:color w:val="auto"/>
                <w:sz w:val="21"/>
                <w:szCs w:val="21"/>
                <w:highlight w:val="none"/>
              </w:rPr>
            </w:pPr>
          </w:p>
        </w:tc>
      </w:tr>
      <w:tr w14:paraId="5F4B4E35">
        <w:tblPrEx>
          <w:tblCellMar>
            <w:top w:w="0" w:type="dxa"/>
            <w:left w:w="10" w:type="dxa"/>
            <w:bottom w:w="0" w:type="dxa"/>
            <w:right w:w="10" w:type="dxa"/>
          </w:tblCellMar>
        </w:tblPrEx>
        <w:trPr>
          <w:trHeight w:val="566" w:hRule="exact"/>
          <w:jc w:val="center"/>
        </w:trPr>
        <w:tc>
          <w:tcPr>
            <w:tcW w:w="1426" w:type="dxa"/>
            <w:vMerge w:val="continue"/>
            <w:tcBorders>
              <w:left w:val="single" w:color="auto" w:sz="4" w:space="0"/>
            </w:tcBorders>
            <w:shd w:val="clear" w:color="auto" w:fill="FFFFFF"/>
            <w:noWrap w:val="0"/>
            <w:vAlign w:val="center"/>
          </w:tcPr>
          <w:p w14:paraId="15EA3E25">
            <w:pPr>
              <w:rPr>
                <w:rFonts w:hint="eastAsia" w:ascii="宋体" w:hAnsi="宋体" w:cs="宋体"/>
                <w:color w:val="auto"/>
                <w:sz w:val="21"/>
                <w:szCs w:val="21"/>
                <w:highlight w:val="none"/>
              </w:rPr>
            </w:pPr>
          </w:p>
        </w:tc>
        <w:tc>
          <w:tcPr>
            <w:tcW w:w="1421" w:type="dxa"/>
            <w:tcBorders>
              <w:top w:val="single" w:color="auto" w:sz="4" w:space="0"/>
              <w:left w:val="single" w:color="auto" w:sz="4" w:space="0"/>
            </w:tcBorders>
            <w:shd w:val="clear" w:color="auto" w:fill="FFFFFF"/>
            <w:noWrap w:val="0"/>
            <w:vAlign w:val="center"/>
          </w:tcPr>
          <w:p w14:paraId="0521D74E">
            <w:pPr>
              <w:pStyle w:val="39"/>
              <w:spacing w:line="240" w:lineRule="auto"/>
              <w:ind w:left="1120"/>
              <w:rPr>
                <w:rFonts w:hint="eastAsia"/>
                <w:color w:val="auto"/>
                <w:sz w:val="21"/>
                <w:szCs w:val="21"/>
                <w:highlight w:val="none"/>
              </w:rPr>
            </w:pPr>
            <w:r>
              <w:rPr>
                <w:rFonts w:hint="eastAsia"/>
                <w:color w:val="auto"/>
                <w:sz w:val="21"/>
                <w:szCs w:val="21"/>
                <w:highlight w:val="none"/>
              </w:rPr>
              <w:t>月</w:t>
            </w:r>
          </w:p>
        </w:tc>
        <w:tc>
          <w:tcPr>
            <w:tcW w:w="643" w:type="dxa"/>
            <w:tcBorders>
              <w:top w:val="single" w:color="auto" w:sz="4" w:space="0"/>
              <w:left w:val="single" w:color="auto" w:sz="4" w:space="0"/>
            </w:tcBorders>
            <w:shd w:val="clear" w:color="auto" w:fill="FFFFFF"/>
            <w:noWrap w:val="0"/>
            <w:vAlign w:val="top"/>
          </w:tcPr>
          <w:p w14:paraId="2645B56A">
            <w:pPr>
              <w:rPr>
                <w:rFonts w:hint="eastAsia" w:ascii="宋体" w:hAnsi="宋体" w:cs="宋体"/>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0163137B">
            <w:pPr>
              <w:rPr>
                <w:rFonts w:hint="eastAsia" w:ascii="宋体" w:hAnsi="宋体" w:cs="宋体"/>
                <w:color w:val="auto"/>
                <w:sz w:val="21"/>
                <w:szCs w:val="21"/>
                <w:highlight w:val="none"/>
              </w:rPr>
            </w:pPr>
          </w:p>
        </w:tc>
        <w:tc>
          <w:tcPr>
            <w:tcW w:w="643" w:type="dxa"/>
            <w:tcBorders>
              <w:top w:val="single" w:color="auto" w:sz="4" w:space="0"/>
              <w:left w:val="single" w:color="auto" w:sz="4" w:space="0"/>
            </w:tcBorders>
            <w:shd w:val="clear" w:color="auto" w:fill="FFFFFF"/>
            <w:noWrap w:val="0"/>
            <w:vAlign w:val="top"/>
          </w:tcPr>
          <w:p w14:paraId="61E898EB">
            <w:pPr>
              <w:rPr>
                <w:rFonts w:hint="eastAsia" w:ascii="宋体" w:hAnsi="宋体" w:cs="宋体"/>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183F1350">
            <w:pPr>
              <w:rPr>
                <w:rFonts w:hint="eastAsia" w:ascii="宋体" w:hAnsi="宋体" w:cs="宋体"/>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17043B39">
            <w:pPr>
              <w:rPr>
                <w:rFonts w:hint="eastAsia" w:ascii="宋体" w:hAnsi="宋体" w:cs="宋体"/>
                <w:color w:val="auto"/>
                <w:sz w:val="21"/>
                <w:szCs w:val="21"/>
                <w:highlight w:val="none"/>
              </w:rPr>
            </w:pPr>
          </w:p>
        </w:tc>
        <w:tc>
          <w:tcPr>
            <w:tcW w:w="1133" w:type="dxa"/>
            <w:tcBorders>
              <w:top w:val="single" w:color="auto" w:sz="4" w:space="0"/>
              <w:left w:val="single" w:color="auto" w:sz="4" w:space="0"/>
            </w:tcBorders>
            <w:shd w:val="clear" w:color="auto" w:fill="FFFFFF"/>
            <w:noWrap w:val="0"/>
            <w:vAlign w:val="top"/>
          </w:tcPr>
          <w:p w14:paraId="071F02D6">
            <w:pPr>
              <w:rPr>
                <w:rFonts w:hint="eastAsia" w:ascii="宋体" w:hAnsi="宋体" w:cs="宋体"/>
                <w:color w:val="auto"/>
                <w:sz w:val="21"/>
                <w:szCs w:val="21"/>
                <w:highlight w:val="none"/>
              </w:rPr>
            </w:pPr>
          </w:p>
        </w:tc>
        <w:tc>
          <w:tcPr>
            <w:tcW w:w="1142" w:type="dxa"/>
            <w:tcBorders>
              <w:top w:val="single" w:color="auto" w:sz="4" w:space="0"/>
              <w:left w:val="single" w:color="auto" w:sz="4" w:space="0"/>
              <w:right w:val="single" w:color="auto" w:sz="4" w:space="0"/>
            </w:tcBorders>
            <w:shd w:val="clear" w:color="auto" w:fill="FFFFFF"/>
            <w:noWrap w:val="0"/>
            <w:vAlign w:val="top"/>
          </w:tcPr>
          <w:p w14:paraId="751487BD">
            <w:pPr>
              <w:rPr>
                <w:rFonts w:hint="eastAsia" w:ascii="宋体" w:hAnsi="宋体" w:cs="宋体"/>
                <w:color w:val="auto"/>
                <w:sz w:val="21"/>
                <w:szCs w:val="21"/>
                <w:highlight w:val="none"/>
              </w:rPr>
            </w:pPr>
          </w:p>
        </w:tc>
      </w:tr>
      <w:tr w14:paraId="3D3DF53C">
        <w:tblPrEx>
          <w:tblCellMar>
            <w:top w:w="0" w:type="dxa"/>
            <w:left w:w="10" w:type="dxa"/>
            <w:bottom w:w="0" w:type="dxa"/>
            <w:right w:w="10" w:type="dxa"/>
          </w:tblCellMar>
        </w:tblPrEx>
        <w:trPr>
          <w:trHeight w:val="571" w:hRule="exact"/>
          <w:jc w:val="center"/>
        </w:trPr>
        <w:tc>
          <w:tcPr>
            <w:tcW w:w="1426" w:type="dxa"/>
            <w:vMerge w:val="continue"/>
            <w:tcBorders>
              <w:left w:val="single" w:color="auto" w:sz="4" w:space="0"/>
            </w:tcBorders>
            <w:shd w:val="clear" w:color="auto" w:fill="FFFFFF"/>
            <w:noWrap w:val="0"/>
            <w:vAlign w:val="center"/>
          </w:tcPr>
          <w:p w14:paraId="5F35E1B4">
            <w:pPr>
              <w:rPr>
                <w:rFonts w:hint="eastAsia" w:ascii="宋体" w:hAnsi="宋体" w:cs="宋体"/>
                <w:color w:val="auto"/>
                <w:sz w:val="21"/>
                <w:szCs w:val="21"/>
                <w:highlight w:val="none"/>
              </w:rPr>
            </w:pPr>
          </w:p>
        </w:tc>
        <w:tc>
          <w:tcPr>
            <w:tcW w:w="1421" w:type="dxa"/>
            <w:tcBorders>
              <w:top w:val="single" w:color="auto" w:sz="4" w:space="0"/>
              <w:left w:val="single" w:color="auto" w:sz="4" w:space="0"/>
            </w:tcBorders>
            <w:shd w:val="clear" w:color="auto" w:fill="FFFFFF"/>
            <w:noWrap w:val="0"/>
            <w:vAlign w:val="center"/>
          </w:tcPr>
          <w:p w14:paraId="5499B471">
            <w:pPr>
              <w:pStyle w:val="39"/>
              <w:tabs>
                <w:tab w:val="left" w:leader="dot" w:pos="326"/>
              </w:tabs>
              <w:spacing w:line="240" w:lineRule="auto"/>
              <w:jc w:val="right"/>
              <w:rPr>
                <w:rFonts w:hint="eastAsia"/>
                <w:color w:val="auto"/>
                <w:sz w:val="21"/>
                <w:szCs w:val="21"/>
                <w:highlight w:val="none"/>
              </w:rPr>
            </w:pPr>
            <w:r>
              <w:rPr>
                <w:rFonts w:hint="eastAsia"/>
                <w:color w:val="auto"/>
                <w:sz w:val="21"/>
                <w:szCs w:val="21"/>
                <w:highlight w:val="none"/>
                <w:lang w:val="en-US" w:eastAsia="en-US" w:bidi="en-US"/>
              </w:rPr>
              <w:tab/>
            </w:r>
          </w:p>
        </w:tc>
        <w:tc>
          <w:tcPr>
            <w:tcW w:w="643" w:type="dxa"/>
            <w:tcBorders>
              <w:top w:val="single" w:color="auto" w:sz="4" w:space="0"/>
              <w:left w:val="single" w:color="auto" w:sz="4" w:space="0"/>
            </w:tcBorders>
            <w:shd w:val="clear" w:color="auto" w:fill="FFFFFF"/>
            <w:noWrap w:val="0"/>
            <w:vAlign w:val="top"/>
          </w:tcPr>
          <w:p w14:paraId="57A013E1">
            <w:pPr>
              <w:rPr>
                <w:rFonts w:hint="eastAsia" w:ascii="宋体" w:hAnsi="宋体" w:cs="宋体"/>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60EC6151">
            <w:pPr>
              <w:rPr>
                <w:rFonts w:hint="eastAsia" w:ascii="宋体" w:hAnsi="宋体" w:cs="宋体"/>
                <w:color w:val="auto"/>
                <w:sz w:val="21"/>
                <w:szCs w:val="21"/>
                <w:highlight w:val="none"/>
              </w:rPr>
            </w:pPr>
          </w:p>
        </w:tc>
        <w:tc>
          <w:tcPr>
            <w:tcW w:w="643" w:type="dxa"/>
            <w:tcBorders>
              <w:top w:val="single" w:color="auto" w:sz="4" w:space="0"/>
              <w:left w:val="single" w:color="auto" w:sz="4" w:space="0"/>
            </w:tcBorders>
            <w:shd w:val="clear" w:color="auto" w:fill="FFFFFF"/>
            <w:noWrap w:val="0"/>
            <w:vAlign w:val="top"/>
          </w:tcPr>
          <w:p w14:paraId="49C5560E">
            <w:pPr>
              <w:rPr>
                <w:rFonts w:hint="eastAsia" w:ascii="宋体" w:hAnsi="宋体" w:cs="宋体"/>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73CA871C">
            <w:pPr>
              <w:rPr>
                <w:rFonts w:hint="eastAsia" w:ascii="宋体" w:hAnsi="宋体" w:cs="宋体"/>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001F413B">
            <w:pPr>
              <w:rPr>
                <w:rFonts w:hint="eastAsia" w:ascii="宋体" w:hAnsi="宋体" w:cs="宋体"/>
                <w:color w:val="auto"/>
                <w:sz w:val="21"/>
                <w:szCs w:val="21"/>
                <w:highlight w:val="none"/>
              </w:rPr>
            </w:pPr>
          </w:p>
        </w:tc>
        <w:tc>
          <w:tcPr>
            <w:tcW w:w="1133" w:type="dxa"/>
            <w:tcBorders>
              <w:top w:val="single" w:color="auto" w:sz="4" w:space="0"/>
              <w:left w:val="single" w:color="auto" w:sz="4" w:space="0"/>
            </w:tcBorders>
            <w:shd w:val="clear" w:color="auto" w:fill="FFFFFF"/>
            <w:noWrap w:val="0"/>
            <w:vAlign w:val="top"/>
          </w:tcPr>
          <w:p w14:paraId="1B8E92AF">
            <w:pPr>
              <w:rPr>
                <w:rFonts w:hint="eastAsia" w:ascii="宋体" w:hAnsi="宋体" w:cs="宋体"/>
                <w:color w:val="auto"/>
                <w:sz w:val="21"/>
                <w:szCs w:val="21"/>
                <w:highlight w:val="none"/>
              </w:rPr>
            </w:pPr>
          </w:p>
        </w:tc>
        <w:tc>
          <w:tcPr>
            <w:tcW w:w="1142" w:type="dxa"/>
            <w:tcBorders>
              <w:top w:val="single" w:color="auto" w:sz="4" w:space="0"/>
              <w:left w:val="single" w:color="auto" w:sz="4" w:space="0"/>
              <w:right w:val="single" w:color="auto" w:sz="4" w:space="0"/>
            </w:tcBorders>
            <w:shd w:val="clear" w:color="auto" w:fill="FFFFFF"/>
            <w:noWrap w:val="0"/>
            <w:vAlign w:val="top"/>
          </w:tcPr>
          <w:p w14:paraId="5DEBC44C">
            <w:pPr>
              <w:rPr>
                <w:rFonts w:hint="eastAsia" w:ascii="宋体" w:hAnsi="宋体" w:cs="宋体"/>
                <w:color w:val="auto"/>
                <w:sz w:val="21"/>
                <w:szCs w:val="21"/>
                <w:highlight w:val="none"/>
              </w:rPr>
            </w:pPr>
          </w:p>
        </w:tc>
      </w:tr>
      <w:tr w14:paraId="5BEB4AE2">
        <w:tblPrEx>
          <w:tblCellMar>
            <w:top w:w="0" w:type="dxa"/>
            <w:left w:w="10" w:type="dxa"/>
            <w:bottom w:w="0" w:type="dxa"/>
            <w:right w:w="10" w:type="dxa"/>
          </w:tblCellMar>
        </w:tblPrEx>
        <w:trPr>
          <w:trHeight w:val="576" w:hRule="exact"/>
          <w:jc w:val="center"/>
        </w:trPr>
        <w:tc>
          <w:tcPr>
            <w:tcW w:w="6077" w:type="dxa"/>
            <w:gridSpan w:val="7"/>
            <w:tcBorders>
              <w:top w:val="single" w:color="auto" w:sz="4" w:space="0"/>
              <w:left w:val="single" w:color="auto" w:sz="4" w:space="0"/>
              <w:bottom w:val="single" w:color="auto" w:sz="4" w:space="0"/>
            </w:tcBorders>
            <w:shd w:val="clear" w:color="auto" w:fill="FFFFFF"/>
            <w:noWrap w:val="0"/>
            <w:vAlign w:val="center"/>
          </w:tcPr>
          <w:p w14:paraId="6C54F4D2">
            <w:pPr>
              <w:pStyle w:val="39"/>
              <w:spacing w:line="240" w:lineRule="auto"/>
              <w:jc w:val="center"/>
              <w:rPr>
                <w:rFonts w:hint="eastAsia"/>
                <w:color w:val="auto"/>
                <w:sz w:val="21"/>
                <w:szCs w:val="21"/>
                <w:highlight w:val="none"/>
              </w:rPr>
            </w:pPr>
            <w:r>
              <w:rPr>
                <w:rFonts w:hint="eastAsia"/>
                <w:color w:val="auto"/>
                <w:sz w:val="21"/>
                <w:szCs w:val="21"/>
                <w:highlight w:val="none"/>
              </w:rPr>
              <w:t>总 计</w:t>
            </w:r>
          </w:p>
        </w:tc>
        <w:tc>
          <w:tcPr>
            <w:tcW w:w="1133" w:type="dxa"/>
            <w:tcBorders>
              <w:top w:val="single" w:color="auto" w:sz="4" w:space="0"/>
              <w:left w:val="single" w:color="auto" w:sz="4" w:space="0"/>
              <w:bottom w:val="single" w:color="auto" w:sz="4" w:space="0"/>
            </w:tcBorders>
            <w:shd w:val="clear" w:color="auto" w:fill="FFFFFF"/>
            <w:noWrap w:val="0"/>
            <w:vAlign w:val="top"/>
          </w:tcPr>
          <w:p w14:paraId="1E64F7D7">
            <w:pPr>
              <w:rPr>
                <w:rFonts w:hint="eastAsia" w:ascii="宋体" w:hAnsi="宋体" w:cs="宋体"/>
                <w:color w:val="auto"/>
                <w:sz w:val="21"/>
                <w:szCs w:val="21"/>
                <w:highlight w:val="none"/>
              </w:rPr>
            </w:pPr>
          </w:p>
        </w:tc>
        <w:tc>
          <w:tcPr>
            <w:tcW w:w="1142"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4AE43B50">
            <w:pPr>
              <w:rPr>
                <w:rFonts w:hint="eastAsia" w:ascii="宋体" w:hAnsi="宋体" w:cs="宋体"/>
                <w:color w:val="auto"/>
                <w:sz w:val="21"/>
                <w:szCs w:val="21"/>
                <w:highlight w:val="none"/>
              </w:rPr>
            </w:pPr>
          </w:p>
        </w:tc>
      </w:tr>
    </w:tbl>
    <w:p w14:paraId="1653029B">
      <w:pPr>
        <w:spacing w:after="299" w:line="1" w:lineRule="exact"/>
        <w:rPr>
          <w:rFonts w:hint="eastAsia" w:ascii="宋体" w:hAnsi="宋体" w:cs="宋体"/>
          <w:color w:val="auto"/>
          <w:highlight w:val="none"/>
        </w:rPr>
      </w:pPr>
    </w:p>
    <w:p w14:paraId="62E1B063">
      <w:pPr>
        <w:autoSpaceDE w:val="0"/>
        <w:autoSpaceDN w:val="0"/>
        <w:spacing w:line="360" w:lineRule="auto"/>
        <w:ind w:left="4335" w:leftChars="1950" w:hanging="240" w:hangingChars="100"/>
        <w:rPr>
          <w:rFonts w:hint="eastAsia" w:ascii="宋体" w:hAnsi="宋体" w:cs="宋体"/>
          <w:color w:val="auto"/>
          <w:kern w:val="0"/>
          <w:sz w:val="24"/>
          <w:highlight w:val="none"/>
        </w:rPr>
      </w:pPr>
    </w:p>
    <w:p w14:paraId="0CA0DE4A">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r>
        <w:rPr>
          <w:rFonts w:hint="eastAsia" w:ascii="宋体" w:hAnsi="宋体" w:cs="宋体"/>
          <w:color w:val="auto"/>
          <w:kern w:val="0"/>
          <w:sz w:val="24"/>
          <w:highlight w:val="none"/>
        </w:rPr>
        <w:t>：</w:t>
      </w:r>
    </w:p>
    <w:p w14:paraId="5A7F6C15">
      <w:pPr>
        <w:autoSpaceDE w:val="0"/>
        <w:autoSpaceDN w:val="0"/>
        <w:spacing w:line="360" w:lineRule="auto"/>
        <w:ind w:firstLine="6300" w:firstLineChars="2625"/>
        <w:rPr>
          <w:rFonts w:hint="eastAsia"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64AFC10C">
      <w:pPr>
        <w:rPr>
          <w:rFonts w:hint="eastAsia" w:ascii="宋体" w:hAnsi="宋体" w:cs="宋体"/>
          <w:b/>
          <w:color w:val="auto"/>
          <w:szCs w:val="21"/>
          <w:highlight w:val="none"/>
        </w:rPr>
      </w:pPr>
      <w:bookmarkStart w:id="1571" w:name="bookmark2243"/>
      <w:bookmarkStart w:id="1572" w:name="bookmark2244"/>
      <w:bookmarkStart w:id="1573" w:name="bookmark2245"/>
      <w:r>
        <w:rPr>
          <w:rFonts w:hint="eastAsia" w:ascii="宋体" w:hAnsi="宋体" w:cs="宋体"/>
          <w:b/>
          <w:color w:val="auto"/>
          <w:szCs w:val="21"/>
          <w:highlight w:val="none"/>
        </w:rPr>
        <w:t>附件四：拟投入本合同工程的材料进场计划表</w:t>
      </w:r>
      <w:bookmarkEnd w:id="1571"/>
      <w:bookmarkEnd w:id="1572"/>
      <w:bookmarkEnd w:id="1573"/>
    </w:p>
    <w:p w14:paraId="1FD09937">
      <w:pPr>
        <w:rPr>
          <w:rFonts w:hint="eastAsia" w:ascii="宋体" w:hAnsi="宋体" w:cs="宋体"/>
          <w:b/>
          <w:color w:val="auto"/>
          <w:sz w:val="20"/>
          <w:szCs w:val="20"/>
          <w:highlight w:val="none"/>
        </w:rPr>
      </w:pPr>
    </w:p>
    <w:p w14:paraId="5E1EE803">
      <w:pPr>
        <w:jc w:val="center"/>
        <w:rPr>
          <w:rFonts w:hint="eastAsia" w:ascii="宋体" w:hAnsi="宋体" w:cs="宋体"/>
          <w:b/>
          <w:color w:val="auto"/>
          <w:highlight w:val="none"/>
        </w:rPr>
      </w:pPr>
      <w:bookmarkStart w:id="1574" w:name="bookmark2247"/>
      <w:bookmarkStart w:id="1575" w:name="bookmark2246"/>
      <w:bookmarkStart w:id="1576" w:name="_Toc16708"/>
      <w:bookmarkStart w:id="1577" w:name="bookmark2248"/>
      <w:bookmarkStart w:id="1578" w:name="_Toc16851"/>
      <w:r>
        <w:rPr>
          <w:rFonts w:hint="eastAsia" w:ascii="宋体" w:hAnsi="宋体" w:cs="宋体"/>
          <w:b/>
          <w:color w:val="auto"/>
          <w:highlight w:val="none"/>
        </w:rPr>
        <w:t>拟投入本合同工程的材料进场计划表</w:t>
      </w:r>
      <w:bookmarkEnd w:id="1574"/>
      <w:bookmarkEnd w:id="1575"/>
      <w:bookmarkEnd w:id="1576"/>
      <w:bookmarkEnd w:id="1577"/>
      <w:bookmarkEnd w:id="1578"/>
    </w:p>
    <w:p w14:paraId="11AFA982">
      <w:pPr>
        <w:jc w:val="center"/>
        <w:rPr>
          <w:rFonts w:hint="eastAsia" w:ascii="宋体" w:hAnsi="宋体" w:cs="宋体"/>
          <w:b/>
          <w:color w:val="auto"/>
          <w:highlight w:val="none"/>
        </w:rPr>
      </w:pPr>
    </w:p>
    <w:tbl>
      <w:tblPr>
        <w:tblStyle w:val="20"/>
        <w:tblW w:w="8351" w:type="dxa"/>
        <w:jc w:val="center"/>
        <w:tblLayout w:type="fixed"/>
        <w:tblCellMar>
          <w:top w:w="0" w:type="dxa"/>
          <w:left w:w="10" w:type="dxa"/>
          <w:bottom w:w="0" w:type="dxa"/>
          <w:right w:w="10" w:type="dxa"/>
        </w:tblCellMar>
      </w:tblPr>
      <w:tblGrid>
        <w:gridCol w:w="1090"/>
        <w:gridCol w:w="902"/>
        <w:gridCol w:w="907"/>
        <w:gridCol w:w="907"/>
        <w:gridCol w:w="907"/>
        <w:gridCol w:w="912"/>
        <w:gridCol w:w="902"/>
        <w:gridCol w:w="907"/>
        <w:gridCol w:w="917"/>
      </w:tblGrid>
      <w:tr w14:paraId="7BCA59BB">
        <w:tblPrEx>
          <w:tblCellMar>
            <w:top w:w="0" w:type="dxa"/>
            <w:left w:w="10" w:type="dxa"/>
            <w:bottom w:w="0" w:type="dxa"/>
            <w:right w:w="10" w:type="dxa"/>
          </w:tblCellMar>
        </w:tblPrEx>
        <w:trPr>
          <w:trHeight w:val="576" w:hRule="exact"/>
          <w:jc w:val="center"/>
        </w:trPr>
        <w:tc>
          <w:tcPr>
            <w:tcW w:w="1090" w:type="dxa"/>
            <w:vMerge w:val="restart"/>
            <w:tcBorders>
              <w:top w:val="single" w:color="auto" w:sz="4" w:space="0"/>
              <w:left w:val="single" w:color="auto" w:sz="4" w:space="0"/>
            </w:tcBorders>
            <w:shd w:val="clear" w:color="auto" w:fill="FFFFFF"/>
            <w:noWrap w:val="0"/>
            <w:vAlign w:val="center"/>
          </w:tcPr>
          <w:p w14:paraId="512DA511">
            <w:pPr>
              <w:pStyle w:val="39"/>
              <w:spacing w:line="240" w:lineRule="auto"/>
              <w:jc w:val="center"/>
              <w:rPr>
                <w:rFonts w:hint="eastAsia"/>
                <w:color w:val="auto"/>
                <w:sz w:val="21"/>
                <w:szCs w:val="21"/>
                <w:highlight w:val="none"/>
              </w:rPr>
            </w:pPr>
            <w:r>
              <w:rPr>
                <w:rFonts w:hint="eastAsia"/>
                <w:color w:val="auto"/>
                <w:sz w:val="21"/>
                <w:szCs w:val="21"/>
                <w:highlight w:val="none"/>
              </w:rPr>
              <w:t>名称</w:t>
            </w:r>
          </w:p>
        </w:tc>
        <w:tc>
          <w:tcPr>
            <w:tcW w:w="902" w:type="dxa"/>
            <w:vMerge w:val="restart"/>
            <w:tcBorders>
              <w:top w:val="single" w:color="auto" w:sz="4" w:space="0"/>
              <w:left w:val="single" w:color="auto" w:sz="4" w:space="0"/>
            </w:tcBorders>
            <w:shd w:val="clear" w:color="auto" w:fill="FFFFFF"/>
            <w:noWrap w:val="0"/>
            <w:vAlign w:val="center"/>
          </w:tcPr>
          <w:p w14:paraId="25A89283">
            <w:pPr>
              <w:pStyle w:val="39"/>
              <w:spacing w:line="240" w:lineRule="auto"/>
              <w:jc w:val="center"/>
              <w:rPr>
                <w:rFonts w:hint="eastAsia"/>
                <w:color w:val="auto"/>
                <w:sz w:val="21"/>
                <w:szCs w:val="21"/>
                <w:highlight w:val="none"/>
              </w:rPr>
            </w:pPr>
            <w:r>
              <w:rPr>
                <w:rFonts w:hint="eastAsia"/>
                <w:color w:val="auto"/>
                <w:sz w:val="21"/>
                <w:szCs w:val="21"/>
                <w:highlight w:val="none"/>
              </w:rPr>
              <w:t>规格</w:t>
            </w:r>
          </w:p>
        </w:tc>
        <w:tc>
          <w:tcPr>
            <w:tcW w:w="907" w:type="dxa"/>
            <w:vMerge w:val="restart"/>
            <w:tcBorders>
              <w:top w:val="single" w:color="auto" w:sz="4" w:space="0"/>
              <w:left w:val="single" w:color="auto" w:sz="4" w:space="0"/>
            </w:tcBorders>
            <w:shd w:val="clear" w:color="auto" w:fill="FFFFFF"/>
            <w:noWrap w:val="0"/>
            <w:vAlign w:val="center"/>
          </w:tcPr>
          <w:p w14:paraId="6DFA82B5">
            <w:pPr>
              <w:pStyle w:val="39"/>
              <w:spacing w:line="269" w:lineRule="exact"/>
              <w:jc w:val="center"/>
              <w:rPr>
                <w:rFonts w:hint="eastAsia"/>
                <w:color w:val="auto"/>
                <w:sz w:val="21"/>
                <w:szCs w:val="21"/>
                <w:highlight w:val="none"/>
              </w:rPr>
            </w:pPr>
            <w:r>
              <w:rPr>
                <w:rFonts w:hint="eastAsia"/>
                <w:color w:val="auto"/>
                <w:sz w:val="21"/>
                <w:szCs w:val="21"/>
                <w:highlight w:val="none"/>
              </w:rPr>
              <w:t>计量单位</w:t>
            </w:r>
          </w:p>
        </w:tc>
        <w:tc>
          <w:tcPr>
            <w:tcW w:w="4535" w:type="dxa"/>
            <w:gridSpan w:val="5"/>
            <w:tcBorders>
              <w:top w:val="single" w:color="auto" w:sz="4" w:space="0"/>
              <w:left w:val="single" w:color="auto" w:sz="4" w:space="0"/>
            </w:tcBorders>
            <w:shd w:val="clear" w:color="auto" w:fill="FFFFFF"/>
            <w:noWrap w:val="0"/>
            <w:vAlign w:val="center"/>
          </w:tcPr>
          <w:p w14:paraId="155A6489">
            <w:pPr>
              <w:pStyle w:val="39"/>
              <w:spacing w:line="240" w:lineRule="auto"/>
              <w:jc w:val="center"/>
              <w:rPr>
                <w:rFonts w:hint="eastAsia"/>
                <w:color w:val="auto"/>
                <w:sz w:val="21"/>
                <w:szCs w:val="21"/>
                <w:highlight w:val="none"/>
              </w:rPr>
            </w:pPr>
            <w:r>
              <w:rPr>
                <w:rFonts w:hint="eastAsia"/>
                <w:color w:val="auto"/>
                <w:sz w:val="21"/>
                <w:szCs w:val="21"/>
                <w:highlight w:val="none"/>
              </w:rPr>
              <w:t>数 量</w:t>
            </w:r>
          </w:p>
        </w:tc>
        <w:tc>
          <w:tcPr>
            <w:tcW w:w="917" w:type="dxa"/>
            <w:vMerge w:val="restart"/>
            <w:tcBorders>
              <w:top w:val="single" w:color="auto" w:sz="4" w:space="0"/>
              <w:left w:val="single" w:color="auto" w:sz="4" w:space="0"/>
              <w:right w:val="single" w:color="auto" w:sz="4" w:space="0"/>
            </w:tcBorders>
            <w:shd w:val="clear" w:color="auto" w:fill="FFFFFF"/>
            <w:noWrap w:val="0"/>
            <w:vAlign w:val="center"/>
          </w:tcPr>
          <w:p w14:paraId="67DE68BC">
            <w:pPr>
              <w:pStyle w:val="39"/>
              <w:spacing w:line="240" w:lineRule="auto"/>
              <w:jc w:val="center"/>
              <w:rPr>
                <w:rFonts w:hint="eastAsia"/>
                <w:color w:val="auto"/>
                <w:sz w:val="21"/>
                <w:szCs w:val="21"/>
                <w:highlight w:val="none"/>
              </w:rPr>
            </w:pPr>
            <w:r>
              <w:rPr>
                <w:rFonts w:hint="eastAsia"/>
                <w:color w:val="auto"/>
                <w:sz w:val="21"/>
                <w:szCs w:val="21"/>
                <w:highlight w:val="none"/>
              </w:rPr>
              <w:t>备注</w:t>
            </w:r>
          </w:p>
        </w:tc>
      </w:tr>
      <w:tr w14:paraId="65EED15A">
        <w:tblPrEx>
          <w:tblCellMar>
            <w:top w:w="0" w:type="dxa"/>
            <w:left w:w="10" w:type="dxa"/>
            <w:bottom w:w="0" w:type="dxa"/>
            <w:right w:w="10" w:type="dxa"/>
          </w:tblCellMar>
        </w:tblPrEx>
        <w:trPr>
          <w:trHeight w:val="566" w:hRule="exact"/>
          <w:jc w:val="center"/>
        </w:trPr>
        <w:tc>
          <w:tcPr>
            <w:tcW w:w="1090" w:type="dxa"/>
            <w:vMerge w:val="continue"/>
            <w:tcBorders>
              <w:left w:val="single" w:color="auto" w:sz="4" w:space="0"/>
            </w:tcBorders>
            <w:shd w:val="clear" w:color="auto" w:fill="FFFFFF"/>
            <w:noWrap w:val="0"/>
            <w:vAlign w:val="center"/>
          </w:tcPr>
          <w:p w14:paraId="64C70AF6">
            <w:pPr>
              <w:jc w:val="center"/>
              <w:rPr>
                <w:rFonts w:hint="eastAsia" w:ascii="宋体" w:hAnsi="宋体" w:cs="宋体"/>
                <w:color w:val="auto"/>
                <w:sz w:val="21"/>
                <w:szCs w:val="21"/>
                <w:highlight w:val="none"/>
              </w:rPr>
            </w:pPr>
          </w:p>
        </w:tc>
        <w:tc>
          <w:tcPr>
            <w:tcW w:w="902" w:type="dxa"/>
            <w:vMerge w:val="continue"/>
            <w:tcBorders>
              <w:left w:val="single" w:color="auto" w:sz="4" w:space="0"/>
            </w:tcBorders>
            <w:shd w:val="clear" w:color="auto" w:fill="FFFFFF"/>
            <w:noWrap w:val="0"/>
            <w:vAlign w:val="center"/>
          </w:tcPr>
          <w:p w14:paraId="4831963B">
            <w:pPr>
              <w:jc w:val="center"/>
              <w:rPr>
                <w:rFonts w:hint="eastAsia" w:ascii="宋体" w:hAnsi="宋体" w:cs="宋体"/>
                <w:color w:val="auto"/>
                <w:sz w:val="21"/>
                <w:szCs w:val="21"/>
                <w:highlight w:val="none"/>
              </w:rPr>
            </w:pPr>
          </w:p>
        </w:tc>
        <w:tc>
          <w:tcPr>
            <w:tcW w:w="907" w:type="dxa"/>
            <w:vMerge w:val="continue"/>
            <w:tcBorders>
              <w:left w:val="single" w:color="auto" w:sz="4" w:space="0"/>
            </w:tcBorders>
            <w:shd w:val="clear" w:color="auto" w:fill="FFFFFF"/>
            <w:noWrap w:val="0"/>
            <w:vAlign w:val="center"/>
          </w:tcPr>
          <w:p w14:paraId="75545EE1">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22C2233E">
            <w:pPr>
              <w:pStyle w:val="39"/>
              <w:spacing w:line="240" w:lineRule="auto"/>
              <w:jc w:val="center"/>
              <w:rPr>
                <w:rFonts w:hint="eastAsia"/>
                <w:color w:val="auto"/>
                <w:sz w:val="21"/>
                <w:szCs w:val="21"/>
                <w:highlight w:val="none"/>
              </w:rPr>
            </w:pPr>
            <w:r>
              <w:rPr>
                <w:rFonts w:hint="eastAsia"/>
                <w:color w:val="auto"/>
                <w:sz w:val="21"/>
                <w:szCs w:val="21"/>
                <w:highlight w:val="none"/>
              </w:rPr>
              <w:t>总量</w:t>
            </w:r>
          </w:p>
        </w:tc>
        <w:tc>
          <w:tcPr>
            <w:tcW w:w="907" w:type="dxa"/>
            <w:tcBorders>
              <w:top w:val="single" w:color="auto" w:sz="4" w:space="0"/>
              <w:left w:val="single" w:color="auto" w:sz="4" w:space="0"/>
            </w:tcBorders>
            <w:shd w:val="clear" w:color="auto" w:fill="FFFFFF"/>
            <w:noWrap w:val="0"/>
            <w:vAlign w:val="center"/>
          </w:tcPr>
          <w:p w14:paraId="7AC9F8C4">
            <w:pPr>
              <w:pStyle w:val="39"/>
              <w:spacing w:line="240" w:lineRule="auto"/>
              <w:jc w:val="center"/>
              <w:rPr>
                <w:rFonts w:hint="eastAsia"/>
                <w:color w:val="auto"/>
                <w:sz w:val="21"/>
                <w:szCs w:val="21"/>
                <w:highlight w:val="none"/>
              </w:rPr>
            </w:pPr>
            <w:r>
              <w:rPr>
                <w:rFonts w:hint="eastAsia"/>
                <w:color w:val="auto"/>
                <w:sz w:val="21"/>
                <w:szCs w:val="21"/>
                <w:highlight w:val="none"/>
              </w:rPr>
              <w:t>月</w:t>
            </w:r>
          </w:p>
        </w:tc>
        <w:tc>
          <w:tcPr>
            <w:tcW w:w="912" w:type="dxa"/>
            <w:tcBorders>
              <w:top w:val="single" w:color="auto" w:sz="4" w:space="0"/>
              <w:left w:val="single" w:color="auto" w:sz="4" w:space="0"/>
            </w:tcBorders>
            <w:shd w:val="clear" w:color="auto" w:fill="FFFFFF"/>
            <w:noWrap w:val="0"/>
            <w:vAlign w:val="center"/>
          </w:tcPr>
          <w:p w14:paraId="5F63D90B">
            <w:pPr>
              <w:pStyle w:val="39"/>
              <w:spacing w:line="240" w:lineRule="auto"/>
              <w:jc w:val="center"/>
              <w:rPr>
                <w:rFonts w:hint="eastAsia"/>
                <w:color w:val="auto"/>
                <w:sz w:val="21"/>
                <w:szCs w:val="21"/>
                <w:highlight w:val="none"/>
              </w:rPr>
            </w:pPr>
            <w:r>
              <w:rPr>
                <w:rFonts w:hint="eastAsia"/>
                <w:color w:val="auto"/>
                <w:sz w:val="21"/>
                <w:szCs w:val="21"/>
                <w:highlight w:val="none"/>
              </w:rPr>
              <w:t>月</w:t>
            </w:r>
          </w:p>
        </w:tc>
        <w:tc>
          <w:tcPr>
            <w:tcW w:w="902" w:type="dxa"/>
            <w:tcBorders>
              <w:top w:val="single" w:color="auto" w:sz="4" w:space="0"/>
              <w:left w:val="single" w:color="auto" w:sz="4" w:space="0"/>
            </w:tcBorders>
            <w:shd w:val="clear" w:color="auto" w:fill="FFFFFF"/>
            <w:noWrap w:val="0"/>
            <w:vAlign w:val="center"/>
          </w:tcPr>
          <w:p w14:paraId="2C6B90B5">
            <w:pPr>
              <w:pStyle w:val="39"/>
              <w:spacing w:line="240" w:lineRule="auto"/>
              <w:jc w:val="center"/>
              <w:rPr>
                <w:rFonts w:hint="eastAsia"/>
                <w:color w:val="auto"/>
                <w:sz w:val="21"/>
                <w:szCs w:val="21"/>
                <w:highlight w:val="none"/>
              </w:rPr>
            </w:pPr>
            <w:r>
              <w:rPr>
                <w:rFonts w:hint="eastAsia"/>
                <w:color w:val="auto"/>
                <w:sz w:val="21"/>
                <w:szCs w:val="21"/>
                <w:highlight w:val="none"/>
              </w:rPr>
              <w:t>月</w:t>
            </w:r>
          </w:p>
        </w:tc>
        <w:tc>
          <w:tcPr>
            <w:tcW w:w="907" w:type="dxa"/>
            <w:tcBorders>
              <w:top w:val="single" w:color="auto" w:sz="4" w:space="0"/>
              <w:left w:val="single" w:color="auto" w:sz="4" w:space="0"/>
            </w:tcBorders>
            <w:shd w:val="clear" w:color="auto" w:fill="FFFFFF"/>
            <w:noWrap w:val="0"/>
            <w:vAlign w:val="center"/>
          </w:tcPr>
          <w:p w14:paraId="75258E6E">
            <w:pPr>
              <w:pStyle w:val="39"/>
              <w:spacing w:line="240" w:lineRule="auto"/>
              <w:ind w:right="380"/>
              <w:jc w:val="center"/>
              <w:rPr>
                <w:rFonts w:hint="eastAsia"/>
                <w:color w:val="auto"/>
                <w:sz w:val="21"/>
                <w:szCs w:val="21"/>
                <w:highlight w:val="none"/>
              </w:rPr>
            </w:pPr>
            <w:r>
              <w:rPr>
                <w:rFonts w:hint="eastAsia"/>
                <w:color w:val="auto"/>
                <w:sz w:val="21"/>
                <w:szCs w:val="21"/>
                <w:highlight w:val="none"/>
              </w:rPr>
              <w:t>月</w:t>
            </w:r>
          </w:p>
        </w:tc>
        <w:tc>
          <w:tcPr>
            <w:tcW w:w="917" w:type="dxa"/>
            <w:vMerge w:val="continue"/>
            <w:tcBorders>
              <w:left w:val="single" w:color="auto" w:sz="4" w:space="0"/>
              <w:right w:val="single" w:color="auto" w:sz="4" w:space="0"/>
            </w:tcBorders>
            <w:shd w:val="clear" w:color="auto" w:fill="FFFFFF"/>
            <w:noWrap w:val="0"/>
            <w:vAlign w:val="center"/>
          </w:tcPr>
          <w:p w14:paraId="305B8D07">
            <w:pPr>
              <w:jc w:val="center"/>
              <w:rPr>
                <w:rFonts w:hint="eastAsia" w:ascii="宋体" w:hAnsi="宋体" w:cs="宋体"/>
                <w:color w:val="auto"/>
                <w:sz w:val="21"/>
                <w:szCs w:val="21"/>
                <w:highlight w:val="none"/>
              </w:rPr>
            </w:pPr>
          </w:p>
        </w:tc>
      </w:tr>
      <w:tr w14:paraId="6EC84F8F">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noWrap w:val="0"/>
            <w:vAlign w:val="center"/>
          </w:tcPr>
          <w:p w14:paraId="2A5BC320">
            <w:pPr>
              <w:jc w:val="center"/>
              <w:rPr>
                <w:rFonts w:hint="eastAsia" w:ascii="宋体" w:hAnsi="宋体" w:cs="宋体"/>
                <w:color w:val="auto"/>
                <w:sz w:val="21"/>
                <w:szCs w:val="21"/>
                <w:highlight w:val="none"/>
              </w:rPr>
            </w:pPr>
          </w:p>
        </w:tc>
        <w:tc>
          <w:tcPr>
            <w:tcW w:w="902" w:type="dxa"/>
            <w:tcBorders>
              <w:top w:val="single" w:color="auto" w:sz="4" w:space="0"/>
              <w:left w:val="single" w:color="auto" w:sz="4" w:space="0"/>
            </w:tcBorders>
            <w:shd w:val="clear" w:color="auto" w:fill="FFFFFF"/>
            <w:noWrap w:val="0"/>
            <w:vAlign w:val="center"/>
          </w:tcPr>
          <w:p w14:paraId="414FD251">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78C75643">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1CA03087">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06B92CE7">
            <w:pPr>
              <w:jc w:val="center"/>
              <w:rPr>
                <w:rFonts w:hint="eastAsia" w:ascii="宋体" w:hAnsi="宋体" w:cs="宋体"/>
                <w:color w:val="auto"/>
                <w:sz w:val="21"/>
                <w:szCs w:val="21"/>
                <w:highlight w:val="none"/>
              </w:rPr>
            </w:pPr>
          </w:p>
        </w:tc>
        <w:tc>
          <w:tcPr>
            <w:tcW w:w="912" w:type="dxa"/>
            <w:tcBorders>
              <w:top w:val="single" w:color="auto" w:sz="4" w:space="0"/>
              <w:left w:val="single" w:color="auto" w:sz="4" w:space="0"/>
            </w:tcBorders>
            <w:shd w:val="clear" w:color="auto" w:fill="FFFFFF"/>
            <w:noWrap w:val="0"/>
            <w:vAlign w:val="center"/>
          </w:tcPr>
          <w:p w14:paraId="1EE8ADE2">
            <w:pPr>
              <w:jc w:val="center"/>
              <w:rPr>
                <w:rFonts w:hint="eastAsia" w:ascii="宋体" w:hAnsi="宋体" w:cs="宋体"/>
                <w:color w:val="auto"/>
                <w:sz w:val="21"/>
                <w:szCs w:val="21"/>
                <w:highlight w:val="none"/>
              </w:rPr>
            </w:pPr>
          </w:p>
        </w:tc>
        <w:tc>
          <w:tcPr>
            <w:tcW w:w="902" w:type="dxa"/>
            <w:tcBorders>
              <w:top w:val="single" w:color="auto" w:sz="4" w:space="0"/>
              <w:left w:val="single" w:color="auto" w:sz="4" w:space="0"/>
            </w:tcBorders>
            <w:shd w:val="clear" w:color="auto" w:fill="FFFFFF"/>
            <w:noWrap w:val="0"/>
            <w:vAlign w:val="center"/>
          </w:tcPr>
          <w:p w14:paraId="54721C35">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0D724B0E">
            <w:pPr>
              <w:jc w:val="center"/>
              <w:rPr>
                <w:rFonts w:hint="eastAsia" w:ascii="宋体" w:hAnsi="宋体" w:cs="宋体"/>
                <w:color w:val="auto"/>
                <w:sz w:val="21"/>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center"/>
          </w:tcPr>
          <w:p w14:paraId="2D09F2EE">
            <w:pPr>
              <w:jc w:val="center"/>
              <w:rPr>
                <w:rFonts w:hint="eastAsia" w:ascii="宋体" w:hAnsi="宋体" w:cs="宋体"/>
                <w:color w:val="auto"/>
                <w:sz w:val="21"/>
                <w:szCs w:val="21"/>
                <w:highlight w:val="none"/>
              </w:rPr>
            </w:pPr>
          </w:p>
        </w:tc>
      </w:tr>
      <w:tr w14:paraId="6480BE01">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noWrap w:val="0"/>
            <w:vAlign w:val="center"/>
          </w:tcPr>
          <w:p w14:paraId="24D8F76E">
            <w:pPr>
              <w:jc w:val="center"/>
              <w:rPr>
                <w:rFonts w:hint="eastAsia" w:ascii="宋体" w:hAnsi="宋体" w:cs="宋体"/>
                <w:color w:val="auto"/>
                <w:sz w:val="21"/>
                <w:szCs w:val="21"/>
                <w:highlight w:val="none"/>
              </w:rPr>
            </w:pPr>
          </w:p>
        </w:tc>
        <w:tc>
          <w:tcPr>
            <w:tcW w:w="902" w:type="dxa"/>
            <w:tcBorders>
              <w:top w:val="single" w:color="auto" w:sz="4" w:space="0"/>
              <w:left w:val="single" w:color="auto" w:sz="4" w:space="0"/>
            </w:tcBorders>
            <w:shd w:val="clear" w:color="auto" w:fill="FFFFFF"/>
            <w:noWrap w:val="0"/>
            <w:vAlign w:val="center"/>
          </w:tcPr>
          <w:p w14:paraId="38DD3C33">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7325ED08">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5CD1F60C">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789E1883">
            <w:pPr>
              <w:jc w:val="center"/>
              <w:rPr>
                <w:rFonts w:hint="eastAsia" w:ascii="宋体" w:hAnsi="宋体" w:cs="宋体"/>
                <w:color w:val="auto"/>
                <w:sz w:val="21"/>
                <w:szCs w:val="21"/>
                <w:highlight w:val="none"/>
              </w:rPr>
            </w:pPr>
          </w:p>
        </w:tc>
        <w:tc>
          <w:tcPr>
            <w:tcW w:w="912" w:type="dxa"/>
            <w:tcBorders>
              <w:top w:val="single" w:color="auto" w:sz="4" w:space="0"/>
              <w:left w:val="single" w:color="auto" w:sz="4" w:space="0"/>
            </w:tcBorders>
            <w:shd w:val="clear" w:color="auto" w:fill="FFFFFF"/>
            <w:noWrap w:val="0"/>
            <w:vAlign w:val="center"/>
          </w:tcPr>
          <w:p w14:paraId="0FBB0B54">
            <w:pPr>
              <w:jc w:val="center"/>
              <w:rPr>
                <w:rFonts w:hint="eastAsia" w:ascii="宋体" w:hAnsi="宋体" w:cs="宋体"/>
                <w:color w:val="auto"/>
                <w:sz w:val="21"/>
                <w:szCs w:val="21"/>
                <w:highlight w:val="none"/>
              </w:rPr>
            </w:pPr>
          </w:p>
        </w:tc>
        <w:tc>
          <w:tcPr>
            <w:tcW w:w="902" w:type="dxa"/>
            <w:tcBorders>
              <w:top w:val="single" w:color="auto" w:sz="4" w:space="0"/>
              <w:left w:val="single" w:color="auto" w:sz="4" w:space="0"/>
            </w:tcBorders>
            <w:shd w:val="clear" w:color="auto" w:fill="FFFFFF"/>
            <w:noWrap w:val="0"/>
            <w:vAlign w:val="center"/>
          </w:tcPr>
          <w:p w14:paraId="0F6D0A31">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3F1B6D5E">
            <w:pPr>
              <w:jc w:val="center"/>
              <w:rPr>
                <w:rFonts w:hint="eastAsia" w:ascii="宋体" w:hAnsi="宋体" w:cs="宋体"/>
                <w:color w:val="auto"/>
                <w:sz w:val="21"/>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center"/>
          </w:tcPr>
          <w:p w14:paraId="51AD248B">
            <w:pPr>
              <w:jc w:val="center"/>
              <w:rPr>
                <w:rFonts w:hint="eastAsia" w:ascii="宋体" w:hAnsi="宋体" w:cs="宋体"/>
                <w:color w:val="auto"/>
                <w:sz w:val="21"/>
                <w:szCs w:val="21"/>
                <w:highlight w:val="none"/>
              </w:rPr>
            </w:pPr>
          </w:p>
        </w:tc>
      </w:tr>
      <w:tr w14:paraId="15F05648">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noWrap w:val="0"/>
            <w:vAlign w:val="center"/>
          </w:tcPr>
          <w:p w14:paraId="54C633FC">
            <w:pPr>
              <w:jc w:val="center"/>
              <w:rPr>
                <w:rFonts w:hint="eastAsia" w:ascii="宋体" w:hAnsi="宋体" w:cs="宋体"/>
                <w:color w:val="auto"/>
                <w:sz w:val="21"/>
                <w:szCs w:val="21"/>
                <w:highlight w:val="none"/>
              </w:rPr>
            </w:pPr>
          </w:p>
        </w:tc>
        <w:tc>
          <w:tcPr>
            <w:tcW w:w="902" w:type="dxa"/>
            <w:tcBorders>
              <w:top w:val="single" w:color="auto" w:sz="4" w:space="0"/>
              <w:left w:val="single" w:color="auto" w:sz="4" w:space="0"/>
            </w:tcBorders>
            <w:shd w:val="clear" w:color="auto" w:fill="FFFFFF"/>
            <w:noWrap w:val="0"/>
            <w:vAlign w:val="center"/>
          </w:tcPr>
          <w:p w14:paraId="397AD931">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2EA04877">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423E7F03">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38BB900D">
            <w:pPr>
              <w:jc w:val="center"/>
              <w:rPr>
                <w:rFonts w:hint="eastAsia" w:ascii="宋体" w:hAnsi="宋体" w:cs="宋体"/>
                <w:color w:val="auto"/>
                <w:sz w:val="21"/>
                <w:szCs w:val="21"/>
                <w:highlight w:val="none"/>
              </w:rPr>
            </w:pPr>
          </w:p>
        </w:tc>
        <w:tc>
          <w:tcPr>
            <w:tcW w:w="912" w:type="dxa"/>
            <w:tcBorders>
              <w:top w:val="single" w:color="auto" w:sz="4" w:space="0"/>
              <w:left w:val="single" w:color="auto" w:sz="4" w:space="0"/>
            </w:tcBorders>
            <w:shd w:val="clear" w:color="auto" w:fill="FFFFFF"/>
            <w:noWrap w:val="0"/>
            <w:vAlign w:val="center"/>
          </w:tcPr>
          <w:p w14:paraId="5A20D41D">
            <w:pPr>
              <w:jc w:val="center"/>
              <w:rPr>
                <w:rFonts w:hint="eastAsia" w:ascii="宋体" w:hAnsi="宋体" w:cs="宋体"/>
                <w:color w:val="auto"/>
                <w:sz w:val="21"/>
                <w:szCs w:val="21"/>
                <w:highlight w:val="none"/>
              </w:rPr>
            </w:pPr>
          </w:p>
        </w:tc>
        <w:tc>
          <w:tcPr>
            <w:tcW w:w="902" w:type="dxa"/>
            <w:tcBorders>
              <w:top w:val="single" w:color="auto" w:sz="4" w:space="0"/>
              <w:left w:val="single" w:color="auto" w:sz="4" w:space="0"/>
            </w:tcBorders>
            <w:shd w:val="clear" w:color="auto" w:fill="FFFFFF"/>
            <w:noWrap w:val="0"/>
            <w:vAlign w:val="center"/>
          </w:tcPr>
          <w:p w14:paraId="6A1094EA">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206721BA">
            <w:pPr>
              <w:jc w:val="center"/>
              <w:rPr>
                <w:rFonts w:hint="eastAsia" w:ascii="宋体" w:hAnsi="宋体" w:cs="宋体"/>
                <w:color w:val="auto"/>
                <w:sz w:val="21"/>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center"/>
          </w:tcPr>
          <w:p w14:paraId="5478A1DC">
            <w:pPr>
              <w:jc w:val="center"/>
              <w:rPr>
                <w:rFonts w:hint="eastAsia" w:ascii="宋体" w:hAnsi="宋体" w:cs="宋体"/>
                <w:color w:val="auto"/>
                <w:sz w:val="21"/>
                <w:szCs w:val="21"/>
                <w:highlight w:val="none"/>
              </w:rPr>
            </w:pPr>
          </w:p>
        </w:tc>
      </w:tr>
      <w:tr w14:paraId="2D61DD2C">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noWrap w:val="0"/>
            <w:vAlign w:val="center"/>
          </w:tcPr>
          <w:p w14:paraId="2310A1E9">
            <w:pPr>
              <w:jc w:val="center"/>
              <w:rPr>
                <w:rFonts w:hint="eastAsia" w:ascii="宋体" w:hAnsi="宋体" w:cs="宋体"/>
                <w:color w:val="auto"/>
                <w:sz w:val="21"/>
                <w:szCs w:val="21"/>
                <w:highlight w:val="none"/>
              </w:rPr>
            </w:pPr>
          </w:p>
        </w:tc>
        <w:tc>
          <w:tcPr>
            <w:tcW w:w="902" w:type="dxa"/>
            <w:tcBorders>
              <w:top w:val="single" w:color="auto" w:sz="4" w:space="0"/>
              <w:left w:val="single" w:color="auto" w:sz="4" w:space="0"/>
            </w:tcBorders>
            <w:shd w:val="clear" w:color="auto" w:fill="FFFFFF"/>
            <w:noWrap w:val="0"/>
            <w:vAlign w:val="center"/>
          </w:tcPr>
          <w:p w14:paraId="4DFA26F1">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360D96CC">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47188220">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2233E157">
            <w:pPr>
              <w:jc w:val="center"/>
              <w:rPr>
                <w:rFonts w:hint="eastAsia" w:ascii="宋体" w:hAnsi="宋体" w:cs="宋体"/>
                <w:color w:val="auto"/>
                <w:sz w:val="21"/>
                <w:szCs w:val="21"/>
                <w:highlight w:val="none"/>
              </w:rPr>
            </w:pPr>
          </w:p>
        </w:tc>
        <w:tc>
          <w:tcPr>
            <w:tcW w:w="912" w:type="dxa"/>
            <w:tcBorders>
              <w:top w:val="single" w:color="auto" w:sz="4" w:space="0"/>
              <w:left w:val="single" w:color="auto" w:sz="4" w:space="0"/>
            </w:tcBorders>
            <w:shd w:val="clear" w:color="auto" w:fill="FFFFFF"/>
            <w:noWrap w:val="0"/>
            <w:vAlign w:val="center"/>
          </w:tcPr>
          <w:p w14:paraId="02DCE0D3">
            <w:pPr>
              <w:jc w:val="center"/>
              <w:rPr>
                <w:rFonts w:hint="eastAsia" w:ascii="宋体" w:hAnsi="宋体" w:cs="宋体"/>
                <w:color w:val="auto"/>
                <w:sz w:val="21"/>
                <w:szCs w:val="21"/>
                <w:highlight w:val="none"/>
              </w:rPr>
            </w:pPr>
          </w:p>
        </w:tc>
        <w:tc>
          <w:tcPr>
            <w:tcW w:w="902" w:type="dxa"/>
            <w:tcBorders>
              <w:top w:val="single" w:color="auto" w:sz="4" w:space="0"/>
              <w:left w:val="single" w:color="auto" w:sz="4" w:space="0"/>
            </w:tcBorders>
            <w:shd w:val="clear" w:color="auto" w:fill="FFFFFF"/>
            <w:noWrap w:val="0"/>
            <w:vAlign w:val="center"/>
          </w:tcPr>
          <w:p w14:paraId="5202AF12">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28E2CC5C">
            <w:pPr>
              <w:jc w:val="center"/>
              <w:rPr>
                <w:rFonts w:hint="eastAsia" w:ascii="宋体" w:hAnsi="宋体" w:cs="宋体"/>
                <w:color w:val="auto"/>
                <w:sz w:val="21"/>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center"/>
          </w:tcPr>
          <w:p w14:paraId="4E5F3B41">
            <w:pPr>
              <w:jc w:val="center"/>
              <w:rPr>
                <w:rFonts w:hint="eastAsia" w:ascii="宋体" w:hAnsi="宋体" w:cs="宋体"/>
                <w:color w:val="auto"/>
                <w:sz w:val="21"/>
                <w:szCs w:val="21"/>
                <w:highlight w:val="none"/>
              </w:rPr>
            </w:pPr>
          </w:p>
        </w:tc>
      </w:tr>
      <w:tr w14:paraId="187E8579">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noWrap w:val="0"/>
            <w:vAlign w:val="center"/>
          </w:tcPr>
          <w:p w14:paraId="2FAD6A4E">
            <w:pPr>
              <w:jc w:val="center"/>
              <w:rPr>
                <w:rFonts w:hint="eastAsia" w:ascii="宋体" w:hAnsi="宋体" w:cs="宋体"/>
                <w:color w:val="auto"/>
                <w:sz w:val="21"/>
                <w:szCs w:val="21"/>
                <w:highlight w:val="none"/>
              </w:rPr>
            </w:pPr>
          </w:p>
        </w:tc>
        <w:tc>
          <w:tcPr>
            <w:tcW w:w="902" w:type="dxa"/>
            <w:tcBorders>
              <w:top w:val="single" w:color="auto" w:sz="4" w:space="0"/>
              <w:left w:val="single" w:color="auto" w:sz="4" w:space="0"/>
            </w:tcBorders>
            <w:shd w:val="clear" w:color="auto" w:fill="FFFFFF"/>
            <w:noWrap w:val="0"/>
            <w:vAlign w:val="center"/>
          </w:tcPr>
          <w:p w14:paraId="37CAC115">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2472E540">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17E1BD0B">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72B4DD61">
            <w:pPr>
              <w:jc w:val="center"/>
              <w:rPr>
                <w:rFonts w:hint="eastAsia" w:ascii="宋体" w:hAnsi="宋体" w:cs="宋体"/>
                <w:color w:val="auto"/>
                <w:sz w:val="21"/>
                <w:szCs w:val="21"/>
                <w:highlight w:val="none"/>
              </w:rPr>
            </w:pPr>
          </w:p>
        </w:tc>
        <w:tc>
          <w:tcPr>
            <w:tcW w:w="912" w:type="dxa"/>
            <w:tcBorders>
              <w:top w:val="single" w:color="auto" w:sz="4" w:space="0"/>
              <w:left w:val="single" w:color="auto" w:sz="4" w:space="0"/>
            </w:tcBorders>
            <w:shd w:val="clear" w:color="auto" w:fill="FFFFFF"/>
            <w:noWrap w:val="0"/>
            <w:vAlign w:val="center"/>
          </w:tcPr>
          <w:p w14:paraId="38DDFA77">
            <w:pPr>
              <w:jc w:val="center"/>
              <w:rPr>
                <w:rFonts w:hint="eastAsia" w:ascii="宋体" w:hAnsi="宋体" w:cs="宋体"/>
                <w:color w:val="auto"/>
                <w:sz w:val="21"/>
                <w:szCs w:val="21"/>
                <w:highlight w:val="none"/>
              </w:rPr>
            </w:pPr>
          </w:p>
        </w:tc>
        <w:tc>
          <w:tcPr>
            <w:tcW w:w="902" w:type="dxa"/>
            <w:tcBorders>
              <w:top w:val="single" w:color="auto" w:sz="4" w:space="0"/>
              <w:left w:val="single" w:color="auto" w:sz="4" w:space="0"/>
            </w:tcBorders>
            <w:shd w:val="clear" w:color="auto" w:fill="FFFFFF"/>
            <w:noWrap w:val="0"/>
            <w:vAlign w:val="center"/>
          </w:tcPr>
          <w:p w14:paraId="0B45B76C">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5AE7E3D7">
            <w:pPr>
              <w:jc w:val="center"/>
              <w:rPr>
                <w:rFonts w:hint="eastAsia" w:ascii="宋体" w:hAnsi="宋体" w:cs="宋体"/>
                <w:color w:val="auto"/>
                <w:sz w:val="21"/>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center"/>
          </w:tcPr>
          <w:p w14:paraId="245FAB80">
            <w:pPr>
              <w:jc w:val="center"/>
              <w:rPr>
                <w:rFonts w:hint="eastAsia" w:ascii="宋体" w:hAnsi="宋体" w:cs="宋体"/>
                <w:color w:val="auto"/>
                <w:sz w:val="21"/>
                <w:szCs w:val="21"/>
                <w:highlight w:val="none"/>
              </w:rPr>
            </w:pPr>
          </w:p>
        </w:tc>
      </w:tr>
      <w:tr w14:paraId="1753D8F3">
        <w:tblPrEx>
          <w:tblCellMar>
            <w:top w:w="0" w:type="dxa"/>
            <w:left w:w="10" w:type="dxa"/>
            <w:bottom w:w="0" w:type="dxa"/>
            <w:right w:w="10" w:type="dxa"/>
          </w:tblCellMar>
        </w:tblPrEx>
        <w:trPr>
          <w:trHeight w:val="581" w:hRule="exact"/>
          <w:jc w:val="center"/>
        </w:trPr>
        <w:tc>
          <w:tcPr>
            <w:tcW w:w="1090" w:type="dxa"/>
            <w:tcBorders>
              <w:top w:val="single" w:color="auto" w:sz="4" w:space="0"/>
              <w:left w:val="single" w:color="auto" w:sz="4" w:space="0"/>
              <w:bottom w:val="single" w:color="auto" w:sz="4" w:space="0"/>
            </w:tcBorders>
            <w:shd w:val="clear" w:color="auto" w:fill="FFFFFF"/>
            <w:noWrap w:val="0"/>
            <w:vAlign w:val="center"/>
          </w:tcPr>
          <w:p w14:paraId="32D901B1">
            <w:pPr>
              <w:jc w:val="center"/>
              <w:rPr>
                <w:rFonts w:hint="eastAsia" w:ascii="宋体" w:hAnsi="宋体" w:cs="宋体"/>
                <w:color w:val="auto"/>
                <w:sz w:val="21"/>
                <w:szCs w:val="21"/>
                <w:highlight w:val="none"/>
              </w:rPr>
            </w:pPr>
          </w:p>
        </w:tc>
        <w:tc>
          <w:tcPr>
            <w:tcW w:w="902" w:type="dxa"/>
            <w:tcBorders>
              <w:top w:val="single" w:color="auto" w:sz="4" w:space="0"/>
              <w:left w:val="single" w:color="auto" w:sz="4" w:space="0"/>
              <w:bottom w:val="single" w:color="auto" w:sz="4" w:space="0"/>
            </w:tcBorders>
            <w:shd w:val="clear" w:color="auto" w:fill="FFFFFF"/>
            <w:noWrap w:val="0"/>
            <w:vAlign w:val="center"/>
          </w:tcPr>
          <w:p w14:paraId="16F2DA46">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bottom w:val="single" w:color="auto" w:sz="4" w:space="0"/>
            </w:tcBorders>
            <w:shd w:val="clear" w:color="auto" w:fill="FFFFFF"/>
            <w:noWrap w:val="0"/>
            <w:vAlign w:val="center"/>
          </w:tcPr>
          <w:p w14:paraId="0B3B545D">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bottom w:val="single" w:color="auto" w:sz="4" w:space="0"/>
            </w:tcBorders>
            <w:shd w:val="clear" w:color="auto" w:fill="FFFFFF"/>
            <w:noWrap w:val="0"/>
            <w:vAlign w:val="center"/>
          </w:tcPr>
          <w:p w14:paraId="78E5AF4A">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bottom w:val="single" w:color="auto" w:sz="4" w:space="0"/>
            </w:tcBorders>
            <w:shd w:val="clear" w:color="auto" w:fill="FFFFFF"/>
            <w:noWrap w:val="0"/>
            <w:vAlign w:val="center"/>
          </w:tcPr>
          <w:p w14:paraId="02F93424">
            <w:pPr>
              <w:jc w:val="center"/>
              <w:rPr>
                <w:rFonts w:hint="eastAsia" w:ascii="宋体" w:hAnsi="宋体" w:cs="宋体"/>
                <w:color w:val="auto"/>
                <w:sz w:val="21"/>
                <w:szCs w:val="21"/>
                <w:highlight w:val="none"/>
              </w:rPr>
            </w:pPr>
          </w:p>
        </w:tc>
        <w:tc>
          <w:tcPr>
            <w:tcW w:w="912" w:type="dxa"/>
            <w:tcBorders>
              <w:top w:val="single" w:color="auto" w:sz="4" w:space="0"/>
              <w:left w:val="single" w:color="auto" w:sz="4" w:space="0"/>
              <w:bottom w:val="single" w:color="auto" w:sz="4" w:space="0"/>
            </w:tcBorders>
            <w:shd w:val="clear" w:color="auto" w:fill="FFFFFF"/>
            <w:noWrap w:val="0"/>
            <w:vAlign w:val="center"/>
          </w:tcPr>
          <w:p w14:paraId="4F337775">
            <w:pPr>
              <w:jc w:val="center"/>
              <w:rPr>
                <w:rFonts w:hint="eastAsia" w:ascii="宋体" w:hAnsi="宋体" w:cs="宋体"/>
                <w:color w:val="auto"/>
                <w:sz w:val="21"/>
                <w:szCs w:val="21"/>
                <w:highlight w:val="none"/>
              </w:rPr>
            </w:pPr>
          </w:p>
        </w:tc>
        <w:tc>
          <w:tcPr>
            <w:tcW w:w="902" w:type="dxa"/>
            <w:tcBorders>
              <w:top w:val="single" w:color="auto" w:sz="4" w:space="0"/>
              <w:left w:val="single" w:color="auto" w:sz="4" w:space="0"/>
              <w:bottom w:val="single" w:color="auto" w:sz="4" w:space="0"/>
            </w:tcBorders>
            <w:shd w:val="clear" w:color="auto" w:fill="FFFFFF"/>
            <w:noWrap w:val="0"/>
            <w:vAlign w:val="center"/>
          </w:tcPr>
          <w:p w14:paraId="309DF253">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bottom w:val="single" w:color="auto" w:sz="4" w:space="0"/>
            </w:tcBorders>
            <w:shd w:val="clear" w:color="auto" w:fill="FFFFFF"/>
            <w:noWrap w:val="0"/>
            <w:vAlign w:val="center"/>
          </w:tcPr>
          <w:p w14:paraId="7F8692C1">
            <w:pPr>
              <w:jc w:val="center"/>
              <w:rPr>
                <w:rFonts w:hint="eastAsia" w:ascii="宋体" w:hAnsi="宋体" w:cs="宋体"/>
                <w:color w:val="auto"/>
                <w:sz w:val="21"/>
                <w:szCs w:val="21"/>
                <w:highlight w:val="none"/>
              </w:rPr>
            </w:pPr>
          </w:p>
        </w:tc>
        <w:tc>
          <w:tcPr>
            <w:tcW w:w="9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FD431C">
            <w:pPr>
              <w:jc w:val="center"/>
              <w:rPr>
                <w:rFonts w:hint="eastAsia" w:ascii="宋体" w:hAnsi="宋体" w:cs="宋体"/>
                <w:color w:val="auto"/>
                <w:sz w:val="21"/>
                <w:szCs w:val="21"/>
                <w:highlight w:val="none"/>
              </w:rPr>
            </w:pPr>
          </w:p>
        </w:tc>
      </w:tr>
    </w:tbl>
    <w:p w14:paraId="185ED3FB">
      <w:pPr>
        <w:spacing w:after="299" w:line="1" w:lineRule="exact"/>
        <w:rPr>
          <w:rFonts w:hint="eastAsia" w:ascii="宋体" w:hAnsi="宋体" w:cs="宋体"/>
          <w:color w:val="auto"/>
          <w:highlight w:val="none"/>
        </w:rPr>
      </w:pPr>
    </w:p>
    <w:p w14:paraId="11BBE64C">
      <w:pPr>
        <w:autoSpaceDE w:val="0"/>
        <w:autoSpaceDN w:val="0"/>
        <w:spacing w:line="360" w:lineRule="auto"/>
        <w:ind w:left="4335" w:leftChars="1950" w:hanging="240" w:hangingChars="100"/>
        <w:rPr>
          <w:rFonts w:hint="eastAsia" w:ascii="宋体" w:hAnsi="宋体" w:cs="宋体"/>
          <w:color w:val="auto"/>
          <w:kern w:val="0"/>
          <w:sz w:val="24"/>
          <w:highlight w:val="none"/>
        </w:rPr>
      </w:pPr>
      <w:bookmarkStart w:id="1579" w:name="bookmark2251"/>
      <w:bookmarkStart w:id="1580" w:name="bookmark2250"/>
      <w:bookmarkStart w:id="1581" w:name="bookmark2249"/>
      <w:r>
        <w:rPr>
          <w:rFonts w:hint="eastAsia" w:ascii="宋体" w:hAnsi="宋体" w:eastAsia="宋体" w:cs="宋体"/>
          <w:color w:val="auto"/>
          <w:kern w:val="0"/>
          <w:sz w:val="24"/>
          <w:highlight w:val="none"/>
          <w:lang w:val="zh-CN"/>
        </w:rPr>
        <w:t>投标人名称（电子签章）</w:t>
      </w:r>
      <w:r>
        <w:rPr>
          <w:rFonts w:hint="eastAsia" w:ascii="宋体" w:hAnsi="宋体" w:cs="宋体"/>
          <w:color w:val="auto"/>
          <w:kern w:val="0"/>
          <w:sz w:val="24"/>
          <w:highlight w:val="none"/>
        </w:rPr>
        <w:t>：</w:t>
      </w:r>
    </w:p>
    <w:p w14:paraId="267C6ACC">
      <w:pPr>
        <w:autoSpaceDE w:val="0"/>
        <w:autoSpaceDN w:val="0"/>
        <w:spacing w:line="360" w:lineRule="auto"/>
        <w:ind w:firstLine="6300" w:firstLineChars="2625"/>
        <w:rPr>
          <w:rFonts w:hint="eastAsia"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67F47C44">
      <w:pPr>
        <w:widowControl/>
        <w:jc w:val="left"/>
        <w:rPr>
          <w:rFonts w:hint="eastAsia" w:ascii="宋体" w:hAnsi="宋体" w:cs="宋体"/>
          <w:color w:val="auto"/>
          <w:sz w:val="32"/>
          <w:szCs w:val="32"/>
          <w:highlight w:val="none"/>
        </w:rPr>
        <w:sectPr>
          <w:pgSz w:w="11910" w:h="16840"/>
          <w:pgMar w:top="1134" w:right="1417" w:bottom="1134" w:left="1474" w:header="720" w:footer="720" w:gutter="0"/>
          <w:cols w:space="720" w:num="1"/>
        </w:sectPr>
      </w:pPr>
    </w:p>
    <w:p w14:paraId="7873A0F4">
      <w:pPr>
        <w:rPr>
          <w:rFonts w:hint="eastAsia" w:ascii="宋体" w:hAnsi="宋体" w:cs="宋体"/>
          <w:b/>
          <w:color w:val="auto"/>
          <w:szCs w:val="21"/>
          <w:highlight w:val="none"/>
        </w:rPr>
      </w:pPr>
      <w:r>
        <w:rPr>
          <w:rFonts w:hint="eastAsia" w:ascii="宋体" w:hAnsi="宋体" w:cs="宋体"/>
          <w:b/>
          <w:color w:val="auto"/>
          <w:szCs w:val="21"/>
          <w:highlight w:val="none"/>
        </w:rPr>
        <w:t>附件五：计划开工日期、完工日期和施工进度网络图（或横道图）</w:t>
      </w:r>
      <w:bookmarkEnd w:id="1579"/>
      <w:bookmarkEnd w:id="1580"/>
      <w:bookmarkEnd w:id="1581"/>
    </w:p>
    <w:p w14:paraId="0FA1727F">
      <w:pPr>
        <w:rPr>
          <w:rFonts w:hint="eastAsia" w:ascii="宋体" w:hAnsi="宋体" w:cs="宋体"/>
          <w:color w:val="auto"/>
          <w:sz w:val="20"/>
          <w:szCs w:val="20"/>
          <w:highlight w:val="none"/>
        </w:rPr>
      </w:pPr>
    </w:p>
    <w:p w14:paraId="61BE11E0">
      <w:pPr>
        <w:jc w:val="center"/>
        <w:rPr>
          <w:rFonts w:hint="eastAsia" w:ascii="宋体" w:hAnsi="宋体" w:cs="宋体"/>
          <w:b/>
          <w:color w:val="auto"/>
          <w:szCs w:val="21"/>
          <w:highlight w:val="none"/>
        </w:rPr>
      </w:pPr>
      <w:bookmarkStart w:id="1582" w:name="_Toc24573"/>
      <w:bookmarkStart w:id="1583" w:name="bookmark2252"/>
      <w:bookmarkStart w:id="1584" w:name="_Toc2597"/>
      <w:bookmarkStart w:id="1585" w:name="bookmark2254"/>
      <w:bookmarkStart w:id="1586" w:name="bookmark2253"/>
      <w:r>
        <w:rPr>
          <w:rFonts w:hint="eastAsia" w:ascii="宋体" w:hAnsi="宋体" w:cs="宋体"/>
          <w:b/>
          <w:color w:val="auto"/>
          <w:szCs w:val="21"/>
          <w:highlight w:val="none"/>
        </w:rPr>
        <w:t>计划开工日期、完工日期和施工进度网络图（或横道图）</w:t>
      </w:r>
      <w:bookmarkEnd w:id="1582"/>
      <w:bookmarkEnd w:id="1583"/>
      <w:bookmarkEnd w:id="1584"/>
      <w:bookmarkEnd w:id="1585"/>
      <w:bookmarkEnd w:id="1586"/>
    </w:p>
    <w:p w14:paraId="0E40CD8A">
      <w:pPr>
        <w:jc w:val="center"/>
        <w:rPr>
          <w:rFonts w:hint="eastAsia" w:ascii="宋体" w:hAnsi="宋体" w:cs="宋体"/>
          <w:b/>
          <w:color w:val="auto"/>
          <w:szCs w:val="21"/>
          <w:highlight w:val="none"/>
        </w:rPr>
      </w:pPr>
    </w:p>
    <w:p w14:paraId="09525842">
      <w:pPr>
        <w:pStyle w:val="38"/>
        <w:numPr>
          <w:ilvl w:val="0"/>
          <w:numId w:val="7"/>
        </w:numPr>
        <w:tabs>
          <w:tab w:val="left" w:pos="747"/>
        </w:tabs>
        <w:spacing w:line="343" w:lineRule="exact"/>
        <w:ind w:firstLine="420"/>
        <w:rPr>
          <w:rFonts w:hint="eastAsia"/>
          <w:color w:val="auto"/>
          <w:sz w:val="21"/>
          <w:szCs w:val="21"/>
          <w:highlight w:val="none"/>
        </w:rPr>
      </w:pPr>
      <w:bookmarkStart w:id="1587" w:name="bookmark2255"/>
      <w:bookmarkEnd w:id="1587"/>
      <w:r>
        <w:rPr>
          <w:rFonts w:hint="eastAsia"/>
          <w:color w:val="auto"/>
          <w:sz w:val="21"/>
          <w:szCs w:val="21"/>
          <w:highlight w:val="none"/>
        </w:rPr>
        <w:t>投标人应递交施工进度网络图或施工进度表，说明按招标文件要求的计划工期进行施工的各个关键日期。</w:t>
      </w:r>
    </w:p>
    <w:p w14:paraId="1D9159DD">
      <w:pPr>
        <w:pStyle w:val="38"/>
        <w:numPr>
          <w:ilvl w:val="0"/>
          <w:numId w:val="7"/>
        </w:numPr>
        <w:tabs>
          <w:tab w:val="left" w:pos="754"/>
        </w:tabs>
        <w:ind w:firstLine="420"/>
        <w:rPr>
          <w:rFonts w:hint="eastAsia"/>
          <w:color w:val="auto"/>
          <w:sz w:val="21"/>
          <w:szCs w:val="21"/>
          <w:highlight w:val="none"/>
        </w:rPr>
      </w:pPr>
      <w:bookmarkStart w:id="1588" w:name="bookmark2256"/>
      <w:bookmarkEnd w:id="1588"/>
      <w:r>
        <w:rPr>
          <w:rFonts w:hint="eastAsia"/>
          <w:color w:val="auto"/>
          <w:sz w:val="21"/>
          <w:szCs w:val="21"/>
          <w:highlight w:val="none"/>
        </w:rPr>
        <w:t>施工进度表可采用网络图（或横道图）表示。</w:t>
      </w:r>
    </w:p>
    <w:p w14:paraId="67A727C7">
      <w:pPr>
        <w:rPr>
          <w:rFonts w:hint="eastAsia" w:ascii="宋体" w:hAnsi="宋体" w:eastAsia="宋体" w:cs="宋体"/>
          <w:b/>
          <w:bCs w:val="0"/>
          <w:color w:val="auto"/>
          <w:szCs w:val="21"/>
          <w:highlight w:val="none"/>
          <w:lang w:val="en-US" w:eastAsia="zh-CN"/>
        </w:rPr>
      </w:pPr>
      <w:bookmarkStart w:id="1589" w:name="bookmark2258"/>
      <w:bookmarkStart w:id="1590" w:name="bookmark2257"/>
      <w:bookmarkStart w:id="1591" w:name="bookmark2259"/>
      <w:r>
        <w:rPr>
          <w:rFonts w:hint="eastAsia" w:ascii="宋体" w:hAnsi="宋体" w:cs="宋体"/>
          <w:b/>
          <w:color w:val="auto"/>
          <w:szCs w:val="21"/>
          <w:highlight w:val="none"/>
        </w:rPr>
        <w:t>附件六：施工总平</w:t>
      </w:r>
      <w:r>
        <w:rPr>
          <w:rFonts w:hint="eastAsia" w:ascii="宋体" w:hAnsi="宋体" w:cs="宋体"/>
          <w:b/>
          <w:bCs w:val="0"/>
          <w:color w:val="auto"/>
          <w:szCs w:val="21"/>
          <w:highlight w:val="none"/>
        </w:rPr>
        <w:t>面图</w:t>
      </w:r>
      <w:bookmarkEnd w:id="1589"/>
      <w:bookmarkEnd w:id="1590"/>
      <w:bookmarkEnd w:id="1591"/>
    </w:p>
    <w:p w14:paraId="1F641FCB">
      <w:pPr>
        <w:jc w:val="center"/>
        <w:rPr>
          <w:rFonts w:hint="eastAsia" w:ascii="宋体" w:hAnsi="宋体" w:cs="宋体"/>
          <w:b/>
          <w:color w:val="auto"/>
          <w:szCs w:val="21"/>
          <w:highlight w:val="none"/>
        </w:rPr>
      </w:pPr>
      <w:bookmarkStart w:id="1592" w:name="bookmark2260"/>
      <w:bookmarkStart w:id="1593" w:name="_Toc768"/>
      <w:bookmarkStart w:id="1594" w:name="bookmark2262"/>
      <w:bookmarkStart w:id="1595" w:name="bookmark2261"/>
      <w:bookmarkStart w:id="1596" w:name="_Toc30163"/>
    </w:p>
    <w:p w14:paraId="0B2F88F6">
      <w:pPr>
        <w:jc w:val="center"/>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rPr>
        <w:t>施工总平</w:t>
      </w:r>
      <w:r>
        <w:rPr>
          <w:rFonts w:hint="eastAsia" w:ascii="宋体" w:hAnsi="宋体" w:cs="宋体"/>
          <w:b/>
          <w:bCs w:val="0"/>
          <w:color w:val="auto"/>
          <w:szCs w:val="21"/>
          <w:highlight w:val="none"/>
        </w:rPr>
        <w:t>面图</w:t>
      </w:r>
      <w:bookmarkEnd w:id="1592"/>
      <w:bookmarkEnd w:id="1593"/>
      <w:bookmarkEnd w:id="1594"/>
      <w:bookmarkEnd w:id="1595"/>
      <w:bookmarkEnd w:id="1596"/>
    </w:p>
    <w:p w14:paraId="7544DF1A">
      <w:pPr>
        <w:jc w:val="center"/>
        <w:rPr>
          <w:rFonts w:hint="eastAsia" w:ascii="宋体" w:hAnsi="宋体" w:cs="宋体"/>
          <w:b/>
          <w:color w:val="auto"/>
          <w:szCs w:val="21"/>
          <w:highlight w:val="none"/>
        </w:rPr>
      </w:pPr>
    </w:p>
    <w:p w14:paraId="1082B883">
      <w:pPr>
        <w:pStyle w:val="38"/>
        <w:spacing w:line="520" w:lineRule="exact"/>
        <w:ind w:firstLine="420" w:firstLineChars="200"/>
        <w:rPr>
          <w:rFonts w:hint="eastAsia"/>
          <w:color w:val="auto"/>
          <w:sz w:val="21"/>
          <w:szCs w:val="21"/>
          <w:highlight w:val="none"/>
        </w:rPr>
      </w:pPr>
      <w:r>
        <w:rPr>
          <w:rFonts w:hint="eastAsia"/>
          <w:color w:val="auto"/>
          <w:sz w:val="21"/>
          <w:szCs w:val="21"/>
          <w:highlight w:val="none"/>
        </w:rPr>
        <w:t>投标人应递交一份施工总平面图，绘出现场临时设施布置图</w:t>
      </w:r>
      <w:r>
        <w:rPr>
          <w:rFonts w:hint="eastAsia"/>
          <w:color w:val="auto"/>
          <w:sz w:val="21"/>
          <w:szCs w:val="21"/>
          <w:highlight w:val="none"/>
          <w:lang w:val="en-US" w:eastAsia="zh-CN"/>
        </w:rPr>
        <w:t>和工程效果图及工程施工再深化图，</w:t>
      </w:r>
      <w:r>
        <w:rPr>
          <w:rFonts w:hint="eastAsia"/>
          <w:color w:val="auto"/>
          <w:sz w:val="21"/>
          <w:szCs w:val="21"/>
          <w:highlight w:val="none"/>
        </w:rPr>
        <w:t>并附文字说明。</w:t>
      </w:r>
    </w:p>
    <w:p w14:paraId="36C4D216">
      <w:pPr>
        <w:rPr>
          <w:rFonts w:hint="eastAsia" w:ascii="宋体" w:hAnsi="宋体" w:cs="宋体"/>
          <w:b/>
          <w:color w:val="auto"/>
          <w:szCs w:val="21"/>
          <w:highlight w:val="none"/>
        </w:rPr>
      </w:pPr>
      <w:bookmarkStart w:id="1597" w:name="bookmark2264"/>
      <w:bookmarkStart w:id="1598" w:name="bookmark2263"/>
      <w:bookmarkStart w:id="1599" w:name="bookmark2265"/>
    </w:p>
    <w:p w14:paraId="4F3AD72E">
      <w:pPr>
        <w:rPr>
          <w:rFonts w:hint="eastAsia" w:ascii="宋体" w:hAnsi="宋体" w:cs="宋体"/>
          <w:b/>
          <w:color w:val="auto"/>
          <w:szCs w:val="21"/>
          <w:highlight w:val="none"/>
        </w:rPr>
      </w:pPr>
      <w:r>
        <w:rPr>
          <w:rFonts w:hint="eastAsia" w:ascii="宋体" w:hAnsi="宋体" w:cs="宋体"/>
          <w:b/>
          <w:color w:val="auto"/>
          <w:szCs w:val="21"/>
          <w:highlight w:val="none"/>
        </w:rPr>
        <w:t>附件七：临时用地表</w:t>
      </w:r>
      <w:bookmarkEnd w:id="1597"/>
      <w:bookmarkEnd w:id="1598"/>
      <w:bookmarkEnd w:id="1599"/>
    </w:p>
    <w:p w14:paraId="6D56A1F6">
      <w:pPr>
        <w:jc w:val="center"/>
        <w:rPr>
          <w:rFonts w:hint="eastAsia" w:ascii="宋体" w:hAnsi="宋体" w:cs="宋体"/>
          <w:b/>
          <w:color w:val="auto"/>
          <w:szCs w:val="21"/>
          <w:highlight w:val="none"/>
        </w:rPr>
      </w:pPr>
      <w:bookmarkStart w:id="1600" w:name="bookmark2267"/>
      <w:bookmarkStart w:id="1601" w:name="bookmark2268"/>
      <w:bookmarkStart w:id="1602" w:name="bookmark2266"/>
      <w:bookmarkStart w:id="1603" w:name="_Toc3522"/>
      <w:bookmarkStart w:id="1604" w:name="_Toc31330"/>
      <w:r>
        <w:rPr>
          <w:rFonts w:hint="eastAsia" w:ascii="宋体" w:hAnsi="宋体" w:cs="宋体"/>
          <w:b/>
          <w:color w:val="auto"/>
          <w:szCs w:val="21"/>
          <w:highlight w:val="none"/>
        </w:rPr>
        <w:t>临时用地表</w:t>
      </w:r>
      <w:bookmarkEnd w:id="1600"/>
      <w:bookmarkEnd w:id="1601"/>
      <w:bookmarkEnd w:id="1602"/>
      <w:bookmarkEnd w:id="1603"/>
      <w:bookmarkEnd w:id="1604"/>
    </w:p>
    <w:p w14:paraId="1196780A">
      <w:pPr>
        <w:jc w:val="center"/>
        <w:rPr>
          <w:rFonts w:hint="eastAsia" w:ascii="宋体" w:hAnsi="宋体" w:cs="宋体"/>
          <w:b/>
          <w:color w:val="auto"/>
          <w:highlight w:val="none"/>
        </w:rPr>
      </w:pPr>
    </w:p>
    <w:tbl>
      <w:tblPr>
        <w:tblStyle w:val="20"/>
        <w:tblW w:w="8352"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 w:type="dxa"/>
          <w:bottom w:w="0" w:type="dxa"/>
          <w:right w:w="10" w:type="dxa"/>
        </w:tblCellMar>
      </w:tblPr>
      <w:tblGrid>
        <w:gridCol w:w="2093"/>
        <w:gridCol w:w="2083"/>
        <w:gridCol w:w="2083"/>
        <w:gridCol w:w="2093"/>
      </w:tblGrid>
      <w:tr w14:paraId="17B7D66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76" w:hRule="exact"/>
          <w:jc w:val="center"/>
        </w:trPr>
        <w:tc>
          <w:tcPr>
            <w:tcW w:w="2093" w:type="dxa"/>
            <w:shd w:val="clear" w:color="auto" w:fill="FFFFFF"/>
            <w:noWrap w:val="0"/>
            <w:vAlign w:val="center"/>
          </w:tcPr>
          <w:p w14:paraId="03B2447F">
            <w:pPr>
              <w:pStyle w:val="39"/>
              <w:spacing w:line="240" w:lineRule="auto"/>
              <w:jc w:val="center"/>
              <w:rPr>
                <w:rFonts w:hint="eastAsia"/>
                <w:color w:val="auto"/>
                <w:sz w:val="21"/>
                <w:szCs w:val="21"/>
                <w:highlight w:val="none"/>
              </w:rPr>
            </w:pPr>
            <w:r>
              <w:rPr>
                <w:rFonts w:hint="eastAsia"/>
                <w:color w:val="auto"/>
                <w:sz w:val="21"/>
                <w:szCs w:val="21"/>
                <w:highlight w:val="none"/>
              </w:rPr>
              <w:t>用途</w:t>
            </w:r>
          </w:p>
        </w:tc>
        <w:tc>
          <w:tcPr>
            <w:tcW w:w="2083" w:type="dxa"/>
            <w:tcBorders>
              <w:left w:val="single" w:color="auto" w:sz="4" w:space="0"/>
            </w:tcBorders>
            <w:shd w:val="clear" w:color="auto" w:fill="FFFFFF"/>
            <w:noWrap w:val="0"/>
            <w:vAlign w:val="center"/>
          </w:tcPr>
          <w:p w14:paraId="27D84CD2">
            <w:pPr>
              <w:pStyle w:val="39"/>
              <w:spacing w:line="240" w:lineRule="auto"/>
              <w:jc w:val="center"/>
              <w:rPr>
                <w:rFonts w:hint="eastAsia"/>
                <w:color w:val="auto"/>
                <w:sz w:val="21"/>
                <w:szCs w:val="21"/>
                <w:highlight w:val="none"/>
              </w:rPr>
            </w:pPr>
            <w:r>
              <w:rPr>
                <w:rFonts w:hint="eastAsia"/>
                <w:color w:val="auto"/>
                <w:sz w:val="21"/>
                <w:szCs w:val="21"/>
                <w:highlight w:val="none"/>
              </w:rPr>
              <w:t>面积（</w:t>
            </w:r>
            <w:r>
              <w:rPr>
                <w:rFonts w:hint="eastAsia"/>
                <w:color w:val="auto"/>
                <w:sz w:val="21"/>
                <w:szCs w:val="21"/>
                <w:highlight w:val="none"/>
                <w:lang w:bidi="en-US"/>
              </w:rPr>
              <w:t>m</w:t>
            </w:r>
            <w:r>
              <w:rPr>
                <w:rFonts w:hint="eastAsia"/>
                <w:color w:val="auto"/>
                <w:sz w:val="21"/>
                <w:szCs w:val="21"/>
                <w:highlight w:val="none"/>
                <w:vertAlign w:val="superscript"/>
                <w:lang w:bidi="en-US"/>
              </w:rPr>
              <w:t>2</w:t>
            </w:r>
            <w:r>
              <w:rPr>
                <w:rFonts w:hint="eastAsia"/>
                <w:color w:val="auto"/>
                <w:sz w:val="21"/>
                <w:szCs w:val="21"/>
                <w:highlight w:val="none"/>
              </w:rPr>
              <w:t>）</w:t>
            </w:r>
          </w:p>
        </w:tc>
        <w:tc>
          <w:tcPr>
            <w:tcW w:w="2083" w:type="dxa"/>
            <w:tcBorders>
              <w:left w:val="single" w:color="auto" w:sz="4" w:space="0"/>
            </w:tcBorders>
            <w:shd w:val="clear" w:color="auto" w:fill="FFFFFF"/>
            <w:noWrap w:val="0"/>
            <w:vAlign w:val="center"/>
          </w:tcPr>
          <w:p w14:paraId="5FCF1090">
            <w:pPr>
              <w:pStyle w:val="39"/>
              <w:spacing w:line="240" w:lineRule="auto"/>
              <w:jc w:val="center"/>
              <w:rPr>
                <w:rFonts w:hint="eastAsia"/>
                <w:color w:val="auto"/>
                <w:sz w:val="21"/>
                <w:szCs w:val="21"/>
                <w:highlight w:val="none"/>
              </w:rPr>
            </w:pPr>
            <w:r>
              <w:rPr>
                <w:rFonts w:hint="eastAsia"/>
                <w:color w:val="auto"/>
                <w:sz w:val="21"/>
                <w:szCs w:val="21"/>
                <w:highlight w:val="none"/>
              </w:rPr>
              <w:t>位置</w:t>
            </w:r>
          </w:p>
        </w:tc>
        <w:tc>
          <w:tcPr>
            <w:tcW w:w="2093" w:type="dxa"/>
            <w:tcBorders>
              <w:left w:val="single" w:color="auto" w:sz="4" w:space="0"/>
            </w:tcBorders>
            <w:shd w:val="clear" w:color="auto" w:fill="FFFFFF"/>
            <w:noWrap w:val="0"/>
            <w:vAlign w:val="center"/>
          </w:tcPr>
          <w:p w14:paraId="3FCAD3C7">
            <w:pPr>
              <w:pStyle w:val="39"/>
              <w:spacing w:line="240" w:lineRule="auto"/>
              <w:jc w:val="center"/>
              <w:rPr>
                <w:rFonts w:hint="eastAsia"/>
                <w:color w:val="auto"/>
                <w:sz w:val="21"/>
                <w:szCs w:val="21"/>
                <w:highlight w:val="none"/>
              </w:rPr>
            </w:pPr>
            <w:r>
              <w:rPr>
                <w:rFonts w:hint="eastAsia"/>
                <w:color w:val="auto"/>
                <w:sz w:val="21"/>
                <w:szCs w:val="21"/>
                <w:highlight w:val="none"/>
              </w:rPr>
              <w:t>需用时间</w:t>
            </w:r>
          </w:p>
        </w:tc>
      </w:tr>
      <w:tr w14:paraId="72E2D92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66" w:hRule="exact"/>
          <w:jc w:val="center"/>
        </w:trPr>
        <w:tc>
          <w:tcPr>
            <w:tcW w:w="2093" w:type="dxa"/>
            <w:tcBorders>
              <w:top w:val="single" w:color="auto" w:sz="4" w:space="0"/>
            </w:tcBorders>
            <w:shd w:val="clear" w:color="auto" w:fill="FFFFFF"/>
            <w:noWrap w:val="0"/>
            <w:vAlign w:val="top"/>
          </w:tcPr>
          <w:p w14:paraId="704C6D0F">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1D281F68">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1F41D038">
            <w:pPr>
              <w:rPr>
                <w:rFonts w:hint="eastAsia" w:ascii="宋体" w:hAnsi="宋体" w:cs="宋体"/>
                <w:color w:val="auto"/>
                <w:sz w:val="21"/>
                <w:szCs w:val="21"/>
                <w:highlight w:val="none"/>
              </w:rPr>
            </w:pPr>
          </w:p>
        </w:tc>
        <w:tc>
          <w:tcPr>
            <w:tcW w:w="2093" w:type="dxa"/>
            <w:tcBorders>
              <w:top w:val="single" w:color="auto" w:sz="4" w:space="0"/>
              <w:left w:val="single" w:color="auto" w:sz="4" w:space="0"/>
            </w:tcBorders>
            <w:shd w:val="clear" w:color="auto" w:fill="FFFFFF"/>
            <w:noWrap w:val="0"/>
            <w:vAlign w:val="top"/>
          </w:tcPr>
          <w:p w14:paraId="385C1487">
            <w:pPr>
              <w:rPr>
                <w:rFonts w:hint="eastAsia" w:ascii="宋体" w:hAnsi="宋体" w:cs="宋体"/>
                <w:color w:val="auto"/>
                <w:sz w:val="21"/>
                <w:szCs w:val="21"/>
                <w:highlight w:val="none"/>
              </w:rPr>
            </w:pPr>
          </w:p>
        </w:tc>
      </w:tr>
      <w:tr w14:paraId="04485F5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66" w:hRule="exact"/>
          <w:jc w:val="center"/>
        </w:trPr>
        <w:tc>
          <w:tcPr>
            <w:tcW w:w="2093" w:type="dxa"/>
            <w:tcBorders>
              <w:top w:val="single" w:color="auto" w:sz="4" w:space="0"/>
            </w:tcBorders>
            <w:shd w:val="clear" w:color="auto" w:fill="FFFFFF"/>
            <w:noWrap w:val="0"/>
            <w:vAlign w:val="top"/>
          </w:tcPr>
          <w:p w14:paraId="2F096A13">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1C3FD932">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1C4246F5">
            <w:pPr>
              <w:rPr>
                <w:rFonts w:hint="eastAsia" w:ascii="宋体" w:hAnsi="宋体" w:cs="宋体"/>
                <w:color w:val="auto"/>
                <w:sz w:val="21"/>
                <w:szCs w:val="21"/>
                <w:highlight w:val="none"/>
              </w:rPr>
            </w:pPr>
          </w:p>
        </w:tc>
        <w:tc>
          <w:tcPr>
            <w:tcW w:w="2093" w:type="dxa"/>
            <w:tcBorders>
              <w:top w:val="single" w:color="auto" w:sz="4" w:space="0"/>
              <w:left w:val="single" w:color="auto" w:sz="4" w:space="0"/>
            </w:tcBorders>
            <w:shd w:val="clear" w:color="auto" w:fill="FFFFFF"/>
            <w:noWrap w:val="0"/>
            <w:vAlign w:val="top"/>
          </w:tcPr>
          <w:p w14:paraId="3805EFD9">
            <w:pPr>
              <w:rPr>
                <w:rFonts w:hint="eastAsia" w:ascii="宋体" w:hAnsi="宋体" w:cs="宋体"/>
                <w:color w:val="auto"/>
                <w:sz w:val="21"/>
                <w:szCs w:val="21"/>
                <w:highlight w:val="none"/>
              </w:rPr>
            </w:pPr>
          </w:p>
        </w:tc>
      </w:tr>
      <w:tr w14:paraId="72FAE7C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66" w:hRule="exact"/>
          <w:jc w:val="center"/>
        </w:trPr>
        <w:tc>
          <w:tcPr>
            <w:tcW w:w="2093" w:type="dxa"/>
            <w:tcBorders>
              <w:top w:val="single" w:color="auto" w:sz="4" w:space="0"/>
            </w:tcBorders>
            <w:shd w:val="clear" w:color="auto" w:fill="FFFFFF"/>
            <w:noWrap w:val="0"/>
            <w:vAlign w:val="top"/>
          </w:tcPr>
          <w:p w14:paraId="05B89E42">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58C6A445">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611DB023">
            <w:pPr>
              <w:rPr>
                <w:rFonts w:hint="eastAsia" w:ascii="宋体" w:hAnsi="宋体" w:cs="宋体"/>
                <w:color w:val="auto"/>
                <w:sz w:val="21"/>
                <w:szCs w:val="21"/>
                <w:highlight w:val="none"/>
              </w:rPr>
            </w:pPr>
          </w:p>
        </w:tc>
        <w:tc>
          <w:tcPr>
            <w:tcW w:w="2093" w:type="dxa"/>
            <w:tcBorders>
              <w:top w:val="single" w:color="auto" w:sz="4" w:space="0"/>
              <w:left w:val="single" w:color="auto" w:sz="4" w:space="0"/>
            </w:tcBorders>
            <w:shd w:val="clear" w:color="auto" w:fill="FFFFFF"/>
            <w:noWrap w:val="0"/>
            <w:vAlign w:val="top"/>
          </w:tcPr>
          <w:p w14:paraId="0C943D0E">
            <w:pPr>
              <w:rPr>
                <w:rFonts w:hint="eastAsia" w:ascii="宋体" w:hAnsi="宋体" w:cs="宋体"/>
                <w:color w:val="auto"/>
                <w:sz w:val="21"/>
                <w:szCs w:val="21"/>
                <w:highlight w:val="none"/>
              </w:rPr>
            </w:pPr>
          </w:p>
        </w:tc>
      </w:tr>
      <w:tr w14:paraId="60B014E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66" w:hRule="exact"/>
          <w:jc w:val="center"/>
        </w:trPr>
        <w:tc>
          <w:tcPr>
            <w:tcW w:w="2093" w:type="dxa"/>
            <w:tcBorders>
              <w:top w:val="single" w:color="auto" w:sz="4" w:space="0"/>
            </w:tcBorders>
            <w:shd w:val="clear" w:color="auto" w:fill="FFFFFF"/>
            <w:noWrap w:val="0"/>
            <w:vAlign w:val="top"/>
          </w:tcPr>
          <w:p w14:paraId="70006B62">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07D27165">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6F5278A4">
            <w:pPr>
              <w:rPr>
                <w:rFonts w:hint="eastAsia" w:ascii="宋体" w:hAnsi="宋体" w:cs="宋体"/>
                <w:color w:val="auto"/>
                <w:sz w:val="21"/>
                <w:szCs w:val="21"/>
                <w:highlight w:val="none"/>
              </w:rPr>
            </w:pPr>
          </w:p>
        </w:tc>
        <w:tc>
          <w:tcPr>
            <w:tcW w:w="2093" w:type="dxa"/>
            <w:tcBorders>
              <w:top w:val="single" w:color="auto" w:sz="4" w:space="0"/>
              <w:left w:val="single" w:color="auto" w:sz="4" w:space="0"/>
            </w:tcBorders>
            <w:shd w:val="clear" w:color="auto" w:fill="FFFFFF"/>
            <w:noWrap w:val="0"/>
            <w:vAlign w:val="top"/>
          </w:tcPr>
          <w:p w14:paraId="33EF7D08">
            <w:pPr>
              <w:rPr>
                <w:rFonts w:hint="eastAsia" w:ascii="宋体" w:hAnsi="宋体" w:cs="宋体"/>
                <w:color w:val="auto"/>
                <w:sz w:val="21"/>
                <w:szCs w:val="21"/>
                <w:highlight w:val="none"/>
              </w:rPr>
            </w:pPr>
          </w:p>
        </w:tc>
      </w:tr>
      <w:tr w14:paraId="377347D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66" w:hRule="exact"/>
          <w:jc w:val="center"/>
        </w:trPr>
        <w:tc>
          <w:tcPr>
            <w:tcW w:w="2093" w:type="dxa"/>
            <w:tcBorders>
              <w:top w:val="single" w:color="auto" w:sz="4" w:space="0"/>
            </w:tcBorders>
            <w:shd w:val="clear" w:color="auto" w:fill="FFFFFF"/>
            <w:noWrap w:val="0"/>
            <w:vAlign w:val="top"/>
          </w:tcPr>
          <w:p w14:paraId="1CFC4EFC">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49971D98">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1F5BB4CF">
            <w:pPr>
              <w:rPr>
                <w:rFonts w:hint="eastAsia" w:ascii="宋体" w:hAnsi="宋体" w:cs="宋体"/>
                <w:color w:val="auto"/>
                <w:sz w:val="21"/>
                <w:szCs w:val="21"/>
                <w:highlight w:val="none"/>
              </w:rPr>
            </w:pPr>
          </w:p>
        </w:tc>
        <w:tc>
          <w:tcPr>
            <w:tcW w:w="2093" w:type="dxa"/>
            <w:tcBorders>
              <w:top w:val="single" w:color="auto" w:sz="4" w:space="0"/>
              <w:left w:val="single" w:color="auto" w:sz="4" w:space="0"/>
            </w:tcBorders>
            <w:shd w:val="clear" w:color="auto" w:fill="FFFFFF"/>
            <w:noWrap w:val="0"/>
            <w:vAlign w:val="top"/>
          </w:tcPr>
          <w:p w14:paraId="2D0335AD">
            <w:pPr>
              <w:rPr>
                <w:rFonts w:hint="eastAsia" w:ascii="宋体" w:hAnsi="宋体" w:cs="宋体"/>
                <w:color w:val="auto"/>
                <w:sz w:val="21"/>
                <w:szCs w:val="21"/>
                <w:highlight w:val="none"/>
              </w:rPr>
            </w:pPr>
          </w:p>
        </w:tc>
      </w:tr>
      <w:tr w14:paraId="29DC1F6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66" w:hRule="exact"/>
          <w:jc w:val="center"/>
        </w:trPr>
        <w:tc>
          <w:tcPr>
            <w:tcW w:w="2093" w:type="dxa"/>
            <w:tcBorders>
              <w:top w:val="single" w:color="auto" w:sz="4" w:space="0"/>
            </w:tcBorders>
            <w:shd w:val="clear" w:color="auto" w:fill="FFFFFF"/>
            <w:noWrap w:val="0"/>
            <w:vAlign w:val="top"/>
          </w:tcPr>
          <w:p w14:paraId="0A681F25">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6520A6DC">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34385122">
            <w:pPr>
              <w:rPr>
                <w:rFonts w:hint="eastAsia" w:ascii="宋体" w:hAnsi="宋体" w:cs="宋体"/>
                <w:color w:val="auto"/>
                <w:sz w:val="21"/>
                <w:szCs w:val="21"/>
                <w:highlight w:val="none"/>
              </w:rPr>
            </w:pPr>
          </w:p>
        </w:tc>
        <w:tc>
          <w:tcPr>
            <w:tcW w:w="2093" w:type="dxa"/>
            <w:tcBorders>
              <w:top w:val="single" w:color="auto" w:sz="4" w:space="0"/>
              <w:left w:val="single" w:color="auto" w:sz="4" w:space="0"/>
            </w:tcBorders>
            <w:shd w:val="clear" w:color="auto" w:fill="FFFFFF"/>
            <w:noWrap w:val="0"/>
            <w:vAlign w:val="top"/>
          </w:tcPr>
          <w:p w14:paraId="14D2019B">
            <w:pPr>
              <w:rPr>
                <w:rFonts w:hint="eastAsia" w:ascii="宋体" w:hAnsi="宋体" w:cs="宋体"/>
                <w:color w:val="auto"/>
                <w:sz w:val="21"/>
                <w:szCs w:val="21"/>
                <w:highlight w:val="none"/>
              </w:rPr>
            </w:pPr>
          </w:p>
        </w:tc>
      </w:tr>
      <w:tr w14:paraId="2C58B0A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66" w:hRule="exact"/>
          <w:jc w:val="center"/>
        </w:trPr>
        <w:tc>
          <w:tcPr>
            <w:tcW w:w="2093" w:type="dxa"/>
            <w:tcBorders>
              <w:top w:val="single" w:color="auto" w:sz="4" w:space="0"/>
            </w:tcBorders>
            <w:shd w:val="clear" w:color="auto" w:fill="FFFFFF"/>
            <w:noWrap w:val="0"/>
            <w:vAlign w:val="top"/>
          </w:tcPr>
          <w:p w14:paraId="1A55DC3E">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31C896FA">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50048B2D">
            <w:pPr>
              <w:rPr>
                <w:rFonts w:hint="eastAsia" w:ascii="宋体" w:hAnsi="宋体" w:cs="宋体"/>
                <w:color w:val="auto"/>
                <w:sz w:val="21"/>
                <w:szCs w:val="21"/>
                <w:highlight w:val="none"/>
              </w:rPr>
            </w:pPr>
          </w:p>
        </w:tc>
        <w:tc>
          <w:tcPr>
            <w:tcW w:w="2093" w:type="dxa"/>
            <w:tcBorders>
              <w:top w:val="single" w:color="auto" w:sz="4" w:space="0"/>
              <w:left w:val="single" w:color="auto" w:sz="4" w:space="0"/>
            </w:tcBorders>
            <w:shd w:val="clear" w:color="auto" w:fill="FFFFFF"/>
            <w:noWrap w:val="0"/>
            <w:vAlign w:val="top"/>
          </w:tcPr>
          <w:p w14:paraId="29CB9FA4">
            <w:pPr>
              <w:rPr>
                <w:rFonts w:hint="eastAsia" w:ascii="宋体" w:hAnsi="宋体" w:cs="宋体"/>
                <w:color w:val="auto"/>
                <w:sz w:val="21"/>
                <w:szCs w:val="21"/>
                <w:highlight w:val="none"/>
              </w:rPr>
            </w:pPr>
          </w:p>
        </w:tc>
      </w:tr>
      <w:tr w14:paraId="341BDEA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71" w:hRule="exact"/>
          <w:jc w:val="center"/>
        </w:trPr>
        <w:tc>
          <w:tcPr>
            <w:tcW w:w="2093" w:type="dxa"/>
            <w:tcBorders>
              <w:top w:val="single" w:color="auto" w:sz="4" w:space="0"/>
            </w:tcBorders>
            <w:shd w:val="clear" w:color="auto" w:fill="FFFFFF"/>
            <w:noWrap w:val="0"/>
            <w:vAlign w:val="top"/>
          </w:tcPr>
          <w:p w14:paraId="6858181C">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2D5BC8F4">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6D373473">
            <w:pPr>
              <w:rPr>
                <w:rFonts w:hint="eastAsia" w:ascii="宋体" w:hAnsi="宋体" w:cs="宋体"/>
                <w:color w:val="auto"/>
                <w:sz w:val="21"/>
                <w:szCs w:val="21"/>
                <w:highlight w:val="none"/>
              </w:rPr>
            </w:pPr>
          </w:p>
        </w:tc>
        <w:tc>
          <w:tcPr>
            <w:tcW w:w="2093" w:type="dxa"/>
            <w:tcBorders>
              <w:top w:val="single" w:color="auto" w:sz="4" w:space="0"/>
              <w:left w:val="single" w:color="auto" w:sz="4" w:space="0"/>
            </w:tcBorders>
            <w:shd w:val="clear" w:color="auto" w:fill="FFFFFF"/>
            <w:noWrap w:val="0"/>
            <w:vAlign w:val="top"/>
          </w:tcPr>
          <w:p w14:paraId="6EAD22F7">
            <w:pPr>
              <w:rPr>
                <w:rFonts w:hint="eastAsia" w:ascii="宋体" w:hAnsi="宋体" w:cs="宋体"/>
                <w:color w:val="auto"/>
                <w:sz w:val="21"/>
                <w:szCs w:val="21"/>
                <w:highlight w:val="none"/>
              </w:rPr>
            </w:pPr>
          </w:p>
        </w:tc>
      </w:tr>
      <w:tr w14:paraId="2F4062E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66" w:hRule="exact"/>
          <w:jc w:val="center"/>
        </w:trPr>
        <w:tc>
          <w:tcPr>
            <w:tcW w:w="2093" w:type="dxa"/>
            <w:tcBorders>
              <w:top w:val="single" w:color="auto" w:sz="4" w:space="0"/>
            </w:tcBorders>
            <w:shd w:val="clear" w:color="auto" w:fill="FFFFFF"/>
            <w:noWrap w:val="0"/>
            <w:vAlign w:val="top"/>
          </w:tcPr>
          <w:p w14:paraId="68C1CA61">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6DB217D4">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4DF9CE46">
            <w:pPr>
              <w:rPr>
                <w:rFonts w:hint="eastAsia" w:ascii="宋体" w:hAnsi="宋体" w:cs="宋体"/>
                <w:color w:val="auto"/>
                <w:sz w:val="21"/>
                <w:szCs w:val="21"/>
                <w:highlight w:val="none"/>
              </w:rPr>
            </w:pPr>
          </w:p>
        </w:tc>
        <w:tc>
          <w:tcPr>
            <w:tcW w:w="2093" w:type="dxa"/>
            <w:tcBorders>
              <w:top w:val="single" w:color="auto" w:sz="4" w:space="0"/>
              <w:left w:val="single" w:color="auto" w:sz="4" w:space="0"/>
            </w:tcBorders>
            <w:shd w:val="clear" w:color="auto" w:fill="FFFFFF"/>
            <w:noWrap w:val="0"/>
            <w:vAlign w:val="top"/>
          </w:tcPr>
          <w:p w14:paraId="3BBE6524">
            <w:pPr>
              <w:rPr>
                <w:rFonts w:hint="eastAsia" w:ascii="宋体" w:hAnsi="宋体" w:cs="宋体"/>
                <w:color w:val="auto"/>
                <w:sz w:val="21"/>
                <w:szCs w:val="21"/>
                <w:highlight w:val="none"/>
              </w:rPr>
            </w:pPr>
          </w:p>
        </w:tc>
      </w:tr>
    </w:tbl>
    <w:p w14:paraId="166068E6">
      <w:pPr>
        <w:autoSpaceDE w:val="0"/>
        <w:autoSpaceDN w:val="0"/>
        <w:spacing w:line="360" w:lineRule="auto"/>
        <w:ind w:left="4335" w:leftChars="1950" w:hanging="240" w:hangingChars="100"/>
        <w:rPr>
          <w:rFonts w:hint="eastAsia" w:ascii="宋体" w:hAnsi="宋体" w:cs="宋体"/>
          <w:color w:val="auto"/>
          <w:kern w:val="0"/>
          <w:sz w:val="24"/>
          <w:highlight w:val="none"/>
        </w:rPr>
      </w:pPr>
    </w:p>
    <w:p w14:paraId="2C581C21">
      <w:pPr>
        <w:autoSpaceDE w:val="0"/>
        <w:autoSpaceDN w:val="0"/>
        <w:spacing w:line="360" w:lineRule="auto"/>
        <w:ind w:left="4335" w:leftChars="1950" w:hanging="240" w:hangingChars="100"/>
        <w:rPr>
          <w:rFonts w:hint="eastAsia" w:ascii="宋体" w:hAnsi="宋体" w:cs="宋体"/>
          <w:color w:val="auto"/>
          <w:kern w:val="0"/>
          <w:sz w:val="24"/>
          <w:highlight w:val="none"/>
        </w:rPr>
      </w:pPr>
    </w:p>
    <w:p w14:paraId="425D2D88">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r>
        <w:rPr>
          <w:rFonts w:hint="eastAsia" w:ascii="宋体" w:hAnsi="宋体" w:cs="宋体"/>
          <w:color w:val="auto"/>
          <w:kern w:val="0"/>
          <w:sz w:val="24"/>
          <w:highlight w:val="none"/>
        </w:rPr>
        <w:t>：</w:t>
      </w:r>
    </w:p>
    <w:p w14:paraId="1A17DEEF">
      <w:pPr>
        <w:autoSpaceDE w:val="0"/>
        <w:autoSpaceDN w:val="0"/>
        <w:spacing w:line="360" w:lineRule="auto"/>
        <w:ind w:firstLine="6300" w:firstLineChars="2625"/>
        <w:rPr>
          <w:rFonts w:hint="eastAsia"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3B2DD599">
      <w:pPr>
        <w:rPr>
          <w:rFonts w:hint="eastAsia" w:ascii="宋体" w:hAnsi="宋体" w:eastAsia="宋体" w:cs="宋体"/>
          <w:b/>
          <w:bCs/>
          <w:color w:val="auto"/>
          <w:kern w:val="0"/>
          <w:sz w:val="24"/>
          <w:highlight w:val="none"/>
          <w:lang w:val="zh-CN"/>
        </w:rPr>
      </w:pPr>
    </w:p>
    <w:p w14:paraId="0C833F49">
      <w:pPr>
        <w:rPr>
          <w:rFonts w:hint="eastAsia" w:ascii="宋体" w:hAnsi="宋体" w:eastAsia="宋体" w:cs="宋体"/>
          <w:b/>
          <w:bCs/>
          <w:color w:val="auto"/>
          <w:kern w:val="0"/>
          <w:sz w:val="24"/>
          <w:highlight w:val="none"/>
          <w:lang w:val="zh-CN"/>
        </w:rPr>
      </w:pPr>
    </w:p>
    <w:p w14:paraId="3C57CA1C">
      <w:pPr>
        <w:widowControl/>
        <w:spacing w:line="360" w:lineRule="auto"/>
        <w:jc w:val="left"/>
        <w:rPr>
          <w:rFonts w:hint="eastAsia" w:ascii="宋体" w:hAnsi="宋体" w:eastAsia="宋体" w:cs="宋体"/>
          <w:color w:val="auto"/>
          <w:sz w:val="24"/>
          <w:highlight w:val="none"/>
        </w:rPr>
        <w:sectPr>
          <w:pgSz w:w="11906" w:h="16838"/>
          <w:pgMar w:top="1134" w:right="1134" w:bottom="1134" w:left="1134" w:header="720" w:footer="720" w:gutter="0"/>
          <w:cols w:space="720" w:num="1"/>
          <w:docGrid w:type="lines" w:linePitch="331" w:charSpace="0"/>
        </w:sectPr>
      </w:pPr>
    </w:p>
    <w:p w14:paraId="504E4656">
      <w:pPr>
        <w:snapToGrid w:val="0"/>
        <w:spacing w:before="165" w:beforeLines="50" w:after="50"/>
        <w:ind w:left="142"/>
        <w:jc w:val="center"/>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lang w:val="en-US" w:eastAsia="zh-CN"/>
        </w:rPr>
        <w:t>三</w:t>
      </w:r>
      <w:r>
        <w:rPr>
          <w:rFonts w:hint="eastAsia" w:ascii="宋体" w:hAnsi="宋体" w:eastAsia="宋体" w:cs="宋体"/>
          <w:b/>
          <w:color w:val="auto"/>
          <w:sz w:val="32"/>
          <w:szCs w:val="32"/>
          <w:highlight w:val="none"/>
        </w:rPr>
        <w:t>、</w:t>
      </w:r>
      <w:r>
        <w:rPr>
          <w:rFonts w:hint="eastAsia" w:ascii="宋体" w:hAnsi="宋体" w:cs="宋体"/>
          <w:b/>
          <w:color w:val="auto"/>
          <w:sz w:val="32"/>
          <w:szCs w:val="32"/>
          <w:highlight w:val="none"/>
          <w:lang w:eastAsia="zh-CN"/>
        </w:rPr>
        <w:t>项目管理机构</w:t>
      </w:r>
    </w:p>
    <w:p w14:paraId="7E006E91">
      <w:pPr>
        <w:spacing w:line="360" w:lineRule="auto"/>
        <w:jc w:val="center"/>
        <w:rPr>
          <w:rFonts w:ascii="宋体" w:hAnsi="宋体" w:cs="宋体"/>
          <w:b/>
          <w:bCs/>
          <w:color w:val="auto"/>
          <w:sz w:val="24"/>
          <w:highlight w:val="none"/>
        </w:rPr>
      </w:pPr>
      <w:r>
        <w:rPr>
          <w:rFonts w:hint="eastAsia" w:ascii="宋体" w:hAnsi="宋体" w:cs="宋体"/>
          <w:color w:val="auto"/>
          <w:sz w:val="24"/>
          <w:highlight w:val="none"/>
        </w:rPr>
        <w:t>（</w:t>
      </w:r>
      <w:r>
        <w:rPr>
          <w:rFonts w:hint="eastAsia" w:ascii="宋体" w:hAnsi="宋体" w:eastAsia="宋体" w:cs="宋体"/>
          <w:color w:val="auto"/>
          <w:sz w:val="24"/>
          <w:highlight w:val="none"/>
        </w:rPr>
        <w:t>由投标人根据采购需求及招标文件要求编制</w:t>
      </w:r>
      <w:r>
        <w:rPr>
          <w:rFonts w:hint="eastAsia" w:ascii="宋体" w:hAnsi="宋体" w:cs="宋体"/>
          <w:color w:val="auto"/>
          <w:sz w:val="24"/>
          <w:highlight w:val="none"/>
        </w:rPr>
        <w:t>）</w:t>
      </w:r>
    </w:p>
    <w:p w14:paraId="431C8436">
      <w:pPr>
        <w:pStyle w:val="36"/>
        <w:spacing w:before="120" w:beforeLines="50"/>
        <w:ind w:firstLine="643" w:firstLineChars="200"/>
        <w:jc w:val="center"/>
        <w:rPr>
          <w:rStyle w:val="22"/>
          <w:rFonts w:ascii="Times New Roman" w:hAnsi="Times New Roman" w:eastAsia="宋体" w:cs="宋体"/>
          <w:b/>
          <w:color w:val="auto"/>
          <w:sz w:val="32"/>
          <w:szCs w:val="32"/>
          <w:highlight w:val="none"/>
        </w:rPr>
      </w:pPr>
      <w:r>
        <w:rPr>
          <w:rStyle w:val="22"/>
          <w:rFonts w:hint="eastAsia" w:ascii="Times New Roman" w:hAnsi="Times New Roman" w:cs="宋体"/>
          <w:b/>
          <w:color w:val="auto"/>
          <w:sz w:val="32"/>
          <w:szCs w:val="32"/>
          <w:highlight w:val="none"/>
          <w:lang w:val="en-US" w:eastAsia="zh-CN"/>
        </w:rPr>
        <w:t>1、</w:t>
      </w:r>
      <w:r>
        <w:rPr>
          <w:rStyle w:val="22"/>
          <w:rFonts w:hint="eastAsia" w:ascii="Times New Roman" w:hAnsi="Times New Roman" w:eastAsia="宋体" w:cs="宋体"/>
          <w:b/>
          <w:color w:val="auto"/>
          <w:sz w:val="32"/>
          <w:szCs w:val="32"/>
          <w:highlight w:val="none"/>
        </w:rPr>
        <w:t>项目经理简历表</w:t>
      </w:r>
    </w:p>
    <w:p w14:paraId="1B462B16">
      <w:pPr>
        <w:pStyle w:val="36"/>
        <w:rPr>
          <w:rStyle w:val="22"/>
          <w:rFonts w:ascii="Times New Roman" w:hAnsi="Times New Roman" w:eastAsia="宋体" w:cs="Times New Roman"/>
          <w:color w:val="auto"/>
          <w:szCs w:val="21"/>
          <w:highlight w:val="none"/>
          <w:u w:val="single"/>
        </w:rPr>
      </w:pPr>
    </w:p>
    <w:p w14:paraId="317465A9">
      <w:pPr>
        <w:pStyle w:val="36"/>
        <w:rPr>
          <w:rStyle w:val="22"/>
          <w:rFonts w:hint="eastAsia" w:ascii="Times New Roman" w:hAnsi="Times New Roman" w:cs="宋体"/>
          <w:color w:val="auto"/>
          <w:szCs w:val="21"/>
          <w:highlight w:val="none"/>
          <w:u w:val="none"/>
          <w:lang w:eastAsia="zh-CN"/>
        </w:rPr>
      </w:pPr>
      <w:r>
        <w:rPr>
          <w:rStyle w:val="22"/>
          <w:rFonts w:hint="eastAsia" w:ascii="Times New Roman" w:hAnsi="Times New Roman" w:eastAsia="宋体" w:cs="宋体"/>
          <w:color w:val="auto"/>
          <w:szCs w:val="21"/>
          <w:highlight w:val="none"/>
          <w:u w:val="none"/>
        </w:rPr>
        <w:t>项目名称</w:t>
      </w:r>
      <w:r>
        <w:rPr>
          <w:rStyle w:val="22"/>
          <w:rFonts w:hint="eastAsia" w:ascii="Times New Roman" w:hAnsi="Times New Roman" w:cs="宋体"/>
          <w:color w:val="auto"/>
          <w:szCs w:val="21"/>
          <w:highlight w:val="none"/>
          <w:u w:val="none"/>
          <w:lang w:eastAsia="zh-CN"/>
        </w:rPr>
        <w:t>：</w:t>
      </w:r>
    </w:p>
    <w:p w14:paraId="28352745">
      <w:pPr>
        <w:pStyle w:val="36"/>
        <w:rPr>
          <w:rStyle w:val="22"/>
          <w:rFonts w:ascii="Times New Roman" w:hAnsi="Times New Roman" w:eastAsia="宋体" w:cs="Times New Roman"/>
          <w:color w:val="auto"/>
          <w:szCs w:val="21"/>
          <w:highlight w:val="none"/>
          <w:u w:val="none"/>
        </w:rPr>
      </w:pPr>
      <w:r>
        <w:rPr>
          <w:rStyle w:val="22"/>
          <w:rFonts w:hint="eastAsia" w:ascii="Times New Roman" w:hAnsi="Times New Roman" w:eastAsia="宋体" w:cs="宋体"/>
          <w:color w:val="auto"/>
          <w:szCs w:val="21"/>
          <w:highlight w:val="none"/>
          <w:u w:val="none"/>
        </w:rPr>
        <w:t>项目</w:t>
      </w:r>
      <w:r>
        <w:rPr>
          <w:rStyle w:val="22"/>
          <w:rFonts w:hint="eastAsia" w:ascii="Times New Roman" w:hAnsi="Times New Roman" w:cs="宋体"/>
          <w:color w:val="auto"/>
          <w:szCs w:val="21"/>
          <w:highlight w:val="none"/>
          <w:u w:val="none"/>
          <w:lang w:val="en-US" w:eastAsia="zh-CN"/>
        </w:rPr>
        <w:t>编号</w:t>
      </w:r>
      <w:r>
        <w:rPr>
          <w:rStyle w:val="22"/>
          <w:rFonts w:hint="eastAsia" w:ascii="Times New Roman" w:hAnsi="Times New Roman" w:cs="宋体"/>
          <w:color w:val="auto"/>
          <w:szCs w:val="21"/>
          <w:highlight w:val="none"/>
          <w:u w:val="none"/>
          <w:lang w:eastAsia="zh-CN"/>
        </w:rPr>
        <w:t>：</w:t>
      </w:r>
      <w:r>
        <w:rPr>
          <w:rStyle w:val="22"/>
          <w:rFonts w:ascii="Times New Roman" w:hAnsi="Times New Roman" w:eastAsia="宋体" w:cs="Times New Roman"/>
          <w:color w:val="auto"/>
          <w:szCs w:val="21"/>
          <w:highlight w:val="none"/>
          <w:u w:val="none"/>
        </w:rPr>
        <w:t xml:space="preserve"> </w:t>
      </w:r>
    </w:p>
    <w:tbl>
      <w:tblPr>
        <w:tblStyle w:val="20"/>
        <w:tblW w:w="9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354"/>
        <w:gridCol w:w="972"/>
        <w:gridCol w:w="596"/>
        <w:gridCol w:w="795"/>
        <w:gridCol w:w="773"/>
        <w:gridCol w:w="482"/>
        <w:gridCol w:w="1086"/>
        <w:gridCol w:w="331"/>
        <w:gridCol w:w="1237"/>
        <w:gridCol w:w="39"/>
        <w:gridCol w:w="1531"/>
      </w:tblGrid>
      <w:tr w14:paraId="6BD9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14" w:type="dxa"/>
            <w:noWrap w:val="0"/>
            <w:vAlign w:val="center"/>
          </w:tcPr>
          <w:p w14:paraId="45058CE8">
            <w:pPr>
              <w:pStyle w:val="36"/>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宋体"/>
                <w:color w:val="auto"/>
                <w:kern w:val="2"/>
                <w:sz w:val="21"/>
                <w:szCs w:val="21"/>
                <w:highlight w:val="none"/>
                <w:lang w:val="en-US" w:eastAsia="zh-CN" w:bidi="ar-SA"/>
              </w:rPr>
              <w:t>姓名</w:t>
            </w:r>
          </w:p>
        </w:tc>
        <w:tc>
          <w:tcPr>
            <w:tcW w:w="2717" w:type="dxa"/>
            <w:gridSpan w:val="4"/>
            <w:noWrap w:val="0"/>
            <w:vAlign w:val="center"/>
          </w:tcPr>
          <w:p w14:paraId="6738C88F">
            <w:pPr>
              <w:pStyle w:val="36"/>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255" w:type="dxa"/>
            <w:gridSpan w:val="2"/>
            <w:noWrap w:val="0"/>
            <w:vAlign w:val="center"/>
          </w:tcPr>
          <w:p w14:paraId="4107A69D">
            <w:pPr>
              <w:pStyle w:val="36"/>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宋体"/>
                <w:color w:val="auto"/>
                <w:kern w:val="2"/>
                <w:sz w:val="21"/>
                <w:szCs w:val="21"/>
                <w:highlight w:val="none"/>
                <w:lang w:val="en-US" w:eastAsia="zh-CN" w:bidi="ar-SA"/>
              </w:rPr>
              <w:t>性别</w:t>
            </w:r>
          </w:p>
        </w:tc>
        <w:tc>
          <w:tcPr>
            <w:tcW w:w="1417" w:type="dxa"/>
            <w:gridSpan w:val="2"/>
            <w:noWrap w:val="0"/>
            <w:vAlign w:val="center"/>
          </w:tcPr>
          <w:p w14:paraId="4B838FC5">
            <w:pPr>
              <w:pStyle w:val="36"/>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276" w:type="dxa"/>
            <w:gridSpan w:val="2"/>
            <w:noWrap w:val="0"/>
            <w:vAlign w:val="center"/>
          </w:tcPr>
          <w:p w14:paraId="30158B9C">
            <w:pPr>
              <w:pStyle w:val="36"/>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宋体"/>
                <w:color w:val="auto"/>
                <w:kern w:val="2"/>
                <w:sz w:val="21"/>
                <w:szCs w:val="21"/>
                <w:highlight w:val="none"/>
                <w:lang w:val="en-US" w:eastAsia="zh-CN" w:bidi="ar-SA"/>
              </w:rPr>
              <w:t>年龄</w:t>
            </w:r>
          </w:p>
        </w:tc>
        <w:tc>
          <w:tcPr>
            <w:tcW w:w="1531" w:type="dxa"/>
            <w:noWrap w:val="0"/>
            <w:vAlign w:val="center"/>
          </w:tcPr>
          <w:p w14:paraId="7295B103">
            <w:pPr>
              <w:pStyle w:val="36"/>
              <w:widowControl w:val="0"/>
              <w:jc w:val="center"/>
              <w:rPr>
                <w:rStyle w:val="22"/>
                <w:rFonts w:ascii="Times New Roman" w:hAnsi="Times New Roman" w:eastAsia="宋体" w:cs="Times New Roman"/>
                <w:color w:val="auto"/>
                <w:kern w:val="2"/>
                <w:sz w:val="21"/>
                <w:szCs w:val="21"/>
                <w:highlight w:val="none"/>
                <w:lang w:val="en-US" w:eastAsia="zh-CN" w:bidi="ar-SA"/>
              </w:rPr>
            </w:pPr>
          </w:p>
        </w:tc>
      </w:tr>
      <w:tr w14:paraId="3D6F9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214" w:type="dxa"/>
            <w:noWrap w:val="0"/>
            <w:vAlign w:val="center"/>
          </w:tcPr>
          <w:p w14:paraId="2ECAA306">
            <w:pPr>
              <w:pStyle w:val="36"/>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宋体"/>
                <w:color w:val="auto"/>
                <w:kern w:val="2"/>
                <w:sz w:val="21"/>
                <w:szCs w:val="21"/>
                <w:highlight w:val="none"/>
                <w:lang w:val="en-US" w:eastAsia="zh-CN" w:bidi="ar-SA"/>
              </w:rPr>
              <w:t>岗位</w:t>
            </w:r>
          </w:p>
        </w:tc>
        <w:tc>
          <w:tcPr>
            <w:tcW w:w="2717" w:type="dxa"/>
            <w:gridSpan w:val="4"/>
            <w:noWrap w:val="0"/>
            <w:vAlign w:val="center"/>
          </w:tcPr>
          <w:p w14:paraId="522CAB44">
            <w:pPr>
              <w:pStyle w:val="36"/>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Times New Roman"/>
                <w:color w:val="auto"/>
                <w:kern w:val="2"/>
                <w:sz w:val="21"/>
                <w:szCs w:val="21"/>
                <w:highlight w:val="none"/>
                <w:lang w:val="en-US" w:eastAsia="zh-CN" w:bidi="ar-SA"/>
              </w:rPr>
              <w:t>项目经理</w:t>
            </w:r>
          </w:p>
        </w:tc>
        <w:tc>
          <w:tcPr>
            <w:tcW w:w="1255" w:type="dxa"/>
            <w:gridSpan w:val="2"/>
            <w:noWrap w:val="0"/>
            <w:vAlign w:val="center"/>
          </w:tcPr>
          <w:p w14:paraId="4E159B9B">
            <w:pPr>
              <w:pStyle w:val="36"/>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宋体"/>
                <w:color w:val="auto"/>
                <w:kern w:val="2"/>
                <w:sz w:val="21"/>
                <w:szCs w:val="21"/>
                <w:highlight w:val="none"/>
                <w:lang w:val="en-US" w:eastAsia="zh-CN" w:bidi="ar-SA"/>
              </w:rPr>
              <w:t>职称</w:t>
            </w:r>
          </w:p>
        </w:tc>
        <w:tc>
          <w:tcPr>
            <w:tcW w:w="1417" w:type="dxa"/>
            <w:gridSpan w:val="2"/>
            <w:noWrap w:val="0"/>
            <w:vAlign w:val="center"/>
          </w:tcPr>
          <w:p w14:paraId="03E8ECBF">
            <w:pPr>
              <w:pStyle w:val="36"/>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276" w:type="dxa"/>
            <w:gridSpan w:val="2"/>
            <w:noWrap w:val="0"/>
            <w:vAlign w:val="center"/>
          </w:tcPr>
          <w:p w14:paraId="74DA93B5">
            <w:pPr>
              <w:pStyle w:val="36"/>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宋体"/>
                <w:color w:val="auto"/>
                <w:kern w:val="2"/>
                <w:sz w:val="21"/>
                <w:szCs w:val="21"/>
                <w:highlight w:val="none"/>
                <w:lang w:val="en-US" w:eastAsia="zh-CN" w:bidi="ar-SA"/>
              </w:rPr>
              <w:t>学历</w:t>
            </w:r>
          </w:p>
        </w:tc>
        <w:tc>
          <w:tcPr>
            <w:tcW w:w="1531" w:type="dxa"/>
            <w:noWrap w:val="0"/>
            <w:vAlign w:val="center"/>
          </w:tcPr>
          <w:p w14:paraId="429DD089">
            <w:pPr>
              <w:pStyle w:val="36"/>
              <w:widowControl w:val="0"/>
              <w:jc w:val="center"/>
              <w:rPr>
                <w:rStyle w:val="22"/>
                <w:rFonts w:ascii="Times New Roman" w:hAnsi="Times New Roman" w:eastAsia="宋体" w:cs="Times New Roman"/>
                <w:color w:val="auto"/>
                <w:kern w:val="2"/>
                <w:sz w:val="21"/>
                <w:szCs w:val="21"/>
                <w:highlight w:val="none"/>
                <w:lang w:val="en-US" w:eastAsia="zh-CN" w:bidi="ar-SA"/>
              </w:rPr>
            </w:pPr>
          </w:p>
        </w:tc>
      </w:tr>
      <w:tr w14:paraId="0550D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214" w:type="dxa"/>
            <w:noWrap w:val="0"/>
            <w:vAlign w:val="center"/>
          </w:tcPr>
          <w:p w14:paraId="003A1398">
            <w:pPr>
              <w:pStyle w:val="36"/>
              <w:widowControl w:val="0"/>
              <w:jc w:val="center"/>
              <w:rPr>
                <w:rStyle w:val="22"/>
                <w:rFonts w:ascii="Times New Roman" w:hAnsi="Times New Roman" w:eastAsia="宋体" w:cs="宋体"/>
                <w:color w:val="auto"/>
                <w:kern w:val="2"/>
                <w:sz w:val="21"/>
                <w:szCs w:val="21"/>
                <w:highlight w:val="none"/>
                <w:lang w:val="en-US" w:eastAsia="zh-CN" w:bidi="ar-SA"/>
              </w:rPr>
            </w:pPr>
            <w:r>
              <w:rPr>
                <w:rStyle w:val="22"/>
                <w:rFonts w:hint="eastAsia" w:ascii="Times New Roman" w:hAnsi="Times New Roman" w:eastAsia="宋体" w:cs="宋体"/>
                <w:color w:val="auto"/>
                <w:kern w:val="2"/>
                <w:sz w:val="21"/>
                <w:szCs w:val="21"/>
                <w:highlight w:val="none"/>
                <w:lang w:val="en-US" w:eastAsia="zh-CN" w:bidi="ar-SA"/>
              </w:rPr>
              <w:t>从业开始时间</w:t>
            </w:r>
          </w:p>
        </w:tc>
        <w:tc>
          <w:tcPr>
            <w:tcW w:w="2717" w:type="dxa"/>
            <w:gridSpan w:val="4"/>
            <w:noWrap w:val="0"/>
            <w:vAlign w:val="center"/>
          </w:tcPr>
          <w:p w14:paraId="68BE6D46">
            <w:pPr>
              <w:pStyle w:val="36"/>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255" w:type="dxa"/>
            <w:gridSpan w:val="2"/>
            <w:noWrap w:val="0"/>
            <w:vAlign w:val="center"/>
          </w:tcPr>
          <w:p w14:paraId="7AB21FC0">
            <w:pPr>
              <w:pStyle w:val="36"/>
              <w:widowControl w:val="0"/>
              <w:jc w:val="center"/>
              <w:rPr>
                <w:rStyle w:val="22"/>
                <w:rFonts w:ascii="Times New Roman" w:hAnsi="Times New Roman" w:eastAsia="宋体" w:cs="宋体"/>
                <w:color w:val="auto"/>
                <w:kern w:val="2"/>
                <w:sz w:val="21"/>
                <w:szCs w:val="21"/>
                <w:highlight w:val="none"/>
                <w:lang w:val="en-US" w:eastAsia="zh-CN" w:bidi="ar-SA"/>
              </w:rPr>
            </w:pPr>
            <w:r>
              <w:rPr>
                <w:rStyle w:val="22"/>
                <w:rFonts w:hint="eastAsia" w:ascii="Times New Roman" w:hAnsi="Times New Roman" w:eastAsia="宋体" w:cs="宋体"/>
                <w:color w:val="auto"/>
                <w:kern w:val="2"/>
                <w:sz w:val="21"/>
                <w:szCs w:val="21"/>
                <w:highlight w:val="none"/>
                <w:lang w:val="en-US" w:eastAsia="zh-CN" w:bidi="ar-SA"/>
              </w:rPr>
              <w:t>职称</w:t>
            </w:r>
            <w:r>
              <w:rPr>
                <w:rStyle w:val="22"/>
                <w:rFonts w:ascii="Times New Roman" w:hAnsi="Times New Roman" w:eastAsia="宋体" w:cs="宋体"/>
                <w:color w:val="auto"/>
                <w:kern w:val="2"/>
                <w:sz w:val="21"/>
                <w:szCs w:val="21"/>
                <w:highlight w:val="none"/>
                <w:lang w:val="en-US" w:eastAsia="zh-CN" w:bidi="ar-SA"/>
              </w:rPr>
              <w:t>获</w:t>
            </w:r>
            <w:r>
              <w:rPr>
                <w:rStyle w:val="22"/>
                <w:rFonts w:hint="eastAsia" w:ascii="Times New Roman" w:hAnsi="Times New Roman" w:eastAsia="宋体" w:cs="宋体"/>
                <w:color w:val="auto"/>
                <w:kern w:val="2"/>
                <w:sz w:val="21"/>
                <w:szCs w:val="21"/>
                <w:highlight w:val="none"/>
                <w:lang w:val="en-US" w:eastAsia="zh-CN" w:bidi="ar-SA"/>
              </w:rPr>
              <w:t>得</w:t>
            </w:r>
            <w:r>
              <w:rPr>
                <w:rStyle w:val="22"/>
                <w:rFonts w:ascii="Times New Roman" w:hAnsi="Times New Roman" w:eastAsia="宋体" w:cs="宋体"/>
                <w:color w:val="auto"/>
                <w:kern w:val="2"/>
                <w:sz w:val="21"/>
                <w:szCs w:val="21"/>
                <w:highlight w:val="none"/>
                <w:lang w:val="en-US" w:eastAsia="zh-CN" w:bidi="ar-SA"/>
              </w:rPr>
              <w:t>时间</w:t>
            </w:r>
          </w:p>
        </w:tc>
        <w:tc>
          <w:tcPr>
            <w:tcW w:w="1417" w:type="dxa"/>
            <w:gridSpan w:val="2"/>
            <w:noWrap w:val="0"/>
            <w:vAlign w:val="center"/>
          </w:tcPr>
          <w:p w14:paraId="30028317">
            <w:pPr>
              <w:pStyle w:val="36"/>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276" w:type="dxa"/>
            <w:gridSpan w:val="2"/>
            <w:noWrap w:val="0"/>
            <w:vAlign w:val="center"/>
          </w:tcPr>
          <w:p w14:paraId="01A8A58F">
            <w:pPr>
              <w:pStyle w:val="36"/>
              <w:widowControl w:val="0"/>
              <w:jc w:val="center"/>
              <w:rPr>
                <w:rStyle w:val="22"/>
                <w:rFonts w:ascii="Times New Roman" w:hAnsi="Times New Roman" w:eastAsia="宋体" w:cs="宋体"/>
                <w:color w:val="auto"/>
                <w:kern w:val="2"/>
                <w:sz w:val="21"/>
                <w:szCs w:val="21"/>
                <w:highlight w:val="none"/>
                <w:lang w:val="en-US" w:eastAsia="zh-CN" w:bidi="ar-SA"/>
              </w:rPr>
            </w:pPr>
            <w:r>
              <w:rPr>
                <w:rStyle w:val="22"/>
                <w:rFonts w:hint="eastAsia" w:ascii="Times New Roman" w:hAnsi="Times New Roman" w:eastAsia="宋体" w:cs="宋体"/>
                <w:color w:val="auto"/>
                <w:kern w:val="2"/>
                <w:sz w:val="21"/>
                <w:szCs w:val="21"/>
                <w:highlight w:val="none"/>
                <w:lang w:val="en-US" w:eastAsia="zh-CN" w:bidi="ar-SA"/>
              </w:rPr>
              <w:t>毕业时间</w:t>
            </w:r>
          </w:p>
        </w:tc>
        <w:tc>
          <w:tcPr>
            <w:tcW w:w="1531" w:type="dxa"/>
            <w:noWrap w:val="0"/>
            <w:vAlign w:val="center"/>
          </w:tcPr>
          <w:p w14:paraId="71D8FEA5">
            <w:pPr>
              <w:pStyle w:val="36"/>
              <w:widowControl w:val="0"/>
              <w:jc w:val="center"/>
              <w:rPr>
                <w:rStyle w:val="22"/>
                <w:rFonts w:ascii="Times New Roman" w:hAnsi="Times New Roman" w:eastAsia="宋体" w:cs="Times New Roman"/>
                <w:color w:val="auto"/>
                <w:kern w:val="2"/>
                <w:sz w:val="21"/>
                <w:szCs w:val="21"/>
                <w:highlight w:val="none"/>
                <w:lang w:val="en-US" w:eastAsia="zh-CN" w:bidi="ar-SA"/>
              </w:rPr>
            </w:pPr>
          </w:p>
        </w:tc>
      </w:tr>
      <w:tr w14:paraId="027C3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14" w:type="dxa"/>
            <w:noWrap w:val="0"/>
            <w:vAlign w:val="center"/>
          </w:tcPr>
          <w:p w14:paraId="18ABE8BC">
            <w:pPr>
              <w:pStyle w:val="36"/>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宋体"/>
                <w:color w:val="auto"/>
                <w:kern w:val="2"/>
                <w:sz w:val="21"/>
                <w:szCs w:val="21"/>
                <w:highlight w:val="none"/>
                <w:lang w:val="en-US" w:eastAsia="zh-CN" w:bidi="ar-SA"/>
              </w:rPr>
              <w:t>担任项目经理年限</w:t>
            </w:r>
          </w:p>
        </w:tc>
        <w:tc>
          <w:tcPr>
            <w:tcW w:w="1326" w:type="dxa"/>
            <w:gridSpan w:val="2"/>
            <w:noWrap w:val="0"/>
            <w:vAlign w:val="center"/>
          </w:tcPr>
          <w:p w14:paraId="209A3C40">
            <w:pPr>
              <w:pStyle w:val="36"/>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391" w:type="dxa"/>
            <w:gridSpan w:val="2"/>
            <w:noWrap w:val="0"/>
            <w:vAlign w:val="center"/>
          </w:tcPr>
          <w:p w14:paraId="01A1ABD3">
            <w:pPr>
              <w:pStyle w:val="36"/>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Times New Roman"/>
                <w:color w:val="auto"/>
                <w:kern w:val="2"/>
                <w:sz w:val="21"/>
                <w:szCs w:val="21"/>
                <w:highlight w:val="none"/>
                <w:lang w:val="en-US" w:eastAsia="zh-CN" w:bidi="ar-SA"/>
              </w:rPr>
              <w:t>身份</w:t>
            </w:r>
            <w:r>
              <w:rPr>
                <w:rStyle w:val="22"/>
                <w:rFonts w:ascii="Times New Roman" w:hAnsi="Times New Roman" w:eastAsia="宋体" w:cs="Times New Roman"/>
                <w:color w:val="auto"/>
                <w:kern w:val="2"/>
                <w:sz w:val="21"/>
                <w:szCs w:val="21"/>
                <w:highlight w:val="none"/>
                <w:lang w:val="en-US" w:eastAsia="zh-CN" w:bidi="ar-SA"/>
              </w:rPr>
              <w:t>证号码</w:t>
            </w:r>
          </w:p>
        </w:tc>
        <w:tc>
          <w:tcPr>
            <w:tcW w:w="2672" w:type="dxa"/>
            <w:gridSpan w:val="4"/>
            <w:noWrap w:val="0"/>
            <w:vAlign w:val="center"/>
          </w:tcPr>
          <w:p w14:paraId="12BA0E81">
            <w:pPr>
              <w:pStyle w:val="36"/>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276" w:type="dxa"/>
            <w:gridSpan w:val="2"/>
            <w:noWrap w:val="0"/>
            <w:vAlign w:val="center"/>
          </w:tcPr>
          <w:p w14:paraId="3679C78E">
            <w:pPr>
              <w:pStyle w:val="36"/>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Times New Roman"/>
                <w:color w:val="auto"/>
                <w:kern w:val="2"/>
                <w:sz w:val="21"/>
                <w:szCs w:val="21"/>
                <w:highlight w:val="none"/>
                <w:lang w:val="en-US" w:eastAsia="zh-CN" w:bidi="ar-SA"/>
              </w:rPr>
              <w:t>社保所附证明材料索引号</w:t>
            </w:r>
          </w:p>
        </w:tc>
        <w:tc>
          <w:tcPr>
            <w:tcW w:w="1531" w:type="dxa"/>
            <w:noWrap w:val="0"/>
            <w:vAlign w:val="center"/>
          </w:tcPr>
          <w:p w14:paraId="36D15951">
            <w:pPr>
              <w:pStyle w:val="36"/>
              <w:widowControl w:val="0"/>
              <w:jc w:val="center"/>
              <w:rPr>
                <w:rStyle w:val="22"/>
                <w:rFonts w:ascii="Times New Roman" w:hAnsi="Times New Roman" w:eastAsia="宋体" w:cs="Times New Roman"/>
                <w:color w:val="auto"/>
                <w:kern w:val="2"/>
                <w:sz w:val="21"/>
                <w:szCs w:val="21"/>
                <w:highlight w:val="none"/>
                <w:lang w:val="en-US" w:eastAsia="zh-CN" w:bidi="ar-SA"/>
              </w:rPr>
            </w:pPr>
          </w:p>
        </w:tc>
      </w:tr>
      <w:tr w14:paraId="15BCE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14" w:type="dxa"/>
            <w:noWrap w:val="0"/>
            <w:vAlign w:val="center"/>
          </w:tcPr>
          <w:p w14:paraId="4F054F6B">
            <w:pPr>
              <w:pStyle w:val="36"/>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Times New Roman"/>
                <w:color w:val="auto"/>
                <w:kern w:val="2"/>
                <w:sz w:val="21"/>
                <w:szCs w:val="21"/>
                <w:highlight w:val="none"/>
                <w:lang w:val="en-US" w:eastAsia="zh-CN" w:bidi="ar-SA"/>
              </w:rPr>
              <w:t>证书名称</w:t>
            </w:r>
          </w:p>
        </w:tc>
        <w:tc>
          <w:tcPr>
            <w:tcW w:w="1326" w:type="dxa"/>
            <w:gridSpan w:val="2"/>
            <w:noWrap w:val="0"/>
            <w:vAlign w:val="center"/>
          </w:tcPr>
          <w:p w14:paraId="70107314">
            <w:pPr>
              <w:pStyle w:val="36"/>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Times New Roman"/>
                <w:color w:val="auto"/>
                <w:kern w:val="2"/>
                <w:sz w:val="21"/>
                <w:szCs w:val="21"/>
                <w:highlight w:val="none"/>
                <w:lang w:val="en-US" w:eastAsia="zh-CN" w:bidi="ar-SA"/>
              </w:rPr>
              <w:t>注册专业</w:t>
            </w:r>
          </w:p>
        </w:tc>
        <w:tc>
          <w:tcPr>
            <w:tcW w:w="1391" w:type="dxa"/>
            <w:gridSpan w:val="2"/>
            <w:noWrap w:val="0"/>
            <w:vAlign w:val="center"/>
          </w:tcPr>
          <w:p w14:paraId="22C5C9E1">
            <w:pPr>
              <w:pStyle w:val="36"/>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ascii="Times New Roman" w:hAnsi="Times New Roman" w:eastAsia="宋体" w:cs="Times New Roman"/>
                <w:color w:val="auto"/>
                <w:kern w:val="2"/>
                <w:sz w:val="21"/>
                <w:szCs w:val="21"/>
                <w:highlight w:val="none"/>
                <w:lang w:val="en-US" w:eastAsia="zh-CN" w:bidi="ar-SA"/>
              </w:rPr>
              <w:t>级别</w:t>
            </w:r>
          </w:p>
        </w:tc>
        <w:tc>
          <w:tcPr>
            <w:tcW w:w="1255" w:type="dxa"/>
            <w:gridSpan w:val="2"/>
            <w:noWrap w:val="0"/>
            <w:vAlign w:val="center"/>
          </w:tcPr>
          <w:p w14:paraId="2DE9D496">
            <w:pPr>
              <w:pStyle w:val="36"/>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宋体"/>
                <w:color w:val="auto"/>
                <w:kern w:val="2"/>
                <w:sz w:val="21"/>
                <w:szCs w:val="21"/>
                <w:highlight w:val="none"/>
                <w:lang w:val="en-US" w:eastAsia="zh-CN" w:bidi="ar-SA"/>
              </w:rPr>
              <w:t>证书编号</w:t>
            </w:r>
          </w:p>
        </w:tc>
        <w:tc>
          <w:tcPr>
            <w:tcW w:w="1417" w:type="dxa"/>
            <w:gridSpan w:val="2"/>
            <w:noWrap w:val="0"/>
            <w:vAlign w:val="center"/>
          </w:tcPr>
          <w:p w14:paraId="2D13A7A9">
            <w:pPr>
              <w:pStyle w:val="36"/>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Times New Roman"/>
                <w:color w:val="auto"/>
                <w:kern w:val="2"/>
                <w:sz w:val="21"/>
                <w:szCs w:val="21"/>
                <w:highlight w:val="none"/>
                <w:lang w:val="en-US" w:eastAsia="zh-CN" w:bidi="ar-SA"/>
              </w:rPr>
              <w:t>注册时间</w:t>
            </w:r>
          </w:p>
        </w:tc>
        <w:tc>
          <w:tcPr>
            <w:tcW w:w="1276" w:type="dxa"/>
            <w:gridSpan w:val="2"/>
            <w:noWrap w:val="0"/>
            <w:vAlign w:val="center"/>
          </w:tcPr>
          <w:p w14:paraId="59F63974">
            <w:pPr>
              <w:pStyle w:val="36"/>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Times New Roman"/>
                <w:color w:val="auto"/>
                <w:kern w:val="2"/>
                <w:sz w:val="21"/>
                <w:szCs w:val="21"/>
                <w:highlight w:val="none"/>
                <w:lang w:val="en-US" w:eastAsia="zh-CN" w:bidi="ar-SA"/>
              </w:rPr>
              <w:t>注册单位</w:t>
            </w:r>
          </w:p>
        </w:tc>
        <w:tc>
          <w:tcPr>
            <w:tcW w:w="1531" w:type="dxa"/>
            <w:noWrap w:val="0"/>
            <w:vAlign w:val="center"/>
          </w:tcPr>
          <w:p w14:paraId="620D1ACC">
            <w:pPr>
              <w:pStyle w:val="36"/>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Times New Roman"/>
                <w:color w:val="auto"/>
                <w:kern w:val="2"/>
                <w:sz w:val="21"/>
                <w:szCs w:val="21"/>
                <w:highlight w:val="none"/>
                <w:lang w:val="en-US" w:eastAsia="zh-CN" w:bidi="ar-SA"/>
              </w:rPr>
              <w:t>注册有效期</w:t>
            </w:r>
          </w:p>
        </w:tc>
      </w:tr>
      <w:tr w14:paraId="2E55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14" w:type="dxa"/>
            <w:noWrap w:val="0"/>
            <w:vAlign w:val="center"/>
          </w:tcPr>
          <w:p w14:paraId="45801138">
            <w:pPr>
              <w:pStyle w:val="36"/>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326" w:type="dxa"/>
            <w:gridSpan w:val="2"/>
            <w:noWrap w:val="0"/>
            <w:vAlign w:val="center"/>
          </w:tcPr>
          <w:p w14:paraId="56C36F24">
            <w:pPr>
              <w:pStyle w:val="36"/>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391" w:type="dxa"/>
            <w:gridSpan w:val="2"/>
            <w:noWrap w:val="0"/>
            <w:vAlign w:val="center"/>
          </w:tcPr>
          <w:p w14:paraId="52FD3AAA">
            <w:pPr>
              <w:pStyle w:val="36"/>
              <w:widowControl w:val="0"/>
              <w:jc w:val="center"/>
              <w:rPr>
                <w:rStyle w:val="22"/>
                <w:rFonts w:ascii="Times New Roman" w:hAnsi="Times New Roman" w:eastAsia="宋体" w:cs="宋体"/>
                <w:color w:val="auto"/>
                <w:kern w:val="2"/>
                <w:sz w:val="21"/>
                <w:szCs w:val="21"/>
                <w:highlight w:val="none"/>
                <w:lang w:val="en-US" w:eastAsia="zh-CN" w:bidi="ar-SA"/>
              </w:rPr>
            </w:pPr>
          </w:p>
        </w:tc>
        <w:tc>
          <w:tcPr>
            <w:tcW w:w="1255" w:type="dxa"/>
            <w:gridSpan w:val="2"/>
            <w:noWrap w:val="0"/>
            <w:vAlign w:val="center"/>
          </w:tcPr>
          <w:p w14:paraId="4D437129">
            <w:pPr>
              <w:pStyle w:val="36"/>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417" w:type="dxa"/>
            <w:gridSpan w:val="2"/>
            <w:noWrap w:val="0"/>
            <w:vAlign w:val="center"/>
          </w:tcPr>
          <w:p w14:paraId="0657DB7F">
            <w:pPr>
              <w:pStyle w:val="36"/>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276" w:type="dxa"/>
            <w:gridSpan w:val="2"/>
            <w:noWrap w:val="0"/>
            <w:vAlign w:val="center"/>
          </w:tcPr>
          <w:p w14:paraId="3BA0F87F">
            <w:pPr>
              <w:pStyle w:val="36"/>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531" w:type="dxa"/>
            <w:noWrap w:val="0"/>
            <w:vAlign w:val="center"/>
          </w:tcPr>
          <w:p w14:paraId="5FB1CF5D">
            <w:pPr>
              <w:pStyle w:val="36"/>
              <w:widowControl w:val="0"/>
              <w:jc w:val="center"/>
              <w:rPr>
                <w:rStyle w:val="22"/>
                <w:rFonts w:ascii="Times New Roman" w:hAnsi="Times New Roman" w:eastAsia="宋体" w:cs="Times New Roman"/>
                <w:color w:val="auto"/>
                <w:kern w:val="2"/>
                <w:sz w:val="21"/>
                <w:szCs w:val="21"/>
                <w:highlight w:val="none"/>
                <w:lang w:val="en-US" w:eastAsia="zh-CN" w:bidi="ar-SA"/>
              </w:rPr>
            </w:pPr>
          </w:p>
        </w:tc>
      </w:tr>
      <w:tr w14:paraId="5B58F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14" w:type="dxa"/>
            <w:noWrap w:val="0"/>
            <w:vAlign w:val="center"/>
          </w:tcPr>
          <w:p w14:paraId="3716A502">
            <w:pPr>
              <w:pStyle w:val="36"/>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Times New Roman"/>
                <w:color w:val="auto"/>
                <w:kern w:val="2"/>
                <w:sz w:val="21"/>
                <w:szCs w:val="21"/>
                <w:highlight w:val="none"/>
                <w:lang w:val="en-US" w:eastAsia="zh-CN" w:bidi="ar-SA"/>
              </w:rPr>
              <w:t>安全生产考核合格证书</w:t>
            </w:r>
          </w:p>
        </w:tc>
        <w:tc>
          <w:tcPr>
            <w:tcW w:w="1326" w:type="dxa"/>
            <w:gridSpan w:val="2"/>
            <w:noWrap w:val="0"/>
            <w:vAlign w:val="center"/>
          </w:tcPr>
          <w:p w14:paraId="188031E5">
            <w:pPr>
              <w:pStyle w:val="36"/>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391" w:type="dxa"/>
            <w:gridSpan w:val="2"/>
            <w:noWrap w:val="0"/>
            <w:vAlign w:val="center"/>
          </w:tcPr>
          <w:p w14:paraId="7CCC891B">
            <w:pPr>
              <w:pStyle w:val="36"/>
              <w:widowControl w:val="0"/>
              <w:jc w:val="center"/>
              <w:rPr>
                <w:rStyle w:val="22"/>
                <w:rFonts w:ascii="Times New Roman" w:hAnsi="Times New Roman" w:eastAsia="宋体" w:cs="宋体"/>
                <w:color w:val="auto"/>
                <w:kern w:val="2"/>
                <w:sz w:val="21"/>
                <w:szCs w:val="21"/>
                <w:highlight w:val="none"/>
                <w:lang w:val="en-US" w:eastAsia="zh-CN" w:bidi="ar-SA"/>
              </w:rPr>
            </w:pPr>
            <w:r>
              <w:rPr>
                <w:rStyle w:val="22"/>
                <w:rFonts w:hint="eastAsia" w:ascii="Times New Roman" w:hAnsi="Times New Roman" w:eastAsia="宋体" w:cs="Times New Roman"/>
                <w:color w:val="auto"/>
                <w:kern w:val="2"/>
                <w:sz w:val="21"/>
                <w:szCs w:val="21"/>
                <w:highlight w:val="none"/>
                <w:lang w:val="en-US" w:eastAsia="zh-CN" w:bidi="ar-SA"/>
              </w:rPr>
              <w:t>B类</w:t>
            </w:r>
          </w:p>
        </w:tc>
        <w:tc>
          <w:tcPr>
            <w:tcW w:w="1255" w:type="dxa"/>
            <w:gridSpan w:val="2"/>
            <w:noWrap w:val="0"/>
            <w:vAlign w:val="center"/>
          </w:tcPr>
          <w:p w14:paraId="0511C774">
            <w:pPr>
              <w:pStyle w:val="36"/>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417" w:type="dxa"/>
            <w:gridSpan w:val="2"/>
            <w:noWrap w:val="0"/>
            <w:vAlign w:val="center"/>
          </w:tcPr>
          <w:p w14:paraId="4174FA76">
            <w:pPr>
              <w:pStyle w:val="36"/>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276" w:type="dxa"/>
            <w:gridSpan w:val="2"/>
            <w:noWrap w:val="0"/>
            <w:vAlign w:val="center"/>
          </w:tcPr>
          <w:p w14:paraId="18AE542D">
            <w:pPr>
              <w:pStyle w:val="36"/>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531" w:type="dxa"/>
            <w:noWrap w:val="0"/>
            <w:vAlign w:val="center"/>
          </w:tcPr>
          <w:p w14:paraId="15B5331A">
            <w:pPr>
              <w:pStyle w:val="36"/>
              <w:widowControl w:val="0"/>
              <w:jc w:val="center"/>
              <w:rPr>
                <w:rStyle w:val="22"/>
                <w:rFonts w:ascii="Times New Roman" w:hAnsi="Times New Roman" w:eastAsia="宋体" w:cs="Times New Roman"/>
                <w:color w:val="auto"/>
                <w:kern w:val="2"/>
                <w:sz w:val="21"/>
                <w:szCs w:val="21"/>
                <w:highlight w:val="none"/>
                <w:lang w:val="en-US" w:eastAsia="zh-CN" w:bidi="ar-SA"/>
              </w:rPr>
            </w:pPr>
          </w:p>
        </w:tc>
      </w:tr>
      <w:tr w14:paraId="7EC5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410" w:type="dxa"/>
            <w:gridSpan w:val="12"/>
            <w:noWrap w:val="0"/>
            <w:vAlign w:val="center"/>
          </w:tcPr>
          <w:p w14:paraId="5A9C23EF">
            <w:pPr>
              <w:pStyle w:val="36"/>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宋体"/>
                <w:color w:val="auto"/>
                <w:kern w:val="2"/>
                <w:sz w:val="21"/>
                <w:szCs w:val="21"/>
                <w:highlight w:val="none"/>
                <w:lang w:val="en-US" w:eastAsia="zh-CN" w:bidi="ar-SA"/>
              </w:rPr>
              <w:t>在建和已完工程项目情况</w:t>
            </w:r>
          </w:p>
        </w:tc>
      </w:tr>
      <w:tr w14:paraId="0A39D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68" w:type="dxa"/>
            <w:gridSpan w:val="2"/>
            <w:noWrap w:val="0"/>
            <w:vAlign w:val="top"/>
          </w:tcPr>
          <w:p w14:paraId="462F5818">
            <w:pPr>
              <w:autoSpaceDE w:val="0"/>
              <w:autoSpaceDN w:val="0"/>
              <w:spacing w:line="480" w:lineRule="exact"/>
              <w:jc w:val="center"/>
              <w:rPr>
                <w:rStyle w:val="22"/>
                <w:rFonts w:hint="eastAsia" w:ascii="Times New Roman" w:hAnsi="Times New Roman"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建设单位</w:t>
            </w:r>
          </w:p>
        </w:tc>
        <w:tc>
          <w:tcPr>
            <w:tcW w:w="1568" w:type="dxa"/>
            <w:gridSpan w:val="2"/>
            <w:noWrap w:val="0"/>
            <w:vAlign w:val="top"/>
          </w:tcPr>
          <w:p w14:paraId="0B5DC9FB">
            <w:pPr>
              <w:autoSpaceDE w:val="0"/>
              <w:autoSpaceDN w:val="0"/>
              <w:spacing w:line="480" w:lineRule="exact"/>
              <w:jc w:val="center"/>
              <w:rPr>
                <w:rStyle w:val="22"/>
                <w:rFonts w:hint="eastAsia" w:ascii="Times New Roman" w:hAnsi="Times New Roman"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项目名称</w:t>
            </w:r>
          </w:p>
        </w:tc>
        <w:tc>
          <w:tcPr>
            <w:tcW w:w="1568" w:type="dxa"/>
            <w:gridSpan w:val="2"/>
            <w:noWrap w:val="0"/>
            <w:vAlign w:val="top"/>
          </w:tcPr>
          <w:p w14:paraId="349A2DE4">
            <w:pPr>
              <w:autoSpaceDE w:val="0"/>
              <w:autoSpaceDN w:val="0"/>
              <w:spacing w:line="480" w:lineRule="exact"/>
              <w:jc w:val="center"/>
              <w:rPr>
                <w:rStyle w:val="22"/>
                <w:rFonts w:hint="eastAsia" w:ascii="Times New Roman" w:hAnsi="Times New Roman"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建设规模</w:t>
            </w:r>
          </w:p>
        </w:tc>
        <w:tc>
          <w:tcPr>
            <w:tcW w:w="1568" w:type="dxa"/>
            <w:gridSpan w:val="2"/>
            <w:noWrap w:val="0"/>
            <w:vAlign w:val="top"/>
          </w:tcPr>
          <w:p w14:paraId="11E38FAB">
            <w:pPr>
              <w:autoSpaceDE w:val="0"/>
              <w:autoSpaceDN w:val="0"/>
              <w:spacing w:line="480" w:lineRule="exact"/>
              <w:jc w:val="center"/>
              <w:rPr>
                <w:rStyle w:val="22"/>
                <w:rFonts w:hint="eastAsia" w:ascii="Times New Roman" w:hAnsi="Times New Roman"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结构类型</w:t>
            </w:r>
          </w:p>
        </w:tc>
        <w:tc>
          <w:tcPr>
            <w:tcW w:w="1568" w:type="dxa"/>
            <w:gridSpan w:val="2"/>
            <w:noWrap w:val="0"/>
            <w:vAlign w:val="top"/>
          </w:tcPr>
          <w:p w14:paraId="3BE6F69E">
            <w:pPr>
              <w:autoSpaceDE w:val="0"/>
              <w:autoSpaceDN w:val="0"/>
              <w:spacing w:line="480" w:lineRule="exact"/>
              <w:jc w:val="center"/>
              <w:rPr>
                <w:rStyle w:val="22"/>
                <w:rFonts w:hint="eastAsia" w:ascii="Times New Roman" w:hAnsi="Times New Roman"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开、竣工日期</w:t>
            </w:r>
          </w:p>
        </w:tc>
        <w:tc>
          <w:tcPr>
            <w:tcW w:w="1570" w:type="dxa"/>
            <w:gridSpan w:val="2"/>
            <w:noWrap w:val="0"/>
            <w:vAlign w:val="top"/>
          </w:tcPr>
          <w:p w14:paraId="26F9C9A1">
            <w:pPr>
              <w:autoSpaceDE w:val="0"/>
              <w:autoSpaceDN w:val="0"/>
              <w:spacing w:line="480" w:lineRule="exact"/>
              <w:jc w:val="center"/>
              <w:rPr>
                <w:rStyle w:val="22"/>
                <w:rFonts w:hint="eastAsia" w:ascii="Times New Roman" w:hAnsi="Times New Roman"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工程质量</w:t>
            </w:r>
          </w:p>
        </w:tc>
      </w:tr>
      <w:tr w14:paraId="726D5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68" w:type="dxa"/>
            <w:gridSpan w:val="2"/>
            <w:noWrap w:val="0"/>
            <w:vAlign w:val="top"/>
          </w:tcPr>
          <w:p w14:paraId="18A3B670">
            <w:pPr>
              <w:autoSpaceDE w:val="0"/>
              <w:autoSpaceDN w:val="0"/>
              <w:spacing w:line="480" w:lineRule="exact"/>
              <w:jc w:val="center"/>
              <w:rPr>
                <w:rFonts w:hint="eastAsia" w:ascii="宋体" w:hAnsi="宋体" w:cs="宋体"/>
                <w:color w:val="auto"/>
                <w:sz w:val="21"/>
                <w:szCs w:val="21"/>
                <w:highlight w:val="none"/>
              </w:rPr>
            </w:pPr>
          </w:p>
        </w:tc>
        <w:tc>
          <w:tcPr>
            <w:tcW w:w="1568" w:type="dxa"/>
            <w:gridSpan w:val="2"/>
            <w:noWrap w:val="0"/>
            <w:vAlign w:val="top"/>
          </w:tcPr>
          <w:p w14:paraId="3D8B6671">
            <w:pPr>
              <w:autoSpaceDE w:val="0"/>
              <w:autoSpaceDN w:val="0"/>
              <w:spacing w:line="480" w:lineRule="exact"/>
              <w:jc w:val="center"/>
              <w:rPr>
                <w:rFonts w:hint="eastAsia" w:ascii="宋体" w:hAnsi="宋体" w:cs="宋体"/>
                <w:color w:val="auto"/>
                <w:sz w:val="21"/>
                <w:szCs w:val="21"/>
                <w:highlight w:val="none"/>
              </w:rPr>
            </w:pPr>
          </w:p>
        </w:tc>
        <w:tc>
          <w:tcPr>
            <w:tcW w:w="1568" w:type="dxa"/>
            <w:gridSpan w:val="2"/>
            <w:noWrap w:val="0"/>
            <w:vAlign w:val="top"/>
          </w:tcPr>
          <w:p w14:paraId="693A76F8">
            <w:pPr>
              <w:autoSpaceDE w:val="0"/>
              <w:autoSpaceDN w:val="0"/>
              <w:spacing w:line="480" w:lineRule="exact"/>
              <w:jc w:val="center"/>
              <w:rPr>
                <w:rFonts w:hint="eastAsia" w:ascii="宋体" w:hAnsi="宋体" w:cs="宋体"/>
                <w:color w:val="auto"/>
                <w:sz w:val="21"/>
                <w:szCs w:val="21"/>
                <w:highlight w:val="none"/>
              </w:rPr>
            </w:pPr>
          </w:p>
        </w:tc>
        <w:tc>
          <w:tcPr>
            <w:tcW w:w="1568" w:type="dxa"/>
            <w:gridSpan w:val="2"/>
            <w:noWrap w:val="0"/>
            <w:vAlign w:val="top"/>
          </w:tcPr>
          <w:p w14:paraId="2F51AFBC">
            <w:pPr>
              <w:autoSpaceDE w:val="0"/>
              <w:autoSpaceDN w:val="0"/>
              <w:spacing w:line="480" w:lineRule="exact"/>
              <w:jc w:val="center"/>
              <w:rPr>
                <w:rFonts w:hint="eastAsia" w:ascii="宋体" w:hAnsi="宋体" w:cs="宋体"/>
                <w:color w:val="auto"/>
                <w:sz w:val="21"/>
                <w:szCs w:val="21"/>
                <w:highlight w:val="none"/>
              </w:rPr>
            </w:pPr>
          </w:p>
        </w:tc>
        <w:tc>
          <w:tcPr>
            <w:tcW w:w="1568" w:type="dxa"/>
            <w:gridSpan w:val="2"/>
            <w:noWrap w:val="0"/>
            <w:vAlign w:val="top"/>
          </w:tcPr>
          <w:p w14:paraId="22EB53A0">
            <w:pPr>
              <w:autoSpaceDE w:val="0"/>
              <w:autoSpaceDN w:val="0"/>
              <w:spacing w:line="480" w:lineRule="exact"/>
              <w:jc w:val="center"/>
              <w:rPr>
                <w:rFonts w:hint="eastAsia" w:ascii="宋体" w:hAnsi="宋体" w:cs="宋体"/>
                <w:color w:val="auto"/>
                <w:sz w:val="21"/>
                <w:szCs w:val="21"/>
                <w:highlight w:val="none"/>
              </w:rPr>
            </w:pPr>
          </w:p>
        </w:tc>
        <w:tc>
          <w:tcPr>
            <w:tcW w:w="1570" w:type="dxa"/>
            <w:gridSpan w:val="2"/>
            <w:noWrap w:val="0"/>
            <w:vAlign w:val="top"/>
          </w:tcPr>
          <w:p w14:paraId="2A64A496">
            <w:pPr>
              <w:autoSpaceDE w:val="0"/>
              <w:autoSpaceDN w:val="0"/>
              <w:spacing w:line="480" w:lineRule="exact"/>
              <w:jc w:val="center"/>
              <w:rPr>
                <w:rFonts w:hint="eastAsia" w:ascii="宋体" w:hAnsi="宋体" w:cs="宋体"/>
                <w:color w:val="auto"/>
                <w:sz w:val="21"/>
                <w:szCs w:val="21"/>
                <w:highlight w:val="none"/>
              </w:rPr>
            </w:pPr>
          </w:p>
        </w:tc>
      </w:tr>
      <w:tr w14:paraId="3ACEB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68" w:type="dxa"/>
            <w:gridSpan w:val="2"/>
            <w:noWrap w:val="0"/>
            <w:vAlign w:val="top"/>
          </w:tcPr>
          <w:p w14:paraId="5A52CB32">
            <w:pPr>
              <w:autoSpaceDE w:val="0"/>
              <w:autoSpaceDN w:val="0"/>
              <w:spacing w:line="480" w:lineRule="exact"/>
              <w:jc w:val="center"/>
              <w:rPr>
                <w:rFonts w:hint="eastAsia" w:ascii="宋体" w:hAnsi="宋体" w:cs="宋体"/>
                <w:color w:val="auto"/>
                <w:sz w:val="21"/>
                <w:szCs w:val="21"/>
                <w:highlight w:val="none"/>
              </w:rPr>
            </w:pPr>
          </w:p>
        </w:tc>
        <w:tc>
          <w:tcPr>
            <w:tcW w:w="1568" w:type="dxa"/>
            <w:gridSpan w:val="2"/>
            <w:noWrap w:val="0"/>
            <w:vAlign w:val="top"/>
          </w:tcPr>
          <w:p w14:paraId="5A2DE255">
            <w:pPr>
              <w:autoSpaceDE w:val="0"/>
              <w:autoSpaceDN w:val="0"/>
              <w:spacing w:line="480" w:lineRule="exact"/>
              <w:jc w:val="center"/>
              <w:rPr>
                <w:rFonts w:hint="eastAsia" w:ascii="宋体" w:hAnsi="宋体" w:cs="宋体"/>
                <w:color w:val="auto"/>
                <w:sz w:val="21"/>
                <w:szCs w:val="21"/>
                <w:highlight w:val="none"/>
              </w:rPr>
            </w:pPr>
          </w:p>
        </w:tc>
        <w:tc>
          <w:tcPr>
            <w:tcW w:w="1568" w:type="dxa"/>
            <w:gridSpan w:val="2"/>
            <w:noWrap w:val="0"/>
            <w:vAlign w:val="top"/>
          </w:tcPr>
          <w:p w14:paraId="23697D72">
            <w:pPr>
              <w:autoSpaceDE w:val="0"/>
              <w:autoSpaceDN w:val="0"/>
              <w:spacing w:line="480" w:lineRule="exact"/>
              <w:jc w:val="center"/>
              <w:rPr>
                <w:rFonts w:hint="eastAsia" w:ascii="宋体" w:hAnsi="宋体" w:cs="宋体"/>
                <w:color w:val="auto"/>
                <w:sz w:val="21"/>
                <w:szCs w:val="21"/>
                <w:highlight w:val="none"/>
              </w:rPr>
            </w:pPr>
          </w:p>
        </w:tc>
        <w:tc>
          <w:tcPr>
            <w:tcW w:w="1568" w:type="dxa"/>
            <w:gridSpan w:val="2"/>
            <w:noWrap w:val="0"/>
            <w:vAlign w:val="top"/>
          </w:tcPr>
          <w:p w14:paraId="1FB1A0C0">
            <w:pPr>
              <w:autoSpaceDE w:val="0"/>
              <w:autoSpaceDN w:val="0"/>
              <w:spacing w:line="480" w:lineRule="exact"/>
              <w:jc w:val="center"/>
              <w:rPr>
                <w:rFonts w:hint="eastAsia" w:ascii="宋体" w:hAnsi="宋体" w:cs="宋体"/>
                <w:color w:val="auto"/>
                <w:sz w:val="21"/>
                <w:szCs w:val="21"/>
                <w:highlight w:val="none"/>
              </w:rPr>
            </w:pPr>
          </w:p>
        </w:tc>
        <w:tc>
          <w:tcPr>
            <w:tcW w:w="1568" w:type="dxa"/>
            <w:gridSpan w:val="2"/>
            <w:noWrap w:val="0"/>
            <w:vAlign w:val="top"/>
          </w:tcPr>
          <w:p w14:paraId="53E6F4ED">
            <w:pPr>
              <w:autoSpaceDE w:val="0"/>
              <w:autoSpaceDN w:val="0"/>
              <w:spacing w:line="480" w:lineRule="exact"/>
              <w:jc w:val="center"/>
              <w:rPr>
                <w:rFonts w:hint="eastAsia" w:ascii="宋体" w:hAnsi="宋体" w:cs="宋体"/>
                <w:color w:val="auto"/>
                <w:sz w:val="21"/>
                <w:szCs w:val="21"/>
                <w:highlight w:val="none"/>
              </w:rPr>
            </w:pPr>
          </w:p>
        </w:tc>
        <w:tc>
          <w:tcPr>
            <w:tcW w:w="1570" w:type="dxa"/>
            <w:gridSpan w:val="2"/>
            <w:noWrap w:val="0"/>
            <w:vAlign w:val="top"/>
          </w:tcPr>
          <w:p w14:paraId="1282FBC7">
            <w:pPr>
              <w:autoSpaceDE w:val="0"/>
              <w:autoSpaceDN w:val="0"/>
              <w:spacing w:line="480" w:lineRule="exact"/>
              <w:jc w:val="center"/>
              <w:rPr>
                <w:rFonts w:hint="eastAsia" w:ascii="宋体" w:hAnsi="宋体" w:cs="宋体"/>
                <w:color w:val="auto"/>
                <w:sz w:val="21"/>
                <w:szCs w:val="21"/>
                <w:highlight w:val="none"/>
              </w:rPr>
            </w:pPr>
          </w:p>
        </w:tc>
      </w:tr>
    </w:tbl>
    <w:p w14:paraId="4A05A4C0">
      <w:pPr>
        <w:pStyle w:val="36"/>
        <w:spacing w:line="360" w:lineRule="auto"/>
        <w:rPr>
          <w:rStyle w:val="22"/>
          <w:rFonts w:ascii="Times New Roman" w:hAnsi="Times New Roman" w:eastAsia="楷体_GB2312" w:cs="Times New Roman"/>
          <w:color w:val="auto"/>
          <w:szCs w:val="21"/>
          <w:highlight w:val="none"/>
        </w:rPr>
      </w:pPr>
      <w:r>
        <w:rPr>
          <w:rStyle w:val="22"/>
          <w:rFonts w:hint="eastAsia" w:ascii="Times New Roman" w:hAnsi="Times New Roman" w:eastAsia="楷体_GB2312" w:cs="楷体_GB2312"/>
          <w:color w:val="auto"/>
          <w:szCs w:val="21"/>
          <w:highlight w:val="none"/>
        </w:rPr>
        <w:t>备注：</w:t>
      </w:r>
    </w:p>
    <w:p w14:paraId="105D86A8">
      <w:pPr>
        <w:pStyle w:val="36"/>
        <w:spacing w:line="360" w:lineRule="auto"/>
        <w:ind w:firstLine="420" w:firstLineChars="200"/>
        <w:rPr>
          <w:rStyle w:val="22"/>
          <w:rFonts w:hint="eastAsia" w:ascii="Times New Roman" w:hAnsi="Times New Roman" w:eastAsia="楷体_GB2312" w:cs="Times New Roman"/>
          <w:color w:val="auto"/>
          <w:szCs w:val="21"/>
          <w:highlight w:val="none"/>
        </w:rPr>
      </w:pPr>
      <w:r>
        <w:rPr>
          <w:rStyle w:val="22"/>
          <w:rFonts w:hint="eastAsia" w:ascii="Times New Roman" w:hAnsi="Times New Roman" w:eastAsia="楷体_GB2312" w:cs="Times New Roman"/>
          <w:color w:val="auto"/>
          <w:szCs w:val="21"/>
          <w:highlight w:val="none"/>
        </w:rPr>
        <w:t>1、附项目经理的相关证明材料复印件</w:t>
      </w:r>
      <w:r>
        <w:rPr>
          <w:rStyle w:val="22"/>
          <w:rFonts w:hint="eastAsia" w:ascii="Times New Roman" w:hAnsi="Times New Roman" w:eastAsia="楷体_GB2312" w:cs="Times New Roman"/>
          <w:color w:val="auto"/>
          <w:szCs w:val="21"/>
          <w:highlight w:val="none"/>
          <w:lang w:eastAsia="zh-CN"/>
        </w:rPr>
        <w:t>。</w:t>
      </w:r>
    </w:p>
    <w:p w14:paraId="1DBACD7C">
      <w:pPr>
        <w:pStyle w:val="36"/>
        <w:spacing w:line="360" w:lineRule="auto"/>
        <w:ind w:firstLine="420" w:firstLineChars="200"/>
        <w:rPr>
          <w:rStyle w:val="22"/>
          <w:rFonts w:ascii="Times New Roman" w:hAnsi="Times New Roman" w:eastAsia="楷体_GB2312" w:cs="Times New Roman"/>
          <w:color w:val="auto"/>
          <w:szCs w:val="21"/>
          <w:highlight w:val="none"/>
        </w:rPr>
      </w:pPr>
    </w:p>
    <w:p w14:paraId="2C26D9EB">
      <w:pPr>
        <w:autoSpaceDE w:val="0"/>
        <w:autoSpaceDN w:val="0"/>
        <w:spacing w:line="360" w:lineRule="auto"/>
        <w:rPr>
          <w:rFonts w:ascii="宋体" w:hAnsi="宋体" w:cs="宋体"/>
          <w:b/>
          <w:color w:val="auto"/>
          <w:sz w:val="24"/>
          <w:highlight w:val="none"/>
        </w:rPr>
      </w:pPr>
    </w:p>
    <w:p w14:paraId="3BDF3E05">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C4518D5">
      <w:pPr>
        <w:autoSpaceDE w:val="0"/>
        <w:autoSpaceDN w:val="0"/>
        <w:spacing w:line="360" w:lineRule="auto"/>
        <w:ind w:firstLine="6480" w:firstLineChars="27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7405AB7C">
      <w:pP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br w:type="page"/>
      </w:r>
    </w:p>
    <w:p w14:paraId="63F256A0">
      <w:pPr>
        <w:pStyle w:val="36"/>
        <w:spacing w:before="120" w:beforeLines="50"/>
        <w:ind w:firstLine="643" w:firstLineChars="200"/>
        <w:jc w:val="center"/>
        <w:rPr>
          <w:rFonts w:hint="eastAsia" w:ascii="宋体" w:hAnsi="宋体" w:eastAsia="宋体" w:cs="宋体"/>
          <w:color w:val="auto"/>
          <w:sz w:val="29"/>
          <w:szCs w:val="29"/>
          <w:highlight w:val="none"/>
        </w:rPr>
      </w:pPr>
      <w:r>
        <w:rPr>
          <w:rStyle w:val="22"/>
          <w:rFonts w:hint="eastAsia" w:ascii="Times New Roman" w:hAnsi="Times New Roman" w:eastAsia="宋体" w:cs="宋体"/>
          <w:b/>
          <w:color w:val="auto"/>
          <w:sz w:val="32"/>
          <w:szCs w:val="32"/>
          <w:highlight w:val="none"/>
        </w:rPr>
        <w:t>2.项目技术负责人简历表</w:t>
      </w:r>
    </w:p>
    <w:p w14:paraId="6AA20EC7">
      <w:pPr>
        <w:rPr>
          <w:rFonts w:hint="eastAsia" w:ascii="宋体" w:hAnsi="宋体" w:eastAsia="宋体" w:cs="宋体"/>
          <w:color w:val="auto"/>
          <w:highlight w:val="none"/>
        </w:rPr>
      </w:pPr>
    </w:p>
    <w:p w14:paraId="18809623">
      <w:pPr>
        <w:spacing w:line="24" w:lineRule="exact"/>
        <w:rPr>
          <w:rFonts w:hint="eastAsia" w:ascii="宋体" w:hAnsi="宋体" w:eastAsia="宋体" w:cs="宋体"/>
          <w:color w:val="auto"/>
          <w:highlight w:val="none"/>
        </w:rPr>
      </w:pPr>
    </w:p>
    <w:tbl>
      <w:tblPr>
        <w:tblStyle w:val="40"/>
        <w:tblW w:w="90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1"/>
        <w:gridCol w:w="457"/>
        <w:gridCol w:w="1524"/>
        <w:gridCol w:w="324"/>
        <w:gridCol w:w="1199"/>
        <w:gridCol w:w="665"/>
        <w:gridCol w:w="859"/>
        <w:gridCol w:w="702"/>
        <w:gridCol w:w="821"/>
        <w:gridCol w:w="270"/>
        <w:gridCol w:w="1130"/>
      </w:tblGrid>
      <w:tr w14:paraId="22641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071" w:type="dxa"/>
            <w:noWrap w:val="0"/>
            <w:vAlign w:val="top"/>
          </w:tcPr>
          <w:p w14:paraId="22D80119">
            <w:pPr>
              <w:spacing w:before="102" w:line="227" w:lineRule="auto"/>
              <w:ind w:left="300"/>
              <w:rPr>
                <w:rFonts w:hint="eastAsia" w:ascii="宋体" w:hAnsi="宋体" w:eastAsia="宋体" w:cs="宋体"/>
                <w:color w:val="auto"/>
                <w:sz w:val="23"/>
                <w:szCs w:val="23"/>
                <w:highlight w:val="none"/>
              </w:rPr>
            </w:pPr>
            <w:r>
              <w:rPr>
                <w:rFonts w:hint="eastAsia" w:ascii="宋体" w:hAnsi="宋体" w:eastAsia="宋体" w:cs="宋体"/>
                <w:color w:val="auto"/>
                <w:spacing w:val="5"/>
                <w:sz w:val="23"/>
                <w:szCs w:val="23"/>
                <w:highlight w:val="none"/>
              </w:rPr>
              <w:t>姓名</w:t>
            </w:r>
          </w:p>
        </w:tc>
        <w:tc>
          <w:tcPr>
            <w:tcW w:w="2305" w:type="dxa"/>
            <w:gridSpan w:val="3"/>
            <w:noWrap w:val="0"/>
            <w:vAlign w:val="top"/>
          </w:tcPr>
          <w:p w14:paraId="309F46E1">
            <w:pPr>
              <w:rPr>
                <w:rFonts w:hint="eastAsia" w:ascii="宋体" w:hAnsi="宋体" w:eastAsia="宋体" w:cs="宋体"/>
                <w:color w:val="auto"/>
                <w:sz w:val="21"/>
                <w:highlight w:val="none"/>
              </w:rPr>
            </w:pPr>
          </w:p>
        </w:tc>
        <w:tc>
          <w:tcPr>
            <w:tcW w:w="1864" w:type="dxa"/>
            <w:gridSpan w:val="2"/>
            <w:noWrap w:val="0"/>
            <w:vAlign w:val="top"/>
          </w:tcPr>
          <w:p w14:paraId="50B0AF3F">
            <w:pPr>
              <w:spacing w:before="102" w:line="228" w:lineRule="auto"/>
              <w:ind w:left="700"/>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性</w:t>
            </w:r>
            <w:r>
              <w:rPr>
                <w:rFonts w:hint="eastAsia" w:ascii="宋体" w:hAnsi="宋体" w:eastAsia="宋体" w:cs="宋体"/>
                <w:color w:val="auto"/>
                <w:spacing w:val="3"/>
                <w:sz w:val="23"/>
                <w:szCs w:val="23"/>
                <w:highlight w:val="none"/>
              </w:rPr>
              <w:t>别</w:t>
            </w:r>
          </w:p>
        </w:tc>
        <w:tc>
          <w:tcPr>
            <w:tcW w:w="1561" w:type="dxa"/>
            <w:gridSpan w:val="2"/>
            <w:noWrap w:val="0"/>
            <w:vAlign w:val="top"/>
          </w:tcPr>
          <w:p w14:paraId="0DB99D04">
            <w:pPr>
              <w:rPr>
                <w:rFonts w:hint="eastAsia" w:ascii="宋体" w:hAnsi="宋体" w:eastAsia="宋体" w:cs="宋体"/>
                <w:color w:val="auto"/>
                <w:sz w:val="21"/>
                <w:highlight w:val="none"/>
              </w:rPr>
            </w:pPr>
          </w:p>
        </w:tc>
        <w:tc>
          <w:tcPr>
            <w:tcW w:w="1091" w:type="dxa"/>
            <w:gridSpan w:val="2"/>
            <w:noWrap w:val="0"/>
            <w:vAlign w:val="top"/>
          </w:tcPr>
          <w:p w14:paraId="7403D8A0">
            <w:pPr>
              <w:spacing w:before="102" w:line="227" w:lineRule="auto"/>
              <w:ind w:left="314"/>
              <w:rPr>
                <w:rFonts w:hint="eastAsia" w:ascii="宋体" w:hAnsi="宋体" w:eastAsia="宋体" w:cs="宋体"/>
                <w:color w:val="auto"/>
                <w:sz w:val="23"/>
                <w:szCs w:val="23"/>
                <w:highlight w:val="none"/>
              </w:rPr>
            </w:pPr>
            <w:r>
              <w:rPr>
                <w:rFonts w:hint="eastAsia" w:ascii="宋体" w:hAnsi="宋体" w:eastAsia="宋体" w:cs="宋体"/>
                <w:color w:val="auto"/>
                <w:spacing w:val="5"/>
                <w:sz w:val="23"/>
                <w:szCs w:val="23"/>
                <w:highlight w:val="none"/>
              </w:rPr>
              <w:t>年</w:t>
            </w:r>
            <w:r>
              <w:rPr>
                <w:rFonts w:hint="eastAsia" w:ascii="宋体" w:hAnsi="宋体" w:eastAsia="宋体" w:cs="宋体"/>
                <w:color w:val="auto"/>
                <w:spacing w:val="4"/>
                <w:sz w:val="23"/>
                <w:szCs w:val="23"/>
                <w:highlight w:val="none"/>
              </w:rPr>
              <w:t>龄</w:t>
            </w:r>
          </w:p>
        </w:tc>
        <w:tc>
          <w:tcPr>
            <w:tcW w:w="1130" w:type="dxa"/>
            <w:noWrap w:val="0"/>
            <w:vAlign w:val="top"/>
          </w:tcPr>
          <w:p w14:paraId="4F0D1BE4">
            <w:pPr>
              <w:rPr>
                <w:rFonts w:hint="eastAsia" w:ascii="宋体" w:hAnsi="宋体" w:eastAsia="宋体" w:cs="宋体"/>
                <w:color w:val="auto"/>
                <w:sz w:val="21"/>
                <w:highlight w:val="none"/>
              </w:rPr>
            </w:pPr>
          </w:p>
        </w:tc>
      </w:tr>
      <w:tr w14:paraId="1AE3C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071" w:type="dxa"/>
            <w:noWrap w:val="0"/>
            <w:vAlign w:val="top"/>
          </w:tcPr>
          <w:p w14:paraId="79245D1C">
            <w:pPr>
              <w:spacing w:before="108" w:line="227" w:lineRule="auto"/>
              <w:ind w:left="301"/>
              <w:rPr>
                <w:rFonts w:hint="eastAsia" w:ascii="宋体" w:hAnsi="宋体" w:eastAsia="宋体" w:cs="宋体"/>
                <w:color w:val="auto"/>
                <w:sz w:val="23"/>
                <w:szCs w:val="23"/>
                <w:highlight w:val="none"/>
              </w:rPr>
            </w:pPr>
            <w:r>
              <w:rPr>
                <w:rFonts w:hint="eastAsia" w:ascii="宋体" w:hAnsi="宋体" w:eastAsia="宋体" w:cs="宋体"/>
                <w:color w:val="auto"/>
                <w:spacing w:val="5"/>
                <w:sz w:val="23"/>
                <w:szCs w:val="23"/>
                <w:highlight w:val="none"/>
              </w:rPr>
              <w:t>职</w:t>
            </w:r>
            <w:r>
              <w:rPr>
                <w:rFonts w:hint="eastAsia" w:ascii="宋体" w:hAnsi="宋体" w:eastAsia="宋体" w:cs="宋体"/>
                <w:color w:val="auto"/>
                <w:spacing w:val="4"/>
                <w:sz w:val="23"/>
                <w:szCs w:val="23"/>
                <w:highlight w:val="none"/>
              </w:rPr>
              <w:t>务</w:t>
            </w:r>
          </w:p>
        </w:tc>
        <w:tc>
          <w:tcPr>
            <w:tcW w:w="2305" w:type="dxa"/>
            <w:gridSpan w:val="3"/>
            <w:noWrap w:val="0"/>
            <w:vAlign w:val="top"/>
          </w:tcPr>
          <w:p w14:paraId="76AA2312">
            <w:pPr>
              <w:rPr>
                <w:rFonts w:hint="eastAsia" w:ascii="宋体" w:hAnsi="宋体" w:eastAsia="宋体" w:cs="宋体"/>
                <w:color w:val="auto"/>
                <w:sz w:val="21"/>
                <w:highlight w:val="none"/>
              </w:rPr>
            </w:pPr>
          </w:p>
        </w:tc>
        <w:tc>
          <w:tcPr>
            <w:tcW w:w="1864" w:type="dxa"/>
            <w:gridSpan w:val="2"/>
            <w:noWrap w:val="0"/>
            <w:vAlign w:val="top"/>
          </w:tcPr>
          <w:p w14:paraId="19C827C2">
            <w:pPr>
              <w:spacing w:before="107" w:line="230" w:lineRule="auto"/>
              <w:ind w:left="698"/>
              <w:rPr>
                <w:rFonts w:hint="eastAsia" w:ascii="宋体" w:hAnsi="宋体" w:eastAsia="宋体" w:cs="宋体"/>
                <w:color w:val="auto"/>
                <w:sz w:val="23"/>
                <w:szCs w:val="23"/>
                <w:highlight w:val="none"/>
              </w:rPr>
            </w:pPr>
            <w:r>
              <w:rPr>
                <w:rFonts w:hint="eastAsia" w:ascii="宋体" w:hAnsi="宋体" w:eastAsia="宋体" w:cs="宋体"/>
                <w:color w:val="auto"/>
                <w:spacing w:val="5"/>
                <w:sz w:val="23"/>
                <w:szCs w:val="23"/>
                <w:highlight w:val="none"/>
              </w:rPr>
              <w:t>职</w:t>
            </w:r>
            <w:r>
              <w:rPr>
                <w:rFonts w:hint="eastAsia" w:ascii="宋体" w:hAnsi="宋体" w:eastAsia="宋体" w:cs="宋体"/>
                <w:color w:val="auto"/>
                <w:spacing w:val="4"/>
                <w:sz w:val="23"/>
                <w:szCs w:val="23"/>
                <w:highlight w:val="none"/>
              </w:rPr>
              <w:t>称</w:t>
            </w:r>
          </w:p>
        </w:tc>
        <w:tc>
          <w:tcPr>
            <w:tcW w:w="1561" w:type="dxa"/>
            <w:gridSpan w:val="2"/>
            <w:noWrap w:val="0"/>
            <w:vAlign w:val="top"/>
          </w:tcPr>
          <w:p w14:paraId="4A57EEF2">
            <w:pPr>
              <w:rPr>
                <w:rFonts w:hint="eastAsia" w:ascii="宋体" w:hAnsi="宋体" w:eastAsia="宋体" w:cs="宋体"/>
                <w:color w:val="auto"/>
                <w:sz w:val="21"/>
                <w:highlight w:val="none"/>
              </w:rPr>
            </w:pPr>
          </w:p>
        </w:tc>
        <w:tc>
          <w:tcPr>
            <w:tcW w:w="1091" w:type="dxa"/>
            <w:gridSpan w:val="2"/>
            <w:noWrap w:val="0"/>
            <w:vAlign w:val="top"/>
          </w:tcPr>
          <w:p w14:paraId="15839207">
            <w:pPr>
              <w:spacing w:before="107" w:line="229" w:lineRule="auto"/>
              <w:ind w:left="318"/>
              <w:rPr>
                <w:rFonts w:hint="eastAsia" w:ascii="宋体" w:hAnsi="宋体" w:eastAsia="宋体" w:cs="宋体"/>
                <w:color w:val="auto"/>
                <w:sz w:val="23"/>
                <w:szCs w:val="23"/>
                <w:highlight w:val="none"/>
              </w:rPr>
            </w:pPr>
            <w:r>
              <w:rPr>
                <w:rFonts w:hint="eastAsia" w:ascii="宋体" w:hAnsi="宋体" w:eastAsia="宋体" w:cs="宋体"/>
                <w:color w:val="auto"/>
                <w:spacing w:val="3"/>
                <w:sz w:val="23"/>
                <w:szCs w:val="23"/>
                <w:highlight w:val="none"/>
              </w:rPr>
              <w:t>学</w:t>
            </w:r>
            <w:r>
              <w:rPr>
                <w:rFonts w:hint="eastAsia" w:ascii="宋体" w:hAnsi="宋体" w:eastAsia="宋体" w:cs="宋体"/>
                <w:color w:val="auto"/>
                <w:spacing w:val="2"/>
                <w:sz w:val="23"/>
                <w:szCs w:val="23"/>
                <w:highlight w:val="none"/>
              </w:rPr>
              <w:t>历</w:t>
            </w:r>
          </w:p>
        </w:tc>
        <w:tc>
          <w:tcPr>
            <w:tcW w:w="1130" w:type="dxa"/>
            <w:noWrap w:val="0"/>
            <w:vAlign w:val="top"/>
          </w:tcPr>
          <w:p w14:paraId="75D237A4">
            <w:pPr>
              <w:rPr>
                <w:rFonts w:hint="eastAsia" w:ascii="宋体" w:hAnsi="宋体" w:eastAsia="宋体" w:cs="宋体"/>
                <w:color w:val="auto"/>
                <w:sz w:val="21"/>
                <w:highlight w:val="none"/>
              </w:rPr>
            </w:pPr>
          </w:p>
        </w:tc>
      </w:tr>
      <w:tr w14:paraId="3CBDB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3376" w:type="dxa"/>
            <w:gridSpan w:val="4"/>
            <w:noWrap w:val="0"/>
            <w:vAlign w:val="top"/>
          </w:tcPr>
          <w:p w14:paraId="28C30934">
            <w:pPr>
              <w:spacing w:before="175" w:line="228" w:lineRule="auto"/>
              <w:ind w:left="977"/>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参加工作时间</w:t>
            </w:r>
          </w:p>
        </w:tc>
        <w:tc>
          <w:tcPr>
            <w:tcW w:w="1864" w:type="dxa"/>
            <w:gridSpan w:val="2"/>
            <w:noWrap w:val="0"/>
            <w:vAlign w:val="top"/>
          </w:tcPr>
          <w:p w14:paraId="33AA3E14">
            <w:pPr>
              <w:rPr>
                <w:rFonts w:hint="eastAsia" w:ascii="宋体" w:hAnsi="宋体" w:eastAsia="宋体" w:cs="宋体"/>
                <w:color w:val="auto"/>
                <w:sz w:val="21"/>
                <w:highlight w:val="none"/>
              </w:rPr>
            </w:pPr>
          </w:p>
        </w:tc>
        <w:tc>
          <w:tcPr>
            <w:tcW w:w="2652" w:type="dxa"/>
            <w:gridSpan w:val="4"/>
            <w:noWrap w:val="0"/>
            <w:vAlign w:val="top"/>
          </w:tcPr>
          <w:p w14:paraId="057CABFA">
            <w:pPr>
              <w:spacing w:before="176" w:line="227" w:lineRule="auto"/>
              <w:ind w:left="255"/>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担任技术负责人年</w:t>
            </w:r>
            <w:r>
              <w:rPr>
                <w:rFonts w:hint="eastAsia" w:ascii="宋体" w:hAnsi="宋体" w:eastAsia="宋体" w:cs="宋体"/>
                <w:color w:val="auto"/>
                <w:spacing w:val="7"/>
                <w:sz w:val="23"/>
                <w:szCs w:val="23"/>
                <w:highlight w:val="none"/>
              </w:rPr>
              <w:t>限</w:t>
            </w:r>
          </w:p>
        </w:tc>
        <w:tc>
          <w:tcPr>
            <w:tcW w:w="1130" w:type="dxa"/>
            <w:noWrap w:val="0"/>
            <w:vAlign w:val="top"/>
          </w:tcPr>
          <w:p w14:paraId="65F5CE9D">
            <w:pPr>
              <w:rPr>
                <w:rFonts w:hint="eastAsia" w:ascii="宋体" w:hAnsi="宋体" w:eastAsia="宋体" w:cs="宋体"/>
                <w:color w:val="auto"/>
                <w:sz w:val="21"/>
                <w:highlight w:val="none"/>
              </w:rPr>
            </w:pPr>
          </w:p>
        </w:tc>
      </w:tr>
      <w:tr w14:paraId="41567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9022" w:type="dxa"/>
            <w:gridSpan w:val="11"/>
            <w:noWrap w:val="0"/>
            <w:vAlign w:val="top"/>
          </w:tcPr>
          <w:p w14:paraId="73F1CC83">
            <w:pPr>
              <w:spacing w:before="186" w:line="227" w:lineRule="auto"/>
              <w:ind w:left="3196"/>
              <w:rPr>
                <w:rFonts w:hint="eastAsia" w:ascii="宋体" w:hAnsi="宋体" w:eastAsia="宋体" w:cs="宋体"/>
                <w:color w:val="auto"/>
                <w:sz w:val="23"/>
                <w:szCs w:val="23"/>
                <w:highlight w:val="none"/>
              </w:rPr>
            </w:pPr>
            <w:r>
              <w:rPr>
                <w:rFonts w:hint="eastAsia" w:ascii="宋体" w:hAnsi="宋体" w:eastAsia="宋体" w:cs="宋体"/>
                <w:color w:val="auto"/>
                <w:spacing w:val="11"/>
                <w:sz w:val="23"/>
                <w:szCs w:val="23"/>
                <w:highlight w:val="none"/>
              </w:rPr>
              <w:t>在</w:t>
            </w:r>
            <w:r>
              <w:rPr>
                <w:rFonts w:hint="eastAsia" w:ascii="宋体" w:hAnsi="宋体" w:eastAsia="宋体" w:cs="宋体"/>
                <w:color w:val="auto"/>
                <w:spacing w:val="9"/>
                <w:sz w:val="23"/>
                <w:szCs w:val="23"/>
                <w:highlight w:val="none"/>
              </w:rPr>
              <w:t>建和已完工程项目情况</w:t>
            </w:r>
          </w:p>
        </w:tc>
      </w:tr>
      <w:tr w14:paraId="22CA0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528" w:type="dxa"/>
            <w:gridSpan w:val="2"/>
            <w:noWrap w:val="0"/>
            <w:vAlign w:val="top"/>
          </w:tcPr>
          <w:p w14:paraId="1E78A9CA">
            <w:pPr>
              <w:spacing w:before="194" w:line="228" w:lineRule="auto"/>
              <w:ind w:left="294"/>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建设单</w:t>
            </w:r>
            <w:r>
              <w:rPr>
                <w:rFonts w:hint="eastAsia" w:ascii="宋体" w:hAnsi="宋体" w:eastAsia="宋体" w:cs="宋体"/>
                <w:color w:val="auto"/>
                <w:spacing w:val="6"/>
                <w:sz w:val="23"/>
                <w:szCs w:val="23"/>
                <w:highlight w:val="none"/>
              </w:rPr>
              <w:t>位</w:t>
            </w:r>
          </w:p>
        </w:tc>
        <w:tc>
          <w:tcPr>
            <w:tcW w:w="1524" w:type="dxa"/>
            <w:noWrap w:val="0"/>
            <w:vAlign w:val="top"/>
          </w:tcPr>
          <w:p w14:paraId="61443976">
            <w:pPr>
              <w:spacing w:before="194" w:line="228" w:lineRule="auto"/>
              <w:ind w:left="291"/>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项</w:t>
            </w:r>
            <w:r>
              <w:rPr>
                <w:rFonts w:hint="eastAsia" w:ascii="宋体" w:hAnsi="宋体" w:eastAsia="宋体" w:cs="宋体"/>
                <w:color w:val="auto"/>
                <w:spacing w:val="6"/>
                <w:sz w:val="23"/>
                <w:szCs w:val="23"/>
                <w:highlight w:val="none"/>
              </w:rPr>
              <w:t>目名称</w:t>
            </w:r>
          </w:p>
        </w:tc>
        <w:tc>
          <w:tcPr>
            <w:tcW w:w="1523" w:type="dxa"/>
            <w:gridSpan w:val="2"/>
            <w:noWrap w:val="0"/>
            <w:vAlign w:val="top"/>
          </w:tcPr>
          <w:p w14:paraId="25BFC31D">
            <w:pPr>
              <w:spacing w:before="195" w:line="227" w:lineRule="auto"/>
              <w:ind w:left="290"/>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建设规</w:t>
            </w:r>
            <w:r>
              <w:rPr>
                <w:rFonts w:hint="eastAsia" w:ascii="宋体" w:hAnsi="宋体" w:eastAsia="宋体" w:cs="宋体"/>
                <w:color w:val="auto"/>
                <w:spacing w:val="6"/>
                <w:sz w:val="23"/>
                <w:szCs w:val="23"/>
                <w:highlight w:val="none"/>
              </w:rPr>
              <w:t>模</w:t>
            </w:r>
          </w:p>
        </w:tc>
        <w:tc>
          <w:tcPr>
            <w:tcW w:w="1524" w:type="dxa"/>
            <w:gridSpan w:val="2"/>
            <w:noWrap w:val="0"/>
            <w:vAlign w:val="top"/>
          </w:tcPr>
          <w:p w14:paraId="4E6268C6">
            <w:pPr>
              <w:spacing w:before="38" w:line="236" w:lineRule="auto"/>
              <w:ind w:left="650" w:right="160" w:hanging="481"/>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开、竣工</w:t>
            </w:r>
            <w:r>
              <w:rPr>
                <w:rFonts w:hint="eastAsia" w:ascii="宋体" w:hAnsi="宋体" w:eastAsia="宋体" w:cs="宋体"/>
                <w:color w:val="auto"/>
                <w:spacing w:val="7"/>
                <w:sz w:val="23"/>
                <w:szCs w:val="23"/>
                <w:highlight w:val="none"/>
              </w:rPr>
              <w:t>日</w:t>
            </w:r>
            <w:r>
              <w:rPr>
                <w:rFonts w:hint="eastAsia" w:ascii="宋体" w:hAnsi="宋体" w:eastAsia="宋体" w:cs="宋体"/>
                <w:color w:val="auto"/>
                <w:sz w:val="23"/>
                <w:szCs w:val="23"/>
                <w:highlight w:val="none"/>
              </w:rPr>
              <w:t xml:space="preserve"> 期</w:t>
            </w:r>
          </w:p>
        </w:tc>
        <w:tc>
          <w:tcPr>
            <w:tcW w:w="1523" w:type="dxa"/>
            <w:gridSpan w:val="2"/>
            <w:noWrap w:val="0"/>
            <w:vAlign w:val="top"/>
          </w:tcPr>
          <w:p w14:paraId="767D8A32">
            <w:pPr>
              <w:spacing w:before="195" w:line="227" w:lineRule="auto"/>
              <w:ind w:left="169"/>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在</w:t>
            </w:r>
            <w:r>
              <w:rPr>
                <w:rFonts w:hint="eastAsia" w:ascii="宋体" w:hAnsi="宋体" w:eastAsia="宋体" w:cs="宋体"/>
                <w:color w:val="auto"/>
                <w:spacing w:val="8"/>
                <w:sz w:val="23"/>
                <w:szCs w:val="23"/>
                <w:highlight w:val="none"/>
              </w:rPr>
              <w:t>建或已完</w:t>
            </w:r>
          </w:p>
        </w:tc>
        <w:tc>
          <w:tcPr>
            <w:tcW w:w="1400" w:type="dxa"/>
            <w:gridSpan w:val="2"/>
            <w:noWrap w:val="0"/>
            <w:vAlign w:val="top"/>
          </w:tcPr>
          <w:p w14:paraId="5CBB8C14">
            <w:pPr>
              <w:spacing w:before="194" w:line="228" w:lineRule="auto"/>
              <w:ind w:left="229"/>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工程质</w:t>
            </w:r>
            <w:r>
              <w:rPr>
                <w:rFonts w:hint="eastAsia" w:ascii="宋体" w:hAnsi="宋体" w:eastAsia="宋体" w:cs="宋体"/>
                <w:color w:val="auto"/>
                <w:spacing w:val="6"/>
                <w:sz w:val="23"/>
                <w:szCs w:val="23"/>
                <w:highlight w:val="none"/>
              </w:rPr>
              <w:t>量</w:t>
            </w:r>
          </w:p>
        </w:tc>
      </w:tr>
      <w:tr w14:paraId="3753E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1528" w:type="dxa"/>
            <w:gridSpan w:val="2"/>
            <w:noWrap w:val="0"/>
            <w:vAlign w:val="top"/>
          </w:tcPr>
          <w:p w14:paraId="0CE05671">
            <w:pPr>
              <w:rPr>
                <w:rFonts w:hint="eastAsia" w:ascii="宋体" w:hAnsi="宋体" w:eastAsia="宋体" w:cs="宋体"/>
                <w:color w:val="auto"/>
                <w:sz w:val="21"/>
                <w:highlight w:val="none"/>
              </w:rPr>
            </w:pPr>
          </w:p>
        </w:tc>
        <w:tc>
          <w:tcPr>
            <w:tcW w:w="1524" w:type="dxa"/>
            <w:noWrap w:val="0"/>
            <w:vAlign w:val="top"/>
          </w:tcPr>
          <w:p w14:paraId="75B77740">
            <w:pPr>
              <w:rPr>
                <w:rFonts w:hint="eastAsia" w:ascii="宋体" w:hAnsi="宋体" w:eastAsia="宋体" w:cs="宋体"/>
                <w:color w:val="auto"/>
                <w:sz w:val="21"/>
                <w:highlight w:val="none"/>
              </w:rPr>
            </w:pPr>
          </w:p>
        </w:tc>
        <w:tc>
          <w:tcPr>
            <w:tcW w:w="1523" w:type="dxa"/>
            <w:gridSpan w:val="2"/>
            <w:noWrap w:val="0"/>
            <w:vAlign w:val="top"/>
          </w:tcPr>
          <w:p w14:paraId="67DAE766">
            <w:pPr>
              <w:rPr>
                <w:rFonts w:hint="eastAsia" w:ascii="宋体" w:hAnsi="宋体" w:eastAsia="宋体" w:cs="宋体"/>
                <w:color w:val="auto"/>
                <w:sz w:val="21"/>
                <w:highlight w:val="none"/>
              </w:rPr>
            </w:pPr>
          </w:p>
        </w:tc>
        <w:tc>
          <w:tcPr>
            <w:tcW w:w="1524" w:type="dxa"/>
            <w:gridSpan w:val="2"/>
            <w:noWrap w:val="0"/>
            <w:vAlign w:val="top"/>
          </w:tcPr>
          <w:p w14:paraId="33FAF97E">
            <w:pPr>
              <w:rPr>
                <w:rFonts w:hint="eastAsia" w:ascii="宋体" w:hAnsi="宋体" w:eastAsia="宋体" w:cs="宋体"/>
                <w:color w:val="auto"/>
                <w:sz w:val="21"/>
                <w:highlight w:val="none"/>
              </w:rPr>
            </w:pPr>
          </w:p>
        </w:tc>
        <w:tc>
          <w:tcPr>
            <w:tcW w:w="1523" w:type="dxa"/>
            <w:gridSpan w:val="2"/>
            <w:noWrap w:val="0"/>
            <w:vAlign w:val="top"/>
          </w:tcPr>
          <w:p w14:paraId="51EE0FD6">
            <w:pPr>
              <w:rPr>
                <w:rFonts w:hint="eastAsia" w:ascii="宋体" w:hAnsi="宋体" w:eastAsia="宋体" w:cs="宋体"/>
                <w:color w:val="auto"/>
                <w:sz w:val="21"/>
                <w:highlight w:val="none"/>
              </w:rPr>
            </w:pPr>
          </w:p>
        </w:tc>
        <w:tc>
          <w:tcPr>
            <w:tcW w:w="1400" w:type="dxa"/>
            <w:gridSpan w:val="2"/>
            <w:noWrap w:val="0"/>
            <w:vAlign w:val="top"/>
          </w:tcPr>
          <w:p w14:paraId="2483D8AB">
            <w:pPr>
              <w:rPr>
                <w:rFonts w:hint="eastAsia" w:ascii="宋体" w:hAnsi="宋体" w:eastAsia="宋体" w:cs="宋体"/>
                <w:color w:val="auto"/>
                <w:sz w:val="21"/>
                <w:highlight w:val="none"/>
              </w:rPr>
            </w:pPr>
          </w:p>
        </w:tc>
      </w:tr>
      <w:tr w14:paraId="5D800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1528" w:type="dxa"/>
            <w:gridSpan w:val="2"/>
            <w:noWrap w:val="0"/>
            <w:vAlign w:val="top"/>
          </w:tcPr>
          <w:p w14:paraId="4D39AB85">
            <w:pPr>
              <w:rPr>
                <w:rFonts w:hint="eastAsia" w:ascii="宋体" w:hAnsi="宋体" w:eastAsia="宋体" w:cs="宋体"/>
                <w:color w:val="auto"/>
                <w:sz w:val="21"/>
                <w:highlight w:val="none"/>
              </w:rPr>
            </w:pPr>
          </w:p>
        </w:tc>
        <w:tc>
          <w:tcPr>
            <w:tcW w:w="1524" w:type="dxa"/>
            <w:noWrap w:val="0"/>
            <w:vAlign w:val="top"/>
          </w:tcPr>
          <w:p w14:paraId="7D4F3126">
            <w:pPr>
              <w:rPr>
                <w:rFonts w:hint="eastAsia" w:ascii="宋体" w:hAnsi="宋体" w:eastAsia="宋体" w:cs="宋体"/>
                <w:color w:val="auto"/>
                <w:sz w:val="21"/>
                <w:highlight w:val="none"/>
              </w:rPr>
            </w:pPr>
          </w:p>
        </w:tc>
        <w:tc>
          <w:tcPr>
            <w:tcW w:w="1523" w:type="dxa"/>
            <w:gridSpan w:val="2"/>
            <w:noWrap w:val="0"/>
            <w:vAlign w:val="top"/>
          </w:tcPr>
          <w:p w14:paraId="029D9E5F">
            <w:pPr>
              <w:rPr>
                <w:rFonts w:hint="eastAsia" w:ascii="宋体" w:hAnsi="宋体" w:eastAsia="宋体" w:cs="宋体"/>
                <w:color w:val="auto"/>
                <w:sz w:val="21"/>
                <w:highlight w:val="none"/>
              </w:rPr>
            </w:pPr>
          </w:p>
        </w:tc>
        <w:tc>
          <w:tcPr>
            <w:tcW w:w="1524" w:type="dxa"/>
            <w:gridSpan w:val="2"/>
            <w:noWrap w:val="0"/>
            <w:vAlign w:val="top"/>
          </w:tcPr>
          <w:p w14:paraId="3C1EF870">
            <w:pPr>
              <w:rPr>
                <w:rFonts w:hint="eastAsia" w:ascii="宋体" w:hAnsi="宋体" w:eastAsia="宋体" w:cs="宋体"/>
                <w:color w:val="auto"/>
                <w:sz w:val="21"/>
                <w:highlight w:val="none"/>
              </w:rPr>
            </w:pPr>
          </w:p>
        </w:tc>
        <w:tc>
          <w:tcPr>
            <w:tcW w:w="1523" w:type="dxa"/>
            <w:gridSpan w:val="2"/>
            <w:noWrap w:val="0"/>
            <w:vAlign w:val="top"/>
          </w:tcPr>
          <w:p w14:paraId="4E9908CD">
            <w:pPr>
              <w:rPr>
                <w:rFonts w:hint="eastAsia" w:ascii="宋体" w:hAnsi="宋体" w:eastAsia="宋体" w:cs="宋体"/>
                <w:color w:val="auto"/>
                <w:sz w:val="21"/>
                <w:highlight w:val="none"/>
              </w:rPr>
            </w:pPr>
          </w:p>
        </w:tc>
        <w:tc>
          <w:tcPr>
            <w:tcW w:w="1400" w:type="dxa"/>
            <w:gridSpan w:val="2"/>
            <w:noWrap w:val="0"/>
            <w:vAlign w:val="top"/>
          </w:tcPr>
          <w:p w14:paraId="0B05D2FF">
            <w:pPr>
              <w:rPr>
                <w:rFonts w:hint="eastAsia" w:ascii="宋体" w:hAnsi="宋体" w:eastAsia="宋体" w:cs="宋体"/>
                <w:color w:val="auto"/>
                <w:sz w:val="21"/>
                <w:highlight w:val="none"/>
              </w:rPr>
            </w:pPr>
          </w:p>
        </w:tc>
      </w:tr>
      <w:tr w14:paraId="30B46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1528" w:type="dxa"/>
            <w:gridSpan w:val="2"/>
            <w:noWrap w:val="0"/>
            <w:vAlign w:val="top"/>
          </w:tcPr>
          <w:p w14:paraId="16E63BF1">
            <w:pPr>
              <w:rPr>
                <w:rFonts w:hint="eastAsia" w:ascii="宋体" w:hAnsi="宋体" w:eastAsia="宋体" w:cs="宋体"/>
                <w:color w:val="auto"/>
                <w:sz w:val="21"/>
                <w:highlight w:val="none"/>
              </w:rPr>
            </w:pPr>
          </w:p>
        </w:tc>
        <w:tc>
          <w:tcPr>
            <w:tcW w:w="1524" w:type="dxa"/>
            <w:noWrap w:val="0"/>
            <w:vAlign w:val="top"/>
          </w:tcPr>
          <w:p w14:paraId="4CFD4842">
            <w:pPr>
              <w:rPr>
                <w:rFonts w:hint="eastAsia" w:ascii="宋体" w:hAnsi="宋体" w:eastAsia="宋体" w:cs="宋体"/>
                <w:color w:val="auto"/>
                <w:sz w:val="21"/>
                <w:highlight w:val="none"/>
              </w:rPr>
            </w:pPr>
          </w:p>
        </w:tc>
        <w:tc>
          <w:tcPr>
            <w:tcW w:w="1523" w:type="dxa"/>
            <w:gridSpan w:val="2"/>
            <w:noWrap w:val="0"/>
            <w:vAlign w:val="top"/>
          </w:tcPr>
          <w:p w14:paraId="74278C18">
            <w:pPr>
              <w:rPr>
                <w:rFonts w:hint="eastAsia" w:ascii="宋体" w:hAnsi="宋体" w:eastAsia="宋体" w:cs="宋体"/>
                <w:color w:val="auto"/>
                <w:sz w:val="21"/>
                <w:highlight w:val="none"/>
              </w:rPr>
            </w:pPr>
          </w:p>
        </w:tc>
        <w:tc>
          <w:tcPr>
            <w:tcW w:w="1524" w:type="dxa"/>
            <w:gridSpan w:val="2"/>
            <w:noWrap w:val="0"/>
            <w:vAlign w:val="top"/>
          </w:tcPr>
          <w:p w14:paraId="1692E62F">
            <w:pPr>
              <w:rPr>
                <w:rFonts w:hint="eastAsia" w:ascii="宋体" w:hAnsi="宋体" w:eastAsia="宋体" w:cs="宋体"/>
                <w:color w:val="auto"/>
                <w:sz w:val="21"/>
                <w:highlight w:val="none"/>
              </w:rPr>
            </w:pPr>
          </w:p>
        </w:tc>
        <w:tc>
          <w:tcPr>
            <w:tcW w:w="1523" w:type="dxa"/>
            <w:gridSpan w:val="2"/>
            <w:noWrap w:val="0"/>
            <w:vAlign w:val="top"/>
          </w:tcPr>
          <w:p w14:paraId="484253F1">
            <w:pPr>
              <w:rPr>
                <w:rFonts w:hint="eastAsia" w:ascii="宋体" w:hAnsi="宋体" w:eastAsia="宋体" w:cs="宋体"/>
                <w:color w:val="auto"/>
                <w:sz w:val="21"/>
                <w:highlight w:val="none"/>
              </w:rPr>
            </w:pPr>
          </w:p>
        </w:tc>
        <w:tc>
          <w:tcPr>
            <w:tcW w:w="1400" w:type="dxa"/>
            <w:gridSpan w:val="2"/>
            <w:noWrap w:val="0"/>
            <w:vAlign w:val="top"/>
          </w:tcPr>
          <w:p w14:paraId="68EBA3F8">
            <w:pPr>
              <w:rPr>
                <w:rFonts w:hint="eastAsia" w:ascii="宋体" w:hAnsi="宋体" w:eastAsia="宋体" w:cs="宋体"/>
                <w:color w:val="auto"/>
                <w:sz w:val="21"/>
                <w:highlight w:val="none"/>
              </w:rPr>
            </w:pPr>
          </w:p>
        </w:tc>
      </w:tr>
      <w:tr w14:paraId="01EEE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28" w:type="dxa"/>
            <w:gridSpan w:val="2"/>
            <w:noWrap w:val="0"/>
            <w:vAlign w:val="top"/>
          </w:tcPr>
          <w:p w14:paraId="3A22B5C5">
            <w:pPr>
              <w:rPr>
                <w:rFonts w:hint="eastAsia" w:ascii="宋体" w:hAnsi="宋体" w:eastAsia="宋体" w:cs="宋体"/>
                <w:color w:val="auto"/>
                <w:sz w:val="21"/>
                <w:highlight w:val="none"/>
              </w:rPr>
            </w:pPr>
          </w:p>
        </w:tc>
        <w:tc>
          <w:tcPr>
            <w:tcW w:w="1524" w:type="dxa"/>
            <w:noWrap w:val="0"/>
            <w:vAlign w:val="top"/>
          </w:tcPr>
          <w:p w14:paraId="3D2062A8">
            <w:pPr>
              <w:rPr>
                <w:rFonts w:hint="eastAsia" w:ascii="宋体" w:hAnsi="宋体" w:eastAsia="宋体" w:cs="宋体"/>
                <w:color w:val="auto"/>
                <w:sz w:val="21"/>
                <w:highlight w:val="none"/>
              </w:rPr>
            </w:pPr>
          </w:p>
        </w:tc>
        <w:tc>
          <w:tcPr>
            <w:tcW w:w="1523" w:type="dxa"/>
            <w:gridSpan w:val="2"/>
            <w:noWrap w:val="0"/>
            <w:vAlign w:val="top"/>
          </w:tcPr>
          <w:p w14:paraId="5A157490">
            <w:pPr>
              <w:rPr>
                <w:rFonts w:hint="eastAsia" w:ascii="宋体" w:hAnsi="宋体" w:eastAsia="宋体" w:cs="宋体"/>
                <w:color w:val="auto"/>
                <w:sz w:val="21"/>
                <w:highlight w:val="none"/>
              </w:rPr>
            </w:pPr>
          </w:p>
        </w:tc>
        <w:tc>
          <w:tcPr>
            <w:tcW w:w="1524" w:type="dxa"/>
            <w:gridSpan w:val="2"/>
            <w:noWrap w:val="0"/>
            <w:vAlign w:val="top"/>
          </w:tcPr>
          <w:p w14:paraId="5187D98E">
            <w:pPr>
              <w:rPr>
                <w:rFonts w:hint="eastAsia" w:ascii="宋体" w:hAnsi="宋体" w:eastAsia="宋体" w:cs="宋体"/>
                <w:color w:val="auto"/>
                <w:sz w:val="21"/>
                <w:highlight w:val="none"/>
              </w:rPr>
            </w:pPr>
          </w:p>
        </w:tc>
        <w:tc>
          <w:tcPr>
            <w:tcW w:w="1523" w:type="dxa"/>
            <w:gridSpan w:val="2"/>
            <w:noWrap w:val="0"/>
            <w:vAlign w:val="top"/>
          </w:tcPr>
          <w:p w14:paraId="166C41BB">
            <w:pPr>
              <w:rPr>
                <w:rFonts w:hint="eastAsia" w:ascii="宋体" w:hAnsi="宋体" w:eastAsia="宋体" w:cs="宋体"/>
                <w:color w:val="auto"/>
                <w:sz w:val="21"/>
                <w:highlight w:val="none"/>
              </w:rPr>
            </w:pPr>
          </w:p>
        </w:tc>
        <w:tc>
          <w:tcPr>
            <w:tcW w:w="1400" w:type="dxa"/>
            <w:gridSpan w:val="2"/>
            <w:noWrap w:val="0"/>
            <w:vAlign w:val="top"/>
          </w:tcPr>
          <w:p w14:paraId="4647E545">
            <w:pPr>
              <w:rPr>
                <w:rFonts w:hint="eastAsia" w:ascii="宋体" w:hAnsi="宋体" w:eastAsia="宋体" w:cs="宋体"/>
                <w:color w:val="auto"/>
                <w:sz w:val="21"/>
                <w:highlight w:val="none"/>
              </w:rPr>
            </w:pPr>
          </w:p>
        </w:tc>
      </w:tr>
    </w:tbl>
    <w:p w14:paraId="22FC7395">
      <w:pPr>
        <w:spacing w:line="423" w:lineRule="auto"/>
        <w:rPr>
          <w:rFonts w:hint="eastAsia" w:ascii="宋体" w:hAnsi="宋体" w:eastAsia="宋体" w:cs="宋体"/>
          <w:color w:val="auto"/>
          <w:sz w:val="21"/>
          <w:highlight w:val="none"/>
        </w:rPr>
      </w:pPr>
    </w:p>
    <w:p w14:paraId="505553BA">
      <w:pPr>
        <w:spacing w:before="75" w:line="229" w:lineRule="auto"/>
        <w:ind w:left="196"/>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备注：附技术负责人相关证明材料复印件</w:t>
      </w:r>
      <w:r>
        <w:rPr>
          <w:rFonts w:hint="eastAsia" w:ascii="宋体" w:hAnsi="宋体" w:eastAsia="宋体" w:cs="宋体"/>
          <w:color w:val="auto"/>
          <w:spacing w:val="5"/>
          <w:sz w:val="23"/>
          <w:szCs w:val="23"/>
          <w:highlight w:val="none"/>
        </w:rPr>
        <w:t>。</w:t>
      </w:r>
    </w:p>
    <w:p w14:paraId="51626BAC">
      <w:pPr>
        <w:spacing w:line="286" w:lineRule="auto"/>
        <w:rPr>
          <w:rFonts w:hint="eastAsia" w:ascii="宋体" w:hAnsi="宋体" w:eastAsia="宋体" w:cs="宋体"/>
          <w:color w:val="auto"/>
          <w:sz w:val="21"/>
          <w:highlight w:val="none"/>
        </w:rPr>
      </w:pPr>
    </w:p>
    <w:p w14:paraId="190E0C75">
      <w:pPr>
        <w:spacing w:line="286" w:lineRule="auto"/>
        <w:rPr>
          <w:rFonts w:hint="eastAsia" w:ascii="宋体" w:hAnsi="宋体" w:eastAsia="宋体" w:cs="宋体"/>
          <w:color w:val="auto"/>
          <w:sz w:val="21"/>
          <w:highlight w:val="none"/>
        </w:rPr>
      </w:pPr>
    </w:p>
    <w:p w14:paraId="2B37BA28">
      <w:pPr>
        <w:spacing w:before="74" w:line="227" w:lineRule="auto"/>
        <w:ind w:left="4289"/>
        <w:rPr>
          <w:rFonts w:hint="eastAsia"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rPr>
        <w:t>供</w:t>
      </w:r>
      <w:r>
        <w:rPr>
          <w:rFonts w:hint="eastAsia" w:ascii="宋体" w:hAnsi="宋体" w:eastAsia="宋体" w:cs="宋体"/>
          <w:color w:val="auto"/>
          <w:spacing w:val="7"/>
          <w:sz w:val="23"/>
          <w:szCs w:val="23"/>
          <w:highlight w:val="none"/>
        </w:rPr>
        <w:t>应商名称 (电子签章) ：</w:t>
      </w:r>
    </w:p>
    <w:p w14:paraId="3CF9875B">
      <w:pPr>
        <w:spacing w:before="184" w:line="227" w:lineRule="auto"/>
        <w:ind w:right="143"/>
        <w:jc w:val="right"/>
        <w:rPr>
          <w:rFonts w:hint="eastAsia" w:ascii="宋体" w:hAnsi="宋体" w:eastAsia="宋体" w:cs="宋体"/>
          <w:color w:val="auto"/>
          <w:sz w:val="23"/>
          <w:szCs w:val="23"/>
          <w:highlight w:val="none"/>
        </w:rPr>
      </w:pPr>
      <w:r>
        <w:rPr>
          <w:rFonts w:hint="eastAsia" w:ascii="宋体" w:hAnsi="宋体" w:eastAsia="宋体" w:cs="宋体"/>
          <w:color w:val="auto"/>
          <w:spacing w:val="-2"/>
          <w:sz w:val="23"/>
          <w:szCs w:val="23"/>
          <w:highlight w:val="none"/>
        </w:rPr>
        <w:t>日期：</w:t>
      </w:r>
      <w:r>
        <w:rPr>
          <w:rFonts w:hint="eastAsia" w:ascii="宋体" w:hAnsi="宋体" w:eastAsia="宋体" w:cs="宋体"/>
          <w:color w:val="auto"/>
          <w:spacing w:val="-1"/>
          <w:sz w:val="23"/>
          <w:szCs w:val="23"/>
          <w:highlight w:val="none"/>
        </w:rPr>
        <w:t xml:space="preserve">  年  月   日</w:t>
      </w:r>
    </w:p>
    <w:p w14:paraId="12F7143D">
      <w:pPr>
        <w:rPr>
          <w:rFonts w:hint="eastAsia" w:ascii="宋体" w:hAnsi="宋体" w:eastAsia="宋体" w:cs="宋体"/>
          <w:color w:val="auto"/>
          <w:highlight w:val="none"/>
        </w:rPr>
        <w:sectPr>
          <w:footerReference r:id="rId5" w:type="default"/>
          <w:pgSz w:w="11900" w:h="16840"/>
          <w:pgMar w:top="1431" w:right="1436" w:bottom="982" w:left="1436" w:header="822" w:footer="822" w:gutter="0"/>
          <w:cols w:space="720" w:num="1"/>
        </w:sectPr>
      </w:pPr>
    </w:p>
    <w:p w14:paraId="39ACA9DF">
      <w:pPr>
        <w:pStyle w:val="36"/>
        <w:spacing w:before="120" w:beforeLines="50"/>
        <w:ind w:firstLine="643" w:firstLineChars="200"/>
        <w:jc w:val="center"/>
        <w:rPr>
          <w:rStyle w:val="22"/>
          <w:rFonts w:hint="eastAsia" w:ascii="Times New Roman" w:hAnsi="Times New Roman" w:eastAsia="宋体" w:cs="宋体"/>
          <w:b/>
          <w:color w:val="auto"/>
          <w:sz w:val="32"/>
          <w:szCs w:val="32"/>
          <w:highlight w:val="none"/>
        </w:rPr>
      </w:pPr>
      <w:r>
        <w:rPr>
          <w:rStyle w:val="22"/>
          <w:rFonts w:hint="eastAsia" w:ascii="Times New Roman" w:hAnsi="Times New Roman" w:cs="宋体"/>
          <w:b/>
          <w:color w:val="auto"/>
          <w:sz w:val="32"/>
          <w:szCs w:val="32"/>
          <w:highlight w:val="none"/>
          <w:lang w:val="en-US" w:eastAsia="zh-CN"/>
        </w:rPr>
        <w:t>3、</w:t>
      </w:r>
      <w:r>
        <w:rPr>
          <w:rStyle w:val="22"/>
          <w:rFonts w:hint="eastAsia" w:ascii="Times New Roman" w:hAnsi="Times New Roman" w:eastAsia="宋体" w:cs="宋体"/>
          <w:b/>
          <w:color w:val="auto"/>
          <w:sz w:val="32"/>
          <w:szCs w:val="32"/>
          <w:highlight w:val="none"/>
        </w:rPr>
        <w:t>项目管理机构配备情况表</w:t>
      </w:r>
    </w:p>
    <w:p w14:paraId="03EC963A">
      <w:pPr>
        <w:pStyle w:val="36"/>
        <w:jc w:val="center"/>
        <w:rPr>
          <w:rStyle w:val="22"/>
          <w:rFonts w:hint="eastAsia" w:ascii="宋体" w:hAnsi="宋体" w:eastAsia="宋体" w:cs="Times New Roman"/>
          <w:b/>
          <w:color w:val="auto"/>
          <w:szCs w:val="21"/>
          <w:highlight w:val="none"/>
        </w:rPr>
      </w:pPr>
    </w:p>
    <w:p w14:paraId="700B02DD">
      <w:pPr>
        <w:pStyle w:val="36"/>
        <w:rPr>
          <w:rStyle w:val="22"/>
          <w:rFonts w:hint="eastAsia" w:ascii="Times New Roman" w:hAnsi="Times New Roman" w:cs="宋体"/>
          <w:color w:val="auto"/>
          <w:szCs w:val="21"/>
          <w:highlight w:val="none"/>
          <w:u w:val="none"/>
          <w:lang w:eastAsia="zh-CN"/>
        </w:rPr>
      </w:pPr>
      <w:r>
        <w:rPr>
          <w:rStyle w:val="22"/>
          <w:rFonts w:hint="eastAsia" w:ascii="Times New Roman" w:hAnsi="Times New Roman" w:eastAsia="宋体" w:cs="宋体"/>
          <w:color w:val="auto"/>
          <w:szCs w:val="21"/>
          <w:highlight w:val="none"/>
          <w:u w:val="none"/>
        </w:rPr>
        <w:t>项目名称</w:t>
      </w:r>
      <w:r>
        <w:rPr>
          <w:rStyle w:val="22"/>
          <w:rFonts w:hint="eastAsia" w:ascii="Times New Roman" w:hAnsi="Times New Roman" w:cs="宋体"/>
          <w:color w:val="auto"/>
          <w:szCs w:val="21"/>
          <w:highlight w:val="none"/>
          <w:u w:val="none"/>
          <w:lang w:eastAsia="zh-CN"/>
        </w:rPr>
        <w:t>：</w:t>
      </w:r>
    </w:p>
    <w:p w14:paraId="125C16B7">
      <w:pPr>
        <w:pStyle w:val="36"/>
        <w:rPr>
          <w:rStyle w:val="22"/>
          <w:rFonts w:ascii="Times New Roman" w:hAnsi="Times New Roman" w:eastAsia="宋体" w:cs="Times New Roman"/>
          <w:color w:val="auto"/>
          <w:szCs w:val="21"/>
          <w:highlight w:val="none"/>
          <w:u w:val="none"/>
        </w:rPr>
      </w:pPr>
      <w:r>
        <w:rPr>
          <w:rStyle w:val="22"/>
          <w:rFonts w:hint="eastAsia" w:ascii="Times New Roman" w:hAnsi="Times New Roman" w:eastAsia="宋体" w:cs="宋体"/>
          <w:color w:val="auto"/>
          <w:szCs w:val="21"/>
          <w:highlight w:val="none"/>
          <w:u w:val="none"/>
        </w:rPr>
        <w:t>项目</w:t>
      </w:r>
      <w:r>
        <w:rPr>
          <w:rStyle w:val="22"/>
          <w:rFonts w:hint="eastAsia" w:ascii="Times New Roman" w:hAnsi="Times New Roman" w:cs="宋体"/>
          <w:color w:val="auto"/>
          <w:szCs w:val="21"/>
          <w:highlight w:val="none"/>
          <w:u w:val="none"/>
          <w:lang w:val="en-US" w:eastAsia="zh-CN"/>
        </w:rPr>
        <w:t>编号</w:t>
      </w:r>
      <w:r>
        <w:rPr>
          <w:rStyle w:val="22"/>
          <w:rFonts w:hint="eastAsia" w:ascii="Times New Roman" w:hAnsi="Times New Roman" w:cs="宋体"/>
          <w:color w:val="auto"/>
          <w:szCs w:val="21"/>
          <w:highlight w:val="none"/>
          <w:u w:val="none"/>
          <w:lang w:eastAsia="zh-CN"/>
        </w:rPr>
        <w:t>：</w:t>
      </w:r>
      <w:r>
        <w:rPr>
          <w:rStyle w:val="22"/>
          <w:rFonts w:ascii="Times New Roman" w:hAnsi="Times New Roman" w:eastAsia="宋体" w:cs="Times New Roman"/>
          <w:color w:val="auto"/>
          <w:szCs w:val="21"/>
          <w:highlight w:val="none"/>
          <w:u w:val="none"/>
        </w:rPr>
        <w:t xml:space="preserve"> </w:t>
      </w:r>
    </w:p>
    <w:tbl>
      <w:tblPr>
        <w:tblStyle w:val="20"/>
        <w:tblW w:w="10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829"/>
        <w:gridCol w:w="829"/>
        <w:gridCol w:w="816"/>
        <w:gridCol w:w="1148"/>
        <w:gridCol w:w="1148"/>
        <w:gridCol w:w="1148"/>
        <w:gridCol w:w="744"/>
        <w:gridCol w:w="870"/>
        <w:gridCol w:w="1170"/>
        <w:gridCol w:w="720"/>
      </w:tblGrid>
      <w:tr w14:paraId="61328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761" w:type="dxa"/>
            <w:vMerge w:val="restart"/>
            <w:noWrap w:val="0"/>
            <w:vAlign w:val="center"/>
          </w:tcPr>
          <w:p w14:paraId="0C6B07EF">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p>
          <w:p w14:paraId="2A97213E">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r>
              <w:rPr>
                <w:rStyle w:val="22"/>
                <w:rFonts w:ascii="Times New Roman" w:hAnsi="Times New Roman" w:eastAsia="宋体" w:cs="Times New Roman"/>
                <w:color w:val="auto"/>
                <w:kern w:val="2"/>
                <w:sz w:val="21"/>
                <w:szCs w:val="21"/>
                <w:highlight w:val="none"/>
                <w:lang w:val="en-US" w:eastAsia="zh-CN" w:bidi="ar-SA"/>
              </w:rPr>
              <w:t>岗位</w:t>
            </w:r>
          </w:p>
        </w:tc>
        <w:tc>
          <w:tcPr>
            <w:tcW w:w="829" w:type="dxa"/>
            <w:vMerge w:val="restart"/>
            <w:noWrap w:val="0"/>
            <w:vAlign w:val="center"/>
          </w:tcPr>
          <w:p w14:paraId="71E174F2">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r>
              <w:rPr>
                <w:rStyle w:val="22"/>
                <w:rFonts w:ascii="Times New Roman" w:hAnsi="Times New Roman" w:eastAsia="宋体" w:cs="Times New Roman"/>
                <w:color w:val="auto"/>
                <w:kern w:val="2"/>
                <w:sz w:val="21"/>
                <w:szCs w:val="21"/>
                <w:highlight w:val="none"/>
                <w:lang w:val="en-US" w:eastAsia="zh-CN" w:bidi="ar-SA"/>
              </w:rPr>
              <w:t>姓名</w:t>
            </w:r>
          </w:p>
        </w:tc>
        <w:tc>
          <w:tcPr>
            <w:tcW w:w="829" w:type="dxa"/>
            <w:vMerge w:val="restart"/>
            <w:noWrap w:val="0"/>
            <w:vAlign w:val="center"/>
          </w:tcPr>
          <w:p w14:paraId="64B0E1F8">
            <w:pPr>
              <w:pStyle w:val="36"/>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ascii="Times New Roman" w:hAnsi="Times New Roman" w:eastAsia="宋体" w:cs="Times New Roman"/>
                <w:color w:val="auto"/>
                <w:kern w:val="2"/>
                <w:sz w:val="21"/>
                <w:szCs w:val="21"/>
                <w:highlight w:val="none"/>
                <w:lang w:val="en-US" w:eastAsia="zh-CN" w:bidi="ar-SA"/>
              </w:rPr>
              <w:t>身份证号</w:t>
            </w:r>
          </w:p>
        </w:tc>
        <w:tc>
          <w:tcPr>
            <w:tcW w:w="816" w:type="dxa"/>
            <w:vMerge w:val="restart"/>
            <w:noWrap w:val="0"/>
            <w:vAlign w:val="center"/>
          </w:tcPr>
          <w:p w14:paraId="094083B1">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r>
              <w:rPr>
                <w:rStyle w:val="22"/>
                <w:rFonts w:ascii="Times New Roman" w:hAnsi="Times New Roman" w:eastAsia="宋体" w:cs="Times New Roman"/>
                <w:color w:val="auto"/>
                <w:kern w:val="2"/>
                <w:sz w:val="21"/>
                <w:szCs w:val="21"/>
                <w:highlight w:val="none"/>
                <w:lang w:val="en-US" w:eastAsia="zh-CN" w:bidi="ar-SA"/>
              </w:rPr>
              <w:t>职称</w:t>
            </w:r>
          </w:p>
        </w:tc>
        <w:tc>
          <w:tcPr>
            <w:tcW w:w="4188" w:type="dxa"/>
            <w:gridSpan w:val="4"/>
            <w:noWrap w:val="0"/>
            <w:vAlign w:val="center"/>
          </w:tcPr>
          <w:p w14:paraId="16990F98">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r>
              <w:rPr>
                <w:rStyle w:val="22"/>
                <w:rFonts w:ascii="Times New Roman" w:hAnsi="Times New Roman" w:eastAsia="宋体" w:cs="Times New Roman"/>
                <w:color w:val="auto"/>
                <w:kern w:val="2"/>
                <w:sz w:val="21"/>
                <w:szCs w:val="21"/>
                <w:highlight w:val="none"/>
                <w:lang w:val="en-US" w:eastAsia="zh-CN" w:bidi="ar-SA"/>
              </w:rPr>
              <w:t>执业或职业资格</w:t>
            </w:r>
          </w:p>
        </w:tc>
        <w:tc>
          <w:tcPr>
            <w:tcW w:w="2040" w:type="dxa"/>
            <w:gridSpan w:val="2"/>
            <w:noWrap w:val="0"/>
            <w:vAlign w:val="center"/>
          </w:tcPr>
          <w:p w14:paraId="6224A3EC">
            <w:pPr>
              <w:pStyle w:val="36"/>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ascii="Times New Roman" w:hAnsi="Times New Roman" w:eastAsia="宋体" w:cs="Times New Roman"/>
                <w:color w:val="auto"/>
                <w:kern w:val="2"/>
                <w:sz w:val="21"/>
                <w:szCs w:val="21"/>
                <w:highlight w:val="none"/>
                <w:lang w:val="en-US" w:eastAsia="zh-CN" w:bidi="ar-SA"/>
              </w:rPr>
              <w:t>承担完工</w:t>
            </w:r>
            <w:r>
              <w:rPr>
                <w:rStyle w:val="22"/>
                <w:rFonts w:hint="eastAsia" w:ascii="Times New Roman" w:hAnsi="Times New Roman" w:eastAsia="宋体" w:cs="Times New Roman"/>
                <w:color w:val="auto"/>
                <w:kern w:val="2"/>
                <w:sz w:val="21"/>
                <w:szCs w:val="21"/>
                <w:highlight w:val="none"/>
                <w:lang w:val="en-US" w:eastAsia="zh-CN" w:bidi="ar-SA"/>
              </w:rPr>
              <w:t>、</w:t>
            </w:r>
            <w:r>
              <w:rPr>
                <w:rStyle w:val="22"/>
                <w:rFonts w:ascii="Times New Roman" w:hAnsi="Times New Roman" w:eastAsia="宋体" w:cs="Times New Roman"/>
                <w:color w:val="auto"/>
                <w:kern w:val="2"/>
                <w:sz w:val="21"/>
                <w:szCs w:val="21"/>
                <w:highlight w:val="none"/>
                <w:lang w:val="en-US" w:eastAsia="zh-CN" w:bidi="ar-SA"/>
              </w:rPr>
              <w:t>在建工程情况</w:t>
            </w:r>
          </w:p>
        </w:tc>
        <w:tc>
          <w:tcPr>
            <w:tcW w:w="720" w:type="dxa"/>
            <w:vMerge w:val="restart"/>
            <w:noWrap w:val="0"/>
            <w:vAlign w:val="top"/>
          </w:tcPr>
          <w:p w14:paraId="671AE1C4">
            <w:pPr>
              <w:pStyle w:val="36"/>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Times New Roman"/>
                <w:color w:val="auto"/>
                <w:kern w:val="2"/>
                <w:sz w:val="21"/>
                <w:szCs w:val="21"/>
                <w:highlight w:val="none"/>
                <w:lang w:val="en-US" w:eastAsia="zh-CN" w:bidi="ar-SA"/>
              </w:rPr>
              <w:t>社保所附证明材料索引号</w:t>
            </w:r>
          </w:p>
        </w:tc>
      </w:tr>
      <w:tr w14:paraId="22D0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761" w:type="dxa"/>
            <w:vMerge w:val="continue"/>
            <w:noWrap w:val="0"/>
            <w:vAlign w:val="center"/>
          </w:tcPr>
          <w:p w14:paraId="17E7A5DA">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p>
        </w:tc>
        <w:tc>
          <w:tcPr>
            <w:tcW w:w="829" w:type="dxa"/>
            <w:vMerge w:val="continue"/>
            <w:noWrap w:val="0"/>
            <w:vAlign w:val="center"/>
          </w:tcPr>
          <w:p w14:paraId="47D0C444">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p>
        </w:tc>
        <w:tc>
          <w:tcPr>
            <w:tcW w:w="829" w:type="dxa"/>
            <w:vMerge w:val="continue"/>
            <w:noWrap w:val="0"/>
            <w:vAlign w:val="center"/>
          </w:tcPr>
          <w:p w14:paraId="6D91DE8E">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p>
        </w:tc>
        <w:tc>
          <w:tcPr>
            <w:tcW w:w="816" w:type="dxa"/>
            <w:vMerge w:val="continue"/>
            <w:noWrap w:val="0"/>
            <w:vAlign w:val="center"/>
          </w:tcPr>
          <w:p w14:paraId="35282631">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p>
        </w:tc>
        <w:tc>
          <w:tcPr>
            <w:tcW w:w="1148" w:type="dxa"/>
            <w:noWrap w:val="0"/>
            <w:vAlign w:val="center"/>
          </w:tcPr>
          <w:p w14:paraId="7A0C5F5C">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r>
              <w:rPr>
                <w:rStyle w:val="22"/>
                <w:rFonts w:ascii="Times New Roman" w:hAnsi="Times New Roman" w:eastAsia="宋体" w:cs="Times New Roman"/>
                <w:color w:val="auto"/>
                <w:kern w:val="2"/>
                <w:sz w:val="21"/>
                <w:szCs w:val="21"/>
                <w:highlight w:val="none"/>
                <w:lang w:val="en-US" w:eastAsia="zh-CN" w:bidi="ar-SA"/>
              </w:rPr>
              <w:t>证书名称</w:t>
            </w:r>
          </w:p>
        </w:tc>
        <w:tc>
          <w:tcPr>
            <w:tcW w:w="1148" w:type="dxa"/>
            <w:noWrap w:val="0"/>
            <w:vAlign w:val="center"/>
          </w:tcPr>
          <w:p w14:paraId="1C69F488">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r>
              <w:rPr>
                <w:rStyle w:val="22"/>
                <w:rFonts w:ascii="Times New Roman" w:hAnsi="Times New Roman" w:eastAsia="宋体" w:cs="Times New Roman"/>
                <w:color w:val="auto"/>
                <w:kern w:val="2"/>
                <w:sz w:val="21"/>
                <w:szCs w:val="21"/>
                <w:highlight w:val="none"/>
                <w:lang w:val="en-US" w:eastAsia="zh-CN" w:bidi="ar-SA"/>
              </w:rPr>
              <w:t>级别</w:t>
            </w:r>
          </w:p>
        </w:tc>
        <w:tc>
          <w:tcPr>
            <w:tcW w:w="1148" w:type="dxa"/>
            <w:noWrap w:val="0"/>
            <w:vAlign w:val="center"/>
          </w:tcPr>
          <w:p w14:paraId="2E50A747">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r>
              <w:rPr>
                <w:rStyle w:val="22"/>
                <w:rFonts w:ascii="Times New Roman" w:hAnsi="Times New Roman" w:eastAsia="宋体" w:cs="Times New Roman"/>
                <w:color w:val="auto"/>
                <w:kern w:val="2"/>
                <w:sz w:val="21"/>
                <w:szCs w:val="21"/>
                <w:highlight w:val="none"/>
                <w:lang w:val="en-US" w:eastAsia="zh-CN" w:bidi="ar-SA"/>
              </w:rPr>
              <w:t>证号</w:t>
            </w:r>
          </w:p>
        </w:tc>
        <w:tc>
          <w:tcPr>
            <w:tcW w:w="744" w:type="dxa"/>
            <w:noWrap w:val="0"/>
            <w:vAlign w:val="center"/>
          </w:tcPr>
          <w:p w14:paraId="2122C3D9">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r>
              <w:rPr>
                <w:rStyle w:val="22"/>
                <w:rFonts w:ascii="Times New Roman" w:hAnsi="Times New Roman" w:eastAsia="宋体" w:cs="Times New Roman"/>
                <w:color w:val="auto"/>
                <w:kern w:val="2"/>
                <w:sz w:val="21"/>
                <w:szCs w:val="21"/>
                <w:highlight w:val="none"/>
                <w:lang w:val="en-US" w:eastAsia="zh-CN" w:bidi="ar-SA"/>
              </w:rPr>
              <w:t>专业</w:t>
            </w:r>
          </w:p>
        </w:tc>
        <w:tc>
          <w:tcPr>
            <w:tcW w:w="870" w:type="dxa"/>
            <w:noWrap w:val="0"/>
            <w:vAlign w:val="center"/>
          </w:tcPr>
          <w:p w14:paraId="68D9360D">
            <w:pPr>
              <w:pStyle w:val="36"/>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Times New Roman"/>
                <w:color w:val="auto"/>
                <w:kern w:val="2"/>
                <w:sz w:val="21"/>
                <w:szCs w:val="21"/>
                <w:highlight w:val="none"/>
                <w:lang w:val="en-US" w:eastAsia="zh-CN" w:bidi="ar-SA"/>
              </w:rPr>
              <w:t>完工/在建</w:t>
            </w:r>
          </w:p>
        </w:tc>
        <w:tc>
          <w:tcPr>
            <w:tcW w:w="1170" w:type="dxa"/>
            <w:noWrap w:val="0"/>
            <w:vAlign w:val="center"/>
          </w:tcPr>
          <w:p w14:paraId="5FBD18F5">
            <w:pPr>
              <w:pStyle w:val="36"/>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ascii="Times New Roman" w:hAnsi="Times New Roman" w:eastAsia="宋体" w:cs="Times New Roman"/>
                <w:color w:val="auto"/>
                <w:kern w:val="2"/>
                <w:sz w:val="21"/>
                <w:szCs w:val="21"/>
                <w:highlight w:val="none"/>
                <w:lang w:val="en-US" w:eastAsia="zh-CN" w:bidi="ar-SA"/>
              </w:rPr>
              <w:t>主要项目</w:t>
            </w:r>
          </w:p>
          <w:p w14:paraId="385B9CD2">
            <w:pPr>
              <w:pStyle w:val="36"/>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ascii="Times New Roman" w:hAnsi="Times New Roman" w:eastAsia="宋体" w:cs="Times New Roman"/>
                <w:color w:val="auto"/>
                <w:kern w:val="2"/>
                <w:sz w:val="21"/>
                <w:szCs w:val="21"/>
                <w:highlight w:val="none"/>
                <w:lang w:val="en-US" w:eastAsia="zh-CN" w:bidi="ar-SA"/>
              </w:rPr>
              <w:t>名称</w:t>
            </w:r>
          </w:p>
        </w:tc>
        <w:tc>
          <w:tcPr>
            <w:tcW w:w="720" w:type="dxa"/>
            <w:vMerge w:val="continue"/>
            <w:noWrap w:val="0"/>
            <w:vAlign w:val="top"/>
          </w:tcPr>
          <w:p w14:paraId="440CC43C">
            <w:pPr>
              <w:pStyle w:val="36"/>
              <w:widowControl w:val="0"/>
              <w:jc w:val="center"/>
              <w:rPr>
                <w:rStyle w:val="22"/>
                <w:rFonts w:ascii="Times New Roman" w:hAnsi="Times New Roman" w:eastAsia="宋体" w:cs="Times New Roman"/>
                <w:color w:val="auto"/>
                <w:kern w:val="2"/>
                <w:sz w:val="21"/>
                <w:szCs w:val="21"/>
                <w:highlight w:val="none"/>
                <w:lang w:val="en-US" w:eastAsia="zh-CN" w:bidi="ar-SA"/>
              </w:rPr>
            </w:pPr>
          </w:p>
        </w:tc>
      </w:tr>
      <w:tr w14:paraId="6C775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1" w:type="dxa"/>
            <w:noWrap w:val="0"/>
            <w:vAlign w:val="center"/>
          </w:tcPr>
          <w:p w14:paraId="1F8A8CEC">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p>
        </w:tc>
        <w:tc>
          <w:tcPr>
            <w:tcW w:w="829" w:type="dxa"/>
            <w:noWrap w:val="0"/>
            <w:vAlign w:val="center"/>
          </w:tcPr>
          <w:p w14:paraId="6A01FB2F">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p>
        </w:tc>
        <w:tc>
          <w:tcPr>
            <w:tcW w:w="829" w:type="dxa"/>
            <w:noWrap w:val="0"/>
            <w:vAlign w:val="center"/>
          </w:tcPr>
          <w:p w14:paraId="273F7927">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p>
        </w:tc>
        <w:tc>
          <w:tcPr>
            <w:tcW w:w="816" w:type="dxa"/>
            <w:noWrap w:val="0"/>
            <w:vAlign w:val="center"/>
          </w:tcPr>
          <w:p w14:paraId="4146DE7A">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p>
        </w:tc>
        <w:tc>
          <w:tcPr>
            <w:tcW w:w="1148" w:type="dxa"/>
            <w:noWrap w:val="0"/>
            <w:vAlign w:val="center"/>
          </w:tcPr>
          <w:p w14:paraId="3B3D5CFE">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p>
        </w:tc>
        <w:tc>
          <w:tcPr>
            <w:tcW w:w="1148" w:type="dxa"/>
            <w:noWrap w:val="0"/>
            <w:vAlign w:val="center"/>
          </w:tcPr>
          <w:p w14:paraId="2968017A">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p>
        </w:tc>
        <w:tc>
          <w:tcPr>
            <w:tcW w:w="1148" w:type="dxa"/>
            <w:noWrap w:val="0"/>
            <w:vAlign w:val="center"/>
          </w:tcPr>
          <w:p w14:paraId="584033A8">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p>
        </w:tc>
        <w:tc>
          <w:tcPr>
            <w:tcW w:w="744" w:type="dxa"/>
            <w:noWrap w:val="0"/>
            <w:vAlign w:val="center"/>
          </w:tcPr>
          <w:p w14:paraId="0B3CA4D3">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p>
        </w:tc>
        <w:tc>
          <w:tcPr>
            <w:tcW w:w="870" w:type="dxa"/>
            <w:noWrap w:val="0"/>
            <w:vAlign w:val="center"/>
          </w:tcPr>
          <w:p w14:paraId="29EC8635">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p>
        </w:tc>
        <w:tc>
          <w:tcPr>
            <w:tcW w:w="1170" w:type="dxa"/>
            <w:noWrap w:val="0"/>
            <w:vAlign w:val="center"/>
          </w:tcPr>
          <w:p w14:paraId="10FB4A3E">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p>
        </w:tc>
        <w:tc>
          <w:tcPr>
            <w:tcW w:w="720" w:type="dxa"/>
            <w:noWrap w:val="0"/>
            <w:vAlign w:val="top"/>
          </w:tcPr>
          <w:p w14:paraId="2FB5C260">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p>
        </w:tc>
      </w:tr>
      <w:tr w14:paraId="50CAD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1" w:type="dxa"/>
            <w:noWrap w:val="0"/>
            <w:vAlign w:val="center"/>
          </w:tcPr>
          <w:p w14:paraId="21361F17">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p>
        </w:tc>
        <w:tc>
          <w:tcPr>
            <w:tcW w:w="829" w:type="dxa"/>
            <w:noWrap w:val="0"/>
            <w:vAlign w:val="center"/>
          </w:tcPr>
          <w:p w14:paraId="4D3C99F9">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p>
        </w:tc>
        <w:tc>
          <w:tcPr>
            <w:tcW w:w="829" w:type="dxa"/>
            <w:noWrap w:val="0"/>
            <w:vAlign w:val="center"/>
          </w:tcPr>
          <w:p w14:paraId="324C9412">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p>
        </w:tc>
        <w:tc>
          <w:tcPr>
            <w:tcW w:w="816" w:type="dxa"/>
            <w:noWrap w:val="0"/>
            <w:vAlign w:val="center"/>
          </w:tcPr>
          <w:p w14:paraId="3968A602">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p>
        </w:tc>
        <w:tc>
          <w:tcPr>
            <w:tcW w:w="1148" w:type="dxa"/>
            <w:noWrap w:val="0"/>
            <w:vAlign w:val="center"/>
          </w:tcPr>
          <w:p w14:paraId="501E65CF">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p>
        </w:tc>
        <w:tc>
          <w:tcPr>
            <w:tcW w:w="1148" w:type="dxa"/>
            <w:noWrap w:val="0"/>
            <w:vAlign w:val="center"/>
          </w:tcPr>
          <w:p w14:paraId="0AE1FFA9">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p>
        </w:tc>
        <w:tc>
          <w:tcPr>
            <w:tcW w:w="1148" w:type="dxa"/>
            <w:noWrap w:val="0"/>
            <w:vAlign w:val="center"/>
          </w:tcPr>
          <w:p w14:paraId="223D2652">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p>
        </w:tc>
        <w:tc>
          <w:tcPr>
            <w:tcW w:w="744" w:type="dxa"/>
            <w:noWrap w:val="0"/>
            <w:vAlign w:val="center"/>
          </w:tcPr>
          <w:p w14:paraId="4BA271C4">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p>
        </w:tc>
        <w:tc>
          <w:tcPr>
            <w:tcW w:w="870" w:type="dxa"/>
            <w:noWrap w:val="0"/>
            <w:vAlign w:val="center"/>
          </w:tcPr>
          <w:p w14:paraId="0954CEEF">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p>
        </w:tc>
        <w:tc>
          <w:tcPr>
            <w:tcW w:w="1170" w:type="dxa"/>
            <w:noWrap w:val="0"/>
            <w:vAlign w:val="center"/>
          </w:tcPr>
          <w:p w14:paraId="67C151DF">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p>
        </w:tc>
        <w:tc>
          <w:tcPr>
            <w:tcW w:w="720" w:type="dxa"/>
            <w:noWrap w:val="0"/>
            <w:vAlign w:val="top"/>
          </w:tcPr>
          <w:p w14:paraId="12F6006A">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p>
        </w:tc>
      </w:tr>
      <w:tr w14:paraId="7534E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1" w:type="dxa"/>
            <w:noWrap w:val="0"/>
            <w:vAlign w:val="center"/>
          </w:tcPr>
          <w:p w14:paraId="6C3063AA">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p>
        </w:tc>
        <w:tc>
          <w:tcPr>
            <w:tcW w:w="829" w:type="dxa"/>
            <w:noWrap w:val="0"/>
            <w:vAlign w:val="center"/>
          </w:tcPr>
          <w:p w14:paraId="6248A273">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p>
        </w:tc>
        <w:tc>
          <w:tcPr>
            <w:tcW w:w="829" w:type="dxa"/>
            <w:noWrap w:val="0"/>
            <w:vAlign w:val="center"/>
          </w:tcPr>
          <w:p w14:paraId="417A7B43">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p>
        </w:tc>
        <w:tc>
          <w:tcPr>
            <w:tcW w:w="816" w:type="dxa"/>
            <w:noWrap w:val="0"/>
            <w:vAlign w:val="center"/>
          </w:tcPr>
          <w:p w14:paraId="25FBE199">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p>
        </w:tc>
        <w:tc>
          <w:tcPr>
            <w:tcW w:w="1148" w:type="dxa"/>
            <w:noWrap w:val="0"/>
            <w:vAlign w:val="center"/>
          </w:tcPr>
          <w:p w14:paraId="0727B640">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p>
        </w:tc>
        <w:tc>
          <w:tcPr>
            <w:tcW w:w="1148" w:type="dxa"/>
            <w:noWrap w:val="0"/>
            <w:vAlign w:val="center"/>
          </w:tcPr>
          <w:p w14:paraId="07379D67">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p>
        </w:tc>
        <w:tc>
          <w:tcPr>
            <w:tcW w:w="1148" w:type="dxa"/>
            <w:noWrap w:val="0"/>
            <w:vAlign w:val="center"/>
          </w:tcPr>
          <w:p w14:paraId="411065D0">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p>
        </w:tc>
        <w:tc>
          <w:tcPr>
            <w:tcW w:w="744" w:type="dxa"/>
            <w:noWrap w:val="0"/>
            <w:vAlign w:val="center"/>
          </w:tcPr>
          <w:p w14:paraId="0470DF9C">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p>
        </w:tc>
        <w:tc>
          <w:tcPr>
            <w:tcW w:w="870" w:type="dxa"/>
            <w:noWrap w:val="0"/>
            <w:vAlign w:val="center"/>
          </w:tcPr>
          <w:p w14:paraId="258E8918">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p>
        </w:tc>
        <w:tc>
          <w:tcPr>
            <w:tcW w:w="1170" w:type="dxa"/>
            <w:noWrap w:val="0"/>
            <w:vAlign w:val="center"/>
          </w:tcPr>
          <w:p w14:paraId="6D98FD02">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p>
        </w:tc>
        <w:tc>
          <w:tcPr>
            <w:tcW w:w="720" w:type="dxa"/>
            <w:noWrap w:val="0"/>
            <w:vAlign w:val="top"/>
          </w:tcPr>
          <w:p w14:paraId="20C7D6B1">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p>
        </w:tc>
      </w:tr>
      <w:tr w14:paraId="68BB1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1" w:type="dxa"/>
            <w:noWrap w:val="0"/>
            <w:vAlign w:val="center"/>
          </w:tcPr>
          <w:p w14:paraId="498D59FC">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p>
        </w:tc>
        <w:tc>
          <w:tcPr>
            <w:tcW w:w="829" w:type="dxa"/>
            <w:noWrap w:val="0"/>
            <w:vAlign w:val="center"/>
          </w:tcPr>
          <w:p w14:paraId="3822D0D7">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p>
        </w:tc>
        <w:tc>
          <w:tcPr>
            <w:tcW w:w="829" w:type="dxa"/>
            <w:noWrap w:val="0"/>
            <w:vAlign w:val="center"/>
          </w:tcPr>
          <w:p w14:paraId="1F3DCB22">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p>
        </w:tc>
        <w:tc>
          <w:tcPr>
            <w:tcW w:w="816" w:type="dxa"/>
            <w:noWrap w:val="0"/>
            <w:vAlign w:val="center"/>
          </w:tcPr>
          <w:p w14:paraId="4A88E4E3">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p>
        </w:tc>
        <w:tc>
          <w:tcPr>
            <w:tcW w:w="1148" w:type="dxa"/>
            <w:noWrap w:val="0"/>
            <w:vAlign w:val="center"/>
          </w:tcPr>
          <w:p w14:paraId="211ED581">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p>
        </w:tc>
        <w:tc>
          <w:tcPr>
            <w:tcW w:w="1148" w:type="dxa"/>
            <w:noWrap w:val="0"/>
            <w:vAlign w:val="center"/>
          </w:tcPr>
          <w:p w14:paraId="1B3CCAC0">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p>
        </w:tc>
        <w:tc>
          <w:tcPr>
            <w:tcW w:w="1148" w:type="dxa"/>
            <w:noWrap w:val="0"/>
            <w:vAlign w:val="center"/>
          </w:tcPr>
          <w:p w14:paraId="6927BE2C">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p>
        </w:tc>
        <w:tc>
          <w:tcPr>
            <w:tcW w:w="744" w:type="dxa"/>
            <w:noWrap w:val="0"/>
            <w:vAlign w:val="center"/>
          </w:tcPr>
          <w:p w14:paraId="67D6C94F">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p>
        </w:tc>
        <w:tc>
          <w:tcPr>
            <w:tcW w:w="870" w:type="dxa"/>
            <w:noWrap w:val="0"/>
            <w:vAlign w:val="center"/>
          </w:tcPr>
          <w:p w14:paraId="33DA94AE">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p>
        </w:tc>
        <w:tc>
          <w:tcPr>
            <w:tcW w:w="1170" w:type="dxa"/>
            <w:noWrap w:val="0"/>
            <w:vAlign w:val="center"/>
          </w:tcPr>
          <w:p w14:paraId="2A9D2B22">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p>
        </w:tc>
        <w:tc>
          <w:tcPr>
            <w:tcW w:w="720" w:type="dxa"/>
            <w:noWrap w:val="0"/>
            <w:vAlign w:val="top"/>
          </w:tcPr>
          <w:p w14:paraId="4D287405">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p>
        </w:tc>
      </w:tr>
      <w:tr w14:paraId="26618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0183" w:type="dxa"/>
            <w:gridSpan w:val="11"/>
            <w:noWrap w:val="0"/>
            <w:vAlign w:val="center"/>
          </w:tcPr>
          <w:p w14:paraId="1FE54746">
            <w:pPr>
              <w:pStyle w:val="36"/>
              <w:widowControl w:val="0"/>
              <w:ind w:left="223" w:hanging="222" w:hangingChars="106"/>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Times New Roman"/>
                <w:color w:val="auto"/>
                <w:kern w:val="2"/>
                <w:sz w:val="21"/>
                <w:szCs w:val="21"/>
                <w:highlight w:val="none"/>
                <w:lang w:val="en-US" w:eastAsia="zh-CN" w:bidi="ar-SA"/>
              </w:rPr>
              <w:t>一旦我单位</w:t>
            </w:r>
            <w:r>
              <w:rPr>
                <w:rStyle w:val="22"/>
                <w:rFonts w:hint="eastAsia" w:ascii="Times New Roman" w:hAnsi="Times New Roman" w:cs="Times New Roman"/>
                <w:color w:val="auto"/>
                <w:kern w:val="2"/>
                <w:sz w:val="21"/>
                <w:szCs w:val="21"/>
                <w:highlight w:val="none"/>
                <w:lang w:val="en-US" w:eastAsia="zh-CN" w:bidi="ar-SA"/>
              </w:rPr>
              <w:t>成交</w:t>
            </w:r>
            <w:r>
              <w:rPr>
                <w:rStyle w:val="22"/>
                <w:rFonts w:hint="eastAsia" w:ascii="Times New Roman" w:hAnsi="Times New Roman" w:eastAsia="宋体" w:cs="Times New Roman"/>
                <w:color w:val="auto"/>
                <w:kern w:val="2"/>
                <w:sz w:val="21"/>
                <w:szCs w:val="21"/>
                <w:highlight w:val="none"/>
                <w:lang w:val="en-US" w:eastAsia="zh-CN" w:bidi="ar-SA"/>
              </w:rPr>
              <w:t>，将实行项目经理负责制，我方保证并配备上述项目管理机构。上述填报内容真实，若不真实，愿按有关规定接受处理。项目管理班子机构设置、职责分工等情况另附资料说明。</w:t>
            </w:r>
          </w:p>
        </w:tc>
      </w:tr>
    </w:tbl>
    <w:p w14:paraId="28A34445">
      <w:pPr>
        <w:snapToGrid w:val="0"/>
        <w:spacing w:line="360" w:lineRule="auto"/>
        <w:ind w:firstLine="472" w:firstLineChars="200"/>
        <w:rPr>
          <w:rFonts w:hint="eastAsia" w:ascii="宋体" w:hAnsi="宋体" w:eastAsia="宋体" w:cs="宋体"/>
          <w:color w:val="auto"/>
          <w:spacing w:val="18"/>
          <w:sz w:val="20"/>
          <w:szCs w:val="20"/>
          <w:highlight w:val="none"/>
        </w:rPr>
      </w:pPr>
    </w:p>
    <w:p w14:paraId="53A2BF1E">
      <w:pPr>
        <w:snapToGrid w:val="0"/>
        <w:spacing w:line="360" w:lineRule="auto"/>
        <w:ind w:firstLine="472" w:firstLineChars="200"/>
        <w:rPr>
          <w:rFonts w:hint="eastAsia" w:ascii="宋体" w:hAnsi="宋体" w:eastAsia="宋体" w:cs="宋体"/>
          <w:color w:val="auto"/>
          <w:spacing w:val="18"/>
          <w:sz w:val="20"/>
          <w:szCs w:val="20"/>
          <w:highlight w:val="none"/>
        </w:rPr>
      </w:pPr>
    </w:p>
    <w:p w14:paraId="2AA4A999">
      <w:pPr>
        <w:snapToGrid w:val="0"/>
        <w:spacing w:line="360" w:lineRule="auto"/>
        <w:ind w:firstLine="472" w:firstLineChars="200"/>
        <w:rPr>
          <w:rFonts w:ascii="宋体" w:hAnsi="宋体" w:cs="宋体"/>
          <w:b/>
          <w:color w:val="auto"/>
          <w:sz w:val="30"/>
          <w:szCs w:val="30"/>
          <w:highlight w:val="none"/>
        </w:rPr>
      </w:pPr>
      <w:r>
        <w:rPr>
          <w:rFonts w:hint="eastAsia" w:ascii="宋体" w:hAnsi="宋体" w:eastAsia="宋体" w:cs="宋体"/>
          <w:color w:val="auto"/>
          <w:spacing w:val="18"/>
          <w:sz w:val="20"/>
          <w:szCs w:val="20"/>
          <w:highlight w:val="none"/>
        </w:rPr>
        <w:t>注：</w:t>
      </w:r>
      <w:r>
        <w:rPr>
          <w:rFonts w:hint="eastAsia" w:ascii="宋体" w:hAnsi="宋体" w:eastAsia="宋体" w:cs="宋体"/>
          <w:color w:val="auto"/>
          <w:spacing w:val="9"/>
          <w:sz w:val="20"/>
          <w:szCs w:val="20"/>
          <w:highlight w:val="none"/>
        </w:rPr>
        <w:t>本表所列岗位的所有管理人员的情况均应如实填写。可按以上格式扩展为多页填写。</w:t>
      </w:r>
    </w:p>
    <w:p w14:paraId="136777DA">
      <w:pPr>
        <w:autoSpaceDE w:val="0"/>
        <w:autoSpaceDN w:val="0"/>
        <w:spacing w:line="360" w:lineRule="auto"/>
        <w:ind w:firstLine="6505" w:firstLineChars="2700"/>
        <w:rPr>
          <w:rFonts w:ascii="宋体" w:hAnsi="宋体" w:cs="宋体"/>
          <w:b/>
          <w:bCs/>
          <w:color w:val="auto"/>
          <w:sz w:val="24"/>
          <w:highlight w:val="none"/>
        </w:rPr>
      </w:pPr>
    </w:p>
    <w:p w14:paraId="2F4822DB">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6CC0A02">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18FAA3BD">
      <w:pPr>
        <w:snapToGrid w:val="0"/>
        <w:spacing w:before="165" w:beforeLines="50" w:after="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E904B22">
      <w:pPr>
        <w:snapToGrid w:val="0"/>
        <w:spacing w:before="165" w:beforeLines="50" w:after="50"/>
        <w:ind w:left="142"/>
        <w:jc w:val="center"/>
        <w:rPr>
          <w:rFonts w:hint="eastAsia" w:ascii="宋体" w:hAnsi="宋体" w:eastAsia="宋体" w:cs="宋体"/>
          <w:b/>
          <w:color w:val="auto"/>
          <w:sz w:val="32"/>
          <w:szCs w:val="32"/>
          <w:highlight w:val="none"/>
        </w:rPr>
      </w:pPr>
    </w:p>
    <w:p w14:paraId="77485E9D">
      <w:pPr>
        <w:snapToGrid w:val="0"/>
        <w:spacing w:before="165" w:beforeLines="50" w:after="50"/>
        <w:ind w:left="142"/>
        <w:jc w:val="center"/>
        <w:rPr>
          <w:rFonts w:hint="eastAsia" w:ascii="宋体" w:hAnsi="宋体" w:eastAsia="宋体" w:cs="宋体"/>
          <w:b/>
          <w:color w:val="auto"/>
          <w:sz w:val="32"/>
          <w:szCs w:val="32"/>
          <w:highlight w:val="none"/>
        </w:rPr>
      </w:pPr>
    </w:p>
    <w:p w14:paraId="7082F23F">
      <w:pPr>
        <w:rPr>
          <w:rFonts w:hint="eastAsia" w:ascii="宋体" w:hAnsi="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br w:type="page"/>
      </w:r>
    </w:p>
    <w:p w14:paraId="6FB7E742">
      <w:pPr>
        <w:spacing w:line="360" w:lineRule="auto"/>
        <w:jc w:val="center"/>
        <w:rPr>
          <w:rFonts w:hint="eastAsia" w:ascii="宋体" w:hAnsi="宋体" w:eastAsia="宋体" w:cs="宋体"/>
          <w:b/>
          <w:color w:val="auto"/>
          <w:sz w:val="32"/>
          <w:szCs w:val="32"/>
          <w:highlight w:val="none"/>
        </w:rPr>
      </w:pPr>
      <w:r>
        <w:rPr>
          <w:rFonts w:hint="eastAsia" w:ascii="宋体" w:hAnsi="宋体" w:cs="宋体"/>
          <w:b/>
          <w:color w:val="auto"/>
          <w:sz w:val="32"/>
          <w:szCs w:val="32"/>
          <w:highlight w:val="none"/>
          <w:lang w:val="en-US" w:eastAsia="zh-CN"/>
        </w:rPr>
        <w:t>四</w:t>
      </w:r>
      <w:r>
        <w:rPr>
          <w:rFonts w:hint="eastAsia" w:ascii="宋体" w:hAnsi="宋体" w:eastAsia="宋体" w:cs="宋体"/>
          <w:b/>
          <w:color w:val="auto"/>
          <w:sz w:val="32"/>
          <w:szCs w:val="32"/>
          <w:highlight w:val="none"/>
        </w:rPr>
        <w:t>、认为需要的其他技术文件或说明</w:t>
      </w:r>
    </w:p>
    <w:p w14:paraId="72324AA8">
      <w:pPr>
        <w:spacing w:line="360" w:lineRule="auto"/>
        <w:jc w:val="center"/>
        <w:outlineLvl w:val="1"/>
        <w:rPr>
          <w:rFonts w:hint="eastAsia" w:ascii="宋体" w:hAnsi="宋体" w:eastAsia="宋体" w:cs="宋体"/>
          <w:color w:val="auto"/>
          <w:sz w:val="24"/>
          <w:highlight w:val="none"/>
        </w:rPr>
      </w:pPr>
      <w:bookmarkStart w:id="1605" w:name="_Toc5684"/>
      <w:bookmarkStart w:id="1606" w:name="_Toc4376"/>
      <w:r>
        <w:rPr>
          <w:rFonts w:hint="eastAsia" w:ascii="宋体" w:hAnsi="宋体" w:eastAsia="宋体" w:cs="宋体"/>
          <w:color w:val="auto"/>
          <w:sz w:val="24"/>
          <w:highlight w:val="none"/>
        </w:rPr>
        <w:t>（由投标人根据采购需求自行编制）</w:t>
      </w:r>
      <w:bookmarkEnd w:id="1605"/>
      <w:bookmarkEnd w:id="1606"/>
    </w:p>
    <w:p w14:paraId="3BDD4364">
      <w:pPr>
        <w:spacing w:line="360" w:lineRule="auto"/>
        <w:jc w:val="center"/>
        <w:rPr>
          <w:rFonts w:hint="eastAsia" w:ascii="宋体" w:hAnsi="宋体" w:eastAsia="宋体" w:cs="宋体"/>
          <w:color w:val="auto"/>
          <w:sz w:val="24"/>
          <w:highlight w:val="none"/>
        </w:rPr>
      </w:pPr>
    </w:p>
    <w:p w14:paraId="5D1FD2BF">
      <w:pPr>
        <w:autoSpaceDE w:val="0"/>
        <w:autoSpaceDN w:val="0"/>
        <w:spacing w:line="360" w:lineRule="auto"/>
        <w:ind w:firstLine="4800" w:firstLineChars="20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投标人名称（电子</w:t>
      </w:r>
      <w:r>
        <w:rPr>
          <w:rFonts w:hint="eastAsia" w:ascii="宋体" w:hAnsi="宋体" w:eastAsia="宋体" w:cs="宋体"/>
          <w:color w:val="auto"/>
          <w:kern w:val="0"/>
          <w:sz w:val="24"/>
          <w:highlight w:val="none"/>
          <w:lang w:val="zh-CN"/>
        </w:rPr>
        <w:t>签章</w:t>
      </w:r>
      <w:r>
        <w:rPr>
          <w:rFonts w:hint="eastAsia" w:ascii="宋体" w:hAnsi="宋体" w:eastAsia="宋体" w:cs="宋体"/>
          <w:color w:val="auto"/>
          <w:kern w:val="0"/>
          <w:sz w:val="24"/>
          <w:highlight w:val="none"/>
        </w:rPr>
        <w:t xml:space="preserve">）：                       </w:t>
      </w:r>
    </w:p>
    <w:p w14:paraId="252A55E6">
      <w:pPr>
        <w:autoSpaceDE w:val="0"/>
        <w:autoSpaceDN w:val="0"/>
        <w:spacing w:line="360" w:lineRule="auto"/>
        <w:rPr>
          <w:rFonts w:hint="eastAsia" w:ascii="宋体" w:hAnsi="宋体" w:eastAsia="宋体" w:cs="宋体"/>
          <w:b/>
          <w:bCs/>
          <w:color w:val="auto"/>
          <w:sz w:val="30"/>
          <w:szCs w:val="30"/>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  年  月   日</w:t>
      </w:r>
    </w:p>
    <w:p w14:paraId="10013ED5">
      <w:pPr>
        <w:widowControl/>
        <w:jc w:val="left"/>
        <w:rPr>
          <w:rFonts w:hint="eastAsia" w:ascii="宋体" w:hAnsi="宋体" w:eastAsia="宋体" w:cs="宋体"/>
          <w:b/>
          <w:bCs/>
          <w:color w:val="auto"/>
          <w:sz w:val="24"/>
          <w:highlight w:val="none"/>
        </w:rPr>
        <w:sectPr>
          <w:pgSz w:w="11906" w:h="16838"/>
          <w:pgMar w:top="1134" w:right="1134" w:bottom="1134" w:left="1134" w:header="720" w:footer="720" w:gutter="0"/>
          <w:cols w:space="720" w:num="1"/>
          <w:docGrid w:type="lines" w:linePitch="331" w:charSpace="0"/>
        </w:sectPr>
      </w:pPr>
    </w:p>
    <w:p w14:paraId="2338412D">
      <w:pPr>
        <w:pStyle w:val="11"/>
        <w:jc w:val="center"/>
        <w:outlineLvl w:val="1"/>
        <w:rPr>
          <w:rFonts w:hint="eastAsia" w:ascii="宋体" w:hAnsi="宋体" w:eastAsia="宋体" w:cs="宋体"/>
          <w:b/>
          <w:bCs/>
          <w:color w:val="auto"/>
          <w:sz w:val="28"/>
          <w:szCs w:val="28"/>
          <w:highlight w:val="none"/>
        </w:rPr>
      </w:pPr>
      <w:bookmarkStart w:id="1607" w:name="_Toc22926"/>
      <w:bookmarkStart w:id="1608" w:name="_Toc30788"/>
      <w:r>
        <w:rPr>
          <w:rFonts w:hint="eastAsia" w:ascii="宋体" w:hAnsi="宋体" w:eastAsia="宋体" w:cs="宋体"/>
          <w:b/>
          <w:bCs/>
          <w:color w:val="auto"/>
          <w:sz w:val="28"/>
          <w:szCs w:val="28"/>
          <w:highlight w:val="none"/>
        </w:rPr>
        <w:t>第五节 报价文件格式</w:t>
      </w:r>
      <w:bookmarkEnd w:id="1607"/>
      <w:bookmarkEnd w:id="1608"/>
    </w:p>
    <w:p w14:paraId="566C7872">
      <w:pPr>
        <w:snapToGrid w:val="0"/>
        <w:spacing w:before="165" w:beforeLines="50" w:after="50" w:line="400" w:lineRule="exact"/>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电子投标文件</w:t>
      </w:r>
    </w:p>
    <w:p w14:paraId="7BAA69DA">
      <w:pPr>
        <w:snapToGrid w:val="0"/>
        <w:spacing w:before="165" w:beforeLines="50" w:after="50" w:line="400" w:lineRule="exact"/>
        <w:jc w:val="center"/>
        <w:rPr>
          <w:rFonts w:hint="eastAsia" w:ascii="宋体" w:hAnsi="宋体" w:eastAsia="宋体" w:cs="宋体"/>
          <w:bCs/>
          <w:color w:val="auto"/>
          <w:sz w:val="24"/>
          <w:szCs w:val="20"/>
          <w:highlight w:val="none"/>
        </w:rPr>
      </w:pPr>
    </w:p>
    <w:p w14:paraId="03597E9A">
      <w:pPr>
        <w:snapToGrid w:val="0"/>
        <w:spacing w:before="165"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报价文件（封面）</w:t>
      </w:r>
    </w:p>
    <w:p w14:paraId="1AE56342">
      <w:pPr>
        <w:snapToGrid w:val="0"/>
        <w:spacing w:before="165" w:beforeLines="50" w:after="50" w:line="400" w:lineRule="exact"/>
        <w:rPr>
          <w:rFonts w:hint="eastAsia" w:ascii="宋体" w:hAnsi="宋体" w:eastAsia="宋体" w:cs="宋体"/>
          <w:bCs/>
          <w:color w:val="auto"/>
          <w:sz w:val="24"/>
          <w:szCs w:val="20"/>
          <w:highlight w:val="none"/>
        </w:rPr>
      </w:pPr>
    </w:p>
    <w:p w14:paraId="10FAF0D9">
      <w:pPr>
        <w:snapToGrid w:val="0"/>
        <w:spacing w:before="165" w:beforeLines="50" w:after="50" w:line="400" w:lineRule="exact"/>
        <w:rPr>
          <w:rFonts w:hint="eastAsia" w:ascii="宋体" w:hAnsi="宋体" w:eastAsia="宋体" w:cs="宋体"/>
          <w:bCs/>
          <w:color w:val="auto"/>
          <w:sz w:val="24"/>
          <w:szCs w:val="20"/>
          <w:highlight w:val="none"/>
        </w:rPr>
      </w:pPr>
    </w:p>
    <w:p w14:paraId="3F060C72">
      <w:pPr>
        <w:snapToGrid w:val="0"/>
        <w:spacing w:before="165" w:beforeLines="50" w:after="50" w:line="400" w:lineRule="exact"/>
        <w:rPr>
          <w:rFonts w:hint="eastAsia" w:ascii="宋体" w:hAnsi="宋体" w:eastAsia="宋体" w:cs="宋体"/>
          <w:bCs/>
          <w:color w:val="auto"/>
          <w:sz w:val="24"/>
          <w:szCs w:val="20"/>
          <w:highlight w:val="none"/>
        </w:rPr>
      </w:pPr>
    </w:p>
    <w:p w14:paraId="6FB99FBB">
      <w:pPr>
        <w:snapToGrid w:val="0"/>
        <w:spacing w:before="165" w:beforeLines="50" w:after="50" w:line="400" w:lineRule="exact"/>
        <w:rPr>
          <w:rFonts w:hint="eastAsia" w:ascii="宋体" w:hAnsi="宋体" w:eastAsia="宋体" w:cs="宋体"/>
          <w:bCs/>
          <w:color w:val="auto"/>
          <w:sz w:val="24"/>
          <w:szCs w:val="20"/>
          <w:highlight w:val="none"/>
        </w:rPr>
      </w:pPr>
    </w:p>
    <w:p w14:paraId="4C4B3018">
      <w:pP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项目名称： </w:t>
      </w:r>
    </w:p>
    <w:p w14:paraId="5900615E">
      <w:pPr>
        <w:snapToGrid w:val="0"/>
        <w:spacing w:before="165" w:beforeLines="50" w:after="50" w:line="400" w:lineRule="exact"/>
        <w:ind w:firstLine="360" w:firstLineChars="150"/>
        <w:rPr>
          <w:rFonts w:hint="eastAsia" w:ascii="宋体" w:hAnsi="宋体" w:eastAsia="宋体" w:cs="宋体"/>
          <w:bCs/>
          <w:color w:val="auto"/>
          <w:sz w:val="24"/>
          <w:highlight w:val="none"/>
        </w:rPr>
      </w:pPr>
    </w:p>
    <w:p w14:paraId="63B7843B">
      <w:pP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项目编号： </w:t>
      </w:r>
    </w:p>
    <w:p w14:paraId="0E76654C">
      <w:pPr>
        <w:snapToGrid w:val="0"/>
        <w:spacing w:before="165" w:beforeLines="50" w:after="50" w:line="400" w:lineRule="exact"/>
        <w:ind w:firstLine="360" w:firstLineChars="150"/>
        <w:rPr>
          <w:rFonts w:hint="eastAsia" w:ascii="宋体" w:hAnsi="宋体" w:eastAsia="宋体" w:cs="宋体"/>
          <w:bCs/>
          <w:color w:val="auto"/>
          <w:sz w:val="24"/>
          <w:highlight w:val="none"/>
        </w:rPr>
      </w:pPr>
    </w:p>
    <w:p w14:paraId="0CFB3FF6">
      <w:pP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w:t>
      </w:r>
    </w:p>
    <w:p w14:paraId="6BEE0D37">
      <w:pPr>
        <w:snapToGrid w:val="0"/>
        <w:spacing w:before="165" w:beforeLines="50" w:after="50" w:line="400" w:lineRule="exact"/>
        <w:ind w:firstLine="360" w:firstLineChars="150"/>
        <w:rPr>
          <w:rFonts w:hint="eastAsia" w:ascii="宋体" w:hAnsi="宋体" w:eastAsia="宋体" w:cs="宋体"/>
          <w:bCs/>
          <w:color w:val="auto"/>
          <w:sz w:val="24"/>
          <w:highlight w:val="none"/>
        </w:rPr>
      </w:pPr>
    </w:p>
    <w:p w14:paraId="32692DFB">
      <w:pP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投标人名称：</w:t>
      </w:r>
    </w:p>
    <w:p w14:paraId="73B07C6D">
      <w:pPr>
        <w:snapToGrid w:val="0"/>
        <w:spacing w:before="165" w:beforeLines="50" w:after="50" w:line="400" w:lineRule="exact"/>
        <w:ind w:firstLine="360" w:firstLineChars="150"/>
        <w:rPr>
          <w:rFonts w:hint="eastAsia" w:ascii="宋体" w:hAnsi="宋体" w:eastAsia="宋体" w:cs="宋体"/>
          <w:bCs/>
          <w:color w:val="auto"/>
          <w:sz w:val="24"/>
          <w:highlight w:val="none"/>
        </w:rPr>
      </w:pPr>
    </w:p>
    <w:p w14:paraId="7B3F257F">
      <w:pP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投标人地址：</w:t>
      </w:r>
    </w:p>
    <w:p w14:paraId="1A023109">
      <w:pPr>
        <w:pStyle w:val="8"/>
        <w:snapToGrid w:val="0"/>
        <w:spacing w:before="50" w:after="50" w:line="400" w:lineRule="exact"/>
        <w:ind w:firstLine="960" w:firstLineChars="400"/>
        <w:rPr>
          <w:rFonts w:hint="eastAsia" w:ascii="宋体" w:hAnsi="宋体" w:eastAsia="宋体" w:cs="宋体"/>
          <w:bCs/>
          <w:color w:val="auto"/>
          <w:sz w:val="24"/>
          <w:szCs w:val="24"/>
          <w:highlight w:val="none"/>
        </w:rPr>
      </w:pPr>
    </w:p>
    <w:p w14:paraId="4E8E803F">
      <w:pPr>
        <w:snapToGrid w:val="0"/>
        <w:spacing w:before="165" w:beforeLines="50" w:after="50"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7033686C">
      <w:pPr>
        <w:widowControl/>
        <w:jc w:val="left"/>
        <w:rPr>
          <w:rFonts w:hint="eastAsia" w:ascii="宋体" w:hAnsi="宋体" w:eastAsia="宋体" w:cs="宋体"/>
          <w:color w:val="auto"/>
          <w:sz w:val="24"/>
          <w:highlight w:val="none"/>
        </w:rPr>
        <w:sectPr>
          <w:pgSz w:w="11906" w:h="16838"/>
          <w:pgMar w:top="1134" w:right="1134" w:bottom="1134" w:left="1134" w:header="720" w:footer="720" w:gutter="0"/>
          <w:cols w:space="720" w:num="1"/>
          <w:docGrid w:type="lines" w:linePitch="331" w:charSpace="0"/>
        </w:sectPr>
      </w:pPr>
    </w:p>
    <w:p w14:paraId="39ADCD49">
      <w:pPr>
        <w:rPr>
          <w:rFonts w:hint="eastAsia" w:ascii="宋体" w:hAnsi="宋体" w:eastAsia="宋体" w:cs="宋体"/>
          <w:color w:val="auto"/>
          <w:highlight w:val="none"/>
        </w:rPr>
      </w:pPr>
    </w:p>
    <w:p w14:paraId="7CB705E9">
      <w:pPr>
        <w:snapToGrid w:val="0"/>
        <w:spacing w:before="165"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报价文件目录</w:t>
      </w:r>
    </w:p>
    <w:p w14:paraId="1D87B65F">
      <w:pPr>
        <w:rPr>
          <w:rFonts w:hint="eastAsia" w:ascii="宋体" w:hAnsi="宋体" w:eastAsia="宋体" w:cs="宋体"/>
          <w:color w:val="auto"/>
          <w:highlight w:val="none"/>
        </w:rPr>
      </w:pPr>
    </w:p>
    <w:p w14:paraId="69FF2EE9">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一、投标函………………………………………………………（页码）</w:t>
      </w:r>
    </w:p>
    <w:p w14:paraId="7F0470E2">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二、开标一览表…………………………………………………（页码）</w:t>
      </w:r>
    </w:p>
    <w:p w14:paraId="1435F75B">
      <w:pPr>
        <w:spacing w:line="360" w:lineRule="auto"/>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三</w:t>
      </w:r>
      <w:r>
        <w:rPr>
          <w:rFonts w:hint="eastAsia" w:ascii="宋体" w:hAnsi="宋体" w:eastAsia="宋体" w:cs="宋体"/>
          <w:color w:val="auto"/>
          <w:kern w:val="0"/>
          <w:sz w:val="24"/>
          <w:highlight w:val="none"/>
        </w:rPr>
        <w:t>、已标价的工程量清单………………………………………（页码）</w:t>
      </w:r>
    </w:p>
    <w:p w14:paraId="7F814CAD">
      <w:pPr>
        <w:pStyle w:val="11"/>
        <w:spacing w:line="500" w:lineRule="exact"/>
        <w:jc w:val="center"/>
        <w:rPr>
          <w:rFonts w:hint="eastAsia" w:ascii="宋体" w:hAnsi="宋体" w:eastAsia="宋体" w:cs="宋体"/>
          <w:b/>
          <w:bCs/>
          <w:color w:val="auto"/>
          <w:sz w:val="30"/>
          <w:szCs w:val="30"/>
          <w:highlight w:val="none"/>
        </w:rPr>
      </w:pPr>
    </w:p>
    <w:p w14:paraId="41336BF4">
      <w:pPr>
        <w:pStyle w:val="11"/>
        <w:spacing w:line="500" w:lineRule="exact"/>
        <w:jc w:val="center"/>
        <w:rPr>
          <w:rFonts w:hint="eastAsia" w:ascii="宋体" w:hAnsi="宋体" w:eastAsia="宋体" w:cs="宋体"/>
          <w:b/>
          <w:bCs/>
          <w:color w:val="auto"/>
          <w:sz w:val="30"/>
          <w:szCs w:val="30"/>
          <w:highlight w:val="none"/>
        </w:rPr>
      </w:pPr>
    </w:p>
    <w:p w14:paraId="5D700676">
      <w:pPr>
        <w:pStyle w:val="11"/>
        <w:spacing w:line="500" w:lineRule="exact"/>
        <w:jc w:val="center"/>
        <w:rPr>
          <w:rFonts w:hint="eastAsia" w:ascii="宋体" w:hAnsi="宋体" w:eastAsia="宋体" w:cs="宋体"/>
          <w:b/>
          <w:bCs/>
          <w:color w:val="auto"/>
          <w:sz w:val="30"/>
          <w:szCs w:val="30"/>
          <w:highlight w:val="none"/>
        </w:rPr>
      </w:pPr>
    </w:p>
    <w:p w14:paraId="3ECA3799">
      <w:pPr>
        <w:pStyle w:val="11"/>
        <w:spacing w:line="500" w:lineRule="exact"/>
        <w:jc w:val="center"/>
        <w:rPr>
          <w:rFonts w:hint="eastAsia" w:ascii="宋体" w:hAnsi="宋体" w:eastAsia="宋体" w:cs="宋体"/>
          <w:b/>
          <w:bCs/>
          <w:color w:val="auto"/>
          <w:sz w:val="30"/>
          <w:szCs w:val="30"/>
          <w:highlight w:val="none"/>
        </w:rPr>
      </w:pPr>
    </w:p>
    <w:p w14:paraId="7A73708D">
      <w:pPr>
        <w:pStyle w:val="11"/>
        <w:spacing w:line="500" w:lineRule="exact"/>
        <w:jc w:val="center"/>
        <w:rPr>
          <w:rFonts w:hint="eastAsia" w:ascii="宋体" w:hAnsi="宋体" w:eastAsia="宋体" w:cs="宋体"/>
          <w:b/>
          <w:bCs/>
          <w:color w:val="auto"/>
          <w:sz w:val="30"/>
          <w:szCs w:val="30"/>
          <w:highlight w:val="none"/>
        </w:rPr>
      </w:pPr>
    </w:p>
    <w:p w14:paraId="05848629">
      <w:pPr>
        <w:pStyle w:val="11"/>
        <w:spacing w:line="500" w:lineRule="exact"/>
        <w:jc w:val="center"/>
        <w:rPr>
          <w:rFonts w:hint="eastAsia" w:ascii="宋体" w:hAnsi="宋体" w:eastAsia="宋体" w:cs="宋体"/>
          <w:b/>
          <w:bCs/>
          <w:color w:val="auto"/>
          <w:sz w:val="30"/>
          <w:szCs w:val="30"/>
          <w:highlight w:val="none"/>
        </w:rPr>
      </w:pPr>
    </w:p>
    <w:p w14:paraId="6C66DC7E">
      <w:pPr>
        <w:pStyle w:val="11"/>
        <w:spacing w:line="500" w:lineRule="exact"/>
        <w:jc w:val="center"/>
        <w:rPr>
          <w:rFonts w:hint="eastAsia" w:ascii="宋体" w:hAnsi="宋体" w:eastAsia="宋体" w:cs="宋体"/>
          <w:b/>
          <w:bCs/>
          <w:color w:val="auto"/>
          <w:sz w:val="30"/>
          <w:szCs w:val="30"/>
          <w:highlight w:val="none"/>
        </w:rPr>
      </w:pPr>
    </w:p>
    <w:p w14:paraId="5DA9509F">
      <w:pPr>
        <w:pStyle w:val="11"/>
        <w:spacing w:line="500" w:lineRule="exact"/>
        <w:jc w:val="center"/>
        <w:rPr>
          <w:rFonts w:hint="eastAsia" w:ascii="宋体" w:hAnsi="宋体" w:eastAsia="宋体" w:cs="宋体"/>
          <w:b/>
          <w:bCs/>
          <w:color w:val="auto"/>
          <w:sz w:val="30"/>
          <w:szCs w:val="30"/>
          <w:highlight w:val="none"/>
        </w:rPr>
      </w:pPr>
    </w:p>
    <w:p w14:paraId="46C267F4">
      <w:pPr>
        <w:pStyle w:val="11"/>
        <w:spacing w:line="500" w:lineRule="exact"/>
        <w:jc w:val="center"/>
        <w:rPr>
          <w:rFonts w:hint="eastAsia" w:ascii="宋体" w:hAnsi="宋体" w:eastAsia="宋体" w:cs="宋体"/>
          <w:b/>
          <w:bCs/>
          <w:color w:val="auto"/>
          <w:sz w:val="30"/>
          <w:szCs w:val="30"/>
          <w:highlight w:val="none"/>
        </w:rPr>
      </w:pPr>
    </w:p>
    <w:p w14:paraId="72493E13">
      <w:pPr>
        <w:pStyle w:val="11"/>
        <w:spacing w:line="500" w:lineRule="exact"/>
        <w:jc w:val="center"/>
        <w:rPr>
          <w:rFonts w:hint="eastAsia" w:ascii="宋体" w:hAnsi="宋体" w:eastAsia="宋体" w:cs="宋体"/>
          <w:b/>
          <w:bCs/>
          <w:color w:val="auto"/>
          <w:sz w:val="30"/>
          <w:szCs w:val="30"/>
          <w:highlight w:val="none"/>
        </w:rPr>
      </w:pPr>
    </w:p>
    <w:p w14:paraId="489F204F">
      <w:pPr>
        <w:pStyle w:val="11"/>
        <w:spacing w:line="500" w:lineRule="exact"/>
        <w:jc w:val="center"/>
        <w:rPr>
          <w:rFonts w:hint="eastAsia" w:ascii="宋体" w:hAnsi="宋体" w:eastAsia="宋体" w:cs="宋体"/>
          <w:b/>
          <w:bCs/>
          <w:color w:val="auto"/>
          <w:sz w:val="30"/>
          <w:szCs w:val="30"/>
          <w:highlight w:val="none"/>
        </w:rPr>
      </w:pPr>
    </w:p>
    <w:p w14:paraId="04A8A523">
      <w:pPr>
        <w:pStyle w:val="11"/>
        <w:spacing w:line="500" w:lineRule="exact"/>
        <w:jc w:val="center"/>
        <w:rPr>
          <w:rFonts w:hint="eastAsia" w:ascii="宋体" w:hAnsi="宋体" w:eastAsia="宋体" w:cs="宋体"/>
          <w:b/>
          <w:bCs/>
          <w:color w:val="auto"/>
          <w:sz w:val="30"/>
          <w:szCs w:val="30"/>
          <w:highlight w:val="none"/>
        </w:rPr>
      </w:pPr>
    </w:p>
    <w:p w14:paraId="35B40863">
      <w:pPr>
        <w:pStyle w:val="11"/>
        <w:spacing w:line="500" w:lineRule="exact"/>
        <w:jc w:val="center"/>
        <w:rPr>
          <w:rFonts w:hint="eastAsia" w:ascii="宋体" w:hAnsi="宋体" w:eastAsia="宋体" w:cs="宋体"/>
          <w:b/>
          <w:bCs/>
          <w:color w:val="auto"/>
          <w:sz w:val="30"/>
          <w:szCs w:val="30"/>
          <w:highlight w:val="none"/>
        </w:rPr>
      </w:pPr>
    </w:p>
    <w:p w14:paraId="7C2649CB">
      <w:pPr>
        <w:pStyle w:val="11"/>
        <w:spacing w:line="500" w:lineRule="exact"/>
        <w:jc w:val="center"/>
        <w:rPr>
          <w:rFonts w:hint="eastAsia" w:ascii="宋体" w:hAnsi="宋体" w:eastAsia="宋体" w:cs="宋体"/>
          <w:b/>
          <w:bCs/>
          <w:color w:val="auto"/>
          <w:sz w:val="30"/>
          <w:szCs w:val="30"/>
          <w:highlight w:val="none"/>
        </w:rPr>
      </w:pPr>
    </w:p>
    <w:p w14:paraId="44899D6F">
      <w:pPr>
        <w:pStyle w:val="11"/>
        <w:spacing w:line="500" w:lineRule="exact"/>
        <w:jc w:val="center"/>
        <w:rPr>
          <w:rFonts w:hint="eastAsia" w:ascii="宋体" w:hAnsi="宋体" w:eastAsia="宋体" w:cs="宋体"/>
          <w:b/>
          <w:bCs/>
          <w:color w:val="auto"/>
          <w:sz w:val="30"/>
          <w:szCs w:val="30"/>
          <w:highlight w:val="none"/>
        </w:rPr>
      </w:pPr>
    </w:p>
    <w:p w14:paraId="51AAE8DD">
      <w:pPr>
        <w:pStyle w:val="11"/>
        <w:spacing w:line="500" w:lineRule="exact"/>
        <w:jc w:val="center"/>
        <w:rPr>
          <w:rFonts w:hint="eastAsia" w:ascii="宋体" w:hAnsi="宋体" w:eastAsia="宋体" w:cs="宋体"/>
          <w:b/>
          <w:bCs/>
          <w:color w:val="auto"/>
          <w:sz w:val="30"/>
          <w:szCs w:val="30"/>
          <w:highlight w:val="none"/>
        </w:rPr>
      </w:pPr>
    </w:p>
    <w:p w14:paraId="1D65064C">
      <w:pPr>
        <w:pStyle w:val="11"/>
        <w:spacing w:line="500" w:lineRule="exact"/>
        <w:jc w:val="center"/>
        <w:rPr>
          <w:rFonts w:hint="eastAsia" w:ascii="宋体" w:hAnsi="宋体" w:eastAsia="宋体" w:cs="宋体"/>
          <w:b/>
          <w:bCs/>
          <w:color w:val="auto"/>
          <w:sz w:val="30"/>
          <w:szCs w:val="30"/>
          <w:highlight w:val="none"/>
        </w:rPr>
      </w:pPr>
    </w:p>
    <w:p w14:paraId="4E3AB066">
      <w:pPr>
        <w:pStyle w:val="11"/>
        <w:spacing w:line="500" w:lineRule="exact"/>
        <w:jc w:val="center"/>
        <w:rPr>
          <w:rFonts w:hint="eastAsia" w:ascii="宋体" w:hAnsi="宋体" w:eastAsia="宋体" w:cs="宋体"/>
          <w:b/>
          <w:bCs/>
          <w:color w:val="auto"/>
          <w:sz w:val="30"/>
          <w:szCs w:val="30"/>
          <w:highlight w:val="none"/>
        </w:rPr>
      </w:pPr>
    </w:p>
    <w:p w14:paraId="5B26D635">
      <w:pPr>
        <w:pStyle w:val="11"/>
        <w:spacing w:line="500" w:lineRule="exact"/>
        <w:jc w:val="center"/>
        <w:rPr>
          <w:rFonts w:hint="eastAsia" w:ascii="宋体" w:hAnsi="宋体" w:eastAsia="宋体" w:cs="宋体"/>
          <w:b/>
          <w:bCs/>
          <w:color w:val="auto"/>
          <w:sz w:val="30"/>
          <w:szCs w:val="30"/>
          <w:highlight w:val="none"/>
        </w:rPr>
      </w:pPr>
    </w:p>
    <w:p w14:paraId="018FB494">
      <w:pPr>
        <w:pStyle w:val="11"/>
        <w:spacing w:line="500" w:lineRule="exact"/>
        <w:jc w:val="center"/>
        <w:rPr>
          <w:rFonts w:hint="eastAsia" w:ascii="宋体" w:hAnsi="宋体" w:eastAsia="宋体" w:cs="宋体"/>
          <w:b/>
          <w:bCs/>
          <w:color w:val="auto"/>
          <w:sz w:val="30"/>
          <w:szCs w:val="30"/>
          <w:highlight w:val="none"/>
        </w:rPr>
      </w:pPr>
    </w:p>
    <w:p w14:paraId="537F19C7">
      <w:pPr>
        <w:pStyle w:val="11"/>
        <w:spacing w:line="500" w:lineRule="exact"/>
        <w:jc w:val="center"/>
        <w:rPr>
          <w:rFonts w:hint="eastAsia" w:ascii="宋体" w:hAnsi="宋体" w:eastAsia="宋体" w:cs="宋体"/>
          <w:b/>
          <w:bCs/>
          <w:color w:val="auto"/>
          <w:sz w:val="30"/>
          <w:szCs w:val="30"/>
          <w:highlight w:val="none"/>
        </w:rPr>
      </w:pPr>
    </w:p>
    <w:p w14:paraId="24E209CB">
      <w:pPr>
        <w:pStyle w:val="11"/>
        <w:spacing w:line="500" w:lineRule="exact"/>
        <w:jc w:val="center"/>
        <w:rPr>
          <w:rFonts w:hint="eastAsia" w:ascii="宋体" w:hAnsi="宋体" w:eastAsia="宋体" w:cs="宋体"/>
          <w:b/>
          <w:bCs/>
          <w:color w:val="auto"/>
          <w:sz w:val="30"/>
          <w:szCs w:val="30"/>
          <w:highlight w:val="none"/>
        </w:rPr>
      </w:pPr>
    </w:p>
    <w:p w14:paraId="224DAF7D">
      <w:pPr>
        <w:pStyle w:val="11"/>
        <w:spacing w:line="500" w:lineRule="exact"/>
        <w:jc w:val="center"/>
        <w:rPr>
          <w:rFonts w:hint="eastAsia" w:ascii="宋体" w:hAnsi="宋体" w:eastAsia="宋体" w:cs="宋体"/>
          <w:b/>
          <w:bCs/>
          <w:color w:val="auto"/>
          <w:sz w:val="30"/>
          <w:szCs w:val="30"/>
          <w:highlight w:val="none"/>
        </w:rPr>
      </w:pPr>
    </w:p>
    <w:p w14:paraId="53D145B6">
      <w:pPr>
        <w:pStyle w:val="11"/>
        <w:spacing w:line="500" w:lineRule="exact"/>
        <w:jc w:val="center"/>
        <w:rPr>
          <w:rFonts w:hint="eastAsia" w:ascii="宋体" w:hAnsi="宋体" w:eastAsia="宋体" w:cs="宋体"/>
          <w:b/>
          <w:bCs/>
          <w:color w:val="auto"/>
          <w:sz w:val="30"/>
          <w:szCs w:val="30"/>
          <w:highlight w:val="none"/>
        </w:rPr>
      </w:pPr>
    </w:p>
    <w:p w14:paraId="11C8459B">
      <w:pPr>
        <w:pStyle w:val="11"/>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一、投标函</w:t>
      </w:r>
    </w:p>
    <w:p w14:paraId="12EF1BBF">
      <w:pPr>
        <w:pStyle w:val="11"/>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hAnsi="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6342F722">
      <w:pPr>
        <w:pStyle w:val="11"/>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我方已仔细阅读了贵方组织的</w:t>
      </w:r>
      <w:r>
        <w:rPr>
          <w:rFonts w:hint="eastAsia" w:hAnsi="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项目（项目编号：</w:t>
      </w:r>
      <w:r>
        <w:rPr>
          <w:rFonts w:hint="eastAsia" w:hAnsi="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）的招标文件的全部内容，授权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全权代表姓名</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职务、职称</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为全权代表，现正式递交下述文件参加贵方组织的本次政府采购活动： </w:t>
      </w:r>
    </w:p>
    <w:p w14:paraId="2710D6AF">
      <w:pPr>
        <w:pStyle w:val="11"/>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一、报价文件电子版一份（包含按投标人须知前附表要求提交的全部文件）；</w:t>
      </w:r>
    </w:p>
    <w:p w14:paraId="03195778">
      <w:pPr>
        <w:pStyle w:val="11"/>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二、资格文件电子版一份（包含按投标人须知前附表要求提交的全部文件）；</w:t>
      </w:r>
    </w:p>
    <w:p w14:paraId="6EFD6795">
      <w:pPr>
        <w:pStyle w:val="11"/>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三、技术文件电子版一份（包含按投标人须知前附表要求提交的全部文件）；</w:t>
      </w:r>
    </w:p>
    <w:p w14:paraId="7B36A085">
      <w:pPr>
        <w:pStyle w:val="11"/>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四、商务文件电子版一份（包含按投标人须知前附表要求提交的全部文件）；</w:t>
      </w:r>
    </w:p>
    <w:p w14:paraId="49F9BFA7">
      <w:pPr>
        <w:pStyle w:val="11"/>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据此函，签字人兹宣布：</w:t>
      </w:r>
    </w:p>
    <w:p w14:paraId="7ED5B9A6">
      <w:pPr>
        <w:pStyle w:val="11"/>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1、我方愿意以（大写）人民币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元 </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的投标总报价，</w:t>
      </w:r>
      <w:r>
        <w:rPr>
          <w:rFonts w:hint="eastAsia" w:hAnsi="宋体" w:cs="宋体"/>
          <w:color w:val="auto"/>
          <w:highlight w:val="none"/>
          <w:lang w:val="en-US" w:eastAsia="zh-CN"/>
        </w:rPr>
        <w:t>工期</w:t>
      </w:r>
      <w:r>
        <w:rPr>
          <w:rFonts w:hint="eastAsia" w:ascii="宋体" w:hAnsi="宋体" w:eastAsia="宋体" w:cs="宋体"/>
          <w:color w:val="auto"/>
          <w:highlight w:val="none"/>
        </w:rPr>
        <w:t>（无分标时填写）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，提供本项目招标文件第二章“</w:t>
      </w:r>
      <w:r>
        <w:rPr>
          <w:rFonts w:hint="eastAsia" w:hAnsi="宋体" w:cs="宋体"/>
          <w:color w:val="auto"/>
          <w:highlight w:val="none"/>
          <w:lang w:eastAsia="zh-CN"/>
        </w:rPr>
        <w:t>技术</w:t>
      </w:r>
      <w:r>
        <w:rPr>
          <w:rFonts w:hint="eastAsia" w:ascii="宋体" w:hAnsi="宋体" w:eastAsia="宋体" w:cs="宋体"/>
          <w:color w:val="auto"/>
          <w:highlight w:val="none"/>
        </w:rPr>
        <w:t>需求”中的相应的采购内容。</w:t>
      </w:r>
    </w:p>
    <w:p w14:paraId="66DF62D6">
      <w:pPr>
        <w:pStyle w:val="11"/>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其中（有分标时填写）：</w:t>
      </w:r>
    </w:p>
    <w:p w14:paraId="1A33C08C">
      <w:pPr>
        <w:pStyle w:val="11"/>
        <w:spacing w:line="360" w:lineRule="exact"/>
        <w:ind w:firstLine="420" w:firstLineChars="200"/>
        <w:rPr>
          <w:rFonts w:hint="eastAsia" w:ascii="宋体" w:hAnsi="宋体" w:eastAsia="宋体" w:cs="宋体"/>
          <w:color w:val="auto"/>
          <w:highlight w:val="none"/>
          <w:u w:val="single"/>
        </w:rPr>
      </w:pP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ascii="宋体" w:hAnsi="宋体" w:eastAsia="宋体" w:cs="宋体"/>
          <w:color w:val="auto"/>
          <w:highlight w:val="none"/>
        </w:rPr>
        <w:t>分标报价为（大写）人民币</w:t>
      </w: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ascii="宋体" w:hAnsi="宋体" w:eastAsia="宋体" w:cs="宋体"/>
          <w:color w:val="auto"/>
          <w:highlight w:val="none"/>
        </w:rPr>
        <w:t xml:space="preserve">元 </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t>
      </w: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ascii="宋体" w:hAnsi="宋体" w:eastAsia="宋体" w:cs="宋体"/>
          <w:color w:val="auto"/>
          <w:highlight w:val="none"/>
        </w:rPr>
        <w:t>元</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t>
      </w:r>
      <w:r>
        <w:rPr>
          <w:rFonts w:hint="eastAsia" w:hAnsi="宋体" w:cs="宋体"/>
          <w:color w:val="auto"/>
          <w:highlight w:val="none"/>
          <w:lang w:val="en-US" w:eastAsia="zh-CN"/>
        </w:rPr>
        <w:t>工期</w:t>
      </w:r>
      <w:r>
        <w:rPr>
          <w:rFonts w:hint="eastAsia" w:ascii="宋体" w:hAnsi="宋体" w:eastAsia="宋体" w:cs="宋体"/>
          <w:color w:val="auto"/>
          <w:highlight w:val="none"/>
        </w:rPr>
        <w:t>：</w:t>
      </w: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ascii="宋体" w:hAnsi="宋体" w:eastAsia="宋体" w:cs="宋体"/>
          <w:color w:val="auto"/>
          <w:highlight w:val="none"/>
        </w:rPr>
        <w:t>；</w:t>
      </w:r>
    </w:p>
    <w:p w14:paraId="79EDB3FA">
      <w:pPr>
        <w:pStyle w:val="11"/>
        <w:spacing w:line="360" w:lineRule="exact"/>
        <w:ind w:firstLine="420" w:firstLineChars="200"/>
        <w:rPr>
          <w:rFonts w:hint="eastAsia" w:ascii="宋体" w:hAnsi="宋体" w:eastAsia="宋体" w:cs="宋体"/>
          <w:color w:val="auto"/>
          <w:highlight w:val="none"/>
          <w:u w:val="single"/>
        </w:rPr>
      </w:pP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ascii="宋体" w:hAnsi="宋体" w:eastAsia="宋体" w:cs="宋体"/>
          <w:color w:val="auto"/>
          <w:highlight w:val="none"/>
        </w:rPr>
        <w:t>分标报价为（大写）人民币</w:t>
      </w: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ascii="宋体" w:hAnsi="宋体" w:eastAsia="宋体" w:cs="宋体"/>
          <w:color w:val="auto"/>
          <w:highlight w:val="none"/>
        </w:rPr>
        <w:t xml:space="preserve">元 </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t>
      </w: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ascii="宋体" w:hAnsi="宋体" w:eastAsia="宋体" w:cs="宋体"/>
          <w:color w:val="auto"/>
          <w:highlight w:val="none"/>
        </w:rPr>
        <w:t>元</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t>
      </w:r>
      <w:r>
        <w:rPr>
          <w:rFonts w:hint="eastAsia" w:hAnsi="宋体" w:cs="宋体"/>
          <w:color w:val="auto"/>
          <w:highlight w:val="none"/>
          <w:lang w:val="en-US" w:eastAsia="zh-CN"/>
        </w:rPr>
        <w:t>工期</w:t>
      </w:r>
      <w:r>
        <w:rPr>
          <w:rFonts w:hint="eastAsia" w:ascii="宋体" w:hAnsi="宋体" w:eastAsia="宋体" w:cs="宋体"/>
          <w:color w:val="auto"/>
          <w:highlight w:val="none"/>
        </w:rPr>
        <w:t>：</w:t>
      </w: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ascii="宋体" w:hAnsi="宋体" w:eastAsia="宋体" w:cs="宋体"/>
          <w:color w:val="auto"/>
          <w:highlight w:val="none"/>
        </w:rPr>
        <w:t>；</w:t>
      </w:r>
    </w:p>
    <w:p w14:paraId="27EF2448">
      <w:pPr>
        <w:pStyle w:val="11"/>
        <w:spacing w:line="36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w:t>
      </w:r>
    </w:p>
    <w:p w14:paraId="63D17391">
      <w:pPr>
        <w:pStyle w:val="11"/>
        <w:spacing w:line="36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14:paraId="310D6292">
      <w:pPr>
        <w:pStyle w:val="11"/>
        <w:spacing w:line="36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3、我方所递交的投标文件及有关资料都是内容完整、真实和准确的。</w:t>
      </w:r>
    </w:p>
    <w:p w14:paraId="7F955029">
      <w:pPr>
        <w:pStyle w:val="11"/>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szCs w:val="21"/>
          <w:highlight w:val="none"/>
        </w:rPr>
        <w:t>如本项目采购内容涉及须符合国家强制规定的，我方承诺我方本次投标（包括资格条件和所投产品）均符合国家有关强制规定。</w:t>
      </w:r>
    </w:p>
    <w:p w14:paraId="53AE9F29">
      <w:pPr>
        <w:pStyle w:val="11"/>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0880EAAD">
      <w:pPr>
        <w:pStyle w:val="11"/>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6、我方已详细审核招标文件，我方知道必须放弃提出含糊不清或误解问题的权利。</w:t>
      </w:r>
    </w:p>
    <w:p w14:paraId="7D819E61">
      <w:pPr>
        <w:pStyle w:val="11"/>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7、我方同意应贵方要求提供与本投标有关的任何数据或资料。若贵方需要，我方愿意提供我方作出的一切承诺的证明材料。</w:t>
      </w:r>
    </w:p>
    <w:p w14:paraId="286C339B">
      <w:pPr>
        <w:pStyle w:val="11"/>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8、我方完全理解贵方不一定接受投标报价最低的投标人为中标供应商的行为。</w:t>
      </w:r>
    </w:p>
    <w:p w14:paraId="69A256B4">
      <w:pPr>
        <w:pStyle w:val="11"/>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955005D">
      <w:pPr>
        <w:pStyle w:val="11"/>
        <w:numPr>
          <w:ilvl w:val="0"/>
          <w:numId w:val="8"/>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提供虚假材料谋取中标、成交的；</w:t>
      </w:r>
    </w:p>
    <w:p w14:paraId="26987591">
      <w:pPr>
        <w:pStyle w:val="11"/>
        <w:numPr>
          <w:ilvl w:val="0"/>
          <w:numId w:val="8"/>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采取不正当手段诋毁、排挤其他供应商的；</w:t>
      </w:r>
    </w:p>
    <w:p w14:paraId="07D897AA">
      <w:pPr>
        <w:pStyle w:val="11"/>
        <w:numPr>
          <w:ilvl w:val="0"/>
          <w:numId w:val="8"/>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与采购人、其他供应商或者采购代理机构恶意串通的；</w:t>
      </w:r>
    </w:p>
    <w:p w14:paraId="2927E12F">
      <w:pPr>
        <w:pStyle w:val="11"/>
        <w:numPr>
          <w:ilvl w:val="0"/>
          <w:numId w:val="8"/>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向采购人、采购代理机构行贿或者提供其他不正当利益的；</w:t>
      </w:r>
    </w:p>
    <w:p w14:paraId="550FC4DE">
      <w:pPr>
        <w:pStyle w:val="11"/>
        <w:numPr>
          <w:ilvl w:val="0"/>
          <w:numId w:val="8"/>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在招标采购过程中与采购人进行协商谈判的；</w:t>
      </w:r>
    </w:p>
    <w:p w14:paraId="386EBFC9">
      <w:pPr>
        <w:pStyle w:val="11"/>
        <w:numPr>
          <w:ilvl w:val="0"/>
          <w:numId w:val="8"/>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拒绝有关部门监督检查或提供虚假情况的。</w:t>
      </w:r>
    </w:p>
    <w:p w14:paraId="240A19EF">
      <w:pPr>
        <w:pStyle w:val="11"/>
        <w:spacing w:line="440" w:lineRule="exact"/>
        <w:ind w:left="420"/>
        <w:rPr>
          <w:rFonts w:hint="eastAsia" w:ascii="宋体" w:hAnsi="宋体" w:eastAsia="宋体" w:cs="宋体"/>
          <w:color w:val="auto"/>
          <w:highlight w:val="none"/>
        </w:rPr>
      </w:pPr>
      <w:r>
        <w:rPr>
          <w:rFonts w:hint="eastAsia" w:ascii="宋体" w:hAnsi="宋体" w:eastAsia="宋体" w:cs="宋体"/>
          <w:color w:val="auto"/>
          <w:highlight w:val="none"/>
        </w:rPr>
        <w:t>10、我方及由本人担任法定代表人的其他机构最近三年内被处罚的违法行为有：</w:t>
      </w:r>
      <w:r>
        <w:rPr>
          <w:rFonts w:hint="eastAsia" w:ascii="宋体" w:hAnsi="宋体" w:eastAsia="宋体" w:cs="宋体"/>
          <w:color w:val="auto"/>
          <w:highlight w:val="none"/>
          <w:u w:val="single"/>
        </w:rPr>
        <w:t xml:space="preserve">                                        </w:t>
      </w:r>
    </w:p>
    <w:p w14:paraId="52C61262">
      <w:pPr>
        <w:pStyle w:val="11"/>
        <w:spacing w:line="440" w:lineRule="exact"/>
        <w:ind w:left="42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p>
    <w:p w14:paraId="534607C5">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11、以上事项如有虚假或隐瞒，我方愿意承担一切后果，并不再寻求任何旨在减轻或免除法律责任的辩解。</w:t>
      </w:r>
    </w:p>
    <w:p w14:paraId="23CC7F5B">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12、与本投标有关的一切正式往来信函请寄：</w:t>
      </w:r>
      <w:r>
        <w:rPr>
          <w:rFonts w:hint="eastAsia" w:ascii="宋体" w:hAnsi="宋体" w:eastAsia="宋体" w:cs="宋体"/>
          <w:color w:val="auto"/>
          <w:highlight w:val="none"/>
          <w:u w:val="single"/>
        </w:rPr>
        <w:t xml:space="preserve"> </w:t>
      </w:r>
    </w:p>
    <w:p w14:paraId="16F1E089">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3C5898B3">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600B832A">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1E412BF1">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510A38AD">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6D551786">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1731F1BA">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1D58B93A">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55DCE403">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52C820B2">
      <w:pPr>
        <w:widowControl/>
        <w:spacing w:line="360" w:lineRule="auto"/>
        <w:jc w:val="left"/>
        <w:rPr>
          <w:rFonts w:hint="eastAsia" w:ascii="宋体" w:hAnsi="宋体" w:eastAsia="宋体" w:cs="宋体"/>
          <w:color w:val="auto"/>
          <w:kern w:val="0"/>
          <w:sz w:val="24"/>
          <w:highlight w:val="none"/>
          <w:lang w:val="zh-CN"/>
        </w:rPr>
        <w:sectPr>
          <w:pgSz w:w="11906" w:h="16838"/>
          <w:pgMar w:top="1134" w:right="1134" w:bottom="1134" w:left="1134" w:header="720" w:footer="720" w:gutter="0"/>
          <w:cols w:space="720" w:num="1"/>
          <w:docGrid w:type="lines" w:linePitch="331" w:charSpace="0"/>
        </w:sectPr>
      </w:pPr>
    </w:p>
    <w:p w14:paraId="74C764F3">
      <w:pPr>
        <w:pStyle w:val="11"/>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color w:val="auto"/>
          <w:sz w:val="30"/>
          <w:highlight w:val="none"/>
        </w:rPr>
        <w:t>二、</w:t>
      </w:r>
      <w:r>
        <w:rPr>
          <w:rFonts w:hint="eastAsia" w:ascii="宋体" w:hAnsi="宋体" w:eastAsia="宋体" w:cs="宋体"/>
          <w:b/>
          <w:color w:val="auto"/>
          <w:sz w:val="30"/>
          <w:szCs w:val="30"/>
          <w:highlight w:val="none"/>
        </w:rPr>
        <w:t>开标一览表</w:t>
      </w:r>
      <w:r>
        <w:rPr>
          <w:rFonts w:hint="eastAsia" w:ascii="宋体" w:hAnsi="宋体" w:eastAsia="宋体" w:cs="宋体"/>
          <w:b/>
          <w:color w:val="auto"/>
          <w:kern w:val="0"/>
          <w:sz w:val="24"/>
          <w:highlight w:val="none"/>
          <w:lang w:val="zh-CN"/>
        </w:rPr>
        <w:t>（单位均为人民币元）</w:t>
      </w:r>
    </w:p>
    <w:p w14:paraId="1C296EEE">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hAnsi="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hAnsi="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分标：</w:t>
      </w:r>
      <w:r>
        <w:rPr>
          <w:rFonts w:hint="eastAsia" w:ascii="宋体" w:hAnsi="宋体" w:eastAsia="宋体" w:cs="宋体"/>
          <w:color w:val="auto"/>
          <w:sz w:val="24"/>
          <w:highlight w:val="none"/>
          <w:u w:val="single"/>
        </w:rPr>
        <w:t xml:space="preserve">           </w:t>
      </w:r>
    </w:p>
    <w:p w14:paraId="575D65AD">
      <w:pPr>
        <w:pStyle w:val="11"/>
        <w:spacing w:line="360" w:lineRule="auto"/>
        <w:rPr>
          <w:rFonts w:hint="eastAsia" w:ascii="宋体" w:hAnsi="宋体" w:eastAsia="宋体" w:cs="宋体"/>
          <w:b/>
          <w:color w:val="auto"/>
          <w:sz w:val="32"/>
          <w:highlight w:val="none"/>
        </w:rPr>
      </w:pP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20"/>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9"/>
        <w:gridCol w:w="2063"/>
        <w:gridCol w:w="1080"/>
        <w:gridCol w:w="1289"/>
        <w:gridCol w:w="1290"/>
        <w:gridCol w:w="1154"/>
        <w:gridCol w:w="957"/>
      </w:tblGrid>
      <w:tr w14:paraId="3AE97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4AD5EFC7">
            <w:pPr>
              <w:jc w:val="center"/>
              <w:rPr>
                <w:rFonts w:ascii="宋体" w:hAnsi="宋体" w:cs="宋体"/>
                <w:color w:val="auto"/>
                <w:szCs w:val="22"/>
                <w:highlight w:val="none"/>
              </w:rPr>
            </w:pPr>
            <w:r>
              <w:rPr>
                <w:rFonts w:hint="eastAsia" w:ascii="宋体" w:hAnsi="宋体" w:cs="宋体"/>
                <w:color w:val="auto"/>
                <w:szCs w:val="22"/>
                <w:highlight w:val="none"/>
              </w:rPr>
              <w:t>序号</w:t>
            </w:r>
          </w:p>
        </w:tc>
        <w:tc>
          <w:tcPr>
            <w:tcW w:w="1259" w:type="dxa"/>
            <w:tcBorders>
              <w:top w:val="single" w:color="auto" w:sz="4" w:space="0"/>
              <w:left w:val="single" w:color="auto" w:sz="4" w:space="0"/>
              <w:bottom w:val="single" w:color="auto" w:sz="4" w:space="0"/>
              <w:right w:val="single" w:color="auto" w:sz="4" w:space="0"/>
            </w:tcBorders>
            <w:vAlign w:val="center"/>
          </w:tcPr>
          <w:p w14:paraId="5BDD511A">
            <w:pPr>
              <w:jc w:val="center"/>
              <w:rPr>
                <w:rFonts w:ascii="宋体" w:hAnsi="宋体" w:cs="宋体"/>
                <w:color w:val="auto"/>
                <w:szCs w:val="22"/>
                <w:highlight w:val="none"/>
              </w:rPr>
            </w:pPr>
            <w:r>
              <w:rPr>
                <w:rFonts w:hint="eastAsia" w:ascii="宋体" w:hAnsi="宋体" w:cs="宋体"/>
                <w:color w:val="auto"/>
                <w:szCs w:val="22"/>
                <w:highlight w:val="none"/>
                <w:lang w:val="en-US" w:eastAsia="zh-CN"/>
              </w:rPr>
              <w:t>工程</w:t>
            </w:r>
            <w:r>
              <w:rPr>
                <w:rFonts w:hint="eastAsia" w:ascii="宋体" w:hAnsi="宋体" w:cs="宋体"/>
                <w:color w:val="auto"/>
                <w:szCs w:val="22"/>
                <w:highlight w:val="none"/>
              </w:rPr>
              <w:t>名称</w:t>
            </w:r>
          </w:p>
        </w:tc>
        <w:tc>
          <w:tcPr>
            <w:tcW w:w="2063" w:type="dxa"/>
            <w:tcBorders>
              <w:top w:val="single" w:color="auto" w:sz="4" w:space="0"/>
              <w:left w:val="single" w:color="auto" w:sz="4" w:space="0"/>
              <w:bottom w:val="single" w:color="auto" w:sz="4" w:space="0"/>
              <w:right w:val="single" w:color="auto" w:sz="4" w:space="0"/>
            </w:tcBorders>
            <w:vAlign w:val="center"/>
          </w:tcPr>
          <w:p w14:paraId="248AB0BD">
            <w:pPr>
              <w:jc w:val="center"/>
              <w:rPr>
                <w:rFonts w:ascii="宋体" w:hAnsi="宋体" w:cs="宋体"/>
                <w:color w:val="auto"/>
                <w:szCs w:val="22"/>
                <w:highlight w:val="none"/>
              </w:rPr>
            </w:pPr>
            <w:r>
              <w:rPr>
                <w:rFonts w:hint="eastAsia" w:ascii="宋体" w:hAnsi="宋体" w:cs="宋体"/>
                <w:color w:val="auto"/>
                <w:szCs w:val="22"/>
                <w:highlight w:val="none"/>
                <w:lang w:val="en-US" w:eastAsia="zh-CN"/>
              </w:rPr>
              <w:t>工程</w:t>
            </w:r>
            <w:r>
              <w:rPr>
                <w:rFonts w:hint="eastAsia" w:ascii="宋体" w:hAnsi="宋体" w:cs="宋体"/>
                <w:color w:val="auto"/>
                <w:szCs w:val="22"/>
                <w:highlight w:val="none"/>
              </w:rPr>
              <w:t>内容</w:t>
            </w:r>
          </w:p>
        </w:tc>
        <w:tc>
          <w:tcPr>
            <w:tcW w:w="1080" w:type="dxa"/>
            <w:tcBorders>
              <w:top w:val="single" w:color="auto" w:sz="4" w:space="0"/>
              <w:left w:val="single" w:color="auto" w:sz="4" w:space="0"/>
              <w:bottom w:val="single" w:color="auto" w:sz="4" w:space="0"/>
              <w:right w:val="single" w:color="auto" w:sz="4" w:space="0"/>
            </w:tcBorders>
            <w:vAlign w:val="center"/>
          </w:tcPr>
          <w:p w14:paraId="6FEC97D1">
            <w:pPr>
              <w:jc w:val="center"/>
              <w:rPr>
                <w:rFonts w:ascii="宋体" w:hAnsi="宋体" w:cs="宋体"/>
                <w:color w:val="auto"/>
                <w:szCs w:val="22"/>
                <w:highlight w:val="none"/>
              </w:rPr>
            </w:pPr>
            <w:r>
              <w:rPr>
                <w:rFonts w:hint="eastAsia" w:ascii="宋体" w:hAnsi="宋体" w:cs="宋体"/>
                <w:color w:val="auto"/>
                <w:szCs w:val="22"/>
                <w:highlight w:val="none"/>
              </w:rPr>
              <w:t>数量</w:t>
            </w:r>
          </w:p>
        </w:tc>
        <w:tc>
          <w:tcPr>
            <w:tcW w:w="1289" w:type="dxa"/>
            <w:tcBorders>
              <w:top w:val="single" w:color="auto" w:sz="4" w:space="0"/>
              <w:left w:val="single" w:color="auto" w:sz="4" w:space="0"/>
              <w:bottom w:val="single" w:color="auto" w:sz="4" w:space="0"/>
              <w:right w:val="single" w:color="auto" w:sz="4" w:space="0"/>
            </w:tcBorders>
            <w:vAlign w:val="center"/>
          </w:tcPr>
          <w:p w14:paraId="4F93CB73">
            <w:pPr>
              <w:jc w:val="center"/>
              <w:rPr>
                <w:rFonts w:hint="default"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单价（元）</w:t>
            </w:r>
          </w:p>
        </w:tc>
        <w:tc>
          <w:tcPr>
            <w:tcW w:w="1290" w:type="dxa"/>
            <w:tcBorders>
              <w:top w:val="single" w:color="auto" w:sz="4" w:space="0"/>
              <w:left w:val="single" w:color="auto" w:sz="4" w:space="0"/>
              <w:bottom w:val="single" w:color="auto" w:sz="4" w:space="0"/>
              <w:right w:val="single" w:color="auto" w:sz="4" w:space="0"/>
            </w:tcBorders>
            <w:vAlign w:val="center"/>
          </w:tcPr>
          <w:p w14:paraId="50CD4A37">
            <w:pPr>
              <w:jc w:val="center"/>
              <w:rPr>
                <w:rFonts w:hint="eastAsia" w:ascii="宋体" w:hAnsi="宋体" w:cs="宋体"/>
                <w:color w:val="auto"/>
                <w:szCs w:val="22"/>
                <w:highlight w:val="none"/>
              </w:rPr>
            </w:pPr>
            <w:r>
              <w:rPr>
                <w:rFonts w:hint="eastAsia" w:ascii="宋体" w:hAnsi="宋体" w:cs="宋体"/>
                <w:color w:val="auto"/>
                <w:szCs w:val="22"/>
                <w:highlight w:val="none"/>
                <w:lang w:val="en-US" w:eastAsia="zh-CN"/>
              </w:rPr>
              <w:t>投标总</w:t>
            </w:r>
            <w:r>
              <w:rPr>
                <w:rFonts w:hint="eastAsia" w:ascii="宋体" w:hAnsi="宋体" w:cs="宋体"/>
                <w:color w:val="auto"/>
                <w:szCs w:val="22"/>
                <w:highlight w:val="none"/>
              </w:rPr>
              <w:t>报价</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元）</w:t>
            </w:r>
          </w:p>
        </w:tc>
        <w:tc>
          <w:tcPr>
            <w:tcW w:w="1154" w:type="dxa"/>
            <w:tcBorders>
              <w:top w:val="single" w:color="auto" w:sz="4" w:space="0"/>
              <w:left w:val="single" w:color="auto" w:sz="4" w:space="0"/>
              <w:bottom w:val="single" w:color="auto" w:sz="4" w:space="0"/>
              <w:right w:val="single" w:color="auto" w:sz="4" w:space="0"/>
            </w:tcBorders>
            <w:vAlign w:val="center"/>
          </w:tcPr>
          <w:p w14:paraId="52B635D2">
            <w:pPr>
              <w:spacing w:line="360" w:lineRule="auto"/>
              <w:jc w:val="center"/>
              <w:rPr>
                <w:rFonts w:hint="eastAsia" w:ascii="宋体" w:hAnsi="宋体" w:eastAsia="宋体" w:cs="宋体"/>
                <w:color w:val="auto"/>
                <w:szCs w:val="22"/>
                <w:highlight w:val="none"/>
                <w:lang w:eastAsia="zh-CN"/>
              </w:rPr>
            </w:pPr>
            <w:r>
              <w:rPr>
                <w:rFonts w:hint="eastAsia" w:ascii="宋体" w:hAnsi="宋体" w:cs="宋体"/>
                <w:color w:val="auto"/>
                <w:szCs w:val="21"/>
                <w:highlight w:val="none"/>
                <w:lang w:val="en-US" w:eastAsia="zh-CN"/>
              </w:rPr>
              <w:t>工期</w:t>
            </w:r>
          </w:p>
        </w:tc>
        <w:tc>
          <w:tcPr>
            <w:tcW w:w="957" w:type="dxa"/>
            <w:tcBorders>
              <w:top w:val="single" w:color="auto" w:sz="4" w:space="0"/>
              <w:left w:val="single" w:color="auto" w:sz="4" w:space="0"/>
              <w:bottom w:val="single" w:color="auto" w:sz="4" w:space="0"/>
              <w:right w:val="single" w:color="auto" w:sz="4" w:space="0"/>
            </w:tcBorders>
            <w:vAlign w:val="center"/>
          </w:tcPr>
          <w:p w14:paraId="5A6DB8CC">
            <w:pPr>
              <w:jc w:val="center"/>
              <w:rPr>
                <w:rFonts w:ascii="宋体" w:hAnsi="宋体" w:cs="宋体"/>
                <w:color w:val="auto"/>
                <w:szCs w:val="22"/>
                <w:highlight w:val="none"/>
              </w:rPr>
            </w:pPr>
            <w:r>
              <w:rPr>
                <w:rFonts w:hint="eastAsia" w:ascii="宋体" w:hAnsi="宋体" w:cs="宋体"/>
                <w:color w:val="auto"/>
                <w:szCs w:val="22"/>
                <w:highlight w:val="none"/>
              </w:rPr>
              <w:t>备注</w:t>
            </w:r>
          </w:p>
        </w:tc>
      </w:tr>
      <w:tr w14:paraId="7093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530A5EB0">
            <w:pPr>
              <w:rPr>
                <w:rFonts w:ascii="宋体" w:hAnsi="宋体" w:cs="宋体"/>
                <w:color w:val="auto"/>
                <w:szCs w:val="22"/>
                <w:highlight w:val="none"/>
              </w:rPr>
            </w:pPr>
            <w:r>
              <w:rPr>
                <w:rFonts w:hint="eastAsia" w:ascii="宋体" w:hAnsi="宋体" w:cs="宋体"/>
                <w:color w:val="auto"/>
                <w:szCs w:val="22"/>
                <w:highlight w:val="none"/>
              </w:rPr>
              <w:t>1</w:t>
            </w:r>
          </w:p>
        </w:tc>
        <w:tc>
          <w:tcPr>
            <w:tcW w:w="1259" w:type="dxa"/>
            <w:tcBorders>
              <w:top w:val="single" w:color="auto" w:sz="4" w:space="0"/>
              <w:left w:val="single" w:color="auto" w:sz="4" w:space="0"/>
              <w:bottom w:val="single" w:color="auto" w:sz="4" w:space="0"/>
              <w:right w:val="single" w:color="auto" w:sz="4" w:space="0"/>
            </w:tcBorders>
            <w:vAlign w:val="center"/>
          </w:tcPr>
          <w:p w14:paraId="6FB2051B">
            <w:pPr>
              <w:rPr>
                <w:rFonts w:ascii="宋体" w:hAnsi="宋体" w:cs="宋体"/>
                <w:color w:val="auto"/>
                <w:szCs w:val="22"/>
                <w:highlight w:val="none"/>
              </w:rPr>
            </w:pPr>
          </w:p>
        </w:tc>
        <w:tc>
          <w:tcPr>
            <w:tcW w:w="2063" w:type="dxa"/>
            <w:tcBorders>
              <w:top w:val="single" w:color="auto" w:sz="4" w:space="0"/>
              <w:left w:val="single" w:color="auto" w:sz="4" w:space="0"/>
              <w:bottom w:val="single" w:color="auto" w:sz="4" w:space="0"/>
              <w:right w:val="single" w:color="auto" w:sz="4" w:space="0"/>
            </w:tcBorders>
            <w:vAlign w:val="center"/>
          </w:tcPr>
          <w:p w14:paraId="0441992C">
            <w:pPr>
              <w:rPr>
                <w:rFonts w:ascii="宋体" w:hAnsi="宋体" w:cs="宋体"/>
                <w:color w:val="auto"/>
                <w:szCs w:val="22"/>
                <w:highlight w:val="none"/>
              </w:rPr>
            </w:pPr>
            <w:r>
              <w:rPr>
                <w:rFonts w:hint="eastAsia" w:ascii="宋体" w:hAnsi="宋体" w:cs="宋体"/>
                <w:color w:val="auto"/>
                <w:szCs w:val="22"/>
                <w:highlight w:val="none"/>
              </w:rPr>
              <w:t>具体施工内容详见图纸及工程量清单</w:t>
            </w:r>
          </w:p>
        </w:tc>
        <w:tc>
          <w:tcPr>
            <w:tcW w:w="1080" w:type="dxa"/>
            <w:tcBorders>
              <w:top w:val="single" w:color="auto" w:sz="4" w:space="0"/>
              <w:left w:val="single" w:color="auto" w:sz="4" w:space="0"/>
              <w:bottom w:val="single" w:color="auto" w:sz="4" w:space="0"/>
              <w:right w:val="single" w:color="auto" w:sz="4" w:space="0"/>
            </w:tcBorders>
            <w:vAlign w:val="center"/>
          </w:tcPr>
          <w:p w14:paraId="3A9E8140">
            <w:pPr>
              <w:jc w:val="center"/>
              <w:rPr>
                <w:rFonts w:ascii="宋体" w:hAnsi="宋体" w:cs="宋体"/>
                <w:color w:val="auto"/>
                <w:szCs w:val="22"/>
                <w:highlight w:val="none"/>
              </w:rPr>
            </w:pPr>
            <w:r>
              <w:rPr>
                <w:rFonts w:hint="eastAsia" w:ascii="宋体" w:hAnsi="宋体" w:cs="宋体"/>
                <w:color w:val="auto"/>
                <w:szCs w:val="22"/>
                <w:highlight w:val="none"/>
                <w:lang w:val="en-US" w:eastAsia="zh-CN"/>
              </w:rPr>
              <w:t>详见已标价的工程量清单</w:t>
            </w:r>
          </w:p>
        </w:tc>
        <w:tc>
          <w:tcPr>
            <w:tcW w:w="1289" w:type="dxa"/>
            <w:tcBorders>
              <w:top w:val="single" w:color="auto" w:sz="4" w:space="0"/>
              <w:left w:val="single" w:color="auto" w:sz="4" w:space="0"/>
              <w:bottom w:val="single" w:color="auto" w:sz="4" w:space="0"/>
              <w:right w:val="single" w:color="auto" w:sz="4" w:space="0"/>
            </w:tcBorders>
            <w:vAlign w:val="center"/>
          </w:tcPr>
          <w:p w14:paraId="0BE9B5E5">
            <w:pPr>
              <w:jc w:val="center"/>
              <w:rPr>
                <w:rFonts w:ascii="宋体" w:hAnsi="宋体" w:cs="宋体"/>
                <w:color w:val="auto"/>
                <w:szCs w:val="22"/>
                <w:highlight w:val="none"/>
              </w:rPr>
            </w:pPr>
            <w:r>
              <w:rPr>
                <w:rFonts w:hint="eastAsia" w:ascii="宋体" w:hAnsi="宋体" w:cs="宋体"/>
                <w:color w:val="auto"/>
                <w:szCs w:val="22"/>
                <w:highlight w:val="none"/>
                <w:lang w:val="en-US" w:eastAsia="zh-CN"/>
              </w:rPr>
              <w:t>详见已标价的工程量清单</w:t>
            </w:r>
          </w:p>
        </w:tc>
        <w:tc>
          <w:tcPr>
            <w:tcW w:w="1290" w:type="dxa"/>
            <w:tcBorders>
              <w:top w:val="single" w:color="auto" w:sz="4" w:space="0"/>
              <w:left w:val="single" w:color="auto" w:sz="4" w:space="0"/>
              <w:bottom w:val="single" w:color="auto" w:sz="4" w:space="0"/>
              <w:right w:val="single" w:color="auto" w:sz="4" w:space="0"/>
            </w:tcBorders>
            <w:vAlign w:val="center"/>
          </w:tcPr>
          <w:p w14:paraId="3A19BC12">
            <w:pPr>
              <w:rPr>
                <w:rFonts w:hint="eastAsia" w:ascii="宋体" w:hAnsi="宋体" w:cs="宋体"/>
                <w:color w:val="auto"/>
                <w:szCs w:val="22"/>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2409EC88">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69F30D6E">
            <w:pPr>
              <w:rPr>
                <w:rFonts w:ascii="宋体" w:hAnsi="宋体" w:cs="宋体"/>
                <w:color w:val="auto"/>
                <w:szCs w:val="22"/>
                <w:highlight w:val="none"/>
              </w:rPr>
            </w:pPr>
          </w:p>
        </w:tc>
      </w:tr>
      <w:tr w14:paraId="5D19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1816531D">
            <w:pPr>
              <w:rPr>
                <w:rFonts w:ascii="宋体" w:hAnsi="宋体" w:cs="宋体"/>
                <w:color w:val="auto"/>
                <w:szCs w:val="22"/>
                <w:highlight w:val="none"/>
              </w:rPr>
            </w:pPr>
            <w:r>
              <w:rPr>
                <w:rFonts w:hint="eastAsia" w:ascii="宋体" w:hAnsi="宋体" w:cs="宋体"/>
                <w:color w:val="auto"/>
                <w:szCs w:val="22"/>
                <w:highlight w:val="none"/>
              </w:rPr>
              <w:t>报价合计（包含税费等所有费用）：</w:t>
            </w:r>
            <w:r>
              <w:rPr>
                <w:rFonts w:hint="eastAsia" w:ascii="宋体" w:hAnsi="宋体" w:cs="宋体"/>
                <w:color w:val="auto"/>
                <w:szCs w:val="22"/>
                <w:highlight w:val="none"/>
                <w:lang w:val="en-US" w:eastAsia="zh-CN"/>
              </w:rPr>
              <w:t>（大写）人民币         （￥       ）</w:t>
            </w:r>
            <w:r>
              <w:rPr>
                <w:rFonts w:hint="eastAsia" w:ascii="宋体" w:hAnsi="宋体" w:cs="宋体"/>
                <w:color w:val="auto"/>
                <w:szCs w:val="22"/>
                <w:highlight w:val="none"/>
              </w:rPr>
              <w:t xml:space="preserve">                               </w:t>
            </w:r>
          </w:p>
        </w:tc>
      </w:tr>
      <w:tr w14:paraId="504B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0C879750">
            <w:pPr>
              <w:rPr>
                <w:rFonts w:ascii="宋体" w:hAnsi="宋体" w:cs="宋体"/>
                <w:color w:val="auto"/>
                <w:szCs w:val="22"/>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u w:val="single"/>
                <w:lang w:val="en-US" w:eastAsia="zh-CN"/>
              </w:rPr>
              <w:t>无</w:t>
            </w: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r w14:paraId="24854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259A954E">
            <w:pPr>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rPr>
              <w:t>验收标准：</w:t>
            </w:r>
          </w:p>
        </w:tc>
      </w:tr>
      <w:tr w14:paraId="041E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045AF2BC">
            <w:pPr>
              <w:rPr>
                <w:rFonts w:ascii="宋体" w:hAnsi="宋体" w:cs="宋体"/>
                <w:color w:val="auto"/>
                <w:szCs w:val="22"/>
                <w:highlight w:val="none"/>
              </w:rPr>
            </w:pPr>
            <w:r>
              <w:rPr>
                <w:rFonts w:hint="eastAsia" w:ascii="宋体" w:hAnsi="宋体" w:cs="宋体"/>
                <w:color w:val="auto"/>
                <w:szCs w:val="22"/>
                <w:highlight w:val="none"/>
              </w:rPr>
              <w:t>优惠及其它</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如有，没有写无）</w:t>
            </w:r>
            <w:r>
              <w:rPr>
                <w:rFonts w:hint="eastAsia" w:ascii="宋体" w:hAnsi="宋体" w:cs="宋体"/>
                <w:color w:val="auto"/>
                <w:szCs w:val="22"/>
                <w:highlight w:val="none"/>
              </w:rPr>
              <w:t>：</w:t>
            </w:r>
          </w:p>
        </w:tc>
      </w:tr>
    </w:tbl>
    <w:p w14:paraId="65DA1C1B">
      <w:pPr>
        <w:snapToGrid w:val="0"/>
        <w:spacing w:before="50" w:after="50"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注： </w:t>
      </w:r>
    </w:p>
    <w:p w14:paraId="119AAEA5">
      <w:pPr>
        <w:snapToGrid w:val="0"/>
        <w:spacing w:before="50" w:after="50"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 投标人需按本表格式填写，不得自行更改，也不得留空, 如有多分标，按分标分别提供开标一览表，必须加盖投标人有效电子公章</w:t>
      </w:r>
      <w:r>
        <w:rPr>
          <w:rFonts w:hint="eastAsia" w:ascii="宋体" w:hAnsi="宋体" w:eastAsia="宋体" w:cs="宋体"/>
          <w:b/>
          <w:color w:val="auto"/>
          <w:kern w:val="0"/>
          <w:sz w:val="21"/>
          <w:szCs w:val="21"/>
          <w:highlight w:val="none"/>
          <w:lang w:val="zh-CN"/>
        </w:rPr>
        <w:t>。</w:t>
      </w:r>
    </w:p>
    <w:p w14:paraId="074F11C7">
      <w:pPr>
        <w:snapToGrid w:val="0"/>
        <w:spacing w:before="50" w:after="50"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2、本表内容均不能涂改</w:t>
      </w:r>
      <w:r>
        <w:rPr>
          <w:rFonts w:hint="eastAsia" w:ascii="宋体" w:hAnsi="宋体" w:eastAsia="宋体" w:cs="宋体"/>
          <w:b/>
          <w:color w:val="auto"/>
          <w:kern w:val="0"/>
          <w:sz w:val="21"/>
          <w:szCs w:val="21"/>
          <w:highlight w:val="none"/>
          <w:lang w:val="zh-CN"/>
        </w:rPr>
        <w:t>。</w:t>
      </w:r>
    </w:p>
    <w:p w14:paraId="49D8A827">
      <w:pPr>
        <w:snapToGrid w:val="0"/>
        <w:spacing w:before="50" w:after="50" w:line="360" w:lineRule="auto"/>
        <w:ind w:firstLine="420" w:firstLineChars="200"/>
        <w:jc w:val="left"/>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lang w:val="zh-CN"/>
        </w:rPr>
        <w:t>3、如为联合体投标，“投标人名称”处必须列明联合体各方名称，并标注联合体牵头人名称，且盖章处须加盖联合体各方公章，</w:t>
      </w:r>
      <w:r>
        <w:rPr>
          <w:rFonts w:hint="eastAsia" w:ascii="宋体" w:hAnsi="宋体" w:eastAsia="宋体" w:cs="宋体"/>
          <w:b/>
          <w:color w:val="auto"/>
          <w:kern w:val="0"/>
          <w:sz w:val="21"/>
          <w:szCs w:val="21"/>
          <w:highlight w:val="none"/>
          <w:lang w:val="zh-CN"/>
        </w:rPr>
        <w:t>否则其投标作无效标处理。</w:t>
      </w:r>
    </w:p>
    <w:p w14:paraId="330E7073">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4、在“工程内容”一栏中，填写具体建设规模</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建设内容。</w:t>
      </w:r>
    </w:p>
    <w:p w14:paraId="5AEBE682">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5、特别提示：采购机构将对项目名称和项目编号，中标供应商名称、地址和中标金额，主要中标标的的名称、</w:t>
      </w:r>
      <w:r>
        <w:rPr>
          <w:rFonts w:hint="eastAsia" w:ascii="宋体" w:hAnsi="宋体" w:cs="宋体"/>
          <w:color w:val="auto"/>
          <w:kern w:val="0"/>
          <w:sz w:val="21"/>
          <w:szCs w:val="21"/>
          <w:highlight w:val="none"/>
          <w:lang w:val="en-US" w:eastAsia="zh-CN"/>
        </w:rPr>
        <w:t>工程</w:t>
      </w:r>
      <w:r>
        <w:rPr>
          <w:rFonts w:hint="eastAsia" w:ascii="宋体" w:hAnsi="宋体" w:eastAsia="宋体" w:cs="宋体"/>
          <w:color w:val="auto"/>
          <w:kern w:val="0"/>
          <w:sz w:val="21"/>
          <w:szCs w:val="21"/>
          <w:highlight w:val="none"/>
          <w:lang w:val="zh-CN"/>
        </w:rPr>
        <w:t>范围、</w:t>
      </w:r>
      <w:r>
        <w:rPr>
          <w:rFonts w:hint="eastAsia" w:ascii="宋体" w:hAnsi="宋体" w:cs="宋体"/>
          <w:color w:val="auto"/>
          <w:kern w:val="0"/>
          <w:sz w:val="21"/>
          <w:szCs w:val="21"/>
          <w:highlight w:val="none"/>
          <w:lang w:val="en-US" w:eastAsia="zh-CN"/>
        </w:rPr>
        <w:t>质量</w:t>
      </w:r>
      <w:r>
        <w:rPr>
          <w:rFonts w:hint="eastAsia" w:ascii="宋体" w:hAnsi="宋体" w:eastAsia="宋体" w:cs="宋体"/>
          <w:color w:val="auto"/>
          <w:kern w:val="0"/>
          <w:sz w:val="21"/>
          <w:szCs w:val="21"/>
          <w:highlight w:val="none"/>
          <w:lang w:val="zh-CN"/>
        </w:rPr>
        <w:t>要求、</w:t>
      </w:r>
      <w:r>
        <w:rPr>
          <w:rFonts w:hint="eastAsia" w:ascii="宋体" w:hAnsi="宋体" w:cs="宋体"/>
          <w:color w:val="auto"/>
          <w:kern w:val="0"/>
          <w:sz w:val="21"/>
          <w:szCs w:val="21"/>
          <w:highlight w:val="none"/>
          <w:lang w:val="en-US" w:eastAsia="zh-CN"/>
        </w:rPr>
        <w:t>工期</w:t>
      </w:r>
      <w:r>
        <w:rPr>
          <w:rFonts w:hint="eastAsia" w:ascii="宋体" w:hAnsi="宋体" w:eastAsia="宋体" w:cs="宋体"/>
          <w:color w:val="auto"/>
          <w:kern w:val="0"/>
          <w:sz w:val="21"/>
          <w:szCs w:val="21"/>
          <w:highlight w:val="none"/>
          <w:lang w:val="zh-CN"/>
        </w:rPr>
        <w:t>等予以公示。</w:t>
      </w:r>
    </w:p>
    <w:p w14:paraId="7327FAB9">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6、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02455664">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335DA341">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46A6ACF1">
      <w:pPr>
        <w:widowControl/>
        <w:jc w:val="left"/>
        <w:rPr>
          <w:rFonts w:hint="eastAsia" w:ascii="宋体" w:hAnsi="宋体" w:eastAsia="宋体" w:cs="宋体"/>
          <w:color w:val="auto"/>
          <w:sz w:val="30"/>
          <w:szCs w:val="20"/>
          <w:highlight w:val="none"/>
        </w:rPr>
        <w:sectPr>
          <w:pgSz w:w="11906" w:h="16838"/>
          <w:pgMar w:top="1134" w:right="1134" w:bottom="1134" w:left="1134" w:header="720" w:footer="720" w:gutter="0"/>
          <w:cols w:space="720" w:num="1"/>
          <w:docGrid w:type="lines" w:linePitch="331" w:charSpace="0"/>
        </w:sectPr>
      </w:pPr>
    </w:p>
    <w:p w14:paraId="214550DD">
      <w:pPr>
        <w:pStyle w:val="11"/>
        <w:spacing w:line="500" w:lineRule="exact"/>
        <w:jc w:val="center"/>
        <w:rPr>
          <w:rFonts w:hint="eastAsia" w:ascii="宋体" w:hAnsi="宋体" w:eastAsia="宋体" w:cs="宋体"/>
          <w:b/>
          <w:bCs/>
          <w:color w:val="auto"/>
          <w:sz w:val="30"/>
          <w:szCs w:val="30"/>
          <w:highlight w:val="none"/>
        </w:rPr>
      </w:pPr>
      <w:bookmarkStart w:id="1609" w:name="_Toc28077"/>
      <w:bookmarkStart w:id="1610" w:name="_Toc19686840"/>
      <w:bookmarkStart w:id="1611" w:name="_Toc16384"/>
      <w:r>
        <w:rPr>
          <w:rFonts w:hint="eastAsia" w:hAnsi="宋体" w:cs="宋体"/>
          <w:b/>
          <w:bCs/>
          <w:color w:val="auto"/>
          <w:sz w:val="30"/>
          <w:szCs w:val="30"/>
          <w:highlight w:val="none"/>
          <w:lang w:val="en-US" w:eastAsia="zh-CN"/>
        </w:rPr>
        <w:t>三</w:t>
      </w:r>
      <w:r>
        <w:rPr>
          <w:rFonts w:hint="eastAsia" w:ascii="宋体" w:hAnsi="宋体" w:eastAsia="宋体" w:cs="宋体"/>
          <w:b/>
          <w:bCs/>
          <w:color w:val="auto"/>
          <w:sz w:val="30"/>
          <w:szCs w:val="30"/>
          <w:highlight w:val="none"/>
        </w:rPr>
        <w:t>、已标价的工程量清单</w:t>
      </w:r>
    </w:p>
    <w:p w14:paraId="2AC88C61">
      <w:pPr>
        <w:snapToGrid w:val="0"/>
        <w:spacing w:before="165" w:beforeLines="50" w:after="50"/>
        <w:ind w:firstLine="420" w:firstLineChars="200"/>
        <w:jc w:val="left"/>
        <w:outlineLvl w:val="1"/>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供应商应按照第七章“工程量清单、图纸”的要求逐项填报工程量清单，包括工程量清单说明、投标报价说明、计日工说明、其他说明及工程量清单各项表格。</w:t>
      </w:r>
    </w:p>
    <w:p w14:paraId="1A44E862">
      <w:pPr>
        <w:snapToGrid w:val="0"/>
        <w:spacing w:before="165" w:beforeLines="50" w:after="50"/>
        <w:jc w:val="center"/>
        <w:outlineLvl w:val="1"/>
        <w:rPr>
          <w:rFonts w:hint="eastAsia" w:ascii="宋体" w:hAnsi="宋体" w:eastAsia="宋体" w:cs="宋体"/>
          <w:b/>
          <w:bCs/>
          <w:color w:val="auto"/>
          <w:sz w:val="28"/>
          <w:szCs w:val="28"/>
          <w:highlight w:val="none"/>
        </w:rPr>
      </w:pPr>
    </w:p>
    <w:p w14:paraId="2BE2EEEE">
      <w:pPr>
        <w:snapToGrid w:val="0"/>
        <w:spacing w:before="165" w:beforeLines="50" w:after="50"/>
        <w:ind w:firstLine="562" w:firstLineChars="200"/>
        <w:jc w:val="left"/>
        <w:outlineLvl w:val="1"/>
        <w:rPr>
          <w:rFonts w:hint="eastAsia" w:ascii="宋体" w:hAnsi="宋体" w:eastAsia="宋体" w:cs="宋体"/>
          <w:b/>
          <w:bCs/>
          <w:color w:val="auto"/>
          <w:sz w:val="28"/>
          <w:szCs w:val="28"/>
          <w:highlight w:val="none"/>
        </w:rPr>
      </w:pPr>
    </w:p>
    <w:p w14:paraId="3C4929AF">
      <w:pPr>
        <w:snapToGrid w:val="0"/>
        <w:spacing w:before="165" w:beforeLines="50" w:after="50"/>
        <w:jc w:val="center"/>
        <w:outlineLvl w:val="1"/>
        <w:rPr>
          <w:rFonts w:hint="eastAsia" w:ascii="宋体" w:hAnsi="宋体" w:eastAsia="宋体" w:cs="宋体"/>
          <w:b/>
          <w:bCs/>
          <w:color w:val="auto"/>
          <w:sz w:val="28"/>
          <w:szCs w:val="28"/>
          <w:highlight w:val="none"/>
        </w:rPr>
      </w:pPr>
    </w:p>
    <w:p w14:paraId="218650BA">
      <w:pPr>
        <w:snapToGrid w:val="0"/>
        <w:spacing w:before="165" w:beforeLines="50" w:after="50"/>
        <w:jc w:val="center"/>
        <w:outlineLvl w:val="1"/>
        <w:rPr>
          <w:rFonts w:hint="eastAsia" w:ascii="宋体" w:hAnsi="宋体" w:eastAsia="宋体" w:cs="宋体"/>
          <w:b/>
          <w:bCs/>
          <w:color w:val="auto"/>
          <w:sz w:val="28"/>
          <w:szCs w:val="28"/>
          <w:highlight w:val="none"/>
        </w:rPr>
      </w:pPr>
    </w:p>
    <w:p w14:paraId="0E0EB4B5">
      <w:pPr>
        <w:snapToGrid w:val="0"/>
        <w:spacing w:before="165" w:beforeLines="50" w:after="50"/>
        <w:jc w:val="center"/>
        <w:outlineLvl w:val="1"/>
        <w:rPr>
          <w:rFonts w:hint="eastAsia" w:ascii="宋体" w:hAnsi="宋体" w:eastAsia="宋体" w:cs="宋体"/>
          <w:b/>
          <w:bCs/>
          <w:color w:val="auto"/>
          <w:sz w:val="28"/>
          <w:szCs w:val="28"/>
          <w:highlight w:val="none"/>
        </w:rPr>
      </w:pPr>
    </w:p>
    <w:p w14:paraId="49B73411">
      <w:pPr>
        <w:snapToGrid w:val="0"/>
        <w:spacing w:before="165" w:beforeLines="50" w:after="50"/>
        <w:jc w:val="center"/>
        <w:outlineLvl w:val="1"/>
        <w:rPr>
          <w:rFonts w:hint="eastAsia" w:ascii="宋体" w:hAnsi="宋体" w:eastAsia="宋体" w:cs="宋体"/>
          <w:b/>
          <w:bCs/>
          <w:color w:val="auto"/>
          <w:sz w:val="28"/>
          <w:szCs w:val="28"/>
          <w:highlight w:val="none"/>
        </w:rPr>
      </w:pPr>
    </w:p>
    <w:p w14:paraId="0D89777F">
      <w:pPr>
        <w:snapToGrid w:val="0"/>
        <w:spacing w:before="165" w:beforeLines="50" w:after="50"/>
        <w:jc w:val="center"/>
        <w:outlineLvl w:val="1"/>
        <w:rPr>
          <w:rFonts w:hint="eastAsia" w:ascii="宋体" w:hAnsi="宋体" w:eastAsia="宋体" w:cs="宋体"/>
          <w:b/>
          <w:bCs/>
          <w:color w:val="auto"/>
          <w:sz w:val="28"/>
          <w:szCs w:val="28"/>
          <w:highlight w:val="none"/>
        </w:rPr>
      </w:pPr>
    </w:p>
    <w:p w14:paraId="4BAC7273">
      <w:pPr>
        <w:snapToGrid w:val="0"/>
        <w:spacing w:before="165" w:beforeLines="50" w:after="50"/>
        <w:jc w:val="center"/>
        <w:outlineLvl w:val="1"/>
        <w:rPr>
          <w:rFonts w:hint="eastAsia" w:ascii="宋体" w:hAnsi="宋体" w:eastAsia="宋体" w:cs="宋体"/>
          <w:b/>
          <w:bCs/>
          <w:color w:val="auto"/>
          <w:sz w:val="28"/>
          <w:szCs w:val="28"/>
          <w:highlight w:val="none"/>
        </w:rPr>
      </w:pPr>
    </w:p>
    <w:p w14:paraId="50EE0470">
      <w:pPr>
        <w:snapToGrid w:val="0"/>
        <w:spacing w:before="165" w:beforeLines="50" w:after="50"/>
        <w:jc w:val="center"/>
        <w:outlineLvl w:val="1"/>
        <w:rPr>
          <w:rFonts w:hint="eastAsia" w:ascii="宋体" w:hAnsi="宋体" w:eastAsia="宋体" w:cs="宋体"/>
          <w:b/>
          <w:bCs/>
          <w:color w:val="auto"/>
          <w:sz w:val="28"/>
          <w:szCs w:val="28"/>
          <w:highlight w:val="none"/>
        </w:rPr>
      </w:pPr>
    </w:p>
    <w:p w14:paraId="798E182F">
      <w:pPr>
        <w:snapToGrid w:val="0"/>
        <w:spacing w:before="165" w:beforeLines="50" w:after="50"/>
        <w:jc w:val="center"/>
        <w:outlineLvl w:val="1"/>
        <w:rPr>
          <w:rFonts w:hint="eastAsia" w:ascii="宋体" w:hAnsi="宋体" w:eastAsia="宋体" w:cs="宋体"/>
          <w:b/>
          <w:bCs/>
          <w:color w:val="auto"/>
          <w:sz w:val="28"/>
          <w:szCs w:val="28"/>
          <w:highlight w:val="none"/>
        </w:rPr>
      </w:pPr>
    </w:p>
    <w:p w14:paraId="70060664">
      <w:pPr>
        <w:snapToGrid w:val="0"/>
        <w:spacing w:before="165" w:beforeLines="50" w:after="50"/>
        <w:jc w:val="center"/>
        <w:outlineLvl w:val="1"/>
        <w:rPr>
          <w:rFonts w:hint="eastAsia" w:ascii="宋体" w:hAnsi="宋体" w:eastAsia="宋体" w:cs="宋体"/>
          <w:b/>
          <w:bCs/>
          <w:color w:val="auto"/>
          <w:sz w:val="28"/>
          <w:szCs w:val="28"/>
          <w:highlight w:val="none"/>
        </w:rPr>
      </w:pPr>
    </w:p>
    <w:p w14:paraId="24C5137C">
      <w:pPr>
        <w:snapToGrid w:val="0"/>
        <w:spacing w:before="165" w:beforeLines="50" w:after="50"/>
        <w:jc w:val="center"/>
        <w:outlineLvl w:val="1"/>
        <w:rPr>
          <w:rFonts w:hint="eastAsia" w:ascii="宋体" w:hAnsi="宋体" w:eastAsia="宋体" w:cs="宋体"/>
          <w:b/>
          <w:bCs/>
          <w:color w:val="auto"/>
          <w:sz w:val="28"/>
          <w:szCs w:val="28"/>
          <w:highlight w:val="none"/>
        </w:rPr>
      </w:pPr>
    </w:p>
    <w:p w14:paraId="30CAC3EF">
      <w:pPr>
        <w:snapToGrid w:val="0"/>
        <w:spacing w:before="165" w:beforeLines="50" w:after="50"/>
        <w:jc w:val="center"/>
        <w:outlineLvl w:val="1"/>
        <w:rPr>
          <w:rFonts w:hint="eastAsia" w:ascii="宋体" w:hAnsi="宋体" w:eastAsia="宋体" w:cs="宋体"/>
          <w:b/>
          <w:bCs/>
          <w:color w:val="auto"/>
          <w:sz w:val="28"/>
          <w:szCs w:val="28"/>
          <w:highlight w:val="none"/>
        </w:rPr>
      </w:pPr>
    </w:p>
    <w:p w14:paraId="29D184FD">
      <w:pPr>
        <w:snapToGrid w:val="0"/>
        <w:spacing w:before="165" w:beforeLines="50" w:after="50"/>
        <w:jc w:val="center"/>
        <w:outlineLvl w:val="1"/>
        <w:rPr>
          <w:rFonts w:hint="eastAsia" w:ascii="宋体" w:hAnsi="宋体" w:eastAsia="宋体" w:cs="宋体"/>
          <w:b/>
          <w:bCs/>
          <w:color w:val="auto"/>
          <w:sz w:val="28"/>
          <w:szCs w:val="28"/>
          <w:highlight w:val="none"/>
        </w:rPr>
      </w:pPr>
    </w:p>
    <w:p w14:paraId="08F8C933">
      <w:pPr>
        <w:snapToGrid w:val="0"/>
        <w:spacing w:before="165" w:beforeLines="50" w:after="50"/>
        <w:jc w:val="center"/>
        <w:outlineLvl w:val="1"/>
        <w:rPr>
          <w:rFonts w:hint="eastAsia" w:ascii="宋体" w:hAnsi="宋体" w:eastAsia="宋体" w:cs="宋体"/>
          <w:b/>
          <w:bCs/>
          <w:color w:val="auto"/>
          <w:sz w:val="28"/>
          <w:szCs w:val="28"/>
          <w:highlight w:val="none"/>
        </w:rPr>
      </w:pPr>
    </w:p>
    <w:p w14:paraId="75F79EAB">
      <w:pPr>
        <w:snapToGrid w:val="0"/>
        <w:spacing w:before="165" w:beforeLines="50" w:after="50"/>
        <w:jc w:val="center"/>
        <w:outlineLvl w:val="1"/>
        <w:rPr>
          <w:rFonts w:hint="eastAsia" w:ascii="宋体" w:hAnsi="宋体" w:eastAsia="宋体" w:cs="宋体"/>
          <w:b/>
          <w:bCs/>
          <w:color w:val="auto"/>
          <w:sz w:val="28"/>
          <w:szCs w:val="28"/>
          <w:highlight w:val="none"/>
        </w:rPr>
      </w:pPr>
    </w:p>
    <w:p w14:paraId="51639AAE">
      <w:pPr>
        <w:snapToGrid w:val="0"/>
        <w:spacing w:before="165" w:beforeLines="50" w:after="50"/>
        <w:jc w:val="center"/>
        <w:outlineLvl w:val="1"/>
        <w:rPr>
          <w:rFonts w:hint="eastAsia" w:ascii="宋体" w:hAnsi="宋体" w:eastAsia="宋体" w:cs="宋体"/>
          <w:b/>
          <w:bCs/>
          <w:color w:val="auto"/>
          <w:sz w:val="28"/>
          <w:szCs w:val="28"/>
          <w:highlight w:val="none"/>
        </w:rPr>
      </w:pPr>
    </w:p>
    <w:p w14:paraId="5DE71D62">
      <w:pPr>
        <w:snapToGrid w:val="0"/>
        <w:spacing w:before="165" w:beforeLines="50" w:after="50"/>
        <w:jc w:val="center"/>
        <w:outlineLvl w:val="1"/>
        <w:rPr>
          <w:rFonts w:hint="eastAsia" w:ascii="宋体" w:hAnsi="宋体" w:eastAsia="宋体" w:cs="宋体"/>
          <w:b/>
          <w:bCs/>
          <w:color w:val="auto"/>
          <w:sz w:val="28"/>
          <w:szCs w:val="28"/>
          <w:highlight w:val="none"/>
        </w:rPr>
      </w:pPr>
    </w:p>
    <w:p w14:paraId="2F99FF39">
      <w:pPr>
        <w:snapToGrid w:val="0"/>
        <w:spacing w:before="165" w:beforeLines="50" w:after="50"/>
        <w:jc w:val="center"/>
        <w:outlineLvl w:val="1"/>
        <w:rPr>
          <w:rFonts w:hint="eastAsia" w:ascii="宋体" w:hAnsi="宋体" w:eastAsia="宋体" w:cs="宋体"/>
          <w:b/>
          <w:bCs/>
          <w:color w:val="auto"/>
          <w:sz w:val="28"/>
          <w:szCs w:val="28"/>
          <w:highlight w:val="none"/>
        </w:rPr>
      </w:pPr>
    </w:p>
    <w:p w14:paraId="7A3255AA">
      <w:pPr>
        <w:snapToGrid w:val="0"/>
        <w:spacing w:before="165" w:beforeLines="50" w:after="50"/>
        <w:jc w:val="center"/>
        <w:outlineLvl w:val="1"/>
        <w:rPr>
          <w:rFonts w:hint="eastAsia" w:ascii="宋体" w:hAnsi="宋体" w:eastAsia="宋体" w:cs="宋体"/>
          <w:b/>
          <w:bCs/>
          <w:color w:val="auto"/>
          <w:sz w:val="28"/>
          <w:szCs w:val="28"/>
          <w:highlight w:val="none"/>
        </w:rPr>
      </w:pPr>
    </w:p>
    <w:p w14:paraId="27527946">
      <w:pPr>
        <w:snapToGrid w:val="0"/>
        <w:spacing w:before="165" w:beforeLines="50" w:after="50"/>
        <w:jc w:val="center"/>
        <w:outlineLvl w:val="1"/>
        <w:rPr>
          <w:rFonts w:hint="eastAsia" w:ascii="宋体" w:hAnsi="宋体" w:eastAsia="宋体" w:cs="宋体"/>
          <w:b/>
          <w:bCs/>
          <w:color w:val="auto"/>
          <w:sz w:val="28"/>
          <w:szCs w:val="28"/>
          <w:highlight w:val="none"/>
        </w:rPr>
      </w:pPr>
    </w:p>
    <w:p w14:paraId="2DCDE176">
      <w:pPr>
        <w:snapToGrid w:val="0"/>
        <w:spacing w:before="165" w:beforeLines="50" w:after="50"/>
        <w:jc w:val="center"/>
        <w:outlineLvl w:val="1"/>
        <w:rPr>
          <w:rFonts w:hint="eastAsia" w:ascii="宋体" w:hAnsi="宋体" w:eastAsia="宋体" w:cs="宋体"/>
          <w:b/>
          <w:bCs/>
          <w:color w:val="auto"/>
          <w:sz w:val="28"/>
          <w:szCs w:val="28"/>
          <w:highlight w:val="none"/>
        </w:rPr>
      </w:pPr>
    </w:p>
    <w:p w14:paraId="77669DE1">
      <w:pPr>
        <w:snapToGrid w:val="0"/>
        <w:spacing w:before="165" w:beforeLines="50" w:after="50"/>
        <w:jc w:val="center"/>
        <w:outlineLvl w:val="1"/>
        <w:rPr>
          <w:rFonts w:hint="eastAsia" w:ascii="宋体" w:hAnsi="宋体" w:eastAsia="宋体" w:cs="宋体"/>
          <w:b/>
          <w:bCs/>
          <w:color w:val="auto"/>
          <w:sz w:val="28"/>
          <w:szCs w:val="28"/>
          <w:highlight w:val="none"/>
        </w:rPr>
      </w:pPr>
    </w:p>
    <w:p w14:paraId="35992267">
      <w:pPr>
        <w:snapToGrid w:val="0"/>
        <w:spacing w:before="165" w:beforeLines="50" w:after="50"/>
        <w:jc w:val="center"/>
        <w:outlineLvl w:val="1"/>
        <w:rPr>
          <w:rFonts w:hint="eastAsia" w:ascii="宋体" w:hAnsi="宋体" w:eastAsia="宋体" w:cs="宋体"/>
          <w:b/>
          <w:bCs/>
          <w:color w:val="auto"/>
          <w:sz w:val="28"/>
          <w:szCs w:val="28"/>
          <w:highlight w:val="none"/>
        </w:rPr>
      </w:pPr>
    </w:p>
    <w:p w14:paraId="2B480BB5">
      <w:pPr>
        <w:snapToGrid w:val="0"/>
        <w:spacing w:before="165" w:beforeLines="50" w:after="50"/>
        <w:jc w:val="center"/>
        <w:outlineLvl w:val="1"/>
        <w:rPr>
          <w:rFonts w:hint="eastAsia" w:ascii="宋体" w:hAnsi="宋体" w:eastAsia="宋体" w:cs="宋体"/>
          <w:b/>
          <w:bCs/>
          <w:color w:val="auto"/>
          <w:sz w:val="28"/>
          <w:szCs w:val="28"/>
          <w:highlight w:val="none"/>
        </w:rPr>
      </w:pPr>
    </w:p>
    <w:p w14:paraId="23F85BB8">
      <w:pPr>
        <w:snapToGrid w:val="0"/>
        <w:spacing w:before="165" w:beforeLines="50" w:after="50"/>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第六节 其他文书、文件格式</w:t>
      </w:r>
      <w:bookmarkEnd w:id="1609"/>
      <w:bookmarkEnd w:id="1610"/>
      <w:bookmarkEnd w:id="1611"/>
    </w:p>
    <w:p w14:paraId="73040FDD">
      <w:pPr>
        <w:jc w:val="center"/>
        <w:rPr>
          <w:rFonts w:hint="eastAsia" w:ascii="宋体" w:hAnsi="宋体" w:eastAsia="宋体" w:cs="宋体"/>
          <w:b/>
          <w:bCs/>
          <w:color w:val="auto"/>
          <w:sz w:val="32"/>
          <w:szCs w:val="32"/>
          <w:highlight w:val="none"/>
          <w:lang w:val="en"/>
        </w:rPr>
      </w:pPr>
    </w:p>
    <w:p w14:paraId="717C246C">
      <w:pPr>
        <w:jc w:val="center"/>
        <w:rPr>
          <w:rFonts w:hint="eastAsia" w:ascii="宋体" w:hAnsi="宋体" w:eastAsia="宋体" w:cs="宋体"/>
          <w:b/>
          <w:bCs/>
          <w:color w:val="auto"/>
          <w:sz w:val="32"/>
          <w:szCs w:val="32"/>
          <w:highlight w:val="none"/>
          <w:lang w:val="en"/>
        </w:rPr>
      </w:pPr>
      <w:r>
        <w:rPr>
          <w:rFonts w:hint="eastAsia" w:ascii="宋体" w:hAnsi="宋体" w:eastAsia="宋体" w:cs="宋体"/>
          <w:b/>
          <w:bCs/>
          <w:color w:val="auto"/>
          <w:sz w:val="32"/>
          <w:szCs w:val="32"/>
          <w:highlight w:val="none"/>
          <w:lang w:val="en"/>
        </w:rPr>
        <w:t>知识产权合规性声明</w:t>
      </w:r>
    </w:p>
    <w:p w14:paraId="67F53DE1">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39A276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本</w:t>
      </w:r>
      <w:r>
        <w:rPr>
          <w:rFonts w:hint="eastAsia" w:ascii="宋体" w:hAnsi="宋体" w:eastAsia="宋体" w:cs="宋体"/>
          <w:color w:val="auto"/>
          <w:sz w:val="21"/>
          <w:szCs w:val="21"/>
          <w:highlight w:val="none"/>
          <w:lang w:val="en"/>
        </w:rPr>
        <w:t>企业自愿参与政府投资政府采购的</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
        </w:rPr>
        <w:t>项目，</w:t>
      </w:r>
      <w:r>
        <w:rPr>
          <w:rFonts w:hint="eastAsia" w:ascii="宋体" w:hAnsi="宋体" w:eastAsia="宋体" w:cs="宋体"/>
          <w:b/>
          <w:bCs/>
          <w:color w:val="auto"/>
          <w:sz w:val="21"/>
          <w:szCs w:val="21"/>
          <w:highlight w:val="none"/>
          <w:lang w:val="en"/>
        </w:rPr>
        <w:t>在此郑重承诺：</w:t>
      </w:r>
      <w:r>
        <w:rPr>
          <w:rFonts w:hint="eastAsia" w:ascii="宋体" w:hAnsi="宋体" w:eastAsia="宋体" w:cs="宋体"/>
          <w:color w:val="auto"/>
          <w:sz w:val="21"/>
          <w:szCs w:val="21"/>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4D90FA3D">
      <w:pPr>
        <w:snapToGrid w:val="0"/>
        <w:spacing w:line="360" w:lineRule="auto"/>
        <w:ind w:left="5137" w:leftChars="1736" w:hanging="1491" w:hangingChars="825"/>
        <w:rPr>
          <w:rFonts w:hint="eastAsia" w:ascii="宋体" w:hAnsi="宋体" w:eastAsia="宋体" w:cs="宋体"/>
          <w:b/>
          <w:color w:val="auto"/>
          <w:sz w:val="18"/>
          <w:szCs w:val="18"/>
          <w:highlight w:val="none"/>
        </w:rPr>
      </w:pPr>
    </w:p>
    <w:p w14:paraId="2ADAE82E">
      <w:pPr>
        <w:snapToGrid w:val="0"/>
        <w:spacing w:line="360" w:lineRule="auto"/>
        <w:ind w:left="5137" w:leftChars="1736" w:hanging="1491" w:hangingChars="825"/>
        <w:rPr>
          <w:rFonts w:hint="eastAsia" w:ascii="宋体" w:hAnsi="宋体" w:eastAsia="宋体" w:cs="宋体"/>
          <w:b/>
          <w:color w:val="auto"/>
          <w:sz w:val="18"/>
          <w:szCs w:val="18"/>
          <w:highlight w:val="none"/>
        </w:rPr>
      </w:pPr>
    </w:p>
    <w:p w14:paraId="1A12A307">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投标人名称（电子签章）：</w:t>
      </w:r>
    </w:p>
    <w:p w14:paraId="0157AD35">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23E133F">
      <w:pPr>
        <w:snapToGrid w:val="0"/>
        <w:spacing w:before="50" w:after="165" w:afterLines="50" w:line="360" w:lineRule="auto"/>
        <w:jc w:val="left"/>
        <w:rPr>
          <w:rFonts w:hint="eastAsia" w:ascii="宋体" w:hAnsi="宋体" w:eastAsia="宋体" w:cs="宋体"/>
          <w:color w:val="auto"/>
          <w:sz w:val="20"/>
          <w:highlight w:val="none"/>
        </w:rPr>
      </w:pPr>
      <w:r>
        <w:rPr>
          <w:rFonts w:hint="eastAsia" w:ascii="宋体" w:hAnsi="宋体" w:eastAsia="宋体" w:cs="宋体"/>
          <w:b/>
          <w:color w:val="auto"/>
          <w:sz w:val="30"/>
          <w:szCs w:val="30"/>
          <w:highlight w:val="none"/>
        </w:rPr>
        <w:br w:type="page"/>
      </w:r>
    </w:p>
    <w:p w14:paraId="438854B2">
      <w:pPr>
        <w:pStyle w:val="11"/>
        <w:tabs>
          <w:tab w:val="left" w:pos="2472"/>
        </w:tabs>
        <w:spacing w:line="460" w:lineRule="exact"/>
        <w:jc w:val="center"/>
        <w:outlineLvl w:val="0"/>
        <w:rPr>
          <w:rFonts w:hint="eastAsia" w:ascii="宋体" w:hAnsi="宋体" w:eastAsia="宋体" w:cs="宋体"/>
          <w:b/>
          <w:color w:val="auto"/>
          <w:sz w:val="36"/>
          <w:highlight w:val="none"/>
        </w:rPr>
      </w:pPr>
      <w:bookmarkStart w:id="1612" w:name="_Toc31271"/>
      <w:bookmarkStart w:id="1613" w:name="_Toc17557"/>
      <w:r>
        <w:rPr>
          <w:rFonts w:hint="eastAsia" w:ascii="宋体" w:hAnsi="宋体" w:eastAsia="宋体" w:cs="宋体"/>
          <w:b/>
          <w:color w:val="auto"/>
          <w:sz w:val="36"/>
          <w:highlight w:val="none"/>
        </w:rPr>
        <w:t>第七章 工程量清单、图纸</w:t>
      </w:r>
      <w:bookmarkEnd w:id="1612"/>
      <w:bookmarkEnd w:id="1613"/>
    </w:p>
    <w:p w14:paraId="1C4CAD4E">
      <w:pPr>
        <w:pStyle w:val="4"/>
        <w:jc w:val="center"/>
        <w:rPr>
          <w:rFonts w:hint="eastAsia"/>
          <w:color w:val="auto"/>
          <w:highlight w:val="none"/>
          <w:lang w:val="en-US" w:eastAsia="zh-CN"/>
        </w:rPr>
      </w:pPr>
      <w:bookmarkStart w:id="1614" w:name="_Toc8119"/>
      <w:r>
        <w:rPr>
          <w:rFonts w:hint="eastAsia"/>
          <w:color w:val="auto"/>
          <w:sz w:val="30"/>
          <w:szCs w:val="30"/>
          <w:highlight w:val="none"/>
          <w:lang w:val="en-US" w:eastAsia="zh-CN"/>
        </w:rPr>
        <w:t>（</w:t>
      </w:r>
      <w:r>
        <w:rPr>
          <w:rFonts w:hint="eastAsia" w:ascii="宋体" w:hAnsi="宋体" w:eastAsia="宋体" w:cs="宋体"/>
          <w:b/>
          <w:color w:val="auto"/>
          <w:sz w:val="30"/>
          <w:szCs w:val="30"/>
          <w:highlight w:val="none"/>
        </w:rPr>
        <w:t>工程量清单、图纸</w:t>
      </w:r>
      <w:r>
        <w:rPr>
          <w:rFonts w:hint="eastAsia" w:ascii="宋体" w:hAnsi="宋体" w:eastAsia="宋体" w:cs="宋体"/>
          <w:b/>
          <w:color w:val="auto"/>
          <w:sz w:val="30"/>
          <w:szCs w:val="30"/>
          <w:highlight w:val="none"/>
          <w:lang w:val="en-US" w:eastAsia="zh-CN"/>
        </w:rPr>
        <w:t>另册</w:t>
      </w:r>
      <w:r>
        <w:rPr>
          <w:rFonts w:hint="eastAsia"/>
          <w:color w:val="auto"/>
          <w:sz w:val="30"/>
          <w:szCs w:val="30"/>
          <w:highlight w:val="none"/>
          <w:lang w:val="en-US" w:eastAsia="zh-CN"/>
        </w:rPr>
        <w:t>）</w:t>
      </w:r>
    </w:p>
    <w:p w14:paraId="7EB5D64E">
      <w:pPr>
        <w:pStyle w:val="4"/>
        <w:rPr>
          <w:rFonts w:hint="eastAsia"/>
          <w:color w:val="auto"/>
          <w:highlight w:val="none"/>
        </w:rPr>
      </w:pPr>
      <w:r>
        <w:rPr>
          <w:rFonts w:hint="eastAsia"/>
          <w:color w:val="auto"/>
          <w:highlight w:val="none"/>
        </w:rPr>
        <w:t>工程量清单、图纸获取</w:t>
      </w:r>
      <w:bookmarkEnd w:id="1614"/>
    </w:p>
    <w:p w14:paraId="04EA16E5">
      <w:pPr>
        <w:spacing w:line="360" w:lineRule="auto"/>
        <w:ind w:firstLine="420" w:firstLineChars="200"/>
        <w:rPr>
          <w:rFonts w:hint="eastAsia" w:eastAsia="宋体" w:cs="宋体"/>
          <w:color w:val="auto"/>
          <w:highlight w:val="none"/>
        </w:rPr>
      </w:pPr>
      <w:r>
        <w:rPr>
          <w:rFonts w:hint="eastAsia" w:eastAsia="宋体" w:cs="宋体"/>
          <w:color w:val="auto"/>
          <w:highlight w:val="none"/>
        </w:rPr>
        <w:t>获取方式：</w:t>
      </w:r>
      <w:r>
        <w:rPr>
          <w:rFonts w:hint="eastAsia" w:eastAsia="宋体" w:cs="宋体"/>
          <w:color w:val="auto"/>
          <w:highlight w:val="none"/>
          <w:lang w:val="en-US" w:eastAsia="zh-CN"/>
        </w:rPr>
        <w:t>网上下载</w:t>
      </w:r>
      <w:r>
        <w:rPr>
          <w:rFonts w:hint="eastAsia" w:eastAsia="宋体" w:cs="宋体"/>
          <w:color w:val="auto"/>
          <w:highlight w:val="none"/>
        </w:rPr>
        <w:t>广西政府采购云平台。本项目不发放</w:t>
      </w:r>
      <w:r>
        <w:rPr>
          <w:rFonts w:hint="eastAsia" w:eastAsia="宋体" w:cs="宋体"/>
          <w:color w:val="auto"/>
          <w:highlight w:val="none"/>
          <w:lang w:eastAsia="zh-CN"/>
        </w:rPr>
        <w:t>纸质版的</w:t>
      </w:r>
      <w:r>
        <w:rPr>
          <w:rFonts w:hint="eastAsia" w:eastAsia="宋体" w:cs="宋体"/>
          <w:color w:val="auto"/>
          <w:highlight w:val="none"/>
        </w:rPr>
        <w:t>工程量清单及图纸，由潜在供应商自行在广西政府采购云平台下载。</w:t>
      </w:r>
    </w:p>
    <w:p w14:paraId="2030D219">
      <w:pPr>
        <w:pStyle w:val="11"/>
        <w:tabs>
          <w:tab w:val="left" w:pos="2472"/>
        </w:tabs>
        <w:spacing w:line="460" w:lineRule="exact"/>
        <w:jc w:val="center"/>
        <w:rPr>
          <w:rFonts w:hint="eastAsia" w:ascii="宋体" w:hAnsi="宋体" w:eastAsia="宋体" w:cs="宋体"/>
          <w:b/>
          <w:color w:val="auto"/>
          <w:sz w:val="36"/>
          <w:highlight w:val="none"/>
        </w:rPr>
      </w:pPr>
    </w:p>
    <w:p w14:paraId="1F9C584D">
      <w:pPr>
        <w:pStyle w:val="11"/>
        <w:tabs>
          <w:tab w:val="left" w:pos="2472"/>
        </w:tabs>
        <w:spacing w:line="460" w:lineRule="exact"/>
        <w:jc w:val="center"/>
        <w:rPr>
          <w:rFonts w:hint="eastAsia" w:ascii="宋体" w:hAnsi="宋体" w:eastAsia="宋体" w:cs="宋体"/>
          <w:b/>
          <w:color w:val="auto"/>
          <w:sz w:val="36"/>
          <w:highlight w:val="none"/>
        </w:rPr>
      </w:pPr>
    </w:p>
    <w:p w14:paraId="0B640810">
      <w:pPr>
        <w:pStyle w:val="11"/>
        <w:tabs>
          <w:tab w:val="left" w:pos="2472"/>
        </w:tabs>
        <w:spacing w:line="460" w:lineRule="exact"/>
        <w:jc w:val="center"/>
        <w:rPr>
          <w:rFonts w:hint="eastAsia" w:ascii="宋体" w:hAnsi="宋体" w:eastAsia="宋体" w:cs="宋体"/>
          <w:b/>
          <w:color w:val="auto"/>
          <w:sz w:val="36"/>
          <w:highlight w:val="none"/>
        </w:rPr>
      </w:pPr>
    </w:p>
    <w:p w14:paraId="40385FF3">
      <w:pPr>
        <w:pStyle w:val="11"/>
        <w:tabs>
          <w:tab w:val="left" w:pos="2472"/>
        </w:tabs>
        <w:spacing w:line="460" w:lineRule="exact"/>
        <w:jc w:val="center"/>
        <w:rPr>
          <w:rFonts w:hint="eastAsia" w:ascii="宋体" w:hAnsi="宋体" w:eastAsia="宋体" w:cs="宋体"/>
          <w:b/>
          <w:color w:val="auto"/>
          <w:sz w:val="36"/>
          <w:highlight w:val="none"/>
        </w:rPr>
      </w:pPr>
    </w:p>
    <w:p w14:paraId="7454AEDA">
      <w:pPr>
        <w:pStyle w:val="11"/>
        <w:tabs>
          <w:tab w:val="left" w:pos="2472"/>
        </w:tabs>
        <w:spacing w:line="460" w:lineRule="exact"/>
        <w:jc w:val="center"/>
        <w:rPr>
          <w:rFonts w:hint="eastAsia" w:ascii="宋体" w:hAnsi="宋体" w:eastAsia="宋体" w:cs="宋体"/>
          <w:b/>
          <w:color w:val="auto"/>
          <w:sz w:val="36"/>
          <w:highlight w:val="none"/>
        </w:rPr>
      </w:pPr>
    </w:p>
    <w:p w14:paraId="1C21F46F">
      <w:pPr>
        <w:pStyle w:val="11"/>
        <w:tabs>
          <w:tab w:val="left" w:pos="2472"/>
        </w:tabs>
        <w:spacing w:line="460" w:lineRule="exact"/>
        <w:jc w:val="center"/>
        <w:rPr>
          <w:rFonts w:hint="eastAsia" w:ascii="宋体" w:hAnsi="宋体" w:eastAsia="宋体" w:cs="宋体"/>
          <w:b/>
          <w:color w:val="auto"/>
          <w:sz w:val="36"/>
          <w:highlight w:val="none"/>
        </w:rPr>
      </w:pPr>
    </w:p>
    <w:p w14:paraId="0FE0D14C">
      <w:pPr>
        <w:pStyle w:val="11"/>
        <w:tabs>
          <w:tab w:val="left" w:pos="2472"/>
        </w:tabs>
        <w:spacing w:line="460" w:lineRule="exact"/>
        <w:jc w:val="center"/>
        <w:rPr>
          <w:rFonts w:hint="eastAsia" w:ascii="宋体" w:hAnsi="宋体" w:eastAsia="宋体" w:cs="宋体"/>
          <w:b/>
          <w:color w:val="auto"/>
          <w:sz w:val="36"/>
          <w:highlight w:val="none"/>
        </w:rPr>
      </w:pPr>
    </w:p>
    <w:p w14:paraId="01D8B971">
      <w:pPr>
        <w:pStyle w:val="11"/>
        <w:tabs>
          <w:tab w:val="left" w:pos="2472"/>
        </w:tabs>
        <w:spacing w:line="460" w:lineRule="exact"/>
        <w:jc w:val="center"/>
        <w:rPr>
          <w:rFonts w:hint="eastAsia" w:ascii="宋体" w:hAnsi="宋体" w:eastAsia="宋体" w:cs="宋体"/>
          <w:b/>
          <w:color w:val="auto"/>
          <w:sz w:val="36"/>
          <w:highlight w:val="none"/>
        </w:rPr>
      </w:pPr>
    </w:p>
    <w:p w14:paraId="3A325F27">
      <w:pPr>
        <w:pStyle w:val="11"/>
        <w:tabs>
          <w:tab w:val="left" w:pos="2472"/>
        </w:tabs>
        <w:spacing w:line="460" w:lineRule="exact"/>
        <w:jc w:val="center"/>
        <w:rPr>
          <w:rFonts w:hint="eastAsia" w:ascii="宋体" w:hAnsi="宋体" w:eastAsia="宋体" w:cs="宋体"/>
          <w:b/>
          <w:color w:val="auto"/>
          <w:sz w:val="36"/>
          <w:highlight w:val="none"/>
        </w:rPr>
      </w:pPr>
    </w:p>
    <w:p w14:paraId="457A7AEE">
      <w:pPr>
        <w:rPr>
          <w:rFonts w:hint="eastAsia" w:ascii="宋体" w:hAnsi="宋体" w:eastAsia="宋体" w:cs="宋体"/>
          <w:b/>
          <w:color w:val="auto"/>
          <w:sz w:val="36"/>
          <w:highlight w:val="none"/>
        </w:rPr>
      </w:pPr>
      <w:r>
        <w:rPr>
          <w:rFonts w:hint="eastAsia" w:ascii="宋体" w:hAnsi="宋体" w:eastAsia="宋体" w:cs="宋体"/>
          <w:b/>
          <w:color w:val="auto"/>
          <w:sz w:val="36"/>
          <w:highlight w:val="none"/>
        </w:rPr>
        <w:br w:type="page"/>
      </w:r>
    </w:p>
    <w:p w14:paraId="0CF83155">
      <w:pPr>
        <w:pStyle w:val="11"/>
        <w:tabs>
          <w:tab w:val="left" w:pos="2472"/>
        </w:tabs>
        <w:spacing w:line="460" w:lineRule="exact"/>
        <w:jc w:val="center"/>
        <w:rPr>
          <w:rFonts w:hint="eastAsia" w:ascii="宋体" w:hAnsi="宋体" w:eastAsia="宋体" w:cs="宋体"/>
          <w:b/>
          <w:color w:val="auto"/>
          <w:sz w:val="36"/>
          <w:highlight w:val="none"/>
        </w:rPr>
      </w:pPr>
    </w:p>
    <w:p w14:paraId="4B8AE084">
      <w:pPr>
        <w:pStyle w:val="11"/>
        <w:tabs>
          <w:tab w:val="left" w:pos="2472"/>
        </w:tabs>
        <w:spacing w:line="460" w:lineRule="exact"/>
        <w:jc w:val="center"/>
        <w:rPr>
          <w:rFonts w:hint="eastAsia" w:ascii="宋体" w:hAnsi="宋体" w:eastAsia="宋体" w:cs="宋体"/>
          <w:b/>
          <w:color w:val="auto"/>
          <w:sz w:val="36"/>
          <w:highlight w:val="none"/>
        </w:rPr>
      </w:pPr>
    </w:p>
    <w:p w14:paraId="0EBFE825">
      <w:pPr>
        <w:pStyle w:val="11"/>
        <w:tabs>
          <w:tab w:val="left" w:pos="2472"/>
        </w:tabs>
        <w:spacing w:line="460" w:lineRule="exact"/>
        <w:jc w:val="center"/>
        <w:rPr>
          <w:rFonts w:hint="eastAsia" w:ascii="宋体" w:hAnsi="宋体" w:eastAsia="宋体" w:cs="宋体"/>
          <w:b/>
          <w:color w:val="auto"/>
          <w:sz w:val="36"/>
          <w:highlight w:val="none"/>
        </w:rPr>
      </w:pPr>
    </w:p>
    <w:p w14:paraId="4F4FE24B">
      <w:pPr>
        <w:pStyle w:val="11"/>
        <w:tabs>
          <w:tab w:val="left" w:pos="2472"/>
        </w:tabs>
        <w:spacing w:line="460" w:lineRule="exact"/>
        <w:jc w:val="center"/>
        <w:rPr>
          <w:rFonts w:hint="eastAsia" w:ascii="宋体" w:hAnsi="宋体" w:eastAsia="宋体" w:cs="宋体"/>
          <w:b/>
          <w:color w:val="auto"/>
          <w:sz w:val="36"/>
          <w:highlight w:val="none"/>
        </w:rPr>
      </w:pPr>
    </w:p>
    <w:p w14:paraId="4C3702A7">
      <w:pPr>
        <w:pStyle w:val="11"/>
        <w:tabs>
          <w:tab w:val="left" w:pos="2472"/>
        </w:tabs>
        <w:spacing w:line="460" w:lineRule="exact"/>
        <w:jc w:val="center"/>
        <w:outlineLvl w:val="0"/>
        <w:rPr>
          <w:rFonts w:hint="eastAsia" w:ascii="宋体" w:hAnsi="宋体" w:eastAsia="宋体" w:cs="宋体"/>
          <w:b/>
          <w:color w:val="auto"/>
          <w:sz w:val="36"/>
          <w:highlight w:val="none"/>
        </w:rPr>
      </w:pPr>
      <w:bookmarkStart w:id="1615" w:name="_Toc2564"/>
      <w:bookmarkStart w:id="1616" w:name="_Toc17736"/>
      <w:r>
        <w:rPr>
          <w:rFonts w:hint="eastAsia" w:ascii="宋体" w:hAnsi="宋体" w:eastAsia="宋体" w:cs="宋体"/>
          <w:b/>
          <w:color w:val="auto"/>
          <w:sz w:val="36"/>
          <w:highlight w:val="none"/>
        </w:rPr>
        <w:t>第</w:t>
      </w:r>
      <w:r>
        <w:rPr>
          <w:rFonts w:hint="eastAsia" w:hAnsi="宋体" w:cs="宋体"/>
          <w:b/>
          <w:color w:val="auto"/>
          <w:sz w:val="36"/>
          <w:highlight w:val="none"/>
          <w:lang w:val="en-US" w:eastAsia="zh-CN"/>
        </w:rPr>
        <w:t>八</w:t>
      </w:r>
      <w:r>
        <w:rPr>
          <w:rFonts w:hint="eastAsia" w:ascii="宋体" w:hAnsi="宋体" w:eastAsia="宋体" w:cs="宋体"/>
          <w:b/>
          <w:color w:val="auto"/>
          <w:sz w:val="36"/>
          <w:highlight w:val="none"/>
        </w:rPr>
        <w:t>章 质疑、投诉证明材料格式</w:t>
      </w:r>
      <w:bookmarkEnd w:id="1615"/>
      <w:bookmarkEnd w:id="1616"/>
    </w:p>
    <w:p w14:paraId="0B276D47">
      <w:pPr>
        <w:widowControl/>
        <w:spacing w:line="360" w:lineRule="auto"/>
        <w:jc w:val="left"/>
        <w:rPr>
          <w:rFonts w:hint="eastAsia" w:ascii="宋体" w:hAnsi="宋体" w:eastAsia="宋体" w:cs="宋体"/>
          <w:color w:val="auto"/>
          <w:sz w:val="20"/>
          <w:highlight w:val="none"/>
        </w:rPr>
        <w:sectPr>
          <w:pgSz w:w="11906" w:h="16838"/>
          <w:pgMar w:top="1134" w:right="1134" w:bottom="1134" w:left="1134" w:header="720" w:footer="720" w:gutter="0"/>
          <w:cols w:space="720" w:num="1"/>
          <w:docGrid w:type="lines" w:linePitch="331" w:charSpace="0"/>
        </w:sectPr>
      </w:pPr>
    </w:p>
    <w:p w14:paraId="5E6261E8">
      <w:pPr>
        <w:widowControl/>
        <w:shd w:val="clear" w:color="auto" w:fill="FFFFFF"/>
        <w:spacing w:line="260" w:lineRule="exact"/>
        <w:jc w:val="left"/>
        <w:rPr>
          <w:rFonts w:hint="eastAsia" w:ascii="宋体" w:hAnsi="宋体" w:eastAsia="宋体" w:cs="宋体"/>
          <w:b/>
          <w:bCs/>
          <w:color w:val="auto"/>
          <w:sz w:val="28"/>
          <w:szCs w:val="28"/>
          <w:highlight w:val="none"/>
        </w:rPr>
      </w:pPr>
    </w:p>
    <w:p w14:paraId="4DF93836">
      <w:pPr>
        <w:pStyle w:val="4"/>
        <w:jc w:val="center"/>
        <w:rPr>
          <w:rFonts w:hint="eastAsia" w:ascii="宋体" w:hAnsi="宋体" w:eastAsia="宋体" w:cs="宋体"/>
          <w:b w:val="0"/>
          <w:bCs w:val="0"/>
          <w:color w:val="auto"/>
          <w:highlight w:val="none"/>
        </w:rPr>
      </w:pPr>
      <w:bookmarkStart w:id="1617" w:name="_Toc17610"/>
      <w:bookmarkStart w:id="1618" w:name="_Toc8064"/>
      <w:r>
        <w:rPr>
          <w:rFonts w:hint="eastAsia" w:ascii="宋体" w:hAnsi="宋体" w:eastAsia="宋体" w:cs="宋体"/>
          <w:b w:val="0"/>
          <w:bCs w:val="0"/>
          <w:color w:val="auto"/>
          <w:highlight w:val="none"/>
        </w:rPr>
        <w:t>第一节 质疑函（格式）</w:t>
      </w:r>
      <w:bookmarkEnd w:id="1617"/>
      <w:bookmarkEnd w:id="1618"/>
    </w:p>
    <w:p w14:paraId="45977C59">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质疑函范本</w:t>
      </w:r>
    </w:p>
    <w:p w14:paraId="374E78E3">
      <w:pPr>
        <w:adjustRightInd w:val="0"/>
        <w:snapToGrid w:val="0"/>
        <w:spacing w:before="331" w:beforeLines="100"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40B7B8DC">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075174B3">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7D0AB7A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4693BCD2">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6437FA3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1D257634">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0872A12A">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13EE0089">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517066C8">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39E123C6">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3919EB5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2F6F9E26">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42B8DE37">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089308D7">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1B06C190">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0150DC8C">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614950F4">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795572FE">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504C15C3">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1682974">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394325DF">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7379031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公章：                      </w:t>
      </w:r>
    </w:p>
    <w:p w14:paraId="2FD61B7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1A182667">
      <w:pPr>
        <w:adjustRightInd w:val="0"/>
        <w:snapToGrid w:val="0"/>
        <w:spacing w:line="360" w:lineRule="auto"/>
        <w:rPr>
          <w:rFonts w:hint="eastAsia" w:ascii="宋体" w:hAnsi="宋体" w:eastAsia="宋体" w:cs="宋体"/>
          <w:color w:val="auto"/>
          <w:sz w:val="24"/>
          <w:szCs w:val="24"/>
          <w:highlight w:val="none"/>
        </w:rPr>
      </w:pPr>
    </w:p>
    <w:p w14:paraId="780D655A">
      <w:pPr>
        <w:adjustRightInd w:val="0"/>
        <w:snapToGrid w:val="0"/>
        <w:spacing w:line="360" w:lineRule="auto"/>
        <w:rPr>
          <w:rFonts w:hint="eastAsia" w:ascii="宋体" w:hAnsi="宋体" w:eastAsia="宋体" w:cs="宋体"/>
          <w:color w:val="auto"/>
          <w:sz w:val="24"/>
          <w:szCs w:val="24"/>
          <w:highlight w:val="none"/>
        </w:rPr>
      </w:pPr>
    </w:p>
    <w:p w14:paraId="13020D07">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质疑函制作说明：</w:t>
      </w:r>
    </w:p>
    <w:p w14:paraId="3F8CEA26">
      <w:pPr>
        <w:widowControl/>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14:paraId="1E529E59">
      <w:pPr>
        <w:widowControl/>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14:paraId="371C3C71">
      <w:pPr>
        <w:widowControl/>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14:paraId="7E99E5F7">
      <w:pPr>
        <w:widowControl/>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6ACA2C66">
      <w:pPr>
        <w:widowControl/>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6D84DCFB">
      <w:pPr>
        <w:widowControl/>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648A7E7B">
      <w:pPr>
        <w:widowControl/>
        <w:ind w:firstLine="600" w:firstLineChars="200"/>
        <w:jc w:val="left"/>
        <w:rPr>
          <w:rFonts w:hint="eastAsia" w:ascii="宋体" w:hAnsi="宋体" w:eastAsia="宋体" w:cs="宋体"/>
          <w:color w:val="auto"/>
          <w:sz w:val="30"/>
          <w:szCs w:val="30"/>
          <w:highlight w:val="none"/>
        </w:rPr>
      </w:pPr>
    </w:p>
    <w:p w14:paraId="310F738A">
      <w:pPr>
        <w:widowControl/>
        <w:spacing w:line="360" w:lineRule="auto"/>
        <w:jc w:val="left"/>
        <w:rPr>
          <w:rFonts w:hint="eastAsia" w:ascii="宋体" w:hAnsi="宋体" w:eastAsia="宋体" w:cs="宋体"/>
          <w:color w:val="auto"/>
          <w:kern w:val="0"/>
          <w:sz w:val="24"/>
          <w:highlight w:val="none"/>
        </w:rPr>
        <w:sectPr>
          <w:pgSz w:w="11906" w:h="16838"/>
          <w:pgMar w:top="1134" w:right="1134" w:bottom="1134" w:left="1134" w:header="720" w:footer="720" w:gutter="0"/>
          <w:cols w:space="720" w:num="1"/>
          <w:docGrid w:type="lines" w:linePitch="331" w:charSpace="0"/>
        </w:sectPr>
      </w:pPr>
    </w:p>
    <w:p w14:paraId="2655EF8E">
      <w:pPr>
        <w:pStyle w:val="4"/>
        <w:jc w:val="center"/>
        <w:rPr>
          <w:rFonts w:hint="eastAsia" w:ascii="宋体" w:hAnsi="宋体" w:eastAsia="宋体" w:cs="宋体"/>
          <w:b w:val="0"/>
          <w:bCs w:val="0"/>
          <w:color w:val="auto"/>
          <w:highlight w:val="none"/>
        </w:rPr>
      </w:pPr>
      <w:bookmarkStart w:id="1619" w:name="_Toc11428"/>
      <w:bookmarkStart w:id="1620" w:name="_Toc27587"/>
      <w:r>
        <w:rPr>
          <w:rFonts w:hint="eastAsia" w:ascii="宋体" w:hAnsi="宋体" w:eastAsia="宋体" w:cs="宋体"/>
          <w:b w:val="0"/>
          <w:bCs w:val="0"/>
          <w:color w:val="auto"/>
          <w:highlight w:val="none"/>
        </w:rPr>
        <w:t>第二节 投诉书（格式）</w:t>
      </w:r>
      <w:bookmarkEnd w:id="1619"/>
      <w:bookmarkEnd w:id="1620"/>
    </w:p>
    <w:p w14:paraId="76B9A7B5">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投诉书范本</w:t>
      </w:r>
    </w:p>
    <w:p w14:paraId="7200036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一、投诉相关主体基本情况</w:t>
      </w:r>
    </w:p>
    <w:p w14:paraId="0F0ABADA">
      <w:pPr>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w:t>
      </w:r>
      <w:r>
        <w:rPr>
          <w:rFonts w:hint="eastAsia" w:ascii="宋体" w:hAnsi="宋体" w:eastAsia="宋体" w:cs="宋体"/>
          <w:color w:val="auto"/>
          <w:sz w:val="24"/>
          <w:szCs w:val="24"/>
          <w:highlight w:val="none"/>
          <w:u w:val="dotted"/>
        </w:rPr>
        <w:t xml:space="preserve">                                               </w:t>
      </w:r>
    </w:p>
    <w:p w14:paraId="7D09A3AF">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7B7409A5">
      <w:pPr>
        <w:tabs>
          <w:tab w:val="left" w:pos="6510"/>
        </w:tabs>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法定代表人/主要负责人：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73E50B4D">
      <w:pPr>
        <w:tabs>
          <w:tab w:val="left" w:pos="6510"/>
        </w:tabs>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4AAE910D">
      <w:pPr>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05DA59EC">
      <w:pPr>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14:paraId="13624BC5">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被投诉人1：</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68986BC7">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33955D25">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796711D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被投诉人2</w:t>
      </w:r>
    </w:p>
    <w:p w14:paraId="72501D20">
      <w:pPr>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6B4D3224">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相关供应商：</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47063E69">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38FF5C3D">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0EE6AD2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二、投诉项目基本情况</w:t>
      </w:r>
    </w:p>
    <w:p w14:paraId="304827CD">
      <w:pPr>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dotted"/>
        </w:rPr>
        <w:t xml:space="preserve">         </w:t>
      </w:r>
    </w:p>
    <w:p w14:paraId="6816E2FA">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3BF7E96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41F74908">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color w:val="auto"/>
          <w:sz w:val="24"/>
          <w:szCs w:val="24"/>
          <w:highlight w:val="none"/>
          <w:u w:val="dotted"/>
        </w:rPr>
        <w:t xml:space="preserve">                                         </w:t>
      </w:r>
    </w:p>
    <w:p w14:paraId="1AB4AFFF">
      <w:pPr>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采购文件公告: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1C2D2862">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采购结果公告: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13B7951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三、质疑基本情况</w:t>
      </w:r>
    </w:p>
    <w:p w14:paraId="5CA3EF39">
      <w:pPr>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提出质疑，质疑事项为：</w:t>
      </w:r>
      <w:r>
        <w:rPr>
          <w:rFonts w:hint="eastAsia" w:ascii="宋体" w:hAnsi="宋体" w:eastAsia="宋体" w:cs="宋体"/>
          <w:color w:val="auto"/>
          <w:sz w:val="24"/>
          <w:szCs w:val="24"/>
          <w:highlight w:val="none"/>
          <w:u w:val="dotted"/>
        </w:rPr>
        <w:t xml:space="preserve">                                </w:t>
      </w:r>
    </w:p>
    <w:p w14:paraId="013FA9BB">
      <w:pPr>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7AD99C2C">
      <w:pPr>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采购人/代理机构</w:t>
      </w:r>
      <w:r>
        <w:rPr>
          <w:rFonts w:hint="eastAsia" w:ascii="宋体" w:hAnsi="宋体" w:eastAsia="宋体" w:cs="宋体"/>
          <w:color w:val="auto"/>
          <w:sz w:val="24"/>
          <w:szCs w:val="24"/>
          <w:highlight w:val="none"/>
        </w:rPr>
        <w:t>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日,就质疑事项作出了答复/没有在法定期限内作出答复。</w:t>
      </w:r>
    </w:p>
    <w:p w14:paraId="15DB50C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四、投诉事项具体内容</w:t>
      </w:r>
    </w:p>
    <w:p w14:paraId="76BCF6A5">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投诉事项 1：</w:t>
      </w:r>
      <w:r>
        <w:rPr>
          <w:rFonts w:hint="eastAsia" w:ascii="宋体" w:hAnsi="宋体" w:eastAsia="宋体" w:cs="宋体"/>
          <w:color w:val="auto"/>
          <w:sz w:val="24"/>
          <w:szCs w:val="24"/>
          <w:highlight w:val="none"/>
          <w:u w:val="dotted"/>
        </w:rPr>
        <w:t xml:space="preserve">                                       </w:t>
      </w:r>
    </w:p>
    <w:p w14:paraId="5100429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1DFA2DF2">
      <w:pPr>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72E76DA5">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2BC540DE">
      <w:pPr>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22CD761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投诉事项2</w:t>
      </w:r>
    </w:p>
    <w:p w14:paraId="4BE3F73C">
      <w:pPr>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59A3BD0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五、与投诉事项相关的投诉请求</w:t>
      </w:r>
    </w:p>
    <w:p w14:paraId="36BBF9B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2BC16419">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14:paraId="2B2AEF6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公章：                      </w:t>
      </w:r>
    </w:p>
    <w:p w14:paraId="517706E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044BB1FB">
      <w:pPr>
        <w:rPr>
          <w:rFonts w:hint="eastAsia" w:ascii="宋体" w:hAnsi="宋体" w:eastAsia="宋体" w:cs="宋体"/>
          <w:b/>
          <w:color w:val="auto"/>
          <w:sz w:val="24"/>
          <w:szCs w:val="24"/>
          <w:highlight w:val="none"/>
        </w:rPr>
      </w:pPr>
    </w:p>
    <w:p w14:paraId="05FD451E">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投诉书制作说明：</w:t>
      </w:r>
    </w:p>
    <w:p w14:paraId="66E92873">
      <w:pPr>
        <w:widowControl/>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1.投诉人提起投诉时，应当提交投诉书和必要的证明材料，并按照被投诉人和与投诉事项有关的供应商数量提供投诉书副本。</w:t>
      </w:r>
    </w:p>
    <w:p w14:paraId="085E0137">
      <w:pPr>
        <w:widowControl/>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2.投诉人若委托代理人进行投诉的，投诉书应按照要求列明“授权代表”的有关内容，并在附件中提交由</w:t>
      </w:r>
      <w:r>
        <w:rPr>
          <w:rFonts w:hint="eastAsia" w:ascii="宋体" w:hAnsi="宋体" w:eastAsia="宋体" w:cs="宋体"/>
          <w:color w:val="auto"/>
          <w:kern w:val="0"/>
          <w:sz w:val="24"/>
          <w:szCs w:val="24"/>
          <w:highlight w:val="none"/>
        </w:rPr>
        <w:t>投诉人签署的授权委托书。授权委托书应当载明代理人的姓名或者名称、代理事项、具体权限、期限和相关事项。</w:t>
      </w:r>
    </w:p>
    <w:p w14:paraId="4112D174">
      <w:pPr>
        <w:widowControl/>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3.投诉人若对项目的某一分包进行投诉，投诉书应列明具体分包号。</w:t>
      </w:r>
    </w:p>
    <w:p w14:paraId="20AA6FB4">
      <w:pPr>
        <w:widowControl/>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4.投诉书应简要列明质疑事项，质疑函、质疑答复等作为附件材料提供。</w:t>
      </w:r>
    </w:p>
    <w:p w14:paraId="1F0EDEF0">
      <w:pPr>
        <w:widowControl/>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5.投诉书的投诉事项应具体、明确，并有必要的事实依据和法律依据。</w:t>
      </w:r>
    </w:p>
    <w:p w14:paraId="3747DC97">
      <w:pPr>
        <w:widowControl/>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6.投诉书的投诉请求应与投诉事项相关。</w:t>
      </w:r>
    </w:p>
    <w:p w14:paraId="4795A552">
      <w:pPr>
        <w:widowControl/>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7.投诉人为自然人的，投诉书应当由本人签字；投诉人为法人或者其他组织的，投诉书应当由法定代表人、主要负责人，或者其授权代表签字或者盖章，并加盖公章。</w:t>
      </w:r>
    </w:p>
    <w:p w14:paraId="4A52CD30">
      <w:pPr>
        <w:snapToGrid w:val="0"/>
        <w:spacing w:before="50" w:after="165" w:afterLines="50" w:line="360" w:lineRule="auto"/>
        <w:ind w:firstLine="480" w:firstLineChars="200"/>
        <w:jc w:val="left"/>
        <w:rPr>
          <w:rFonts w:hint="eastAsia" w:ascii="宋体" w:hAnsi="宋体" w:eastAsia="宋体" w:cs="宋体"/>
          <w:color w:val="auto"/>
          <w:sz w:val="24"/>
          <w:highlight w:val="none"/>
        </w:rPr>
      </w:pPr>
    </w:p>
    <w:p w14:paraId="2800CC67">
      <w:pPr>
        <w:rPr>
          <w:rFonts w:hint="eastAsia" w:ascii="宋体" w:hAnsi="宋体" w:eastAsia="宋体" w:cs="宋体"/>
          <w:color w:val="auto"/>
          <w:highlight w:val="none"/>
        </w:rPr>
      </w:pPr>
    </w:p>
    <w:p w14:paraId="317594C8">
      <w:pPr>
        <w:rPr>
          <w:rFonts w:hint="eastAsia" w:ascii="宋体" w:hAnsi="宋体" w:eastAsia="宋体" w:cs="宋体"/>
          <w:color w:val="auto"/>
          <w:highlight w:val="none"/>
        </w:rPr>
      </w:pPr>
    </w:p>
    <w:sectPr>
      <w:footerReference r:id="rId9" w:type="first"/>
      <w:headerReference r:id="rId6" w:type="default"/>
      <w:footerReference r:id="rId7" w:type="default"/>
      <w:footerReference r:id="rId8" w:type="even"/>
      <w:pgSz w:w="11906" w:h="16838"/>
      <w:pgMar w:top="1134" w:right="1134" w:bottom="1134" w:left="1134"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06085">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76C964A">
                          <w:pPr>
                            <w:pStyle w:val="1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jeE+IBAADMAwAADgAAAGRycy9lMm9Eb2MueG1srVPNjtMwEL4j8Q6W&#10;7zTZroS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O2jeE+IBAADMAwAADgAA&#10;AAAAAAABACAAAAAeAQAAZHJzL2Uyb0RvYy54bWxQSwUGAAAAAAYABgBZAQAAcgUAAAAA&#10;">
              <v:fill on="f" focussize="0,0"/>
              <v:stroke on="f"/>
              <v:imagedata o:title=""/>
              <o:lock v:ext="edit" aspectratio="f"/>
              <v:textbox inset="0mm,0mm,0mm,0mm" style="mso-fit-shape-to-text:t;">
                <w:txbxContent>
                  <w:p w14:paraId="176C964A">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82B6D">
    <w:pPr>
      <w:spacing w:line="196"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D78A9E">
                          <w:pPr>
                            <w:pStyle w:val="12"/>
                          </w:pPr>
                          <w:r>
                            <w:fldChar w:fldCharType="begin"/>
                          </w:r>
                          <w:r>
                            <w:instrText xml:space="preserve"> PAGE  \* MERGEFORMAT </w:instrText>
                          </w:r>
                          <w:r>
                            <w:fldChar w:fldCharType="separate"/>
                          </w:r>
                          <w:r>
                            <w:t>109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FD78A9E">
                    <w:pPr>
                      <w:pStyle w:val="12"/>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5020C">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B5376E5">
                          <w:pPr>
                            <w:pStyle w:val="12"/>
                            <w:jc w:val="center"/>
                          </w:pPr>
                          <w:r>
                            <w:fldChar w:fldCharType="begin"/>
                          </w:r>
                          <w:r>
                            <w:instrText xml:space="preserve"> PAGE   \* MERGEFORMAT </w:instrText>
                          </w:r>
                          <w:r>
                            <w:fldChar w:fldCharType="separate"/>
                          </w:r>
                          <w:r>
                            <w:rPr>
                              <w:lang w:val="zh-CN"/>
                            </w:rPr>
                            <w:t>104</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fill on="f" focussize="0,0"/>
              <v:stroke on="f"/>
              <v:imagedata o:title=""/>
              <o:lock v:ext="edit" aspectratio="f"/>
              <v:textbox inset="0mm,0mm,0mm,0mm" style="mso-fit-shape-to-text:t;">
                <w:txbxContent>
                  <w:p w14:paraId="7B5376E5">
                    <w:pPr>
                      <w:pStyle w:val="12"/>
                      <w:jc w:val="center"/>
                    </w:pPr>
                    <w:r>
                      <w:fldChar w:fldCharType="begin"/>
                    </w:r>
                    <w:r>
                      <w:instrText xml:space="preserve"> PAGE   \* MERGEFORMAT </w:instrText>
                    </w:r>
                    <w:r>
                      <w:fldChar w:fldCharType="separate"/>
                    </w:r>
                    <w:r>
                      <w:rPr>
                        <w:lang w:val="zh-CN"/>
                      </w:rPr>
                      <w:t>104</w:t>
                    </w:r>
                    <w:r>
                      <w:fldChar w:fldCharType="end"/>
                    </w:r>
                  </w:p>
                </w:txbxContent>
              </v:textbox>
            </v:shape>
          </w:pict>
        </mc:Fallback>
      </mc:AlternateContent>
    </w:r>
  </w:p>
  <w:p w14:paraId="5EED9DF8">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9C20B">
    <w:pPr>
      <w:pStyle w:val="12"/>
      <w:framePr w:wrap="around" w:vAnchor="text" w:hAnchor="margin" w:xAlign="center" w:y="1"/>
      <w:rPr>
        <w:rStyle w:val="24"/>
      </w:rPr>
    </w:pPr>
    <w:r>
      <w:fldChar w:fldCharType="begin"/>
    </w:r>
    <w:r>
      <w:rPr>
        <w:rStyle w:val="24"/>
      </w:rPr>
      <w:instrText xml:space="preserve">PAGE  </w:instrText>
    </w:r>
    <w:r>
      <w:fldChar w:fldCharType="end"/>
    </w:r>
  </w:p>
  <w:p w14:paraId="06F4BF07">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23FCB">
    <w:pPr>
      <w:pStyle w:val="12"/>
      <w:framePr w:wrap="around" w:vAnchor="text" w:hAnchor="margin" w:xAlign="right" w:y="1"/>
      <w:rPr>
        <w:rStyle w:val="24"/>
      </w:rPr>
    </w:pPr>
    <w:r>
      <w:fldChar w:fldCharType="begin"/>
    </w:r>
    <w:r>
      <w:rPr>
        <w:rStyle w:val="24"/>
      </w:rPr>
      <w:instrText xml:space="preserve">PAGE  </w:instrText>
    </w:r>
    <w:r>
      <w:fldChar w:fldCharType="separate"/>
    </w:r>
    <w:r>
      <w:rPr>
        <w:rStyle w:val="24"/>
      </w:rPr>
      <w:t>122</w:t>
    </w:r>
    <w:r>
      <w:fldChar w:fldCharType="end"/>
    </w:r>
  </w:p>
  <w:p w14:paraId="3E43CDF0">
    <w:pPr>
      <w:pStyle w:val="12"/>
      <w:ind w:right="360"/>
      <w:jc w:val="both"/>
      <w:rPr>
        <w:rFonts w:hint="eastAsia"/>
      </w:rPr>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E7BC5">
    <w:pPr>
      <w:pStyle w:val="13"/>
    </w:pPr>
    <w:r>
      <w:rPr>
        <w:rFonts w:hint="eastAsia"/>
      </w:rPr>
      <w:t>南宁市政府采购公开招标采购文件（项目编号：</w:t>
    </w:r>
    <w:r>
      <w:rPr>
        <w:rFonts w:hint="eastAsia"/>
        <w:lang w:eastAsia="zh-CN"/>
      </w:rPr>
      <w:t>NNZC2025-G2-230110-GDZB</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848B3">
    <w:pPr>
      <w:pStyle w:val="13"/>
      <w:tabs>
        <w:tab w:val="center" w:pos="0"/>
        <w:tab w:val="clear" w:pos="4153"/>
      </w:tabs>
    </w:pPr>
    <w:r>
      <w:rPr>
        <w:rFonts w:hint="eastAsia"/>
      </w:rPr>
      <w:t>项目编号：@采购文件模板实体.项目编号1@</w:t>
    </w:r>
  </w:p>
  <w:p w14:paraId="1EF36A67">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C4FD3"/>
    <w:multiLevelType w:val="singleLevel"/>
    <w:tmpl w:val="DC3C4FD3"/>
    <w:lvl w:ilvl="0" w:tentative="0">
      <w:start w:val="1"/>
      <w:numFmt w:val="decimal"/>
      <w:suff w:val="nothing"/>
      <w:lvlText w:val="（%1）"/>
      <w:lvlJc w:val="left"/>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269945CE"/>
    <w:multiLevelType w:val="singleLevel"/>
    <w:tmpl w:val="269945C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3">
    <w:nsid w:val="51536378"/>
    <w:multiLevelType w:val="singleLevel"/>
    <w:tmpl w:val="51536378"/>
    <w:lvl w:ilvl="0" w:tentative="0">
      <w:start w:val="1"/>
      <w:numFmt w:val="decimal"/>
      <w:suff w:val="nothing"/>
      <w:lvlText w:val="（%1）"/>
      <w:lvlJc w:val="left"/>
      <w:pPr>
        <w:ind w:left="0" w:firstLine="0"/>
      </w:pPr>
    </w:lvl>
  </w:abstractNum>
  <w:abstractNum w:abstractNumId="4">
    <w:nsid w:val="5498E193"/>
    <w:multiLevelType w:val="singleLevel"/>
    <w:tmpl w:val="5498E193"/>
    <w:lvl w:ilvl="0" w:tentative="0">
      <w:start w:val="11"/>
      <w:numFmt w:val="decimal"/>
      <w:suff w:val="space"/>
      <w:lvlText w:val="%1."/>
      <w:lvlJc w:val="left"/>
    </w:lvl>
  </w:abstractNum>
  <w:abstractNum w:abstractNumId="5">
    <w:nsid w:val="704FD9C0"/>
    <w:multiLevelType w:val="singleLevel"/>
    <w:tmpl w:val="704FD9C0"/>
    <w:lvl w:ilvl="0" w:tentative="0">
      <w:start w:val="2"/>
      <w:numFmt w:val="decimal"/>
      <w:lvlText w:val="%1."/>
      <w:lvlJc w:val="left"/>
      <w:pPr>
        <w:tabs>
          <w:tab w:val="left" w:pos="312"/>
        </w:tabs>
      </w:pPr>
    </w:lvl>
  </w:abstractNum>
  <w:abstractNum w:abstractNumId="6">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abstractNum w:abstractNumId="7">
    <w:nsid w:val="7D335EF9"/>
    <w:multiLevelType w:val="singleLevel"/>
    <w:tmpl w:val="7D335EF9"/>
    <w:lvl w:ilvl="0" w:tentative="0">
      <w:start w:val="1"/>
      <w:numFmt w:val="decimal"/>
      <w:suff w:val="space"/>
      <w:lvlText w:val="%1."/>
      <w:lvlJc w:val="left"/>
    </w:lvl>
  </w:abstractNum>
  <w:num w:numId="1">
    <w:abstractNumId w:val="5"/>
  </w:num>
  <w:num w:numId="2">
    <w:abstractNumId w:val="0"/>
  </w:num>
  <w:num w:numId="3">
    <w:abstractNumId w:val="3"/>
    <w:lvlOverride w:ilvl="0">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MTllMzkwNzIyMjJiZGFlY2Y0NmNiOTcwZjBkZGQifQ=="/>
  </w:docVars>
  <w:rsids>
    <w:rsidRoot w:val="35653D79"/>
    <w:rsid w:val="006C6535"/>
    <w:rsid w:val="007E3183"/>
    <w:rsid w:val="009F4C1B"/>
    <w:rsid w:val="0192652E"/>
    <w:rsid w:val="01A73D65"/>
    <w:rsid w:val="01C963F3"/>
    <w:rsid w:val="020411DA"/>
    <w:rsid w:val="021C29C7"/>
    <w:rsid w:val="021E775C"/>
    <w:rsid w:val="022A6766"/>
    <w:rsid w:val="02D97086"/>
    <w:rsid w:val="03191B07"/>
    <w:rsid w:val="032F7F04"/>
    <w:rsid w:val="034C72DC"/>
    <w:rsid w:val="036E72A8"/>
    <w:rsid w:val="03E03EBF"/>
    <w:rsid w:val="04101D5E"/>
    <w:rsid w:val="046E4892"/>
    <w:rsid w:val="049D76C3"/>
    <w:rsid w:val="04C9566C"/>
    <w:rsid w:val="054B711F"/>
    <w:rsid w:val="056C0184"/>
    <w:rsid w:val="05C658B9"/>
    <w:rsid w:val="05EF21A1"/>
    <w:rsid w:val="069518AF"/>
    <w:rsid w:val="06BA6DAD"/>
    <w:rsid w:val="0748283D"/>
    <w:rsid w:val="07550729"/>
    <w:rsid w:val="075C73C2"/>
    <w:rsid w:val="075F5A26"/>
    <w:rsid w:val="07691ADF"/>
    <w:rsid w:val="07C338E5"/>
    <w:rsid w:val="07F74137"/>
    <w:rsid w:val="081A09F3"/>
    <w:rsid w:val="08275C22"/>
    <w:rsid w:val="08397703"/>
    <w:rsid w:val="084C5688"/>
    <w:rsid w:val="08922F27"/>
    <w:rsid w:val="08C534D0"/>
    <w:rsid w:val="092654A8"/>
    <w:rsid w:val="09734E97"/>
    <w:rsid w:val="09821F29"/>
    <w:rsid w:val="09B35362"/>
    <w:rsid w:val="09F04BF7"/>
    <w:rsid w:val="0A1C72DC"/>
    <w:rsid w:val="0A715EC3"/>
    <w:rsid w:val="0AA633A7"/>
    <w:rsid w:val="0AF91751"/>
    <w:rsid w:val="0B293A5F"/>
    <w:rsid w:val="0BB13DD9"/>
    <w:rsid w:val="0BB162D1"/>
    <w:rsid w:val="0C2F779B"/>
    <w:rsid w:val="0C384922"/>
    <w:rsid w:val="0C395F24"/>
    <w:rsid w:val="0D18022F"/>
    <w:rsid w:val="0DB937C0"/>
    <w:rsid w:val="0E2A646C"/>
    <w:rsid w:val="0E71409B"/>
    <w:rsid w:val="0E931B6B"/>
    <w:rsid w:val="0EBE4E06"/>
    <w:rsid w:val="0F026AA1"/>
    <w:rsid w:val="0F3865A4"/>
    <w:rsid w:val="0F625510"/>
    <w:rsid w:val="0F672DA8"/>
    <w:rsid w:val="0F750D17"/>
    <w:rsid w:val="0F8971C2"/>
    <w:rsid w:val="0FB87AA7"/>
    <w:rsid w:val="10191BDB"/>
    <w:rsid w:val="106A6FF4"/>
    <w:rsid w:val="10A1053B"/>
    <w:rsid w:val="10E87A26"/>
    <w:rsid w:val="10EF74F9"/>
    <w:rsid w:val="113373E5"/>
    <w:rsid w:val="11561326"/>
    <w:rsid w:val="11C52892"/>
    <w:rsid w:val="123F625E"/>
    <w:rsid w:val="12ED5FF3"/>
    <w:rsid w:val="13373B73"/>
    <w:rsid w:val="13792D78"/>
    <w:rsid w:val="13C12D12"/>
    <w:rsid w:val="14121EBF"/>
    <w:rsid w:val="143040B0"/>
    <w:rsid w:val="14467430"/>
    <w:rsid w:val="146D0CA4"/>
    <w:rsid w:val="14AE102E"/>
    <w:rsid w:val="15210A86"/>
    <w:rsid w:val="153656F6"/>
    <w:rsid w:val="155B515D"/>
    <w:rsid w:val="15732AFC"/>
    <w:rsid w:val="15A85EC8"/>
    <w:rsid w:val="15BF7741"/>
    <w:rsid w:val="15C42D02"/>
    <w:rsid w:val="15EE2D41"/>
    <w:rsid w:val="15FD705D"/>
    <w:rsid w:val="16493207"/>
    <w:rsid w:val="16E21AEE"/>
    <w:rsid w:val="1723320B"/>
    <w:rsid w:val="1739327C"/>
    <w:rsid w:val="177B0796"/>
    <w:rsid w:val="177C13BA"/>
    <w:rsid w:val="17AC7EF2"/>
    <w:rsid w:val="18273A1C"/>
    <w:rsid w:val="18330133"/>
    <w:rsid w:val="18784278"/>
    <w:rsid w:val="18786866"/>
    <w:rsid w:val="187C78C4"/>
    <w:rsid w:val="188350F6"/>
    <w:rsid w:val="19500EB9"/>
    <w:rsid w:val="198F3627"/>
    <w:rsid w:val="19E75211"/>
    <w:rsid w:val="19FE255B"/>
    <w:rsid w:val="1A21270A"/>
    <w:rsid w:val="1A3766B9"/>
    <w:rsid w:val="1A7F5449"/>
    <w:rsid w:val="1AEA1935"/>
    <w:rsid w:val="1AF35E37"/>
    <w:rsid w:val="1B684130"/>
    <w:rsid w:val="1B8F3DB2"/>
    <w:rsid w:val="1BB235FD"/>
    <w:rsid w:val="1CAB5520"/>
    <w:rsid w:val="1CC45CDD"/>
    <w:rsid w:val="1CDD0F94"/>
    <w:rsid w:val="1CE0094F"/>
    <w:rsid w:val="1D5105FE"/>
    <w:rsid w:val="1DC85359"/>
    <w:rsid w:val="1E164317"/>
    <w:rsid w:val="1E396257"/>
    <w:rsid w:val="1E3F244D"/>
    <w:rsid w:val="1FB41730"/>
    <w:rsid w:val="1FC14756"/>
    <w:rsid w:val="1FE55E27"/>
    <w:rsid w:val="20032679"/>
    <w:rsid w:val="200A7EAB"/>
    <w:rsid w:val="201E6FD8"/>
    <w:rsid w:val="20AE4CDA"/>
    <w:rsid w:val="20BD316F"/>
    <w:rsid w:val="21010877"/>
    <w:rsid w:val="21316869"/>
    <w:rsid w:val="2169593A"/>
    <w:rsid w:val="219C4B33"/>
    <w:rsid w:val="21B5764B"/>
    <w:rsid w:val="21E70D7C"/>
    <w:rsid w:val="22280ABD"/>
    <w:rsid w:val="224F6049"/>
    <w:rsid w:val="22EE7610"/>
    <w:rsid w:val="22F34C27"/>
    <w:rsid w:val="23046E34"/>
    <w:rsid w:val="2377323E"/>
    <w:rsid w:val="24C20D54"/>
    <w:rsid w:val="24D4090C"/>
    <w:rsid w:val="24E3525A"/>
    <w:rsid w:val="24E46F1D"/>
    <w:rsid w:val="24F4362A"/>
    <w:rsid w:val="24FB4266"/>
    <w:rsid w:val="253F05F7"/>
    <w:rsid w:val="25624AC4"/>
    <w:rsid w:val="259042C0"/>
    <w:rsid w:val="25A113CC"/>
    <w:rsid w:val="25A14E0E"/>
    <w:rsid w:val="25C73059"/>
    <w:rsid w:val="25EA7504"/>
    <w:rsid w:val="25F82554"/>
    <w:rsid w:val="25F969F8"/>
    <w:rsid w:val="2628108B"/>
    <w:rsid w:val="2638731A"/>
    <w:rsid w:val="27084EF8"/>
    <w:rsid w:val="272C3E52"/>
    <w:rsid w:val="275B4D2E"/>
    <w:rsid w:val="275E288B"/>
    <w:rsid w:val="2769195B"/>
    <w:rsid w:val="27752A93"/>
    <w:rsid w:val="27C70430"/>
    <w:rsid w:val="28153891"/>
    <w:rsid w:val="281A2C55"/>
    <w:rsid w:val="288527C5"/>
    <w:rsid w:val="28B250E9"/>
    <w:rsid w:val="296F692B"/>
    <w:rsid w:val="298A2467"/>
    <w:rsid w:val="29A30A29"/>
    <w:rsid w:val="29E8368F"/>
    <w:rsid w:val="2A397935"/>
    <w:rsid w:val="2A420242"/>
    <w:rsid w:val="2A454C12"/>
    <w:rsid w:val="2AAD3E42"/>
    <w:rsid w:val="2AD96DF8"/>
    <w:rsid w:val="2B0C582D"/>
    <w:rsid w:val="2B5E674A"/>
    <w:rsid w:val="2BE27137"/>
    <w:rsid w:val="2C136339"/>
    <w:rsid w:val="2C4958B7"/>
    <w:rsid w:val="2C8B5ED0"/>
    <w:rsid w:val="2D0B5263"/>
    <w:rsid w:val="2D151C3D"/>
    <w:rsid w:val="2D483DC1"/>
    <w:rsid w:val="2E1020E8"/>
    <w:rsid w:val="2E1B2EF6"/>
    <w:rsid w:val="2E23315A"/>
    <w:rsid w:val="2E7035CF"/>
    <w:rsid w:val="2EAE198B"/>
    <w:rsid w:val="2F4B06C8"/>
    <w:rsid w:val="307F61A3"/>
    <w:rsid w:val="31104BF6"/>
    <w:rsid w:val="31540F86"/>
    <w:rsid w:val="31AC7296"/>
    <w:rsid w:val="31C87593"/>
    <w:rsid w:val="31F25C3E"/>
    <w:rsid w:val="328238D1"/>
    <w:rsid w:val="32CB5278"/>
    <w:rsid w:val="32D80744"/>
    <w:rsid w:val="32E46260"/>
    <w:rsid w:val="335A1D71"/>
    <w:rsid w:val="335D5FD5"/>
    <w:rsid w:val="337E0A32"/>
    <w:rsid w:val="33CC0578"/>
    <w:rsid w:val="346E05B1"/>
    <w:rsid w:val="34A55F9D"/>
    <w:rsid w:val="35470F7B"/>
    <w:rsid w:val="35571211"/>
    <w:rsid w:val="355C2AFF"/>
    <w:rsid w:val="35653D79"/>
    <w:rsid w:val="35B2636C"/>
    <w:rsid w:val="36252EF1"/>
    <w:rsid w:val="36714388"/>
    <w:rsid w:val="369D3BA6"/>
    <w:rsid w:val="36B02EA8"/>
    <w:rsid w:val="36F6663C"/>
    <w:rsid w:val="37386C54"/>
    <w:rsid w:val="37407074"/>
    <w:rsid w:val="37A83DDA"/>
    <w:rsid w:val="37B3452D"/>
    <w:rsid w:val="38312021"/>
    <w:rsid w:val="38975BFC"/>
    <w:rsid w:val="38D808D8"/>
    <w:rsid w:val="38F82B3F"/>
    <w:rsid w:val="394A0EC1"/>
    <w:rsid w:val="39C271AC"/>
    <w:rsid w:val="39C944DB"/>
    <w:rsid w:val="39F83C4E"/>
    <w:rsid w:val="3A0948D8"/>
    <w:rsid w:val="3A992100"/>
    <w:rsid w:val="3ADD4291"/>
    <w:rsid w:val="3B3E144C"/>
    <w:rsid w:val="3B4007CD"/>
    <w:rsid w:val="3B4402BD"/>
    <w:rsid w:val="3BA149B5"/>
    <w:rsid w:val="3C2141F5"/>
    <w:rsid w:val="3C333E8E"/>
    <w:rsid w:val="3C5979A7"/>
    <w:rsid w:val="3C743954"/>
    <w:rsid w:val="3D155515"/>
    <w:rsid w:val="3D6D517E"/>
    <w:rsid w:val="3D9F5C7F"/>
    <w:rsid w:val="3DCD0315"/>
    <w:rsid w:val="3E0E070F"/>
    <w:rsid w:val="3E5E3AA2"/>
    <w:rsid w:val="3EC25994"/>
    <w:rsid w:val="3EFF80CA"/>
    <w:rsid w:val="3F163D1F"/>
    <w:rsid w:val="3FFD5829"/>
    <w:rsid w:val="3FFFC4A1"/>
    <w:rsid w:val="40C136BD"/>
    <w:rsid w:val="40E90FBF"/>
    <w:rsid w:val="4178626F"/>
    <w:rsid w:val="41847666"/>
    <w:rsid w:val="419E7FFC"/>
    <w:rsid w:val="41DB2FFE"/>
    <w:rsid w:val="4214206C"/>
    <w:rsid w:val="426923B8"/>
    <w:rsid w:val="427E2307"/>
    <w:rsid w:val="42864D18"/>
    <w:rsid w:val="42CF1CE3"/>
    <w:rsid w:val="43996CCD"/>
    <w:rsid w:val="440710C4"/>
    <w:rsid w:val="44366C11"/>
    <w:rsid w:val="44B86946"/>
    <w:rsid w:val="450A6DE4"/>
    <w:rsid w:val="451C6362"/>
    <w:rsid w:val="453F5652"/>
    <w:rsid w:val="4554651D"/>
    <w:rsid w:val="45941E41"/>
    <w:rsid w:val="45EC57D9"/>
    <w:rsid w:val="466D2329"/>
    <w:rsid w:val="467252C0"/>
    <w:rsid w:val="46796857"/>
    <w:rsid w:val="47271ACB"/>
    <w:rsid w:val="478B4B7E"/>
    <w:rsid w:val="47E04B59"/>
    <w:rsid w:val="47F00E85"/>
    <w:rsid w:val="47F16027"/>
    <w:rsid w:val="47FE35A2"/>
    <w:rsid w:val="482F19AD"/>
    <w:rsid w:val="483A514E"/>
    <w:rsid w:val="486A6E89"/>
    <w:rsid w:val="48751710"/>
    <w:rsid w:val="488E0DCA"/>
    <w:rsid w:val="48B00D40"/>
    <w:rsid w:val="494574C2"/>
    <w:rsid w:val="495F0D56"/>
    <w:rsid w:val="499618FC"/>
    <w:rsid w:val="499E503D"/>
    <w:rsid w:val="49BA174B"/>
    <w:rsid w:val="49C74602"/>
    <w:rsid w:val="49EF1838"/>
    <w:rsid w:val="49F213F2"/>
    <w:rsid w:val="49F5266D"/>
    <w:rsid w:val="4A1E1CDA"/>
    <w:rsid w:val="4A54394D"/>
    <w:rsid w:val="4A7A5F9B"/>
    <w:rsid w:val="4A940F6A"/>
    <w:rsid w:val="4A963F66"/>
    <w:rsid w:val="4AE01685"/>
    <w:rsid w:val="4B1F21AD"/>
    <w:rsid w:val="4B7C6D62"/>
    <w:rsid w:val="4BD5286C"/>
    <w:rsid w:val="4C0C3553"/>
    <w:rsid w:val="4C571AC7"/>
    <w:rsid w:val="4D310A8D"/>
    <w:rsid w:val="4D863AFE"/>
    <w:rsid w:val="4D8E361A"/>
    <w:rsid w:val="4DAB0712"/>
    <w:rsid w:val="4DBF2BE4"/>
    <w:rsid w:val="4E0062C6"/>
    <w:rsid w:val="4E094A4F"/>
    <w:rsid w:val="4E0A6899"/>
    <w:rsid w:val="4E2E734F"/>
    <w:rsid w:val="4EAA7FE0"/>
    <w:rsid w:val="4F035942"/>
    <w:rsid w:val="4F435B99"/>
    <w:rsid w:val="4F7A3E56"/>
    <w:rsid w:val="4F9A0054"/>
    <w:rsid w:val="4FA90414"/>
    <w:rsid w:val="4FB94960"/>
    <w:rsid w:val="50574197"/>
    <w:rsid w:val="506C6B51"/>
    <w:rsid w:val="508F56DF"/>
    <w:rsid w:val="509B79CE"/>
    <w:rsid w:val="50C01D3C"/>
    <w:rsid w:val="50F6575E"/>
    <w:rsid w:val="510065DD"/>
    <w:rsid w:val="51130594"/>
    <w:rsid w:val="51316796"/>
    <w:rsid w:val="51611001"/>
    <w:rsid w:val="51FA302C"/>
    <w:rsid w:val="527A416D"/>
    <w:rsid w:val="52C11B46"/>
    <w:rsid w:val="531225F7"/>
    <w:rsid w:val="532C5467"/>
    <w:rsid w:val="533F3B6E"/>
    <w:rsid w:val="53C02C3D"/>
    <w:rsid w:val="540B675F"/>
    <w:rsid w:val="542F5C5B"/>
    <w:rsid w:val="54316AAD"/>
    <w:rsid w:val="548A4B3B"/>
    <w:rsid w:val="54B73456"/>
    <w:rsid w:val="55020B76"/>
    <w:rsid w:val="565C745A"/>
    <w:rsid w:val="568B1FB7"/>
    <w:rsid w:val="56CD18F4"/>
    <w:rsid w:val="56FF2E93"/>
    <w:rsid w:val="570D1A54"/>
    <w:rsid w:val="57530502"/>
    <w:rsid w:val="577A2526"/>
    <w:rsid w:val="57DF5F8B"/>
    <w:rsid w:val="57DF6DD5"/>
    <w:rsid w:val="580E7831"/>
    <w:rsid w:val="58150BC0"/>
    <w:rsid w:val="5847689F"/>
    <w:rsid w:val="58AE691E"/>
    <w:rsid w:val="59355667"/>
    <w:rsid w:val="59401B3D"/>
    <w:rsid w:val="594A6647"/>
    <w:rsid w:val="59D920E0"/>
    <w:rsid w:val="5A6C515F"/>
    <w:rsid w:val="5A855197"/>
    <w:rsid w:val="5AB04BFC"/>
    <w:rsid w:val="5AC72570"/>
    <w:rsid w:val="5AC8016B"/>
    <w:rsid w:val="5ACB37B8"/>
    <w:rsid w:val="5B2C7AD8"/>
    <w:rsid w:val="5B7A10F7"/>
    <w:rsid w:val="5BAB338F"/>
    <w:rsid w:val="5BC76675"/>
    <w:rsid w:val="5BED59B0"/>
    <w:rsid w:val="5C411DD2"/>
    <w:rsid w:val="5C8D2550"/>
    <w:rsid w:val="5C9347A9"/>
    <w:rsid w:val="5CA2204A"/>
    <w:rsid w:val="5CA54909"/>
    <w:rsid w:val="5CDF354A"/>
    <w:rsid w:val="5CF8460C"/>
    <w:rsid w:val="5D467A6D"/>
    <w:rsid w:val="5D6F2B20"/>
    <w:rsid w:val="5DAA7FFC"/>
    <w:rsid w:val="5E4A70E9"/>
    <w:rsid w:val="5EAA7B89"/>
    <w:rsid w:val="5EB427B5"/>
    <w:rsid w:val="5ED510A9"/>
    <w:rsid w:val="5EDC6E45"/>
    <w:rsid w:val="5F313E05"/>
    <w:rsid w:val="5F3D09FC"/>
    <w:rsid w:val="5F4D50E3"/>
    <w:rsid w:val="5F68495B"/>
    <w:rsid w:val="5FD42186"/>
    <w:rsid w:val="5FF4730D"/>
    <w:rsid w:val="603358AD"/>
    <w:rsid w:val="604C7149"/>
    <w:rsid w:val="606E68BF"/>
    <w:rsid w:val="608D150F"/>
    <w:rsid w:val="60D62EB6"/>
    <w:rsid w:val="61565DA5"/>
    <w:rsid w:val="61BA1C46"/>
    <w:rsid w:val="61F2A027"/>
    <w:rsid w:val="62436329"/>
    <w:rsid w:val="62A420D5"/>
    <w:rsid w:val="63732C3E"/>
    <w:rsid w:val="638766EA"/>
    <w:rsid w:val="63975485"/>
    <w:rsid w:val="63BE65AF"/>
    <w:rsid w:val="63F82BBA"/>
    <w:rsid w:val="640146EE"/>
    <w:rsid w:val="641A6652"/>
    <w:rsid w:val="64395C36"/>
    <w:rsid w:val="64535B33"/>
    <w:rsid w:val="64DA2918"/>
    <w:rsid w:val="64E02555"/>
    <w:rsid w:val="64EF4547"/>
    <w:rsid w:val="650E7F20"/>
    <w:rsid w:val="65320613"/>
    <w:rsid w:val="653A7EB8"/>
    <w:rsid w:val="660364FC"/>
    <w:rsid w:val="66707909"/>
    <w:rsid w:val="66BC66AA"/>
    <w:rsid w:val="66C67529"/>
    <w:rsid w:val="673F7A07"/>
    <w:rsid w:val="676953BD"/>
    <w:rsid w:val="67890C82"/>
    <w:rsid w:val="678D5D2C"/>
    <w:rsid w:val="67EE0F0A"/>
    <w:rsid w:val="67EE31DB"/>
    <w:rsid w:val="68394457"/>
    <w:rsid w:val="683E5EB1"/>
    <w:rsid w:val="6861575B"/>
    <w:rsid w:val="687E630D"/>
    <w:rsid w:val="68FC7232"/>
    <w:rsid w:val="6949691B"/>
    <w:rsid w:val="69AE677E"/>
    <w:rsid w:val="6A10026E"/>
    <w:rsid w:val="6A5F58D0"/>
    <w:rsid w:val="6AA54025"/>
    <w:rsid w:val="6AAF0A00"/>
    <w:rsid w:val="6ABB3975"/>
    <w:rsid w:val="6ADB2223"/>
    <w:rsid w:val="6B39476E"/>
    <w:rsid w:val="6B5E682D"/>
    <w:rsid w:val="6B82563F"/>
    <w:rsid w:val="6BBE51DA"/>
    <w:rsid w:val="6BC54253"/>
    <w:rsid w:val="6BFC4E08"/>
    <w:rsid w:val="6C1B3E73"/>
    <w:rsid w:val="6C537AB1"/>
    <w:rsid w:val="6C984506"/>
    <w:rsid w:val="6CCD7863"/>
    <w:rsid w:val="6CE547B7"/>
    <w:rsid w:val="6CEF77DA"/>
    <w:rsid w:val="6D08089B"/>
    <w:rsid w:val="6D113C78"/>
    <w:rsid w:val="6D631F76"/>
    <w:rsid w:val="6D8F4E13"/>
    <w:rsid w:val="6E1C70A2"/>
    <w:rsid w:val="6E3547AC"/>
    <w:rsid w:val="6E492F1A"/>
    <w:rsid w:val="6E8E71AB"/>
    <w:rsid w:val="6EF68499"/>
    <w:rsid w:val="6F96652E"/>
    <w:rsid w:val="6F9E54E7"/>
    <w:rsid w:val="6FA06FBD"/>
    <w:rsid w:val="6FC50CC6"/>
    <w:rsid w:val="70074E3A"/>
    <w:rsid w:val="700D42D6"/>
    <w:rsid w:val="705D28F3"/>
    <w:rsid w:val="70DD6A03"/>
    <w:rsid w:val="70FF3CCF"/>
    <w:rsid w:val="710C559B"/>
    <w:rsid w:val="71B0081A"/>
    <w:rsid w:val="71E573FD"/>
    <w:rsid w:val="71F06EC6"/>
    <w:rsid w:val="720023AB"/>
    <w:rsid w:val="72421DFA"/>
    <w:rsid w:val="725C38C5"/>
    <w:rsid w:val="72E74AAF"/>
    <w:rsid w:val="734C0DB6"/>
    <w:rsid w:val="738015D2"/>
    <w:rsid w:val="73EF78CA"/>
    <w:rsid w:val="746C1710"/>
    <w:rsid w:val="749F14A0"/>
    <w:rsid w:val="752B4A48"/>
    <w:rsid w:val="75614FED"/>
    <w:rsid w:val="75986535"/>
    <w:rsid w:val="75A66EA3"/>
    <w:rsid w:val="7620726A"/>
    <w:rsid w:val="76425BA5"/>
    <w:rsid w:val="765C7562"/>
    <w:rsid w:val="76676633"/>
    <w:rsid w:val="76796366"/>
    <w:rsid w:val="76D552CD"/>
    <w:rsid w:val="776F6FC2"/>
    <w:rsid w:val="777A4144"/>
    <w:rsid w:val="77C35724"/>
    <w:rsid w:val="782D2DDA"/>
    <w:rsid w:val="783D34D5"/>
    <w:rsid w:val="78493FEE"/>
    <w:rsid w:val="78A35F4E"/>
    <w:rsid w:val="78A71B34"/>
    <w:rsid w:val="78DB18C9"/>
    <w:rsid w:val="79053EE1"/>
    <w:rsid w:val="79185A13"/>
    <w:rsid w:val="79AB6836"/>
    <w:rsid w:val="79B9002E"/>
    <w:rsid w:val="7A5C466C"/>
    <w:rsid w:val="7B5353D8"/>
    <w:rsid w:val="7B6969A9"/>
    <w:rsid w:val="7BC6204D"/>
    <w:rsid w:val="7BC65BA9"/>
    <w:rsid w:val="7BE91898"/>
    <w:rsid w:val="7C1A344E"/>
    <w:rsid w:val="7CA26617"/>
    <w:rsid w:val="7CB02B6A"/>
    <w:rsid w:val="7D0B583E"/>
    <w:rsid w:val="7D1E37C3"/>
    <w:rsid w:val="7D2C6BA1"/>
    <w:rsid w:val="7D567401"/>
    <w:rsid w:val="7DAC6794"/>
    <w:rsid w:val="7E2B6198"/>
    <w:rsid w:val="7ECD54A1"/>
    <w:rsid w:val="7ED625A7"/>
    <w:rsid w:val="7EE63696"/>
    <w:rsid w:val="7EF0118F"/>
    <w:rsid w:val="7F1D01D6"/>
    <w:rsid w:val="7F2D5F40"/>
    <w:rsid w:val="7F731F88"/>
    <w:rsid w:val="7FC81B4C"/>
    <w:rsid w:val="F9FF08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line="600" w:lineRule="exact"/>
      <w:ind w:firstLine="643" w:firstLineChars="200"/>
      <w:outlineLvl w:val="2"/>
    </w:pPr>
    <w:rPr>
      <w:b/>
      <w:bCs/>
      <w:sz w:val="32"/>
      <w:szCs w:val="32"/>
    </w:rPr>
  </w:style>
  <w:style w:type="paragraph" w:styleId="6">
    <w:name w:val="heading 5"/>
    <w:basedOn w:val="1"/>
    <w:next w:val="1"/>
    <w:autoRedefine/>
    <w:qFormat/>
    <w:uiPriority w:val="9"/>
    <w:pPr>
      <w:keepNext/>
      <w:keepLines/>
      <w:spacing w:before="280" w:after="290" w:line="376" w:lineRule="auto"/>
      <w:outlineLvl w:val="4"/>
    </w:pPr>
    <w:rPr>
      <w:b/>
      <w:bCs/>
      <w:sz w:val="28"/>
      <w:szCs w:val="28"/>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unhideWhenUsed/>
    <w:qFormat/>
    <w:uiPriority w:val="99"/>
    <w:pPr>
      <w:spacing w:after="120"/>
    </w:pPr>
  </w:style>
  <w:style w:type="paragraph" w:styleId="7">
    <w:name w:val="index 8"/>
    <w:basedOn w:val="1"/>
    <w:next w:val="1"/>
    <w:autoRedefine/>
    <w:qFormat/>
    <w:uiPriority w:val="99"/>
    <w:pPr>
      <w:ind w:left="1400" w:leftChars="1400"/>
    </w:pPr>
  </w:style>
  <w:style w:type="paragraph" w:styleId="8">
    <w:name w:val="Normal Indent"/>
    <w:basedOn w:val="1"/>
    <w:autoRedefine/>
    <w:qFormat/>
    <w:uiPriority w:val="0"/>
    <w:pPr>
      <w:ind w:firstLine="420"/>
    </w:pPr>
    <w:rPr>
      <w:szCs w:val="20"/>
    </w:rPr>
  </w:style>
  <w:style w:type="paragraph" w:styleId="9">
    <w:name w:val="annotation text"/>
    <w:basedOn w:val="1"/>
    <w:autoRedefine/>
    <w:qFormat/>
    <w:uiPriority w:val="0"/>
    <w:pPr>
      <w:jc w:val="left"/>
    </w:pPr>
  </w:style>
  <w:style w:type="paragraph" w:styleId="10">
    <w:name w:val="Body Text Indent"/>
    <w:basedOn w:val="1"/>
    <w:autoRedefine/>
    <w:qFormat/>
    <w:uiPriority w:val="0"/>
    <w:pPr>
      <w:spacing w:line="200" w:lineRule="exact"/>
      <w:ind w:firstLine="301"/>
    </w:pPr>
    <w:rPr>
      <w:rFonts w:ascii="宋体" w:hAnsi="Courier New"/>
      <w:spacing w:val="-4"/>
      <w:sz w:val="18"/>
      <w:szCs w:val="20"/>
    </w:rPr>
  </w:style>
  <w:style w:type="paragraph" w:styleId="11">
    <w:name w:val="Plain Text"/>
    <w:basedOn w:val="1"/>
    <w:autoRedefine/>
    <w:qFormat/>
    <w:uiPriority w:val="0"/>
    <w:rPr>
      <w:rFonts w:ascii="宋体" w:hAnsi="Courier New"/>
      <w:szCs w:val="20"/>
    </w:rPr>
  </w:style>
  <w:style w:type="paragraph" w:styleId="12">
    <w:name w:val="footer"/>
    <w:basedOn w:val="1"/>
    <w:autoRedefine/>
    <w:qFormat/>
    <w:uiPriority w:val="99"/>
    <w:pPr>
      <w:tabs>
        <w:tab w:val="center" w:pos="4153"/>
        <w:tab w:val="right" w:pos="8306"/>
      </w:tabs>
      <w:snapToGrid w:val="0"/>
      <w:jc w:val="left"/>
    </w:pPr>
    <w:rPr>
      <w:sz w:val="18"/>
      <w:szCs w:val="18"/>
    </w:rPr>
  </w:style>
  <w:style w:type="paragraph" w:styleId="13">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0"/>
  </w:style>
  <w:style w:type="paragraph" w:styleId="15">
    <w:name w:val="List"/>
    <w:basedOn w:val="1"/>
    <w:autoRedefine/>
    <w:qFormat/>
    <w:uiPriority w:val="0"/>
    <w:pPr>
      <w:ind w:left="200" w:hanging="200" w:hangingChars="200"/>
    </w:pPr>
    <w:rPr>
      <w:sz w:val="28"/>
    </w:rPr>
  </w:style>
  <w:style w:type="paragraph" w:styleId="16">
    <w:name w:val="toc 2"/>
    <w:basedOn w:val="1"/>
    <w:next w:val="1"/>
    <w:autoRedefine/>
    <w:qFormat/>
    <w:uiPriority w:val="0"/>
    <w:pPr>
      <w:ind w:left="420" w:leftChars="200"/>
    </w:pPr>
  </w:style>
  <w:style w:type="paragraph" w:styleId="1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8">
    <w:name w:val="Body Text First Indent"/>
    <w:basedOn w:val="2"/>
    <w:qFormat/>
    <w:uiPriority w:val="0"/>
    <w:pPr>
      <w:ind w:firstLine="420" w:firstLineChars="100"/>
    </w:pPr>
    <w:rPr>
      <w:sz w:val="21"/>
    </w:rPr>
  </w:style>
  <w:style w:type="paragraph" w:styleId="19">
    <w:name w:val="Body Text First Indent 2"/>
    <w:basedOn w:val="10"/>
    <w:next w:val="8"/>
    <w:qFormat/>
    <w:uiPriority w:val="0"/>
    <w:pPr>
      <w:widowControl/>
      <w:spacing w:line="360" w:lineRule="auto"/>
      <w:ind w:left="-358" w:leftChars="-128" w:firstLine="560" w:firstLineChars="200"/>
      <w:jc w:val="left"/>
    </w:pPr>
    <w:rPr>
      <w:rFonts w:ascii="Times New Roman"/>
      <w:sz w:val="28"/>
    </w:rPr>
  </w:style>
  <w:style w:type="table" w:styleId="21">
    <w:name w:val="Table Grid"/>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0"/>
    <w:rPr>
      <w:b/>
    </w:rPr>
  </w:style>
  <w:style w:type="character" w:styleId="24">
    <w:name w:val="page number"/>
    <w:autoRedefine/>
    <w:qFormat/>
    <w:uiPriority w:val="0"/>
  </w:style>
  <w:style w:type="character" w:styleId="25">
    <w:name w:val="Hyperlink"/>
    <w:autoRedefine/>
    <w:qFormat/>
    <w:uiPriority w:val="99"/>
    <w:rPr>
      <w:color w:val="0000FF"/>
      <w:u w:val="single"/>
    </w:rPr>
  </w:style>
  <w:style w:type="character" w:styleId="26">
    <w:name w:val="annotation reference"/>
    <w:basedOn w:val="22"/>
    <w:autoRedefine/>
    <w:qFormat/>
    <w:uiPriority w:val="99"/>
    <w:rPr>
      <w:sz w:val="21"/>
      <w:szCs w:val="21"/>
    </w:rPr>
  </w:style>
  <w:style w:type="paragraph" w:customStyle="1" w:styleId="27">
    <w:name w:val="Title1"/>
    <w:basedOn w:val="1"/>
    <w:next w:val="1"/>
    <w:autoRedefine/>
    <w:qFormat/>
    <w:uiPriority w:val="0"/>
    <w:pPr>
      <w:jc w:val="center"/>
      <w:outlineLvl w:val="0"/>
    </w:pPr>
    <w:rPr>
      <w:rFonts w:ascii="Calibri Light" w:hAnsi="Calibri Light" w:eastAsia="Arial Unicode MS" w:cs="Times New Roman"/>
      <w:b/>
    </w:rPr>
  </w:style>
  <w:style w:type="paragraph" w:customStyle="1" w:styleId="28">
    <w:name w:val="表格文字115"/>
    <w:basedOn w:val="1"/>
    <w:autoRedefine/>
    <w:qFormat/>
    <w:uiPriority w:val="0"/>
    <w:pPr>
      <w:spacing w:before="25" w:beforeLines="0" w:after="25" w:afterLines="0" w:line="240" w:lineRule="auto"/>
      <w:ind w:firstLine="0"/>
      <w:jc w:val="left"/>
    </w:pPr>
    <w:rPr>
      <w:bCs/>
      <w:spacing w:val="10"/>
      <w:kern w:val="0"/>
      <w:sz w:val="24"/>
    </w:rPr>
  </w:style>
  <w:style w:type="paragraph" w:customStyle="1" w:styleId="29">
    <w:name w:val="Default"/>
    <w:autoRedefine/>
    <w:qFormat/>
    <w:uiPriority w:val="99"/>
    <w:pPr>
      <w:widowControl w:val="0"/>
      <w:autoSpaceDE w:val="0"/>
      <w:autoSpaceDN w:val="0"/>
      <w:adjustRightInd w:val="0"/>
    </w:pPr>
    <w:rPr>
      <w:rFonts w:ascii="方正小标宋简体" w:hAnsi="Calibri" w:eastAsia="方正小标宋简体" w:cs="方正小标宋简体"/>
      <w:color w:val="000000"/>
      <w:kern w:val="0"/>
      <w:sz w:val="24"/>
      <w:szCs w:val="24"/>
      <w:lang w:val="en-US" w:eastAsia="zh-CN" w:bidi="ar-SA"/>
    </w:rPr>
  </w:style>
  <w:style w:type="paragraph" w:customStyle="1" w:styleId="30">
    <w:name w:val="WPSOffice手动目录 1"/>
    <w:autoRedefine/>
    <w:qFormat/>
    <w:uiPriority w:val="0"/>
    <w:pPr>
      <w:ind w:leftChars="0"/>
    </w:pPr>
    <w:rPr>
      <w:rFonts w:ascii="Times New Roman" w:hAnsi="Times New Roman" w:eastAsia="宋体" w:cs="Times New Roman"/>
      <w:sz w:val="20"/>
      <w:szCs w:val="20"/>
    </w:rPr>
  </w:style>
  <w:style w:type="paragraph" w:customStyle="1" w:styleId="31">
    <w:name w:val="WPSOffice手动目录 2"/>
    <w:autoRedefine/>
    <w:qFormat/>
    <w:uiPriority w:val="0"/>
    <w:pPr>
      <w:ind w:leftChars="200"/>
    </w:pPr>
    <w:rPr>
      <w:rFonts w:ascii="Times New Roman" w:hAnsi="Times New Roman" w:eastAsia="宋体" w:cs="Times New Roman"/>
      <w:sz w:val="20"/>
      <w:szCs w:val="20"/>
    </w:rPr>
  </w:style>
  <w:style w:type="character" w:customStyle="1" w:styleId="32">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3">
    <w:name w:val="正文2"/>
    <w:basedOn w:val="1"/>
    <w:autoRedefine/>
    <w:qFormat/>
    <w:uiPriority w:val="0"/>
    <w:pPr>
      <w:adjustRightInd w:val="0"/>
      <w:spacing w:before="156" w:line="360" w:lineRule="auto"/>
      <w:ind w:firstLine="510" w:firstLineChars="200"/>
    </w:pPr>
    <w:rPr>
      <w:sz w:val="24"/>
      <w:szCs w:val="20"/>
    </w:rPr>
  </w:style>
  <w:style w:type="paragraph" w:customStyle="1" w:styleId="3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35">
    <w:name w:val="样式5"/>
    <w:basedOn w:val="1"/>
    <w:autoRedefine/>
    <w:qFormat/>
    <w:uiPriority w:val="0"/>
    <w:pPr>
      <w:adjustRightInd w:val="0"/>
      <w:spacing w:line="440" w:lineRule="exact"/>
      <w:ind w:left="2" w:firstLine="480" w:firstLineChars="200"/>
    </w:pPr>
    <w:rPr>
      <w:rFonts w:ascii="仿宋_GB2312" w:hAnsi="仿宋" w:eastAsia="仿宋_GB2312"/>
      <w:sz w:val="24"/>
    </w:rPr>
  </w:style>
  <w:style w:type="paragraph" w:customStyle="1" w:styleId="36">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8">
    <w:name w:val="Body text|1"/>
    <w:basedOn w:val="1"/>
    <w:qFormat/>
    <w:uiPriority w:val="0"/>
    <w:pPr>
      <w:spacing w:line="360" w:lineRule="auto"/>
      <w:ind w:firstLine="400"/>
    </w:pPr>
    <w:rPr>
      <w:rFonts w:ascii="宋体" w:hAnsi="宋体" w:eastAsia="宋体" w:cs="宋体"/>
      <w:sz w:val="20"/>
      <w:szCs w:val="20"/>
      <w:lang w:val="zh-CN" w:eastAsia="zh-CN" w:bidi="zh-CN"/>
    </w:rPr>
  </w:style>
  <w:style w:type="paragraph" w:customStyle="1" w:styleId="39">
    <w:name w:val="Other|1"/>
    <w:basedOn w:val="1"/>
    <w:qFormat/>
    <w:uiPriority w:val="0"/>
    <w:pPr>
      <w:spacing w:line="263" w:lineRule="exact"/>
    </w:pPr>
    <w:rPr>
      <w:rFonts w:ascii="宋体" w:hAnsi="宋体" w:eastAsia="宋体" w:cs="宋体"/>
      <w:color w:val="auto"/>
      <w:kern w:val="2"/>
      <w:sz w:val="18"/>
      <w:szCs w:val="18"/>
      <w:lang w:val="zh-TW" w:eastAsia="zh-TW" w:bidi="zh-TW"/>
    </w:rPr>
  </w:style>
  <w:style w:type="table" w:customStyle="1" w:styleId="40">
    <w:name w:val="Table Normal"/>
    <w:unhideWhenUsed/>
    <w:qFormat/>
    <w:uiPriority w:val="0"/>
    <w:tblPr>
      <w:tblCellMar>
        <w:top w:w="0" w:type="dxa"/>
        <w:left w:w="0" w:type="dxa"/>
        <w:bottom w:w="0" w:type="dxa"/>
        <w:right w:w="0" w:type="dxa"/>
      </w:tblCellMar>
    </w:tblPr>
  </w:style>
  <w:style w:type="paragraph" w:customStyle="1" w:styleId="41">
    <w:name w:val="正文_5"/>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137</Pages>
  <Words>75492</Words>
  <Characters>79833</Characters>
  <Lines>0</Lines>
  <Paragraphs>0</Paragraphs>
  <TotalTime>13</TotalTime>
  <ScaleCrop>false</ScaleCrop>
  <LinksUpToDate>false</LinksUpToDate>
  <CharactersWithSpaces>88811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2022-12-30T03:11:00Z</dcterms:created>
  <dc:creator>Max</dc:creator>
  <cp:lastModifiedBy>liang</cp:lastModifiedBy>
  <cp:lastPrinted>2025-09-08T01:29:00Z</cp:lastPrinted>
  <dcterms:modified xsi:type="dcterms:W3CDTF">2025-11-02T09:00:57Z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267587A280284649A4BF551471D05E6F_13</vt:lpwstr>
  </property>
  <property fmtid="{D5CDD505-2E9C-101B-9397-08002B2CF9AE}" pid="4" name="KSOTemplateDocerSaveRecord">
    <vt:lpwstr>eyJoZGlkIjoiOGI4NjI5OTBmMDM1ODFlMDkzNDFlZTFiMWNhZWU5ZTMiLCJ1c2VySWQiOiI4NDE0MDQxMTQifQ==</vt:lpwstr>
  </property>
</Properties>
</file>