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28F68">
      <w:pPr>
        <w:pStyle w:val="27"/>
        <w:rPr>
          <w:rFonts w:hint="eastAsia"/>
          <w:color w:val="auto"/>
          <w:highlight w:val="none"/>
        </w:rPr>
      </w:pPr>
    </w:p>
    <w:p w14:paraId="43743E21">
      <w:pPr>
        <w:jc w:val="center"/>
        <w:rPr>
          <w:rFonts w:hint="eastAsia" w:ascii="宋体" w:hAnsi="宋体"/>
          <w:b/>
          <w:bCs/>
          <w:color w:val="auto"/>
          <w:sz w:val="48"/>
          <w:szCs w:val="48"/>
          <w:highlight w:val="none"/>
        </w:rPr>
      </w:pPr>
      <w:bookmarkStart w:id="0" w:name="_Toc5243"/>
      <w:r>
        <w:rPr>
          <w:rFonts w:hint="eastAsia" w:ascii="宋体" w:hAnsi="宋体"/>
          <w:b/>
          <w:bCs/>
          <w:color w:val="auto"/>
          <w:sz w:val="48"/>
          <w:szCs w:val="48"/>
          <w:highlight w:val="none"/>
        </w:rPr>
        <w:t>广西国栋招标有限公司</w:t>
      </w:r>
      <w:bookmarkEnd w:id="0"/>
    </w:p>
    <w:p w14:paraId="5D805E6A">
      <w:pPr>
        <w:pStyle w:val="17"/>
        <w:rPr>
          <w:color w:val="auto"/>
          <w:highlight w:val="none"/>
        </w:rPr>
      </w:pPr>
    </w:p>
    <w:p w14:paraId="20B2EDF7">
      <w:pPr>
        <w:pStyle w:val="17"/>
        <w:rPr>
          <w:color w:val="auto"/>
          <w:szCs w:val="21"/>
          <w:highlight w:val="none"/>
        </w:rPr>
      </w:pPr>
      <w:r>
        <w:rPr>
          <w:color w:val="auto"/>
          <w:highlight w:val="none"/>
          <w:u w:val="single"/>
        </w:rPr>
        <mc:AlternateContent>
          <mc:Choice Requires="wps">
            <w:drawing>
              <wp:anchor distT="0" distB="0" distL="114300" distR="114300" simplePos="0" relativeHeight="251663360" behindDoc="0" locked="0" layoutInCell="1" allowOverlap="1">
                <wp:simplePos x="0" y="0"/>
                <wp:positionH relativeFrom="column">
                  <wp:posOffset>-109220</wp:posOffset>
                </wp:positionH>
                <wp:positionV relativeFrom="paragraph">
                  <wp:posOffset>93980</wp:posOffset>
                </wp:positionV>
                <wp:extent cx="5944235" cy="8255"/>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6pt;margin-top:7.4pt;height:0.65pt;width:468.05pt;z-index:251663360;mso-width-relative:page;mso-height-relative:page;" filled="f" stroked="t" coordsize="21600,21600" o:gfxdata="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5rzZ1wAAAAkBAAAPAAAAAAAAAAEAIAAAACIAAABkcnMvZG93bnJldi54&#10;bWxQSwECFAAUAAAACACHTuJA0NwK5PsBAAD0AwAADgAAAAAAAAABACAAAAAmAQAAZHJzL2Uyb0Rv&#10;Yy54bWxQSwUGAAAAAAYABgBZAQAAkwUAAAAA&#10;">
                <v:fill on="f" focussize="0,0"/>
                <v:stroke weight="2.25pt" color="#000000" joinstyle="round"/>
                <v:imagedata o:title=""/>
                <o:lock v:ext="edit" aspectratio="f"/>
              </v:line>
            </w:pict>
          </mc:Fallback>
        </mc:AlternateContent>
      </w:r>
    </w:p>
    <w:p w14:paraId="0B5FCDF6">
      <w:pPr>
        <w:jc w:val="center"/>
        <w:rPr>
          <w:rFonts w:hint="eastAsia" w:ascii="宋体" w:hAnsi="宋体"/>
          <w:b/>
          <w:color w:val="auto"/>
          <w:sz w:val="48"/>
          <w:szCs w:val="48"/>
          <w:highlight w:val="none"/>
        </w:rPr>
      </w:pPr>
    </w:p>
    <w:p w14:paraId="756D16CD">
      <w:pPr>
        <w:pStyle w:val="27"/>
        <w:ind w:firstLine="0" w:firstLineChars="0"/>
        <w:rPr>
          <w:rFonts w:hint="eastAsia"/>
          <w:b/>
          <w:color w:val="auto"/>
          <w:sz w:val="48"/>
          <w:szCs w:val="48"/>
          <w:highlight w:val="none"/>
        </w:rPr>
      </w:pPr>
    </w:p>
    <w:p w14:paraId="7510BEC4">
      <w:pPr>
        <w:jc w:val="center"/>
        <w:rPr>
          <w:rFonts w:hint="eastAsia" w:ascii="宋体" w:hAnsi="宋体"/>
          <w:b/>
          <w:color w:val="auto"/>
          <w:sz w:val="56"/>
          <w:szCs w:val="56"/>
          <w:highlight w:val="none"/>
        </w:rPr>
      </w:pPr>
      <w:r>
        <w:rPr>
          <w:rFonts w:hint="eastAsia" w:ascii="宋体" w:hAnsi="宋体"/>
          <w:b/>
          <w:color w:val="auto"/>
          <w:sz w:val="52"/>
          <w:szCs w:val="52"/>
          <w:highlight w:val="none"/>
        </w:rPr>
        <w:t>政府采购</w:t>
      </w:r>
      <w:bookmarkStart w:id="189" w:name="_GoBack"/>
      <w:bookmarkEnd w:id="189"/>
    </w:p>
    <w:p w14:paraId="1E734EA1">
      <w:pPr>
        <w:rPr>
          <w:color w:val="auto"/>
          <w:highlight w:val="none"/>
        </w:rPr>
      </w:pPr>
    </w:p>
    <w:p w14:paraId="489C3FD8">
      <w:pPr>
        <w:rPr>
          <w:color w:val="auto"/>
          <w:highlight w:val="none"/>
        </w:rPr>
      </w:pPr>
    </w:p>
    <w:p w14:paraId="2D4A14A4">
      <w:pPr>
        <w:jc w:val="center"/>
        <w:rPr>
          <w:rFonts w:hint="eastAsia" w:ascii="宋体" w:hAnsi="宋体" w:cs="方正小标宋简体"/>
          <w:b/>
          <w:color w:val="auto"/>
          <w:sz w:val="40"/>
          <w:szCs w:val="40"/>
          <w:highlight w:val="none"/>
        </w:rPr>
      </w:pPr>
      <w:bookmarkStart w:id="1" w:name="_Toc12082"/>
      <w:r>
        <w:rPr>
          <w:rFonts w:hint="eastAsia" w:ascii="宋体" w:hAnsi="宋体"/>
          <w:b/>
          <w:color w:val="auto"/>
          <w:sz w:val="56"/>
          <w:szCs w:val="56"/>
          <w:highlight w:val="none"/>
        </w:rPr>
        <w:t>竞争性磋商文件（服务类）</w:t>
      </w:r>
      <w:bookmarkEnd w:id="1"/>
    </w:p>
    <w:p w14:paraId="0E06A2E2">
      <w:pPr>
        <w:jc w:val="center"/>
        <w:rPr>
          <w:rFonts w:hint="eastAsia" w:ascii="宋体" w:hAnsi="宋体"/>
          <w:b/>
          <w:color w:val="auto"/>
          <w:sz w:val="32"/>
          <w:szCs w:val="32"/>
          <w:highlight w:val="none"/>
        </w:rPr>
      </w:pPr>
      <w:bookmarkStart w:id="2" w:name="_Toc21964"/>
      <w:r>
        <w:rPr>
          <w:rFonts w:hint="eastAsia" w:ascii="宋体" w:hAnsi="宋体"/>
          <w:b/>
          <w:color w:val="auto"/>
          <w:sz w:val="32"/>
          <w:szCs w:val="32"/>
          <w:highlight w:val="none"/>
        </w:rPr>
        <w:t>（全流程电子化评标）</w:t>
      </w:r>
      <w:bookmarkEnd w:id="2"/>
    </w:p>
    <w:p w14:paraId="2FA380A2">
      <w:pPr>
        <w:jc w:val="center"/>
        <w:rPr>
          <w:rFonts w:hint="eastAsia" w:ascii="宋体" w:hAnsi="宋体"/>
          <w:b/>
          <w:color w:val="auto"/>
          <w:sz w:val="32"/>
          <w:szCs w:val="32"/>
          <w:highlight w:val="none"/>
        </w:rPr>
      </w:pPr>
    </w:p>
    <w:p w14:paraId="2E8A9A19">
      <w:pPr>
        <w:pStyle w:val="27"/>
        <w:ind w:firstLine="643"/>
        <w:rPr>
          <w:rFonts w:hint="eastAsia"/>
          <w:b/>
          <w:color w:val="auto"/>
          <w:sz w:val="32"/>
          <w:szCs w:val="32"/>
          <w:highlight w:val="none"/>
        </w:rPr>
      </w:pPr>
    </w:p>
    <w:p w14:paraId="1646835B">
      <w:pPr>
        <w:rPr>
          <w:color w:val="auto"/>
          <w:highlight w:val="none"/>
        </w:rPr>
      </w:pPr>
    </w:p>
    <w:p w14:paraId="2A29FE78">
      <w:pPr>
        <w:rPr>
          <w:color w:val="auto"/>
          <w:highlight w:val="none"/>
        </w:rPr>
      </w:pPr>
    </w:p>
    <w:p w14:paraId="28141537">
      <w:pPr>
        <w:spacing w:line="360" w:lineRule="auto"/>
        <w:ind w:firstLine="964" w:firstLineChars="300"/>
        <w:rPr>
          <w:rFonts w:hint="eastAsia" w:ascii="宋体" w:hAnsi="宋体"/>
          <w:b/>
          <w:color w:val="auto"/>
          <w:sz w:val="32"/>
          <w:szCs w:val="32"/>
          <w:highlight w:val="none"/>
        </w:rPr>
      </w:pPr>
      <w:bookmarkStart w:id="3" w:name="_Toc16113"/>
      <w:r>
        <w:rPr>
          <w:rFonts w:hint="eastAsia" w:ascii="宋体" w:hAnsi="宋体"/>
          <w:b/>
          <w:color w:val="auto"/>
          <w:sz w:val="32"/>
          <w:szCs w:val="32"/>
          <w:highlight w:val="none"/>
        </w:rPr>
        <w:t>项目名称：</w:t>
      </w:r>
      <w:bookmarkEnd w:id="3"/>
      <w:r>
        <w:rPr>
          <w:rFonts w:hint="eastAsia" w:ascii="宋体" w:hAnsi="宋体"/>
          <w:b/>
          <w:color w:val="auto"/>
          <w:sz w:val="32"/>
          <w:szCs w:val="32"/>
          <w:highlight w:val="none"/>
        </w:rPr>
        <w:t>政法干警人身意外伤害保险</w:t>
      </w:r>
    </w:p>
    <w:p w14:paraId="257EADBB">
      <w:pPr>
        <w:spacing w:line="360" w:lineRule="auto"/>
        <w:ind w:firstLine="993" w:firstLineChars="309"/>
        <w:rPr>
          <w:rFonts w:hint="eastAsia" w:ascii="宋体" w:hAnsi="宋体" w:eastAsia="宋体"/>
          <w:b/>
          <w:color w:val="auto"/>
          <w:sz w:val="32"/>
          <w:szCs w:val="32"/>
          <w:highlight w:val="none"/>
          <w:lang w:eastAsia="zh-CN"/>
        </w:rPr>
      </w:pPr>
      <w:bookmarkStart w:id="4" w:name="_Toc26902"/>
      <w:r>
        <w:rPr>
          <w:rFonts w:hint="eastAsia" w:ascii="宋体" w:hAnsi="宋体"/>
          <w:b/>
          <w:color w:val="auto"/>
          <w:sz w:val="32"/>
          <w:szCs w:val="32"/>
          <w:highlight w:val="none"/>
        </w:rPr>
        <w:t>项目编号：</w:t>
      </w:r>
      <w:bookmarkEnd w:id="4"/>
      <w:r>
        <w:rPr>
          <w:rFonts w:hint="eastAsia" w:ascii="宋体" w:hAnsi="宋体"/>
          <w:b/>
          <w:color w:val="auto"/>
          <w:sz w:val="32"/>
          <w:szCs w:val="32"/>
          <w:highlight w:val="none"/>
          <w:lang w:eastAsia="zh-CN"/>
        </w:rPr>
        <w:t>GXZC2025-C3-003060-GDZB</w:t>
      </w:r>
    </w:p>
    <w:p w14:paraId="07DBB51B">
      <w:pPr>
        <w:pStyle w:val="27"/>
        <w:rPr>
          <w:rFonts w:hint="eastAsia"/>
          <w:color w:val="auto"/>
          <w:highlight w:val="none"/>
        </w:rPr>
      </w:pPr>
    </w:p>
    <w:p w14:paraId="12BF7BF1">
      <w:pPr>
        <w:rPr>
          <w:color w:val="auto"/>
          <w:highlight w:val="none"/>
        </w:rPr>
      </w:pPr>
    </w:p>
    <w:p w14:paraId="570289B1">
      <w:pPr>
        <w:pStyle w:val="27"/>
        <w:rPr>
          <w:rFonts w:hint="eastAsia"/>
          <w:color w:val="auto"/>
          <w:highlight w:val="none"/>
        </w:rPr>
      </w:pPr>
    </w:p>
    <w:p w14:paraId="17692D89">
      <w:pPr>
        <w:rPr>
          <w:color w:val="auto"/>
          <w:highlight w:val="none"/>
        </w:rPr>
      </w:pPr>
    </w:p>
    <w:p w14:paraId="39049944">
      <w:pPr>
        <w:pStyle w:val="27"/>
        <w:rPr>
          <w:rFonts w:hint="eastAsia"/>
          <w:color w:val="auto"/>
          <w:highlight w:val="none"/>
        </w:rPr>
      </w:pPr>
    </w:p>
    <w:p w14:paraId="00789DE6">
      <w:pPr>
        <w:rPr>
          <w:color w:val="auto"/>
          <w:highlight w:val="none"/>
        </w:rPr>
      </w:pPr>
    </w:p>
    <w:p w14:paraId="2E4E2C04">
      <w:pPr>
        <w:pStyle w:val="27"/>
        <w:rPr>
          <w:rFonts w:hint="eastAsia"/>
          <w:color w:val="auto"/>
          <w:highlight w:val="none"/>
        </w:rPr>
      </w:pPr>
    </w:p>
    <w:p w14:paraId="07FB566C">
      <w:pPr>
        <w:spacing w:line="360" w:lineRule="auto"/>
        <w:ind w:firstLine="993" w:firstLineChars="309"/>
        <w:rPr>
          <w:rFonts w:hint="eastAsia" w:ascii="宋体" w:hAnsi="宋体"/>
          <w:b/>
          <w:color w:val="auto"/>
          <w:sz w:val="32"/>
          <w:szCs w:val="32"/>
          <w:highlight w:val="none"/>
        </w:rPr>
      </w:pPr>
      <w:bookmarkStart w:id="5" w:name="_Toc1181"/>
      <w:r>
        <w:rPr>
          <w:rFonts w:hint="eastAsia" w:ascii="宋体" w:hAnsi="宋体"/>
          <w:b/>
          <w:color w:val="auto"/>
          <w:sz w:val="32"/>
          <w:szCs w:val="32"/>
          <w:highlight w:val="none"/>
        </w:rPr>
        <w:t>采 购 人：</w:t>
      </w:r>
      <w:bookmarkEnd w:id="5"/>
      <w:r>
        <w:rPr>
          <w:rFonts w:hint="eastAsia" w:ascii="宋体" w:hAnsi="宋体"/>
          <w:b/>
          <w:color w:val="auto"/>
          <w:sz w:val="32"/>
          <w:szCs w:val="32"/>
          <w:highlight w:val="none"/>
        </w:rPr>
        <w:t>广西壮族自治区司法厅</w:t>
      </w:r>
    </w:p>
    <w:p w14:paraId="502F185B">
      <w:pPr>
        <w:spacing w:line="360" w:lineRule="auto"/>
        <w:ind w:firstLine="993" w:firstLineChars="309"/>
        <w:rPr>
          <w:rFonts w:hint="eastAsia" w:ascii="宋体" w:hAnsi="宋体"/>
          <w:b/>
          <w:color w:val="auto"/>
          <w:sz w:val="32"/>
          <w:szCs w:val="32"/>
          <w:highlight w:val="none"/>
        </w:rPr>
      </w:pPr>
    </w:p>
    <w:p w14:paraId="39C63636">
      <w:pPr>
        <w:spacing w:line="360" w:lineRule="auto"/>
        <w:ind w:firstLine="993" w:firstLineChars="309"/>
        <w:rPr>
          <w:rFonts w:hint="eastAsia" w:ascii="宋体" w:hAnsi="宋体"/>
          <w:b/>
          <w:color w:val="auto"/>
          <w:sz w:val="32"/>
          <w:szCs w:val="32"/>
          <w:highlight w:val="none"/>
        </w:rPr>
      </w:pPr>
      <w:bookmarkStart w:id="6" w:name="_Toc17425"/>
      <w:r>
        <w:rPr>
          <w:rFonts w:hint="eastAsia" w:ascii="宋体" w:hAnsi="宋体"/>
          <w:b/>
          <w:color w:val="auto"/>
          <w:sz w:val="32"/>
          <w:szCs w:val="32"/>
          <w:highlight w:val="none"/>
        </w:rPr>
        <w:t>采购代理机构：广西国栋招标有限公司</w:t>
      </w:r>
      <w:bookmarkEnd w:id="6"/>
    </w:p>
    <w:p w14:paraId="041A7B01">
      <w:pPr>
        <w:spacing w:line="360" w:lineRule="auto"/>
        <w:jc w:val="center"/>
        <w:rPr>
          <w:rFonts w:hint="eastAsia" w:ascii="宋体" w:hAnsi="宋体"/>
          <w:b/>
          <w:color w:val="auto"/>
          <w:sz w:val="32"/>
          <w:szCs w:val="32"/>
          <w:highlight w:val="none"/>
        </w:rPr>
      </w:pPr>
    </w:p>
    <w:p w14:paraId="06ED907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2025年10月</w:t>
      </w:r>
    </w:p>
    <w:p w14:paraId="62CCA496">
      <w:pPr>
        <w:spacing w:line="360" w:lineRule="auto"/>
        <w:jc w:val="center"/>
        <w:rPr>
          <w:rFonts w:hint="eastAsia" w:ascii="宋体" w:hAnsi="宋体" w:cs="宋体"/>
          <w:b/>
          <w:bCs/>
          <w:color w:val="auto"/>
          <w:sz w:val="32"/>
          <w:szCs w:val="32"/>
          <w:highlight w:val="none"/>
        </w:rPr>
      </w:pPr>
    </w:p>
    <w:p w14:paraId="5FD2E987">
      <w:pPr>
        <w:spacing w:line="12667" w:lineRule="exact"/>
        <w:rPr>
          <w:color w:val="auto"/>
          <w:highlight w:val="none"/>
        </w:rPr>
        <w:sectPr>
          <w:pgSz w:w="11906" w:h="16839"/>
          <w:pgMar w:top="1431" w:right="1441" w:bottom="0" w:left="1588" w:header="0" w:footer="0" w:gutter="0"/>
          <w:cols w:space="720" w:num="1"/>
        </w:sectPr>
      </w:pPr>
      <w:r>
        <w:rPr>
          <w:rFonts w:ascii="宋体" w:hAnsi="宋体"/>
          <w:b/>
          <w:color w:val="auto"/>
          <w:sz w:val="44"/>
          <w:szCs w:val="44"/>
          <w:highlight w:val="none"/>
        </w:rPr>
        <w:br w:type="page"/>
      </w:r>
    </w:p>
    <w:p w14:paraId="3955D47B">
      <w:pPr>
        <w:spacing w:line="360" w:lineRule="auto"/>
        <w:jc w:val="center"/>
        <w:rPr>
          <w:rFonts w:hint="eastAsia" w:ascii="宋体" w:hAnsi="宋体"/>
          <w:b/>
          <w:color w:val="auto"/>
          <w:sz w:val="44"/>
          <w:szCs w:val="44"/>
          <w:highlight w:val="none"/>
        </w:rPr>
      </w:pPr>
    </w:p>
    <w:p w14:paraId="2CC556DD">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29A23082">
      <w:pPr>
        <w:spacing w:line="400" w:lineRule="exact"/>
        <w:jc w:val="center"/>
        <w:rPr>
          <w:rFonts w:hint="eastAsia" w:ascii="宋体" w:hAnsi="宋体"/>
          <w:b/>
          <w:color w:val="auto"/>
          <w:sz w:val="44"/>
          <w:szCs w:val="44"/>
          <w:highlight w:val="none"/>
        </w:rPr>
      </w:pPr>
    </w:p>
    <w:p w14:paraId="4E2BA4FF">
      <w:pPr>
        <w:pStyle w:val="27"/>
        <w:tabs>
          <w:tab w:val="right" w:leader="dot" w:pos="8869"/>
        </w:tabs>
        <w:snapToGrid w:val="0"/>
        <w:spacing w:line="500" w:lineRule="atLeast"/>
        <w:ind w:firstLine="482"/>
        <w:rPr>
          <w:rFonts w:hint="eastAsia"/>
          <w:b/>
          <w:color w:val="auto"/>
          <w:sz w:val="24"/>
          <w:highlight w:val="none"/>
        </w:rPr>
      </w:pPr>
      <w:r>
        <w:rPr>
          <w:b/>
          <w:color w:val="auto"/>
          <w:sz w:val="24"/>
          <w:highlight w:val="none"/>
        </w:rPr>
        <w:fldChar w:fldCharType="begin"/>
      </w:r>
      <w:r>
        <w:rPr>
          <w:rFonts w:hint="eastAsia"/>
          <w:b/>
          <w:color w:val="auto"/>
          <w:sz w:val="24"/>
          <w:highlight w:val="none"/>
        </w:rPr>
        <w:instrText xml:space="preserve">TOC \o "1-3" \h \z \u</w:instrText>
      </w:r>
      <w:r>
        <w:rPr>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41"/>
          <w:rFonts w:hint="eastAsia"/>
          <w:b/>
          <w:color w:val="auto"/>
          <w:sz w:val="24"/>
          <w:highlight w:val="none"/>
        </w:rPr>
        <w:t>第一章竞争性磋商公告</w:t>
      </w:r>
      <w:r>
        <w:rPr>
          <w:b/>
          <w:color w:val="auto"/>
          <w:sz w:val="24"/>
          <w:highlight w:val="none"/>
        </w:rPr>
        <w:tab/>
      </w:r>
      <w:r>
        <w:rPr>
          <w:b/>
          <w:color w:val="auto"/>
          <w:sz w:val="24"/>
          <w:highlight w:val="none"/>
        </w:rPr>
        <w:fldChar w:fldCharType="begin"/>
      </w:r>
      <w:r>
        <w:rPr>
          <w:b/>
          <w:color w:val="auto"/>
          <w:sz w:val="24"/>
          <w:highlight w:val="none"/>
        </w:rPr>
        <w:instrText xml:space="preserve"> PAGEREF _Toc74323456 \h </w:instrText>
      </w:r>
      <w:r>
        <w:rPr>
          <w:b/>
          <w:color w:val="auto"/>
          <w:sz w:val="24"/>
          <w:highlight w:val="none"/>
        </w:rPr>
        <w:fldChar w:fldCharType="separate"/>
      </w:r>
      <w:r>
        <w:rPr>
          <w:b/>
          <w:color w:val="auto"/>
          <w:sz w:val="24"/>
          <w:highlight w:val="none"/>
        </w:rPr>
        <w:t>1</w:t>
      </w:r>
      <w:r>
        <w:rPr>
          <w:b/>
          <w:color w:val="auto"/>
          <w:sz w:val="24"/>
          <w:highlight w:val="none"/>
        </w:rPr>
        <w:fldChar w:fldCharType="end"/>
      </w:r>
      <w:r>
        <w:rPr>
          <w:b/>
          <w:color w:val="auto"/>
          <w:sz w:val="24"/>
          <w:highlight w:val="none"/>
        </w:rPr>
        <w:fldChar w:fldCharType="end"/>
      </w:r>
    </w:p>
    <w:p w14:paraId="7B65A632">
      <w:pPr>
        <w:pStyle w:val="27"/>
        <w:tabs>
          <w:tab w:val="right" w:leader="dot" w:pos="8869"/>
        </w:tabs>
        <w:snapToGrid w:val="0"/>
        <w:spacing w:line="500" w:lineRule="atLeast"/>
        <w:rPr>
          <w:rFonts w:hint="eastAsia"/>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41"/>
          <w:rFonts w:hint="eastAsia"/>
          <w:b/>
          <w:color w:val="auto"/>
          <w:sz w:val="24"/>
          <w:highlight w:val="none"/>
        </w:rPr>
        <w:t>第二章供应</w:t>
      </w:r>
      <w:bookmarkStart w:id="7" w:name="_Hlt82161237"/>
      <w:r>
        <w:rPr>
          <w:rStyle w:val="41"/>
          <w:rFonts w:hint="eastAsia"/>
          <w:b/>
          <w:color w:val="auto"/>
          <w:sz w:val="24"/>
          <w:highlight w:val="none"/>
        </w:rPr>
        <w:t>商</w:t>
      </w:r>
      <w:bookmarkEnd w:id="7"/>
      <w:r>
        <w:rPr>
          <w:rStyle w:val="41"/>
          <w:rFonts w:hint="eastAsia"/>
          <w:b/>
          <w:color w:val="auto"/>
          <w:sz w:val="24"/>
          <w:highlight w:val="none"/>
        </w:rPr>
        <w:t>须知</w:t>
      </w:r>
      <w:r>
        <w:rPr>
          <w:b/>
          <w:color w:val="auto"/>
          <w:sz w:val="24"/>
          <w:highlight w:val="none"/>
        </w:rPr>
        <w:tab/>
      </w:r>
      <w:r>
        <w:rPr>
          <w:b/>
          <w:color w:val="auto"/>
          <w:sz w:val="24"/>
          <w:highlight w:val="none"/>
        </w:rPr>
        <w:fldChar w:fldCharType="begin"/>
      </w:r>
      <w:r>
        <w:rPr>
          <w:b/>
          <w:color w:val="auto"/>
          <w:sz w:val="24"/>
          <w:highlight w:val="none"/>
        </w:rPr>
        <w:instrText xml:space="preserve"> PAGEREF _Toc74323457 \h </w:instrText>
      </w:r>
      <w:r>
        <w:rPr>
          <w:b/>
          <w:color w:val="auto"/>
          <w:sz w:val="24"/>
          <w:highlight w:val="none"/>
        </w:rPr>
        <w:fldChar w:fldCharType="separate"/>
      </w:r>
      <w:r>
        <w:rPr>
          <w:b/>
          <w:color w:val="auto"/>
          <w:sz w:val="24"/>
          <w:highlight w:val="none"/>
        </w:rPr>
        <w:t>5</w:t>
      </w:r>
      <w:r>
        <w:rPr>
          <w:b/>
          <w:color w:val="auto"/>
          <w:sz w:val="24"/>
          <w:highlight w:val="none"/>
        </w:rPr>
        <w:fldChar w:fldCharType="end"/>
      </w:r>
      <w:r>
        <w:rPr>
          <w:b/>
          <w:color w:val="auto"/>
          <w:sz w:val="24"/>
          <w:highlight w:val="none"/>
        </w:rPr>
        <w:fldChar w:fldCharType="end"/>
      </w:r>
    </w:p>
    <w:p w14:paraId="05A5CB06">
      <w:pPr>
        <w:pStyle w:val="27"/>
        <w:tabs>
          <w:tab w:val="right" w:leader="dot" w:pos="8869"/>
        </w:tabs>
        <w:snapToGrid w:val="0"/>
        <w:spacing w:line="500" w:lineRule="atLeast"/>
        <w:rPr>
          <w:rFonts w:hint="eastAsia"/>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41"/>
          <w:rFonts w:hint="eastAsia"/>
          <w:b/>
          <w:color w:val="auto"/>
          <w:sz w:val="24"/>
          <w:highlight w:val="none"/>
        </w:rPr>
        <w:t>第三章采购需</w:t>
      </w:r>
      <w:bookmarkStart w:id="8" w:name="_Hlt82166940"/>
      <w:r>
        <w:rPr>
          <w:rStyle w:val="41"/>
          <w:rFonts w:hint="eastAsia"/>
          <w:b/>
          <w:color w:val="auto"/>
          <w:sz w:val="24"/>
          <w:highlight w:val="none"/>
        </w:rPr>
        <w:t>求</w:t>
      </w:r>
      <w:bookmarkEnd w:id="8"/>
      <w:r>
        <w:rPr>
          <w:b/>
          <w:color w:val="auto"/>
          <w:sz w:val="24"/>
          <w:highlight w:val="none"/>
        </w:rPr>
        <w:tab/>
      </w:r>
      <w:r>
        <w:rPr>
          <w:b/>
          <w:color w:val="auto"/>
          <w:sz w:val="24"/>
          <w:highlight w:val="none"/>
        </w:rPr>
        <w:fldChar w:fldCharType="begin"/>
      </w:r>
      <w:r>
        <w:rPr>
          <w:b/>
          <w:color w:val="auto"/>
          <w:sz w:val="24"/>
          <w:highlight w:val="none"/>
        </w:rPr>
        <w:instrText xml:space="preserve"> PAGEREF _Toc74323458 \h </w:instrText>
      </w:r>
      <w:r>
        <w:rPr>
          <w:b/>
          <w:color w:val="auto"/>
          <w:sz w:val="24"/>
          <w:highlight w:val="none"/>
        </w:rPr>
        <w:fldChar w:fldCharType="separate"/>
      </w:r>
      <w:r>
        <w:rPr>
          <w:b/>
          <w:color w:val="auto"/>
          <w:sz w:val="24"/>
          <w:highlight w:val="none"/>
        </w:rPr>
        <w:t>26</w:t>
      </w:r>
      <w:r>
        <w:rPr>
          <w:b/>
          <w:color w:val="auto"/>
          <w:sz w:val="24"/>
          <w:highlight w:val="none"/>
        </w:rPr>
        <w:fldChar w:fldCharType="end"/>
      </w:r>
      <w:r>
        <w:rPr>
          <w:b/>
          <w:color w:val="auto"/>
          <w:sz w:val="24"/>
          <w:highlight w:val="none"/>
        </w:rPr>
        <w:fldChar w:fldCharType="end"/>
      </w:r>
    </w:p>
    <w:p w14:paraId="446A4639">
      <w:pPr>
        <w:pStyle w:val="27"/>
        <w:tabs>
          <w:tab w:val="right" w:leader="dot" w:pos="8869"/>
        </w:tabs>
        <w:snapToGrid w:val="0"/>
        <w:spacing w:line="500" w:lineRule="atLeast"/>
        <w:rPr>
          <w:rFonts w:hint="eastAsia"/>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41"/>
          <w:rFonts w:hint="eastAsia"/>
          <w:b/>
          <w:color w:val="auto"/>
          <w:sz w:val="24"/>
          <w:highlight w:val="none"/>
        </w:rPr>
        <w:t>第四章评审程序、</w:t>
      </w:r>
      <w:bookmarkStart w:id="9" w:name="_Hlt82166000"/>
      <w:r>
        <w:rPr>
          <w:rStyle w:val="41"/>
          <w:rFonts w:hint="eastAsia"/>
          <w:b/>
          <w:color w:val="auto"/>
          <w:sz w:val="24"/>
          <w:highlight w:val="none"/>
        </w:rPr>
        <w:t>评</w:t>
      </w:r>
      <w:bookmarkEnd w:id="9"/>
      <w:r>
        <w:rPr>
          <w:rStyle w:val="41"/>
          <w:rFonts w:hint="eastAsia"/>
          <w:b/>
          <w:color w:val="auto"/>
          <w:sz w:val="24"/>
          <w:highlight w:val="none"/>
        </w:rPr>
        <w:t>审方法和评审标准</w:t>
      </w:r>
      <w:r>
        <w:rPr>
          <w:b/>
          <w:color w:val="auto"/>
          <w:sz w:val="24"/>
          <w:highlight w:val="none"/>
        </w:rPr>
        <w:tab/>
      </w:r>
      <w:r>
        <w:rPr>
          <w:b/>
          <w:color w:val="auto"/>
          <w:sz w:val="24"/>
          <w:highlight w:val="none"/>
        </w:rPr>
        <w:fldChar w:fldCharType="begin"/>
      </w:r>
      <w:r>
        <w:rPr>
          <w:b/>
          <w:color w:val="auto"/>
          <w:sz w:val="24"/>
          <w:highlight w:val="none"/>
        </w:rPr>
        <w:instrText xml:space="preserve"> PAGEREF _Toc74323459 \h </w:instrText>
      </w:r>
      <w:r>
        <w:rPr>
          <w:b/>
          <w:color w:val="auto"/>
          <w:sz w:val="24"/>
          <w:highlight w:val="none"/>
        </w:rPr>
        <w:fldChar w:fldCharType="separate"/>
      </w:r>
      <w:r>
        <w:rPr>
          <w:b/>
          <w:color w:val="auto"/>
          <w:sz w:val="24"/>
          <w:highlight w:val="none"/>
        </w:rPr>
        <w:t>29</w:t>
      </w:r>
      <w:r>
        <w:rPr>
          <w:b/>
          <w:color w:val="auto"/>
          <w:sz w:val="24"/>
          <w:highlight w:val="none"/>
        </w:rPr>
        <w:fldChar w:fldCharType="end"/>
      </w:r>
      <w:r>
        <w:rPr>
          <w:b/>
          <w:color w:val="auto"/>
          <w:sz w:val="24"/>
          <w:highlight w:val="none"/>
        </w:rPr>
        <w:fldChar w:fldCharType="end"/>
      </w:r>
    </w:p>
    <w:p w14:paraId="3C14D685">
      <w:pPr>
        <w:pStyle w:val="27"/>
        <w:tabs>
          <w:tab w:val="right" w:leader="dot" w:pos="8869"/>
        </w:tabs>
        <w:snapToGrid w:val="0"/>
        <w:spacing w:line="500" w:lineRule="atLeast"/>
        <w:rPr>
          <w:rFonts w:hint="eastAsia"/>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41"/>
          <w:rFonts w:hint="eastAsia"/>
          <w:b/>
          <w:color w:val="auto"/>
          <w:sz w:val="24"/>
          <w:highlight w:val="none"/>
        </w:rPr>
        <w:t>第五章响应文件格式</w:t>
      </w:r>
      <w:r>
        <w:rPr>
          <w:b/>
          <w:color w:val="auto"/>
          <w:sz w:val="24"/>
          <w:highlight w:val="none"/>
        </w:rPr>
        <w:tab/>
      </w:r>
      <w:r>
        <w:rPr>
          <w:b/>
          <w:color w:val="auto"/>
          <w:sz w:val="24"/>
          <w:highlight w:val="none"/>
        </w:rPr>
        <w:fldChar w:fldCharType="begin"/>
      </w:r>
      <w:r>
        <w:rPr>
          <w:b/>
          <w:color w:val="auto"/>
          <w:sz w:val="24"/>
          <w:highlight w:val="none"/>
        </w:rPr>
        <w:instrText xml:space="preserve"> PAGEREF _Toc74323460 \h </w:instrText>
      </w:r>
      <w:r>
        <w:rPr>
          <w:b/>
          <w:color w:val="auto"/>
          <w:sz w:val="24"/>
          <w:highlight w:val="none"/>
        </w:rPr>
        <w:fldChar w:fldCharType="separate"/>
      </w:r>
      <w:r>
        <w:rPr>
          <w:b/>
          <w:color w:val="auto"/>
          <w:sz w:val="24"/>
          <w:highlight w:val="none"/>
        </w:rPr>
        <w:t>38</w:t>
      </w:r>
      <w:r>
        <w:rPr>
          <w:b/>
          <w:color w:val="auto"/>
          <w:sz w:val="24"/>
          <w:highlight w:val="none"/>
        </w:rPr>
        <w:fldChar w:fldCharType="end"/>
      </w:r>
      <w:r>
        <w:rPr>
          <w:b/>
          <w:color w:val="auto"/>
          <w:sz w:val="24"/>
          <w:highlight w:val="none"/>
        </w:rPr>
        <w:fldChar w:fldCharType="end"/>
      </w:r>
    </w:p>
    <w:p w14:paraId="06766FAE">
      <w:pPr>
        <w:pStyle w:val="27"/>
        <w:tabs>
          <w:tab w:val="right" w:leader="dot" w:pos="8869"/>
        </w:tabs>
        <w:snapToGrid w:val="0"/>
        <w:spacing w:line="500" w:lineRule="atLeast"/>
        <w:rPr>
          <w:rFonts w:hint="eastAsia"/>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41"/>
          <w:rFonts w:hint="eastAsia"/>
          <w:b/>
          <w:color w:val="auto"/>
          <w:sz w:val="24"/>
          <w:highlight w:val="none"/>
        </w:rPr>
        <w:t>第六章合同文本</w:t>
      </w:r>
      <w:r>
        <w:rPr>
          <w:b/>
          <w:color w:val="auto"/>
          <w:sz w:val="24"/>
          <w:highlight w:val="none"/>
        </w:rPr>
        <w:tab/>
      </w:r>
      <w:r>
        <w:rPr>
          <w:b/>
          <w:color w:val="auto"/>
          <w:sz w:val="24"/>
          <w:highlight w:val="none"/>
        </w:rPr>
        <w:fldChar w:fldCharType="begin"/>
      </w:r>
      <w:r>
        <w:rPr>
          <w:b/>
          <w:color w:val="auto"/>
          <w:sz w:val="24"/>
          <w:highlight w:val="none"/>
        </w:rPr>
        <w:instrText xml:space="preserve"> PAGEREF _Toc74323461 \h </w:instrText>
      </w:r>
      <w:r>
        <w:rPr>
          <w:b/>
          <w:color w:val="auto"/>
          <w:sz w:val="24"/>
          <w:highlight w:val="none"/>
        </w:rPr>
        <w:fldChar w:fldCharType="separate"/>
      </w:r>
      <w:r>
        <w:rPr>
          <w:b/>
          <w:color w:val="auto"/>
          <w:sz w:val="24"/>
          <w:highlight w:val="none"/>
        </w:rPr>
        <w:t>64</w:t>
      </w:r>
      <w:r>
        <w:rPr>
          <w:b/>
          <w:color w:val="auto"/>
          <w:sz w:val="24"/>
          <w:highlight w:val="none"/>
        </w:rPr>
        <w:fldChar w:fldCharType="end"/>
      </w:r>
      <w:r>
        <w:rPr>
          <w:b/>
          <w:color w:val="auto"/>
          <w:sz w:val="24"/>
          <w:highlight w:val="none"/>
        </w:rPr>
        <w:fldChar w:fldCharType="end"/>
      </w:r>
    </w:p>
    <w:p w14:paraId="08A72501">
      <w:pPr>
        <w:pStyle w:val="29"/>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0F435316">
      <w:pPr>
        <w:spacing w:line="400" w:lineRule="exact"/>
        <w:jc w:val="left"/>
        <w:rPr>
          <w:rFonts w:hint="eastAsia" w:ascii="宋体" w:hAnsi="宋体"/>
          <w:b/>
          <w:color w:val="auto"/>
          <w:sz w:val="32"/>
          <w:szCs w:val="32"/>
          <w:highlight w:val="none"/>
        </w:rPr>
      </w:pPr>
    </w:p>
    <w:p w14:paraId="24D71D8E">
      <w:pPr>
        <w:spacing w:line="400" w:lineRule="exact"/>
        <w:jc w:val="center"/>
        <w:rPr>
          <w:rFonts w:hint="eastAsia" w:ascii="宋体" w:hAnsi="宋体"/>
          <w:b/>
          <w:color w:val="auto"/>
          <w:sz w:val="32"/>
          <w:szCs w:val="32"/>
          <w:highlight w:val="none"/>
        </w:rPr>
      </w:pPr>
    </w:p>
    <w:p w14:paraId="6B958AA7">
      <w:pPr>
        <w:spacing w:line="400" w:lineRule="exact"/>
        <w:jc w:val="center"/>
        <w:rPr>
          <w:rFonts w:hint="eastAsia" w:ascii="宋体" w:hAnsi="宋体"/>
          <w:b/>
          <w:color w:val="auto"/>
          <w:sz w:val="32"/>
          <w:szCs w:val="32"/>
          <w:highlight w:val="none"/>
        </w:rPr>
      </w:pPr>
    </w:p>
    <w:p w14:paraId="62F5201A">
      <w:pPr>
        <w:spacing w:line="400" w:lineRule="exact"/>
        <w:jc w:val="center"/>
        <w:rPr>
          <w:rFonts w:hint="eastAsia" w:ascii="宋体" w:hAnsi="宋体"/>
          <w:b/>
          <w:color w:val="auto"/>
          <w:sz w:val="32"/>
          <w:szCs w:val="32"/>
          <w:highlight w:val="none"/>
        </w:rPr>
      </w:pPr>
    </w:p>
    <w:p w14:paraId="70DD73F6">
      <w:pPr>
        <w:spacing w:line="400" w:lineRule="exact"/>
        <w:jc w:val="center"/>
        <w:rPr>
          <w:rFonts w:hint="eastAsia" w:ascii="宋体" w:hAnsi="宋体"/>
          <w:b/>
          <w:color w:val="auto"/>
          <w:sz w:val="32"/>
          <w:szCs w:val="32"/>
          <w:highlight w:val="none"/>
        </w:rPr>
      </w:pPr>
    </w:p>
    <w:p w14:paraId="7AB6A17F">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4B5E6C2A">
      <w:pPr>
        <w:pStyle w:val="3"/>
        <w:jc w:val="center"/>
        <w:rPr>
          <w:color w:val="auto"/>
          <w:highlight w:val="none"/>
        </w:rPr>
      </w:pPr>
      <w:bookmarkStart w:id="10" w:name="_Toc74323456"/>
      <w:r>
        <w:rPr>
          <w:rFonts w:hint="eastAsia"/>
          <w:color w:val="auto"/>
          <w:highlight w:val="none"/>
        </w:rPr>
        <w:t>第一章竞争性磋商公告</w:t>
      </w:r>
      <w:bookmarkEnd w:id="10"/>
    </w:p>
    <w:p w14:paraId="006857CF">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竞争性磋商公告</w:t>
      </w:r>
    </w:p>
    <w:p w14:paraId="3DFD5DCA">
      <w:pPr>
        <w:spacing w:line="360" w:lineRule="auto"/>
        <w:rPr>
          <w:rFonts w:hint="eastAsia" w:ascii="宋体" w:hAnsi="宋体"/>
          <w:color w:val="auto"/>
          <w:szCs w:val="21"/>
          <w:highlight w:val="none"/>
        </w:rPr>
      </w:pPr>
    </w:p>
    <w:p w14:paraId="3C03F41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11" w:name="_Hlk37430271"/>
      <w:r>
        <w:rPr>
          <w:rFonts w:hint="eastAsia" w:ascii="宋体" w:hAnsi="宋体"/>
          <w:color w:val="auto"/>
          <w:szCs w:val="21"/>
          <w:highlight w:val="none"/>
        </w:rPr>
        <w:t>项目概况</w:t>
      </w:r>
    </w:p>
    <w:p w14:paraId="7EB6DE54">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政法干警人身意外伤害保险</w:t>
      </w:r>
      <w:r>
        <w:rPr>
          <w:rFonts w:hint="eastAsia" w:ascii="宋体" w:hAnsi="宋体"/>
          <w:color w:val="auto"/>
          <w:szCs w:val="21"/>
          <w:highlight w:val="none"/>
        </w:rPr>
        <w:t xml:space="preserve"> 采购项目的潜在供应商应在广西政府采购云平台（https://www.gcy.zfcg.gxzf.gov.cn/）获取（下载）竞争性磋商文件，并于</w:t>
      </w:r>
      <w:r>
        <w:rPr>
          <w:rFonts w:hint="eastAsia" w:ascii="宋体" w:hAnsi="宋体"/>
          <w:color w:val="auto"/>
          <w:szCs w:val="21"/>
          <w:highlight w:val="none"/>
          <w:u w:val="single"/>
        </w:rPr>
        <w:t>2</w:t>
      </w:r>
      <w:r>
        <w:rPr>
          <w:rFonts w:ascii="宋体" w:hAnsi="宋体"/>
          <w:color w:val="auto"/>
          <w:szCs w:val="21"/>
          <w:highlight w:val="none"/>
          <w:u w:val="single"/>
        </w:rPr>
        <w:t>02</w:t>
      </w:r>
      <w:r>
        <w:rPr>
          <w:rFonts w:hint="eastAsia" w:ascii="宋体" w:hAnsi="宋体"/>
          <w:color w:val="auto"/>
          <w:szCs w:val="21"/>
          <w:highlight w:val="none"/>
          <w:u w:val="single"/>
        </w:rPr>
        <w:t>5</w:t>
      </w:r>
      <w:r>
        <w:rPr>
          <w:rFonts w:hint="eastAsia" w:ascii="宋体" w:hAnsi="宋体"/>
          <w:bCs/>
          <w:color w:val="auto"/>
          <w:szCs w:val="21"/>
          <w:highlight w:val="none"/>
          <w:u w:val="single"/>
        </w:rPr>
        <w:t>年10月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487C3886">
      <w:pPr>
        <w:ind w:firstLine="354" w:firstLineChars="147"/>
        <w:rPr>
          <w:rFonts w:hint="eastAsia" w:ascii="黑体" w:hAnsi="黑体" w:eastAsia="黑体"/>
          <w:b/>
          <w:color w:val="auto"/>
          <w:sz w:val="24"/>
          <w:highlight w:val="none"/>
        </w:rPr>
      </w:pPr>
      <w:bookmarkStart w:id="12" w:name="_Toc28359012"/>
      <w:bookmarkStart w:id="13" w:name="_Toc71365905"/>
      <w:bookmarkStart w:id="14" w:name="_Toc44229878"/>
      <w:bookmarkStart w:id="15" w:name="_Toc28359089"/>
      <w:bookmarkStart w:id="16" w:name="_Toc35393629"/>
      <w:bookmarkStart w:id="17" w:name="_Toc35393798"/>
      <w:r>
        <w:rPr>
          <w:rFonts w:hint="eastAsia" w:ascii="黑体" w:hAnsi="黑体" w:eastAsia="黑体"/>
          <w:b/>
          <w:color w:val="auto"/>
          <w:sz w:val="24"/>
          <w:highlight w:val="none"/>
        </w:rPr>
        <w:t>一、项目基本情况</w:t>
      </w:r>
      <w:bookmarkEnd w:id="12"/>
      <w:bookmarkEnd w:id="13"/>
      <w:bookmarkEnd w:id="14"/>
      <w:bookmarkEnd w:id="15"/>
      <w:bookmarkEnd w:id="16"/>
      <w:bookmarkEnd w:id="17"/>
    </w:p>
    <w:p w14:paraId="609137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GXZC2025-C3-003060-GDZB</w:t>
      </w:r>
      <w:r>
        <w:rPr>
          <w:rFonts w:hint="eastAsia" w:ascii="宋体" w:hAnsi="宋体"/>
          <w:color w:val="auto"/>
          <w:szCs w:val="21"/>
          <w:highlight w:val="none"/>
        </w:rPr>
        <w:t>（政府采购计划编号：</w:t>
      </w:r>
      <w:r>
        <w:rPr>
          <w:rFonts w:hint="eastAsia" w:ascii="宋体" w:hAnsi="宋体"/>
          <w:color w:val="auto"/>
          <w:szCs w:val="21"/>
          <w:highlight w:val="none"/>
        </w:rPr>
        <w:t>广西政采[2025]19177号-001、广西政采[2025]19177号-002</w:t>
      </w:r>
      <w:r>
        <w:rPr>
          <w:rFonts w:hint="eastAsia" w:ascii="宋体" w:hAnsi="宋体"/>
          <w:color w:val="auto"/>
          <w:szCs w:val="21"/>
          <w:highlight w:val="none"/>
        </w:rPr>
        <w:t>号）</w:t>
      </w:r>
    </w:p>
    <w:p w14:paraId="3E17C7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项目名称：政法干警人身意外伤害保险</w:t>
      </w:r>
    </w:p>
    <w:p w14:paraId="314709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0D4D1C7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预算金额：</w:t>
      </w:r>
      <w:r>
        <w:rPr>
          <w:rFonts w:hint="eastAsia" w:ascii="宋体" w:hAnsi="宋体"/>
          <w:color w:val="auto"/>
          <w:szCs w:val="21"/>
          <w:highlight w:val="none"/>
          <w:lang w:eastAsia="zh-CN"/>
        </w:rPr>
        <w:t>185.00万元</w:t>
      </w:r>
    </w:p>
    <w:p w14:paraId="62497FF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w:t>
      </w:r>
      <w:r>
        <w:rPr>
          <w:rFonts w:hint="eastAsia" w:ascii="宋体" w:hAnsi="宋体"/>
          <w:color w:val="auto"/>
          <w:szCs w:val="21"/>
          <w:highlight w:val="none"/>
          <w:lang w:eastAsia="zh-CN"/>
        </w:rPr>
        <w:t>185.00万元</w:t>
      </w:r>
    </w:p>
    <w:p w14:paraId="38BEB07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tbl>
      <w:tblPr>
        <w:tblStyle w:val="34"/>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85"/>
        <w:gridCol w:w="850"/>
        <w:gridCol w:w="5103"/>
      </w:tblGrid>
      <w:tr w14:paraId="321D9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0684DCF7">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u w:val="single"/>
              </w:rPr>
              <w:t>/</w:t>
            </w:r>
            <w:r>
              <w:rPr>
                <w:rFonts w:hint="eastAsia" w:ascii="宋体" w:hAnsi="宋体"/>
                <w:color w:val="auto"/>
                <w:szCs w:val="21"/>
                <w:highlight w:val="none"/>
              </w:rPr>
              <w:t>分标；预算金额：</w:t>
            </w:r>
            <w:r>
              <w:rPr>
                <w:rFonts w:hint="eastAsia" w:ascii="宋体" w:hAnsi="宋体"/>
                <w:color w:val="auto"/>
                <w:szCs w:val="21"/>
                <w:highlight w:val="none"/>
                <w:lang w:eastAsia="zh-CN"/>
              </w:rPr>
              <w:t>185.00万元</w:t>
            </w:r>
          </w:p>
        </w:tc>
      </w:tr>
      <w:tr w14:paraId="6B7BB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50565B2">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2B1B2E70">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14:paraId="4CD1512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数量及</w:t>
            </w:r>
          </w:p>
          <w:p w14:paraId="15245164">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5103" w:type="dxa"/>
            <w:tcBorders>
              <w:top w:val="single" w:color="auto" w:sz="4" w:space="0"/>
              <w:left w:val="single" w:color="auto" w:sz="4" w:space="0"/>
              <w:bottom w:val="single" w:color="auto" w:sz="4" w:space="0"/>
              <w:right w:val="single" w:color="auto" w:sz="4" w:space="0"/>
            </w:tcBorders>
            <w:vAlign w:val="center"/>
          </w:tcPr>
          <w:p w14:paraId="2D533096">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简要技术需求或者服务要求</w:t>
            </w:r>
          </w:p>
        </w:tc>
      </w:tr>
      <w:tr w14:paraId="6D6EE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4A973C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985" w:type="dxa"/>
            <w:tcBorders>
              <w:top w:val="single" w:color="auto" w:sz="4" w:space="0"/>
              <w:left w:val="single" w:color="auto" w:sz="4" w:space="0"/>
              <w:bottom w:val="single" w:color="auto" w:sz="4" w:space="0"/>
              <w:right w:val="single" w:color="auto" w:sz="4" w:space="0"/>
            </w:tcBorders>
            <w:vAlign w:val="center"/>
          </w:tcPr>
          <w:p w14:paraId="73CA713A">
            <w:pPr>
              <w:pStyle w:val="117"/>
              <w:ind w:firstLine="0" w:firstLineChars="0"/>
              <w:rPr>
                <w:color w:val="auto"/>
                <w:szCs w:val="21"/>
                <w:highlight w:val="none"/>
              </w:rPr>
            </w:pPr>
            <w:r>
              <w:rPr>
                <w:rFonts w:hint="eastAsia"/>
                <w:color w:val="auto"/>
                <w:szCs w:val="21"/>
                <w:highlight w:val="none"/>
              </w:rPr>
              <w:t>政法干警人身意外伤害保险</w:t>
            </w:r>
          </w:p>
        </w:tc>
        <w:tc>
          <w:tcPr>
            <w:tcW w:w="850" w:type="dxa"/>
            <w:tcBorders>
              <w:top w:val="single" w:color="auto" w:sz="4" w:space="0"/>
              <w:left w:val="single" w:color="auto" w:sz="4" w:space="0"/>
              <w:bottom w:val="single" w:color="auto" w:sz="4" w:space="0"/>
              <w:right w:val="single" w:color="auto" w:sz="4" w:space="0"/>
            </w:tcBorders>
            <w:vAlign w:val="center"/>
          </w:tcPr>
          <w:p w14:paraId="3866AE2A">
            <w:pPr>
              <w:pStyle w:val="117"/>
              <w:ind w:firstLine="0" w:firstLineChars="0"/>
              <w:jc w:val="center"/>
              <w:rPr>
                <w:color w:val="auto"/>
                <w:szCs w:val="21"/>
                <w:highlight w:val="none"/>
              </w:rPr>
            </w:pPr>
            <w:r>
              <w:rPr>
                <w:rFonts w:hint="eastAsia"/>
                <w:color w:val="auto"/>
                <w:szCs w:val="21"/>
                <w:highlight w:val="none"/>
                <w:lang w:eastAsia="zh-CN"/>
              </w:rPr>
              <w:t>18500</w:t>
            </w:r>
            <w:r>
              <w:rPr>
                <w:rFonts w:hint="eastAsia"/>
                <w:color w:val="auto"/>
                <w:szCs w:val="21"/>
                <w:highlight w:val="none"/>
              </w:rPr>
              <w:t>人</w:t>
            </w:r>
          </w:p>
        </w:tc>
        <w:tc>
          <w:tcPr>
            <w:tcW w:w="5103" w:type="dxa"/>
            <w:tcBorders>
              <w:top w:val="single" w:color="auto" w:sz="4" w:space="0"/>
              <w:left w:val="single" w:color="auto" w:sz="4" w:space="0"/>
              <w:bottom w:val="single" w:color="auto" w:sz="4" w:space="0"/>
              <w:right w:val="single" w:color="auto" w:sz="4" w:space="0"/>
            </w:tcBorders>
            <w:vAlign w:val="center"/>
          </w:tcPr>
          <w:p w14:paraId="563450E8">
            <w:pPr>
              <w:tabs>
                <w:tab w:val="left" w:pos="180"/>
                <w:tab w:val="left" w:pos="162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赔偿条件和标准</w:t>
            </w:r>
          </w:p>
          <w:p w14:paraId="3010B158">
            <w:pPr>
              <w:tabs>
                <w:tab w:val="left" w:pos="180"/>
                <w:tab w:val="left" w:pos="162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1、意外事故伤害导致的身故的，赔偿保险金额15万元；意外事故伤害导致的残疾赔付最高15万元；被评为革命烈士的，赔偿保险金额20万元。</w:t>
            </w:r>
          </w:p>
          <w:p w14:paraId="0B704760">
            <w:pPr>
              <w:snapToGrid w:val="0"/>
              <w:spacing w:line="360" w:lineRule="auto"/>
              <w:rPr>
                <w:rFonts w:hint="eastAsia" w:ascii="宋体" w:hAnsi="宋体"/>
                <w:color w:val="auto"/>
                <w:szCs w:val="21"/>
                <w:highlight w:val="none"/>
              </w:rPr>
            </w:pPr>
            <w:r>
              <w:rPr>
                <w:rFonts w:ascii="宋体" w:hAnsi="宋体"/>
                <w:color w:val="auto"/>
                <w:szCs w:val="21"/>
                <w:highlight w:val="none"/>
              </w:rPr>
              <w:t>……</w:t>
            </w:r>
          </w:p>
        </w:tc>
      </w:tr>
    </w:tbl>
    <w:p w14:paraId="53E752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b/>
          <w:color w:val="auto"/>
          <w:kern w:val="0"/>
          <w:highlight w:val="none"/>
        </w:rPr>
        <w:t>本项目服务期为自签定合同之日起</w:t>
      </w:r>
      <w:r>
        <w:rPr>
          <w:b/>
          <w:color w:val="auto"/>
          <w:kern w:val="0"/>
          <w:highlight w:val="none"/>
        </w:rPr>
        <w:t>1</w:t>
      </w:r>
      <w:r>
        <w:rPr>
          <w:rFonts w:hint="eastAsia"/>
          <w:b/>
          <w:color w:val="auto"/>
          <w:kern w:val="0"/>
          <w:highlight w:val="none"/>
        </w:rPr>
        <w:t>年</w:t>
      </w:r>
    </w:p>
    <w:p w14:paraId="6C651B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本项目（是</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否</w:t>
      </w:r>
      <w:r>
        <w:rPr>
          <w:rFonts w:hint="eastAsia" w:ascii="宋体" w:hAnsi="宋体"/>
          <w:color w:val="auto"/>
          <w:szCs w:val="21"/>
          <w:highlight w:val="none"/>
        </w:rPr>
        <w:t>）接受联合体</w:t>
      </w:r>
    </w:p>
    <w:p w14:paraId="7DEE088C">
      <w:pPr>
        <w:ind w:firstLine="354" w:firstLineChars="147"/>
        <w:rPr>
          <w:rFonts w:hint="eastAsia" w:ascii="黑体" w:hAnsi="黑体" w:eastAsia="黑体"/>
          <w:b/>
          <w:color w:val="auto"/>
          <w:sz w:val="24"/>
          <w:highlight w:val="none"/>
        </w:rPr>
      </w:pPr>
      <w:bookmarkStart w:id="18" w:name="_Toc28359090"/>
      <w:bookmarkStart w:id="19" w:name="_Toc35393630"/>
      <w:bookmarkStart w:id="20" w:name="_Toc35393799"/>
      <w:bookmarkStart w:id="21" w:name="_Toc71365906"/>
      <w:bookmarkStart w:id="22" w:name="_Toc44229879"/>
      <w:bookmarkStart w:id="23" w:name="_Toc28359013"/>
      <w:r>
        <w:rPr>
          <w:rFonts w:hint="eastAsia" w:ascii="黑体" w:hAnsi="黑体" w:eastAsia="黑体"/>
          <w:b/>
          <w:color w:val="auto"/>
          <w:sz w:val="24"/>
          <w:highlight w:val="none"/>
        </w:rPr>
        <w:t>二、申请人的资格条件：</w:t>
      </w:r>
      <w:bookmarkEnd w:id="18"/>
      <w:bookmarkEnd w:id="19"/>
      <w:bookmarkEnd w:id="20"/>
      <w:bookmarkEnd w:id="21"/>
      <w:bookmarkEnd w:id="22"/>
      <w:bookmarkEnd w:id="23"/>
    </w:p>
    <w:p w14:paraId="2FCAE9F5">
      <w:pPr>
        <w:spacing w:line="360" w:lineRule="auto"/>
        <w:ind w:firstLine="420" w:firstLineChars="200"/>
        <w:rPr>
          <w:rFonts w:hint="eastAsia" w:ascii="宋体" w:hAnsi="宋体"/>
          <w:color w:val="auto"/>
          <w:szCs w:val="21"/>
          <w:highlight w:val="none"/>
        </w:rPr>
      </w:pPr>
      <w:bookmarkStart w:id="24" w:name="_Toc44229880"/>
      <w:bookmarkStart w:id="25" w:name="_Toc28359091"/>
      <w:bookmarkStart w:id="26" w:name="_Toc35393631"/>
      <w:bookmarkStart w:id="27" w:name="_Toc28359014"/>
      <w:bookmarkStart w:id="28" w:name="_Toc35393800"/>
      <w:r>
        <w:rPr>
          <w:rFonts w:hint="eastAsia" w:ascii="宋体" w:hAnsi="宋体"/>
          <w:color w:val="auto"/>
          <w:szCs w:val="21"/>
          <w:highlight w:val="none"/>
        </w:rPr>
        <w:t>1.满足《中华人民共和国政府采购法》第二十二条规定；</w:t>
      </w:r>
    </w:p>
    <w:p w14:paraId="167E22AA">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00049241">
      <w:pPr>
        <w:spacing w:line="320" w:lineRule="exact"/>
        <w:ind w:firstLine="420" w:firstLineChars="200"/>
        <w:rPr>
          <w:rFonts w:hint="eastAsia" w:ascii="宋体" w:hAnsi="宋体"/>
          <w:color w:val="auto"/>
          <w:highlight w:val="none"/>
        </w:rPr>
      </w:pPr>
      <w:r>
        <w:rPr>
          <w:rFonts w:hint="eastAsia" w:ascii="宋体" w:hAnsi="宋体"/>
          <w:color w:val="auto"/>
          <w:szCs w:val="21"/>
          <w:highlight w:val="none"/>
        </w:rPr>
        <w:t>3.本项目的特定资格要求：</w:t>
      </w:r>
      <w:bookmarkStart w:id="29" w:name="_Toc71365907"/>
      <w:r>
        <w:rPr>
          <w:rFonts w:hint="eastAsia" w:ascii="宋体" w:hAnsi="宋体"/>
          <w:color w:val="auto"/>
          <w:szCs w:val="21"/>
          <w:highlight w:val="none"/>
        </w:rPr>
        <w:t>须为经国家保险监督管理机构批准（具备有效的“经营保险业务许可证”），具有在广西辖区内经营本次采购险种业务资格的保险机构。</w:t>
      </w:r>
    </w:p>
    <w:p w14:paraId="4A6B6775">
      <w:pPr>
        <w:spacing w:line="360" w:lineRule="auto"/>
        <w:ind w:firstLine="482" w:firstLineChars="200"/>
        <w:rPr>
          <w:rFonts w:hint="eastAsia"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24"/>
      <w:bookmarkEnd w:id="25"/>
      <w:bookmarkEnd w:id="26"/>
      <w:bookmarkEnd w:id="27"/>
      <w:bookmarkEnd w:id="28"/>
      <w:bookmarkEnd w:id="29"/>
    </w:p>
    <w:p w14:paraId="156CD4EA">
      <w:pPr>
        <w:spacing w:line="360" w:lineRule="auto"/>
        <w:ind w:firstLine="420" w:firstLineChars="200"/>
        <w:rPr>
          <w:rFonts w:hint="eastAsia" w:ascii="宋体" w:hAnsi="宋体" w:cs="宋体"/>
          <w:bCs/>
          <w:color w:val="auto"/>
          <w:kern w:val="0"/>
          <w:szCs w:val="21"/>
          <w:highlight w:val="none"/>
        </w:rPr>
      </w:pPr>
      <w:bookmarkStart w:id="30" w:name="_Toc28359015"/>
      <w:bookmarkStart w:id="31" w:name="_Toc35393801"/>
      <w:bookmarkStart w:id="32" w:name="_Toc44229881"/>
      <w:bookmarkStart w:id="33" w:name="_Toc28359092"/>
      <w:bookmarkStart w:id="34" w:name="_Toc35393632"/>
      <w:r>
        <w:rPr>
          <w:rFonts w:hint="eastAsia" w:ascii="宋体" w:hAnsi="宋体" w:cs="宋体"/>
          <w:bCs/>
          <w:color w:val="auto"/>
          <w:kern w:val="0"/>
          <w:szCs w:val="21"/>
          <w:highlight w:val="none"/>
        </w:rPr>
        <w:t>时间：</w:t>
      </w:r>
      <w:r>
        <w:rPr>
          <w:rFonts w:ascii="宋体" w:hAnsi="宋体"/>
          <w:bCs/>
          <w:color w:val="auto"/>
          <w:szCs w:val="21"/>
          <w:highlight w:val="none"/>
          <w:u w:val="single"/>
        </w:rPr>
        <w:t>202</w:t>
      </w:r>
      <w:r>
        <w:rPr>
          <w:rFonts w:hint="eastAsia" w:ascii="宋体" w:hAnsi="宋体"/>
          <w:bCs/>
          <w:color w:val="auto"/>
          <w:szCs w:val="21"/>
          <w:highlight w:val="none"/>
          <w:u w:val="single"/>
        </w:rPr>
        <w:t>5年10月</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至</w:t>
      </w:r>
      <w:r>
        <w:rPr>
          <w:rFonts w:ascii="宋体" w:hAnsi="宋体"/>
          <w:bCs/>
          <w:color w:val="auto"/>
          <w:szCs w:val="21"/>
          <w:highlight w:val="none"/>
          <w:u w:val="single"/>
        </w:rPr>
        <w:t>202</w:t>
      </w:r>
      <w:r>
        <w:rPr>
          <w:rFonts w:hint="eastAsia" w:ascii="宋体" w:hAnsi="宋体"/>
          <w:bCs/>
          <w:color w:val="auto"/>
          <w:szCs w:val="21"/>
          <w:highlight w:val="none"/>
          <w:u w:val="single"/>
        </w:rPr>
        <w:t>5年10月</w:t>
      </w:r>
      <w:r>
        <w:rPr>
          <w:rFonts w:hint="eastAsia" w:ascii="宋体" w:hAnsi="宋体"/>
          <w:bCs/>
          <w:color w:val="auto"/>
          <w:szCs w:val="21"/>
          <w:highlight w:val="none"/>
          <w:u w:val="single"/>
          <w:lang w:val="en-US" w:eastAsia="zh-CN"/>
        </w:rPr>
        <w:t>22</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，每天上午</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u w:val="single"/>
        </w:rPr>
        <w:t>：</w:t>
      </w:r>
      <w:r>
        <w:rPr>
          <w:rFonts w:ascii="宋体" w:hAnsi="宋体" w:cs="宋体"/>
          <w:bCs/>
          <w:color w:val="auto"/>
          <w:kern w:val="0"/>
          <w:szCs w:val="21"/>
          <w:highlight w:val="none"/>
          <w:u w:val="single"/>
        </w:rPr>
        <w:t>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u w:val="single"/>
        </w:rPr>
        <w:t>　</w:t>
      </w:r>
      <w:r>
        <w:rPr>
          <w:rFonts w:hint="eastAsia" w:ascii="宋体" w:hAnsi="宋体" w:cs="宋体"/>
          <w:bCs/>
          <w:color w:val="auto"/>
          <w:kern w:val="0"/>
          <w:szCs w:val="21"/>
          <w:highlight w:val="none"/>
        </w:rPr>
        <w:t>，下午</w:t>
      </w:r>
      <w:r>
        <w:rPr>
          <w:rFonts w:ascii="宋体" w:hAnsi="宋体" w:cs="宋体"/>
          <w:bCs/>
          <w:color w:val="auto"/>
          <w:kern w:val="0"/>
          <w:szCs w:val="21"/>
          <w:highlight w:val="none"/>
          <w:u w:val="single"/>
        </w:rPr>
        <w:t>12</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u w:val="single"/>
        </w:rPr>
        <w:t>　</w:t>
      </w:r>
      <w:r>
        <w:rPr>
          <w:rFonts w:hint="eastAsia" w:ascii="宋体" w:hAnsi="宋体" w:cs="宋体"/>
          <w:bCs/>
          <w:color w:val="auto"/>
          <w:kern w:val="0"/>
          <w:szCs w:val="21"/>
          <w:highlight w:val="none"/>
        </w:rPr>
        <w:t>至</w:t>
      </w:r>
      <w:r>
        <w:rPr>
          <w:rFonts w:ascii="宋体" w:hAnsi="宋体" w:cs="宋体"/>
          <w:bCs/>
          <w:color w:val="auto"/>
          <w:kern w:val="0"/>
          <w:szCs w:val="21"/>
          <w:highlight w:val="none"/>
          <w:u w:val="single"/>
        </w:rPr>
        <w:t>23</w:t>
      </w:r>
      <w:r>
        <w:rPr>
          <w:rFonts w:hint="eastAsia" w:ascii="宋体" w:hAnsi="宋体" w:cs="宋体"/>
          <w:bCs/>
          <w:color w:val="auto"/>
          <w:kern w:val="0"/>
          <w:szCs w:val="21"/>
          <w:highlight w:val="none"/>
          <w:u w:val="single"/>
        </w:rPr>
        <w:t>:</w:t>
      </w:r>
      <w:r>
        <w:rPr>
          <w:rFonts w:ascii="宋体" w:hAnsi="宋体" w:cs="宋体"/>
          <w:bCs/>
          <w:color w:val="auto"/>
          <w:kern w:val="0"/>
          <w:szCs w:val="21"/>
          <w:highlight w:val="none"/>
          <w:u w:val="single"/>
        </w:rPr>
        <w:t>59</w:t>
      </w:r>
      <w:r>
        <w:rPr>
          <w:rFonts w:hint="eastAsia" w:ascii="宋体" w:hAnsi="宋体" w:cs="宋体"/>
          <w:bCs/>
          <w:color w:val="auto"/>
          <w:kern w:val="0"/>
          <w:szCs w:val="21"/>
          <w:highlight w:val="none"/>
          <w:u w:val="single"/>
        </w:rPr>
        <w:t>　</w:t>
      </w:r>
      <w:r>
        <w:rPr>
          <w:rFonts w:hint="eastAsia" w:ascii="宋体" w:hAnsi="宋体" w:cs="宋体"/>
          <w:bCs/>
          <w:color w:val="auto"/>
          <w:kern w:val="0"/>
          <w:szCs w:val="21"/>
          <w:highlight w:val="none"/>
        </w:rPr>
        <w:t>（北京时间）</w:t>
      </w:r>
    </w:p>
    <w:p w14:paraId="0B30DB72">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6C5F4DFF">
      <w:pPr>
        <w:spacing w:line="360" w:lineRule="auto"/>
        <w:ind w:firstLine="420" w:firstLineChars="200"/>
        <w:rPr>
          <w:rFonts w:ascii="Arial" w:hAnsi="Arial" w:cs="Arial"/>
          <w:color w:val="auto"/>
          <w:kern w:val="0"/>
          <w:szCs w:val="21"/>
          <w:highlight w:val="none"/>
        </w:rPr>
      </w:pPr>
      <w:bookmarkStart w:id="35" w:name="_Toc71365908"/>
      <w:r>
        <w:rPr>
          <w:rFonts w:hint="eastAsia" w:ascii="宋体" w:hAnsi="宋体"/>
          <w:color w:val="auto"/>
          <w:szCs w:val="21"/>
          <w:highlight w:val="none"/>
        </w:rPr>
        <w:t>获取方式:网上下载。本项目不发放纸质采购文件，</w:t>
      </w:r>
      <w:r>
        <w:rPr>
          <w:rFonts w:hint="eastAsia" w:ascii="宋体" w:hAnsi="宋体" w:cs="宋体"/>
          <w:bCs/>
          <w:color w:val="auto"/>
          <w:kern w:val="0"/>
          <w:szCs w:val="21"/>
          <w:highlight w:val="none"/>
        </w:rPr>
        <w:t>潜在</w:t>
      </w:r>
      <w:r>
        <w:rPr>
          <w:rFonts w:hint="eastAsia" w:ascii="宋体" w:hAnsi="宋体"/>
          <w:color w:val="auto"/>
          <w:szCs w:val="21"/>
          <w:highlight w:val="none"/>
        </w:rPr>
        <w:t>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广西政府采购云平台（https://www.gcy.zfcg.gxzf.gov.cn/）下载采购文件（操作路径：登录广西政府采购云平台-项目采购-获取采购文件-找到本项目-点击“申请获取采购文件”，</w:t>
      </w:r>
      <w:r>
        <w:rPr>
          <w:rFonts w:hint="eastAsia" w:ascii="Arial" w:hAnsi="Arial" w:cs="Arial"/>
          <w:color w:val="auto"/>
          <w:kern w:val="0"/>
          <w:szCs w:val="21"/>
          <w:highlight w:val="none"/>
        </w:rPr>
        <w:t>并按系统操作获取磋商文件（或在“广西政府采购云平台电子投标客户端</w:t>
      </w:r>
      <w:r>
        <w:rPr>
          <w:rFonts w:ascii="Arial" w:hAnsi="Arial" w:cs="Arial"/>
          <w:color w:val="auto"/>
          <w:kern w:val="0"/>
          <w:szCs w:val="21"/>
          <w:highlight w:val="none"/>
        </w:rPr>
        <w:t>-</w:t>
      </w:r>
      <w:r>
        <w:rPr>
          <w:rFonts w:hint="eastAsia" w:ascii="Arial" w:hAnsi="Arial" w:cs="Arial"/>
          <w:color w:val="auto"/>
          <w:kern w:val="0"/>
          <w:szCs w:val="21"/>
          <w:highlight w:val="none"/>
        </w:rPr>
        <w:t>获取采购文件”跳转到广西政府采购云平台系统获取）。</w:t>
      </w:r>
      <w:r>
        <w:rPr>
          <w:rFonts w:hint="eastAsia"/>
          <w:color w:val="auto"/>
          <w:spacing w:val="13"/>
          <w:highlight w:val="none"/>
        </w:rPr>
        <w:t>未注册的供应商可在广西政府采购云平台完成注册后再行报名。如在操作过程中遇到问题或需技术支持，请致广西政府采购云平台客服热线：95763。提示：磋商公告附件内的磋商采购文件（如有）仅供阅览使用；供应商只有在“广西政府采购云平台”完成获取采购磋商文件申请并下载了采购磋商文件后才视作依法获取采购磋商文件（法律法规所指的供应商获取采购磋商文件时间以供应商完成获取采购磋商文件申请后下载采购磋商文件的时间为准）。</w:t>
      </w:r>
      <w:r>
        <w:rPr>
          <w:rFonts w:hint="eastAsia" w:ascii="Arial" w:hAnsi="Arial" w:cs="Arial"/>
          <w:color w:val="auto"/>
          <w:kern w:val="0"/>
          <w:szCs w:val="21"/>
          <w:highlight w:val="none"/>
        </w:rPr>
        <w:t>电子响应文件制作需要基于广西政府采购云平台获取的采购文件编制，通过其他方式获取采购文件的，将有可能导致供应商无法在广西政府采购云平台平台编制及上传响应文件。</w:t>
      </w:r>
    </w:p>
    <w:p w14:paraId="1F40289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采购文件售价：</w:t>
      </w:r>
      <w:r>
        <w:rPr>
          <w:rFonts w:ascii="宋体" w:hAnsi="宋体"/>
          <w:color w:val="auto"/>
          <w:szCs w:val="21"/>
          <w:highlight w:val="none"/>
        </w:rPr>
        <w:t>0</w:t>
      </w:r>
      <w:r>
        <w:rPr>
          <w:rFonts w:hint="eastAsia" w:ascii="宋体" w:hAnsi="宋体"/>
          <w:color w:val="auto"/>
          <w:szCs w:val="21"/>
          <w:highlight w:val="none"/>
        </w:rPr>
        <w:t>元。</w:t>
      </w:r>
    </w:p>
    <w:p w14:paraId="7B614978">
      <w:pPr>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四、响应文件提交</w:t>
      </w:r>
      <w:bookmarkEnd w:id="30"/>
      <w:bookmarkEnd w:id="31"/>
      <w:bookmarkEnd w:id="32"/>
      <w:bookmarkEnd w:id="33"/>
      <w:bookmarkEnd w:id="34"/>
      <w:bookmarkEnd w:id="35"/>
    </w:p>
    <w:p w14:paraId="5E4C7807">
      <w:pPr>
        <w:spacing w:line="360" w:lineRule="auto"/>
        <w:ind w:firstLine="420" w:firstLineChars="200"/>
        <w:rPr>
          <w:rFonts w:hint="eastAsia" w:ascii="宋体" w:hAnsi="宋体"/>
          <w:bCs/>
          <w:color w:val="auto"/>
          <w:szCs w:val="21"/>
          <w:highlight w:val="none"/>
        </w:rPr>
      </w:pPr>
      <w:bookmarkStart w:id="36" w:name="_Toc35393633"/>
      <w:bookmarkStart w:id="37" w:name="_Toc28359093"/>
      <w:bookmarkStart w:id="38" w:name="_Toc28359016"/>
      <w:bookmarkStart w:id="39" w:name="_Toc44229882"/>
      <w:bookmarkStart w:id="40" w:name="_Toc35393802"/>
      <w:r>
        <w:rPr>
          <w:rFonts w:hint="eastAsia" w:ascii="宋体" w:hAnsi="宋体"/>
          <w:color w:val="auto"/>
          <w:szCs w:val="21"/>
          <w:highlight w:val="none"/>
        </w:rPr>
        <w:t>截止时间：</w:t>
      </w:r>
      <w:r>
        <w:rPr>
          <w:rFonts w:ascii="宋体" w:hAnsi="宋体"/>
          <w:bCs/>
          <w:color w:val="auto"/>
          <w:szCs w:val="21"/>
          <w:highlight w:val="none"/>
        </w:rPr>
        <w:t>202</w:t>
      </w:r>
      <w:r>
        <w:rPr>
          <w:rFonts w:hint="eastAsia" w:ascii="宋体" w:hAnsi="宋体"/>
          <w:bCs/>
          <w:color w:val="auto"/>
          <w:szCs w:val="21"/>
          <w:highlight w:val="none"/>
        </w:rPr>
        <w:t>5年10月</w:t>
      </w:r>
      <w:r>
        <w:rPr>
          <w:rFonts w:hint="eastAsia" w:ascii="宋体" w:hAnsi="宋体"/>
          <w:bCs/>
          <w:color w:val="auto"/>
          <w:szCs w:val="21"/>
          <w:highlight w:val="none"/>
          <w:lang w:val="en-US" w:eastAsia="zh-CN"/>
        </w:rPr>
        <w:t>27</w:t>
      </w:r>
      <w:r>
        <w:rPr>
          <w:rFonts w:hint="eastAsia" w:ascii="宋体" w:hAnsi="宋体"/>
          <w:bCs/>
          <w:color w:val="auto"/>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时</w:t>
      </w:r>
      <w:r>
        <w:rPr>
          <w:rFonts w:hint="eastAsia" w:ascii="宋体" w:hAnsi="宋体"/>
          <w:bCs/>
          <w:color w:val="auto"/>
          <w:szCs w:val="21"/>
          <w:highlight w:val="none"/>
          <w:lang w:val="en-US" w:eastAsia="zh-CN"/>
        </w:rPr>
        <w:t>00</w:t>
      </w:r>
      <w:r>
        <w:rPr>
          <w:rFonts w:hint="eastAsia" w:ascii="宋体" w:hAnsi="宋体"/>
          <w:bCs/>
          <w:color w:val="auto"/>
          <w:szCs w:val="21"/>
          <w:highlight w:val="none"/>
        </w:rPr>
        <w:t>分（北京时间）</w:t>
      </w:r>
    </w:p>
    <w:p w14:paraId="36A5931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0907A395">
      <w:pPr>
        <w:ind w:firstLine="354" w:firstLineChars="147"/>
        <w:rPr>
          <w:rFonts w:hint="eastAsia" w:ascii="黑体" w:hAnsi="黑体" w:eastAsia="黑体"/>
          <w:b/>
          <w:color w:val="auto"/>
          <w:sz w:val="24"/>
          <w:highlight w:val="none"/>
        </w:rPr>
      </w:pPr>
      <w:bookmarkStart w:id="41" w:name="_Toc71365909"/>
      <w:r>
        <w:rPr>
          <w:rFonts w:hint="eastAsia" w:ascii="黑体" w:hAnsi="黑体" w:eastAsia="黑体"/>
          <w:b/>
          <w:color w:val="auto"/>
          <w:sz w:val="24"/>
          <w:highlight w:val="none"/>
        </w:rPr>
        <w:t>五、开启</w:t>
      </w:r>
      <w:bookmarkEnd w:id="36"/>
      <w:bookmarkEnd w:id="37"/>
      <w:bookmarkEnd w:id="38"/>
      <w:bookmarkEnd w:id="39"/>
      <w:bookmarkEnd w:id="40"/>
      <w:bookmarkEnd w:id="41"/>
    </w:p>
    <w:p w14:paraId="051B4BA5">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时间：2</w:t>
      </w:r>
      <w:r>
        <w:rPr>
          <w:rFonts w:ascii="宋体" w:hAnsi="宋体"/>
          <w:color w:val="auto"/>
          <w:szCs w:val="21"/>
          <w:highlight w:val="none"/>
        </w:rPr>
        <w:t>02</w:t>
      </w:r>
      <w:r>
        <w:rPr>
          <w:rFonts w:hint="eastAsia" w:ascii="宋体" w:hAnsi="宋体"/>
          <w:color w:val="auto"/>
          <w:szCs w:val="21"/>
          <w:highlight w:val="none"/>
        </w:rPr>
        <w:t>5</w:t>
      </w:r>
      <w:r>
        <w:rPr>
          <w:rFonts w:hint="eastAsia" w:ascii="宋体" w:hAnsi="宋体"/>
          <w:bCs/>
          <w:color w:val="auto"/>
          <w:szCs w:val="21"/>
          <w:highlight w:val="none"/>
        </w:rPr>
        <w:t>年10月</w:t>
      </w:r>
      <w:r>
        <w:rPr>
          <w:rFonts w:hint="eastAsia" w:ascii="宋体" w:hAnsi="宋体"/>
          <w:bCs/>
          <w:color w:val="auto"/>
          <w:szCs w:val="21"/>
          <w:highlight w:val="none"/>
          <w:lang w:val="en-US" w:eastAsia="zh-CN"/>
        </w:rPr>
        <w:t>27</w:t>
      </w:r>
      <w:r>
        <w:rPr>
          <w:rFonts w:hint="eastAsia" w:ascii="宋体" w:hAnsi="宋体"/>
          <w:bCs/>
          <w:color w:val="auto"/>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时</w:t>
      </w:r>
      <w:r>
        <w:rPr>
          <w:rFonts w:hint="eastAsia" w:ascii="宋体" w:hAnsi="宋体"/>
          <w:bCs/>
          <w:color w:val="auto"/>
          <w:szCs w:val="21"/>
          <w:highlight w:val="none"/>
          <w:lang w:val="en-US" w:eastAsia="zh-CN"/>
        </w:rPr>
        <w:t>00</w:t>
      </w:r>
      <w:r>
        <w:rPr>
          <w:rFonts w:hint="eastAsia" w:ascii="宋体" w:hAnsi="宋体"/>
          <w:bCs/>
          <w:color w:val="auto"/>
          <w:szCs w:val="21"/>
          <w:highlight w:val="none"/>
        </w:rPr>
        <w:t>分（北京时间）</w:t>
      </w:r>
    </w:p>
    <w:p w14:paraId="0331BB7B">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地点：广西政府采购云平台（https://www.gcy.zfcg.gxzf.gov.cn/）</w:t>
      </w:r>
    </w:p>
    <w:p w14:paraId="25F21C8D">
      <w:pPr>
        <w:ind w:firstLine="354" w:firstLineChars="147"/>
        <w:rPr>
          <w:rFonts w:hint="eastAsia" w:ascii="黑体" w:hAnsi="黑体" w:eastAsia="黑体"/>
          <w:b/>
          <w:color w:val="auto"/>
          <w:sz w:val="24"/>
          <w:highlight w:val="none"/>
        </w:rPr>
      </w:pPr>
      <w:bookmarkStart w:id="42" w:name="_Toc28359094"/>
      <w:bookmarkStart w:id="43" w:name="_Toc28359017"/>
      <w:bookmarkStart w:id="44" w:name="_Toc71365910"/>
      <w:bookmarkStart w:id="45" w:name="_Toc35393803"/>
      <w:bookmarkStart w:id="46" w:name="_Toc35393634"/>
      <w:bookmarkStart w:id="47" w:name="_Toc44229883"/>
      <w:r>
        <w:rPr>
          <w:rFonts w:hint="eastAsia" w:ascii="黑体" w:hAnsi="黑体" w:eastAsia="黑体"/>
          <w:b/>
          <w:color w:val="auto"/>
          <w:sz w:val="24"/>
          <w:highlight w:val="none"/>
        </w:rPr>
        <w:t>六、公告期限</w:t>
      </w:r>
      <w:bookmarkEnd w:id="42"/>
      <w:bookmarkEnd w:id="43"/>
      <w:bookmarkEnd w:id="44"/>
      <w:bookmarkEnd w:id="45"/>
      <w:bookmarkEnd w:id="46"/>
      <w:bookmarkEnd w:id="47"/>
    </w:p>
    <w:p w14:paraId="543E0FE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BF54172">
      <w:pPr>
        <w:ind w:firstLine="354" w:firstLineChars="147"/>
        <w:rPr>
          <w:rFonts w:hint="eastAsia" w:ascii="黑体" w:hAnsi="黑体" w:eastAsia="黑体"/>
          <w:b/>
          <w:color w:val="auto"/>
          <w:sz w:val="24"/>
          <w:highlight w:val="none"/>
        </w:rPr>
      </w:pPr>
      <w:bookmarkStart w:id="48" w:name="_Toc35393804"/>
      <w:bookmarkStart w:id="49" w:name="_Toc71365911"/>
      <w:bookmarkStart w:id="50" w:name="_Toc35393635"/>
      <w:bookmarkStart w:id="51" w:name="_Toc44229884"/>
      <w:r>
        <w:rPr>
          <w:rFonts w:hint="eastAsia" w:ascii="黑体" w:hAnsi="黑体" w:eastAsia="黑体"/>
          <w:b/>
          <w:color w:val="auto"/>
          <w:sz w:val="24"/>
          <w:highlight w:val="none"/>
        </w:rPr>
        <w:t>七、其他补充事宜</w:t>
      </w:r>
      <w:bookmarkEnd w:id="48"/>
      <w:bookmarkEnd w:id="49"/>
      <w:bookmarkEnd w:id="50"/>
      <w:bookmarkEnd w:id="51"/>
    </w:p>
    <w:p w14:paraId="3ADCB08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3F6CACC4">
      <w:pPr>
        <w:spacing w:line="360" w:lineRule="auto"/>
        <w:ind w:left="420" w:leftChars="200"/>
        <w:rPr>
          <w:rFonts w:hint="eastAsia" w:ascii="宋体" w:hAnsi="宋体" w:cs="宋体"/>
          <w:color w:val="auto"/>
          <w:kern w:val="0"/>
          <w:szCs w:val="21"/>
          <w:highlight w:val="none"/>
        </w:rPr>
      </w:pPr>
      <w:r>
        <w:rPr>
          <w:rFonts w:hint="eastAsia"/>
          <w:color w:val="auto"/>
          <w:kern w:val="0"/>
          <w:highlight w:val="none"/>
        </w:rPr>
        <w:t>中国政府采购网(http://www.ccgp.gov.cn/)、广西政府采购网(http://zfcg.gxzf.gov.cn/)</w:t>
      </w:r>
      <w:r>
        <w:rPr>
          <w:color w:val="auto"/>
          <w:kern w:val="0"/>
          <w:highlight w:val="none"/>
        </w:rPr>
        <w:br w:type="textWrapping"/>
      </w:r>
      <w:bookmarkStart w:id="52" w:name="_Hlk37429674"/>
      <w:bookmarkStart w:id="53" w:name="_Toc28359018"/>
      <w:bookmarkStart w:id="54" w:name="_Toc44229885"/>
      <w:bookmarkStart w:id="55" w:name="_Toc35393805"/>
      <w:bookmarkStart w:id="56" w:name="_Toc35393636"/>
      <w:bookmarkStart w:id="57" w:name="_Toc28359095"/>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472CBBD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A2FCCE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6D4759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FAEDF4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42B8184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52"/>
    <w:p w14:paraId="2B876CAD">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0560F461">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738BE44F">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如在操作过程中遇到问题或者需要技术支持，请致电广西政府采购云平台客服热线：</w:t>
      </w:r>
      <w:r>
        <w:rPr>
          <w:rFonts w:ascii="宋体" w:hAnsi="宋体" w:cs="宋体"/>
          <w:bCs/>
          <w:color w:val="auto"/>
          <w:kern w:val="0"/>
          <w:szCs w:val="21"/>
          <w:highlight w:val="none"/>
        </w:rPr>
        <w:t>95763</w:t>
      </w:r>
      <w:r>
        <w:rPr>
          <w:rFonts w:hint="eastAsia" w:ascii="宋体" w:hAnsi="宋体"/>
          <w:color w:val="auto"/>
          <w:szCs w:val="21"/>
          <w:highlight w:val="none"/>
        </w:rPr>
        <w:t>）。</w:t>
      </w:r>
    </w:p>
    <w:p w14:paraId="58C297F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C4BF276">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8A160A6">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72059A97">
      <w:pPr>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53"/>
      <w:bookmarkEnd w:id="54"/>
      <w:bookmarkEnd w:id="55"/>
      <w:bookmarkEnd w:id="56"/>
      <w:bookmarkEnd w:id="57"/>
    </w:p>
    <w:p w14:paraId="5C088E56">
      <w:pPr>
        <w:spacing w:line="360" w:lineRule="auto"/>
        <w:ind w:firstLine="420" w:firstLineChars="200"/>
        <w:rPr>
          <w:rFonts w:hint="eastAsia" w:ascii="宋体" w:hAnsi="宋体" w:cs="宋体"/>
          <w:color w:val="auto"/>
          <w:kern w:val="0"/>
          <w:szCs w:val="21"/>
          <w:highlight w:val="none"/>
        </w:rPr>
      </w:pPr>
      <w:bookmarkStart w:id="58" w:name="_Toc28359019"/>
      <w:bookmarkStart w:id="59" w:name="_Toc35393806"/>
      <w:bookmarkStart w:id="60" w:name="_Toc35393637"/>
      <w:bookmarkStart w:id="61" w:name="_Toc28359096"/>
      <w:r>
        <w:rPr>
          <w:rFonts w:hint="eastAsia" w:ascii="宋体" w:hAnsi="宋体" w:cs="宋体"/>
          <w:color w:val="auto"/>
          <w:kern w:val="0"/>
          <w:szCs w:val="21"/>
          <w:highlight w:val="none"/>
        </w:rPr>
        <w:t>1.采购人信息</w:t>
      </w:r>
      <w:bookmarkEnd w:id="58"/>
      <w:bookmarkEnd w:id="59"/>
      <w:bookmarkEnd w:id="60"/>
      <w:bookmarkEnd w:id="61"/>
    </w:p>
    <w:bookmarkEnd w:id="11"/>
    <w:p w14:paraId="4F49604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名称：广西壮族自治区司法厅</w:t>
      </w:r>
    </w:p>
    <w:p w14:paraId="4CFF078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地址：南宁市星湖路北二里1号/530023</w:t>
      </w:r>
    </w:p>
    <w:p w14:paraId="6ED1161E">
      <w:pPr>
        <w:spacing w:line="400" w:lineRule="exact"/>
        <w:ind w:firstLine="420" w:firstLineChars="200"/>
        <w:rPr>
          <w:rFonts w:hint="eastAsia" w:ascii="宋体" w:hAnsi="宋体" w:cs="仿宋"/>
          <w:color w:val="auto"/>
          <w:kern w:val="0"/>
          <w:szCs w:val="21"/>
          <w:highlight w:val="none"/>
        </w:rPr>
      </w:pPr>
      <w:r>
        <w:rPr>
          <w:rFonts w:hint="eastAsia" w:ascii="宋体" w:hAnsi="宋体"/>
          <w:color w:val="auto"/>
          <w:szCs w:val="21"/>
          <w:highlight w:val="none"/>
        </w:rPr>
        <w:t>联系方式：黎锦燕；0771-5849232</w:t>
      </w:r>
    </w:p>
    <w:p w14:paraId="664A66B2">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2.采购代理机构信息</w:t>
      </w:r>
    </w:p>
    <w:p w14:paraId="4F52A6C9">
      <w:pPr>
        <w:spacing w:line="400" w:lineRule="exact"/>
        <w:ind w:firstLine="420" w:firstLineChars="200"/>
        <w:rPr>
          <w:rFonts w:hint="eastAsia" w:ascii="宋体" w:hAnsi="宋体" w:cs="仿宋"/>
          <w:color w:val="auto"/>
          <w:szCs w:val="21"/>
          <w:highlight w:val="none"/>
        </w:rPr>
      </w:pPr>
      <w:bookmarkStart w:id="62" w:name="_Toc28359098"/>
      <w:bookmarkStart w:id="63" w:name="_Toc35393639"/>
      <w:bookmarkStart w:id="64" w:name="_Toc28359021"/>
      <w:bookmarkStart w:id="65" w:name="_Toc35393808"/>
      <w:r>
        <w:rPr>
          <w:rFonts w:hint="eastAsia" w:ascii="宋体" w:hAnsi="宋体" w:cs="仿宋"/>
          <w:color w:val="auto"/>
          <w:szCs w:val="21"/>
          <w:highlight w:val="none"/>
        </w:rPr>
        <w:t>名称：广西国栋招标有限公司</w:t>
      </w:r>
    </w:p>
    <w:p w14:paraId="30D54AFB">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地址：南宁市青秀区双拥路40-1号东方明珠花园1栋1单元9层/530000</w:t>
      </w:r>
    </w:p>
    <w:p w14:paraId="01AA507C">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联系电话：0771-5894688</w:t>
      </w:r>
    </w:p>
    <w:p w14:paraId="7DDE5B97">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3.项目联系方式</w:t>
      </w:r>
      <w:bookmarkEnd w:id="62"/>
      <w:bookmarkEnd w:id="63"/>
      <w:bookmarkEnd w:id="64"/>
      <w:bookmarkEnd w:id="65"/>
    </w:p>
    <w:p w14:paraId="566CB90D">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项目联系人：</w:t>
      </w:r>
      <w:r>
        <w:rPr>
          <w:rFonts w:hint="eastAsia" w:ascii="宋体" w:hAnsi="宋体" w:cs="宋体"/>
          <w:color w:val="auto"/>
          <w:kern w:val="0"/>
          <w:szCs w:val="21"/>
          <w:highlight w:val="none"/>
        </w:rPr>
        <w:t>陈凯媛</w:t>
      </w:r>
    </w:p>
    <w:p w14:paraId="2403FD38">
      <w:pPr>
        <w:spacing w:line="400" w:lineRule="exact"/>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电话：0771-5894688</w:t>
      </w:r>
    </w:p>
    <w:p w14:paraId="48160A7C">
      <w:pPr>
        <w:spacing w:line="400" w:lineRule="exact"/>
        <w:jc w:val="center"/>
        <w:rPr>
          <w:color w:val="auto"/>
          <w:highlight w:val="none"/>
        </w:rPr>
      </w:pPr>
      <w:bookmarkStart w:id="66" w:name="_Toc74323457"/>
    </w:p>
    <w:p w14:paraId="109D1948">
      <w:pPr>
        <w:pStyle w:val="44"/>
        <w:ind w:firstLine="480"/>
        <w:rPr>
          <w:color w:val="auto"/>
          <w:highlight w:val="none"/>
        </w:rPr>
      </w:pPr>
    </w:p>
    <w:p w14:paraId="75DF97A6">
      <w:pPr>
        <w:pStyle w:val="15"/>
        <w:spacing w:line="360" w:lineRule="auto"/>
        <w:rPr>
          <w:rFonts w:hint="eastAsia" w:ascii="宋体" w:hAnsi="宋体"/>
          <w:color w:val="auto"/>
          <w:szCs w:val="21"/>
          <w:highlight w:val="none"/>
          <w:u w:val="single"/>
        </w:rPr>
      </w:pPr>
    </w:p>
    <w:p w14:paraId="1DC9B9DC">
      <w:pPr>
        <w:spacing w:line="360" w:lineRule="auto"/>
        <w:ind w:firstLine="5678" w:firstLineChars="2704"/>
        <w:jc w:val="right"/>
        <w:rPr>
          <w:rFonts w:hint="eastAsia" w:ascii="宋体" w:hAnsi="宋体"/>
          <w:color w:val="auto"/>
          <w:szCs w:val="21"/>
          <w:highlight w:val="none"/>
        </w:rPr>
      </w:pPr>
      <w:r>
        <w:rPr>
          <w:rFonts w:hint="eastAsia" w:ascii="宋体" w:hAnsi="宋体"/>
          <w:color w:val="auto"/>
          <w:szCs w:val="21"/>
          <w:highlight w:val="none"/>
        </w:rPr>
        <w:t>广西国栋招标有限公司</w:t>
      </w:r>
    </w:p>
    <w:p w14:paraId="5EEBFED1">
      <w:pPr>
        <w:spacing w:line="360" w:lineRule="auto"/>
        <w:ind w:firstLine="5678" w:firstLineChars="2704"/>
        <w:jc w:val="right"/>
        <w:rPr>
          <w:rFonts w:hint="eastAsia" w:ascii="宋体" w:hAnsi="宋体"/>
          <w:color w:val="auto"/>
          <w:szCs w:val="21"/>
          <w:highlight w:val="none"/>
        </w:rPr>
      </w:pPr>
      <w:r>
        <w:rPr>
          <w:rFonts w:hint="eastAsia" w:ascii="宋体" w:hAnsi="宋体"/>
          <w:color w:val="auto"/>
          <w:szCs w:val="21"/>
          <w:highlight w:val="none"/>
        </w:rPr>
        <w:t>2025年10月</w:t>
      </w:r>
      <w:r>
        <w:rPr>
          <w:rFonts w:hint="eastAsia" w:ascii="宋体" w:hAnsi="宋体"/>
          <w:color w:val="auto"/>
          <w:szCs w:val="21"/>
          <w:highlight w:val="none"/>
          <w:lang w:val="en-US" w:eastAsia="zh-CN"/>
        </w:rPr>
        <w:t>15</w:t>
      </w:r>
      <w:r>
        <w:rPr>
          <w:rFonts w:hint="eastAsia" w:ascii="宋体" w:hAnsi="宋体"/>
          <w:color w:val="auto"/>
          <w:szCs w:val="21"/>
          <w:highlight w:val="none"/>
        </w:rPr>
        <w:t>日</w:t>
      </w:r>
    </w:p>
    <w:p w14:paraId="1E9B8639">
      <w:pPr>
        <w:rPr>
          <w:color w:val="auto"/>
          <w:highlight w:val="none"/>
        </w:rPr>
      </w:pPr>
    </w:p>
    <w:p w14:paraId="4F78FA92">
      <w:pPr>
        <w:pStyle w:val="44"/>
        <w:ind w:firstLine="480"/>
        <w:rPr>
          <w:color w:val="auto"/>
          <w:highlight w:val="none"/>
        </w:rPr>
      </w:pPr>
    </w:p>
    <w:p w14:paraId="6F317FEA">
      <w:pPr>
        <w:rPr>
          <w:color w:val="auto"/>
          <w:highlight w:val="none"/>
        </w:rPr>
      </w:pPr>
    </w:p>
    <w:p w14:paraId="59051BC8">
      <w:pPr>
        <w:pStyle w:val="44"/>
        <w:ind w:firstLine="480"/>
        <w:rPr>
          <w:color w:val="auto"/>
          <w:highlight w:val="none"/>
        </w:rPr>
      </w:pPr>
    </w:p>
    <w:p w14:paraId="3407B786">
      <w:pPr>
        <w:rPr>
          <w:color w:val="auto"/>
          <w:highlight w:val="none"/>
        </w:rPr>
      </w:pPr>
    </w:p>
    <w:p w14:paraId="271870CA">
      <w:pPr>
        <w:pStyle w:val="44"/>
        <w:ind w:firstLine="480"/>
        <w:rPr>
          <w:color w:val="auto"/>
          <w:highlight w:val="none"/>
        </w:rPr>
      </w:pPr>
    </w:p>
    <w:p w14:paraId="6FABB871">
      <w:pPr>
        <w:rPr>
          <w:color w:val="auto"/>
          <w:highlight w:val="none"/>
        </w:rPr>
      </w:pPr>
    </w:p>
    <w:p w14:paraId="29CFB6B2">
      <w:pPr>
        <w:pStyle w:val="44"/>
        <w:ind w:firstLine="480"/>
        <w:rPr>
          <w:color w:val="auto"/>
          <w:highlight w:val="none"/>
        </w:rPr>
      </w:pPr>
    </w:p>
    <w:p w14:paraId="20A09705">
      <w:pPr>
        <w:rPr>
          <w:color w:val="auto"/>
          <w:highlight w:val="none"/>
        </w:rPr>
      </w:pPr>
    </w:p>
    <w:p w14:paraId="4BCE51D0">
      <w:pPr>
        <w:pStyle w:val="44"/>
        <w:ind w:firstLine="480"/>
        <w:rPr>
          <w:color w:val="auto"/>
          <w:highlight w:val="none"/>
        </w:rPr>
      </w:pPr>
    </w:p>
    <w:p w14:paraId="45257ED7">
      <w:pPr>
        <w:rPr>
          <w:color w:val="auto"/>
          <w:highlight w:val="none"/>
        </w:rPr>
      </w:pPr>
    </w:p>
    <w:p w14:paraId="4A7FD59F">
      <w:pPr>
        <w:pStyle w:val="44"/>
        <w:ind w:firstLine="480"/>
        <w:rPr>
          <w:color w:val="auto"/>
          <w:highlight w:val="none"/>
        </w:rPr>
      </w:pPr>
    </w:p>
    <w:p w14:paraId="25331499">
      <w:pPr>
        <w:rPr>
          <w:color w:val="auto"/>
          <w:highlight w:val="none"/>
        </w:rPr>
      </w:pPr>
    </w:p>
    <w:p w14:paraId="33A9F146">
      <w:pPr>
        <w:pStyle w:val="44"/>
        <w:ind w:firstLine="0" w:firstLineChars="0"/>
        <w:rPr>
          <w:color w:val="auto"/>
          <w:highlight w:val="none"/>
        </w:rPr>
      </w:pPr>
    </w:p>
    <w:p w14:paraId="1999CD0B">
      <w:pPr>
        <w:rPr>
          <w:color w:val="auto"/>
          <w:highlight w:val="none"/>
        </w:rPr>
      </w:pPr>
    </w:p>
    <w:p w14:paraId="3C5BE4D4">
      <w:pPr>
        <w:pStyle w:val="44"/>
        <w:ind w:firstLine="480"/>
        <w:rPr>
          <w:color w:val="auto"/>
          <w:highlight w:val="none"/>
        </w:rPr>
      </w:pPr>
    </w:p>
    <w:p w14:paraId="2C667DF2">
      <w:pPr>
        <w:rPr>
          <w:color w:val="auto"/>
          <w:highlight w:val="none"/>
        </w:rPr>
      </w:pPr>
    </w:p>
    <w:p w14:paraId="29CC35CC">
      <w:pPr>
        <w:pStyle w:val="44"/>
        <w:ind w:firstLine="0" w:firstLineChars="0"/>
        <w:rPr>
          <w:color w:val="auto"/>
          <w:highlight w:val="none"/>
        </w:rPr>
      </w:pPr>
    </w:p>
    <w:p w14:paraId="1A3896B3">
      <w:pPr>
        <w:pStyle w:val="3"/>
        <w:jc w:val="center"/>
        <w:rPr>
          <w:color w:val="auto"/>
          <w:highlight w:val="none"/>
        </w:rPr>
      </w:pPr>
      <w:r>
        <w:rPr>
          <w:rFonts w:hint="eastAsia"/>
          <w:color w:val="auto"/>
          <w:highlight w:val="none"/>
        </w:rPr>
        <w:t>第二章供应商须知</w:t>
      </w:r>
      <w:bookmarkEnd w:id="66"/>
    </w:p>
    <w:p w14:paraId="07F9FE5D">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1C9FE524">
      <w:pPr>
        <w:spacing w:line="400" w:lineRule="exact"/>
        <w:jc w:val="center"/>
        <w:rPr>
          <w:rFonts w:hint="eastAsia" w:ascii="宋体" w:hAnsi="宋体"/>
          <w:b/>
          <w:color w:val="auto"/>
          <w:sz w:val="32"/>
          <w:szCs w:val="32"/>
          <w:highlight w:val="none"/>
        </w:rPr>
      </w:pPr>
    </w:p>
    <w:tbl>
      <w:tblPr>
        <w:tblStyle w:val="34"/>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45CE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D26682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0575697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4CE76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0D6E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4D45BC2D">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0750F75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482EB60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3090A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DD07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05485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39B55D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13FE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AAA1A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4A0892DB">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45F6B9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2543741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27C9AF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7F5EF2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788C13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30DE381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5819A8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6B5416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06A93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56196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7BD94416">
            <w:pPr>
              <w:pStyle w:val="15"/>
              <w:spacing w:line="360" w:lineRule="auto"/>
              <w:rPr>
                <w:rFonts w:hint="eastAsia" w:ascii="宋体" w:hAnsi="宋体"/>
                <w:color w:val="auto"/>
                <w:szCs w:val="21"/>
                <w:highlight w:val="none"/>
              </w:rPr>
            </w:pPr>
            <w:r>
              <w:rPr>
                <w:rFonts w:hint="eastAsia" w:ascii="宋体" w:hAnsi="宋体"/>
                <w:color w:val="auto"/>
                <w:szCs w:val="21"/>
                <w:highlight w:val="none"/>
              </w:rPr>
              <w:t>√不允许分包</w:t>
            </w:r>
          </w:p>
          <w:p w14:paraId="5915E7EB">
            <w:pPr>
              <w:pStyle w:val="15"/>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386EF9D0">
            <w:pPr>
              <w:pStyle w:val="15"/>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14:paraId="1472796E">
            <w:pPr>
              <w:pStyle w:val="15"/>
              <w:spacing w:line="360" w:lineRule="auto"/>
              <w:rPr>
                <w:rFonts w:hint="eastAsia"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14:paraId="63781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5A52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380F04FA">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333EBDFE">
            <w:pPr>
              <w:pStyle w:val="15"/>
              <w:spacing w:line="360" w:lineRule="auto"/>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90B8494">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bCs/>
                <w:color w:val="auto"/>
                <w:szCs w:val="21"/>
                <w:highlight w:val="none"/>
              </w:rPr>
              <w:t>供应商</w:t>
            </w:r>
            <w:r>
              <w:rPr>
                <w:rFonts w:hint="eastAsia" w:ascii="宋体" w:hAnsi="宋体" w:cs="宋体"/>
                <w:color w:val="auto"/>
                <w:szCs w:val="21"/>
                <w:highlight w:val="none"/>
              </w:rPr>
              <w:t>依法缴纳税收的相关材料（</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3</w:t>
            </w:r>
            <w:r>
              <w:rPr>
                <w:rFonts w:hint="eastAsia" w:ascii="宋体" w:hAnsi="宋体" w:cs="宋体"/>
                <w:color w:val="auto"/>
                <w:szCs w:val="21"/>
                <w:highlight w:val="none"/>
              </w:rPr>
              <w:t>月至</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ascii="宋体" w:hAnsi="宋体" w:cs="宋体"/>
                <w:color w:val="auto"/>
                <w:szCs w:val="21"/>
                <w:highlight w:val="none"/>
                <w:u w:val="single"/>
              </w:rPr>
              <w:t>10</w:t>
            </w:r>
            <w:r>
              <w:rPr>
                <w:rFonts w:hint="eastAsia" w:ascii="宋体" w:hAnsi="宋体" w:cs="宋体"/>
                <w:color w:val="auto"/>
                <w:szCs w:val="21"/>
                <w:highlight w:val="none"/>
              </w:rPr>
              <w:t>月内连续</w:t>
            </w:r>
            <w:r>
              <w:rPr>
                <w:rFonts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9E9EA4D">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bCs/>
                <w:color w:val="auto"/>
                <w:szCs w:val="21"/>
                <w:highlight w:val="none"/>
              </w:rPr>
              <w:t>供应商</w:t>
            </w:r>
            <w:r>
              <w:rPr>
                <w:rFonts w:hint="eastAsia" w:ascii="宋体" w:hAnsi="宋体" w:cs="宋体"/>
                <w:color w:val="auto"/>
                <w:szCs w:val="21"/>
                <w:highlight w:val="none"/>
              </w:rPr>
              <w:t>依法缴纳社会保障资金的相关材料[</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3</w:t>
            </w:r>
            <w:r>
              <w:rPr>
                <w:rFonts w:hint="eastAsia" w:ascii="宋体" w:hAnsi="宋体" w:cs="宋体"/>
                <w:color w:val="auto"/>
                <w:szCs w:val="21"/>
                <w:highlight w:val="none"/>
              </w:rPr>
              <w:t>月至</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ascii="宋体" w:hAnsi="宋体" w:cs="宋体"/>
                <w:color w:val="auto"/>
                <w:szCs w:val="21"/>
                <w:highlight w:val="none"/>
                <w:u w:val="single"/>
              </w:rPr>
              <w:t>10</w:t>
            </w:r>
            <w:r>
              <w:rPr>
                <w:rFonts w:hint="eastAsia" w:ascii="宋体" w:hAnsi="宋体" w:cs="宋体"/>
                <w:color w:val="auto"/>
                <w:szCs w:val="21"/>
                <w:highlight w:val="none"/>
              </w:rPr>
              <w:t>月连续</w:t>
            </w:r>
            <w:r>
              <w:rPr>
                <w:rFonts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DCE38DB">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w:t>
            </w:r>
            <w:r>
              <w:rPr>
                <w:rFonts w:hint="eastAsia" w:ascii="宋体" w:hAnsi="宋体"/>
                <w:bCs/>
                <w:color w:val="auto"/>
                <w:szCs w:val="21"/>
                <w:highlight w:val="none"/>
              </w:rPr>
              <w:t>供应商或其总公司</w:t>
            </w:r>
            <w:r>
              <w:rPr>
                <w:rFonts w:hint="eastAsia"/>
                <w:color w:val="auto"/>
                <w:szCs w:val="21"/>
                <w:highlight w:val="none"/>
              </w:rPr>
              <w:t>财务状况报告（</w:t>
            </w:r>
            <w:r>
              <w:rPr>
                <w:rFonts w:hint="eastAsia"/>
                <w:color w:val="auto"/>
                <w:szCs w:val="21"/>
                <w:highlight w:val="none"/>
                <w:u w:val="single"/>
              </w:rPr>
              <w:t>2</w:t>
            </w:r>
            <w:r>
              <w:rPr>
                <w:color w:val="auto"/>
                <w:szCs w:val="21"/>
                <w:highlight w:val="none"/>
                <w:u w:val="single"/>
              </w:rPr>
              <w:t>02</w:t>
            </w:r>
            <w:r>
              <w:rPr>
                <w:rFonts w:hint="eastAsia"/>
                <w:color w:val="auto"/>
                <w:szCs w:val="21"/>
                <w:highlight w:val="none"/>
                <w:u w:val="single"/>
              </w:rPr>
              <w:t>4</w:t>
            </w:r>
            <w:r>
              <w:rPr>
                <w:rFonts w:hint="eastAsia"/>
                <w:color w:val="auto"/>
                <w:szCs w:val="21"/>
                <w:highlight w:val="none"/>
              </w:rPr>
              <w:t>年度财务报表复印件，或者银行出具的资信证明，或者中国人民银行征信中心出具的信用报告（企业竞标的提供企业信用报告，自然人竞标的提供个人信用报告）；供应商属于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2B67FBD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34DEC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53BF01">
            <w:pPr>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39D3581D">
            <w:pPr>
              <w:pStyle w:val="44"/>
              <w:ind w:firstLine="0" w:firstLineChars="0"/>
              <w:rPr>
                <w:rFonts w:hint="eastAsia" w:hAnsi="宋体" w:cs="宋体"/>
                <w:color w:val="auto"/>
                <w:sz w:val="21"/>
                <w:szCs w:val="21"/>
                <w:highlight w:val="none"/>
              </w:rPr>
            </w:pPr>
            <w:r>
              <w:rPr>
                <w:rFonts w:hint="eastAsia" w:hAnsi="宋体" w:eastAsia="宋体" w:cs="宋体"/>
                <w:color w:val="auto"/>
                <w:kern w:val="2"/>
                <w:sz w:val="21"/>
                <w:szCs w:val="21"/>
                <w:highlight w:val="none"/>
              </w:rPr>
              <w:t>8</w:t>
            </w:r>
            <w:r>
              <w:rPr>
                <w:rFonts w:hAnsi="宋体" w:eastAsia="宋体" w:cs="宋体"/>
                <w:color w:val="auto"/>
                <w:kern w:val="2"/>
                <w:sz w:val="21"/>
                <w:szCs w:val="21"/>
                <w:highlight w:val="none"/>
              </w:rPr>
              <w:t>.</w:t>
            </w:r>
            <w:r>
              <w:rPr>
                <w:rFonts w:hint="eastAsia" w:hAnsi="宋体" w:eastAsia="宋体" w:cs="宋体"/>
                <w:color w:val="auto"/>
                <w:kern w:val="2"/>
                <w:sz w:val="21"/>
                <w:szCs w:val="21"/>
                <w:highlight w:val="none"/>
              </w:rPr>
              <w:t>供应商为经国家保险监督管理机构批准（具备有效的“经营保险业务许可证”），具有在广西辖区内经营本次采购险种业务资格的保险机构证明复印件</w:t>
            </w:r>
            <w:r>
              <w:rPr>
                <w:rFonts w:hint="eastAsia" w:hAnsi="宋体" w:cs="宋体"/>
                <w:color w:val="auto"/>
                <w:szCs w:val="21"/>
                <w:highlight w:val="none"/>
              </w:rPr>
              <w:t>；</w:t>
            </w:r>
            <w:r>
              <w:rPr>
                <w:rFonts w:hint="eastAsia" w:hAnsi="宋体" w:cs="宋体"/>
                <w:color w:val="auto"/>
                <w:sz w:val="21"/>
                <w:szCs w:val="21"/>
                <w:highlight w:val="none"/>
              </w:rPr>
              <w:t>（</w:t>
            </w:r>
            <w:r>
              <w:rPr>
                <w:rFonts w:hint="eastAsia" w:hAnsi="宋体" w:cs="宋体"/>
                <w:b/>
                <w:color w:val="auto"/>
                <w:sz w:val="21"/>
                <w:szCs w:val="21"/>
                <w:highlight w:val="none"/>
              </w:rPr>
              <w:t>必须提供，否则响应文件按无效响应处理</w:t>
            </w:r>
            <w:r>
              <w:rPr>
                <w:rFonts w:hint="eastAsia" w:hAnsi="宋体" w:cs="宋体"/>
                <w:color w:val="auto"/>
                <w:sz w:val="21"/>
                <w:szCs w:val="21"/>
                <w:highlight w:val="none"/>
              </w:rPr>
              <w:t>）</w:t>
            </w:r>
          </w:p>
          <w:p w14:paraId="7BE826B3">
            <w:pPr>
              <w:pStyle w:val="44"/>
              <w:ind w:firstLine="0" w:firstLineChars="0"/>
              <w:rPr>
                <w:color w:val="auto"/>
                <w:highlight w:val="none"/>
              </w:rPr>
            </w:pPr>
            <w:r>
              <w:rPr>
                <w:rFonts w:hint="eastAsia"/>
                <w:color w:val="auto"/>
                <w:highlight w:val="none"/>
              </w:rPr>
              <w:t>9</w:t>
            </w:r>
            <w:r>
              <w:rPr>
                <w:color w:val="auto"/>
                <w:highlight w:val="none"/>
              </w:rPr>
              <w:t>.</w:t>
            </w:r>
            <w:r>
              <w:rPr>
                <w:rFonts w:hint="eastAsia" w:hAnsi="宋体" w:eastAsia="宋体" w:cs="宋体"/>
                <w:color w:val="auto"/>
                <w:kern w:val="2"/>
                <w:sz w:val="21"/>
                <w:szCs w:val="21"/>
                <w:highlight w:val="none"/>
              </w:rPr>
              <w:t>供应商总公司授权书复印件</w:t>
            </w:r>
            <w:r>
              <w:rPr>
                <w:rFonts w:hint="eastAsia" w:hAnsi="宋体" w:cs="宋体"/>
                <w:color w:val="auto"/>
                <w:sz w:val="21"/>
                <w:szCs w:val="21"/>
                <w:highlight w:val="none"/>
              </w:rPr>
              <w:t>（</w:t>
            </w:r>
            <w:r>
              <w:rPr>
                <w:rFonts w:hint="eastAsia" w:hAnsi="宋体" w:cs="宋体"/>
                <w:b/>
                <w:color w:val="auto"/>
                <w:sz w:val="21"/>
                <w:szCs w:val="21"/>
                <w:highlight w:val="none"/>
              </w:rPr>
              <w:t>分公司参加竞标的必须提供，否则响应文件按无效响应处理</w:t>
            </w:r>
            <w:r>
              <w:rPr>
                <w:rFonts w:hint="eastAsia" w:hAnsi="宋体" w:cs="宋体"/>
                <w:color w:val="auto"/>
                <w:sz w:val="21"/>
                <w:szCs w:val="21"/>
                <w:highlight w:val="none"/>
              </w:rPr>
              <w:t>）</w:t>
            </w:r>
          </w:p>
          <w:p w14:paraId="14219CE3">
            <w:pPr>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.除磋商文件规定必须提供以外，供应商认为需要提供的其他证明材料；</w:t>
            </w:r>
          </w:p>
          <w:p w14:paraId="688C6DAE">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E589568">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5768B7E2">
            <w:pPr>
              <w:pStyle w:val="15"/>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2.联合体竞标时，第1-5项、8项资格证明文件联合体各方均必须分别提供，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p w14:paraId="676331BD">
            <w:pPr>
              <w:pStyle w:val="15"/>
              <w:spacing w:line="360" w:lineRule="auto"/>
              <w:ind w:firstLine="562" w:firstLineChars="200"/>
              <w:rPr>
                <w:rFonts w:hint="eastAsia" w:ascii="宋体" w:hAnsi="宋体" w:cs="宋体"/>
                <w:b/>
                <w:color w:val="auto"/>
                <w:sz w:val="28"/>
                <w:szCs w:val="28"/>
                <w:highlight w:val="none"/>
                <w:u w:val="single"/>
              </w:rPr>
            </w:pPr>
            <w:r>
              <w:rPr>
                <w:rFonts w:ascii="宋体" w:hAnsi="宋体"/>
                <w:b/>
                <w:bCs/>
                <w:color w:val="auto"/>
                <w:sz w:val="28"/>
                <w:szCs w:val="28"/>
                <w:highlight w:val="none"/>
                <w:u w:val="single"/>
              </w:rPr>
              <w:t>3</w:t>
            </w:r>
            <w:r>
              <w:rPr>
                <w:rFonts w:hint="eastAsia" w:ascii="宋体" w:hAnsi="宋体"/>
                <w:b/>
                <w:bCs/>
                <w:color w:val="auto"/>
                <w:sz w:val="28"/>
                <w:szCs w:val="28"/>
                <w:highlight w:val="none"/>
                <w:u w:val="single"/>
              </w:rPr>
              <w:t>.分公司参加竞标的，应当取得总公司授权；</w:t>
            </w:r>
          </w:p>
        </w:tc>
      </w:tr>
      <w:tr w14:paraId="76F6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BBDA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6EC77F0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7662668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804EB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2.供应商认为需要提供的其他有关资料。</w:t>
            </w:r>
          </w:p>
          <w:p w14:paraId="2FD2AF4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409A352B">
            <w:pPr>
              <w:snapToGrid w:val="0"/>
              <w:spacing w:line="360" w:lineRule="auto"/>
              <w:ind w:firstLine="413" w:firstLineChars="196"/>
              <w:jc w:val="left"/>
              <w:rPr>
                <w:color w:val="auto"/>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34081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18AC5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4F977CDC">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019DF1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339D205">
            <w:pPr>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3AC3A9">
            <w:pPr>
              <w:spacing w:line="360" w:lineRule="auto"/>
              <w:rPr>
                <w:rFonts w:hint="eastAsia" w:ascii="宋体" w:hAnsi="宋体" w:cs="宋体"/>
                <w:b/>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571186C">
            <w:pPr>
              <w:spacing w:line="360" w:lineRule="auto"/>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.磋商保证金提交凭证；（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EC2F0BB">
            <w:pPr>
              <w:spacing w:line="360" w:lineRule="auto"/>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799F565">
            <w:pPr>
              <w:spacing w:line="360" w:lineRule="auto"/>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.实施方案（格式自拟）；（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8681E21">
            <w:pPr>
              <w:spacing w:line="360" w:lineRule="auto"/>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D5883D2">
            <w:pPr>
              <w:spacing w:line="360" w:lineRule="auto"/>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.项目实施人员一览表（格式自拟）；（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A3F196">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9.售后服务承诺</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C5F31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.对应采购需求的技术要求、商务要求提供的其他文件资料（格式自拟）；</w:t>
            </w:r>
          </w:p>
          <w:p w14:paraId="000BB77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.供应商认为需要提供的其他有关资料。</w:t>
            </w:r>
          </w:p>
          <w:p w14:paraId="5C89F851">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742E9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2A45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0EAF3FC8">
            <w:pPr>
              <w:spacing w:line="360" w:lineRule="auto"/>
              <w:contextualSpacing/>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w:t>
            </w:r>
            <w:r>
              <w:rPr>
                <w:rFonts w:hint="eastAsia" w:ascii="宋体" w:hAnsi="宋体" w:cs="宋体"/>
                <w:color w:val="auto"/>
                <w:szCs w:val="21"/>
                <w:highlight w:val="none"/>
              </w:rPr>
              <w:t>即满足全部采购需求所应提供的服务的价格</w:t>
            </w:r>
            <w:r>
              <w:rPr>
                <w:rFonts w:hint="eastAsia" w:ascii="宋体" w:hAnsi="宋体"/>
                <w:color w:val="auto"/>
                <w:szCs w:val="21"/>
                <w:highlight w:val="none"/>
              </w:rPr>
              <w:t>。</w:t>
            </w:r>
          </w:p>
        </w:tc>
      </w:tr>
      <w:tr w14:paraId="474C3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9699A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23607A9A">
            <w:pPr>
              <w:pStyle w:val="13"/>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65C06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7CFC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1FE023C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p w14:paraId="74CA255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√本项目收取磋商保证金，具体规定如下：</w:t>
            </w:r>
          </w:p>
          <w:p w14:paraId="0A0791D0">
            <w:pPr>
              <w:spacing w:line="360" w:lineRule="auto"/>
              <w:rPr>
                <w:rFonts w:hint="eastAsia" w:ascii="宋体" w:hAnsi="宋体" w:cs="宋体"/>
                <w:color w:val="auto"/>
                <w:kern w:val="0"/>
                <w:szCs w:val="21"/>
                <w:highlight w:val="none"/>
              </w:rPr>
            </w:pPr>
            <w:r>
              <w:rPr>
                <w:rFonts w:ascii="宋体" w:hAnsi="宋体" w:cs="宋体"/>
                <w:color w:val="auto"/>
                <w:kern w:val="0"/>
                <w:szCs w:val="21"/>
                <w:highlight w:val="none"/>
                <w:u w:val="single"/>
              </w:rPr>
              <w:t>/</w:t>
            </w:r>
            <w:r>
              <w:rPr>
                <w:rFonts w:hint="eastAsia" w:ascii="宋体" w:hAnsi="宋体" w:cs="宋体"/>
                <w:color w:val="auto"/>
                <w:kern w:val="0"/>
                <w:szCs w:val="21"/>
                <w:highlight w:val="none"/>
              </w:rPr>
              <w:t>分标磋商保证金人民币</w:t>
            </w:r>
            <w:r>
              <w:rPr>
                <w:rFonts w:hint="eastAsia" w:ascii="宋体" w:hAnsi="宋体" w:cs="宋体"/>
                <w:color w:val="auto"/>
                <w:kern w:val="0"/>
                <w:szCs w:val="21"/>
                <w:highlight w:val="none"/>
                <w:lang w:eastAsia="zh-CN"/>
              </w:rPr>
              <w:t>壹万捌仟伍佰（￥18500.00）</w:t>
            </w:r>
            <w:r>
              <w:rPr>
                <w:rFonts w:hint="eastAsia" w:ascii="宋体" w:hAnsi="宋体" w:cs="宋体"/>
                <w:color w:val="auto"/>
                <w:kern w:val="0"/>
                <w:szCs w:val="21"/>
                <w:highlight w:val="none"/>
              </w:rPr>
              <w:t>。</w:t>
            </w:r>
          </w:p>
          <w:p w14:paraId="5F71A151">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磋商保证金的交纳方式：银行转账、支票、汇票、本票或者银行、保险机构出具的保函，禁止采用现钞方式。采用银行转账方式的，在响应文件提交截止时间前交至指定账户并且到账</w:t>
            </w:r>
            <w:r>
              <w:rPr>
                <w:rFonts w:hint="eastAsia" w:ascii="宋体" w:hAnsi="宋体" w:cs="宋体"/>
                <w:b/>
                <w:color w:val="auto"/>
                <w:kern w:val="0"/>
                <w:szCs w:val="21"/>
                <w:highlight w:val="none"/>
              </w:rPr>
              <w:t>（办理磋商保证金手续时，请务必在银行进账单或电汇单的用途或空白栏上注明项目编号）</w:t>
            </w:r>
            <w:r>
              <w:rPr>
                <w:rFonts w:hint="eastAsia" w:ascii="宋体" w:hAnsi="宋体" w:cs="宋体"/>
                <w:color w:val="auto"/>
                <w:kern w:val="0"/>
                <w:szCs w:val="21"/>
                <w:highlight w:val="none"/>
              </w:rPr>
              <w:t>【开户名称：广西国栋招标有限公司，开户银行：平安银行南宁分行营业部，银行账号：15333566666608】；采用支票、汇票、本票或者保函等方式的，在响应文件提交截止时间前，供应商必须提交单独密封的支票、汇票、本票或者保函原件。否则视为无效磋商保证金。</w:t>
            </w:r>
          </w:p>
          <w:p w14:paraId="2546889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1DF25BA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5B3C16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2.磋商保证金采用支票、汇票、本票或者银行、保险机构出具的保函交纳方式的，供应商应将支票、汇票、本票或者银行、保险机构出具的保函的复印件作为磋商保证金提交凭证，放置于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在响应文件提交截止时间前采用现场或邮寄方式（现场提交或邮寄地址：</w:t>
            </w:r>
            <w:r>
              <w:rPr>
                <w:rFonts w:hint="eastAsia" w:ascii="宋体" w:hAnsi="宋体" w:cs="仿宋"/>
                <w:color w:val="auto"/>
                <w:szCs w:val="21"/>
                <w:highlight w:val="none"/>
                <w:u w:val="single"/>
              </w:rPr>
              <w:t>广西南宁市青秀区双拥路40-1号东方明珠花园1栋1单元9层</w:t>
            </w:r>
            <w:r>
              <w:rPr>
                <w:rFonts w:hint="eastAsia"/>
                <w:color w:val="auto"/>
                <w:highlight w:val="none"/>
              </w:rPr>
              <w:t>，收件人：</w:t>
            </w:r>
            <w:r>
              <w:rPr>
                <w:rFonts w:hint="eastAsia" w:ascii="宋体" w:hAnsi="宋体" w:cs="仿宋"/>
                <w:color w:val="auto"/>
                <w:kern w:val="0"/>
                <w:szCs w:val="21"/>
                <w:highlight w:val="none"/>
                <w:u w:val="single"/>
              </w:rPr>
              <w:t>陈凯媛</w:t>
            </w:r>
            <w:r>
              <w:rPr>
                <w:rFonts w:hint="eastAsia"/>
                <w:color w:val="auto"/>
                <w:highlight w:val="none"/>
              </w:rPr>
              <w:t>，联系方式：</w:t>
            </w:r>
            <w:r>
              <w:rPr>
                <w:rFonts w:hint="eastAsia" w:ascii="宋体" w:hAnsi="宋体" w:cs="仿宋"/>
                <w:color w:val="auto"/>
                <w:kern w:val="0"/>
                <w:szCs w:val="21"/>
                <w:highlight w:val="none"/>
                <w:u w:val="single"/>
              </w:rPr>
              <w:t>0771-5894688</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0C0E95A9">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26902BC5">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备注：</w:t>
            </w:r>
          </w:p>
          <w:p w14:paraId="03EBE0F6">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0B220048">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32718580">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481B53F2">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5B703996">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5.采用银行、保险机构出具保函的，必须为无条件保函，否则视为无效磋商保证金。</w:t>
            </w:r>
          </w:p>
          <w:p w14:paraId="7B5E250D">
            <w:pPr>
              <w:snapToGrid w:val="0"/>
              <w:spacing w:line="360" w:lineRule="auto"/>
              <w:rPr>
                <w:rFonts w:hint="eastAsia" w:ascii="宋体" w:hAnsi="宋体" w:cs="宋体"/>
                <w:color w:val="auto"/>
                <w:szCs w:val="21"/>
                <w:highlight w:val="none"/>
              </w:rPr>
            </w:pPr>
            <w:r>
              <w:rPr>
                <w:rFonts w:hint="eastAsia" w:ascii="宋体" w:hAnsi="宋体"/>
                <w:b/>
                <w:color w:val="auto"/>
                <w:szCs w:val="21"/>
                <w:highlight w:val="none"/>
              </w:rPr>
              <w:t>6</w:t>
            </w:r>
            <w:r>
              <w:rPr>
                <w:rFonts w:ascii="宋体" w:hAnsi="宋体"/>
                <w:b/>
                <w:color w:val="auto"/>
                <w:szCs w:val="21"/>
                <w:highlight w:val="none"/>
              </w:rPr>
              <w:t>.</w:t>
            </w:r>
            <w:r>
              <w:rPr>
                <w:rFonts w:hint="eastAsia" w:ascii="宋体" w:hAnsi="宋体"/>
                <w:b/>
                <w:color w:val="auto"/>
                <w:szCs w:val="21"/>
                <w:highlight w:val="none"/>
              </w:rPr>
              <w:t>广西政府采购云平台</w:t>
            </w:r>
            <w:r>
              <w:rPr>
                <w:rFonts w:ascii="宋体" w:hAnsi="宋体"/>
                <w:b/>
                <w:color w:val="auto"/>
                <w:szCs w:val="21"/>
                <w:highlight w:val="none"/>
              </w:rPr>
              <w:t>平台</w:t>
            </w:r>
            <w:r>
              <w:rPr>
                <w:rFonts w:hint="eastAsia" w:ascii="宋体" w:hAnsi="宋体"/>
                <w:b/>
                <w:color w:val="auto"/>
                <w:szCs w:val="21"/>
                <w:highlight w:val="none"/>
              </w:rPr>
              <w:t>暂未</w:t>
            </w:r>
            <w:r>
              <w:rPr>
                <w:rFonts w:ascii="宋体" w:hAnsi="宋体"/>
                <w:b/>
                <w:color w:val="auto"/>
                <w:szCs w:val="21"/>
                <w:highlight w:val="none"/>
              </w:rPr>
              <w:t>支持电子保函功能</w:t>
            </w:r>
            <w:r>
              <w:rPr>
                <w:rFonts w:hint="eastAsia" w:ascii="宋体" w:hAnsi="宋体"/>
                <w:b/>
                <w:color w:val="auto"/>
                <w:szCs w:val="21"/>
                <w:highlight w:val="none"/>
              </w:rPr>
              <w:t>，</w:t>
            </w:r>
            <w:r>
              <w:rPr>
                <w:rFonts w:ascii="宋体" w:hAnsi="宋体"/>
                <w:b/>
                <w:color w:val="auto"/>
                <w:szCs w:val="21"/>
                <w:highlight w:val="none"/>
              </w:rPr>
              <w:t>故本项目暂不接受电子保函形式的保证金</w:t>
            </w:r>
            <w:r>
              <w:rPr>
                <w:rFonts w:hint="eastAsia" w:ascii="宋体" w:hAnsi="宋体"/>
                <w:b/>
                <w:color w:val="auto"/>
                <w:szCs w:val="21"/>
                <w:highlight w:val="none"/>
              </w:rPr>
              <w:t>。</w:t>
            </w:r>
          </w:p>
        </w:tc>
      </w:tr>
      <w:tr w14:paraId="0F726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BDAD2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27A8BD49">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1BDF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D7B8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18BDBAB3">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41B019ED">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01843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A7E31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2EBF71F9">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ascii="宋体" w:hAnsi="宋体" w:cs="宋体"/>
                <w:color w:val="auto"/>
                <w:szCs w:val="21"/>
                <w:highlight w:val="none"/>
                <w:u w:val="single"/>
              </w:rPr>
              <w:t>3</w:t>
            </w:r>
            <w:r>
              <w:rPr>
                <w:rFonts w:hint="eastAsia" w:ascii="宋体" w:hAnsi="宋体" w:cs="宋体"/>
                <w:color w:val="auto"/>
                <w:szCs w:val="21"/>
                <w:highlight w:val="none"/>
              </w:rPr>
              <w:t>人或以上单数。</w:t>
            </w:r>
          </w:p>
        </w:tc>
      </w:tr>
      <w:tr w14:paraId="46EC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A657A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537D7FC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109BDFF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30</w:t>
            </w:r>
            <w:r>
              <w:rPr>
                <w:rFonts w:hint="eastAsia" w:hAnsi="宋体"/>
                <w:color w:val="auto"/>
                <w:highlight w:val="none"/>
              </w:rPr>
              <w:t>分钟</w:t>
            </w:r>
          </w:p>
        </w:tc>
      </w:tr>
      <w:tr w14:paraId="36B47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085759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1A2354E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ascii="宋体" w:hAnsi="宋体" w:cs="宋体"/>
                <w:color w:val="auto"/>
                <w:szCs w:val="21"/>
                <w:highlight w:val="none"/>
                <w:u w:val="single"/>
              </w:rPr>
              <w:t>0</w:t>
            </w:r>
            <w:r>
              <w:rPr>
                <w:rFonts w:hint="eastAsia" w:ascii="宋体" w:hAnsi="宋体" w:cs="宋体"/>
                <w:color w:val="auto"/>
                <w:szCs w:val="21"/>
                <w:highlight w:val="none"/>
              </w:rPr>
              <w:t>项。</w:t>
            </w:r>
          </w:p>
          <w:p w14:paraId="587C617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0</w:t>
            </w:r>
            <w:r>
              <w:rPr>
                <w:rFonts w:hint="eastAsia" w:ascii="宋体" w:hAnsi="宋体" w:cs="宋体"/>
                <w:color w:val="auto"/>
                <w:szCs w:val="21"/>
                <w:highlight w:val="none"/>
              </w:rPr>
              <w:t>项。</w:t>
            </w:r>
          </w:p>
        </w:tc>
      </w:tr>
      <w:tr w14:paraId="658C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3CC55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476AA4E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p w14:paraId="6144B15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☑本项目收取履约保证金，具体规定如下：</w:t>
            </w:r>
          </w:p>
          <w:p w14:paraId="23535F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履约保证金金额：按预算金额的</w:t>
            </w:r>
            <w:r>
              <w:rPr>
                <w:rFonts w:hint="eastAsia" w:ascii="宋体" w:hAnsi="宋体" w:cs="宋体"/>
                <w:color w:val="auto"/>
                <w:szCs w:val="21"/>
                <w:highlight w:val="none"/>
                <w:u w:val="single"/>
              </w:rPr>
              <w:t xml:space="preserve"> 2</w:t>
            </w:r>
            <w:r>
              <w:rPr>
                <w:rFonts w:hint="eastAsia" w:ascii="宋体" w:hAnsi="宋体" w:cs="宋体"/>
                <w:color w:val="auto"/>
                <w:szCs w:val="21"/>
                <w:highlight w:val="none"/>
              </w:rPr>
              <w:t>%</w:t>
            </w:r>
          </w:p>
          <w:p w14:paraId="5079C02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签订合同前交至采购人账户。</w:t>
            </w:r>
          </w:p>
          <w:p w14:paraId="69CDE1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14:paraId="1A5687B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p>
          <w:p w14:paraId="04A0DB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在成交人按合同约定履行后，如无问题，由成交供应商向履约保证金收取单位提供《广西壮族自治区政府采购项目合同验收书》（详见桂财采〔2015〕22号），保证金收取单位在收到合格材料后5个工作日内办理退还手续（不计利息）。履约保证金指定账户：</w:t>
            </w:r>
          </w:p>
          <w:p w14:paraId="2A12D3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开户名称：广西壮族自治区司法厅</w:t>
            </w:r>
          </w:p>
          <w:p w14:paraId="2F52B42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开户银行：建行南宁新华支行</w:t>
            </w:r>
          </w:p>
          <w:p w14:paraId="12D5637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银行账号：45001604658050502855</w:t>
            </w:r>
          </w:p>
          <w:p w14:paraId="1F5530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统一社会信用代码：114500000075650208</w:t>
            </w:r>
          </w:p>
          <w:p w14:paraId="22359CF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联系电话：0771-5849232</w:t>
            </w:r>
          </w:p>
          <w:p w14:paraId="7DD4A6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地址：南宁市星湖路北二里1号</w:t>
            </w:r>
          </w:p>
          <w:p w14:paraId="62024C03">
            <w:pPr>
              <w:spacing w:line="360" w:lineRule="auto"/>
              <w:contextualSpacing/>
              <w:rPr>
                <w:rFonts w:hint="eastAsia" w:ascii="宋体" w:hAnsi="宋体" w:cs="宋体"/>
                <w:color w:val="auto"/>
                <w:szCs w:val="21"/>
                <w:highlight w:val="none"/>
              </w:rPr>
            </w:pPr>
          </w:p>
          <w:p w14:paraId="0D2AFED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457E1E5F">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bookmarkStart w:id="67" w:name="_Hlk54170335"/>
            <w:r>
              <w:rPr>
                <w:rFonts w:hint="eastAsia" w:ascii="宋体" w:hAnsi="宋体"/>
                <w:b/>
                <w:color w:val="auto"/>
                <w:szCs w:val="21"/>
                <w:highlight w:val="none"/>
              </w:rPr>
              <w:t>根据《广西壮族自治区财政厅关于贯彻落实政府采购优化营商环境百日攻坚行动方案的通知》（桂财采〔2020〕49号）及桂财采〔2022〕30号 广西壮族自治区财政厅关于进一步发挥政府采购政策功能促进企业发展的通知规定，采购文件要求中标或者成交供应商提交履约保证金的，履约保证金数额不得超过政府采购合同金额的5%，对中小企业收取的履约保证金数额不得超过政府采购合同金额的2%。</w:t>
            </w:r>
            <w:bookmarkEnd w:id="67"/>
          </w:p>
          <w:p w14:paraId="125FEDD1">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05333376">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1849E2C1">
            <w:pPr>
              <w:snapToGrid w:val="0"/>
              <w:spacing w:line="360" w:lineRule="auto"/>
              <w:rPr>
                <w:rFonts w:hint="eastAsia"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24384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965496">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5F37F87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签订合同携带的证明材料：</w:t>
            </w:r>
          </w:p>
          <w:p w14:paraId="01442F1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FCE9BB5">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61FF3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9F13E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7ACB02B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5933B90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质疑联系部门及联系方式：广西国栋招标有限公司</w:t>
            </w:r>
          </w:p>
          <w:p w14:paraId="304E068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联系电话：0771-5894688</w:t>
            </w:r>
          </w:p>
          <w:p w14:paraId="3C5E343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通讯地址：南宁市青秀区双拥路40-1号东方明珠花园1栋1单元9层</w:t>
            </w:r>
          </w:p>
          <w:p w14:paraId="05066938">
            <w:pPr>
              <w:pStyle w:val="22"/>
              <w:snapToGrid w:val="0"/>
              <w:spacing w:line="360" w:lineRule="auto"/>
              <w:rPr>
                <w:rFonts w:hint="eastAsia" w:hAnsi="宋体"/>
                <w:color w:val="auto"/>
                <w:kern w:val="2"/>
                <w:sz w:val="21"/>
                <w:highlight w:val="none"/>
              </w:rPr>
            </w:pPr>
            <w:r>
              <w:rPr>
                <w:rFonts w:hint="eastAsia" w:hAnsi="宋体"/>
                <w:color w:val="auto"/>
                <w:kern w:val="2"/>
                <w:sz w:val="21"/>
                <w:highlight w:val="none"/>
              </w:rPr>
              <w:t>业务时间：每天上午8时00分到12时00分，下午2时30分到5时30分，双休日和法定节假日不办理业务。</w:t>
            </w:r>
          </w:p>
        </w:tc>
      </w:tr>
      <w:tr w14:paraId="5F698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B3372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51569EBD">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0314A9E1">
            <w:pPr>
              <w:pStyle w:val="22"/>
              <w:snapToGrid w:val="0"/>
              <w:spacing w:line="360" w:lineRule="auto"/>
              <w:rPr>
                <w:rFonts w:hint="eastAsia" w:hAnsi="宋体" w:cs="宋体"/>
                <w:color w:val="auto"/>
                <w:sz w:val="21"/>
                <w:highlight w:val="none"/>
              </w:rPr>
            </w:pPr>
            <w:r>
              <w:rPr>
                <w:rFonts w:hint="eastAsia" w:hAnsi="宋体"/>
                <w:color w:val="auto"/>
                <w:highlight w:val="none"/>
              </w:rPr>
              <w:t>√</w:t>
            </w:r>
            <w:r>
              <w:rPr>
                <w:rFonts w:hint="eastAsia" w:hAnsi="宋体" w:cs="宋体"/>
                <w:color w:val="auto"/>
                <w:sz w:val="21"/>
                <w:highlight w:val="none"/>
              </w:rPr>
              <w:t>本项目代理服务费按如下规定由</w:t>
            </w:r>
            <w:r>
              <w:rPr>
                <w:rFonts w:hint="eastAsia" w:hAnsi="宋体" w:cs="宋体"/>
                <w:color w:val="auto"/>
                <w:sz w:val="21"/>
                <w:highlight w:val="none"/>
                <w:u w:val="single"/>
              </w:rPr>
              <w:t>成交供应商</w:t>
            </w:r>
            <w:r>
              <w:rPr>
                <w:rFonts w:hint="eastAsia" w:hAnsi="宋体" w:cs="宋体"/>
                <w:color w:val="auto"/>
                <w:sz w:val="21"/>
                <w:highlight w:val="none"/>
              </w:rPr>
              <w:t>在领取成交通知书前，一次性向采购代理机构支付。</w:t>
            </w:r>
          </w:p>
          <w:p w14:paraId="4AC5E1D2">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24752144">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3C89EE5E">
            <w:pPr>
              <w:pStyle w:val="22"/>
              <w:snapToGrid w:val="0"/>
              <w:spacing w:line="360" w:lineRule="auto"/>
              <w:rPr>
                <w:rFonts w:hint="eastAsia" w:hAnsi="宋体" w:cs="宋体"/>
                <w:color w:val="auto"/>
                <w:sz w:val="21"/>
                <w:highlight w:val="none"/>
              </w:rPr>
            </w:pPr>
            <w:r>
              <w:rPr>
                <w:rFonts w:hint="eastAsia" w:hAnsi="宋体"/>
                <w:color w:val="auto"/>
                <w:highlight w:val="none"/>
              </w:rPr>
              <w:t>√</w:t>
            </w:r>
            <w:r>
              <w:rPr>
                <w:rFonts w:hint="eastAsia" w:hAnsi="宋体" w:cs="宋体"/>
                <w:color w:val="auto"/>
                <w:sz w:val="21"/>
                <w:highlight w:val="none"/>
              </w:rPr>
              <w:t>以分标（□成交金额/</w:t>
            </w:r>
            <w:r>
              <w:rPr>
                <w:rFonts w:hint="eastAsia" w:hAnsi="宋体"/>
                <w:color w:val="auto"/>
                <w:highlight w:val="none"/>
              </w:rPr>
              <w:t>√</w:t>
            </w:r>
            <w:r>
              <w:rPr>
                <w:rFonts w:hint="eastAsia" w:hAnsi="宋体" w:cs="宋体"/>
                <w:color w:val="auto"/>
                <w:sz w:val="21"/>
                <w:highlight w:val="none"/>
              </w:rPr>
              <w:t>采购预算/□暂定成交金额/□其他）为计费额，按本须知正文第35.1条规定的（□货物类/√服务类/□工程类）标准采用差额定率累进法计算出收费基准价格，采购代理收费以（</w:t>
            </w:r>
            <w:r>
              <w:rPr>
                <w:rFonts w:ascii="Segoe UI Symbol" w:hAnsi="Segoe UI Symbol" w:cs="Segoe UI Symbol"/>
                <w:color w:val="auto"/>
                <w:sz w:val="21"/>
                <w:highlight w:val="none"/>
              </w:rPr>
              <w:t>☑</w:t>
            </w:r>
            <w:r>
              <w:rPr>
                <w:rFonts w:hint="eastAsia" w:hAnsi="宋体" w:cs="宋体"/>
                <w:color w:val="auto"/>
                <w:sz w:val="21"/>
                <w:highlight w:val="none"/>
              </w:rPr>
              <w:t>收费基准价格/□收费基准价格下浮/□收费基准价格上浮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128A5CA0">
            <w:pPr>
              <w:pStyle w:val="22"/>
              <w:snapToGrid w:val="0"/>
              <w:spacing w:line="360" w:lineRule="auto"/>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61101CBF">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3.采购代理费收取银行账户</w:t>
            </w:r>
          </w:p>
          <w:p w14:paraId="422BB530">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开户名称：广西国栋招标有限公司，</w:t>
            </w:r>
          </w:p>
          <w:p w14:paraId="21D2B833">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开户银行：平安银行南宁分行营业部，</w:t>
            </w:r>
          </w:p>
          <w:p w14:paraId="2BF13420">
            <w:pPr>
              <w:pStyle w:val="22"/>
              <w:snapToGrid w:val="0"/>
              <w:spacing w:line="360" w:lineRule="auto"/>
              <w:rPr>
                <w:rFonts w:hint="eastAsia" w:hAnsi="宋体" w:cs="宋体"/>
                <w:color w:val="auto"/>
                <w:sz w:val="21"/>
                <w:highlight w:val="none"/>
                <w:u w:val="single"/>
              </w:rPr>
            </w:pPr>
            <w:r>
              <w:rPr>
                <w:rFonts w:hint="eastAsia" w:hAnsi="宋体" w:cs="宋体"/>
                <w:color w:val="auto"/>
                <w:sz w:val="21"/>
                <w:highlight w:val="none"/>
              </w:rPr>
              <w:t>银行账号：15333566666608。</w:t>
            </w:r>
          </w:p>
        </w:tc>
      </w:tr>
      <w:tr w14:paraId="0FBB2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83BA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719C2EC5">
            <w:pPr>
              <w:pStyle w:val="22"/>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2D576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8F61B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09A51A9A">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DFA4D5B">
            <w:pPr>
              <w:pStyle w:val="22"/>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26765382">
            <w:pPr>
              <w:pStyle w:val="22"/>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246E6597">
            <w:pPr>
              <w:pStyle w:val="22"/>
              <w:snapToGrid w:val="0"/>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3A3C10A5">
            <w:pPr>
              <w:pStyle w:val="22"/>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r w14:paraId="36A26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D7F3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33.3</w:t>
            </w:r>
          </w:p>
        </w:tc>
        <w:tc>
          <w:tcPr>
            <w:tcW w:w="7912" w:type="dxa"/>
            <w:vAlign w:val="center"/>
          </w:tcPr>
          <w:p w14:paraId="30960CE1">
            <w:pPr>
              <w:spacing w:line="380" w:lineRule="atLeast"/>
              <w:ind w:firstLine="210" w:firstLineChars="100"/>
              <w:rPr>
                <w:color w:val="auto"/>
                <w:highlight w:val="none"/>
              </w:rPr>
            </w:pPr>
            <w:r>
              <w:rPr>
                <w:color w:val="auto"/>
                <w:highlight w:val="none"/>
              </w:rPr>
              <w:t>截标后将进行谈判/磋商：</w:t>
            </w:r>
            <w:r>
              <w:rPr>
                <w:color w:val="auto"/>
                <w:highlight w:val="none"/>
              </w:rPr>
              <w:br w:type="textWrapping"/>
            </w:r>
            <w:r>
              <w:rPr>
                <w:color w:val="auto"/>
                <w:highlight w:val="none"/>
              </w:rPr>
              <w:t>   （1）委托代理人（法定代表人）请注意预留的手机号码中</w:t>
            </w:r>
            <w:r>
              <w:rPr>
                <w:rFonts w:hint="eastAsia"/>
                <w:color w:val="auto"/>
                <w:highlight w:val="none"/>
              </w:rPr>
              <w:t>广西政府采购云平台</w:t>
            </w:r>
            <w:r>
              <w:rPr>
                <w:color w:val="auto"/>
                <w:highlight w:val="none"/>
              </w:rPr>
              <w:t>系统发送的短信提示，并按照要求进行响应及报价。</w:t>
            </w:r>
            <w:r>
              <w:rPr>
                <w:color w:val="auto"/>
                <w:highlight w:val="none"/>
              </w:rPr>
              <w:br w:type="textWrapping"/>
            </w:r>
            <w:r>
              <w:rPr>
                <w:color w:val="auto"/>
                <w:highlight w:val="none"/>
              </w:rPr>
              <w:t>   （2）进入</w:t>
            </w:r>
            <w:r>
              <w:rPr>
                <w:rFonts w:hint="eastAsia"/>
                <w:color w:val="auto"/>
                <w:highlight w:val="none"/>
              </w:rPr>
              <w:t>广西政府采购云平台</w:t>
            </w:r>
            <w:r>
              <w:rPr>
                <w:color w:val="auto"/>
                <w:highlight w:val="none"/>
              </w:rPr>
              <w:t>系统，点击页面右上角的“待办”，找到对应的项目，按系统提示操作。</w:t>
            </w:r>
            <w:r>
              <w:rPr>
                <w:color w:val="auto"/>
                <w:highlight w:val="none"/>
              </w:rPr>
              <w:br w:type="textWrapping"/>
            </w:r>
            <w:r>
              <w:rPr>
                <w:rFonts w:hint="eastAsia"/>
                <w:color w:val="auto"/>
                <w:highlight w:val="none"/>
              </w:rPr>
              <w:t xml:space="preserve"> </w:t>
            </w:r>
            <w:r>
              <w:rPr>
                <w:color w:val="auto"/>
                <w:highlight w:val="none"/>
              </w:rPr>
              <w:t xml:space="preserve"> （3）如仍无法找到，请电话咨询</w:t>
            </w:r>
            <w:r>
              <w:rPr>
                <w:rFonts w:hint="eastAsia"/>
                <w:color w:val="auto"/>
                <w:highlight w:val="none"/>
              </w:rPr>
              <w:t>广西国栋招标有限公司</w:t>
            </w:r>
            <w:r>
              <w:rPr>
                <w:color w:val="auto"/>
                <w:highlight w:val="none"/>
              </w:rPr>
              <w:t>。</w:t>
            </w:r>
          </w:p>
          <w:p w14:paraId="0778E4D1">
            <w:pPr>
              <w:spacing w:line="380" w:lineRule="atLeast"/>
              <w:ind w:firstLine="495"/>
              <w:rPr>
                <w:color w:val="auto"/>
                <w:highlight w:val="none"/>
              </w:rPr>
            </w:pPr>
          </w:p>
          <w:p w14:paraId="43EEC792">
            <w:pPr>
              <w:spacing w:line="380" w:lineRule="atLeast"/>
              <w:ind w:firstLine="495"/>
              <w:rPr>
                <w:color w:val="auto"/>
                <w:highlight w:val="none"/>
              </w:rPr>
            </w:pPr>
            <w:r>
              <w:rPr>
                <w:color w:val="auto"/>
                <w:highlight w:val="none"/>
              </w:rPr>
              <w:drawing>
                <wp:inline distT="0" distB="0" distL="0" distR="0">
                  <wp:extent cx="4404995" cy="1323975"/>
                  <wp:effectExtent l="0" t="0" r="0" b="0"/>
                  <wp:docPr id="6" name="图片 6" descr="E:\我的文档\Tencent Files\122522256\Image\Group2\26\{R\26{REN{A)V`)]3S4]HF}MT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我的文档\Tencent Files\122522256\Image\Group2\26\{R\26{REN{A)V`)]3S4]HF}MTQ.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14168" cy="1326549"/>
                          </a:xfrm>
                          <a:prstGeom prst="rect">
                            <a:avLst/>
                          </a:prstGeom>
                          <a:noFill/>
                          <a:ln>
                            <a:noFill/>
                          </a:ln>
                        </pic:spPr>
                      </pic:pic>
                    </a:graphicData>
                  </a:graphic>
                </wp:inline>
              </w:drawing>
            </w:r>
          </w:p>
          <w:p w14:paraId="3A6AF4DF">
            <w:pPr>
              <w:spacing w:line="380" w:lineRule="atLeast"/>
              <w:ind w:firstLine="495"/>
              <w:rPr>
                <w:color w:val="auto"/>
                <w:highlight w:val="none"/>
              </w:rPr>
            </w:pPr>
          </w:p>
          <w:p w14:paraId="3440D7C5">
            <w:pPr>
              <w:pStyle w:val="22"/>
              <w:snapToGrid w:val="0"/>
              <w:spacing w:line="360" w:lineRule="auto"/>
              <w:rPr>
                <w:rFonts w:hint="eastAsia" w:hAnsi="宋体" w:cs="宋体"/>
                <w:color w:val="auto"/>
                <w:sz w:val="21"/>
                <w:highlight w:val="none"/>
              </w:rPr>
            </w:pPr>
          </w:p>
        </w:tc>
      </w:tr>
    </w:tbl>
    <w:p w14:paraId="0EA402F8">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4512A9A1">
      <w:pPr>
        <w:spacing w:line="400" w:lineRule="exact"/>
        <w:jc w:val="center"/>
        <w:rPr>
          <w:rFonts w:hint="eastAsia" w:ascii="宋体" w:hAnsi="宋体"/>
          <w:b/>
          <w:color w:val="auto"/>
          <w:sz w:val="32"/>
          <w:szCs w:val="32"/>
          <w:highlight w:val="none"/>
        </w:rPr>
      </w:pPr>
    </w:p>
    <w:p w14:paraId="78024E8A">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0B8C0829">
      <w:pPr>
        <w:spacing w:line="400" w:lineRule="exact"/>
        <w:rPr>
          <w:rFonts w:hint="eastAsia" w:ascii="宋体" w:hAnsi="宋体"/>
          <w:color w:val="auto"/>
          <w:szCs w:val="21"/>
          <w:highlight w:val="none"/>
        </w:rPr>
      </w:pPr>
    </w:p>
    <w:p w14:paraId="1621C27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282E4A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2EF4F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01C5FB2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34023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EA2225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5D0C1C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4BBA858">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1E3606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19B536A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57FD614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E88DF3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53E9253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32449035">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0B5D1F1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0E7D928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026B76E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6FBE1D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B8AABD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41EF9B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0274E0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1EE8E1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71F8A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400392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8" w:name="_Hlk66782192"/>
      <w:r>
        <w:rPr>
          <w:rFonts w:hint="eastAsia" w:ascii="宋体" w:hAnsi="宋体"/>
          <w:color w:val="auto"/>
          <w:szCs w:val="21"/>
          <w:highlight w:val="none"/>
        </w:rPr>
        <w:t>根据《政府采购促进中小企业发展管理办法》（财库〔2020〕46号）第九条第二款及桂财采〔2022〕30号 广西壮族自治区财政厅关于进一步发挥政府采购政策功能促进企业发展的通知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auto"/>
          <w:szCs w:val="21"/>
          <w:highlight w:val="none"/>
        </w:rPr>
        <w:t>4</w:t>
      </w:r>
      <w:r>
        <w:rPr>
          <w:rFonts w:hint="eastAsia" w:ascii="宋体" w:hAnsi="宋体"/>
          <w:color w:val="auto"/>
          <w:szCs w:val="21"/>
          <w:highlight w:val="none"/>
        </w:rPr>
        <w:t>%的扣除，用扣除后的价格参加评审。</w:t>
      </w:r>
      <w:bookmarkEnd w:id="68"/>
    </w:p>
    <w:p w14:paraId="6415F38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6.转包与分包</w:t>
      </w:r>
    </w:p>
    <w:p w14:paraId="392D8E1D">
      <w:pPr>
        <w:spacing w:line="360" w:lineRule="auto"/>
        <w:ind w:firstLine="420" w:firstLineChars="200"/>
        <w:rPr>
          <w:rFonts w:hint="eastAsia" w:ascii="宋体" w:hAnsi="宋体"/>
          <w:color w:val="auto"/>
          <w:szCs w:val="21"/>
          <w:highlight w:val="none"/>
        </w:rPr>
      </w:pPr>
      <w:bookmarkStart w:id="69" w:name="_Toc254970532"/>
      <w:bookmarkStart w:id="70" w:name="_Toc254970673"/>
      <w:r>
        <w:rPr>
          <w:rFonts w:hint="eastAsia" w:ascii="宋体" w:hAnsi="宋体"/>
          <w:color w:val="auto"/>
          <w:szCs w:val="21"/>
          <w:highlight w:val="none"/>
        </w:rPr>
        <w:t>6.1本项目不允许转包。</w:t>
      </w:r>
    </w:p>
    <w:p w14:paraId="23B1CE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74112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166E03B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9"/>
      <w:bookmarkEnd w:id="70"/>
    </w:p>
    <w:p w14:paraId="1591955E">
      <w:pPr>
        <w:spacing w:line="360" w:lineRule="auto"/>
        <w:ind w:firstLine="420" w:firstLineChars="200"/>
        <w:rPr>
          <w:rFonts w:hint="eastAsia" w:ascii="宋体" w:hAnsi="宋体" w:cs="宋体"/>
          <w:color w:val="auto"/>
          <w:szCs w:val="21"/>
          <w:highlight w:val="none"/>
        </w:rPr>
      </w:pPr>
      <w:bookmarkStart w:id="71" w:name="_8.1提供相同品牌产品且通过资格审查、符合性审查的不同投标人参加同一合"/>
      <w:bookmarkEnd w:id="71"/>
      <w:r>
        <w:rPr>
          <w:rFonts w:hint="eastAsia" w:ascii="宋体" w:hAnsi="宋体" w:cs="宋体"/>
          <w:color w:val="auto"/>
          <w:szCs w:val="21"/>
          <w:highlight w:val="none"/>
        </w:rPr>
        <w:t>7.</w:t>
      </w:r>
      <w:r>
        <w:rPr>
          <w:rFonts w:ascii="宋体" w:hAnsi="宋体" w:cs="宋体"/>
          <w:color w:val="auto"/>
          <w:szCs w:val="21"/>
          <w:highlight w:val="none"/>
        </w:rPr>
        <w:t>1</w:t>
      </w:r>
      <w:bookmarkStart w:id="72" w:name="_Hlk65832145"/>
      <w:r>
        <w:rPr>
          <w:rFonts w:hint="eastAsia" w:ascii="宋体" w:hAnsi="宋体"/>
          <w:color w:val="auto"/>
          <w:szCs w:val="21"/>
          <w:highlight w:val="none"/>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highlight w:val="none"/>
        </w:rPr>
        <w:t>。</w:t>
      </w:r>
    </w:p>
    <w:bookmarkEnd w:id="72"/>
    <w:p w14:paraId="0D1C03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06C7C2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87C75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19C2C4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FFF0F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71338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77665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42515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DC109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18F78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37FDDF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2174C5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7D398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B8ECF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0ADE4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A2EAFC9">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7C1A97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233D54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2CD8D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2B287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5F22E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6FCF5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15018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8DA3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586020B">
      <w:pPr>
        <w:spacing w:line="360" w:lineRule="auto"/>
        <w:ind w:firstLine="420" w:firstLineChars="200"/>
        <w:rPr>
          <w:rFonts w:hint="eastAsia" w:ascii="宋体" w:hAnsi="宋体" w:cs="宋体"/>
          <w:color w:val="auto"/>
          <w:szCs w:val="21"/>
          <w:highlight w:val="none"/>
        </w:rPr>
      </w:pPr>
    </w:p>
    <w:p w14:paraId="710931E4">
      <w:pPr>
        <w:spacing w:line="360" w:lineRule="auto"/>
        <w:ind w:left="1" w:firstLine="417" w:firstLineChars="199"/>
        <w:jc w:val="center"/>
        <w:rPr>
          <w:rFonts w:hint="eastAsia" w:ascii="宋体" w:hAnsi="宋体"/>
          <w:color w:val="auto"/>
          <w:highlight w:val="none"/>
        </w:rPr>
      </w:pPr>
      <w:bookmarkStart w:id="73" w:name="_Toc254970534"/>
      <w:bookmarkStart w:id="74" w:name="_Toc254970675"/>
    </w:p>
    <w:p w14:paraId="08CBE620">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73"/>
      <w:bookmarkEnd w:id="74"/>
    </w:p>
    <w:p w14:paraId="11481B7D">
      <w:pPr>
        <w:spacing w:line="360" w:lineRule="auto"/>
        <w:rPr>
          <w:rFonts w:hint="eastAsia" w:ascii="宋体" w:hAnsi="宋体"/>
          <w:color w:val="auto"/>
          <w:szCs w:val="21"/>
          <w:highlight w:val="none"/>
        </w:rPr>
      </w:pPr>
    </w:p>
    <w:p w14:paraId="1653574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1648734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（1）竞争性磋商公告/竞标邀请函；</w:t>
      </w:r>
    </w:p>
    <w:p w14:paraId="747BF40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（2）供应商须知；</w:t>
      </w:r>
    </w:p>
    <w:p w14:paraId="524DFDC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150D5C3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3C966D5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71EC61A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146B9B2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7F2C5D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3F95C9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7061C353">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718F4960">
      <w:pPr>
        <w:spacing w:line="360" w:lineRule="auto"/>
        <w:rPr>
          <w:rFonts w:hint="eastAsia" w:ascii="宋体" w:hAnsi="宋体"/>
          <w:color w:val="auto"/>
          <w:szCs w:val="21"/>
          <w:highlight w:val="none"/>
        </w:rPr>
      </w:pPr>
    </w:p>
    <w:p w14:paraId="20FEDC64">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6C59AD2F">
      <w:pPr>
        <w:spacing w:line="360" w:lineRule="auto"/>
        <w:rPr>
          <w:rFonts w:hint="eastAsia" w:ascii="宋体" w:hAnsi="宋体"/>
          <w:color w:val="auto"/>
          <w:szCs w:val="21"/>
          <w:highlight w:val="none"/>
        </w:rPr>
      </w:pPr>
    </w:p>
    <w:p w14:paraId="4755E18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44B8EE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59EA56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323C65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205BD6A">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414071EF">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605FC347">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54D3526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4A0C60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7DB315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F010C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65057E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43486FCA">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4CF5676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7D8DD900">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45CAC0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0E42E19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36D538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2CF757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27D6B9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73A1B5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75" w:name="_Hlk42592874"/>
      <w:r>
        <w:rPr>
          <w:rFonts w:hint="eastAsia" w:ascii="宋体" w:hAnsi="宋体" w:cs="宋体"/>
          <w:color w:val="auto"/>
          <w:szCs w:val="21"/>
          <w:highlight w:val="none"/>
        </w:rPr>
        <w:t>竞标报价（包含首次报价、最后报价）超过分项采购预算金额或者最高限价的，其响应文件将按无效处理。</w:t>
      </w:r>
    </w:p>
    <w:p w14:paraId="1DBDB24B">
      <w:pPr>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15.3.4报价须按固定金额100元/人报价，否则其响应文件将按无效处理。</w:t>
      </w:r>
    </w:p>
    <w:p w14:paraId="116DAE35">
      <w:pPr>
        <w:pStyle w:val="44"/>
        <w:ind w:firstLine="480"/>
        <w:rPr>
          <w:color w:val="auto"/>
          <w:highlight w:val="none"/>
        </w:rPr>
      </w:pPr>
    </w:p>
    <w:bookmarkEnd w:id="75"/>
    <w:p w14:paraId="37C0DB4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7CA828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A2E3D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3B0ACA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80E01F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3C6D9C7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5418959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4E2F8E35">
      <w:pPr>
        <w:spacing w:line="360" w:lineRule="auto"/>
        <w:ind w:firstLine="420" w:firstLineChars="200"/>
        <w:rPr>
          <w:rFonts w:hint="eastAsia" w:ascii="宋体" w:hAnsi="宋体" w:cs="宋体"/>
          <w:color w:val="auto"/>
          <w:szCs w:val="21"/>
          <w:highlight w:val="none"/>
        </w:rPr>
      </w:pPr>
      <w:bookmarkStart w:id="76"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w:t>
      </w:r>
      <w:r>
        <w:rPr>
          <w:rFonts w:ascii="宋体" w:hAnsi="宋体" w:cs="宋体"/>
          <w:color w:val="auto"/>
          <w:spacing w:val="-6"/>
          <w:szCs w:val="21"/>
          <w:highlight w:val="none"/>
        </w:rPr>
        <w:t>4</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成交供应商的磋商保证金自签订合同之日起</w:t>
      </w:r>
      <w:r>
        <w:rPr>
          <w:rFonts w:ascii="宋体" w:hAnsi="宋体" w:cs="宋体"/>
          <w:color w:val="auto"/>
          <w:szCs w:val="21"/>
          <w:highlight w:val="none"/>
        </w:rPr>
        <w:t>4</w:t>
      </w:r>
      <w:r>
        <w:rPr>
          <w:rFonts w:hint="eastAsia" w:ascii="宋体" w:hAnsi="宋体" w:cs="宋体"/>
          <w:color w:val="auto"/>
          <w:szCs w:val="21"/>
          <w:highlight w:val="none"/>
        </w:rPr>
        <w:t>个工作日内退还。</w:t>
      </w:r>
      <w:bookmarkEnd w:id="76"/>
    </w:p>
    <w:p w14:paraId="116F649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7973C14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68CBF19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72FF9A99">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52DAC5A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2DDCC0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08E40A9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F771F8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0801E56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4BCB36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DF5C2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683E52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39DE2C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B53FB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FE42115">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6DD61CAF">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电子备份响应文件是指通过“广西政府采购云平台电子投标客户端”在线编制生成且后缀名为“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4A1761B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7E0D1C05">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w:t>
      </w:r>
    </w:p>
    <w:p w14:paraId="57F8EAE5">
      <w:pP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03582F6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9205970">
      <w:pPr>
        <w:snapToGrid w:val="0"/>
        <w:spacing w:line="360" w:lineRule="auto"/>
        <w:ind w:firstLine="420"/>
        <w:jc w:val="left"/>
        <w:rPr>
          <w:rFonts w:hint="eastAsia" w:ascii="宋体" w:hAnsi="宋体"/>
          <w:color w:val="auto"/>
          <w:szCs w:val="21"/>
          <w:highlight w:val="none"/>
        </w:rPr>
      </w:pPr>
      <w:bookmarkStart w:id="77" w:name="_Toc254970684"/>
      <w:bookmarkStart w:id="78"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77"/>
    <w:bookmarkEnd w:id="78"/>
    <w:p w14:paraId="19140CA9">
      <w:pPr>
        <w:pStyle w:val="62"/>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3136633F">
      <w:pPr>
        <w:spacing w:line="360" w:lineRule="auto"/>
        <w:ind w:firstLine="482" w:firstLineChars="200"/>
        <w:rPr>
          <w:rFonts w:hint="eastAsia" w:ascii="黑体" w:hAnsi="黑体" w:eastAsia="黑体" w:cs="宋体"/>
          <w:b/>
          <w:bCs/>
          <w:color w:val="auto"/>
          <w:sz w:val="24"/>
          <w:highlight w:val="none"/>
        </w:rPr>
      </w:pPr>
      <w:bookmarkStart w:id="79" w:name="_Hlk45702405"/>
      <w:r>
        <w:rPr>
          <w:rFonts w:hint="eastAsia" w:ascii="黑体" w:hAnsi="黑体" w:eastAsia="黑体" w:cs="宋体"/>
          <w:b/>
          <w:bCs/>
          <w:color w:val="auto"/>
          <w:sz w:val="24"/>
          <w:highlight w:val="none"/>
        </w:rPr>
        <w:t>22.响应文件的退回</w:t>
      </w:r>
    </w:p>
    <w:p w14:paraId="0E8A36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747E26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BC5F2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9"/>
    <w:p w14:paraId="0406F49B">
      <w:pPr>
        <w:spacing w:line="360" w:lineRule="auto"/>
        <w:rPr>
          <w:rFonts w:hint="eastAsia" w:ascii="宋体" w:hAnsi="宋体"/>
          <w:color w:val="auto"/>
          <w:szCs w:val="21"/>
          <w:highlight w:val="none"/>
        </w:rPr>
      </w:pPr>
    </w:p>
    <w:p w14:paraId="19E28FFD">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23BAA0CC">
      <w:pPr>
        <w:spacing w:line="360" w:lineRule="auto"/>
        <w:ind w:left="420" w:firstLine="420"/>
        <w:rPr>
          <w:rFonts w:hint="eastAsia" w:ascii="宋体" w:hAnsi="宋体"/>
          <w:color w:val="auto"/>
          <w:szCs w:val="21"/>
          <w:highlight w:val="none"/>
        </w:rPr>
      </w:pPr>
    </w:p>
    <w:p w14:paraId="49B77B5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1F0297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18101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D3442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28E1912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708AF3BD">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1DB580B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5716B0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1C7D690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12320A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24D07B59">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D18B968">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88DADD6">
      <w:pPr>
        <w:spacing w:line="360" w:lineRule="auto"/>
        <w:ind w:firstLine="420" w:firstLineChars="200"/>
        <w:rPr>
          <w:rFonts w:hint="eastAsia" w:hAnsi="宋体"/>
          <w:color w:val="auto"/>
          <w:highlight w:val="none"/>
        </w:rPr>
      </w:pPr>
      <w:r>
        <w:rPr>
          <w:rFonts w:hint="eastAsia" w:hAnsi="宋体"/>
          <w:color w:val="auto"/>
          <w:highlight w:val="none"/>
        </w:rPr>
        <w:t>（1）电子交易平台发生故障而无法登录访问的；</w:t>
      </w:r>
    </w:p>
    <w:p w14:paraId="1E52C9AE">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690FD101">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1ED2076E">
      <w:pPr>
        <w:spacing w:line="360" w:lineRule="auto"/>
        <w:ind w:firstLine="420" w:firstLineChars="200"/>
        <w:rPr>
          <w:rFonts w:hint="eastAsia" w:hAnsi="宋体"/>
          <w:color w:val="auto"/>
          <w:highlight w:val="none"/>
        </w:rPr>
      </w:pPr>
      <w:r>
        <w:rPr>
          <w:rFonts w:hint="eastAsia" w:hAnsi="宋体"/>
          <w:color w:val="auto"/>
          <w:highlight w:val="none"/>
        </w:rPr>
        <w:t>（4）病毒发作导致不能进行正常操作的；</w:t>
      </w:r>
    </w:p>
    <w:p w14:paraId="7A73C84C">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46D7F46F">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5C924A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7090352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754A14A">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0"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80"/>
    </w:p>
    <w:p w14:paraId="34BC78A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3D6DD0F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38F7AC2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1094A5D2">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31AA259C">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67718D9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0A52A5DE">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1FB1E35B">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14:paraId="066BEC4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75535D6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A33A99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4AFEBA7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94507B5">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8456A5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0E7A2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8711A7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611EBA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88B238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CDE46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63E153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.询问、质疑和投诉</w:t>
      </w:r>
    </w:p>
    <w:p w14:paraId="16C16229">
      <w:pPr>
        <w:pStyle w:val="8"/>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13DF7DB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7FE584A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231EF1F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534FE1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D03EFF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B1A11F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62307A9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8DBB38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1F82C5C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76EAB38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4F5C6B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03D431F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E8DBD5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EA6F44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05F5162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65F233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AD6E1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091FFE4">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C128EA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7EF707FC">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65FA49A7">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34"/>
        <w:tblW w:w="9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4"/>
        <w:gridCol w:w="2939"/>
      </w:tblGrid>
      <w:tr w14:paraId="0FF0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l2br w:val="single" w:color="auto" w:sz="4" w:space="0"/>
            </w:tcBorders>
          </w:tcPr>
          <w:p w14:paraId="4DE8764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6A0EE0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2939" w:type="dxa"/>
            <w:tcBorders>
              <w:top w:val="single" w:color="auto" w:sz="4" w:space="0"/>
              <w:left w:val="single" w:color="auto" w:sz="4" w:space="0"/>
              <w:bottom w:val="single" w:color="auto" w:sz="4" w:space="0"/>
              <w:right w:val="single" w:color="auto" w:sz="4" w:space="0"/>
            </w:tcBorders>
            <w:vAlign w:val="center"/>
          </w:tcPr>
          <w:p w14:paraId="57D7E174">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货物类、服务类</w:t>
            </w:r>
          </w:p>
        </w:tc>
      </w:tr>
      <w:tr w14:paraId="20B0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14:paraId="29E2EE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2939" w:type="dxa"/>
            <w:tcBorders>
              <w:top w:val="single" w:color="auto" w:sz="4" w:space="0"/>
              <w:left w:val="single" w:color="auto" w:sz="4" w:space="0"/>
              <w:bottom w:val="single" w:color="auto" w:sz="4" w:space="0"/>
              <w:right w:val="single" w:color="auto" w:sz="4" w:space="0"/>
            </w:tcBorders>
          </w:tcPr>
          <w:p w14:paraId="01E3F167">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r>
      <w:tr w14:paraId="08B8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14:paraId="360AEDD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2939" w:type="dxa"/>
            <w:tcBorders>
              <w:top w:val="single" w:color="auto" w:sz="4" w:space="0"/>
              <w:left w:val="single" w:color="auto" w:sz="4" w:space="0"/>
              <w:bottom w:val="single" w:color="auto" w:sz="4" w:space="0"/>
              <w:right w:val="single" w:color="auto" w:sz="4" w:space="0"/>
            </w:tcBorders>
          </w:tcPr>
          <w:p w14:paraId="5C5374E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r>
      <w:tr w14:paraId="0BE0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14:paraId="27DE30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2939" w:type="dxa"/>
            <w:tcBorders>
              <w:top w:val="single" w:color="auto" w:sz="4" w:space="0"/>
              <w:left w:val="single" w:color="auto" w:sz="4" w:space="0"/>
              <w:bottom w:val="single" w:color="auto" w:sz="4" w:space="0"/>
              <w:right w:val="single" w:color="auto" w:sz="4" w:space="0"/>
            </w:tcBorders>
          </w:tcPr>
          <w:p w14:paraId="12095A76">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r>
      <w:tr w14:paraId="3773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14:paraId="2EA463B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2939" w:type="dxa"/>
            <w:tcBorders>
              <w:top w:val="single" w:color="auto" w:sz="4" w:space="0"/>
              <w:left w:val="single" w:color="auto" w:sz="4" w:space="0"/>
              <w:bottom w:val="single" w:color="auto" w:sz="4" w:space="0"/>
              <w:right w:val="single" w:color="auto" w:sz="4" w:space="0"/>
            </w:tcBorders>
          </w:tcPr>
          <w:p w14:paraId="7391B25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r>
      <w:tr w14:paraId="3B72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14:paraId="54E0F12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2939" w:type="dxa"/>
            <w:tcBorders>
              <w:top w:val="single" w:color="auto" w:sz="4" w:space="0"/>
              <w:left w:val="single" w:color="auto" w:sz="4" w:space="0"/>
              <w:bottom w:val="single" w:color="auto" w:sz="4" w:space="0"/>
              <w:right w:val="single" w:color="auto" w:sz="4" w:space="0"/>
            </w:tcBorders>
          </w:tcPr>
          <w:p w14:paraId="549035F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r>
      <w:tr w14:paraId="22AB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14:paraId="26D072A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2939" w:type="dxa"/>
            <w:tcBorders>
              <w:top w:val="single" w:color="auto" w:sz="4" w:space="0"/>
              <w:left w:val="single" w:color="auto" w:sz="4" w:space="0"/>
              <w:bottom w:val="single" w:color="auto" w:sz="4" w:space="0"/>
              <w:right w:val="single" w:color="auto" w:sz="4" w:space="0"/>
            </w:tcBorders>
          </w:tcPr>
          <w:p w14:paraId="25CC1E1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r>
      <w:tr w14:paraId="25CE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14:paraId="3232222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2939" w:type="dxa"/>
            <w:tcBorders>
              <w:top w:val="single" w:color="auto" w:sz="4" w:space="0"/>
              <w:left w:val="single" w:color="auto" w:sz="4" w:space="0"/>
              <w:bottom w:val="single" w:color="auto" w:sz="4" w:space="0"/>
              <w:right w:val="single" w:color="auto" w:sz="4" w:space="0"/>
            </w:tcBorders>
          </w:tcPr>
          <w:p w14:paraId="4855FCC0">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4786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14:paraId="73B577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2939" w:type="dxa"/>
            <w:tcBorders>
              <w:top w:val="single" w:color="auto" w:sz="4" w:space="0"/>
              <w:left w:val="single" w:color="auto" w:sz="4" w:space="0"/>
              <w:bottom w:val="single" w:color="auto" w:sz="4" w:space="0"/>
              <w:right w:val="single" w:color="auto" w:sz="4" w:space="0"/>
            </w:tcBorders>
          </w:tcPr>
          <w:p w14:paraId="13A8A32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71A8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14:paraId="1FBE252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2939" w:type="dxa"/>
            <w:tcBorders>
              <w:top w:val="single" w:color="auto" w:sz="4" w:space="0"/>
              <w:left w:val="single" w:color="auto" w:sz="4" w:space="0"/>
              <w:bottom w:val="single" w:color="auto" w:sz="4" w:space="0"/>
              <w:right w:val="single" w:color="auto" w:sz="4" w:space="0"/>
            </w:tcBorders>
          </w:tcPr>
          <w:p w14:paraId="5CA2EE9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r>
      <w:tr w14:paraId="4BA6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4" w:type="dxa"/>
            <w:tcBorders>
              <w:top w:val="single" w:color="auto" w:sz="4" w:space="0"/>
              <w:left w:val="single" w:color="auto" w:sz="4" w:space="0"/>
              <w:bottom w:val="single" w:color="auto" w:sz="4" w:space="0"/>
              <w:right w:val="single" w:color="auto" w:sz="4" w:space="0"/>
            </w:tcBorders>
          </w:tcPr>
          <w:p w14:paraId="64EBFD7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2939" w:type="dxa"/>
            <w:tcBorders>
              <w:top w:val="single" w:color="auto" w:sz="4" w:space="0"/>
              <w:left w:val="single" w:color="auto" w:sz="4" w:space="0"/>
              <w:bottom w:val="single" w:color="auto" w:sz="4" w:space="0"/>
              <w:right w:val="single" w:color="auto" w:sz="4" w:space="0"/>
            </w:tcBorders>
          </w:tcPr>
          <w:p w14:paraId="4C67F82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r>
    </w:tbl>
    <w:p w14:paraId="5A7C84D6">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注：</w:t>
      </w:r>
    </w:p>
    <w:p w14:paraId="7600E7E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1BCD3A7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2B4803CD">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04C6A7E4">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100 万元 ×l.5 %＝ 1.5 万元</w:t>
      </w:r>
    </w:p>
    <w:p w14:paraId="54239631">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 150 － 100 ）万元 ×0.8%＝ 0.4万元</w:t>
      </w:r>
    </w:p>
    <w:p w14:paraId="7445B0C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合计收费＝ 1.5 ＋ 0.4＝ 1.9 万元</w:t>
      </w:r>
    </w:p>
    <w:p w14:paraId="309B165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48B3BD13">
      <w:pPr>
        <w:pStyle w:val="22"/>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32695CB7">
      <w:pPr>
        <w:pStyle w:val="22"/>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0F16B804">
      <w:pPr>
        <w:pStyle w:val="22"/>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59E3BA1">
      <w:pPr>
        <w:pStyle w:val="2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26288F2">
      <w:pPr>
        <w:pStyle w:val="2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292C96B0">
      <w:pPr>
        <w:pStyle w:val="2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E9DB18F">
      <w:pPr>
        <w:pStyle w:val="22"/>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2B189B2">
      <w:pPr>
        <w:pStyle w:val="22"/>
        <w:spacing w:line="360" w:lineRule="auto"/>
        <w:ind w:firstLine="420" w:firstLineChars="200"/>
        <w:textAlignment w:val="center"/>
        <w:rPr>
          <w:rFonts w:hint="eastAsia" w:hAnsi="宋体"/>
          <w:b/>
          <w:color w:val="auto"/>
          <w:sz w:val="32"/>
          <w:szCs w:val="32"/>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r>
    </w:p>
    <w:p w14:paraId="1FFC6E32">
      <w:pPr>
        <w:pStyle w:val="3"/>
        <w:jc w:val="center"/>
        <w:rPr>
          <w:color w:val="auto"/>
          <w:highlight w:val="none"/>
        </w:rPr>
      </w:pPr>
      <w:bookmarkStart w:id="81" w:name="_Toc74323458"/>
      <w:r>
        <w:rPr>
          <w:rFonts w:hint="eastAsia"/>
          <w:color w:val="auto"/>
          <w:highlight w:val="none"/>
        </w:rPr>
        <w:t>第三章采购需求</w:t>
      </w:r>
      <w:bookmarkEnd w:id="81"/>
    </w:p>
    <w:p w14:paraId="321C49CF">
      <w:pPr>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02485548">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说明：</w:t>
      </w:r>
    </w:p>
    <w:p w14:paraId="2BFC5EC9">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olor w:val="auto"/>
          <w:sz w:val="22"/>
          <w:szCs w:val="22"/>
          <w:highlight w:val="none"/>
        </w:rPr>
        <w:t>1</w:t>
      </w:r>
      <w:r>
        <w:rPr>
          <w:rFonts w:hint="eastAsia"/>
          <w:color w:val="auto"/>
          <w:sz w:val="22"/>
          <w:szCs w:val="22"/>
          <w:highlight w:val="none"/>
        </w:rPr>
        <w:t>. 为落实政府采购政策需满足的要求</w:t>
      </w:r>
    </w:p>
    <w:p w14:paraId="0BCCFE45">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（1）本竞争性磋商采购文件所称中小企业必须符合《政府采购促进中小企业发展管理办法》（财库〔2020〕46号）的规定。</w:t>
      </w:r>
    </w:p>
    <w:p w14:paraId="52435EDA">
      <w:pPr>
        <w:spacing w:line="360" w:lineRule="auto"/>
        <w:ind w:firstLine="444" w:firstLineChars="202"/>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 “实质性要求”是指采购需求中带“▲”的条款或者不能负偏离的条款或者已经指明不满足按响应文件按无效处理的条款。</w:t>
      </w:r>
    </w:p>
    <w:p w14:paraId="7D9ABD77">
      <w:pPr>
        <w:spacing w:line="360" w:lineRule="auto"/>
        <w:ind w:firstLine="444" w:firstLineChars="202"/>
        <w:jc w:val="left"/>
        <w:rPr>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w:t>
      </w:r>
      <w:r>
        <w:rPr>
          <w:rFonts w:hint="eastAsia"/>
          <w:color w:val="auto"/>
          <w:sz w:val="22"/>
          <w:szCs w:val="22"/>
          <w:highlight w:val="none"/>
        </w:rPr>
        <w:t>供应商必须自行为其竞标产品侵犯他人的知识产权或者专利成果的行为承担相应法律责任。</w:t>
      </w:r>
    </w:p>
    <w:p w14:paraId="34636A21">
      <w:pPr>
        <w:spacing w:line="360" w:lineRule="auto"/>
        <w:ind w:firstLine="546" w:firstLineChars="247"/>
        <w:jc w:val="left"/>
        <w:rPr>
          <w:rFonts w:hint="eastAsia" w:ascii="宋体" w:hAnsi="宋体" w:cs="Arial"/>
          <w:b/>
          <w:bCs/>
          <w:color w:val="auto"/>
          <w:sz w:val="22"/>
          <w:szCs w:val="22"/>
          <w:highlight w:val="none"/>
          <w:u w:val="single"/>
        </w:rPr>
      </w:pPr>
      <w:r>
        <w:rPr>
          <w:rFonts w:hint="eastAsia" w:ascii="宋体" w:hAnsi="宋体" w:cs="Arial"/>
          <w:b/>
          <w:bCs/>
          <w:color w:val="auto"/>
          <w:sz w:val="22"/>
          <w:szCs w:val="22"/>
          <w:highlight w:val="none"/>
          <w:u w:val="single"/>
        </w:rPr>
        <w:t>4.本项目整体所属行业：保险业</w:t>
      </w:r>
    </w:p>
    <w:p w14:paraId="64EB3D0B">
      <w:pPr>
        <w:spacing w:line="360" w:lineRule="auto"/>
        <w:jc w:val="left"/>
        <w:rPr>
          <w:rFonts w:hint="eastAsia" w:ascii="宋体" w:hAnsi="宋体" w:cs="Arial"/>
          <w:bCs/>
          <w:color w:val="auto"/>
          <w:sz w:val="22"/>
          <w:szCs w:val="22"/>
          <w:highlight w:val="none"/>
          <w:u w:val="single"/>
        </w:rPr>
      </w:pPr>
    </w:p>
    <w:p w14:paraId="2F91ACA8">
      <w:pPr>
        <w:spacing w:line="360" w:lineRule="auto"/>
        <w:ind w:firstLine="323" w:firstLineChars="147"/>
        <w:jc w:val="left"/>
        <w:rPr>
          <w:rFonts w:hint="eastAsia" w:ascii="宋体" w:hAnsi="宋体" w:cs="Arial"/>
          <w:bCs/>
          <w:color w:val="auto"/>
          <w:sz w:val="22"/>
          <w:szCs w:val="22"/>
          <w:highlight w:val="none"/>
          <w:u w:val="single"/>
        </w:rPr>
      </w:pPr>
    </w:p>
    <w:tbl>
      <w:tblPr>
        <w:tblStyle w:val="34"/>
        <w:tblW w:w="89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2"/>
        <w:gridCol w:w="1361"/>
        <w:gridCol w:w="606"/>
        <w:gridCol w:w="245"/>
        <w:gridCol w:w="6165"/>
      </w:tblGrid>
      <w:tr w14:paraId="66783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029984D3">
            <w:pPr>
              <w:tabs>
                <w:tab w:val="left" w:pos="180"/>
                <w:tab w:val="left" w:pos="1620"/>
              </w:tabs>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1361" w:type="dxa"/>
            <w:tcBorders>
              <w:top w:val="single" w:color="000000" w:sz="4" w:space="0"/>
              <w:left w:val="single" w:color="000000" w:sz="4" w:space="0"/>
              <w:bottom w:val="single" w:color="000000" w:sz="4" w:space="0"/>
              <w:right w:val="single" w:color="000000" w:sz="4" w:space="0"/>
            </w:tcBorders>
            <w:vAlign w:val="center"/>
          </w:tcPr>
          <w:p w14:paraId="56893352">
            <w:pPr>
              <w:tabs>
                <w:tab w:val="left" w:pos="180"/>
                <w:tab w:val="left" w:pos="1620"/>
              </w:tabs>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标的的名称</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6882B21F">
            <w:pPr>
              <w:tabs>
                <w:tab w:val="left" w:pos="180"/>
                <w:tab w:val="left" w:pos="1620"/>
              </w:tabs>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单位及数量</w:t>
            </w:r>
          </w:p>
        </w:tc>
        <w:tc>
          <w:tcPr>
            <w:tcW w:w="6165" w:type="dxa"/>
            <w:tcBorders>
              <w:top w:val="single" w:color="000000" w:sz="4" w:space="0"/>
              <w:left w:val="single" w:color="000000" w:sz="4" w:space="0"/>
              <w:bottom w:val="single" w:color="000000" w:sz="4" w:space="0"/>
              <w:right w:val="single" w:color="000000" w:sz="4" w:space="0"/>
            </w:tcBorders>
            <w:vAlign w:val="center"/>
          </w:tcPr>
          <w:p w14:paraId="78F83E3A">
            <w:pPr>
              <w:tabs>
                <w:tab w:val="left" w:pos="180"/>
                <w:tab w:val="left" w:pos="1620"/>
              </w:tabs>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▲服务需求</w:t>
            </w:r>
          </w:p>
        </w:tc>
      </w:tr>
      <w:tr w14:paraId="5A835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2CFBA975">
            <w:pPr>
              <w:tabs>
                <w:tab w:val="left" w:pos="180"/>
                <w:tab w:val="left" w:pos="1620"/>
              </w:tabs>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361" w:type="dxa"/>
            <w:tcBorders>
              <w:top w:val="single" w:color="000000" w:sz="4" w:space="0"/>
              <w:left w:val="single" w:color="000000" w:sz="4" w:space="0"/>
              <w:bottom w:val="single" w:color="000000" w:sz="4" w:space="0"/>
              <w:right w:val="single" w:color="000000" w:sz="4" w:space="0"/>
            </w:tcBorders>
            <w:vAlign w:val="center"/>
          </w:tcPr>
          <w:p w14:paraId="4DA0B24A">
            <w:pPr>
              <w:pStyle w:val="117"/>
              <w:ind w:firstLine="0" w:firstLineChars="0"/>
              <w:rPr>
                <w:color w:val="auto"/>
                <w:sz w:val="22"/>
                <w:szCs w:val="22"/>
                <w:highlight w:val="none"/>
              </w:rPr>
            </w:pPr>
            <w:r>
              <w:rPr>
                <w:rFonts w:hint="eastAsia"/>
                <w:color w:val="auto"/>
                <w:sz w:val="22"/>
                <w:szCs w:val="22"/>
                <w:highlight w:val="none"/>
              </w:rPr>
              <w:t>政法干警人身意外伤害保险</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28E490FC">
            <w:pPr>
              <w:pStyle w:val="117"/>
              <w:ind w:firstLine="0" w:firstLineChars="0"/>
              <w:jc w:val="center"/>
              <w:rPr>
                <w:color w:val="auto"/>
                <w:sz w:val="22"/>
                <w:szCs w:val="22"/>
                <w:highlight w:val="none"/>
              </w:rPr>
            </w:pPr>
            <w:r>
              <w:rPr>
                <w:rFonts w:hint="eastAsia"/>
                <w:color w:val="auto"/>
                <w:sz w:val="22"/>
                <w:szCs w:val="22"/>
                <w:highlight w:val="none"/>
                <w:lang w:eastAsia="zh-CN"/>
              </w:rPr>
              <w:t>18500</w:t>
            </w:r>
            <w:r>
              <w:rPr>
                <w:rFonts w:hint="eastAsia"/>
                <w:color w:val="auto"/>
                <w:sz w:val="22"/>
                <w:szCs w:val="22"/>
                <w:highlight w:val="none"/>
              </w:rPr>
              <w:t>人</w:t>
            </w:r>
          </w:p>
        </w:tc>
        <w:tc>
          <w:tcPr>
            <w:tcW w:w="6165" w:type="dxa"/>
            <w:tcBorders>
              <w:top w:val="single" w:color="000000" w:sz="4" w:space="0"/>
              <w:left w:val="single" w:color="000000" w:sz="4" w:space="0"/>
              <w:bottom w:val="single" w:color="000000" w:sz="4" w:space="0"/>
              <w:right w:val="single" w:color="000000" w:sz="4" w:space="0"/>
            </w:tcBorders>
            <w:vAlign w:val="center"/>
          </w:tcPr>
          <w:p w14:paraId="639ACDB0">
            <w:pPr>
              <w:tabs>
                <w:tab w:val="left" w:pos="180"/>
                <w:tab w:val="left" w:pos="1620"/>
              </w:tabs>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赔偿条件和标准</w:t>
            </w:r>
          </w:p>
          <w:p w14:paraId="44D1D757">
            <w:pPr>
              <w:tabs>
                <w:tab w:val="left" w:pos="180"/>
                <w:tab w:val="left" w:pos="1620"/>
              </w:tabs>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1、意外事故伤害导致的身故的，赔偿保险金额15万元；意外事故伤害导致的残疾赔付最高15万元；被评为革命烈士的，赔偿保险金额20万元。</w:t>
            </w:r>
          </w:p>
          <w:p w14:paraId="413F0EDB">
            <w:pPr>
              <w:tabs>
                <w:tab w:val="left" w:pos="180"/>
                <w:tab w:val="left" w:pos="1620"/>
              </w:tabs>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2、投保人员在因意外伤害住院期间，每人每天按80元赔偿住院津贴，最长不超过180天。</w:t>
            </w:r>
          </w:p>
          <w:p w14:paraId="2B29B0C4">
            <w:pPr>
              <w:tabs>
                <w:tab w:val="left" w:pos="180"/>
                <w:tab w:val="left" w:pos="1620"/>
              </w:tabs>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3、意外事故伤害医疗：3万（含）以内的，赔付比例100%，3万以上的部分，按供应商响应时提供的方案赔付。</w:t>
            </w:r>
          </w:p>
          <w:p w14:paraId="796F146F">
            <w:pPr>
              <w:tabs>
                <w:tab w:val="left" w:pos="180"/>
                <w:tab w:val="left" w:pos="1620"/>
              </w:tabs>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4、疾病死亡赔偿保险金额5万元，含既往病责任。</w:t>
            </w:r>
          </w:p>
          <w:p w14:paraId="356FE03C">
            <w:pPr>
              <w:tabs>
                <w:tab w:val="left" w:pos="180"/>
                <w:tab w:val="left" w:pos="1620"/>
              </w:tabs>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5.特殊岗位人员猝死赔偿责任：保险金额20万元，含既往病责任，与疾病身故赔偿保险金额不累加赔付。本保障责任仅适用于购买了两份保险保障方案的特殊岗位人员。</w:t>
            </w:r>
          </w:p>
          <w:p w14:paraId="1FFA25A8">
            <w:pPr>
              <w:tabs>
                <w:tab w:val="left" w:pos="180"/>
                <w:tab w:val="left" w:pos="1620"/>
              </w:tabs>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(特殊岗位人员指：部分执行重大专项和职业暴露风险特殊岗位的干警、各级司法行政机关选派到地方参与脱贫攻坚（乡村振兴）工作的干部)。</w:t>
            </w:r>
          </w:p>
        </w:tc>
      </w:tr>
      <w:tr w14:paraId="5955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9" w:type="dxa"/>
            <w:gridSpan w:val="5"/>
            <w:tcBorders>
              <w:top w:val="single" w:color="000000" w:sz="4" w:space="0"/>
              <w:left w:val="single" w:color="000000" w:sz="4" w:space="0"/>
              <w:bottom w:val="single" w:color="000000" w:sz="4" w:space="0"/>
              <w:right w:val="single" w:color="000000" w:sz="4" w:space="0"/>
            </w:tcBorders>
          </w:tcPr>
          <w:p w14:paraId="7BF74D18">
            <w:pPr>
              <w:tabs>
                <w:tab w:val="left" w:pos="180"/>
                <w:tab w:val="left" w:pos="1620"/>
              </w:tabs>
              <w:spacing w:line="360" w:lineRule="auto"/>
              <w:rPr>
                <w:rFonts w:hint="eastAsia" w:ascii="宋体" w:hAnsi="宋体" w:cs="宋体"/>
                <w:color w:val="auto"/>
                <w:sz w:val="22"/>
                <w:szCs w:val="22"/>
                <w:highlight w:val="none"/>
              </w:rPr>
            </w:pPr>
            <w:r>
              <w:rPr>
                <w:rFonts w:hint="eastAsia" w:ascii="宋体" w:hAnsi="宋体"/>
                <w:color w:val="auto"/>
                <w:sz w:val="22"/>
                <w:szCs w:val="22"/>
                <w:highlight w:val="none"/>
              </w:rPr>
              <w:t>▲一、</w:t>
            </w:r>
            <w:r>
              <w:rPr>
                <w:rFonts w:hint="eastAsia" w:ascii="宋体" w:hAnsi="宋体"/>
                <w:b/>
                <w:color w:val="auto"/>
                <w:sz w:val="22"/>
                <w:szCs w:val="22"/>
                <w:highlight w:val="none"/>
              </w:rPr>
              <w:t>商务条款</w:t>
            </w:r>
          </w:p>
        </w:tc>
      </w:tr>
      <w:tr w14:paraId="00B1C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3F146737">
            <w:pPr>
              <w:snapToGrid w:val="0"/>
              <w:spacing w:line="40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合同签订时间</w:t>
            </w:r>
          </w:p>
        </w:tc>
        <w:tc>
          <w:tcPr>
            <w:tcW w:w="7016" w:type="dxa"/>
            <w:gridSpan w:val="3"/>
            <w:tcBorders>
              <w:top w:val="single" w:color="000000" w:sz="4" w:space="0"/>
              <w:left w:val="single" w:color="000000" w:sz="4" w:space="0"/>
              <w:bottom w:val="single" w:color="000000" w:sz="4" w:space="0"/>
              <w:right w:val="single" w:color="000000" w:sz="4" w:space="0"/>
            </w:tcBorders>
          </w:tcPr>
          <w:p w14:paraId="0CC8715D">
            <w:pPr>
              <w:snapToGrid w:val="0"/>
              <w:spacing w:line="400" w:lineRule="exact"/>
              <w:rPr>
                <w:rFonts w:hint="eastAsia" w:ascii="宋体" w:hAnsi="宋体"/>
                <w:color w:val="auto"/>
                <w:sz w:val="22"/>
                <w:highlight w:val="none"/>
                <w:lang w:val="zh-CN"/>
              </w:rPr>
            </w:pPr>
            <w:r>
              <w:rPr>
                <w:rFonts w:hint="eastAsia" w:ascii="宋体" w:hAnsi="宋体"/>
                <w:color w:val="auto"/>
                <w:sz w:val="22"/>
                <w:highlight w:val="none"/>
                <w:lang w:val="zh-CN"/>
              </w:rPr>
              <w:t>自成交通知书发出之日起25个日历日内。</w:t>
            </w:r>
          </w:p>
        </w:tc>
      </w:tr>
      <w:tr w14:paraId="4C703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3E6FED3C">
            <w:pPr>
              <w:snapToGrid w:val="0"/>
              <w:spacing w:line="390" w:lineRule="exact"/>
              <w:jc w:val="center"/>
              <w:rPr>
                <w:rFonts w:hint="eastAsia" w:ascii="宋体" w:hAnsi="宋体"/>
                <w:color w:val="auto"/>
                <w:sz w:val="22"/>
                <w:szCs w:val="22"/>
                <w:highlight w:val="none"/>
              </w:rPr>
            </w:pPr>
            <w:r>
              <w:rPr>
                <w:rFonts w:hint="eastAsia" w:ascii="宋体" w:hAnsi="宋体"/>
                <w:color w:val="auto"/>
                <w:sz w:val="22"/>
                <w:highlight w:val="none"/>
              </w:rPr>
              <w:t>服务时间及地点</w:t>
            </w:r>
          </w:p>
        </w:tc>
        <w:tc>
          <w:tcPr>
            <w:tcW w:w="7016" w:type="dxa"/>
            <w:gridSpan w:val="3"/>
            <w:tcBorders>
              <w:top w:val="single" w:color="000000" w:sz="4" w:space="0"/>
              <w:left w:val="single" w:color="000000" w:sz="4" w:space="0"/>
              <w:bottom w:val="single" w:color="000000" w:sz="4" w:space="0"/>
              <w:right w:val="single" w:color="000000" w:sz="4" w:space="0"/>
            </w:tcBorders>
          </w:tcPr>
          <w:p w14:paraId="66ECDA75">
            <w:pPr>
              <w:widowControl/>
              <w:spacing w:line="420" w:lineRule="exact"/>
              <w:jc w:val="left"/>
              <w:rPr>
                <w:rFonts w:hint="eastAsia" w:ascii="宋体" w:hAnsi="宋体"/>
                <w:color w:val="auto"/>
                <w:sz w:val="22"/>
                <w:szCs w:val="22"/>
                <w:highlight w:val="none"/>
              </w:rPr>
            </w:pPr>
            <w:r>
              <w:rPr>
                <w:rFonts w:hint="eastAsia" w:ascii="宋体" w:hAnsi="宋体"/>
                <w:color w:val="auto"/>
                <w:sz w:val="22"/>
                <w:highlight w:val="none"/>
              </w:rPr>
              <w:t>服务时间：</w:t>
            </w:r>
            <w:r>
              <w:rPr>
                <w:rFonts w:hint="eastAsia"/>
                <w:b/>
                <w:color w:val="auto"/>
                <w:kern w:val="0"/>
                <w:sz w:val="22"/>
                <w:szCs w:val="22"/>
                <w:highlight w:val="none"/>
              </w:rPr>
              <w:t>本项目服务期为自签定合同之日起</w:t>
            </w:r>
            <w:r>
              <w:rPr>
                <w:b/>
                <w:color w:val="auto"/>
                <w:kern w:val="0"/>
                <w:sz w:val="22"/>
                <w:szCs w:val="22"/>
                <w:highlight w:val="none"/>
              </w:rPr>
              <w:t>1</w:t>
            </w:r>
            <w:r>
              <w:rPr>
                <w:rFonts w:hint="eastAsia"/>
                <w:b/>
                <w:color w:val="auto"/>
                <w:kern w:val="0"/>
                <w:sz w:val="22"/>
                <w:szCs w:val="22"/>
                <w:highlight w:val="none"/>
              </w:rPr>
              <w:t>年。</w:t>
            </w:r>
          </w:p>
          <w:p w14:paraId="2785A0A2">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服务地点：南宁市采购人指定地点。</w:t>
            </w:r>
          </w:p>
        </w:tc>
      </w:tr>
      <w:tr w14:paraId="591BC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06FED40A">
            <w:pPr>
              <w:snapToGrid w:val="0"/>
              <w:spacing w:line="390" w:lineRule="exact"/>
              <w:jc w:val="center"/>
              <w:rPr>
                <w:rFonts w:hint="eastAsia" w:ascii="宋体" w:hAnsi="宋体" w:cs="宋体"/>
                <w:color w:val="auto"/>
                <w:kern w:val="0"/>
                <w:sz w:val="22"/>
                <w:highlight w:val="none"/>
              </w:rPr>
            </w:pPr>
            <w:r>
              <w:rPr>
                <w:rFonts w:hint="eastAsia" w:ascii="宋体" w:hAnsi="宋体"/>
                <w:color w:val="auto"/>
                <w:sz w:val="22"/>
                <w:highlight w:val="none"/>
              </w:rPr>
              <w:t>付款方式</w:t>
            </w:r>
          </w:p>
        </w:tc>
        <w:tc>
          <w:tcPr>
            <w:tcW w:w="7016" w:type="dxa"/>
            <w:gridSpan w:val="3"/>
            <w:tcBorders>
              <w:top w:val="single" w:color="000000" w:sz="4" w:space="0"/>
              <w:left w:val="single" w:color="000000" w:sz="4" w:space="0"/>
              <w:bottom w:val="single" w:color="000000" w:sz="4" w:space="0"/>
              <w:right w:val="single" w:color="000000" w:sz="4" w:space="0"/>
            </w:tcBorders>
          </w:tcPr>
          <w:p w14:paraId="6987A56B">
            <w:pPr>
              <w:widowControl/>
              <w:snapToGrid w:val="0"/>
              <w:spacing w:line="360" w:lineRule="auto"/>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合同签订后二十个工作日内，由采购人按本次采购成交单价乘以当年实际投保人数，一次性付清成交人当年保险费用；成交人自收到款项之日起三个工作日内开具发票给采购人（由采购人提供各单位开票信息给成交人）。</w:t>
            </w:r>
          </w:p>
        </w:tc>
      </w:tr>
      <w:tr w14:paraId="03A3D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1A49C735">
            <w:pPr>
              <w:snapToGrid w:val="0"/>
              <w:spacing w:line="390" w:lineRule="exact"/>
              <w:jc w:val="center"/>
              <w:rPr>
                <w:rFonts w:hint="eastAsia" w:ascii="宋体" w:hAnsi="宋体"/>
                <w:color w:val="auto"/>
                <w:sz w:val="22"/>
                <w:highlight w:val="none"/>
                <w:lang w:val="zh-CN"/>
              </w:rPr>
            </w:pPr>
            <w:r>
              <w:rPr>
                <w:rFonts w:hint="eastAsia" w:ascii="宋体" w:hAnsi="宋体"/>
                <w:color w:val="auto"/>
                <w:sz w:val="22"/>
                <w:highlight w:val="none"/>
                <w:lang w:val="zh-CN"/>
              </w:rPr>
              <w:t>报价要求</w:t>
            </w:r>
          </w:p>
        </w:tc>
        <w:tc>
          <w:tcPr>
            <w:tcW w:w="7016" w:type="dxa"/>
            <w:gridSpan w:val="3"/>
            <w:tcBorders>
              <w:top w:val="single" w:color="000000" w:sz="4" w:space="0"/>
              <w:left w:val="single" w:color="000000" w:sz="4" w:space="0"/>
              <w:bottom w:val="single" w:color="000000" w:sz="4" w:space="0"/>
              <w:right w:val="single" w:color="000000" w:sz="4" w:space="0"/>
            </w:tcBorders>
          </w:tcPr>
          <w:p w14:paraId="1B6BFE0B">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1、本项目实行以固定保费招标保险服务的办法。每人保费额度为固定金额：100元人民币，投保两份保障的人员保费额度为每人固定金额：200元人民币。供应商的每人保费额度必须统一按以上保费额度报价，否则响应无效；</w:t>
            </w:r>
          </w:p>
          <w:p w14:paraId="18FDB1E8">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2、本项目报价按服务期1年报价，即本项目总报价为每个人的保险费用单价乘以采购文件所列参保人数再乘以1年【实际保费为采购人每年提供的实际投保人数乘以成交单价100元（购买两份保障的按单价200元）为准】</w:t>
            </w:r>
          </w:p>
          <w:p w14:paraId="579ED6D0">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3、合同履约期间，成交单价不可变动，但国家保险监督管理部门有新政策的，按新政策执行。</w:t>
            </w:r>
          </w:p>
        </w:tc>
      </w:tr>
      <w:tr w14:paraId="6984C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3FC7F2D8">
            <w:pPr>
              <w:snapToGrid w:val="0"/>
              <w:spacing w:line="390" w:lineRule="exact"/>
              <w:jc w:val="center"/>
              <w:rPr>
                <w:rFonts w:hint="eastAsia" w:ascii="宋体" w:hAnsi="宋体"/>
                <w:color w:val="auto"/>
                <w:sz w:val="22"/>
                <w:highlight w:val="none"/>
                <w:lang w:val="zh-CN"/>
              </w:rPr>
            </w:pPr>
            <w:r>
              <w:rPr>
                <w:rFonts w:hint="eastAsia" w:ascii="宋体" w:hAnsi="宋体"/>
                <w:color w:val="auto"/>
                <w:sz w:val="22"/>
                <w:highlight w:val="none"/>
                <w:lang w:val="zh-CN"/>
              </w:rPr>
              <w:t>服务承诺</w:t>
            </w:r>
          </w:p>
        </w:tc>
        <w:tc>
          <w:tcPr>
            <w:tcW w:w="7016" w:type="dxa"/>
            <w:gridSpan w:val="3"/>
            <w:tcBorders>
              <w:top w:val="single" w:color="000000" w:sz="4" w:space="0"/>
              <w:left w:val="single" w:color="000000" w:sz="4" w:space="0"/>
              <w:bottom w:val="single" w:color="000000" w:sz="4" w:space="0"/>
              <w:right w:val="single" w:color="000000" w:sz="4" w:space="0"/>
            </w:tcBorders>
          </w:tcPr>
          <w:p w14:paraId="74BC2441">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供应商需在响应文件承诺</w:t>
            </w:r>
            <w:r>
              <w:rPr>
                <w:rFonts w:hint="eastAsia" w:ascii="宋体" w:hAnsi="宋体"/>
                <w:b/>
                <w:color w:val="auto"/>
                <w:sz w:val="22"/>
                <w:highlight w:val="none"/>
              </w:rPr>
              <w:t>（响应文件中提供承诺函，格式自拟）</w:t>
            </w:r>
            <w:r>
              <w:rPr>
                <w:rFonts w:hint="eastAsia" w:ascii="宋体" w:hAnsi="宋体"/>
                <w:color w:val="auto"/>
                <w:sz w:val="22"/>
                <w:highlight w:val="none"/>
              </w:rPr>
              <w:t>：</w:t>
            </w:r>
          </w:p>
          <w:p w14:paraId="70C7BF02">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1、投保时除采购人提供的被保险人名单及数量外，采购人在保险期间内要求增加被保险人的，只要是在册干警，无论是否在已提供的被保险人名单内，均可理赔。</w:t>
            </w:r>
          </w:p>
          <w:p w14:paraId="39F7910F">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2、本项目保险期限为1年，成交人须承诺保险期限必须追溯到最近一个保单到期日，具体以成交后的服务合同为准。</w:t>
            </w:r>
          </w:p>
        </w:tc>
      </w:tr>
      <w:tr w14:paraId="38856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2572D9A9">
            <w:pPr>
              <w:snapToGrid w:val="0"/>
              <w:spacing w:line="390" w:lineRule="exact"/>
              <w:jc w:val="center"/>
              <w:rPr>
                <w:rFonts w:hint="eastAsia" w:ascii="宋体" w:hAnsi="宋体"/>
                <w:color w:val="auto"/>
                <w:sz w:val="22"/>
                <w:highlight w:val="none"/>
                <w:lang w:val="zh-CN"/>
              </w:rPr>
            </w:pPr>
            <w:r>
              <w:rPr>
                <w:rFonts w:hint="eastAsia" w:ascii="宋体" w:hAnsi="宋体"/>
                <w:color w:val="auto"/>
                <w:sz w:val="22"/>
                <w:highlight w:val="none"/>
                <w:lang w:val="zh-CN"/>
              </w:rPr>
              <w:t>人员要求</w:t>
            </w:r>
          </w:p>
        </w:tc>
        <w:tc>
          <w:tcPr>
            <w:tcW w:w="7016" w:type="dxa"/>
            <w:gridSpan w:val="3"/>
            <w:tcBorders>
              <w:top w:val="single" w:color="000000" w:sz="4" w:space="0"/>
              <w:left w:val="single" w:color="000000" w:sz="4" w:space="0"/>
              <w:bottom w:val="single" w:color="000000" w:sz="4" w:space="0"/>
              <w:right w:val="single" w:color="000000" w:sz="4" w:space="0"/>
            </w:tcBorders>
          </w:tcPr>
          <w:p w14:paraId="4214F19A">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供应商须为本项目实施配备与其承担服务工作的相关服务人员，人员数量和能力应满足服务工作任务的需要。</w:t>
            </w:r>
            <w:r>
              <w:rPr>
                <w:rFonts w:hint="eastAsia" w:ascii="宋体" w:hAnsi="宋体" w:cs="宋体"/>
                <w:color w:val="auto"/>
                <w:sz w:val="22"/>
                <w:szCs w:val="22"/>
                <w:highlight w:val="none"/>
              </w:rPr>
              <w:t>服务人员不低于15人。</w:t>
            </w:r>
          </w:p>
        </w:tc>
      </w:tr>
      <w:tr w14:paraId="4B6B3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3" w:type="dxa"/>
            <w:gridSpan w:val="2"/>
            <w:tcBorders>
              <w:top w:val="single" w:color="000000" w:sz="4" w:space="0"/>
              <w:left w:val="single" w:color="000000" w:sz="4" w:space="0"/>
              <w:bottom w:val="single" w:color="000000" w:sz="4" w:space="0"/>
              <w:right w:val="single" w:color="000000" w:sz="4" w:space="0"/>
            </w:tcBorders>
            <w:vAlign w:val="center"/>
          </w:tcPr>
          <w:p w14:paraId="70ADC641">
            <w:pPr>
              <w:snapToGrid w:val="0"/>
              <w:spacing w:line="390" w:lineRule="exact"/>
              <w:jc w:val="center"/>
              <w:rPr>
                <w:rFonts w:hint="eastAsia" w:ascii="宋体" w:hAnsi="宋体"/>
                <w:color w:val="auto"/>
                <w:sz w:val="22"/>
                <w:highlight w:val="none"/>
                <w:lang w:val="zh-CN"/>
              </w:rPr>
            </w:pPr>
            <w:r>
              <w:rPr>
                <w:rFonts w:hint="eastAsia" w:ascii="宋体" w:hAnsi="宋体"/>
                <w:color w:val="auto"/>
                <w:sz w:val="22"/>
                <w:highlight w:val="none"/>
                <w:lang w:val="zh-CN"/>
              </w:rPr>
              <w:t>其他要求</w:t>
            </w:r>
          </w:p>
        </w:tc>
        <w:tc>
          <w:tcPr>
            <w:tcW w:w="7016" w:type="dxa"/>
            <w:gridSpan w:val="3"/>
            <w:tcBorders>
              <w:top w:val="single" w:color="000000" w:sz="4" w:space="0"/>
              <w:left w:val="single" w:color="000000" w:sz="4" w:space="0"/>
              <w:bottom w:val="single" w:color="000000" w:sz="4" w:space="0"/>
              <w:right w:val="single" w:color="000000" w:sz="4" w:space="0"/>
            </w:tcBorders>
          </w:tcPr>
          <w:p w14:paraId="559B99C2">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1、本次采购所涉及到的广西壮族自治区司法行政系统指广西壮族自治区司法厅内设机构、直属机构和归口管理单位，全区各地市、县司法局，监狱系统，戒毒系统等单位。本项目投保的广西壮族自治区全区司法干警为全区司法行政系统人员（即司法厅内设机构、直属机构和和归口管理单位，全区各地市、县司法局，监狱系统，戒毒系统等单位的人员）；</w:t>
            </w:r>
          </w:p>
          <w:p w14:paraId="4D6681EA">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2、对部分执行重大专项和职业暴露风险特殊岗位的干警、各级司法行政机关选派到地方参与脱贫攻坚（乡村振兴）工作的干部可以购买两份相同保障。</w:t>
            </w:r>
          </w:p>
          <w:p w14:paraId="7092D10F">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3、供应商在响应文件中必须提供针对本项目的实施方案，方案中包括承保条件、增值服务、理赔服务措施等；供应商必须根据保费额度及采购内容要求制定方案，方案不得低于采购内容要求，否则响应无效；</w:t>
            </w:r>
          </w:p>
        </w:tc>
      </w:tr>
      <w:tr w14:paraId="2EB51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9" w:type="dxa"/>
            <w:gridSpan w:val="5"/>
            <w:tcBorders>
              <w:top w:val="single" w:color="auto" w:sz="4" w:space="0"/>
              <w:left w:val="single" w:color="auto" w:sz="4" w:space="0"/>
              <w:bottom w:val="single" w:color="auto" w:sz="4" w:space="0"/>
              <w:right w:val="single" w:color="auto" w:sz="4" w:space="0"/>
            </w:tcBorders>
          </w:tcPr>
          <w:p w14:paraId="6A5A8BE1">
            <w:pPr>
              <w:spacing w:line="360" w:lineRule="auto"/>
              <w:rPr>
                <w:rFonts w:hint="eastAsia"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1AEEC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9" w:type="dxa"/>
            <w:gridSpan w:val="5"/>
            <w:tcBorders>
              <w:top w:val="single" w:color="auto" w:sz="4" w:space="0"/>
              <w:left w:val="single" w:color="auto" w:sz="4" w:space="0"/>
              <w:bottom w:val="single" w:color="auto" w:sz="4" w:space="0"/>
              <w:right w:val="single" w:color="auto" w:sz="4" w:space="0"/>
            </w:tcBorders>
          </w:tcPr>
          <w:p w14:paraId="73BFAA22">
            <w:pPr>
              <w:spacing w:line="360" w:lineRule="auto"/>
              <w:rPr>
                <w:rFonts w:hint="eastAsia" w:ascii="宋体" w:hAnsi="宋体"/>
                <w:b/>
                <w:color w:val="auto"/>
                <w:szCs w:val="21"/>
                <w:highlight w:val="none"/>
              </w:rPr>
            </w:pPr>
            <w:r>
              <w:rPr>
                <w:rFonts w:hint="eastAsia" w:ascii="宋体" w:hAnsi="宋体"/>
                <w:b/>
                <w:color w:val="auto"/>
                <w:szCs w:val="21"/>
                <w:highlight w:val="none"/>
              </w:rPr>
              <w:t>（一）供应商的履约能力要求</w:t>
            </w:r>
          </w:p>
        </w:tc>
      </w:tr>
      <w:tr w14:paraId="60AE8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9" w:type="dxa"/>
            <w:gridSpan w:val="3"/>
            <w:tcBorders>
              <w:top w:val="single" w:color="auto" w:sz="4" w:space="0"/>
              <w:left w:val="single" w:color="auto" w:sz="4" w:space="0"/>
              <w:bottom w:val="single" w:color="auto" w:sz="4" w:space="0"/>
              <w:right w:val="single" w:color="auto" w:sz="4" w:space="0"/>
            </w:tcBorders>
            <w:vAlign w:val="center"/>
          </w:tcPr>
          <w:p w14:paraId="55DF06F4">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质量管理、企业信用要求</w:t>
            </w:r>
          </w:p>
        </w:tc>
        <w:tc>
          <w:tcPr>
            <w:tcW w:w="6410" w:type="dxa"/>
            <w:gridSpan w:val="2"/>
            <w:tcBorders>
              <w:top w:val="single" w:color="auto" w:sz="4" w:space="0"/>
              <w:left w:val="single" w:color="auto" w:sz="4" w:space="0"/>
              <w:bottom w:val="single" w:color="auto" w:sz="4" w:space="0"/>
              <w:right w:val="single" w:color="auto" w:sz="4" w:space="0"/>
            </w:tcBorders>
          </w:tcPr>
          <w:p w14:paraId="681AA16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详见《第四章 </w:t>
            </w:r>
            <w:r>
              <w:rPr>
                <w:rFonts w:hint="eastAsia"/>
                <w:color w:val="auto"/>
                <w:sz w:val="22"/>
                <w:szCs w:val="22"/>
                <w:highlight w:val="none"/>
              </w:rPr>
              <w:t>评审程序、评审方法和评审标准</w:t>
            </w:r>
            <w:r>
              <w:rPr>
                <w:rFonts w:hint="eastAsia" w:ascii="宋体" w:hAnsi="宋体"/>
                <w:color w:val="auto"/>
                <w:sz w:val="22"/>
                <w:szCs w:val="22"/>
                <w:highlight w:val="none"/>
              </w:rPr>
              <w:t>》</w:t>
            </w:r>
          </w:p>
        </w:tc>
      </w:tr>
      <w:tr w14:paraId="3B08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9" w:type="dxa"/>
            <w:gridSpan w:val="3"/>
            <w:tcBorders>
              <w:top w:val="single" w:color="auto" w:sz="4" w:space="0"/>
              <w:left w:val="single" w:color="auto" w:sz="4" w:space="0"/>
              <w:bottom w:val="single" w:color="auto" w:sz="4" w:space="0"/>
              <w:right w:val="single" w:color="auto" w:sz="4" w:space="0"/>
            </w:tcBorders>
            <w:vAlign w:val="center"/>
          </w:tcPr>
          <w:p w14:paraId="22C94D70">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能力或者业绩要求</w:t>
            </w:r>
          </w:p>
        </w:tc>
        <w:tc>
          <w:tcPr>
            <w:tcW w:w="6410" w:type="dxa"/>
            <w:gridSpan w:val="2"/>
            <w:tcBorders>
              <w:top w:val="single" w:color="auto" w:sz="4" w:space="0"/>
              <w:left w:val="single" w:color="auto" w:sz="4" w:space="0"/>
              <w:bottom w:val="single" w:color="auto" w:sz="4" w:space="0"/>
              <w:right w:val="single" w:color="auto" w:sz="4" w:space="0"/>
            </w:tcBorders>
          </w:tcPr>
          <w:p w14:paraId="1FAC9622">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详见《第四章 </w:t>
            </w:r>
            <w:r>
              <w:rPr>
                <w:rFonts w:hint="eastAsia"/>
                <w:color w:val="auto"/>
                <w:sz w:val="22"/>
                <w:szCs w:val="22"/>
                <w:highlight w:val="none"/>
              </w:rPr>
              <w:t>评审程序、评审方法和评审标准</w:t>
            </w:r>
            <w:r>
              <w:rPr>
                <w:rFonts w:hint="eastAsia" w:ascii="宋体" w:hAnsi="宋体"/>
                <w:color w:val="auto"/>
                <w:sz w:val="22"/>
                <w:szCs w:val="22"/>
                <w:highlight w:val="none"/>
              </w:rPr>
              <w:t>》</w:t>
            </w:r>
          </w:p>
        </w:tc>
      </w:tr>
      <w:tr w14:paraId="64DC2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9" w:type="dxa"/>
            <w:gridSpan w:val="5"/>
            <w:tcBorders>
              <w:top w:val="single" w:color="auto" w:sz="4" w:space="0"/>
              <w:left w:val="single" w:color="auto" w:sz="4" w:space="0"/>
              <w:bottom w:val="single" w:color="auto" w:sz="4" w:space="0"/>
              <w:right w:val="single" w:color="auto" w:sz="4" w:space="0"/>
            </w:tcBorders>
          </w:tcPr>
          <w:p w14:paraId="4C188CBE">
            <w:pPr>
              <w:spacing w:line="360" w:lineRule="auto"/>
              <w:rPr>
                <w:rFonts w:hint="eastAsia" w:ascii="宋体" w:hAnsi="宋体"/>
                <w:b/>
                <w:color w:val="auto"/>
                <w:szCs w:val="21"/>
                <w:highlight w:val="none"/>
              </w:rPr>
            </w:pPr>
            <w:r>
              <w:rPr>
                <w:rFonts w:hint="eastAsia" w:ascii="宋体" w:hAnsi="宋体"/>
                <w:color w:val="auto"/>
                <w:szCs w:val="21"/>
                <w:highlight w:val="none"/>
              </w:rPr>
              <w:t>▲（二）</w:t>
            </w:r>
            <w:r>
              <w:rPr>
                <w:rFonts w:hint="eastAsia" w:ascii="宋体" w:hAnsi="宋体"/>
                <w:b/>
                <w:color w:val="auto"/>
                <w:szCs w:val="21"/>
                <w:highlight w:val="none"/>
              </w:rPr>
              <w:t>验收标准</w:t>
            </w:r>
          </w:p>
        </w:tc>
      </w:tr>
      <w:tr w14:paraId="4558D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9" w:type="dxa"/>
            <w:gridSpan w:val="3"/>
            <w:tcBorders>
              <w:top w:val="single" w:color="auto" w:sz="4" w:space="0"/>
              <w:left w:val="single" w:color="auto" w:sz="4" w:space="0"/>
              <w:bottom w:val="single" w:color="auto" w:sz="4" w:space="0"/>
              <w:right w:val="single" w:color="auto" w:sz="4" w:space="0"/>
            </w:tcBorders>
            <w:vAlign w:val="center"/>
          </w:tcPr>
          <w:p w14:paraId="6DF60658">
            <w:pPr>
              <w:snapToGrid w:val="0"/>
              <w:spacing w:line="390" w:lineRule="exact"/>
              <w:jc w:val="center"/>
              <w:rPr>
                <w:rFonts w:hint="eastAsia" w:ascii="宋体" w:hAnsi="宋体"/>
                <w:color w:val="auto"/>
                <w:sz w:val="22"/>
                <w:highlight w:val="none"/>
              </w:rPr>
            </w:pPr>
            <w:r>
              <w:rPr>
                <w:rFonts w:hint="eastAsia" w:ascii="宋体" w:hAnsi="宋体"/>
                <w:color w:val="auto"/>
                <w:sz w:val="22"/>
                <w:highlight w:val="none"/>
              </w:rPr>
              <w:t>采购标的验收（考核）标准</w:t>
            </w:r>
          </w:p>
        </w:tc>
        <w:tc>
          <w:tcPr>
            <w:tcW w:w="6410" w:type="dxa"/>
            <w:gridSpan w:val="2"/>
            <w:tcBorders>
              <w:top w:val="single" w:color="auto" w:sz="4" w:space="0"/>
              <w:left w:val="single" w:color="auto" w:sz="4" w:space="0"/>
              <w:bottom w:val="single" w:color="auto" w:sz="4" w:space="0"/>
              <w:right w:val="single" w:color="auto" w:sz="4" w:space="0"/>
            </w:tcBorders>
          </w:tcPr>
          <w:p w14:paraId="125E43B9">
            <w:pPr>
              <w:widowControl/>
              <w:spacing w:line="420" w:lineRule="exact"/>
              <w:jc w:val="left"/>
              <w:rPr>
                <w:rFonts w:hint="eastAsia" w:ascii="宋体" w:hAnsi="宋体"/>
                <w:color w:val="auto"/>
                <w:sz w:val="22"/>
                <w:highlight w:val="none"/>
              </w:rPr>
            </w:pPr>
            <w:r>
              <w:rPr>
                <w:rFonts w:hint="eastAsia" w:ascii="宋体" w:hAnsi="宋体"/>
                <w:color w:val="auto"/>
                <w:sz w:val="22"/>
                <w:highlight w:val="none"/>
              </w:rPr>
              <w:t>合同履行过程中，采购人按照本项目合同及磋商文件、</w:t>
            </w:r>
            <w:r>
              <w:rPr>
                <w:rFonts w:hint="eastAsia" w:ascii="宋体" w:hAnsi="宋体"/>
                <w:color w:val="auto"/>
                <w:sz w:val="22"/>
                <w:highlight w:val="none"/>
                <w:lang w:val="zh-CN"/>
              </w:rPr>
              <w:t>成交人</w:t>
            </w:r>
            <w:r>
              <w:rPr>
                <w:rFonts w:hint="eastAsia" w:ascii="宋体" w:hAnsi="宋体"/>
                <w:color w:val="auto"/>
                <w:sz w:val="22"/>
                <w:highlight w:val="none"/>
              </w:rPr>
              <w:t>响应文件承诺进行验收，如服务验收不合格，由</w:t>
            </w:r>
            <w:r>
              <w:rPr>
                <w:rFonts w:hint="eastAsia" w:ascii="宋体" w:hAnsi="宋体"/>
                <w:color w:val="auto"/>
                <w:sz w:val="22"/>
                <w:highlight w:val="none"/>
                <w:lang w:val="zh-CN"/>
              </w:rPr>
              <w:t>成交人</w:t>
            </w:r>
            <w:r>
              <w:rPr>
                <w:rFonts w:hint="eastAsia" w:ascii="宋体" w:hAnsi="宋体"/>
                <w:color w:val="auto"/>
                <w:sz w:val="22"/>
                <w:highlight w:val="none"/>
              </w:rPr>
              <w:t>按采购人（或第三方验收机构）要求整改，</w:t>
            </w:r>
            <w:r>
              <w:rPr>
                <w:rFonts w:hint="eastAsia" w:ascii="宋体" w:hAnsi="宋体"/>
                <w:color w:val="auto"/>
                <w:sz w:val="22"/>
                <w:highlight w:val="none"/>
                <w:lang w:val="zh-CN"/>
              </w:rPr>
              <w:t>成交人</w:t>
            </w:r>
            <w:r>
              <w:rPr>
                <w:rFonts w:hint="eastAsia" w:ascii="宋体" w:hAnsi="宋体"/>
                <w:color w:val="auto"/>
                <w:sz w:val="22"/>
                <w:highlight w:val="none"/>
              </w:rPr>
              <w:t>不按要求整改或拒不整改的，给采购人造成的损失等费用由</w:t>
            </w:r>
            <w:r>
              <w:rPr>
                <w:rFonts w:hint="eastAsia" w:ascii="宋体" w:hAnsi="宋体"/>
                <w:color w:val="auto"/>
                <w:sz w:val="22"/>
                <w:highlight w:val="none"/>
                <w:lang w:val="zh-CN"/>
              </w:rPr>
              <w:t>成交人</w:t>
            </w:r>
            <w:r>
              <w:rPr>
                <w:rFonts w:hint="eastAsia" w:ascii="宋体" w:hAnsi="宋体"/>
                <w:color w:val="auto"/>
                <w:sz w:val="22"/>
                <w:highlight w:val="none"/>
              </w:rPr>
              <w:t>承担。如不符合采购文件项目需要及技术需求以及提供虚假承诺的，按相关规定做违约处理，采购人依据相关法律规定追究</w:t>
            </w:r>
            <w:r>
              <w:rPr>
                <w:rFonts w:hint="eastAsia" w:ascii="宋体" w:hAnsi="宋体"/>
                <w:color w:val="auto"/>
                <w:sz w:val="22"/>
                <w:highlight w:val="none"/>
                <w:lang w:val="zh-CN"/>
              </w:rPr>
              <w:t>成交人</w:t>
            </w:r>
            <w:r>
              <w:rPr>
                <w:rFonts w:hint="eastAsia" w:ascii="宋体" w:hAnsi="宋体"/>
                <w:color w:val="auto"/>
                <w:sz w:val="22"/>
                <w:highlight w:val="none"/>
              </w:rPr>
              <w:t>的责任，由此带来的一切损失由</w:t>
            </w:r>
            <w:r>
              <w:rPr>
                <w:rFonts w:hint="eastAsia" w:ascii="宋体" w:hAnsi="宋体"/>
                <w:color w:val="auto"/>
                <w:sz w:val="22"/>
                <w:highlight w:val="none"/>
                <w:lang w:val="zh-CN"/>
              </w:rPr>
              <w:t>成交人</w:t>
            </w:r>
            <w:r>
              <w:rPr>
                <w:rFonts w:hint="eastAsia" w:ascii="宋体" w:hAnsi="宋体"/>
                <w:color w:val="auto"/>
                <w:sz w:val="22"/>
                <w:highlight w:val="none"/>
              </w:rPr>
              <w:t>自行承担。</w:t>
            </w:r>
          </w:p>
        </w:tc>
      </w:tr>
      <w:tr w14:paraId="6A2DA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9" w:type="dxa"/>
            <w:gridSpan w:val="5"/>
            <w:tcBorders>
              <w:top w:val="single" w:color="auto" w:sz="4" w:space="0"/>
              <w:left w:val="single" w:color="auto" w:sz="4" w:space="0"/>
              <w:bottom w:val="single" w:color="auto" w:sz="4" w:space="0"/>
              <w:right w:val="single" w:color="auto" w:sz="4" w:space="0"/>
            </w:tcBorders>
          </w:tcPr>
          <w:p w14:paraId="7D34B5C1">
            <w:pPr>
              <w:spacing w:line="336" w:lineRule="exact"/>
              <w:rPr>
                <w:rFonts w:hint="eastAsia" w:ascii="宋体" w:hAnsi="宋体"/>
                <w:b/>
                <w:color w:val="auto"/>
                <w:szCs w:val="21"/>
                <w:highlight w:val="none"/>
              </w:rPr>
            </w:pPr>
            <w:r>
              <w:rPr>
                <w:rFonts w:hint="eastAsia" w:ascii="宋体" w:hAnsi="宋体"/>
                <w:b/>
                <w:color w:val="auto"/>
                <w:szCs w:val="21"/>
                <w:highlight w:val="none"/>
              </w:rPr>
              <w:t>三、采购人对项目的其他要求和说明</w:t>
            </w:r>
          </w:p>
        </w:tc>
      </w:tr>
      <w:tr w14:paraId="67DFF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9" w:type="dxa"/>
            <w:gridSpan w:val="3"/>
            <w:tcBorders>
              <w:top w:val="single" w:color="auto" w:sz="4" w:space="0"/>
              <w:left w:val="single" w:color="auto" w:sz="4" w:space="0"/>
              <w:bottom w:val="single" w:color="auto" w:sz="4" w:space="0"/>
              <w:right w:val="single" w:color="auto" w:sz="4" w:space="0"/>
            </w:tcBorders>
            <w:vAlign w:val="center"/>
          </w:tcPr>
          <w:p w14:paraId="75928BD7">
            <w:pPr>
              <w:spacing w:line="380" w:lineRule="exact"/>
              <w:rPr>
                <w:rFonts w:hint="eastAsia" w:ascii="宋体" w:hAnsi="宋体"/>
                <w:color w:val="auto"/>
                <w:sz w:val="22"/>
                <w:szCs w:val="22"/>
                <w:highlight w:val="none"/>
              </w:rPr>
            </w:pPr>
            <w:r>
              <w:rPr>
                <w:rFonts w:hint="eastAsia" w:ascii="宋体" w:hAnsi="宋体"/>
                <w:color w:val="auto"/>
                <w:sz w:val="22"/>
                <w:highlight w:val="none"/>
              </w:rPr>
              <w:t>规范标准</w:t>
            </w:r>
          </w:p>
        </w:tc>
        <w:tc>
          <w:tcPr>
            <w:tcW w:w="6410" w:type="dxa"/>
            <w:gridSpan w:val="2"/>
            <w:tcBorders>
              <w:top w:val="single" w:color="auto" w:sz="4" w:space="0"/>
              <w:left w:val="single" w:color="auto" w:sz="4" w:space="0"/>
              <w:bottom w:val="single" w:color="auto" w:sz="4" w:space="0"/>
              <w:right w:val="single" w:color="auto" w:sz="4" w:space="0"/>
            </w:tcBorders>
          </w:tcPr>
          <w:p w14:paraId="120BC061">
            <w:pPr>
              <w:spacing w:line="380" w:lineRule="exact"/>
              <w:rPr>
                <w:rFonts w:hint="eastAsia" w:ascii="宋体" w:hAnsi="宋体"/>
                <w:color w:val="auto"/>
                <w:sz w:val="22"/>
                <w:highlight w:val="none"/>
              </w:rPr>
            </w:pPr>
            <w:r>
              <w:rPr>
                <w:rFonts w:hint="eastAsia" w:ascii="宋体" w:hAnsi="宋体"/>
                <w:color w:val="auto"/>
                <w:sz w:val="22"/>
                <w:highlight w:val="none"/>
              </w:rPr>
              <w:t>执行现行的强制的国家、行业、地方标准。</w:t>
            </w:r>
          </w:p>
        </w:tc>
      </w:tr>
      <w:tr w14:paraId="2E0B8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9" w:type="dxa"/>
            <w:gridSpan w:val="3"/>
            <w:tcBorders>
              <w:top w:val="single" w:color="auto" w:sz="4" w:space="0"/>
              <w:left w:val="single" w:color="auto" w:sz="4" w:space="0"/>
              <w:bottom w:val="single" w:color="auto" w:sz="4" w:space="0"/>
              <w:right w:val="single" w:color="auto" w:sz="4" w:space="0"/>
            </w:tcBorders>
            <w:vAlign w:val="center"/>
          </w:tcPr>
          <w:p w14:paraId="1595D9AD">
            <w:pPr>
              <w:spacing w:line="380" w:lineRule="exact"/>
              <w:rPr>
                <w:rFonts w:hint="eastAsia" w:ascii="宋体" w:hAnsi="宋体"/>
                <w:color w:val="auto"/>
                <w:sz w:val="22"/>
                <w:highlight w:val="none"/>
              </w:rPr>
            </w:pPr>
            <w:r>
              <w:rPr>
                <w:rFonts w:hint="eastAsia" w:ascii="宋体" w:hAnsi="宋体"/>
                <w:color w:val="auto"/>
                <w:sz w:val="22"/>
                <w:highlight w:val="none"/>
              </w:rPr>
              <w:t>资料要求</w:t>
            </w:r>
          </w:p>
        </w:tc>
        <w:tc>
          <w:tcPr>
            <w:tcW w:w="6410" w:type="dxa"/>
            <w:gridSpan w:val="2"/>
            <w:tcBorders>
              <w:top w:val="single" w:color="auto" w:sz="4" w:space="0"/>
              <w:left w:val="single" w:color="auto" w:sz="4" w:space="0"/>
              <w:bottom w:val="single" w:color="auto" w:sz="4" w:space="0"/>
              <w:right w:val="single" w:color="auto" w:sz="4" w:space="0"/>
            </w:tcBorders>
          </w:tcPr>
          <w:p w14:paraId="30CC70AE">
            <w:pPr>
              <w:spacing w:line="380" w:lineRule="exact"/>
              <w:rPr>
                <w:rFonts w:hint="eastAsia" w:ascii="宋体" w:hAnsi="宋体"/>
                <w:color w:val="auto"/>
                <w:sz w:val="22"/>
                <w:highlight w:val="none"/>
              </w:rPr>
            </w:pPr>
            <w:r>
              <w:rPr>
                <w:rFonts w:hint="eastAsia" w:ascii="宋体" w:hAnsi="宋体"/>
                <w:color w:val="auto"/>
                <w:sz w:val="22"/>
                <w:highlight w:val="none"/>
              </w:rPr>
              <w:t>供应商可根据评分标准在响应文件提供项目实施方案、保险赔偿方案、多渠道理赔服务支持、数据查询与技术支撑、保险理赔时限、服务人员支持、经验业绩证明。</w:t>
            </w:r>
          </w:p>
        </w:tc>
      </w:tr>
    </w:tbl>
    <w:p w14:paraId="0BDA4CD3">
      <w:pPr>
        <w:tabs>
          <w:tab w:val="left" w:pos="180"/>
          <w:tab w:val="left" w:pos="1620"/>
        </w:tabs>
        <w:spacing w:line="360" w:lineRule="auto"/>
        <w:ind w:firstLine="422" w:firstLineChars="200"/>
        <w:rPr>
          <w:rFonts w:hint="eastAsia" w:ascii="宋体" w:hAnsi="宋体" w:cs="宋体"/>
          <w:b/>
          <w:bCs/>
          <w:color w:val="auto"/>
          <w:szCs w:val="21"/>
          <w:highlight w:val="none"/>
        </w:rPr>
      </w:pPr>
    </w:p>
    <w:p w14:paraId="50C1F1A6">
      <w:pPr>
        <w:tabs>
          <w:tab w:val="left" w:pos="180"/>
          <w:tab w:val="left" w:pos="1620"/>
        </w:tabs>
        <w:spacing w:line="360" w:lineRule="auto"/>
        <w:ind w:firstLine="422" w:firstLineChars="200"/>
        <w:rPr>
          <w:rFonts w:hint="eastAsia" w:ascii="宋体" w:hAnsi="宋体" w:cs="宋体"/>
          <w:b/>
          <w:bCs/>
          <w:color w:val="auto"/>
          <w:szCs w:val="21"/>
          <w:highlight w:val="none"/>
        </w:rPr>
      </w:pPr>
    </w:p>
    <w:p w14:paraId="3B605395">
      <w:pPr>
        <w:spacing w:line="360" w:lineRule="auto"/>
        <w:jc w:val="left"/>
        <w:rPr>
          <w:rFonts w:hint="eastAsia" w:ascii="宋体" w:hAnsi="宋体" w:cs="Arial"/>
          <w:bCs/>
          <w:color w:val="auto"/>
          <w:szCs w:val="21"/>
          <w:highlight w:val="none"/>
          <w:u w:val="single"/>
        </w:rPr>
      </w:pPr>
    </w:p>
    <w:p w14:paraId="797352A4">
      <w:pPr>
        <w:pStyle w:val="3"/>
        <w:jc w:val="center"/>
        <w:rPr>
          <w:color w:val="auto"/>
          <w:highlight w:val="none"/>
        </w:rPr>
      </w:pPr>
      <w:r>
        <w:rPr>
          <w:rFonts w:ascii="宋体" w:hAnsi="宋体" w:cs="宋体"/>
          <w:color w:val="auto"/>
          <w:sz w:val="20"/>
          <w:szCs w:val="20"/>
          <w:highlight w:val="none"/>
        </w:rPr>
        <w:br w:type="page"/>
      </w:r>
      <w:bookmarkStart w:id="82" w:name="_Toc74323459"/>
      <w:r>
        <w:rPr>
          <w:rFonts w:hint="eastAsia"/>
          <w:color w:val="auto"/>
          <w:highlight w:val="none"/>
        </w:rPr>
        <w:t>第四章评审程序、评审方法和评审标准</w:t>
      </w:r>
      <w:bookmarkEnd w:id="82"/>
    </w:p>
    <w:p w14:paraId="583663C6">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399E890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11FCCE08">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A78CA9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7701F4B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2115670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4D1F001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95440B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704265D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3E49FB5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373D0E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3C56BE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66D903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2E5551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1A15F3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572EE62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3D417C5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44C7C63">
      <w:pPr>
        <w:spacing w:line="360" w:lineRule="auto"/>
        <w:ind w:firstLine="420" w:firstLineChars="200"/>
        <w:rPr>
          <w:rFonts w:hint="eastAsia" w:ascii="宋体" w:hAnsi="宋体" w:cs="宋体"/>
          <w:color w:val="auto"/>
          <w:szCs w:val="21"/>
          <w:highlight w:val="none"/>
        </w:rPr>
      </w:pPr>
      <w:bookmarkStart w:id="83"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83"/>
    <w:p w14:paraId="554CA6D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A8C3B7">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7D69463A">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AB81DEC">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首次响应文件报价出现前后不一致的，按照下列规定修正：</w:t>
      </w:r>
    </w:p>
    <w:p w14:paraId="1460D4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1C536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5CF4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CF82C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7CC73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985B63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59ABEF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41704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7201AF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45A71A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36C04B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3）委托代理人未能出具有效身份证或者出具的身份证与授权委托书中的信息不符的； </w:t>
      </w:r>
    </w:p>
    <w:p w14:paraId="0A275F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239A59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35C259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）商务要求允许负偏离的条款数超过“供应商须知前附表”规定项数的；</w:t>
      </w:r>
    </w:p>
    <w:p w14:paraId="311B9A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）未对竞标有效期作出响应或者响应文件承诺的竞标有效期不满足磋商文件要求；</w:t>
      </w:r>
    </w:p>
    <w:p w14:paraId="0B0BAF4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）响应文件的实质性内容未使用中文表述、使用计量单位不符合磋商文件要求；</w:t>
      </w:r>
    </w:p>
    <w:p w14:paraId="5A51261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14:paraId="762F29A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0A5CE7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291E3D9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2）技术要求允许负偏离的条款数超过“供应商须知前附表”规定项数；</w:t>
      </w:r>
    </w:p>
    <w:p w14:paraId="082E585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14:paraId="75001D8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bookmarkStart w:id="84"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4"/>
    </w:p>
    <w:p w14:paraId="2079C40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）响应文件标注的项目名称或者项目编号与磋商文件标注的项目名称或者项目编号不一致的；</w:t>
      </w:r>
    </w:p>
    <w:p w14:paraId="7A61D6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b/>
          <w:color w:val="auto"/>
          <w:szCs w:val="21"/>
          <w:highlight w:val="none"/>
        </w:rPr>
        <w:t>竞争性磋商文件明确不允许分包，响应文件拟分包的；</w:t>
      </w:r>
    </w:p>
    <w:p w14:paraId="167FE7A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）未响应磋商文件实质性要求；</w:t>
      </w:r>
    </w:p>
    <w:p w14:paraId="43E758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8</w:t>
      </w:r>
      <w:r>
        <w:rPr>
          <w:rFonts w:hint="eastAsia" w:ascii="宋体" w:hAnsi="宋体" w:cs="宋体"/>
          <w:color w:val="auto"/>
          <w:szCs w:val="21"/>
          <w:highlight w:val="none"/>
        </w:rPr>
        <w:t>）法律、法规和磋商文件规定的其他无效情形。</w:t>
      </w:r>
    </w:p>
    <w:p w14:paraId="1D3618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3F60F2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w:t>
      </w:r>
    </w:p>
    <w:p w14:paraId="053FC2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A0F5F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AD12C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5" w:name="_Hlk42596405"/>
      <w:r>
        <w:rPr>
          <w:rFonts w:hint="eastAsia" w:ascii="宋体" w:hAnsi="宋体" w:cs="宋体"/>
          <w:color w:val="auto"/>
          <w:szCs w:val="21"/>
          <w:highlight w:val="none"/>
        </w:rPr>
        <w:t>竞标报价（包含首次报价、最后报价）</w:t>
      </w:r>
      <w:bookmarkEnd w:id="85"/>
      <w:bookmarkStart w:id="86" w:name="_Hlk42596276"/>
      <w:r>
        <w:rPr>
          <w:rFonts w:hint="eastAsia" w:ascii="宋体" w:hAnsi="宋体" w:cs="宋体"/>
          <w:color w:val="auto"/>
          <w:szCs w:val="21"/>
          <w:highlight w:val="none"/>
        </w:rPr>
        <w:t>超过磋商文件分项采购预算金额或者最高限价的</w:t>
      </w:r>
      <w:bookmarkEnd w:id="86"/>
      <w:r>
        <w:rPr>
          <w:rFonts w:hint="eastAsia" w:ascii="宋体" w:hAnsi="宋体" w:cs="宋体"/>
          <w:color w:val="auto"/>
          <w:szCs w:val="21"/>
          <w:highlight w:val="none"/>
        </w:rPr>
        <w:t>（如本项目公布了最高限价）；</w:t>
      </w:r>
    </w:p>
    <w:p w14:paraId="05A3AA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72CFA43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22DCD8E2">
      <w:pPr>
        <w:spacing w:line="360" w:lineRule="auto"/>
        <w:ind w:firstLine="562" w:firstLineChars="200"/>
        <w:rPr>
          <w:rFonts w:hint="eastAsia" w:ascii="宋体" w:hAnsi="宋体" w:cs="宋体"/>
          <w:b/>
          <w:color w:val="auto"/>
          <w:sz w:val="28"/>
          <w:szCs w:val="28"/>
          <w:highlight w:val="none"/>
        </w:rPr>
      </w:pPr>
      <w:r>
        <w:rPr>
          <w:rFonts w:hint="eastAsia" w:ascii="宋体" w:hAnsi="宋体"/>
          <w:b/>
          <w:color w:val="auto"/>
          <w:sz w:val="28"/>
          <w:szCs w:val="28"/>
          <w:highlight w:val="none"/>
        </w:rPr>
        <w:t>7）报价按固定金额100元/人报价。</w:t>
      </w:r>
    </w:p>
    <w:p w14:paraId="0D792168">
      <w:pPr>
        <w:pStyle w:val="44"/>
        <w:ind w:firstLine="480"/>
        <w:rPr>
          <w:color w:val="auto"/>
          <w:highlight w:val="none"/>
        </w:rPr>
      </w:pPr>
    </w:p>
    <w:p w14:paraId="7B035B4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AD2DF4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16CDAC0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6B4E13B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D58092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564391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10EF275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1C4CB0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35ACF17B">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46B8C8C9">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9FB9D56">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04CFCFAD">
      <w:pPr>
        <w:spacing w:line="360" w:lineRule="auto"/>
        <w:ind w:firstLine="482" w:firstLineChars="200"/>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335ED4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581486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26739BF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3C33281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1195367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2457841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C725E4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条的规定修正。</w:t>
      </w:r>
    </w:p>
    <w:p w14:paraId="5A97F5C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12BBC1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805F9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28375B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6ED1205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67D3DB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45964C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3201AB2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0510038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5263743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4C6EEBC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565709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40CC6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91612C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3EDBF98C">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180136BF">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9DEA6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2236EB1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14:paraId="2FE540CC">
      <w:pPr>
        <w:spacing w:line="360" w:lineRule="auto"/>
        <w:ind w:firstLine="420" w:firstLineChars="200"/>
        <w:rPr>
          <w:rFonts w:hint="eastAsia" w:ascii="宋体" w:hAnsi="宋体"/>
          <w:bCs/>
          <w:color w:val="auto"/>
          <w:szCs w:val="21"/>
          <w:highlight w:val="none"/>
        </w:rPr>
      </w:pPr>
    </w:p>
    <w:p w14:paraId="08F3B1FC">
      <w:pPr>
        <w:spacing w:line="360" w:lineRule="auto"/>
        <w:ind w:firstLine="420" w:firstLineChars="200"/>
        <w:rPr>
          <w:rFonts w:hint="eastAsia" w:ascii="宋体" w:hAnsi="宋体"/>
          <w:bCs/>
          <w:color w:val="auto"/>
          <w:szCs w:val="21"/>
          <w:highlight w:val="none"/>
        </w:rPr>
      </w:pPr>
    </w:p>
    <w:p w14:paraId="07FFC08B">
      <w:pPr>
        <w:spacing w:line="360" w:lineRule="auto"/>
        <w:ind w:firstLine="420" w:firstLineChars="200"/>
        <w:rPr>
          <w:rFonts w:hint="eastAsia" w:ascii="宋体" w:hAnsi="宋体"/>
          <w:bCs/>
          <w:color w:val="auto"/>
          <w:szCs w:val="21"/>
          <w:highlight w:val="none"/>
        </w:rPr>
      </w:pPr>
    </w:p>
    <w:p w14:paraId="798A41DD">
      <w:pPr>
        <w:spacing w:line="360" w:lineRule="auto"/>
        <w:ind w:firstLine="420" w:firstLineChars="200"/>
        <w:rPr>
          <w:rFonts w:hint="eastAsia" w:ascii="宋体" w:hAnsi="宋体"/>
          <w:bCs/>
          <w:color w:val="auto"/>
          <w:szCs w:val="21"/>
          <w:highlight w:val="none"/>
        </w:rPr>
      </w:pPr>
    </w:p>
    <w:p w14:paraId="480DA7AB">
      <w:pPr>
        <w:spacing w:line="360" w:lineRule="auto"/>
        <w:ind w:firstLine="420" w:firstLineChars="200"/>
        <w:rPr>
          <w:rFonts w:hint="eastAsia" w:ascii="宋体" w:hAnsi="宋体"/>
          <w:bCs/>
          <w:color w:val="auto"/>
          <w:szCs w:val="21"/>
          <w:highlight w:val="none"/>
        </w:rPr>
      </w:pPr>
    </w:p>
    <w:p w14:paraId="4EE62E67">
      <w:pPr>
        <w:spacing w:line="360" w:lineRule="auto"/>
        <w:ind w:firstLine="420" w:firstLineChars="200"/>
        <w:rPr>
          <w:rFonts w:hint="eastAsia" w:ascii="宋体" w:hAnsi="宋体"/>
          <w:bCs/>
          <w:color w:val="auto"/>
          <w:szCs w:val="21"/>
          <w:highlight w:val="none"/>
        </w:rPr>
      </w:pPr>
    </w:p>
    <w:p w14:paraId="6F8EF2BE">
      <w:pPr>
        <w:spacing w:line="360" w:lineRule="auto"/>
        <w:ind w:firstLine="420" w:firstLineChars="200"/>
        <w:rPr>
          <w:rFonts w:hint="eastAsia" w:ascii="宋体" w:hAnsi="宋体"/>
          <w:bCs/>
          <w:color w:val="auto"/>
          <w:szCs w:val="21"/>
          <w:highlight w:val="none"/>
        </w:rPr>
      </w:pPr>
    </w:p>
    <w:p w14:paraId="5A034E3F">
      <w:pPr>
        <w:spacing w:line="360" w:lineRule="auto"/>
        <w:ind w:firstLine="562" w:firstLineChars="200"/>
        <w:rPr>
          <w:rFonts w:hint="eastAsia" w:ascii="宋体" w:hAnsi="宋体"/>
          <w:bCs/>
          <w:color w:val="auto"/>
          <w:szCs w:val="21"/>
          <w:highlight w:val="none"/>
        </w:rPr>
      </w:pPr>
      <w:r>
        <w:rPr>
          <w:rFonts w:hint="eastAsia" w:ascii="宋体" w:hAnsi="宋体"/>
          <w:b/>
          <w:bCs/>
          <w:color w:val="auto"/>
          <w:sz w:val="28"/>
          <w:szCs w:val="28"/>
          <w:highlight w:val="none"/>
        </w:rPr>
        <w:t>说明：本项目采用固定单价报价，价格不列为评审因素</w:t>
      </w:r>
    </w:p>
    <w:tbl>
      <w:tblPr>
        <w:tblStyle w:val="34"/>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34"/>
        <w:gridCol w:w="1517"/>
        <w:gridCol w:w="6274"/>
      </w:tblGrid>
      <w:tr w14:paraId="3191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vAlign w:val="center"/>
          </w:tcPr>
          <w:p w14:paraId="4BDD9E07">
            <w:pPr>
              <w:adjustRightInd w:val="0"/>
              <w:spacing w:line="360" w:lineRule="auto"/>
              <w:jc w:val="center"/>
              <w:textAlignment w:val="baseline"/>
              <w:rPr>
                <w:rFonts w:hint="eastAsia" w:ascii="宋体" w:hAnsi="宋体"/>
                <w:color w:val="auto"/>
                <w:szCs w:val="21"/>
                <w:highlight w:val="none"/>
              </w:rPr>
            </w:pPr>
            <w:r>
              <w:rPr>
                <w:rFonts w:hint="eastAsia" w:ascii="宋体" w:hAnsi="宋体"/>
                <w:b/>
                <w:color w:val="auto"/>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100455E7">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评分内容</w:t>
            </w:r>
          </w:p>
        </w:tc>
        <w:tc>
          <w:tcPr>
            <w:tcW w:w="1517" w:type="dxa"/>
            <w:tcBorders>
              <w:top w:val="single" w:color="auto" w:sz="4" w:space="0"/>
              <w:left w:val="single" w:color="auto" w:sz="4" w:space="0"/>
              <w:bottom w:val="single" w:color="auto" w:sz="4" w:space="0"/>
              <w:right w:val="single" w:color="auto" w:sz="4" w:space="0"/>
            </w:tcBorders>
            <w:vAlign w:val="center"/>
          </w:tcPr>
          <w:p w14:paraId="11602CDA">
            <w:pPr>
              <w:adjustRightInd w:val="0"/>
              <w:spacing w:line="40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评分因素</w:t>
            </w:r>
          </w:p>
        </w:tc>
        <w:tc>
          <w:tcPr>
            <w:tcW w:w="6274" w:type="dxa"/>
            <w:tcBorders>
              <w:top w:val="single" w:color="auto" w:sz="4" w:space="0"/>
              <w:left w:val="single" w:color="auto" w:sz="4" w:space="0"/>
              <w:bottom w:val="single" w:color="auto" w:sz="4" w:space="0"/>
              <w:right w:val="single" w:color="auto" w:sz="4" w:space="0"/>
            </w:tcBorders>
            <w:vAlign w:val="center"/>
          </w:tcPr>
          <w:p w14:paraId="31A567EF">
            <w:pPr>
              <w:adjustRightInd w:val="0"/>
              <w:spacing w:line="40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评分标准</w:t>
            </w:r>
          </w:p>
        </w:tc>
      </w:tr>
      <w:tr w14:paraId="5D90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tcBorders>
              <w:top w:val="single" w:color="auto" w:sz="4" w:space="0"/>
              <w:left w:val="single" w:color="auto" w:sz="4" w:space="0"/>
              <w:right w:val="single" w:color="auto" w:sz="4" w:space="0"/>
            </w:tcBorders>
            <w:vAlign w:val="center"/>
          </w:tcPr>
          <w:p w14:paraId="259CF092">
            <w:pPr>
              <w:adjustRightInd w:val="0"/>
              <w:spacing w:line="360" w:lineRule="auto"/>
              <w:jc w:val="center"/>
              <w:textAlignment w:val="baseline"/>
              <w:rPr>
                <w:rFonts w:hint="eastAsia" w:ascii="宋体" w:hAnsi="宋体"/>
                <w:b/>
                <w:color w:val="auto"/>
                <w:szCs w:val="21"/>
                <w:highlight w:val="none"/>
              </w:rPr>
            </w:pPr>
            <w:r>
              <w:rPr>
                <w:rFonts w:hint="eastAsia" w:ascii="宋体" w:hAnsi="宋体"/>
                <w:color w:val="auto"/>
                <w:szCs w:val="21"/>
                <w:highlight w:val="none"/>
              </w:rPr>
              <w:t>1</w:t>
            </w:r>
          </w:p>
        </w:tc>
        <w:tc>
          <w:tcPr>
            <w:tcW w:w="1134" w:type="dxa"/>
            <w:vMerge w:val="restart"/>
            <w:tcBorders>
              <w:top w:val="single" w:color="auto" w:sz="4" w:space="0"/>
              <w:left w:val="single" w:color="auto" w:sz="4" w:space="0"/>
              <w:right w:val="single" w:color="auto" w:sz="4" w:space="0"/>
            </w:tcBorders>
            <w:vAlign w:val="center"/>
          </w:tcPr>
          <w:p w14:paraId="10C5D4DA">
            <w:pPr>
              <w:adjustRightInd w:val="0"/>
              <w:spacing w:line="360" w:lineRule="auto"/>
              <w:jc w:val="center"/>
              <w:textAlignment w:val="baseline"/>
              <w:rPr>
                <w:rFonts w:hint="eastAsia" w:ascii="宋体" w:hAnsi="宋体"/>
                <w:b/>
                <w:color w:val="auto"/>
                <w:szCs w:val="21"/>
                <w:highlight w:val="none"/>
              </w:rPr>
            </w:pPr>
            <w:r>
              <w:rPr>
                <w:rFonts w:hint="eastAsia" w:ascii="宋体" w:hAnsi="宋体"/>
                <w:b/>
                <w:bCs/>
                <w:color w:val="auto"/>
                <w:szCs w:val="21"/>
                <w:highlight w:val="none"/>
              </w:rPr>
              <w:t>保险服务分（</w:t>
            </w:r>
            <w:r>
              <w:rPr>
                <w:rFonts w:hint="eastAsia" w:ascii="宋体" w:hAnsi="宋体"/>
                <w:b/>
                <w:color w:val="auto"/>
                <w:szCs w:val="21"/>
                <w:highlight w:val="none"/>
              </w:rPr>
              <w:t>75分</w:t>
            </w:r>
            <w:r>
              <w:rPr>
                <w:rFonts w:hint="eastAsia" w:ascii="宋体" w:hAnsi="宋体"/>
                <w:b/>
                <w:bCs/>
                <w:color w:val="auto"/>
                <w:szCs w:val="21"/>
                <w:highlight w:val="none"/>
              </w:rPr>
              <w:t>）</w:t>
            </w:r>
          </w:p>
        </w:tc>
        <w:tc>
          <w:tcPr>
            <w:tcW w:w="1517" w:type="dxa"/>
            <w:tcBorders>
              <w:top w:val="single" w:color="auto" w:sz="4" w:space="0"/>
              <w:left w:val="single" w:color="auto" w:sz="4" w:space="0"/>
              <w:bottom w:val="single" w:color="auto" w:sz="4" w:space="0"/>
              <w:right w:val="single" w:color="auto" w:sz="4" w:space="0"/>
            </w:tcBorders>
            <w:vAlign w:val="center"/>
          </w:tcPr>
          <w:p w14:paraId="1083716F">
            <w:pPr>
              <w:adjustRightInd w:val="0"/>
              <w:spacing w:line="400" w:lineRule="exact"/>
              <w:jc w:val="center"/>
              <w:textAlignment w:val="baseline"/>
              <w:rPr>
                <w:rFonts w:hint="eastAsia" w:ascii="宋体" w:hAnsi="宋体"/>
                <w:b/>
                <w:color w:val="auto"/>
                <w:szCs w:val="21"/>
                <w:highlight w:val="none"/>
              </w:rPr>
            </w:pPr>
            <w:r>
              <w:rPr>
                <w:rFonts w:hint="eastAsia" w:hAnsi="宋体"/>
                <w:b/>
                <w:bCs/>
                <w:color w:val="auto"/>
                <w:highlight w:val="none"/>
              </w:rPr>
              <w:t>（1）项目实施方案分（满分25分）</w:t>
            </w:r>
          </w:p>
        </w:tc>
        <w:tc>
          <w:tcPr>
            <w:tcW w:w="6274" w:type="dxa"/>
            <w:tcBorders>
              <w:top w:val="single" w:color="auto" w:sz="4" w:space="0"/>
              <w:left w:val="single" w:color="auto" w:sz="4" w:space="0"/>
              <w:bottom w:val="single" w:color="auto" w:sz="4" w:space="0"/>
              <w:right w:val="single" w:color="auto" w:sz="4" w:space="0"/>
            </w:tcBorders>
            <w:vAlign w:val="center"/>
          </w:tcPr>
          <w:p w14:paraId="1DA378AE">
            <w:pPr>
              <w:pStyle w:val="22"/>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一档（8分）：项目整体实施服务方案内容、保障方案内容描述较完善；承保、保全、理赔服务实施方案清楚，流程一般，满足项目要求。</w:t>
            </w:r>
          </w:p>
          <w:p w14:paraId="23597E62">
            <w:pPr>
              <w:pStyle w:val="22"/>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二档（16分）：项目实施服务方案内容、保障方案内容描述详细，承保、保全、理赔等服务实施方案较科学合理，流程较好，服务措施有保证，且有一定的优势，较能满足项目要求；</w:t>
            </w:r>
          </w:p>
          <w:p w14:paraId="3B5240E8">
            <w:pPr>
              <w:adjustRightInd w:val="0"/>
              <w:spacing w:line="400" w:lineRule="exact"/>
              <w:ind w:firstLine="420" w:firstLineChars="200"/>
              <w:jc w:val="left"/>
              <w:textAlignment w:val="baseline"/>
              <w:rPr>
                <w:rFonts w:hint="eastAsia" w:ascii="宋体" w:hAnsi="宋体"/>
                <w:b/>
                <w:color w:val="auto"/>
                <w:szCs w:val="21"/>
                <w:highlight w:val="none"/>
              </w:rPr>
            </w:pPr>
            <w:r>
              <w:rPr>
                <w:rFonts w:hint="eastAsia" w:hAnsi="宋体" w:cs="宋体"/>
                <w:bCs/>
                <w:color w:val="auto"/>
                <w:highlight w:val="none"/>
              </w:rPr>
              <w:t>三档（25分）：项目实施服务方案内容完善全面，措施突出，保障方案内容描述详尽；承保、保全、理赔服务实施方案等科学合理，有针对性、可操作性强，流程便捷，优势突出；完全满足项目要求。</w:t>
            </w:r>
          </w:p>
        </w:tc>
      </w:tr>
      <w:tr w14:paraId="7F84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tcBorders>
              <w:left w:val="single" w:color="auto" w:sz="4" w:space="0"/>
              <w:right w:val="single" w:color="auto" w:sz="4" w:space="0"/>
            </w:tcBorders>
            <w:vAlign w:val="center"/>
          </w:tcPr>
          <w:p w14:paraId="170E1AD0">
            <w:pPr>
              <w:adjustRightInd w:val="0"/>
              <w:spacing w:line="360" w:lineRule="auto"/>
              <w:jc w:val="center"/>
              <w:textAlignment w:val="baseline"/>
              <w:rPr>
                <w:rFonts w:hint="eastAsia" w:ascii="宋体" w:hAnsi="宋体"/>
                <w:b/>
                <w:color w:val="auto"/>
                <w:szCs w:val="21"/>
                <w:highlight w:val="none"/>
              </w:rPr>
            </w:pPr>
          </w:p>
        </w:tc>
        <w:tc>
          <w:tcPr>
            <w:tcW w:w="1134" w:type="dxa"/>
            <w:vMerge w:val="continue"/>
            <w:tcBorders>
              <w:left w:val="single" w:color="auto" w:sz="4" w:space="0"/>
              <w:right w:val="single" w:color="auto" w:sz="4" w:space="0"/>
            </w:tcBorders>
            <w:vAlign w:val="center"/>
          </w:tcPr>
          <w:p w14:paraId="13274979">
            <w:pPr>
              <w:adjustRightInd w:val="0"/>
              <w:spacing w:line="360" w:lineRule="auto"/>
              <w:jc w:val="center"/>
              <w:textAlignment w:val="baseline"/>
              <w:rPr>
                <w:rFonts w:hint="eastAsia" w:ascii="宋体" w:hAnsi="宋体"/>
                <w:b/>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653A6B5D">
            <w:pPr>
              <w:adjustRightInd w:val="0"/>
              <w:spacing w:line="400" w:lineRule="exact"/>
              <w:jc w:val="center"/>
              <w:textAlignment w:val="baseline"/>
              <w:rPr>
                <w:rFonts w:hint="eastAsia" w:ascii="宋体" w:hAnsi="宋体"/>
                <w:b/>
                <w:color w:val="auto"/>
                <w:szCs w:val="21"/>
                <w:highlight w:val="none"/>
              </w:rPr>
            </w:pPr>
            <w:r>
              <w:rPr>
                <w:rFonts w:hint="eastAsia" w:ascii="宋体" w:hAnsi="宋体" w:cs="宋体"/>
                <w:b/>
                <w:color w:val="auto"/>
                <w:kern w:val="0"/>
                <w:szCs w:val="21"/>
                <w:highlight w:val="none"/>
                <w:lang w:val="zh-CN"/>
              </w:rPr>
              <w:t>（2）保险赔偿方案分（满分21分）</w:t>
            </w:r>
          </w:p>
        </w:tc>
        <w:tc>
          <w:tcPr>
            <w:tcW w:w="6274" w:type="dxa"/>
            <w:tcBorders>
              <w:top w:val="single" w:color="auto" w:sz="4" w:space="0"/>
              <w:left w:val="single" w:color="auto" w:sz="4" w:space="0"/>
              <w:bottom w:val="single" w:color="auto" w:sz="4" w:space="0"/>
              <w:right w:val="single" w:color="auto" w:sz="4" w:space="0"/>
            </w:tcBorders>
            <w:vAlign w:val="center"/>
          </w:tcPr>
          <w:p w14:paraId="0D35C8C6">
            <w:pPr>
              <w:spacing w:line="400" w:lineRule="exact"/>
              <w:ind w:firstLine="413" w:firstLineChars="196"/>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①</w:t>
            </w:r>
            <w:r>
              <w:rPr>
                <w:rFonts w:hint="eastAsia" w:ascii="宋体" w:hAnsi="宋体" w:cs="宋体"/>
                <w:color w:val="auto"/>
                <w:kern w:val="0"/>
                <w:szCs w:val="21"/>
                <w:highlight w:val="none"/>
                <w:lang w:val="zh-CN"/>
              </w:rPr>
              <w:t>被保险人意外事故伤害导致身故的，</w:t>
            </w:r>
            <w:r>
              <w:rPr>
                <w:rFonts w:hint="eastAsia" w:ascii="宋体" w:hAnsi="宋体"/>
                <w:color w:val="auto"/>
                <w:szCs w:val="21"/>
                <w:highlight w:val="none"/>
              </w:rPr>
              <w:t>赔偿15万元；被评为革命烈士的，赔偿20万元。供应商在满足此要求基础上，保险金额</w:t>
            </w:r>
            <w:r>
              <w:rPr>
                <w:rFonts w:hint="eastAsia" w:ascii="宋体" w:hAnsi="宋体" w:cs="宋体"/>
                <w:bCs/>
                <w:color w:val="auto"/>
                <w:szCs w:val="21"/>
                <w:highlight w:val="none"/>
              </w:rPr>
              <w:t>均增幅20%以上（含）－40%得2分；保险金额均增幅40%以上（含）－50%得4分；保险金额均增幅50%（含</w:t>
            </w:r>
            <w:r>
              <w:rPr>
                <w:rFonts w:hint="eastAsia" w:ascii="宋体" w:hAnsi="宋体"/>
                <w:color w:val="auto"/>
                <w:szCs w:val="21"/>
                <w:highlight w:val="none"/>
              </w:rPr>
              <w:t>）以上的得6分。</w:t>
            </w:r>
          </w:p>
          <w:p w14:paraId="6363FC50">
            <w:pPr>
              <w:spacing w:line="400" w:lineRule="exact"/>
              <w:ind w:firstLine="413" w:firstLineChars="196"/>
              <w:jc w:val="left"/>
              <w:rPr>
                <w:rFonts w:hint="eastAsia" w:ascii="宋体" w:hAnsi="宋体"/>
                <w:color w:val="auto"/>
                <w:szCs w:val="21"/>
                <w:highlight w:val="none"/>
              </w:rPr>
            </w:pPr>
            <w:r>
              <w:rPr>
                <w:rFonts w:hint="eastAsia" w:ascii="宋体" w:hAnsi="宋体" w:cs="宋体"/>
                <w:b/>
                <w:color w:val="auto"/>
                <w:kern w:val="0"/>
                <w:szCs w:val="21"/>
                <w:highlight w:val="none"/>
                <w:lang w:val="zh-CN"/>
              </w:rPr>
              <w:t>②</w:t>
            </w:r>
            <w:r>
              <w:rPr>
                <w:rFonts w:hint="eastAsia" w:ascii="宋体" w:hAnsi="宋体"/>
                <w:color w:val="auto"/>
                <w:szCs w:val="21"/>
                <w:highlight w:val="none"/>
              </w:rPr>
              <w:t>投保人员在因意外伤害住院期间，每人每天按80元赔偿住院津贴，最长不超过180天。供应商在满足此要求基础上，每增加10元住院津贴加1分，满分3分。</w:t>
            </w:r>
          </w:p>
          <w:p w14:paraId="0DD38599">
            <w:pPr>
              <w:spacing w:line="400" w:lineRule="exact"/>
              <w:ind w:firstLine="413" w:firstLineChars="196"/>
              <w:rPr>
                <w:rFonts w:hint="eastAsia" w:ascii="宋体" w:hAnsi="宋体"/>
                <w:color w:val="auto"/>
                <w:szCs w:val="21"/>
                <w:highlight w:val="none"/>
              </w:rPr>
            </w:pPr>
            <w:r>
              <w:rPr>
                <w:rFonts w:hint="eastAsia" w:ascii="宋体" w:hAnsi="宋体" w:cs="宋体"/>
                <w:b/>
                <w:color w:val="auto"/>
                <w:kern w:val="0"/>
                <w:szCs w:val="21"/>
                <w:highlight w:val="none"/>
                <w:lang w:val="zh-CN"/>
              </w:rPr>
              <w:t>③</w:t>
            </w:r>
            <w:r>
              <w:rPr>
                <w:rFonts w:hint="eastAsia" w:ascii="宋体" w:hAnsi="宋体"/>
                <w:color w:val="auto"/>
                <w:szCs w:val="21"/>
                <w:highlight w:val="none"/>
              </w:rPr>
              <w:t>意外事故伤害医疗：3万，赔付比例100%</w:t>
            </w:r>
            <w:r>
              <w:rPr>
                <w:rFonts w:hint="eastAsia" w:ascii="宋体" w:hAnsi="宋体" w:cs="宋体"/>
                <w:color w:val="auto"/>
                <w:kern w:val="0"/>
                <w:szCs w:val="21"/>
                <w:highlight w:val="none"/>
                <w:lang w:val="zh-CN"/>
              </w:rPr>
              <w:t>。</w:t>
            </w:r>
            <w:r>
              <w:rPr>
                <w:rFonts w:hint="eastAsia" w:ascii="宋体" w:hAnsi="宋体"/>
                <w:color w:val="auto"/>
                <w:szCs w:val="21"/>
                <w:highlight w:val="none"/>
              </w:rPr>
              <w:t>供应商在满足此要求基础上，每增加0.5万保险金额加3分；满分6分。</w:t>
            </w:r>
          </w:p>
          <w:p w14:paraId="06B8EDB7">
            <w:pPr>
              <w:adjustRightInd w:val="0"/>
              <w:spacing w:line="400" w:lineRule="exact"/>
              <w:ind w:firstLine="422" w:firstLineChars="200"/>
              <w:jc w:val="left"/>
              <w:textAlignment w:val="baseline"/>
              <w:rPr>
                <w:rFonts w:hint="eastAsia" w:ascii="宋体" w:hAnsi="宋体"/>
                <w:b/>
                <w:color w:val="auto"/>
                <w:szCs w:val="21"/>
                <w:highlight w:val="none"/>
              </w:rPr>
            </w:pPr>
            <w:r>
              <w:rPr>
                <w:rFonts w:hint="eastAsia" w:ascii="宋体" w:hAnsi="宋体" w:cs="宋体"/>
                <w:b/>
                <w:color w:val="auto"/>
                <w:kern w:val="0"/>
                <w:szCs w:val="21"/>
                <w:highlight w:val="none"/>
                <w:lang w:val="zh-CN"/>
              </w:rPr>
              <w:t>④</w:t>
            </w:r>
            <w:r>
              <w:rPr>
                <w:rFonts w:hint="eastAsia" w:ascii="宋体" w:hAnsi="宋体"/>
                <w:color w:val="auto"/>
                <w:szCs w:val="21"/>
                <w:highlight w:val="none"/>
              </w:rPr>
              <w:t>疾病死亡赔偿5万元。供应商在满足此要求基础上，每增加0.5万保险金额加3分；满分6分。</w:t>
            </w:r>
          </w:p>
        </w:tc>
      </w:tr>
      <w:tr w14:paraId="7797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tcBorders>
              <w:left w:val="single" w:color="auto" w:sz="4" w:space="0"/>
              <w:right w:val="single" w:color="auto" w:sz="4" w:space="0"/>
            </w:tcBorders>
            <w:vAlign w:val="center"/>
          </w:tcPr>
          <w:p w14:paraId="0FFCAFFF">
            <w:pPr>
              <w:adjustRightInd w:val="0"/>
              <w:spacing w:line="360" w:lineRule="auto"/>
              <w:jc w:val="center"/>
              <w:textAlignment w:val="baseline"/>
              <w:rPr>
                <w:rFonts w:hint="eastAsia" w:ascii="宋体" w:hAnsi="宋体"/>
                <w:b/>
                <w:color w:val="auto"/>
                <w:szCs w:val="21"/>
                <w:highlight w:val="none"/>
              </w:rPr>
            </w:pPr>
          </w:p>
        </w:tc>
        <w:tc>
          <w:tcPr>
            <w:tcW w:w="1134" w:type="dxa"/>
            <w:vMerge w:val="continue"/>
            <w:tcBorders>
              <w:left w:val="single" w:color="auto" w:sz="4" w:space="0"/>
              <w:right w:val="single" w:color="auto" w:sz="4" w:space="0"/>
            </w:tcBorders>
            <w:vAlign w:val="center"/>
          </w:tcPr>
          <w:p w14:paraId="6BF88235">
            <w:pPr>
              <w:adjustRightInd w:val="0"/>
              <w:spacing w:line="360" w:lineRule="auto"/>
              <w:jc w:val="center"/>
              <w:textAlignment w:val="baseline"/>
              <w:rPr>
                <w:rFonts w:hint="eastAsia" w:ascii="宋体" w:hAnsi="宋体"/>
                <w:b/>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37A80A6A">
            <w:pPr>
              <w:adjustRightInd w:val="0"/>
              <w:spacing w:line="400" w:lineRule="exact"/>
              <w:jc w:val="center"/>
              <w:textAlignment w:val="baseline"/>
              <w:rPr>
                <w:rFonts w:hint="eastAsia" w:ascii="宋体" w:hAnsi="宋体"/>
                <w:b/>
                <w:color w:val="auto"/>
                <w:szCs w:val="21"/>
                <w:highlight w:val="none"/>
              </w:rPr>
            </w:pPr>
            <w:r>
              <w:rPr>
                <w:rFonts w:hint="eastAsia" w:ascii="宋体" w:hAnsi="宋体"/>
                <w:b/>
                <w:bCs/>
                <w:color w:val="auto"/>
                <w:szCs w:val="21"/>
                <w:highlight w:val="none"/>
              </w:rPr>
              <w:t>（3）多渠道理赔服务支持分（满分9分）</w:t>
            </w:r>
          </w:p>
        </w:tc>
        <w:tc>
          <w:tcPr>
            <w:tcW w:w="6274" w:type="dxa"/>
            <w:tcBorders>
              <w:top w:val="single" w:color="auto" w:sz="4" w:space="0"/>
              <w:left w:val="single" w:color="auto" w:sz="4" w:space="0"/>
              <w:bottom w:val="single" w:color="auto" w:sz="4" w:space="0"/>
              <w:right w:val="single" w:color="auto" w:sz="4" w:space="0"/>
            </w:tcBorders>
            <w:vAlign w:val="center"/>
          </w:tcPr>
          <w:p w14:paraId="44A4525C">
            <w:pPr>
              <w:pStyle w:val="22"/>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一档（3分）：主要基于提交纸质材料进行理赔申请，流程复杂，材料较多，项目支持一般；</w:t>
            </w:r>
          </w:p>
          <w:p w14:paraId="6EF862B2">
            <w:pPr>
              <w:pStyle w:val="22"/>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二挡（6分）：可实现线上自助理赔，有一定优势，索赔流程较简单；可查询理赔进度，项目支持较好；</w:t>
            </w:r>
          </w:p>
          <w:p w14:paraId="49EF273F">
            <w:pPr>
              <w:pStyle w:val="22"/>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三挡（9分）：可实现多渠道线上自助理赔，相关功能完善，客户资料安全性高、流程清晰快捷，操作简便、材料较少，项目支持很好。</w:t>
            </w:r>
          </w:p>
          <w:p w14:paraId="76C17AF8">
            <w:pPr>
              <w:adjustRightInd w:val="0"/>
              <w:spacing w:line="400" w:lineRule="exact"/>
              <w:jc w:val="center"/>
              <w:textAlignment w:val="baseline"/>
              <w:rPr>
                <w:rFonts w:hint="eastAsia" w:ascii="宋体" w:hAnsi="宋体"/>
                <w:b/>
                <w:color w:val="auto"/>
                <w:szCs w:val="21"/>
                <w:highlight w:val="none"/>
              </w:rPr>
            </w:pPr>
            <w:r>
              <w:rPr>
                <w:rFonts w:hint="eastAsia" w:hAnsi="宋体" w:cs="宋体"/>
                <w:bCs/>
                <w:color w:val="auto"/>
                <w:highlight w:val="none"/>
              </w:rPr>
              <w:t>（供应商须提供自助理赔系统操作流程截图说明）</w:t>
            </w:r>
          </w:p>
        </w:tc>
      </w:tr>
      <w:tr w14:paraId="451A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tcBorders>
              <w:left w:val="single" w:color="auto" w:sz="4" w:space="0"/>
              <w:right w:val="single" w:color="auto" w:sz="4" w:space="0"/>
            </w:tcBorders>
            <w:vAlign w:val="center"/>
          </w:tcPr>
          <w:p w14:paraId="06AB4243">
            <w:pPr>
              <w:adjustRightInd w:val="0"/>
              <w:spacing w:line="360" w:lineRule="auto"/>
              <w:jc w:val="center"/>
              <w:textAlignment w:val="baseline"/>
              <w:rPr>
                <w:rFonts w:hint="eastAsia" w:ascii="宋体" w:hAnsi="宋体"/>
                <w:b/>
                <w:color w:val="auto"/>
                <w:szCs w:val="21"/>
                <w:highlight w:val="none"/>
              </w:rPr>
            </w:pPr>
          </w:p>
        </w:tc>
        <w:tc>
          <w:tcPr>
            <w:tcW w:w="1134" w:type="dxa"/>
            <w:vMerge w:val="continue"/>
            <w:tcBorders>
              <w:left w:val="single" w:color="auto" w:sz="4" w:space="0"/>
              <w:right w:val="single" w:color="auto" w:sz="4" w:space="0"/>
            </w:tcBorders>
            <w:vAlign w:val="center"/>
          </w:tcPr>
          <w:p w14:paraId="7319C680">
            <w:pPr>
              <w:adjustRightInd w:val="0"/>
              <w:spacing w:line="360" w:lineRule="auto"/>
              <w:jc w:val="center"/>
              <w:textAlignment w:val="baseline"/>
              <w:rPr>
                <w:rFonts w:hint="eastAsia" w:ascii="宋体" w:hAnsi="宋体"/>
                <w:b/>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3EE10540">
            <w:pPr>
              <w:adjustRightInd w:val="0"/>
              <w:spacing w:line="400" w:lineRule="exact"/>
              <w:jc w:val="center"/>
              <w:textAlignment w:val="baseline"/>
              <w:rPr>
                <w:rFonts w:hint="eastAsia" w:ascii="宋体" w:hAnsi="宋体"/>
                <w:b/>
                <w:color w:val="auto"/>
                <w:szCs w:val="21"/>
                <w:highlight w:val="none"/>
              </w:rPr>
            </w:pPr>
            <w:r>
              <w:rPr>
                <w:rFonts w:hint="eastAsia" w:ascii="宋体" w:hAnsi="宋体"/>
                <w:b/>
                <w:bCs/>
                <w:color w:val="auto"/>
                <w:szCs w:val="21"/>
                <w:highlight w:val="none"/>
              </w:rPr>
              <w:t>(4）数据查询与技术支撑（满分9分）</w:t>
            </w:r>
          </w:p>
        </w:tc>
        <w:tc>
          <w:tcPr>
            <w:tcW w:w="6274" w:type="dxa"/>
            <w:tcBorders>
              <w:top w:val="single" w:color="auto" w:sz="4" w:space="0"/>
              <w:left w:val="single" w:color="auto" w:sz="4" w:space="0"/>
              <w:bottom w:val="single" w:color="auto" w:sz="4" w:space="0"/>
              <w:right w:val="single" w:color="auto" w:sz="4" w:space="0"/>
            </w:tcBorders>
            <w:vAlign w:val="center"/>
          </w:tcPr>
          <w:p w14:paraId="59933FB1">
            <w:pPr>
              <w:pStyle w:val="22"/>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一档（3分）：无直接向采购人开放的服务系统平台，但可以按采购人和被保险人的要求进行数据查询及反馈，技术支持一般。</w:t>
            </w:r>
          </w:p>
          <w:p w14:paraId="00FF422B">
            <w:pPr>
              <w:pStyle w:val="22"/>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二档（6分）：开发有直接向采购人开放的互联网服务平台，采购人和被保险人能通过平台查询投保信息、投保名单以及进行基本信息变更操作，技术支持较好。</w:t>
            </w:r>
          </w:p>
          <w:p w14:paraId="5B9A2F6E">
            <w:pPr>
              <w:pStyle w:val="22"/>
              <w:spacing w:line="360" w:lineRule="auto"/>
              <w:ind w:firstLine="420" w:firstLineChars="200"/>
              <w:rPr>
                <w:rFonts w:hint="eastAsia" w:hAnsi="宋体"/>
                <w:b/>
                <w:color w:val="auto"/>
                <w:highlight w:val="none"/>
              </w:rPr>
            </w:pPr>
            <w:r>
              <w:rPr>
                <w:rFonts w:hint="eastAsia" w:hAnsi="宋体" w:cs="宋体"/>
                <w:bCs/>
                <w:color w:val="auto"/>
                <w:sz w:val="21"/>
                <w:highlight w:val="none"/>
              </w:rPr>
              <w:t>三档（9分）：开发有直接向采购人和被保险人开放的互联网、APP、微信公众号或短信推送等服务平台，采购人和被保险人可查询保障信息、理赔进度、理赔结案信息等。（有开放平台的需提供服务平台、查询界面等系统截图）</w:t>
            </w:r>
          </w:p>
        </w:tc>
      </w:tr>
      <w:tr w14:paraId="3968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tcBorders>
              <w:left w:val="single" w:color="auto" w:sz="4" w:space="0"/>
              <w:right w:val="single" w:color="auto" w:sz="4" w:space="0"/>
            </w:tcBorders>
            <w:vAlign w:val="center"/>
          </w:tcPr>
          <w:p w14:paraId="2369A422">
            <w:pPr>
              <w:adjustRightInd w:val="0"/>
              <w:spacing w:line="360" w:lineRule="auto"/>
              <w:jc w:val="center"/>
              <w:textAlignment w:val="baseline"/>
              <w:rPr>
                <w:rFonts w:hint="eastAsia" w:ascii="宋体" w:hAnsi="宋体"/>
                <w:b/>
                <w:color w:val="auto"/>
                <w:szCs w:val="21"/>
                <w:highlight w:val="none"/>
              </w:rPr>
            </w:pPr>
          </w:p>
        </w:tc>
        <w:tc>
          <w:tcPr>
            <w:tcW w:w="1134" w:type="dxa"/>
            <w:vMerge w:val="continue"/>
            <w:tcBorders>
              <w:left w:val="single" w:color="auto" w:sz="4" w:space="0"/>
              <w:right w:val="single" w:color="auto" w:sz="4" w:space="0"/>
            </w:tcBorders>
            <w:vAlign w:val="center"/>
          </w:tcPr>
          <w:p w14:paraId="26CA7782">
            <w:pPr>
              <w:adjustRightInd w:val="0"/>
              <w:spacing w:line="360" w:lineRule="auto"/>
              <w:jc w:val="center"/>
              <w:textAlignment w:val="baseline"/>
              <w:rPr>
                <w:rFonts w:hint="eastAsia" w:ascii="宋体" w:hAnsi="宋体"/>
                <w:b/>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405770D2">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（5）保险理赔时限分</w:t>
            </w:r>
          </w:p>
          <w:p w14:paraId="759003C6">
            <w:pPr>
              <w:adjustRightInd w:val="0"/>
              <w:spacing w:line="400" w:lineRule="exact"/>
              <w:jc w:val="center"/>
              <w:textAlignment w:val="baseline"/>
              <w:rPr>
                <w:rFonts w:hint="eastAsia" w:ascii="宋体" w:hAnsi="宋体"/>
                <w:b/>
                <w:color w:val="auto"/>
                <w:szCs w:val="21"/>
                <w:highlight w:val="none"/>
              </w:rPr>
            </w:pPr>
            <w:r>
              <w:rPr>
                <w:rFonts w:hint="eastAsia" w:ascii="宋体" w:hAnsi="宋体"/>
                <w:b/>
                <w:bCs/>
                <w:color w:val="auto"/>
                <w:szCs w:val="21"/>
                <w:highlight w:val="none"/>
              </w:rPr>
              <w:t>（满分6分）</w:t>
            </w:r>
          </w:p>
        </w:tc>
        <w:tc>
          <w:tcPr>
            <w:tcW w:w="6274" w:type="dxa"/>
            <w:tcBorders>
              <w:top w:val="single" w:color="auto" w:sz="4" w:space="0"/>
              <w:left w:val="single" w:color="auto" w:sz="4" w:space="0"/>
              <w:bottom w:val="single" w:color="auto" w:sz="4" w:space="0"/>
              <w:right w:val="single" w:color="auto" w:sz="4" w:space="0"/>
            </w:tcBorders>
            <w:vAlign w:val="center"/>
          </w:tcPr>
          <w:p w14:paraId="30EDBAD1">
            <w:pPr>
              <w:pStyle w:val="22"/>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一档（3分）：一般医疗类赔付案件，责任明确，理赔申请材料齐全的，能在4个工作日完成审核赔付；涉及身故、伤残类案件，责任明确，理赔申请材料齐全的，能在8个工作日完成审核赔付。</w:t>
            </w:r>
          </w:p>
          <w:p w14:paraId="2B24AF61">
            <w:pPr>
              <w:pStyle w:val="22"/>
              <w:spacing w:line="400" w:lineRule="exact"/>
              <w:ind w:firstLine="420" w:firstLineChars="200"/>
              <w:rPr>
                <w:rFonts w:hint="eastAsia" w:hAnsi="宋体"/>
                <w:b/>
                <w:color w:val="auto"/>
                <w:highlight w:val="none"/>
              </w:rPr>
            </w:pPr>
            <w:r>
              <w:rPr>
                <w:rFonts w:hint="eastAsia" w:hAnsi="宋体" w:cs="宋体"/>
                <w:bCs/>
                <w:color w:val="auto"/>
                <w:sz w:val="21"/>
                <w:highlight w:val="none"/>
              </w:rPr>
              <w:t>二档（6分）：一般医疗类赔付案件，责任明确，理赔申请材料齐全的，能在3个工作日完成审核赔付；涉及身故、伤残类案件，责任明确，理赔申请材料齐全的，能在7个工作日完成审核赔付，同时承诺医疗理赔案件赔付金额在2000元（含）以内的，可免收医疗发票原件。</w:t>
            </w:r>
          </w:p>
        </w:tc>
      </w:tr>
      <w:tr w14:paraId="3AB3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tcBorders>
              <w:left w:val="single" w:color="auto" w:sz="4" w:space="0"/>
              <w:bottom w:val="single" w:color="auto" w:sz="4" w:space="0"/>
              <w:right w:val="single" w:color="auto" w:sz="4" w:space="0"/>
            </w:tcBorders>
            <w:vAlign w:val="center"/>
          </w:tcPr>
          <w:p w14:paraId="0A33D4C3">
            <w:pPr>
              <w:adjustRightInd w:val="0"/>
              <w:spacing w:line="360" w:lineRule="auto"/>
              <w:jc w:val="center"/>
              <w:textAlignment w:val="baseline"/>
              <w:rPr>
                <w:rFonts w:hint="eastAsia" w:ascii="宋体" w:hAnsi="宋体"/>
                <w:b/>
                <w:color w:val="auto"/>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14:paraId="0175E980">
            <w:pPr>
              <w:adjustRightInd w:val="0"/>
              <w:spacing w:line="360" w:lineRule="auto"/>
              <w:jc w:val="center"/>
              <w:textAlignment w:val="baseline"/>
              <w:rPr>
                <w:rFonts w:hint="eastAsia" w:ascii="宋体" w:hAnsi="宋体"/>
                <w:b/>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238B90DE">
            <w:pPr>
              <w:pStyle w:val="22"/>
              <w:spacing w:line="400" w:lineRule="exact"/>
              <w:rPr>
                <w:rFonts w:hint="eastAsia" w:hAnsi="宋体"/>
                <w:b/>
                <w:bCs/>
                <w:color w:val="auto"/>
                <w:sz w:val="21"/>
                <w:highlight w:val="none"/>
              </w:rPr>
            </w:pPr>
            <w:r>
              <w:rPr>
                <w:rFonts w:hint="eastAsia" w:hAnsi="宋体"/>
                <w:b/>
                <w:bCs/>
                <w:color w:val="auto"/>
                <w:sz w:val="21"/>
                <w:highlight w:val="none"/>
              </w:rPr>
              <w:t>（6）服务人员支持分</w:t>
            </w:r>
          </w:p>
          <w:p w14:paraId="3C41656C">
            <w:pPr>
              <w:adjustRightInd w:val="0"/>
              <w:spacing w:line="400" w:lineRule="exact"/>
              <w:jc w:val="center"/>
              <w:textAlignment w:val="baseline"/>
              <w:rPr>
                <w:rFonts w:hint="eastAsia" w:ascii="宋体" w:hAnsi="宋体"/>
                <w:b/>
                <w:color w:val="auto"/>
                <w:szCs w:val="21"/>
                <w:highlight w:val="none"/>
              </w:rPr>
            </w:pPr>
            <w:r>
              <w:rPr>
                <w:rFonts w:hint="eastAsia" w:ascii="宋体" w:hAnsi="宋体"/>
                <w:b/>
                <w:bCs/>
                <w:color w:val="auto"/>
                <w:szCs w:val="21"/>
                <w:highlight w:val="none"/>
              </w:rPr>
              <w:t>（满分5分）</w:t>
            </w:r>
          </w:p>
        </w:tc>
        <w:tc>
          <w:tcPr>
            <w:tcW w:w="6274" w:type="dxa"/>
            <w:tcBorders>
              <w:top w:val="single" w:color="auto" w:sz="4" w:space="0"/>
              <w:left w:val="single" w:color="auto" w:sz="4" w:space="0"/>
              <w:bottom w:val="single" w:color="auto" w:sz="4" w:space="0"/>
              <w:right w:val="single" w:color="auto" w:sz="4" w:space="0"/>
            </w:tcBorders>
            <w:vAlign w:val="center"/>
          </w:tcPr>
          <w:p w14:paraId="33DCBE3C">
            <w:pPr>
              <w:spacing w:line="400" w:lineRule="exact"/>
              <w:ind w:firstLine="420" w:firstLineChars="200"/>
              <w:rPr>
                <w:rFonts w:hint="eastAsia" w:ascii="宋体" w:hAnsi="宋体" w:cs="方正仿宋_GBK"/>
                <w:color w:val="auto"/>
                <w:szCs w:val="21"/>
                <w:highlight w:val="none"/>
              </w:rPr>
            </w:pPr>
            <w:r>
              <w:rPr>
                <w:rFonts w:hint="eastAsia" w:ascii="宋体" w:hAnsi="宋体" w:cs="方正仿宋_GBK"/>
                <w:color w:val="auto"/>
                <w:szCs w:val="21"/>
                <w:highlight w:val="none"/>
              </w:rPr>
              <w:t>一档</w:t>
            </w:r>
            <w:r>
              <w:rPr>
                <w:rFonts w:hint="eastAsia" w:ascii="宋体" w:hAnsi="宋体" w:cs="宋体"/>
                <w:color w:val="auto"/>
                <w:szCs w:val="21"/>
                <w:highlight w:val="none"/>
              </w:rPr>
              <w:t>（满分1分）：有基本人员配备、服务人员不低于15人，基本满足项目的支持工作。</w:t>
            </w:r>
          </w:p>
          <w:p w14:paraId="367AC56F">
            <w:pPr>
              <w:spacing w:line="400" w:lineRule="exact"/>
              <w:ind w:firstLine="420" w:firstLineChars="200"/>
              <w:rPr>
                <w:rFonts w:hint="eastAsia" w:ascii="宋体" w:hAnsi="宋体" w:cs="方正仿宋_GBK"/>
                <w:color w:val="auto"/>
                <w:szCs w:val="21"/>
                <w:highlight w:val="none"/>
              </w:rPr>
            </w:pPr>
            <w:r>
              <w:rPr>
                <w:rFonts w:hint="eastAsia" w:ascii="宋体" w:hAnsi="宋体" w:cs="方正仿宋_GBK"/>
                <w:color w:val="auto"/>
                <w:szCs w:val="21"/>
                <w:highlight w:val="none"/>
              </w:rPr>
              <w:t>二档</w:t>
            </w:r>
            <w:r>
              <w:rPr>
                <w:rFonts w:hint="eastAsia" w:ascii="宋体" w:hAnsi="宋体" w:cs="宋体"/>
                <w:color w:val="auto"/>
                <w:szCs w:val="21"/>
                <w:highlight w:val="none"/>
              </w:rPr>
              <w:t>（满分3分）：配备管理及技术支持小组</w:t>
            </w:r>
            <w:r>
              <w:rPr>
                <w:rFonts w:hint="eastAsia" w:ascii="宋体" w:hAnsi="宋体" w:cs="方正仿宋_GBK"/>
                <w:color w:val="auto"/>
                <w:szCs w:val="21"/>
                <w:highlight w:val="none"/>
              </w:rPr>
              <w:t>，</w:t>
            </w:r>
            <w:r>
              <w:rPr>
                <w:rFonts w:hint="eastAsia" w:ascii="宋体" w:hAnsi="宋体" w:cs="宋体"/>
                <w:color w:val="auto"/>
                <w:szCs w:val="21"/>
                <w:highlight w:val="none"/>
              </w:rPr>
              <w:t>服务人员不低于20人，</w:t>
            </w:r>
            <w:r>
              <w:rPr>
                <w:rFonts w:hint="eastAsia" w:ascii="宋体" w:hAnsi="宋体" w:cs="方正仿宋_GBK"/>
                <w:color w:val="auto"/>
                <w:szCs w:val="21"/>
                <w:highlight w:val="none"/>
              </w:rPr>
              <w:t>服务措施切实可行、服务支持能力满足项目的要求。</w:t>
            </w:r>
          </w:p>
          <w:p w14:paraId="1EF511A9">
            <w:pPr>
              <w:adjustRightInd w:val="0"/>
              <w:spacing w:line="400" w:lineRule="exact"/>
              <w:ind w:firstLine="420" w:firstLineChars="200"/>
              <w:jc w:val="left"/>
              <w:textAlignment w:val="baseline"/>
              <w:rPr>
                <w:rFonts w:hint="eastAsia" w:ascii="宋体" w:hAnsi="宋体"/>
                <w:b/>
                <w:color w:val="auto"/>
                <w:szCs w:val="21"/>
                <w:highlight w:val="none"/>
              </w:rPr>
            </w:pPr>
            <w:r>
              <w:rPr>
                <w:rFonts w:hint="eastAsia" w:hAnsi="宋体" w:cs="方正仿宋_GBK"/>
                <w:color w:val="auto"/>
                <w:highlight w:val="none"/>
              </w:rPr>
              <w:t>三档（</w:t>
            </w:r>
            <w:r>
              <w:rPr>
                <w:rFonts w:hint="eastAsia" w:hAnsi="宋体" w:cs="宋体"/>
                <w:color w:val="auto"/>
                <w:highlight w:val="none"/>
              </w:rPr>
              <w:t>满分</w:t>
            </w:r>
            <w:r>
              <w:rPr>
                <w:rFonts w:hint="eastAsia" w:hAnsi="宋体" w:cs="方正仿宋_GBK"/>
                <w:color w:val="auto"/>
                <w:highlight w:val="none"/>
              </w:rPr>
              <w:t>5分）：配备完善的服务团队，具备专业的管理及技术支持小组，项目服务人员不低于25人，有同类项目的服务经验。服务措施突出全面、服务宣传安排合理可行，优势突出，支持能力强同时可提供完善的应急交接预案和建立完善的客户投诉机制</w:t>
            </w:r>
            <w:r>
              <w:rPr>
                <w:rFonts w:hint="eastAsia" w:hAnsi="宋体" w:cs="方正仿宋_GBK"/>
                <w:color w:val="auto"/>
                <w:highlight w:val="none"/>
                <w:lang w:eastAsia="zh-CN"/>
              </w:rPr>
              <w:t>。</w:t>
            </w:r>
          </w:p>
        </w:tc>
      </w:tr>
      <w:tr w14:paraId="684A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tcBorders>
              <w:top w:val="single" w:color="auto" w:sz="4" w:space="0"/>
              <w:left w:val="single" w:color="auto" w:sz="4" w:space="0"/>
              <w:right w:val="single" w:color="auto" w:sz="4" w:space="0"/>
            </w:tcBorders>
            <w:vAlign w:val="center"/>
          </w:tcPr>
          <w:p w14:paraId="0BCAB64B">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134" w:type="dxa"/>
            <w:vMerge w:val="restart"/>
            <w:tcBorders>
              <w:top w:val="single" w:color="auto" w:sz="4" w:space="0"/>
              <w:left w:val="single" w:color="auto" w:sz="4" w:space="0"/>
              <w:right w:val="single" w:color="auto" w:sz="4" w:space="0"/>
            </w:tcBorders>
            <w:vAlign w:val="center"/>
          </w:tcPr>
          <w:p w14:paraId="7AC01995">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综合实力分</w:t>
            </w:r>
            <w:r>
              <w:rPr>
                <w:rFonts w:hint="eastAsia" w:ascii="宋体" w:hAnsi="宋体"/>
                <w:b/>
                <w:bCs/>
                <w:color w:val="auto"/>
                <w:szCs w:val="21"/>
                <w:highlight w:val="none"/>
              </w:rPr>
              <w:t>（</w:t>
            </w:r>
            <w:r>
              <w:rPr>
                <w:rFonts w:hint="eastAsia" w:ascii="宋体" w:hAnsi="宋体"/>
                <w:b/>
                <w:color w:val="auto"/>
                <w:szCs w:val="21"/>
                <w:highlight w:val="none"/>
              </w:rPr>
              <w:t>25分</w:t>
            </w:r>
            <w:r>
              <w:rPr>
                <w:rFonts w:hint="eastAsia" w:ascii="宋体" w:hAnsi="宋体"/>
                <w:b/>
                <w:bCs/>
                <w:color w:val="auto"/>
                <w:szCs w:val="21"/>
                <w:highlight w:val="none"/>
              </w:rPr>
              <w:t>）</w:t>
            </w:r>
          </w:p>
        </w:tc>
        <w:tc>
          <w:tcPr>
            <w:tcW w:w="1517" w:type="dxa"/>
            <w:tcBorders>
              <w:top w:val="single" w:color="auto" w:sz="4" w:space="0"/>
              <w:left w:val="single" w:color="auto" w:sz="4" w:space="0"/>
              <w:bottom w:val="single" w:color="auto" w:sz="4" w:space="0"/>
              <w:right w:val="single" w:color="auto" w:sz="4" w:space="0"/>
            </w:tcBorders>
            <w:vAlign w:val="center"/>
          </w:tcPr>
          <w:p w14:paraId="36A26E21">
            <w:pPr>
              <w:pStyle w:val="22"/>
              <w:spacing w:line="400" w:lineRule="exact"/>
              <w:jc w:val="center"/>
              <w:rPr>
                <w:rFonts w:hint="eastAsia" w:hAnsi="宋体"/>
                <w:b/>
                <w:bCs/>
                <w:color w:val="auto"/>
                <w:sz w:val="21"/>
                <w:highlight w:val="none"/>
              </w:rPr>
            </w:pPr>
            <w:r>
              <w:rPr>
                <w:rFonts w:hint="eastAsia" w:hAnsi="宋体"/>
                <w:b/>
                <w:bCs/>
                <w:color w:val="auto"/>
                <w:sz w:val="21"/>
                <w:highlight w:val="none"/>
              </w:rPr>
              <w:t>（1）2025年二季度综合偿付能力分</w:t>
            </w:r>
          </w:p>
          <w:p w14:paraId="1067AB5A">
            <w:pPr>
              <w:pStyle w:val="22"/>
              <w:spacing w:line="400" w:lineRule="exact"/>
              <w:ind w:firstLine="422"/>
              <w:jc w:val="center"/>
              <w:rPr>
                <w:rFonts w:hint="eastAsia" w:hAnsi="宋体"/>
                <w:b/>
                <w:bCs/>
                <w:color w:val="auto"/>
                <w:sz w:val="21"/>
                <w:highlight w:val="none"/>
              </w:rPr>
            </w:pPr>
            <w:r>
              <w:rPr>
                <w:rFonts w:hint="eastAsia" w:hAnsi="宋体"/>
                <w:b/>
                <w:bCs/>
                <w:color w:val="auto"/>
                <w:sz w:val="21"/>
                <w:highlight w:val="none"/>
              </w:rPr>
              <w:t>（满分10分）</w:t>
            </w:r>
          </w:p>
        </w:tc>
        <w:tc>
          <w:tcPr>
            <w:tcW w:w="6274" w:type="dxa"/>
            <w:tcBorders>
              <w:top w:val="single" w:color="auto" w:sz="4" w:space="0"/>
              <w:left w:val="single" w:color="auto" w:sz="4" w:space="0"/>
              <w:bottom w:val="single" w:color="auto" w:sz="4" w:space="0"/>
              <w:right w:val="single" w:color="auto" w:sz="4" w:space="0"/>
            </w:tcBorders>
            <w:vAlign w:val="center"/>
          </w:tcPr>
          <w:p w14:paraId="74255A7B">
            <w:pPr>
              <w:pStyle w:val="22"/>
              <w:tabs>
                <w:tab w:val="left" w:pos="2472"/>
              </w:tabs>
              <w:spacing w:line="400" w:lineRule="exact"/>
              <w:ind w:firstLine="420" w:firstLineChars="200"/>
              <w:jc w:val="left"/>
              <w:rPr>
                <w:rFonts w:hint="eastAsia" w:hAnsi="宋体"/>
                <w:color w:val="auto"/>
                <w:sz w:val="21"/>
                <w:highlight w:val="none"/>
              </w:rPr>
            </w:pPr>
            <w:r>
              <w:rPr>
                <w:rFonts w:hint="eastAsia" w:hAnsi="宋体"/>
                <w:color w:val="auto"/>
                <w:sz w:val="21"/>
                <w:highlight w:val="none"/>
              </w:rPr>
              <w:t>一档（1分）：供应商法人机构（总公司）2025年二季度偿付充足率150%以下的；</w:t>
            </w:r>
          </w:p>
          <w:p w14:paraId="580D2920">
            <w:pPr>
              <w:pStyle w:val="22"/>
              <w:tabs>
                <w:tab w:val="left" w:pos="2472"/>
              </w:tabs>
              <w:spacing w:line="400" w:lineRule="exact"/>
              <w:ind w:firstLine="420" w:firstLineChars="200"/>
              <w:jc w:val="left"/>
              <w:rPr>
                <w:rFonts w:hint="eastAsia" w:hAnsi="宋体"/>
                <w:color w:val="auto"/>
                <w:sz w:val="21"/>
                <w:highlight w:val="none"/>
              </w:rPr>
            </w:pPr>
            <w:r>
              <w:rPr>
                <w:rFonts w:hint="eastAsia" w:hAnsi="宋体"/>
                <w:color w:val="auto"/>
                <w:sz w:val="21"/>
                <w:highlight w:val="none"/>
              </w:rPr>
              <w:t>二档（5分）：供应商法人机构（总公司）2025年二季度偿付充足率150%（含）-</w:t>
            </w:r>
            <w:r>
              <w:rPr>
                <w:rFonts w:hint="eastAsia" w:hAnsi="宋体"/>
                <w:color w:val="auto"/>
                <w:sz w:val="21"/>
                <w:highlight w:val="none"/>
                <w:lang w:val="en-US" w:eastAsia="zh-CN"/>
              </w:rPr>
              <w:t>190</w:t>
            </w:r>
            <w:r>
              <w:rPr>
                <w:rFonts w:hint="eastAsia" w:hAnsi="宋体"/>
                <w:color w:val="auto"/>
                <w:sz w:val="21"/>
                <w:highlight w:val="none"/>
              </w:rPr>
              <w:t>%的；</w:t>
            </w:r>
          </w:p>
          <w:p w14:paraId="0BEFA7FD">
            <w:pPr>
              <w:pStyle w:val="22"/>
              <w:tabs>
                <w:tab w:val="left" w:pos="2472"/>
              </w:tabs>
              <w:spacing w:line="400" w:lineRule="exact"/>
              <w:ind w:firstLine="420" w:firstLineChars="200"/>
              <w:jc w:val="left"/>
              <w:rPr>
                <w:rFonts w:hint="eastAsia" w:hAnsi="宋体"/>
                <w:color w:val="auto"/>
                <w:sz w:val="21"/>
                <w:highlight w:val="none"/>
              </w:rPr>
            </w:pPr>
            <w:r>
              <w:rPr>
                <w:rFonts w:hint="eastAsia" w:hAnsi="宋体"/>
                <w:color w:val="auto"/>
                <w:sz w:val="21"/>
                <w:highlight w:val="none"/>
              </w:rPr>
              <w:t>三档（10分）：供应商法人机构（总公司）2025年二季度偿付充足率</w:t>
            </w:r>
            <w:r>
              <w:rPr>
                <w:rFonts w:hint="eastAsia" w:hAnsi="宋体"/>
                <w:color w:val="auto"/>
                <w:sz w:val="21"/>
                <w:highlight w:val="none"/>
                <w:lang w:val="en-US" w:eastAsia="zh-CN"/>
              </w:rPr>
              <w:t>190</w:t>
            </w:r>
            <w:r>
              <w:rPr>
                <w:rFonts w:hint="eastAsia" w:hAnsi="宋体"/>
                <w:color w:val="auto"/>
                <w:sz w:val="21"/>
                <w:highlight w:val="none"/>
              </w:rPr>
              <w:t>%（含）以上的；</w:t>
            </w:r>
          </w:p>
          <w:p w14:paraId="040C55F4">
            <w:pPr>
              <w:spacing w:line="400" w:lineRule="exact"/>
              <w:ind w:firstLine="420" w:firstLineChars="200"/>
              <w:rPr>
                <w:rFonts w:hint="eastAsia" w:ascii="宋体" w:hAnsi="宋体" w:cs="方正仿宋_GBK"/>
                <w:color w:val="auto"/>
                <w:szCs w:val="21"/>
                <w:highlight w:val="none"/>
              </w:rPr>
            </w:pPr>
            <w:r>
              <w:rPr>
                <w:rFonts w:hint="eastAsia" w:hAnsi="宋体" w:cs="宋体"/>
                <w:bCs/>
                <w:color w:val="auto"/>
                <w:highlight w:val="none"/>
              </w:rPr>
              <w:t>（响应文件须提供反映以上数据的国家金融监督管理总局   官网公布数据或供应商总公司偿付能力季度报告摘要或证明文件等有效资料并经评委审核认同，供应商须对数据的真实性负责）。</w:t>
            </w:r>
          </w:p>
        </w:tc>
      </w:tr>
      <w:tr w14:paraId="076D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tcBorders>
              <w:left w:val="single" w:color="auto" w:sz="4" w:space="0"/>
              <w:right w:val="single" w:color="auto" w:sz="4" w:space="0"/>
            </w:tcBorders>
            <w:vAlign w:val="center"/>
          </w:tcPr>
          <w:p w14:paraId="7D9057D0">
            <w:pPr>
              <w:adjustRightInd w:val="0"/>
              <w:spacing w:line="360" w:lineRule="auto"/>
              <w:jc w:val="center"/>
              <w:textAlignment w:val="baseline"/>
              <w:rPr>
                <w:rFonts w:hint="eastAsia" w:ascii="宋体" w:hAnsi="宋体"/>
                <w:b/>
                <w:color w:val="auto"/>
                <w:szCs w:val="21"/>
                <w:highlight w:val="none"/>
              </w:rPr>
            </w:pPr>
          </w:p>
        </w:tc>
        <w:tc>
          <w:tcPr>
            <w:tcW w:w="1134" w:type="dxa"/>
            <w:vMerge w:val="continue"/>
            <w:tcBorders>
              <w:left w:val="single" w:color="auto" w:sz="4" w:space="0"/>
              <w:right w:val="single" w:color="auto" w:sz="4" w:space="0"/>
            </w:tcBorders>
            <w:vAlign w:val="center"/>
          </w:tcPr>
          <w:p w14:paraId="2585B23D">
            <w:pPr>
              <w:adjustRightInd w:val="0"/>
              <w:spacing w:line="360" w:lineRule="auto"/>
              <w:jc w:val="center"/>
              <w:textAlignment w:val="baseline"/>
              <w:rPr>
                <w:rFonts w:hint="eastAsia" w:ascii="宋体" w:hAnsi="宋体"/>
                <w:b/>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15138263">
            <w:pPr>
              <w:pStyle w:val="22"/>
              <w:spacing w:line="400" w:lineRule="exact"/>
              <w:ind w:firstLine="422"/>
              <w:jc w:val="center"/>
              <w:rPr>
                <w:rFonts w:hint="eastAsia" w:hAnsi="宋体"/>
                <w:b/>
                <w:bCs/>
                <w:color w:val="auto"/>
                <w:sz w:val="21"/>
                <w:highlight w:val="none"/>
              </w:rPr>
            </w:pPr>
            <w:r>
              <w:rPr>
                <w:rFonts w:hint="eastAsia" w:hAnsi="宋体"/>
                <w:b/>
                <w:bCs/>
                <w:color w:val="auto"/>
                <w:sz w:val="21"/>
                <w:highlight w:val="none"/>
              </w:rPr>
              <w:t>（2）2025年一季度风险综合评级结果分（满分10分）</w:t>
            </w:r>
          </w:p>
        </w:tc>
        <w:tc>
          <w:tcPr>
            <w:tcW w:w="6274" w:type="dxa"/>
            <w:tcBorders>
              <w:top w:val="single" w:color="auto" w:sz="4" w:space="0"/>
              <w:left w:val="single" w:color="auto" w:sz="4" w:space="0"/>
              <w:bottom w:val="single" w:color="auto" w:sz="4" w:space="0"/>
              <w:right w:val="single" w:color="auto" w:sz="4" w:space="0"/>
            </w:tcBorders>
            <w:vAlign w:val="center"/>
          </w:tcPr>
          <w:p w14:paraId="287DDA98">
            <w:pPr>
              <w:pStyle w:val="22"/>
              <w:tabs>
                <w:tab w:val="left" w:pos="2472"/>
              </w:tabs>
              <w:spacing w:line="400" w:lineRule="exact"/>
              <w:ind w:firstLine="420" w:firstLineChars="200"/>
              <w:jc w:val="left"/>
              <w:rPr>
                <w:rFonts w:hint="eastAsia" w:hAnsi="宋体"/>
                <w:color w:val="auto"/>
                <w:sz w:val="21"/>
                <w:highlight w:val="none"/>
              </w:rPr>
            </w:pPr>
            <w:r>
              <w:rPr>
                <w:rFonts w:hint="eastAsia" w:hAnsi="宋体"/>
                <w:color w:val="auto"/>
                <w:sz w:val="21"/>
                <w:highlight w:val="none"/>
              </w:rPr>
              <w:t>一档（1分）：供应商法人机构（总公司）2025年一季度风险综合评级结果为BBB类及以下的；</w:t>
            </w:r>
          </w:p>
          <w:p w14:paraId="7F37CFC2">
            <w:pPr>
              <w:pStyle w:val="22"/>
              <w:tabs>
                <w:tab w:val="left" w:pos="2472"/>
              </w:tabs>
              <w:spacing w:line="400" w:lineRule="exact"/>
              <w:ind w:firstLine="420" w:firstLineChars="200"/>
              <w:jc w:val="left"/>
              <w:rPr>
                <w:rFonts w:hint="eastAsia" w:hAnsi="宋体"/>
                <w:color w:val="auto"/>
                <w:sz w:val="21"/>
                <w:highlight w:val="none"/>
              </w:rPr>
            </w:pPr>
            <w:r>
              <w:rPr>
                <w:rFonts w:hint="eastAsia" w:hAnsi="宋体"/>
                <w:color w:val="auto"/>
                <w:sz w:val="21"/>
                <w:highlight w:val="none"/>
              </w:rPr>
              <w:t>二档（5分）：供应商法人机构（总公司）2025年一季度风险综合评级结果为AA、A类的；</w:t>
            </w:r>
          </w:p>
          <w:p w14:paraId="1B2A3DD0">
            <w:pPr>
              <w:pStyle w:val="22"/>
              <w:tabs>
                <w:tab w:val="left" w:pos="2472"/>
              </w:tabs>
              <w:spacing w:line="400" w:lineRule="exact"/>
              <w:ind w:firstLine="420" w:firstLineChars="200"/>
              <w:jc w:val="left"/>
              <w:rPr>
                <w:rFonts w:hint="eastAsia" w:hAnsi="宋体"/>
                <w:color w:val="auto"/>
                <w:sz w:val="21"/>
                <w:highlight w:val="none"/>
              </w:rPr>
            </w:pPr>
            <w:r>
              <w:rPr>
                <w:rFonts w:hint="eastAsia" w:hAnsi="宋体"/>
                <w:color w:val="auto"/>
                <w:sz w:val="21"/>
                <w:highlight w:val="none"/>
              </w:rPr>
              <w:t>三档（10分）：供应商法人机构（总公司）2025年一季度风险综合评级结果为AAA类的；</w:t>
            </w:r>
          </w:p>
          <w:p w14:paraId="3E92239D">
            <w:pPr>
              <w:spacing w:line="400" w:lineRule="exact"/>
              <w:ind w:firstLine="420" w:firstLineChars="200"/>
              <w:rPr>
                <w:rFonts w:hint="eastAsia" w:ascii="宋体" w:hAnsi="宋体" w:cs="方正仿宋_GBK"/>
                <w:color w:val="auto"/>
                <w:szCs w:val="21"/>
                <w:highlight w:val="none"/>
              </w:rPr>
            </w:pPr>
            <w:r>
              <w:rPr>
                <w:rFonts w:hint="eastAsia" w:hAnsi="宋体"/>
                <w:color w:val="auto"/>
                <w:highlight w:val="none"/>
              </w:rPr>
              <w:t>（响应文件须提供反映以上数据的国家金融监督管理总局  官网公布数据或供应商总公司偿付能力季度报告摘要或证明文件等有效资料并经评委审核认同，供应商须对数据的真实性负责）。</w:t>
            </w:r>
          </w:p>
        </w:tc>
      </w:tr>
      <w:tr w14:paraId="01A7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tcBorders>
              <w:left w:val="single" w:color="auto" w:sz="4" w:space="0"/>
              <w:bottom w:val="single" w:color="auto" w:sz="4" w:space="0"/>
              <w:right w:val="single" w:color="auto" w:sz="4" w:space="0"/>
            </w:tcBorders>
            <w:vAlign w:val="center"/>
          </w:tcPr>
          <w:p w14:paraId="7D1A767C">
            <w:pPr>
              <w:widowControl/>
              <w:jc w:val="left"/>
              <w:rPr>
                <w:rFonts w:hint="eastAsia" w:ascii="宋体" w:hAnsi="宋体"/>
                <w:color w:val="auto"/>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14:paraId="7B407E69">
            <w:pPr>
              <w:widowControl/>
              <w:jc w:val="left"/>
              <w:rPr>
                <w:rFonts w:hint="eastAsia" w:ascii="宋体" w:hAnsi="宋体"/>
                <w:b/>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743E7CA6">
            <w:pPr>
              <w:pStyle w:val="22"/>
              <w:spacing w:line="400" w:lineRule="exact"/>
              <w:jc w:val="center"/>
              <w:rPr>
                <w:rFonts w:hint="eastAsia" w:hAnsi="宋体"/>
                <w:b/>
                <w:bCs/>
                <w:color w:val="auto"/>
                <w:sz w:val="21"/>
                <w:highlight w:val="none"/>
              </w:rPr>
            </w:pPr>
            <w:r>
              <w:rPr>
                <w:rFonts w:hint="eastAsia" w:hAnsi="宋体"/>
                <w:b/>
                <w:bCs/>
                <w:color w:val="auto"/>
                <w:sz w:val="21"/>
                <w:highlight w:val="none"/>
              </w:rPr>
              <w:t>（3）承保经验分（满分5分）</w:t>
            </w:r>
          </w:p>
        </w:tc>
        <w:tc>
          <w:tcPr>
            <w:tcW w:w="6274" w:type="dxa"/>
            <w:tcBorders>
              <w:top w:val="single" w:color="auto" w:sz="4" w:space="0"/>
              <w:left w:val="single" w:color="auto" w:sz="4" w:space="0"/>
              <w:bottom w:val="single" w:color="auto" w:sz="4" w:space="0"/>
              <w:right w:val="single" w:color="auto" w:sz="4" w:space="0"/>
            </w:tcBorders>
            <w:vAlign w:val="center"/>
          </w:tcPr>
          <w:p w14:paraId="1C40EBE9">
            <w:pPr>
              <w:spacing w:line="400" w:lineRule="exact"/>
              <w:ind w:firstLine="420" w:firstLineChars="200"/>
              <w:rPr>
                <w:rFonts w:hint="eastAsia" w:ascii="宋体" w:hAnsi="宋体" w:cs="方正仿宋_GBK"/>
                <w:color w:val="auto"/>
                <w:szCs w:val="21"/>
                <w:highlight w:val="none"/>
              </w:rPr>
            </w:pPr>
            <w:r>
              <w:rPr>
                <w:rFonts w:ascii="宋体" w:hAnsi="宋体"/>
                <w:bCs/>
                <w:color w:val="auto"/>
                <w:szCs w:val="21"/>
                <w:highlight w:val="none"/>
              </w:rPr>
              <w:t>202</w:t>
            </w:r>
            <w:r>
              <w:rPr>
                <w:rFonts w:hint="eastAsia" w:ascii="宋体" w:hAnsi="宋体"/>
                <w:bCs/>
                <w:color w:val="auto"/>
                <w:szCs w:val="21"/>
                <w:highlight w:val="none"/>
              </w:rPr>
              <w:t>2年1月至响应文件递交截止时间，供应商或其总公司或其分支机构有承保过单位、公司、或机构等团体人员意外险项目的，每有一个项目得1分。本项最高得分5分。(响应文件须提供能证明相关业绩的</w:t>
            </w:r>
            <w:r>
              <w:rPr>
                <w:rFonts w:hint="eastAsia" w:ascii="宋体" w:hAnsi="宋体"/>
                <w:bCs/>
                <w:color w:val="auto"/>
                <w:szCs w:val="21"/>
                <w:highlight w:val="none"/>
                <w:lang w:val="en-US" w:eastAsia="zh-CN"/>
              </w:rPr>
              <w:t>成交（中标）通知书、</w:t>
            </w:r>
            <w:r>
              <w:rPr>
                <w:rFonts w:hint="eastAsia" w:ascii="宋体" w:hAnsi="宋体"/>
                <w:bCs/>
                <w:color w:val="auto"/>
                <w:szCs w:val="21"/>
                <w:highlight w:val="none"/>
              </w:rPr>
              <w:t>保单或合同复印件</w:t>
            </w:r>
            <w:r>
              <w:rPr>
                <w:rFonts w:hint="eastAsia" w:ascii="宋体" w:hAnsi="宋体"/>
                <w:bCs/>
                <w:color w:val="auto"/>
                <w:szCs w:val="21"/>
                <w:highlight w:val="none"/>
                <w:lang w:val="en-US" w:eastAsia="zh-CN"/>
              </w:rPr>
              <w:t>等</w:t>
            </w:r>
            <w:r>
              <w:rPr>
                <w:rFonts w:hint="eastAsia" w:ascii="宋体" w:hAnsi="宋体"/>
                <w:bCs/>
                <w:color w:val="auto"/>
                <w:szCs w:val="21"/>
                <w:highlight w:val="none"/>
              </w:rPr>
              <w:t>，同一投保人多年连续投保视为一份，原件备查。)</w:t>
            </w:r>
          </w:p>
        </w:tc>
      </w:tr>
      <w:tr w14:paraId="7741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630" w:type="dxa"/>
            <w:gridSpan w:val="4"/>
            <w:tcBorders>
              <w:top w:val="single" w:color="auto" w:sz="4" w:space="0"/>
              <w:left w:val="single" w:color="auto" w:sz="4" w:space="0"/>
              <w:bottom w:val="single" w:color="auto" w:sz="4" w:space="0"/>
              <w:right w:val="single" w:color="auto" w:sz="4" w:space="0"/>
            </w:tcBorders>
            <w:vAlign w:val="center"/>
          </w:tcPr>
          <w:p w14:paraId="0037C9B2">
            <w:pPr>
              <w:pStyle w:val="22"/>
              <w:spacing w:line="360" w:lineRule="auto"/>
              <w:jc w:val="left"/>
              <w:rPr>
                <w:rFonts w:hint="eastAsia" w:hAnsi="宋体"/>
                <w:bCs/>
                <w:color w:val="auto"/>
                <w:sz w:val="21"/>
                <w:highlight w:val="none"/>
              </w:rPr>
            </w:pPr>
            <w:r>
              <w:rPr>
                <w:rFonts w:hint="eastAsia" w:hAnsi="宋体"/>
                <w:b/>
                <w:bCs/>
                <w:color w:val="auto"/>
                <w:sz w:val="21"/>
                <w:highlight w:val="none"/>
              </w:rPr>
              <w:t>总得分=1+2。</w:t>
            </w:r>
          </w:p>
        </w:tc>
      </w:tr>
    </w:tbl>
    <w:p w14:paraId="20035395">
      <w:pPr>
        <w:rPr>
          <w:color w:val="auto"/>
          <w:highlight w:val="none"/>
        </w:rPr>
      </w:pPr>
    </w:p>
    <w:p w14:paraId="3AAA4994">
      <w:pPr>
        <w:tabs>
          <w:tab w:val="left" w:pos="5760"/>
        </w:tabs>
        <w:spacing w:line="360" w:lineRule="auto"/>
        <w:ind w:left="412" w:leftChars="196"/>
        <w:rPr>
          <w:rFonts w:hint="eastAsia" w:ascii="宋体" w:hAnsi="宋体" w:eastAsia="宋体"/>
          <w:b/>
          <w:bCs/>
          <w:color w:val="auto"/>
          <w:szCs w:val="21"/>
          <w:highlight w:val="none"/>
          <w:lang w:eastAsia="zh-CN"/>
        </w:rPr>
      </w:pPr>
      <w:r>
        <w:rPr>
          <w:rFonts w:hint="eastAsia" w:ascii="宋体" w:hAnsi="宋体"/>
          <w:b/>
          <w:bCs/>
          <w:color w:val="auto"/>
          <w:szCs w:val="21"/>
          <w:highlight w:val="none"/>
        </w:rPr>
        <w:t>注：本项目为服务采购项目，不属于财政部规定的节能产品和环境标志产品范畴，不适用财库〔2019〕9号及财库〔2019〕19号文件规定</w:t>
      </w:r>
      <w:r>
        <w:rPr>
          <w:rFonts w:hint="eastAsia" w:ascii="宋体" w:hAnsi="宋体"/>
          <w:b/>
          <w:bCs/>
          <w:color w:val="auto"/>
          <w:szCs w:val="21"/>
          <w:highlight w:val="none"/>
          <w:lang w:eastAsia="zh-CN"/>
        </w:rPr>
        <w:t>。</w:t>
      </w:r>
    </w:p>
    <w:p w14:paraId="31D5936D">
      <w:pPr>
        <w:spacing w:line="360" w:lineRule="auto"/>
        <w:ind w:firstLine="420" w:firstLineChars="200"/>
        <w:rPr>
          <w:rFonts w:hint="eastAsia" w:ascii="宋体" w:hAnsi="宋体"/>
          <w:bCs/>
          <w:color w:val="auto"/>
          <w:szCs w:val="21"/>
          <w:highlight w:val="none"/>
        </w:rPr>
      </w:pPr>
    </w:p>
    <w:p w14:paraId="69857C36">
      <w:pPr>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项目实施方案）优劣顺序推荐（按技术得分由高到低排序，技术得分相同的按照技术要求偏离分由高到低排序）。评审得分、最后报价（不计算价格折扣）、技术得分、技术要求偏离分均相同的，由磋商小组随机抽取推荐。</w:t>
      </w:r>
    </w:p>
    <w:p w14:paraId="40FB05A0">
      <w:pPr>
        <w:spacing w:line="400" w:lineRule="exact"/>
        <w:ind w:firstLine="420" w:firstLineChars="200"/>
        <w:rPr>
          <w:rFonts w:hint="eastAsia" w:ascii="宋体" w:hAnsi="宋体" w:cs="宋体"/>
          <w:color w:val="auto"/>
          <w:highlight w:val="none"/>
        </w:rPr>
      </w:pPr>
    </w:p>
    <w:p w14:paraId="79139513">
      <w:pPr>
        <w:spacing w:line="400" w:lineRule="exact"/>
        <w:ind w:firstLine="420" w:firstLineChars="200"/>
        <w:rPr>
          <w:rFonts w:hint="eastAsia" w:ascii="宋体" w:hAnsi="宋体" w:cs="宋体"/>
          <w:color w:val="auto"/>
          <w:highlight w:val="none"/>
        </w:rPr>
      </w:pPr>
    </w:p>
    <w:p w14:paraId="7F4B04D1">
      <w:pPr>
        <w:pStyle w:val="10"/>
        <w:rPr>
          <w:color w:val="auto"/>
          <w:highlight w:val="none"/>
        </w:rPr>
      </w:pPr>
      <w:r>
        <w:rPr>
          <w:color w:val="auto"/>
          <w:highlight w:val="none"/>
        </w:rPr>
        <w:br w:type="page"/>
      </w:r>
    </w:p>
    <w:p w14:paraId="7C04BD22">
      <w:pPr>
        <w:rPr>
          <w:color w:val="auto"/>
          <w:highlight w:val="none"/>
        </w:rPr>
      </w:pPr>
    </w:p>
    <w:p w14:paraId="5CD8C141">
      <w:pPr>
        <w:rPr>
          <w:color w:val="auto"/>
          <w:highlight w:val="none"/>
        </w:rPr>
      </w:pPr>
    </w:p>
    <w:p w14:paraId="027AB6DB">
      <w:pPr>
        <w:rPr>
          <w:color w:val="auto"/>
          <w:highlight w:val="none"/>
        </w:rPr>
      </w:pPr>
    </w:p>
    <w:p w14:paraId="38C593AD">
      <w:pPr>
        <w:rPr>
          <w:color w:val="auto"/>
          <w:highlight w:val="none"/>
        </w:rPr>
      </w:pPr>
    </w:p>
    <w:p w14:paraId="0EBF1C75">
      <w:pPr>
        <w:rPr>
          <w:color w:val="auto"/>
          <w:highlight w:val="none"/>
        </w:rPr>
      </w:pPr>
    </w:p>
    <w:p w14:paraId="54B37F5B">
      <w:pPr>
        <w:rPr>
          <w:color w:val="auto"/>
          <w:highlight w:val="none"/>
        </w:rPr>
      </w:pPr>
    </w:p>
    <w:p w14:paraId="0529B182">
      <w:pPr>
        <w:rPr>
          <w:color w:val="auto"/>
          <w:highlight w:val="none"/>
        </w:rPr>
      </w:pPr>
    </w:p>
    <w:p w14:paraId="2B8B8DD6">
      <w:pPr>
        <w:rPr>
          <w:color w:val="auto"/>
          <w:highlight w:val="none"/>
        </w:rPr>
      </w:pPr>
    </w:p>
    <w:p w14:paraId="23CD1AC5">
      <w:pPr>
        <w:rPr>
          <w:color w:val="auto"/>
          <w:highlight w:val="none"/>
        </w:rPr>
      </w:pPr>
    </w:p>
    <w:p w14:paraId="0E88AABF">
      <w:pPr>
        <w:rPr>
          <w:color w:val="auto"/>
          <w:highlight w:val="none"/>
        </w:rPr>
      </w:pPr>
    </w:p>
    <w:p w14:paraId="2C0B1730">
      <w:pPr>
        <w:rPr>
          <w:color w:val="auto"/>
          <w:highlight w:val="none"/>
        </w:rPr>
      </w:pPr>
    </w:p>
    <w:p w14:paraId="40854FF3">
      <w:pPr>
        <w:rPr>
          <w:color w:val="auto"/>
          <w:highlight w:val="none"/>
        </w:rPr>
      </w:pPr>
    </w:p>
    <w:p w14:paraId="5558EA01">
      <w:pPr>
        <w:rPr>
          <w:color w:val="auto"/>
          <w:highlight w:val="none"/>
        </w:rPr>
      </w:pPr>
    </w:p>
    <w:p w14:paraId="4F160234">
      <w:pPr>
        <w:pStyle w:val="3"/>
        <w:jc w:val="center"/>
        <w:rPr>
          <w:color w:val="auto"/>
          <w:highlight w:val="none"/>
        </w:rPr>
      </w:pPr>
      <w:bookmarkStart w:id="87" w:name="_Toc74323460"/>
      <w:r>
        <w:rPr>
          <w:rFonts w:hint="eastAsia"/>
          <w:color w:val="auto"/>
          <w:highlight w:val="none"/>
        </w:rPr>
        <w:t>第五章响应文件格式</w:t>
      </w:r>
      <w:bookmarkEnd w:id="87"/>
    </w:p>
    <w:p w14:paraId="1A5F5691">
      <w:pPr>
        <w:spacing w:line="240" w:lineRule="atLeast"/>
        <w:rPr>
          <w:rFonts w:hint="eastAsia" w:ascii="宋体" w:hAnsi="宋体"/>
          <w:b/>
          <w:color w:val="auto"/>
          <w:sz w:val="32"/>
          <w:szCs w:val="32"/>
          <w:highlight w:val="none"/>
        </w:rPr>
      </w:pPr>
    </w:p>
    <w:p w14:paraId="5688ABB3">
      <w:pPr>
        <w:spacing w:line="240" w:lineRule="atLeast"/>
        <w:rPr>
          <w:rFonts w:hint="eastAsia" w:ascii="宋体" w:hAnsi="宋体"/>
          <w:b/>
          <w:color w:val="auto"/>
          <w:sz w:val="32"/>
          <w:szCs w:val="32"/>
          <w:highlight w:val="none"/>
        </w:rPr>
      </w:pPr>
    </w:p>
    <w:p w14:paraId="542FE69D">
      <w:pPr>
        <w:spacing w:line="240" w:lineRule="atLeast"/>
        <w:rPr>
          <w:rFonts w:hint="eastAsia" w:ascii="宋体" w:hAnsi="宋体"/>
          <w:b/>
          <w:color w:val="auto"/>
          <w:sz w:val="32"/>
          <w:szCs w:val="32"/>
          <w:highlight w:val="none"/>
        </w:rPr>
      </w:pPr>
    </w:p>
    <w:p w14:paraId="4CAF0727">
      <w:pPr>
        <w:spacing w:line="240" w:lineRule="atLeast"/>
        <w:rPr>
          <w:rFonts w:hint="eastAsia" w:ascii="宋体" w:hAnsi="宋体"/>
          <w:b/>
          <w:color w:val="auto"/>
          <w:sz w:val="32"/>
          <w:szCs w:val="32"/>
          <w:highlight w:val="none"/>
        </w:rPr>
      </w:pPr>
    </w:p>
    <w:p w14:paraId="71B22F24">
      <w:pPr>
        <w:spacing w:line="240" w:lineRule="atLeast"/>
        <w:rPr>
          <w:rFonts w:hint="eastAsia" w:ascii="宋体" w:hAnsi="宋体"/>
          <w:b/>
          <w:color w:val="auto"/>
          <w:sz w:val="32"/>
          <w:szCs w:val="32"/>
          <w:highlight w:val="none"/>
        </w:rPr>
      </w:pPr>
    </w:p>
    <w:p w14:paraId="5BC77F53">
      <w:pPr>
        <w:spacing w:line="240" w:lineRule="atLeast"/>
        <w:rPr>
          <w:rFonts w:hint="eastAsia" w:ascii="宋体" w:hAnsi="宋体"/>
          <w:b/>
          <w:color w:val="auto"/>
          <w:sz w:val="32"/>
          <w:szCs w:val="32"/>
          <w:highlight w:val="none"/>
        </w:rPr>
      </w:pPr>
    </w:p>
    <w:p w14:paraId="0F6C67C0">
      <w:pPr>
        <w:spacing w:line="240" w:lineRule="atLeast"/>
        <w:rPr>
          <w:rFonts w:hint="eastAsia" w:ascii="宋体" w:hAnsi="宋体"/>
          <w:b/>
          <w:color w:val="auto"/>
          <w:sz w:val="32"/>
          <w:szCs w:val="32"/>
          <w:highlight w:val="none"/>
        </w:rPr>
      </w:pPr>
    </w:p>
    <w:p w14:paraId="4CD4E6FF">
      <w:pPr>
        <w:spacing w:line="240" w:lineRule="atLeast"/>
        <w:rPr>
          <w:rFonts w:hint="eastAsia" w:ascii="宋体" w:hAnsi="宋体"/>
          <w:b/>
          <w:color w:val="auto"/>
          <w:sz w:val="32"/>
          <w:szCs w:val="32"/>
          <w:highlight w:val="none"/>
        </w:rPr>
      </w:pPr>
    </w:p>
    <w:p w14:paraId="1EAEB1F6">
      <w:pPr>
        <w:spacing w:line="240" w:lineRule="atLeast"/>
        <w:rPr>
          <w:rFonts w:hint="eastAsia" w:ascii="宋体" w:hAnsi="宋体"/>
          <w:b/>
          <w:color w:val="auto"/>
          <w:sz w:val="32"/>
          <w:szCs w:val="32"/>
          <w:highlight w:val="none"/>
        </w:rPr>
      </w:pPr>
    </w:p>
    <w:p w14:paraId="2EEDDE5E">
      <w:pPr>
        <w:spacing w:line="240" w:lineRule="atLeast"/>
        <w:rPr>
          <w:rFonts w:hint="eastAsia" w:ascii="宋体" w:hAnsi="宋体"/>
          <w:b/>
          <w:color w:val="auto"/>
          <w:sz w:val="32"/>
          <w:szCs w:val="32"/>
          <w:highlight w:val="none"/>
        </w:rPr>
      </w:pPr>
    </w:p>
    <w:p w14:paraId="7678983B">
      <w:pPr>
        <w:spacing w:line="240" w:lineRule="atLeast"/>
        <w:rPr>
          <w:rFonts w:hint="eastAsia" w:ascii="宋体" w:hAnsi="宋体"/>
          <w:b/>
          <w:color w:val="auto"/>
          <w:sz w:val="32"/>
          <w:szCs w:val="32"/>
          <w:highlight w:val="none"/>
        </w:rPr>
      </w:pPr>
    </w:p>
    <w:p w14:paraId="0B7518B5">
      <w:pPr>
        <w:snapToGrid w:val="0"/>
        <w:spacing w:before="50" w:after="50"/>
        <w:rPr>
          <w:rFonts w:hint="eastAsia" w:ascii="宋体" w:hAnsi="宋体"/>
          <w:b/>
          <w:bCs/>
          <w:color w:val="auto"/>
          <w:sz w:val="24"/>
          <w:highlight w:val="none"/>
        </w:rPr>
      </w:pPr>
    </w:p>
    <w:p w14:paraId="2641823D">
      <w:pPr>
        <w:snapToGrid w:val="0"/>
        <w:spacing w:before="50" w:after="50"/>
        <w:rPr>
          <w:rFonts w:hint="eastAsia" w:ascii="宋体" w:hAnsi="宋体"/>
          <w:b/>
          <w:bCs/>
          <w:color w:val="auto"/>
          <w:sz w:val="24"/>
          <w:highlight w:val="none"/>
        </w:rPr>
      </w:pPr>
    </w:p>
    <w:p w14:paraId="3A2E37A0">
      <w:pPr>
        <w:snapToGrid w:val="0"/>
        <w:spacing w:before="156" w:beforeLines="50" w:after="50"/>
        <w:jc w:val="center"/>
        <w:rPr>
          <w:rFonts w:hint="eastAsia" w:ascii="仿宋_GB2312" w:hAnsi="仿宋_GB2312" w:eastAsia="仿宋_GB2312" w:cs="仿宋_GB2312"/>
          <w:bCs/>
          <w:color w:val="auto"/>
          <w:sz w:val="32"/>
          <w:szCs w:val="32"/>
          <w:highlight w:val="none"/>
        </w:rPr>
      </w:pPr>
    </w:p>
    <w:p w14:paraId="1A18CA52">
      <w:pPr>
        <w:rPr>
          <w:b/>
          <w:color w:val="auto"/>
          <w:sz w:val="32"/>
          <w:szCs w:val="32"/>
          <w:highlight w:val="none"/>
        </w:rPr>
      </w:pPr>
      <w:bookmarkStart w:id="88" w:name="_Toc31723070"/>
      <w:bookmarkStart w:id="89" w:name="_Toc31728084"/>
      <w:bookmarkStart w:id="90" w:name="_Toc35611438"/>
      <w:bookmarkStart w:id="91" w:name="_Toc71366186"/>
      <w:bookmarkStart w:id="92" w:name="_Toc35611516"/>
      <w:bookmarkStart w:id="93" w:name="_Toc44229899"/>
      <w:r>
        <w:rPr>
          <w:rFonts w:hint="eastAsia"/>
          <w:b/>
          <w:color w:val="auto"/>
          <w:sz w:val="32"/>
          <w:szCs w:val="32"/>
          <w:highlight w:val="none"/>
        </w:rPr>
        <w:t>一、资格证明文件格式</w:t>
      </w:r>
      <w:bookmarkEnd w:id="88"/>
      <w:bookmarkEnd w:id="89"/>
      <w:bookmarkEnd w:id="90"/>
      <w:bookmarkEnd w:id="91"/>
      <w:bookmarkEnd w:id="92"/>
      <w:bookmarkEnd w:id="93"/>
    </w:p>
    <w:p w14:paraId="4416736C">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2C56C296">
      <w:pPr>
        <w:snapToGrid w:val="0"/>
        <w:spacing w:before="156" w:beforeLines="50" w:after="50"/>
        <w:jc w:val="center"/>
        <w:rPr>
          <w:rFonts w:hint="eastAsia" w:ascii="宋体" w:hAnsi="宋体"/>
          <w:color w:val="auto"/>
          <w:sz w:val="44"/>
          <w:szCs w:val="44"/>
          <w:highlight w:val="none"/>
        </w:rPr>
      </w:pPr>
    </w:p>
    <w:p w14:paraId="1773D1DB">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51467E79">
      <w:pPr>
        <w:snapToGrid w:val="0"/>
        <w:spacing w:before="156" w:beforeLines="50" w:after="50"/>
        <w:rPr>
          <w:rFonts w:hint="eastAsia" w:ascii="宋体" w:hAnsi="宋体"/>
          <w:color w:val="auto"/>
          <w:sz w:val="24"/>
          <w:szCs w:val="20"/>
          <w:highlight w:val="none"/>
        </w:rPr>
      </w:pPr>
    </w:p>
    <w:p w14:paraId="186EBF7A">
      <w:pPr>
        <w:snapToGrid w:val="0"/>
        <w:spacing w:before="156" w:beforeLines="50" w:after="50"/>
        <w:jc w:val="center"/>
        <w:outlineLvl w:val="1"/>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BB464CA">
      <w:pPr>
        <w:snapToGrid w:val="0"/>
        <w:spacing w:before="156" w:beforeLines="50" w:after="50"/>
        <w:rPr>
          <w:rFonts w:hint="eastAsia" w:ascii="宋体" w:hAnsi="宋体"/>
          <w:bCs/>
          <w:color w:val="auto"/>
          <w:sz w:val="24"/>
          <w:szCs w:val="20"/>
          <w:highlight w:val="none"/>
        </w:rPr>
      </w:pPr>
    </w:p>
    <w:p w14:paraId="028B7F70">
      <w:pPr>
        <w:snapToGrid w:val="0"/>
        <w:spacing w:before="156" w:beforeLines="50" w:after="50"/>
        <w:rPr>
          <w:rFonts w:hint="eastAsia" w:ascii="宋体" w:hAnsi="宋体"/>
          <w:bCs/>
          <w:color w:val="auto"/>
          <w:sz w:val="24"/>
          <w:szCs w:val="20"/>
          <w:highlight w:val="none"/>
        </w:rPr>
      </w:pPr>
    </w:p>
    <w:p w14:paraId="3CA4AE73">
      <w:pPr>
        <w:snapToGrid w:val="0"/>
        <w:spacing w:before="156" w:beforeLines="50" w:after="50"/>
        <w:rPr>
          <w:rFonts w:hint="eastAsia" w:ascii="宋体" w:hAnsi="宋体"/>
          <w:bCs/>
          <w:color w:val="auto"/>
          <w:sz w:val="24"/>
          <w:szCs w:val="20"/>
          <w:highlight w:val="none"/>
        </w:rPr>
      </w:pPr>
    </w:p>
    <w:p w14:paraId="14C5458D">
      <w:pPr>
        <w:snapToGrid w:val="0"/>
        <w:spacing w:before="156" w:beforeLines="50" w:after="50"/>
        <w:rPr>
          <w:rFonts w:hint="eastAsia" w:ascii="宋体" w:hAnsi="宋体"/>
          <w:bCs/>
          <w:color w:val="auto"/>
          <w:sz w:val="24"/>
          <w:szCs w:val="20"/>
          <w:highlight w:val="none"/>
        </w:rPr>
      </w:pPr>
    </w:p>
    <w:p w14:paraId="6F09FF8C">
      <w:pPr>
        <w:snapToGrid w:val="0"/>
        <w:spacing w:before="156" w:beforeLines="50" w:after="50"/>
        <w:rPr>
          <w:rFonts w:hint="eastAsia" w:ascii="宋体" w:hAnsi="宋体"/>
          <w:bCs/>
          <w:color w:val="auto"/>
          <w:sz w:val="24"/>
          <w:szCs w:val="20"/>
          <w:highlight w:val="none"/>
        </w:rPr>
      </w:pPr>
    </w:p>
    <w:p w14:paraId="6D9D8914">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FA0C1C5">
      <w:pPr>
        <w:snapToGrid w:val="0"/>
        <w:spacing w:before="156" w:beforeLines="50" w:after="50"/>
        <w:ind w:firstLine="720" w:firstLineChars="225"/>
        <w:rPr>
          <w:rFonts w:hint="eastAsia" w:ascii="宋体" w:hAnsi="宋体" w:cs="仿宋_GB2312"/>
          <w:bCs/>
          <w:color w:val="auto"/>
          <w:sz w:val="32"/>
          <w:szCs w:val="32"/>
          <w:highlight w:val="none"/>
        </w:rPr>
      </w:pPr>
    </w:p>
    <w:p w14:paraId="653685FF">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7BF62E5">
      <w:pPr>
        <w:snapToGrid w:val="0"/>
        <w:spacing w:before="156" w:beforeLines="50" w:after="50"/>
        <w:ind w:firstLine="720" w:firstLineChars="225"/>
        <w:rPr>
          <w:rFonts w:hint="eastAsia" w:ascii="宋体" w:hAnsi="宋体" w:cs="仿宋_GB2312"/>
          <w:bCs/>
          <w:color w:val="auto"/>
          <w:sz w:val="32"/>
          <w:szCs w:val="32"/>
          <w:highlight w:val="none"/>
        </w:rPr>
      </w:pPr>
    </w:p>
    <w:p w14:paraId="0441F48A">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14F03A8">
      <w:pPr>
        <w:snapToGrid w:val="0"/>
        <w:spacing w:before="156" w:beforeLines="50" w:after="50"/>
        <w:ind w:firstLine="720" w:firstLineChars="225"/>
        <w:rPr>
          <w:rFonts w:hint="eastAsia" w:ascii="宋体" w:hAnsi="宋体" w:cs="仿宋_GB2312"/>
          <w:bCs/>
          <w:color w:val="auto"/>
          <w:sz w:val="32"/>
          <w:szCs w:val="32"/>
          <w:highlight w:val="none"/>
        </w:rPr>
      </w:pPr>
    </w:p>
    <w:p w14:paraId="7F4C46B4">
      <w:pPr>
        <w:pStyle w:val="8"/>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C415F34">
      <w:pPr>
        <w:snapToGrid w:val="0"/>
        <w:spacing w:before="156" w:beforeLines="50" w:after="50"/>
        <w:ind w:firstLine="640" w:firstLineChars="200"/>
        <w:rPr>
          <w:rFonts w:hint="eastAsia" w:ascii="宋体" w:hAnsi="宋体" w:cs="仿宋_GB2312"/>
          <w:bCs/>
          <w:color w:val="auto"/>
          <w:sz w:val="32"/>
          <w:szCs w:val="32"/>
          <w:highlight w:val="none"/>
        </w:rPr>
      </w:pPr>
    </w:p>
    <w:p w14:paraId="62EE1273">
      <w:pPr>
        <w:pStyle w:val="8"/>
        <w:snapToGrid w:val="0"/>
        <w:spacing w:before="50" w:after="50"/>
        <w:ind w:firstLine="720" w:firstLineChars="225"/>
        <w:rPr>
          <w:rFonts w:hint="eastAsia" w:ascii="宋体" w:hAnsi="宋体" w:cs="仿宋_GB2312"/>
          <w:bCs/>
          <w:color w:val="auto"/>
          <w:sz w:val="32"/>
          <w:szCs w:val="32"/>
          <w:highlight w:val="none"/>
        </w:rPr>
      </w:pPr>
    </w:p>
    <w:p w14:paraId="6246A755">
      <w:pPr>
        <w:pStyle w:val="8"/>
        <w:snapToGrid w:val="0"/>
        <w:spacing w:before="50" w:after="50"/>
        <w:ind w:firstLine="720" w:firstLineChars="225"/>
        <w:rPr>
          <w:rFonts w:hint="eastAsia" w:ascii="宋体" w:hAnsi="宋体" w:cs="仿宋_GB2312"/>
          <w:bCs/>
          <w:color w:val="auto"/>
          <w:sz w:val="32"/>
          <w:szCs w:val="32"/>
          <w:highlight w:val="none"/>
        </w:rPr>
      </w:pPr>
    </w:p>
    <w:p w14:paraId="4B8E54C0">
      <w:pPr>
        <w:pStyle w:val="8"/>
        <w:snapToGrid w:val="0"/>
        <w:spacing w:before="50" w:after="50"/>
        <w:ind w:firstLine="1280" w:firstLineChars="400"/>
        <w:rPr>
          <w:rFonts w:hint="eastAsia" w:ascii="宋体" w:hAnsi="宋体" w:cs="仿宋_GB2312"/>
          <w:bCs/>
          <w:color w:val="auto"/>
          <w:sz w:val="32"/>
          <w:szCs w:val="32"/>
          <w:highlight w:val="none"/>
        </w:rPr>
      </w:pPr>
    </w:p>
    <w:p w14:paraId="2E5620AB">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9300E92">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03ABD7B3">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727EADA4">
      <w:pPr>
        <w:snapToGrid w:val="0"/>
        <w:spacing w:before="156" w:beforeLines="50" w:after="50"/>
        <w:rPr>
          <w:rFonts w:hint="eastAsia" w:ascii="宋体" w:hAnsi="宋体"/>
          <w:color w:val="auto"/>
          <w:sz w:val="24"/>
          <w:szCs w:val="20"/>
          <w:highlight w:val="none"/>
        </w:rPr>
      </w:pPr>
    </w:p>
    <w:p w14:paraId="00D84E97">
      <w:pPr>
        <w:spacing w:line="300" w:lineRule="auto"/>
        <w:rPr>
          <w:rFonts w:hint="eastAsia" w:ascii="宋体" w:hAnsi="宋体"/>
          <w:color w:val="auto"/>
          <w:szCs w:val="21"/>
          <w:highlight w:val="none"/>
        </w:rPr>
      </w:pPr>
    </w:p>
    <w:p w14:paraId="054B9A73">
      <w:pPr>
        <w:spacing w:line="300" w:lineRule="auto"/>
        <w:rPr>
          <w:rFonts w:hint="eastAsia" w:ascii="宋体" w:hAnsi="宋体"/>
          <w:color w:val="auto"/>
          <w:szCs w:val="21"/>
          <w:highlight w:val="none"/>
        </w:rPr>
      </w:pPr>
    </w:p>
    <w:p w14:paraId="4070EBF8">
      <w:pPr>
        <w:spacing w:line="300" w:lineRule="auto"/>
        <w:rPr>
          <w:rFonts w:hint="eastAsia" w:ascii="宋体" w:hAnsi="宋体"/>
          <w:color w:val="auto"/>
          <w:szCs w:val="21"/>
          <w:highlight w:val="none"/>
        </w:rPr>
      </w:pPr>
    </w:p>
    <w:p w14:paraId="4719654A">
      <w:pPr>
        <w:spacing w:line="300" w:lineRule="auto"/>
        <w:rPr>
          <w:rFonts w:hint="eastAsia" w:ascii="宋体" w:hAnsi="宋体"/>
          <w:color w:val="auto"/>
          <w:szCs w:val="21"/>
          <w:highlight w:val="none"/>
        </w:rPr>
      </w:pPr>
    </w:p>
    <w:p w14:paraId="344F9A74">
      <w:pPr>
        <w:spacing w:line="300" w:lineRule="auto"/>
        <w:rPr>
          <w:rFonts w:hint="eastAsia" w:ascii="宋体" w:hAnsi="宋体"/>
          <w:color w:val="auto"/>
          <w:szCs w:val="21"/>
          <w:highlight w:val="none"/>
        </w:rPr>
      </w:pPr>
    </w:p>
    <w:p w14:paraId="6CE5346C">
      <w:pPr>
        <w:spacing w:line="300" w:lineRule="auto"/>
        <w:rPr>
          <w:rFonts w:hint="eastAsia" w:ascii="宋体" w:hAnsi="宋体"/>
          <w:color w:val="auto"/>
          <w:szCs w:val="21"/>
          <w:highlight w:val="none"/>
        </w:rPr>
      </w:pPr>
    </w:p>
    <w:p w14:paraId="3018FCBC">
      <w:pPr>
        <w:spacing w:line="300" w:lineRule="auto"/>
        <w:rPr>
          <w:rFonts w:hint="eastAsia" w:ascii="宋体" w:hAnsi="宋体"/>
          <w:color w:val="auto"/>
          <w:szCs w:val="21"/>
          <w:highlight w:val="none"/>
        </w:rPr>
      </w:pPr>
    </w:p>
    <w:p w14:paraId="49A4888B">
      <w:pPr>
        <w:spacing w:line="300" w:lineRule="auto"/>
        <w:rPr>
          <w:rFonts w:hint="eastAsia" w:ascii="宋体" w:hAnsi="宋体"/>
          <w:color w:val="auto"/>
          <w:szCs w:val="21"/>
          <w:highlight w:val="none"/>
        </w:rPr>
      </w:pPr>
    </w:p>
    <w:p w14:paraId="48172AF1">
      <w:pPr>
        <w:spacing w:line="300" w:lineRule="auto"/>
        <w:rPr>
          <w:rFonts w:hint="eastAsia" w:ascii="宋体" w:hAnsi="宋体"/>
          <w:color w:val="auto"/>
          <w:szCs w:val="21"/>
          <w:highlight w:val="none"/>
        </w:rPr>
      </w:pPr>
    </w:p>
    <w:p w14:paraId="3BD72F5A">
      <w:pPr>
        <w:spacing w:line="300" w:lineRule="auto"/>
        <w:rPr>
          <w:rFonts w:hint="eastAsia" w:ascii="宋体" w:hAnsi="宋体"/>
          <w:color w:val="auto"/>
          <w:szCs w:val="21"/>
          <w:highlight w:val="none"/>
        </w:rPr>
      </w:pPr>
    </w:p>
    <w:p w14:paraId="49405454">
      <w:pPr>
        <w:spacing w:line="300" w:lineRule="auto"/>
        <w:rPr>
          <w:rFonts w:hint="eastAsia" w:ascii="宋体" w:hAnsi="宋体"/>
          <w:color w:val="auto"/>
          <w:szCs w:val="21"/>
          <w:highlight w:val="none"/>
        </w:rPr>
      </w:pPr>
    </w:p>
    <w:p w14:paraId="43F0030A">
      <w:pPr>
        <w:spacing w:line="300" w:lineRule="auto"/>
        <w:rPr>
          <w:rFonts w:hint="eastAsia" w:ascii="宋体" w:hAnsi="宋体"/>
          <w:color w:val="auto"/>
          <w:szCs w:val="21"/>
          <w:highlight w:val="none"/>
        </w:rPr>
      </w:pPr>
    </w:p>
    <w:p w14:paraId="69B17F61">
      <w:pPr>
        <w:spacing w:line="300" w:lineRule="auto"/>
        <w:rPr>
          <w:rFonts w:hint="eastAsia" w:ascii="宋体" w:hAnsi="宋体"/>
          <w:color w:val="auto"/>
          <w:szCs w:val="21"/>
          <w:highlight w:val="none"/>
        </w:rPr>
      </w:pPr>
    </w:p>
    <w:p w14:paraId="5970A9E4">
      <w:pPr>
        <w:spacing w:line="300" w:lineRule="auto"/>
        <w:rPr>
          <w:rFonts w:hint="eastAsia" w:ascii="宋体" w:hAnsi="宋体"/>
          <w:color w:val="auto"/>
          <w:szCs w:val="21"/>
          <w:highlight w:val="none"/>
        </w:rPr>
      </w:pPr>
    </w:p>
    <w:p w14:paraId="5232811E">
      <w:pPr>
        <w:spacing w:line="300" w:lineRule="auto"/>
        <w:rPr>
          <w:rFonts w:hint="eastAsia" w:ascii="宋体" w:hAnsi="宋体"/>
          <w:color w:val="auto"/>
          <w:szCs w:val="21"/>
          <w:highlight w:val="none"/>
        </w:rPr>
      </w:pPr>
    </w:p>
    <w:p w14:paraId="76904E50">
      <w:pPr>
        <w:spacing w:line="320" w:lineRule="exact"/>
        <w:jc w:val="left"/>
        <w:rPr>
          <w:rFonts w:hint="eastAsia" w:ascii="宋体" w:hAnsi="宋体"/>
          <w:color w:val="auto"/>
          <w:szCs w:val="21"/>
          <w:highlight w:val="none"/>
        </w:rPr>
      </w:pPr>
      <w:r>
        <w:rPr>
          <w:rFonts w:ascii="宋体" w:hAnsi="宋体"/>
          <w:color w:val="auto"/>
          <w:szCs w:val="21"/>
          <w:highlight w:val="none"/>
        </w:rPr>
        <w:br w:type="page"/>
      </w:r>
    </w:p>
    <w:p w14:paraId="19193AEA">
      <w:pPr>
        <w:wordWrap w:val="0"/>
        <w:spacing w:before="156" w:beforeLines="50" w:after="50" w:line="320" w:lineRule="exact"/>
        <w:ind w:right="482" w:firstLine="210" w:firstLineChars="100"/>
        <w:contextualSpacing/>
        <w:jc w:val="center"/>
        <w:rPr>
          <w:rFonts w:hint="eastAsia" w:ascii="宋体" w:hAnsi="宋体"/>
          <w:color w:val="auto"/>
          <w:szCs w:val="21"/>
          <w:highlight w:val="none"/>
        </w:rPr>
      </w:pPr>
    </w:p>
    <w:p w14:paraId="77F5F38D">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318D728B">
      <w:pPr>
        <w:snapToGrid w:val="0"/>
        <w:spacing w:before="156" w:beforeLines="50" w:after="50" w:line="360" w:lineRule="auto"/>
        <w:jc w:val="center"/>
        <w:rPr>
          <w:rFonts w:hint="eastAsia" w:ascii="宋体" w:hAnsi="宋体"/>
          <w:b/>
          <w:color w:val="auto"/>
          <w:sz w:val="24"/>
          <w:highlight w:val="none"/>
        </w:rPr>
      </w:pPr>
    </w:p>
    <w:p w14:paraId="1A6FFDF7">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56E9A70">
      <w:pPr>
        <w:spacing w:line="360" w:lineRule="auto"/>
        <w:contextualSpacing/>
        <w:jc w:val="center"/>
        <w:rPr>
          <w:rFonts w:hint="eastAsia" w:ascii="宋体" w:hAnsi="宋体"/>
          <w:b/>
          <w:color w:val="auto"/>
          <w:sz w:val="24"/>
          <w:highlight w:val="none"/>
        </w:rPr>
      </w:pPr>
    </w:p>
    <w:tbl>
      <w:tblPr>
        <w:tblStyle w:val="3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6603B5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278CE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549DE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3AA505">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D9A5A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B3F23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8549CA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D243A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79B0C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7FF080">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3A446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5EFE75">
            <w:pPr>
              <w:widowControl/>
              <w:spacing w:line="360" w:lineRule="auto"/>
              <w:contextualSpacing/>
              <w:jc w:val="center"/>
              <w:rPr>
                <w:rFonts w:hint="eastAsia" w:ascii="宋体" w:hAnsi="宋体" w:cs="宋体"/>
                <w:color w:val="auto"/>
                <w:kern w:val="0"/>
                <w:sz w:val="24"/>
                <w:highlight w:val="none"/>
              </w:rPr>
            </w:pPr>
          </w:p>
        </w:tc>
      </w:tr>
      <w:tr w14:paraId="092BCF0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0A9DD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552B07">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6065B0">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29F47A">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94E541">
            <w:pPr>
              <w:widowControl/>
              <w:spacing w:line="360" w:lineRule="auto"/>
              <w:contextualSpacing/>
              <w:jc w:val="center"/>
              <w:rPr>
                <w:rFonts w:hint="eastAsia" w:ascii="宋体" w:hAnsi="宋体" w:cs="宋体"/>
                <w:color w:val="auto"/>
                <w:kern w:val="0"/>
                <w:sz w:val="24"/>
                <w:highlight w:val="none"/>
              </w:rPr>
            </w:pPr>
          </w:p>
        </w:tc>
      </w:tr>
      <w:tr w14:paraId="0AAA506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B2D06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F2FA5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7A57CA">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8689BF">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5F220F">
            <w:pPr>
              <w:widowControl/>
              <w:spacing w:line="360" w:lineRule="auto"/>
              <w:contextualSpacing/>
              <w:jc w:val="center"/>
              <w:rPr>
                <w:rFonts w:hint="eastAsia" w:ascii="宋体" w:hAnsi="宋体" w:cs="宋体"/>
                <w:color w:val="auto"/>
                <w:kern w:val="0"/>
                <w:sz w:val="24"/>
                <w:highlight w:val="none"/>
              </w:rPr>
            </w:pPr>
          </w:p>
        </w:tc>
      </w:tr>
      <w:tr w14:paraId="05D0A28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DA2BD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CFF2ED">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A74D8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572A2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F93E1C">
            <w:pPr>
              <w:widowControl/>
              <w:spacing w:line="360" w:lineRule="auto"/>
              <w:contextualSpacing/>
              <w:jc w:val="center"/>
              <w:rPr>
                <w:rFonts w:hint="eastAsia" w:ascii="宋体" w:hAnsi="宋体" w:cs="宋体"/>
                <w:color w:val="auto"/>
                <w:kern w:val="0"/>
                <w:sz w:val="24"/>
                <w:highlight w:val="none"/>
              </w:rPr>
            </w:pPr>
          </w:p>
        </w:tc>
      </w:tr>
    </w:tbl>
    <w:p w14:paraId="2FF6B250">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2623682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605A45">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673CD54">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398D533">
      <w:pPr>
        <w:spacing w:line="360" w:lineRule="auto"/>
        <w:ind w:firstLine="420" w:firstLineChars="200"/>
        <w:contextualSpacing/>
        <w:jc w:val="left"/>
        <w:rPr>
          <w:rFonts w:hint="eastAsia" w:ascii="宋体" w:hAnsi="宋体" w:cs="宋体"/>
          <w:color w:val="auto"/>
          <w:szCs w:val="21"/>
          <w:highlight w:val="none"/>
        </w:rPr>
      </w:pPr>
    </w:p>
    <w:p w14:paraId="3937DC85">
      <w:pPr>
        <w:spacing w:line="360" w:lineRule="auto"/>
        <w:ind w:firstLine="560" w:firstLineChars="200"/>
        <w:contextualSpacing/>
        <w:jc w:val="left"/>
        <w:rPr>
          <w:rFonts w:hint="eastAsia" w:ascii="宋体" w:hAnsi="宋体" w:cs="宋体"/>
          <w:color w:val="auto"/>
          <w:sz w:val="28"/>
          <w:szCs w:val="28"/>
          <w:highlight w:val="none"/>
        </w:rPr>
      </w:pPr>
    </w:p>
    <w:p w14:paraId="2F13AFBC">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21499BD6">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w:t>
      </w:r>
    </w:p>
    <w:p w14:paraId="1FEC20BC">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40B0846B">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ED4D895">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685B28E">
      <w:pPr>
        <w:snapToGrid w:val="0"/>
        <w:spacing w:line="360" w:lineRule="auto"/>
        <w:jc w:val="center"/>
        <w:rPr>
          <w:rFonts w:hint="eastAsia" w:ascii="宋体" w:hAnsi="宋体"/>
          <w:b/>
          <w:color w:val="auto"/>
          <w:sz w:val="24"/>
          <w:highlight w:val="none"/>
        </w:rPr>
      </w:pPr>
    </w:p>
    <w:tbl>
      <w:tblPr>
        <w:tblStyle w:val="3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6A4A3E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1FD70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89723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EFDB8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C4EC2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F12E9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2FD76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67CDD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50336D">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D1CEA4">
            <w:pPr>
              <w:widowControl/>
              <w:spacing w:line="360" w:lineRule="auto"/>
              <w:contextualSpacing/>
              <w:jc w:val="center"/>
              <w:rPr>
                <w:rFonts w:hint="eastAsia" w:ascii="宋体" w:hAnsi="宋体" w:cs="宋体"/>
                <w:color w:val="auto"/>
                <w:kern w:val="0"/>
                <w:sz w:val="24"/>
                <w:highlight w:val="none"/>
              </w:rPr>
            </w:pPr>
          </w:p>
        </w:tc>
      </w:tr>
      <w:tr w14:paraId="62E74B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95157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667D48">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E10C53">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A28579">
            <w:pPr>
              <w:widowControl/>
              <w:spacing w:line="360" w:lineRule="auto"/>
              <w:contextualSpacing/>
              <w:jc w:val="center"/>
              <w:rPr>
                <w:rFonts w:hint="eastAsia" w:ascii="宋体" w:hAnsi="宋体" w:cs="宋体"/>
                <w:color w:val="auto"/>
                <w:kern w:val="0"/>
                <w:sz w:val="24"/>
                <w:highlight w:val="none"/>
              </w:rPr>
            </w:pPr>
          </w:p>
        </w:tc>
      </w:tr>
      <w:tr w14:paraId="475BDB0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37E2C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02F190">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F9E6ED">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1CBBC1">
            <w:pPr>
              <w:widowControl/>
              <w:spacing w:line="360" w:lineRule="auto"/>
              <w:contextualSpacing/>
              <w:jc w:val="center"/>
              <w:rPr>
                <w:rFonts w:hint="eastAsia" w:ascii="宋体" w:hAnsi="宋体" w:cs="宋体"/>
                <w:color w:val="auto"/>
                <w:kern w:val="0"/>
                <w:sz w:val="24"/>
                <w:highlight w:val="none"/>
              </w:rPr>
            </w:pPr>
          </w:p>
        </w:tc>
      </w:tr>
      <w:tr w14:paraId="698B46B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EE04B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36C4C8">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27F54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F8E58D">
            <w:pPr>
              <w:widowControl/>
              <w:spacing w:line="360" w:lineRule="auto"/>
              <w:contextualSpacing/>
              <w:jc w:val="center"/>
              <w:rPr>
                <w:rFonts w:hint="eastAsia" w:ascii="宋体" w:hAnsi="宋体" w:cs="宋体"/>
                <w:color w:val="auto"/>
                <w:kern w:val="0"/>
                <w:sz w:val="24"/>
                <w:highlight w:val="none"/>
              </w:rPr>
            </w:pPr>
          </w:p>
        </w:tc>
      </w:tr>
    </w:tbl>
    <w:p w14:paraId="1F258586">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7D80166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5E789F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EA58767">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7F4841BF">
      <w:pPr>
        <w:spacing w:line="360" w:lineRule="auto"/>
        <w:contextualSpacing/>
        <w:jc w:val="left"/>
        <w:rPr>
          <w:rFonts w:hint="eastAsia" w:ascii="宋体" w:hAnsi="宋体"/>
          <w:color w:val="auto"/>
          <w:sz w:val="28"/>
          <w:szCs w:val="28"/>
          <w:highlight w:val="none"/>
        </w:rPr>
      </w:pPr>
    </w:p>
    <w:p w14:paraId="120F3998">
      <w:pPr>
        <w:spacing w:line="360" w:lineRule="auto"/>
        <w:contextualSpacing/>
        <w:jc w:val="left"/>
        <w:rPr>
          <w:rFonts w:hint="eastAsia" w:ascii="宋体" w:hAnsi="宋体"/>
          <w:color w:val="auto"/>
          <w:sz w:val="28"/>
          <w:szCs w:val="28"/>
          <w:highlight w:val="none"/>
        </w:rPr>
      </w:pPr>
    </w:p>
    <w:p w14:paraId="6D2143C6">
      <w:pPr>
        <w:spacing w:line="360" w:lineRule="auto"/>
        <w:contextualSpacing/>
        <w:jc w:val="left"/>
        <w:rPr>
          <w:color w:val="auto"/>
          <w:sz w:val="28"/>
          <w:szCs w:val="28"/>
          <w:highlight w:val="none"/>
        </w:rPr>
      </w:pPr>
    </w:p>
    <w:p w14:paraId="3031EEAE">
      <w:pPr>
        <w:spacing w:line="360" w:lineRule="auto"/>
        <w:contextualSpacing/>
        <w:jc w:val="left"/>
        <w:rPr>
          <w:color w:val="auto"/>
          <w:sz w:val="28"/>
          <w:szCs w:val="28"/>
          <w:highlight w:val="none"/>
        </w:rPr>
      </w:pPr>
    </w:p>
    <w:p w14:paraId="069E447C">
      <w:pPr>
        <w:spacing w:line="360" w:lineRule="auto"/>
        <w:contextualSpacing/>
        <w:jc w:val="left"/>
        <w:rPr>
          <w:color w:val="auto"/>
          <w:sz w:val="28"/>
          <w:szCs w:val="28"/>
          <w:highlight w:val="none"/>
        </w:rPr>
      </w:pPr>
    </w:p>
    <w:p w14:paraId="00B5F02A">
      <w:pPr>
        <w:spacing w:line="360" w:lineRule="auto"/>
        <w:contextualSpacing/>
        <w:jc w:val="left"/>
        <w:rPr>
          <w:rFonts w:hint="eastAsia" w:ascii="宋体" w:hAnsi="宋体"/>
          <w:color w:val="auto"/>
          <w:sz w:val="28"/>
          <w:szCs w:val="28"/>
          <w:highlight w:val="none"/>
        </w:rPr>
      </w:pPr>
    </w:p>
    <w:p w14:paraId="5ECB27B0">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32BE8021">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51463439">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0D4E5E6E">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12894EC5">
      <w:pPr>
        <w:spacing w:line="320" w:lineRule="exact"/>
        <w:jc w:val="center"/>
        <w:rPr>
          <w:rFonts w:hint="eastAsia" w:ascii="宋体" w:hAnsi="宋体"/>
          <w:color w:val="auto"/>
          <w:sz w:val="24"/>
          <w:szCs w:val="20"/>
          <w:highlight w:val="none"/>
        </w:rPr>
      </w:pPr>
    </w:p>
    <w:p w14:paraId="389FA6D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FD181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036384B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1BE83F4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7D10B0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9A0926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501EA17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2241BD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E4D76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CB6B4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82CF74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01823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9265A7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F686EC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46DA38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D273B7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5216B1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7E16654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C37AA9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E98F27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C9AD09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2A411962">
      <w:pPr>
        <w:pStyle w:val="22"/>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1E7786FE">
      <w:pPr>
        <w:pStyle w:val="22"/>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 电子邮箱：</w:t>
      </w:r>
    </w:p>
    <w:p w14:paraId="6A826F33">
      <w:pPr>
        <w:pStyle w:val="2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  帐号：</w:t>
      </w:r>
    </w:p>
    <w:p w14:paraId="28F0E8D2">
      <w:pPr>
        <w:pStyle w:val="20"/>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D208C57">
      <w:pPr>
        <w:pStyle w:val="2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24B4CD75">
      <w:pPr>
        <w:spacing w:line="360" w:lineRule="auto"/>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473AD1E7">
      <w:pPr>
        <w:spacing w:line="360" w:lineRule="auto"/>
        <w:contextualSpacing/>
        <w:jc w:val="left"/>
        <w:rPr>
          <w:rFonts w:hint="eastAsia" w:ascii="宋体" w:hAnsi="宋体" w:cs="宋体"/>
          <w:color w:val="auto"/>
          <w:szCs w:val="21"/>
          <w:highlight w:val="none"/>
        </w:rPr>
      </w:pPr>
    </w:p>
    <w:p w14:paraId="369360F0">
      <w:pPr>
        <w:spacing w:line="360" w:lineRule="auto"/>
        <w:ind w:firstLine="1800" w:firstLineChars="750"/>
        <w:contextualSpacing/>
        <w:rPr>
          <w:color w:val="auto"/>
          <w:sz w:val="24"/>
          <w:highlight w:val="none"/>
        </w:rPr>
      </w:pPr>
      <w:r>
        <w:rPr>
          <w:rFonts w:hint="eastAsia"/>
          <w:color w:val="auto"/>
          <w:sz w:val="24"/>
          <w:highlight w:val="none"/>
        </w:rPr>
        <w:t>法定代表人（</w:t>
      </w:r>
      <w:r>
        <w:rPr>
          <w:rFonts w:hint="eastAsia" w:ascii="宋体" w:hAnsi="宋体"/>
          <w:color w:val="auto"/>
          <w:sz w:val="24"/>
          <w:highlight w:val="none"/>
        </w:rPr>
        <w:t>签字或者盖章或者电子签名</w:t>
      </w:r>
      <w:r>
        <w:rPr>
          <w:rFonts w:hint="eastAsia"/>
          <w:color w:val="auto"/>
          <w:sz w:val="24"/>
          <w:highlight w:val="none"/>
        </w:rPr>
        <w:t>）：</w:t>
      </w:r>
    </w:p>
    <w:p w14:paraId="4EFA9EBE">
      <w:pPr>
        <w:spacing w:line="360" w:lineRule="auto"/>
        <w:ind w:firstLine="4320" w:firstLineChars="1800"/>
        <w:contextualSpacing/>
        <w:rPr>
          <w:rFonts w:hint="eastAsia" w:ascii="宋体" w:hAnsi="宋体" w:cs="宋体"/>
          <w:color w:val="auto"/>
          <w:sz w:val="24"/>
          <w:szCs w:val="24"/>
          <w:highlight w:val="none"/>
          <w:u w:val="single"/>
        </w:rPr>
      </w:pPr>
      <w:r>
        <w:rPr>
          <w:rFonts w:hint="eastAsia"/>
          <w:color w:val="auto"/>
          <w:sz w:val="24"/>
          <w:highlight w:val="none"/>
        </w:rPr>
        <w:t>供应商（电子签章）：</w:t>
      </w:r>
    </w:p>
    <w:p w14:paraId="7FA8CAC4">
      <w:pPr>
        <w:pStyle w:val="20"/>
        <w:tabs>
          <w:tab w:val="left" w:pos="939"/>
        </w:tabs>
        <w:spacing w:line="360" w:lineRule="auto"/>
        <w:ind w:left="0" w:leftChars="0" w:firstLine="5280" w:firstLineChars="2200"/>
        <w:rPr>
          <w:color w:val="auto"/>
          <w:sz w:val="24"/>
          <w:highlight w:val="none"/>
        </w:rPr>
      </w:pPr>
      <w:r>
        <w:rPr>
          <w:rFonts w:hint="eastAsia"/>
          <w:color w:val="auto"/>
          <w:sz w:val="24"/>
          <w:highlight w:val="none"/>
        </w:rPr>
        <w:t>年月日</w:t>
      </w:r>
    </w:p>
    <w:p w14:paraId="0977C90D">
      <w:pPr>
        <w:pStyle w:val="8"/>
        <w:overflowPunct w:val="0"/>
        <w:spacing w:line="520" w:lineRule="exact"/>
        <w:ind w:firstLine="0"/>
        <w:jc w:val="center"/>
        <w:rPr>
          <w:rFonts w:hint="eastAsia" w:ascii="方正小标宋简体" w:hAnsi="方正小标宋简体" w:eastAsia="方正小标宋简体" w:cs="方正小标宋简体"/>
          <w:color w:val="auto"/>
          <w:sz w:val="44"/>
          <w:szCs w:val="44"/>
          <w:highlight w:val="none"/>
        </w:rPr>
      </w:pPr>
      <w:r>
        <w:rPr>
          <w:rFonts w:hint="eastAsia"/>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联合体竞标协议书</w:t>
      </w:r>
    </w:p>
    <w:p w14:paraId="5368B756">
      <w:pPr>
        <w:pStyle w:val="8"/>
        <w:overflowPunct w:val="0"/>
        <w:spacing w:line="360" w:lineRule="auto"/>
        <w:ind w:firstLine="0"/>
        <w:rPr>
          <w:rFonts w:hint="eastAsia" w:ascii="宋体" w:hAnsi="宋体"/>
          <w:color w:val="auto"/>
          <w:sz w:val="24"/>
          <w:szCs w:val="24"/>
          <w:highlight w:val="none"/>
        </w:rPr>
      </w:pPr>
    </w:p>
    <w:p w14:paraId="734E403F">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（所有成员单位名称）自愿组成（联合体名称）联合体，共同参加（项目名称）采购项目竞标。现就联合体竞标事宜订立如下协议。</w:t>
      </w:r>
    </w:p>
    <w:p w14:paraId="1C03A135">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（某成员单位名称）为（联合体名称）牵头人。</w:t>
      </w:r>
    </w:p>
    <w:p w14:paraId="524C2C85">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4F54C1FB">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01A2A7F5">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p>
    <w:p w14:paraId="58121973">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14:paraId="49673A81">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183C311F">
      <w:pPr>
        <w:pStyle w:val="8"/>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583525F6">
      <w:pPr>
        <w:pStyle w:val="8"/>
        <w:overflowPunct w:val="0"/>
        <w:spacing w:line="360" w:lineRule="auto"/>
        <w:ind w:firstLineChars="175"/>
        <w:contextualSpacing/>
        <w:rPr>
          <w:rFonts w:hint="eastAsia" w:ascii="宋体" w:hAnsi="宋体" w:cs="仿宋_GB2312"/>
          <w:color w:val="auto"/>
          <w:sz w:val="24"/>
          <w:szCs w:val="24"/>
          <w:highlight w:val="none"/>
        </w:rPr>
      </w:pPr>
    </w:p>
    <w:p w14:paraId="09FE34F3">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7841F4F0">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155E90E7">
      <w:pPr>
        <w:pStyle w:val="8"/>
        <w:overflowPunct w:val="0"/>
        <w:spacing w:line="360" w:lineRule="auto"/>
        <w:ind w:firstLine="0"/>
        <w:contextualSpacing/>
        <w:rPr>
          <w:rFonts w:hint="eastAsia" w:ascii="宋体" w:hAnsi="宋体" w:cs="仿宋_GB2312"/>
          <w:color w:val="auto"/>
          <w:sz w:val="24"/>
          <w:szCs w:val="24"/>
          <w:highlight w:val="none"/>
        </w:rPr>
      </w:pPr>
    </w:p>
    <w:p w14:paraId="67E9AF2E">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0AF25992">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0E62F20F">
      <w:pPr>
        <w:pStyle w:val="8"/>
        <w:overflowPunct w:val="0"/>
        <w:spacing w:line="360" w:lineRule="auto"/>
        <w:ind w:firstLine="0"/>
        <w:contextualSpacing/>
        <w:rPr>
          <w:rFonts w:hint="eastAsia" w:ascii="宋体" w:hAnsi="宋体" w:cs="仿宋_GB2312"/>
          <w:color w:val="auto"/>
          <w:sz w:val="24"/>
          <w:szCs w:val="24"/>
          <w:highlight w:val="none"/>
        </w:rPr>
      </w:pPr>
    </w:p>
    <w:p w14:paraId="04ECEFE3">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10BB810E">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0452A24C">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p>
    <w:p w14:paraId="7128F787">
      <w:pPr>
        <w:spacing w:line="360" w:lineRule="auto"/>
        <w:ind w:right="480" w:firstLine="240" w:firstLineChars="100"/>
        <w:contextualSpacing/>
        <w:jc w:val="center"/>
        <w:rPr>
          <w:rFonts w:hint="eastAsia" w:ascii="宋体" w:hAnsi="宋体" w:cs="仿宋_GB2312"/>
          <w:color w:val="auto"/>
          <w:sz w:val="24"/>
          <w:highlight w:val="none"/>
        </w:rPr>
      </w:pPr>
    </w:p>
    <w:p w14:paraId="4BACDF8B">
      <w:pPr>
        <w:spacing w:line="360" w:lineRule="auto"/>
        <w:ind w:right="480" w:firstLine="240" w:firstLineChars="100"/>
        <w:contextualSpacing/>
        <w:jc w:val="center"/>
        <w:rPr>
          <w:rFonts w:hint="eastAsia"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14:paraId="4208A7BF">
      <w:pPr>
        <w:spacing w:line="360" w:lineRule="auto"/>
        <w:ind w:right="420"/>
        <w:contextualSpacing/>
        <w:jc w:val="left"/>
        <w:rPr>
          <w:rFonts w:hint="eastAsia"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61181277">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73895564">
      <w:pPr>
        <w:snapToGrid w:val="0"/>
        <w:spacing w:before="156" w:beforeLines="50" w:after="50"/>
        <w:rPr>
          <w:rFonts w:hint="eastAsia" w:ascii="宋体" w:hAnsi="宋体"/>
          <w:bCs/>
          <w:color w:val="auto"/>
          <w:sz w:val="32"/>
          <w:szCs w:val="20"/>
          <w:highlight w:val="none"/>
        </w:rPr>
      </w:pPr>
    </w:p>
    <w:p w14:paraId="769DC853">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1E1B00AE">
      <w:pPr>
        <w:snapToGrid w:val="0"/>
        <w:spacing w:before="156" w:beforeLines="50" w:after="50"/>
        <w:rPr>
          <w:rFonts w:hint="eastAsia" w:ascii="宋体" w:hAnsi="宋体"/>
          <w:color w:val="auto"/>
          <w:sz w:val="24"/>
          <w:szCs w:val="20"/>
          <w:highlight w:val="none"/>
        </w:rPr>
      </w:pPr>
    </w:p>
    <w:p w14:paraId="0CF5D5AD">
      <w:pPr>
        <w:snapToGrid w:val="0"/>
        <w:spacing w:before="156" w:beforeLines="50" w:after="50"/>
        <w:rPr>
          <w:rFonts w:hint="eastAsia" w:ascii="宋体" w:hAnsi="宋体"/>
          <w:color w:val="auto"/>
          <w:sz w:val="24"/>
          <w:szCs w:val="20"/>
          <w:highlight w:val="none"/>
        </w:rPr>
      </w:pPr>
    </w:p>
    <w:p w14:paraId="4E1305BE">
      <w:pPr>
        <w:snapToGrid w:val="0"/>
        <w:spacing w:before="156" w:beforeLines="50" w:after="50"/>
        <w:jc w:val="center"/>
        <w:outlineLvl w:val="1"/>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AD03732">
      <w:pPr>
        <w:snapToGrid w:val="0"/>
        <w:spacing w:before="156" w:beforeLines="50" w:after="50"/>
        <w:rPr>
          <w:rFonts w:hint="eastAsia" w:ascii="宋体" w:hAnsi="宋体"/>
          <w:bCs/>
          <w:color w:val="auto"/>
          <w:sz w:val="24"/>
          <w:szCs w:val="20"/>
          <w:highlight w:val="none"/>
        </w:rPr>
      </w:pPr>
    </w:p>
    <w:p w14:paraId="30E24598">
      <w:pPr>
        <w:snapToGrid w:val="0"/>
        <w:spacing w:before="156" w:beforeLines="50" w:after="50"/>
        <w:rPr>
          <w:rFonts w:hint="eastAsia" w:ascii="宋体" w:hAnsi="宋体"/>
          <w:bCs/>
          <w:color w:val="auto"/>
          <w:sz w:val="24"/>
          <w:szCs w:val="20"/>
          <w:highlight w:val="none"/>
        </w:rPr>
      </w:pPr>
    </w:p>
    <w:p w14:paraId="7394962E">
      <w:pPr>
        <w:snapToGrid w:val="0"/>
        <w:spacing w:before="156" w:beforeLines="50" w:after="50"/>
        <w:rPr>
          <w:rFonts w:hint="eastAsia" w:ascii="宋体" w:hAnsi="宋体"/>
          <w:bCs/>
          <w:color w:val="auto"/>
          <w:sz w:val="24"/>
          <w:szCs w:val="20"/>
          <w:highlight w:val="none"/>
        </w:rPr>
      </w:pPr>
    </w:p>
    <w:p w14:paraId="26526B3B">
      <w:pPr>
        <w:snapToGrid w:val="0"/>
        <w:spacing w:before="156" w:beforeLines="50" w:after="50"/>
        <w:rPr>
          <w:rFonts w:hint="eastAsia" w:ascii="宋体" w:hAnsi="宋体"/>
          <w:bCs/>
          <w:color w:val="auto"/>
          <w:sz w:val="24"/>
          <w:szCs w:val="20"/>
          <w:highlight w:val="none"/>
        </w:rPr>
      </w:pPr>
    </w:p>
    <w:p w14:paraId="42E88E79">
      <w:pPr>
        <w:snapToGrid w:val="0"/>
        <w:spacing w:before="156" w:beforeLines="50" w:after="50"/>
        <w:rPr>
          <w:rFonts w:hint="eastAsia" w:ascii="宋体" w:hAnsi="宋体"/>
          <w:bCs/>
          <w:color w:val="auto"/>
          <w:sz w:val="24"/>
          <w:szCs w:val="20"/>
          <w:highlight w:val="none"/>
        </w:rPr>
      </w:pPr>
    </w:p>
    <w:p w14:paraId="6EAEA234">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C919476">
      <w:pPr>
        <w:snapToGrid w:val="0"/>
        <w:spacing w:before="156" w:beforeLines="50" w:after="50"/>
        <w:ind w:firstLine="720" w:firstLineChars="225"/>
        <w:rPr>
          <w:rFonts w:hint="eastAsia" w:ascii="宋体" w:hAnsi="宋体" w:cs="仿宋_GB2312"/>
          <w:bCs/>
          <w:color w:val="auto"/>
          <w:sz w:val="32"/>
          <w:szCs w:val="32"/>
          <w:highlight w:val="none"/>
        </w:rPr>
      </w:pPr>
    </w:p>
    <w:p w14:paraId="37F9382D">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EECF0DC">
      <w:pPr>
        <w:snapToGrid w:val="0"/>
        <w:spacing w:before="156" w:beforeLines="50" w:after="50"/>
        <w:ind w:firstLine="720" w:firstLineChars="225"/>
        <w:rPr>
          <w:rFonts w:hint="eastAsia" w:ascii="宋体" w:hAnsi="宋体" w:cs="仿宋_GB2312"/>
          <w:bCs/>
          <w:color w:val="auto"/>
          <w:sz w:val="32"/>
          <w:szCs w:val="32"/>
          <w:highlight w:val="none"/>
        </w:rPr>
      </w:pPr>
    </w:p>
    <w:p w14:paraId="12E111F3">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F7A4BA7">
      <w:pPr>
        <w:snapToGrid w:val="0"/>
        <w:spacing w:before="156" w:beforeLines="50" w:after="50"/>
        <w:ind w:firstLine="720" w:firstLineChars="225"/>
        <w:rPr>
          <w:rFonts w:hint="eastAsia" w:ascii="宋体" w:hAnsi="宋体" w:cs="仿宋_GB2312"/>
          <w:bCs/>
          <w:color w:val="auto"/>
          <w:sz w:val="32"/>
          <w:szCs w:val="32"/>
          <w:highlight w:val="none"/>
        </w:rPr>
      </w:pPr>
    </w:p>
    <w:p w14:paraId="71B51E3B">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C55B219">
      <w:pPr>
        <w:pStyle w:val="8"/>
        <w:snapToGrid w:val="0"/>
        <w:spacing w:before="50" w:after="50"/>
        <w:ind w:firstLine="640" w:firstLineChars="200"/>
        <w:rPr>
          <w:rFonts w:hint="eastAsia" w:ascii="宋体" w:hAnsi="宋体" w:cs="仿宋_GB2312"/>
          <w:bCs/>
          <w:color w:val="auto"/>
          <w:sz w:val="32"/>
          <w:szCs w:val="32"/>
          <w:highlight w:val="none"/>
        </w:rPr>
      </w:pPr>
    </w:p>
    <w:p w14:paraId="0E9E3BE2">
      <w:pPr>
        <w:pStyle w:val="8"/>
        <w:snapToGrid w:val="0"/>
        <w:spacing w:before="50" w:after="50"/>
        <w:ind w:firstLine="720" w:firstLineChars="225"/>
        <w:rPr>
          <w:rFonts w:hint="eastAsia" w:ascii="宋体" w:hAnsi="宋体" w:cs="仿宋_GB2312"/>
          <w:bCs/>
          <w:color w:val="auto"/>
          <w:sz w:val="32"/>
          <w:szCs w:val="32"/>
          <w:highlight w:val="none"/>
        </w:rPr>
      </w:pPr>
    </w:p>
    <w:p w14:paraId="676BF590">
      <w:pPr>
        <w:pStyle w:val="8"/>
        <w:snapToGrid w:val="0"/>
        <w:spacing w:before="50" w:after="50"/>
        <w:ind w:firstLine="0"/>
        <w:rPr>
          <w:rFonts w:hint="eastAsia" w:ascii="宋体" w:hAnsi="宋体" w:cs="仿宋_GB2312"/>
          <w:bCs/>
          <w:color w:val="auto"/>
          <w:sz w:val="32"/>
          <w:szCs w:val="32"/>
          <w:highlight w:val="none"/>
        </w:rPr>
      </w:pPr>
    </w:p>
    <w:p w14:paraId="33B87273">
      <w:pPr>
        <w:pStyle w:val="8"/>
        <w:snapToGrid w:val="0"/>
        <w:spacing w:before="50" w:after="50"/>
        <w:ind w:firstLine="1280" w:firstLineChars="400"/>
        <w:rPr>
          <w:rFonts w:hint="eastAsia" w:ascii="宋体" w:hAnsi="宋体" w:cs="仿宋_GB2312"/>
          <w:bCs/>
          <w:color w:val="auto"/>
          <w:sz w:val="32"/>
          <w:szCs w:val="32"/>
          <w:highlight w:val="none"/>
        </w:rPr>
      </w:pPr>
    </w:p>
    <w:p w14:paraId="460B7726">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0E6D0AF">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71E0A848">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52A4C2C6">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5D1001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项目名称：项目编号：</w:t>
      </w:r>
    </w:p>
    <w:p w14:paraId="0DFC79B9">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p>
    <w:p w14:paraId="29D6771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23A4634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4"/>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3428"/>
        <w:gridCol w:w="2368"/>
      </w:tblGrid>
      <w:tr w14:paraId="02C7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480BF01">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0A2C7603">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服务名称</w:t>
            </w:r>
          </w:p>
        </w:tc>
        <w:tc>
          <w:tcPr>
            <w:tcW w:w="3428" w:type="dxa"/>
            <w:tcBorders>
              <w:top w:val="single" w:color="auto" w:sz="4" w:space="0"/>
              <w:left w:val="single" w:color="auto" w:sz="4" w:space="0"/>
              <w:bottom w:val="single" w:color="auto" w:sz="4" w:space="0"/>
              <w:right w:val="single" w:color="auto" w:sz="4" w:space="0"/>
            </w:tcBorders>
            <w:vAlign w:val="center"/>
          </w:tcPr>
          <w:p w14:paraId="66B81340">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单价</w:t>
            </w:r>
          </w:p>
        </w:tc>
        <w:tc>
          <w:tcPr>
            <w:tcW w:w="2368" w:type="dxa"/>
            <w:tcBorders>
              <w:top w:val="single" w:color="auto" w:sz="4" w:space="0"/>
              <w:left w:val="single" w:color="auto" w:sz="4" w:space="0"/>
              <w:bottom w:val="single" w:color="auto" w:sz="4" w:space="0"/>
              <w:right w:val="single" w:color="auto" w:sz="4" w:space="0"/>
            </w:tcBorders>
            <w:vAlign w:val="center"/>
          </w:tcPr>
          <w:p w14:paraId="3EC76700">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4862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147022D">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0C2B4468">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政法干警人身意外伤害保险</w:t>
            </w:r>
          </w:p>
        </w:tc>
        <w:tc>
          <w:tcPr>
            <w:tcW w:w="3428" w:type="dxa"/>
            <w:tcBorders>
              <w:top w:val="single" w:color="auto" w:sz="4" w:space="0"/>
              <w:left w:val="single" w:color="auto" w:sz="4" w:space="0"/>
              <w:bottom w:val="single" w:color="auto" w:sz="4" w:space="0"/>
              <w:right w:val="single" w:color="auto" w:sz="4" w:space="0"/>
            </w:tcBorders>
            <w:vAlign w:val="center"/>
          </w:tcPr>
          <w:p w14:paraId="72EBFBE8">
            <w:pPr>
              <w:spacing w:line="360" w:lineRule="auto"/>
              <w:ind w:firstLine="1200" w:firstLineChars="500"/>
              <w:rPr>
                <w:rFonts w:hint="eastAsia" w:ascii="宋体" w:hAnsi="宋体" w:cs="仿宋_GB2312"/>
                <w:color w:val="auto"/>
                <w:sz w:val="24"/>
                <w:highlight w:val="none"/>
              </w:rPr>
            </w:pPr>
            <w:r>
              <w:rPr>
                <w:rFonts w:hint="eastAsia" w:ascii="宋体" w:hAnsi="宋体" w:cs="仿宋_GB2312"/>
                <w:color w:val="auto"/>
                <w:sz w:val="24"/>
                <w:highlight w:val="none"/>
              </w:rPr>
              <w:t>100元/人</w:t>
            </w:r>
          </w:p>
        </w:tc>
        <w:tc>
          <w:tcPr>
            <w:tcW w:w="2368" w:type="dxa"/>
            <w:tcBorders>
              <w:top w:val="single" w:color="auto" w:sz="4" w:space="0"/>
              <w:left w:val="single" w:color="auto" w:sz="4" w:space="0"/>
              <w:bottom w:val="single" w:color="auto" w:sz="4" w:space="0"/>
              <w:right w:val="single" w:color="auto" w:sz="4" w:space="0"/>
            </w:tcBorders>
          </w:tcPr>
          <w:p w14:paraId="622BE0F9">
            <w:pPr>
              <w:spacing w:line="360" w:lineRule="auto"/>
              <w:rPr>
                <w:rFonts w:hint="eastAsia" w:ascii="宋体" w:hAnsi="宋体" w:cs="仿宋_GB2312"/>
                <w:color w:val="auto"/>
                <w:sz w:val="24"/>
                <w:highlight w:val="none"/>
              </w:rPr>
            </w:pPr>
          </w:p>
        </w:tc>
      </w:tr>
    </w:tbl>
    <w:p w14:paraId="0CAD1A3E">
      <w:pPr>
        <w:pStyle w:val="44"/>
        <w:ind w:firstLine="480"/>
        <w:rPr>
          <w:color w:val="auto"/>
          <w:highlight w:val="none"/>
        </w:rPr>
      </w:pPr>
    </w:p>
    <w:p w14:paraId="67D47AF0">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5D7D2ECA">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2678E0EA">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06592935">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14:paraId="258E9293">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6999CD58">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4C678ECC">
      <w:pPr>
        <w:snapToGrid w:val="0"/>
        <w:spacing w:before="50" w:after="50"/>
        <w:ind w:firstLine="643" w:firstLineChars="200"/>
        <w:jc w:val="left"/>
        <w:rPr>
          <w:rFonts w:hint="eastAsia" w:ascii="宋体" w:hAnsi="宋体"/>
          <w:b/>
          <w:color w:val="auto"/>
          <w:sz w:val="32"/>
          <w:szCs w:val="32"/>
          <w:highlight w:val="none"/>
        </w:rPr>
      </w:pPr>
      <w:r>
        <w:rPr>
          <w:rFonts w:hint="eastAsia" w:ascii="宋体" w:hAnsi="宋体"/>
          <w:b/>
          <w:color w:val="auto"/>
          <w:sz w:val="32"/>
          <w:szCs w:val="32"/>
          <w:highlight w:val="none"/>
        </w:rPr>
        <w:t>6.报价须按固定金额100元/人报价，否则其响应作无效标处理。</w:t>
      </w:r>
    </w:p>
    <w:p w14:paraId="3BDDFC2E">
      <w:pPr>
        <w:spacing w:line="360" w:lineRule="auto"/>
        <w:ind w:right="-817" w:rightChars="-389"/>
        <w:contextualSpacing/>
        <w:rPr>
          <w:rFonts w:hint="eastAsia" w:ascii="宋体" w:hAnsi="宋体" w:cs="仿宋_GB2312"/>
          <w:color w:val="auto"/>
          <w:sz w:val="24"/>
          <w:highlight w:val="none"/>
        </w:rPr>
      </w:pPr>
    </w:p>
    <w:p w14:paraId="4E2042E8">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6B3A216">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45DFDBB">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54DBE3AC">
      <w:pPr>
        <w:spacing w:line="360" w:lineRule="auto"/>
        <w:ind w:right="420"/>
        <w:contextualSpacing/>
        <w:jc w:val="left"/>
        <w:rPr>
          <w:rFonts w:hint="eastAsia"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12BA1754">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081D9CD4">
      <w:pPr>
        <w:snapToGrid w:val="0"/>
        <w:spacing w:before="156" w:beforeLines="50" w:after="50"/>
        <w:rPr>
          <w:rFonts w:hint="eastAsia" w:ascii="宋体" w:hAnsi="宋体"/>
          <w:bCs/>
          <w:color w:val="auto"/>
          <w:sz w:val="32"/>
          <w:szCs w:val="20"/>
          <w:highlight w:val="none"/>
        </w:rPr>
      </w:pPr>
    </w:p>
    <w:p w14:paraId="7316240A">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33718839">
      <w:pPr>
        <w:snapToGrid w:val="0"/>
        <w:spacing w:before="156" w:beforeLines="50" w:after="50"/>
        <w:rPr>
          <w:rFonts w:hint="eastAsia" w:ascii="宋体" w:hAnsi="宋体"/>
          <w:color w:val="auto"/>
          <w:sz w:val="24"/>
          <w:szCs w:val="20"/>
          <w:highlight w:val="none"/>
        </w:rPr>
      </w:pPr>
    </w:p>
    <w:p w14:paraId="2583BE76">
      <w:pPr>
        <w:snapToGrid w:val="0"/>
        <w:spacing w:before="156" w:beforeLines="50" w:after="50"/>
        <w:rPr>
          <w:rFonts w:hint="eastAsia" w:ascii="宋体" w:hAnsi="宋体"/>
          <w:color w:val="auto"/>
          <w:sz w:val="24"/>
          <w:szCs w:val="20"/>
          <w:highlight w:val="none"/>
        </w:rPr>
      </w:pPr>
    </w:p>
    <w:p w14:paraId="4A2E80D8">
      <w:pPr>
        <w:snapToGrid w:val="0"/>
        <w:spacing w:before="156" w:beforeLines="50" w:after="50"/>
        <w:jc w:val="center"/>
        <w:outlineLvl w:val="1"/>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511BF59">
      <w:pPr>
        <w:snapToGrid w:val="0"/>
        <w:spacing w:before="156" w:beforeLines="50" w:after="50"/>
        <w:rPr>
          <w:rFonts w:hint="eastAsia" w:ascii="宋体" w:hAnsi="宋体"/>
          <w:bCs/>
          <w:color w:val="auto"/>
          <w:sz w:val="24"/>
          <w:szCs w:val="20"/>
          <w:highlight w:val="none"/>
        </w:rPr>
      </w:pPr>
    </w:p>
    <w:p w14:paraId="44E6B437">
      <w:pPr>
        <w:snapToGrid w:val="0"/>
        <w:spacing w:before="156" w:beforeLines="50" w:after="50"/>
        <w:rPr>
          <w:rFonts w:hint="eastAsia" w:ascii="宋体" w:hAnsi="宋体"/>
          <w:bCs/>
          <w:color w:val="auto"/>
          <w:sz w:val="24"/>
          <w:szCs w:val="20"/>
          <w:highlight w:val="none"/>
        </w:rPr>
      </w:pPr>
    </w:p>
    <w:p w14:paraId="619C779F">
      <w:pPr>
        <w:snapToGrid w:val="0"/>
        <w:spacing w:before="156" w:beforeLines="50" w:after="50"/>
        <w:rPr>
          <w:rFonts w:hint="eastAsia" w:ascii="宋体" w:hAnsi="宋体"/>
          <w:bCs/>
          <w:color w:val="auto"/>
          <w:sz w:val="24"/>
          <w:szCs w:val="20"/>
          <w:highlight w:val="none"/>
        </w:rPr>
      </w:pPr>
    </w:p>
    <w:p w14:paraId="4AA60034">
      <w:pPr>
        <w:snapToGrid w:val="0"/>
        <w:spacing w:before="156" w:beforeLines="50" w:after="50"/>
        <w:rPr>
          <w:rFonts w:hint="eastAsia" w:ascii="宋体" w:hAnsi="宋体"/>
          <w:bCs/>
          <w:color w:val="auto"/>
          <w:sz w:val="24"/>
          <w:szCs w:val="20"/>
          <w:highlight w:val="none"/>
        </w:rPr>
      </w:pPr>
    </w:p>
    <w:p w14:paraId="5D62A4E1">
      <w:pPr>
        <w:snapToGrid w:val="0"/>
        <w:spacing w:before="156" w:beforeLines="50" w:after="50"/>
        <w:rPr>
          <w:rFonts w:hint="eastAsia" w:ascii="宋体" w:hAnsi="宋体"/>
          <w:bCs/>
          <w:color w:val="auto"/>
          <w:sz w:val="24"/>
          <w:szCs w:val="20"/>
          <w:highlight w:val="none"/>
        </w:rPr>
      </w:pPr>
    </w:p>
    <w:p w14:paraId="2C5C2B5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6F7C67A">
      <w:pPr>
        <w:snapToGrid w:val="0"/>
        <w:spacing w:before="156" w:beforeLines="50" w:after="50"/>
        <w:ind w:firstLine="720" w:firstLineChars="225"/>
        <w:rPr>
          <w:rFonts w:hint="eastAsia" w:ascii="宋体" w:hAnsi="宋体" w:cs="仿宋_GB2312"/>
          <w:bCs/>
          <w:color w:val="auto"/>
          <w:sz w:val="32"/>
          <w:szCs w:val="32"/>
          <w:highlight w:val="none"/>
        </w:rPr>
      </w:pPr>
    </w:p>
    <w:p w14:paraId="4A862BA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845B71B">
      <w:pPr>
        <w:snapToGrid w:val="0"/>
        <w:spacing w:before="156" w:beforeLines="50" w:after="50"/>
        <w:ind w:firstLine="720" w:firstLineChars="225"/>
        <w:rPr>
          <w:rFonts w:hint="eastAsia" w:ascii="宋体" w:hAnsi="宋体" w:cs="仿宋_GB2312"/>
          <w:bCs/>
          <w:color w:val="auto"/>
          <w:sz w:val="32"/>
          <w:szCs w:val="32"/>
          <w:highlight w:val="none"/>
        </w:rPr>
      </w:pPr>
    </w:p>
    <w:p w14:paraId="458E4FF0">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F9D8ED0">
      <w:pPr>
        <w:snapToGrid w:val="0"/>
        <w:spacing w:before="156" w:beforeLines="50" w:after="50"/>
        <w:ind w:firstLine="720" w:firstLineChars="225"/>
        <w:rPr>
          <w:rFonts w:hint="eastAsia" w:ascii="宋体" w:hAnsi="宋体" w:cs="仿宋_GB2312"/>
          <w:bCs/>
          <w:color w:val="auto"/>
          <w:sz w:val="32"/>
          <w:szCs w:val="32"/>
          <w:highlight w:val="none"/>
        </w:rPr>
      </w:pPr>
    </w:p>
    <w:p w14:paraId="5A7CBF97">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ECEF1C6">
      <w:pPr>
        <w:pStyle w:val="8"/>
        <w:snapToGrid w:val="0"/>
        <w:spacing w:before="50" w:after="50"/>
        <w:ind w:firstLine="640" w:firstLineChars="200"/>
        <w:rPr>
          <w:rFonts w:hint="eastAsia" w:ascii="宋体" w:hAnsi="宋体" w:cs="仿宋_GB2312"/>
          <w:bCs/>
          <w:color w:val="auto"/>
          <w:sz w:val="32"/>
          <w:szCs w:val="32"/>
          <w:highlight w:val="none"/>
        </w:rPr>
      </w:pPr>
    </w:p>
    <w:p w14:paraId="641E24AD">
      <w:pPr>
        <w:pStyle w:val="8"/>
        <w:snapToGrid w:val="0"/>
        <w:spacing w:before="50" w:after="50"/>
        <w:ind w:firstLine="720" w:firstLineChars="225"/>
        <w:rPr>
          <w:rFonts w:hint="eastAsia" w:ascii="宋体" w:hAnsi="宋体" w:cs="仿宋_GB2312"/>
          <w:bCs/>
          <w:color w:val="auto"/>
          <w:sz w:val="32"/>
          <w:szCs w:val="32"/>
          <w:highlight w:val="none"/>
        </w:rPr>
      </w:pPr>
    </w:p>
    <w:p w14:paraId="7371E27A">
      <w:pPr>
        <w:pStyle w:val="8"/>
        <w:snapToGrid w:val="0"/>
        <w:spacing w:before="50" w:after="50"/>
        <w:ind w:firstLine="0"/>
        <w:rPr>
          <w:rFonts w:hint="eastAsia" w:ascii="宋体" w:hAnsi="宋体" w:cs="仿宋_GB2312"/>
          <w:bCs/>
          <w:color w:val="auto"/>
          <w:sz w:val="32"/>
          <w:szCs w:val="32"/>
          <w:highlight w:val="none"/>
        </w:rPr>
      </w:pPr>
    </w:p>
    <w:p w14:paraId="730A5628">
      <w:pPr>
        <w:pStyle w:val="8"/>
        <w:snapToGrid w:val="0"/>
        <w:spacing w:before="50" w:after="50"/>
        <w:ind w:firstLine="1280" w:firstLineChars="400"/>
        <w:rPr>
          <w:rFonts w:hint="eastAsia" w:ascii="宋体" w:hAnsi="宋体" w:cs="仿宋_GB2312"/>
          <w:bCs/>
          <w:color w:val="auto"/>
          <w:sz w:val="32"/>
          <w:szCs w:val="32"/>
          <w:highlight w:val="none"/>
        </w:rPr>
      </w:pPr>
    </w:p>
    <w:p w14:paraId="6E9835D6">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05655F1">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6B2BDA7C">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C69C262">
      <w:pPr>
        <w:spacing w:line="400" w:lineRule="exact"/>
        <w:rPr>
          <w:rFonts w:hint="eastAsia" w:ascii="仿宋_GB2312" w:hAnsi="仿宋_GB2312" w:eastAsia="仿宋_GB2312" w:cs="仿宋_GB2312"/>
          <w:color w:val="auto"/>
          <w:sz w:val="32"/>
          <w:szCs w:val="32"/>
          <w:highlight w:val="none"/>
        </w:rPr>
      </w:pPr>
    </w:p>
    <w:p w14:paraId="5052DC7A">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15E11AFA">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77D49673">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319CAB5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62671D1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8D3394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4A48DDF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687814A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1BD7F9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3DD5C3A3">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CBF2BF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5D0778B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02AE6B8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86007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70FF4C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A2DC39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8B46CA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2CB896B0">
      <w:pPr>
        <w:spacing w:line="360" w:lineRule="auto"/>
        <w:ind w:firstLine="480" w:firstLineChars="200"/>
        <w:contextualSpacing/>
        <w:rPr>
          <w:rFonts w:hint="eastAsia" w:ascii="宋体" w:hAnsi="宋体" w:cs="仿宋_GB2312"/>
          <w:color w:val="auto"/>
          <w:sz w:val="24"/>
          <w:highlight w:val="none"/>
        </w:rPr>
      </w:pPr>
    </w:p>
    <w:p w14:paraId="40799FE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4F72839">
      <w:pPr>
        <w:spacing w:line="360" w:lineRule="auto"/>
        <w:contextualSpacing/>
        <w:rPr>
          <w:rFonts w:hint="eastAsia" w:ascii="宋体" w:hAnsi="宋体" w:cs="仿宋_GB2312"/>
          <w:color w:val="auto"/>
          <w:sz w:val="24"/>
          <w:highlight w:val="none"/>
        </w:rPr>
      </w:pPr>
    </w:p>
    <w:p w14:paraId="68CECFFF">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610E59CD">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7E980A73">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29D5DD15">
      <w:pPr>
        <w:spacing w:line="360" w:lineRule="auto"/>
        <w:ind w:left="540"/>
        <w:contextualSpacing/>
        <w:rPr>
          <w:rFonts w:hint="eastAsia" w:ascii="仿宋_GB2312" w:hAnsi="仿宋_GB2312" w:eastAsia="仿宋_GB2312" w:cs="仿宋_GB2312"/>
          <w:color w:val="auto"/>
          <w:sz w:val="32"/>
          <w:szCs w:val="32"/>
          <w:highlight w:val="none"/>
        </w:rPr>
      </w:pPr>
    </w:p>
    <w:p w14:paraId="0C8F397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6D9D0F2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p>
    <w:p w14:paraId="3D5A50F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名：性     别：</w:t>
      </w:r>
    </w:p>
    <w:p w14:paraId="4CE0BD77">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龄：职     务：</w:t>
      </w:r>
    </w:p>
    <w:p w14:paraId="64D15EB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p>
    <w:p w14:paraId="4F2C50B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7220CD4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6F6FE5FF">
      <w:pPr>
        <w:spacing w:line="360" w:lineRule="auto"/>
        <w:ind w:left="540"/>
        <w:contextualSpacing/>
        <w:rPr>
          <w:rFonts w:hint="eastAsia" w:ascii="宋体" w:hAnsi="宋体" w:cs="仿宋_GB2312"/>
          <w:color w:val="auto"/>
          <w:sz w:val="24"/>
          <w:highlight w:val="none"/>
        </w:rPr>
      </w:pPr>
    </w:p>
    <w:p w14:paraId="32D7534F">
      <w:pPr>
        <w:spacing w:line="360" w:lineRule="auto"/>
        <w:ind w:left="540"/>
        <w:contextualSpacing/>
        <w:rPr>
          <w:rFonts w:hint="eastAsia" w:ascii="宋体" w:hAnsi="宋体" w:cs="仿宋_GB2312"/>
          <w:color w:val="auto"/>
          <w:sz w:val="24"/>
          <w:highlight w:val="none"/>
        </w:rPr>
      </w:pPr>
    </w:p>
    <w:p w14:paraId="09A3D84B">
      <w:pPr>
        <w:spacing w:line="360" w:lineRule="auto"/>
        <w:ind w:left="540"/>
        <w:contextualSpacing/>
        <w:rPr>
          <w:rFonts w:hint="eastAsia" w:ascii="宋体" w:hAnsi="宋体" w:cs="仿宋_GB2312"/>
          <w:color w:val="auto"/>
          <w:sz w:val="24"/>
          <w:highlight w:val="none"/>
        </w:rPr>
      </w:pPr>
    </w:p>
    <w:p w14:paraId="6DAD598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2E4FCD22">
      <w:pPr>
        <w:spacing w:line="360" w:lineRule="auto"/>
        <w:ind w:left="540"/>
        <w:contextualSpacing/>
        <w:rPr>
          <w:rFonts w:hint="eastAsia" w:ascii="宋体" w:hAnsi="宋体" w:cs="仿宋_GB2312"/>
          <w:color w:val="auto"/>
          <w:sz w:val="24"/>
          <w:highlight w:val="none"/>
        </w:rPr>
      </w:pPr>
    </w:p>
    <w:p w14:paraId="467D6366">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535B15EC">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年月日</w:t>
      </w:r>
    </w:p>
    <w:p w14:paraId="6864DEB7">
      <w:pPr>
        <w:spacing w:line="360" w:lineRule="auto"/>
        <w:contextualSpacing/>
        <w:jc w:val="center"/>
        <w:rPr>
          <w:rFonts w:hint="eastAsia" w:ascii="宋体" w:hAnsi="宋体" w:cs="仿宋_GB2312"/>
          <w:b/>
          <w:color w:val="auto"/>
          <w:sz w:val="24"/>
          <w:highlight w:val="none"/>
        </w:rPr>
      </w:pPr>
    </w:p>
    <w:p w14:paraId="00C10679">
      <w:pPr>
        <w:spacing w:line="360" w:lineRule="auto"/>
        <w:contextualSpacing/>
        <w:jc w:val="left"/>
        <w:rPr>
          <w:rFonts w:hint="eastAsia" w:ascii="宋体" w:hAnsi="宋体" w:cs="仿宋_GB2312"/>
          <w:color w:val="auto"/>
          <w:sz w:val="24"/>
          <w:highlight w:val="none"/>
        </w:rPr>
      </w:pPr>
    </w:p>
    <w:p w14:paraId="08220A54">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1CF2FF1A">
      <w:pPr>
        <w:adjustRightInd w:val="0"/>
        <w:snapToGrid w:val="0"/>
        <w:spacing w:line="300" w:lineRule="auto"/>
        <w:jc w:val="left"/>
        <w:rPr>
          <w:rFonts w:hint="eastAsia" w:ascii="宋体" w:hAnsi="宋体"/>
          <w:b/>
          <w:color w:val="auto"/>
          <w:szCs w:val="21"/>
          <w:highlight w:val="none"/>
        </w:rPr>
      </w:pPr>
    </w:p>
    <w:p w14:paraId="31314B78">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4B291392">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94" w:name="_Hlk65853643"/>
      <w:r>
        <w:rPr>
          <w:rFonts w:hint="eastAsia" w:ascii="方正小标宋简体" w:hAnsi="方正小标宋简体" w:eastAsia="方正小标宋简体" w:cs="方正小标宋简体"/>
          <w:color w:val="auto"/>
          <w:sz w:val="44"/>
          <w:szCs w:val="44"/>
          <w:highlight w:val="none"/>
        </w:rPr>
        <w:t>授权委托书</w:t>
      </w:r>
    </w:p>
    <w:p w14:paraId="01E0A97D">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22D2C953">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0B822F61">
      <w:pPr>
        <w:spacing w:line="520" w:lineRule="exact"/>
        <w:rPr>
          <w:rFonts w:hint="eastAsia" w:ascii="仿宋_GB2312" w:hAnsi="仿宋_GB2312" w:eastAsia="仿宋_GB2312" w:cs="仿宋_GB2312"/>
          <w:color w:val="auto"/>
          <w:sz w:val="32"/>
          <w:szCs w:val="32"/>
          <w:highlight w:val="none"/>
        </w:rPr>
      </w:pPr>
    </w:p>
    <w:p w14:paraId="1C60458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345802B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2F6DFD6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9A0269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FF599E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C1E9A2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D0C6C44">
      <w:pPr>
        <w:spacing w:line="360" w:lineRule="auto"/>
        <w:rPr>
          <w:rFonts w:hint="eastAsia" w:ascii="宋体" w:hAnsi="宋体" w:cs="仿宋_GB2312"/>
          <w:color w:val="auto"/>
          <w:sz w:val="24"/>
          <w:highlight w:val="none"/>
        </w:rPr>
      </w:pPr>
    </w:p>
    <w:p w14:paraId="30A2129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54B10DC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76AE8C8">
      <w:pPr>
        <w:spacing w:line="360" w:lineRule="auto"/>
        <w:contextualSpacing/>
        <w:rPr>
          <w:rFonts w:hint="eastAsia" w:ascii="宋体" w:hAnsi="宋体" w:cs="仿宋_GB2312"/>
          <w:color w:val="auto"/>
          <w:sz w:val="24"/>
          <w:highlight w:val="none"/>
        </w:rPr>
      </w:pPr>
    </w:p>
    <w:p w14:paraId="4B7117C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CAAD07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500C3986">
      <w:pPr>
        <w:spacing w:line="360" w:lineRule="auto"/>
        <w:rPr>
          <w:rFonts w:hint="eastAsia" w:ascii="宋体" w:hAnsi="宋体" w:cs="仿宋_GB2312"/>
          <w:color w:val="auto"/>
          <w:sz w:val="24"/>
          <w:highlight w:val="none"/>
        </w:rPr>
      </w:pPr>
    </w:p>
    <w:p w14:paraId="0007B0C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4215C019">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95" w:name="_Hlk65853109"/>
      <w:bookmarkStart w:id="96" w:name="_Hlk65853542"/>
      <w:r>
        <w:rPr>
          <w:rFonts w:hint="eastAsia" w:ascii="宋体" w:hAnsi="宋体" w:cs="仿宋_GB2312"/>
          <w:color w:val="auto"/>
          <w:sz w:val="24"/>
          <w:highlight w:val="none"/>
        </w:rPr>
        <w:t>法人、其他组织竞标时“我方”是指“我单位”，自然人竞标时“我方”是指“本人”。</w:t>
      </w:r>
      <w:bookmarkEnd w:id="95"/>
    </w:p>
    <w:bookmarkEnd w:id="96"/>
    <w:p w14:paraId="577757F3">
      <w:pPr>
        <w:spacing w:line="360" w:lineRule="auto"/>
        <w:ind w:firstLine="420" w:firstLineChars="200"/>
        <w:jc w:val="left"/>
        <w:rPr>
          <w:rFonts w:hint="eastAsia" w:ascii="仿宋_GB2312" w:hAnsi="仿宋_GB2312" w:eastAsia="仿宋_GB2312" w:cs="仿宋_GB2312"/>
          <w:color w:val="auto"/>
          <w:szCs w:val="21"/>
          <w:highlight w:val="none"/>
        </w:rPr>
      </w:pPr>
    </w:p>
    <w:p w14:paraId="1875D6BA">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7BBB620D">
      <w:pPr>
        <w:spacing w:line="50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5EAD8DAC">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320F08D">
      <w:pPr>
        <w:spacing w:line="500" w:lineRule="exact"/>
        <w:jc w:val="center"/>
        <w:rPr>
          <w:rFonts w:hint="eastAsia" w:ascii="方正小标宋简体" w:hAnsi="方正小标宋简体" w:eastAsia="方正小标宋简体" w:cs="方正小标宋简体"/>
          <w:color w:val="auto"/>
          <w:sz w:val="44"/>
          <w:szCs w:val="44"/>
          <w:highlight w:val="none"/>
        </w:rPr>
      </w:pPr>
    </w:p>
    <w:p w14:paraId="61B92EBB">
      <w:pPr>
        <w:spacing w:line="500" w:lineRule="exact"/>
        <w:jc w:val="center"/>
        <w:rPr>
          <w:rFonts w:hint="eastAsia" w:ascii="仿宋_GB2312" w:hAnsi="仿宋_GB2312" w:eastAsia="仿宋_GB2312" w:cs="仿宋_GB2312"/>
          <w:color w:val="auto"/>
          <w:sz w:val="32"/>
          <w:szCs w:val="32"/>
          <w:highlight w:val="none"/>
        </w:rPr>
      </w:pPr>
    </w:p>
    <w:p w14:paraId="1842B026">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516C711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483AECD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79D1FD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1DB613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14:paraId="582E046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786ABEF3">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322C6C96">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D4E7727">
      <w:pPr>
        <w:spacing w:line="360" w:lineRule="auto"/>
        <w:contextualSpacing/>
        <w:rPr>
          <w:rFonts w:hint="eastAsia" w:ascii="宋体" w:hAnsi="宋体" w:cs="仿宋_GB2312"/>
          <w:color w:val="auto"/>
          <w:sz w:val="24"/>
          <w:highlight w:val="none"/>
        </w:rPr>
      </w:pPr>
    </w:p>
    <w:p w14:paraId="763E0A00">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4512A580">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763F0F2">
      <w:pPr>
        <w:spacing w:line="360" w:lineRule="auto"/>
        <w:contextualSpacing/>
        <w:rPr>
          <w:rFonts w:hint="eastAsia" w:ascii="宋体" w:hAnsi="宋体" w:cs="仿宋_GB2312"/>
          <w:color w:val="auto"/>
          <w:sz w:val="24"/>
          <w:highlight w:val="none"/>
        </w:rPr>
      </w:pPr>
    </w:p>
    <w:p w14:paraId="501F5EC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5E833994">
      <w:pPr>
        <w:spacing w:line="360" w:lineRule="auto"/>
        <w:ind w:firstLine="480" w:firstLineChars="200"/>
        <w:jc w:val="left"/>
        <w:rPr>
          <w:rFonts w:hint="eastAsia"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94"/>
    <w:p w14:paraId="6B44BB54">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14:paraId="46D37A2E">
      <w:pPr>
        <w:spacing w:line="360" w:lineRule="auto"/>
        <w:contextualSpacing/>
        <w:jc w:val="left"/>
        <w:rPr>
          <w:rFonts w:hint="eastAsia" w:ascii="宋体" w:hAnsi="宋体"/>
          <w:color w:val="auto"/>
          <w:sz w:val="24"/>
          <w:highlight w:val="none"/>
        </w:rPr>
      </w:pPr>
    </w:p>
    <w:p w14:paraId="3A030982">
      <w:pPr>
        <w:pStyle w:val="22"/>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p>
    <w:p w14:paraId="21908F0E">
      <w:pPr>
        <w:spacing w:line="360" w:lineRule="auto"/>
        <w:contextualSpacing/>
        <w:jc w:val="left"/>
        <w:rPr>
          <w:rFonts w:hint="eastAsia" w:ascii="宋体" w:hAnsi="宋体" w:cs="仿宋_GB2312"/>
          <w:color w:val="auto"/>
          <w:sz w:val="24"/>
          <w:highlight w:val="none"/>
          <w:u w:val="single"/>
        </w:rPr>
      </w:pPr>
    </w:p>
    <w:tbl>
      <w:tblPr>
        <w:tblStyle w:val="34"/>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734A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1CCC2DC">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675C434B">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598E782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49A3425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01CC8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5A0A8D33">
            <w:pPr>
              <w:jc w:val="center"/>
              <w:rPr>
                <w:rFonts w:hint="eastAsia"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61D7C41A">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2D8B0CD6">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A783D17">
            <w:pPr>
              <w:spacing w:line="360" w:lineRule="auto"/>
              <w:contextualSpacing/>
              <w:jc w:val="center"/>
              <w:rPr>
                <w:rFonts w:hint="eastAsia" w:ascii="宋体" w:hAnsi="宋体" w:cs="仿宋_GB2312"/>
                <w:color w:val="auto"/>
                <w:sz w:val="24"/>
                <w:highlight w:val="none"/>
              </w:rPr>
            </w:pPr>
          </w:p>
        </w:tc>
      </w:tr>
      <w:tr w14:paraId="0741B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1DC6D92C">
            <w:pPr>
              <w:jc w:val="center"/>
              <w:rPr>
                <w:rFonts w:hint="eastAsia"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70862D1F">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67E01AF">
            <w:pPr>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B13877F">
            <w:pPr>
              <w:spacing w:line="360" w:lineRule="auto"/>
              <w:ind w:left="43"/>
              <w:contextualSpacing/>
              <w:jc w:val="center"/>
              <w:rPr>
                <w:rFonts w:hint="eastAsia" w:ascii="宋体" w:hAnsi="宋体" w:cs="仿宋_GB2312"/>
                <w:color w:val="auto"/>
                <w:sz w:val="24"/>
                <w:highlight w:val="none"/>
              </w:rPr>
            </w:pPr>
          </w:p>
        </w:tc>
      </w:tr>
      <w:tr w14:paraId="00185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FE3786C">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548FBC1F">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2930D8E4">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1FD5E52">
            <w:pPr>
              <w:spacing w:line="360" w:lineRule="auto"/>
              <w:contextualSpacing/>
              <w:jc w:val="center"/>
              <w:rPr>
                <w:rFonts w:hint="eastAsia" w:ascii="宋体" w:hAnsi="宋体" w:cs="仿宋_GB2312"/>
                <w:color w:val="auto"/>
                <w:sz w:val="24"/>
                <w:highlight w:val="none"/>
              </w:rPr>
            </w:pPr>
          </w:p>
        </w:tc>
      </w:tr>
    </w:tbl>
    <w:p w14:paraId="4015286B">
      <w:pPr>
        <w:pStyle w:val="16"/>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06BC60D3">
      <w:pPr>
        <w:pStyle w:val="16"/>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03DB3880">
      <w:pPr>
        <w:spacing w:line="360"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0C1342AC">
      <w:pPr>
        <w:spacing w:line="360" w:lineRule="auto"/>
        <w:ind w:right="-817" w:rightChars="-389"/>
        <w:contextualSpacing/>
        <w:rPr>
          <w:rFonts w:hint="eastAsia" w:ascii="宋体" w:hAnsi="宋体" w:cs="仿宋_GB2312"/>
          <w:color w:val="auto"/>
          <w:sz w:val="24"/>
          <w:highlight w:val="none"/>
        </w:rPr>
      </w:pPr>
    </w:p>
    <w:p w14:paraId="59F16E7D">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E289F7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77B0502">
      <w:pPr>
        <w:spacing w:line="360" w:lineRule="auto"/>
        <w:ind w:right="-817" w:rightChars="-389" w:firstLine="4080" w:firstLineChars="17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657BD09A">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59FE8A99">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1517E394">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50826FFE">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370F4B33">
      <w:pPr>
        <w:adjustRightInd w:val="0"/>
        <w:snapToGrid w:val="0"/>
        <w:spacing w:line="520" w:lineRule="exact"/>
        <w:rPr>
          <w:rFonts w:hint="eastAsia" w:ascii="宋体" w:hAnsi="宋体"/>
          <w:color w:val="auto"/>
          <w:szCs w:val="21"/>
          <w:highlight w:val="none"/>
          <w:u w:val="single"/>
        </w:rPr>
      </w:pPr>
    </w:p>
    <w:p w14:paraId="60C4BAE4">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7642B516">
      <w:pPr>
        <w:spacing w:line="520" w:lineRule="exact"/>
        <w:rPr>
          <w:rFonts w:hint="eastAsia" w:ascii="仿宋_GB2312" w:hAnsi="仿宋_GB2312" w:eastAsia="仿宋_GB2312" w:cs="仿宋_GB2312"/>
          <w:color w:val="auto"/>
          <w:sz w:val="32"/>
          <w:szCs w:val="32"/>
          <w:highlight w:val="none"/>
        </w:rPr>
      </w:pPr>
    </w:p>
    <w:p w14:paraId="7829FB49">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p>
    <w:p w14:paraId="7D9A07B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p>
    <w:p w14:paraId="1927F757">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p>
    <w:tbl>
      <w:tblPr>
        <w:tblStyle w:val="34"/>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24C1D1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D488D10">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97" w:name="_Toc383699906"/>
            <w:bookmarkStart w:id="98" w:name="_Toc301781611"/>
            <w:bookmarkStart w:id="99" w:name="_Toc173211900"/>
            <w:bookmarkStart w:id="100" w:name="_Toc373333689"/>
            <w:bookmarkStart w:id="101" w:name="_Toc254970729"/>
            <w:bookmarkStart w:id="102" w:name="_Toc173066401"/>
            <w:bookmarkStart w:id="103" w:name="_Toc254970588"/>
            <w:bookmarkStart w:id="104" w:name="_Toc297193185"/>
            <w:bookmarkStart w:id="105" w:name="_Toc295404981"/>
            <w:r>
              <w:rPr>
                <w:rFonts w:hint="eastAsia" w:ascii="宋体" w:hAnsi="宋体" w:eastAsia="宋体" w:cs="仿宋_GB2312"/>
                <w:color w:val="auto"/>
                <w:kern w:val="2"/>
                <w:sz w:val="24"/>
                <w:szCs w:val="24"/>
                <w:highlight w:val="none"/>
              </w:rPr>
              <w:t>序号</w:t>
            </w:r>
            <w:bookmarkEnd w:id="97"/>
            <w:bookmarkEnd w:id="98"/>
            <w:bookmarkEnd w:id="99"/>
            <w:bookmarkEnd w:id="100"/>
            <w:bookmarkEnd w:id="101"/>
            <w:bookmarkEnd w:id="102"/>
            <w:bookmarkEnd w:id="103"/>
            <w:bookmarkEnd w:id="104"/>
            <w:bookmarkEnd w:id="105"/>
          </w:p>
        </w:tc>
        <w:tc>
          <w:tcPr>
            <w:tcW w:w="915" w:type="dxa"/>
            <w:tcBorders>
              <w:right w:val="single" w:color="auto" w:sz="4" w:space="0"/>
            </w:tcBorders>
            <w:vAlign w:val="center"/>
          </w:tcPr>
          <w:p w14:paraId="53586B17">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038" w:type="dxa"/>
            <w:tcBorders>
              <w:left w:val="single" w:color="auto" w:sz="4" w:space="0"/>
            </w:tcBorders>
            <w:vAlign w:val="center"/>
          </w:tcPr>
          <w:p w14:paraId="021127C0">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734" w:type="dxa"/>
            <w:vAlign w:val="center"/>
          </w:tcPr>
          <w:p w14:paraId="672EB4C8">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06" w:name="_Toc254970731"/>
            <w:bookmarkStart w:id="107" w:name="_Toc301781613"/>
            <w:bookmarkStart w:id="108" w:name="_Toc254970590"/>
            <w:bookmarkStart w:id="109" w:name="_Toc173211902"/>
            <w:bookmarkStart w:id="110" w:name="_Toc373333691"/>
            <w:bookmarkStart w:id="111" w:name="_Toc173066403"/>
            <w:bookmarkStart w:id="112" w:name="_Toc295404983"/>
            <w:bookmarkStart w:id="113" w:name="_Toc297193187"/>
            <w:bookmarkStart w:id="114" w:name="_Toc383699908"/>
            <w:r>
              <w:rPr>
                <w:rFonts w:hint="eastAsia" w:ascii="宋体" w:hAnsi="宋体" w:eastAsia="宋体" w:cs="仿宋_GB2312"/>
                <w:color w:val="auto"/>
                <w:kern w:val="2"/>
                <w:sz w:val="24"/>
                <w:szCs w:val="24"/>
                <w:highlight w:val="none"/>
              </w:rPr>
              <w:t>竞标响应</w:t>
            </w:r>
            <w:bookmarkEnd w:id="106"/>
            <w:bookmarkEnd w:id="107"/>
            <w:bookmarkEnd w:id="108"/>
            <w:bookmarkEnd w:id="109"/>
            <w:bookmarkEnd w:id="110"/>
            <w:bookmarkEnd w:id="111"/>
            <w:bookmarkEnd w:id="112"/>
            <w:bookmarkEnd w:id="113"/>
            <w:bookmarkEnd w:id="114"/>
          </w:p>
        </w:tc>
        <w:tc>
          <w:tcPr>
            <w:tcW w:w="1492" w:type="dxa"/>
            <w:vAlign w:val="center"/>
          </w:tcPr>
          <w:p w14:paraId="05DA5A2B">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15" w:name="_Toc383699909"/>
            <w:bookmarkStart w:id="116" w:name="_Toc295404984"/>
            <w:bookmarkStart w:id="117" w:name="_Toc254970732"/>
            <w:bookmarkStart w:id="118" w:name="_Toc297193188"/>
            <w:bookmarkStart w:id="119" w:name="_Toc373333692"/>
            <w:bookmarkStart w:id="120" w:name="_Toc173211903"/>
            <w:bookmarkStart w:id="121" w:name="_Toc254970591"/>
            <w:bookmarkStart w:id="122" w:name="_Toc173066404"/>
            <w:bookmarkStart w:id="123" w:name="_Toc301781614"/>
            <w:r>
              <w:rPr>
                <w:rFonts w:hint="eastAsia" w:ascii="宋体" w:hAnsi="宋体" w:eastAsia="宋体" w:cs="仿宋_GB2312"/>
                <w:color w:val="auto"/>
                <w:kern w:val="2"/>
                <w:sz w:val="24"/>
                <w:szCs w:val="24"/>
                <w:highlight w:val="none"/>
              </w:rPr>
              <w:t>偏离</w:t>
            </w:r>
            <w:bookmarkEnd w:id="115"/>
            <w:bookmarkEnd w:id="116"/>
            <w:bookmarkEnd w:id="117"/>
            <w:bookmarkEnd w:id="118"/>
            <w:bookmarkEnd w:id="119"/>
            <w:bookmarkEnd w:id="120"/>
            <w:bookmarkEnd w:id="121"/>
            <w:bookmarkEnd w:id="122"/>
            <w:bookmarkEnd w:id="123"/>
            <w:bookmarkStart w:id="124" w:name="_Toc373333693"/>
            <w:bookmarkStart w:id="125" w:name="_Toc254970592"/>
            <w:bookmarkStart w:id="126" w:name="_Toc383699910"/>
            <w:bookmarkStart w:id="127" w:name="_Toc297193189"/>
            <w:bookmarkStart w:id="128" w:name="_Toc254970733"/>
            <w:bookmarkStart w:id="129" w:name="_Toc173211904"/>
            <w:bookmarkStart w:id="130" w:name="_Toc295404985"/>
            <w:bookmarkStart w:id="131" w:name="_Toc301781615"/>
            <w:bookmarkStart w:id="132" w:name="_Toc173066405"/>
            <w:r>
              <w:rPr>
                <w:rFonts w:hint="eastAsia" w:ascii="宋体" w:hAnsi="宋体" w:eastAsia="宋体" w:cs="仿宋_GB2312"/>
                <w:color w:val="auto"/>
                <w:kern w:val="2"/>
                <w:sz w:val="24"/>
                <w:szCs w:val="24"/>
                <w:highlight w:val="none"/>
              </w:rPr>
              <w:t>说明</w:t>
            </w:r>
            <w:bookmarkEnd w:id="124"/>
            <w:bookmarkEnd w:id="125"/>
            <w:bookmarkEnd w:id="126"/>
            <w:bookmarkEnd w:id="127"/>
            <w:bookmarkEnd w:id="128"/>
            <w:bookmarkEnd w:id="129"/>
            <w:bookmarkEnd w:id="130"/>
            <w:bookmarkEnd w:id="131"/>
            <w:bookmarkEnd w:id="132"/>
          </w:p>
        </w:tc>
      </w:tr>
      <w:tr w14:paraId="6D32A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A8575D8">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33" w:name="_Toc173066406"/>
            <w:bookmarkStart w:id="134" w:name="_Toc373333694"/>
            <w:bookmarkStart w:id="135" w:name="_Toc301781616"/>
            <w:bookmarkStart w:id="136" w:name="_Toc173211905"/>
            <w:bookmarkStart w:id="137" w:name="_Toc297193190"/>
            <w:bookmarkStart w:id="138" w:name="_Toc254970734"/>
            <w:bookmarkStart w:id="139" w:name="_Toc295404986"/>
            <w:bookmarkStart w:id="140" w:name="_Toc254970593"/>
            <w:bookmarkStart w:id="141" w:name="_Toc383699911"/>
            <w:r>
              <w:rPr>
                <w:rFonts w:hint="eastAsia" w:ascii="宋体" w:hAnsi="宋体" w:eastAsia="宋体" w:cs="仿宋_GB2312"/>
                <w:color w:val="auto"/>
                <w:kern w:val="2"/>
                <w:sz w:val="24"/>
                <w:szCs w:val="24"/>
                <w:highlight w:val="none"/>
              </w:rPr>
              <w:t>1</w:t>
            </w:r>
            <w:bookmarkEnd w:id="133"/>
            <w:bookmarkEnd w:id="134"/>
            <w:bookmarkEnd w:id="135"/>
            <w:bookmarkEnd w:id="136"/>
            <w:bookmarkEnd w:id="137"/>
            <w:bookmarkEnd w:id="138"/>
            <w:bookmarkEnd w:id="139"/>
            <w:bookmarkEnd w:id="140"/>
            <w:bookmarkEnd w:id="141"/>
          </w:p>
        </w:tc>
        <w:tc>
          <w:tcPr>
            <w:tcW w:w="915" w:type="dxa"/>
            <w:tcBorders>
              <w:right w:val="single" w:color="auto" w:sz="4" w:space="0"/>
            </w:tcBorders>
            <w:vAlign w:val="center"/>
          </w:tcPr>
          <w:p w14:paraId="2D06A108">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725C8745">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62BE5A53">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vAlign w:val="center"/>
          </w:tcPr>
          <w:p w14:paraId="3B9C1086">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4776DB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C374358">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42" w:name="_Toc173066407"/>
            <w:bookmarkStart w:id="143" w:name="_Toc295404987"/>
            <w:bookmarkStart w:id="144" w:name="_Toc373333695"/>
            <w:bookmarkStart w:id="145" w:name="_Toc297193191"/>
            <w:bookmarkStart w:id="146" w:name="_Toc383699912"/>
            <w:bookmarkStart w:id="147" w:name="_Toc173211906"/>
            <w:bookmarkStart w:id="148" w:name="_Toc254970594"/>
            <w:bookmarkStart w:id="149" w:name="_Toc254970735"/>
            <w:bookmarkStart w:id="150" w:name="_Toc301781617"/>
            <w:r>
              <w:rPr>
                <w:rFonts w:hint="eastAsia" w:ascii="宋体" w:hAnsi="宋体" w:eastAsia="宋体" w:cs="仿宋_GB2312"/>
                <w:color w:val="auto"/>
                <w:kern w:val="2"/>
                <w:sz w:val="24"/>
                <w:szCs w:val="24"/>
                <w:highlight w:val="none"/>
              </w:rPr>
              <w:t>2</w:t>
            </w:r>
            <w:bookmarkEnd w:id="142"/>
            <w:bookmarkEnd w:id="143"/>
            <w:bookmarkEnd w:id="144"/>
            <w:bookmarkEnd w:id="145"/>
            <w:bookmarkEnd w:id="146"/>
            <w:bookmarkEnd w:id="147"/>
            <w:bookmarkEnd w:id="148"/>
            <w:bookmarkEnd w:id="149"/>
            <w:bookmarkEnd w:id="150"/>
          </w:p>
        </w:tc>
        <w:tc>
          <w:tcPr>
            <w:tcW w:w="915" w:type="dxa"/>
            <w:tcBorders>
              <w:right w:val="single" w:color="auto" w:sz="4" w:space="0"/>
            </w:tcBorders>
            <w:vAlign w:val="center"/>
          </w:tcPr>
          <w:p w14:paraId="7F1F6F31">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73F99E0A">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4A30CD8F">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vAlign w:val="center"/>
          </w:tcPr>
          <w:p w14:paraId="4D4ABE64">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1F9AB6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5C3D0FA">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51" w:name="_Toc373333696"/>
            <w:bookmarkStart w:id="152" w:name="_Toc254970595"/>
            <w:bookmarkStart w:id="153" w:name="_Toc295404988"/>
            <w:bookmarkStart w:id="154" w:name="_Toc254970736"/>
            <w:bookmarkStart w:id="155" w:name="_Toc301781618"/>
            <w:bookmarkStart w:id="156" w:name="_Toc383699913"/>
            <w:bookmarkStart w:id="157" w:name="_Toc173211907"/>
            <w:bookmarkStart w:id="158" w:name="_Toc297193192"/>
            <w:bookmarkStart w:id="159" w:name="_Toc173066408"/>
            <w:r>
              <w:rPr>
                <w:rFonts w:hint="eastAsia" w:ascii="宋体" w:hAnsi="宋体" w:eastAsia="宋体" w:cs="仿宋_GB2312"/>
                <w:color w:val="auto"/>
                <w:kern w:val="2"/>
                <w:sz w:val="24"/>
                <w:szCs w:val="24"/>
                <w:highlight w:val="none"/>
              </w:rPr>
              <w:t>3</w:t>
            </w:r>
            <w:bookmarkEnd w:id="151"/>
            <w:bookmarkEnd w:id="152"/>
            <w:bookmarkEnd w:id="153"/>
            <w:bookmarkEnd w:id="154"/>
            <w:bookmarkEnd w:id="155"/>
            <w:bookmarkEnd w:id="156"/>
            <w:bookmarkEnd w:id="157"/>
            <w:bookmarkEnd w:id="158"/>
            <w:bookmarkEnd w:id="159"/>
          </w:p>
        </w:tc>
        <w:tc>
          <w:tcPr>
            <w:tcW w:w="915" w:type="dxa"/>
            <w:tcBorders>
              <w:right w:val="single" w:color="auto" w:sz="4" w:space="0"/>
            </w:tcBorders>
            <w:vAlign w:val="center"/>
          </w:tcPr>
          <w:p w14:paraId="3434C90F">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68120DCD">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17A86B02">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vAlign w:val="center"/>
          </w:tcPr>
          <w:p w14:paraId="331DF708">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6EBD56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D55B9F0">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60" w:name="_Toc254970737"/>
            <w:bookmarkStart w:id="161" w:name="_Toc295404989"/>
            <w:bookmarkStart w:id="162" w:name="_Toc173211908"/>
            <w:bookmarkStart w:id="163" w:name="_Toc297193193"/>
            <w:bookmarkStart w:id="164" w:name="_Toc373333697"/>
            <w:bookmarkStart w:id="165" w:name="_Toc301781619"/>
            <w:bookmarkStart w:id="166" w:name="_Toc173066409"/>
            <w:bookmarkStart w:id="167" w:name="_Toc254970596"/>
            <w:bookmarkStart w:id="168" w:name="_Toc383699914"/>
            <w:r>
              <w:rPr>
                <w:rFonts w:hint="eastAsia" w:ascii="宋体" w:hAnsi="宋体" w:eastAsia="宋体" w:cs="仿宋_GB2312"/>
                <w:color w:val="auto"/>
                <w:kern w:val="2"/>
                <w:sz w:val="24"/>
                <w:szCs w:val="24"/>
                <w:highlight w:val="none"/>
              </w:rPr>
              <w:t>4</w:t>
            </w:r>
            <w:bookmarkEnd w:id="160"/>
            <w:bookmarkEnd w:id="161"/>
            <w:bookmarkEnd w:id="162"/>
            <w:bookmarkEnd w:id="163"/>
            <w:bookmarkEnd w:id="164"/>
            <w:bookmarkEnd w:id="165"/>
            <w:bookmarkEnd w:id="166"/>
            <w:bookmarkEnd w:id="167"/>
            <w:bookmarkEnd w:id="168"/>
          </w:p>
        </w:tc>
        <w:tc>
          <w:tcPr>
            <w:tcW w:w="915" w:type="dxa"/>
            <w:tcBorders>
              <w:right w:val="single" w:color="auto" w:sz="4" w:space="0"/>
            </w:tcBorders>
            <w:vAlign w:val="center"/>
          </w:tcPr>
          <w:p w14:paraId="2CCAD819">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7CD0FB7D">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784CE464">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vAlign w:val="center"/>
          </w:tcPr>
          <w:p w14:paraId="38E2C571">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3BE70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0A457B4">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69" w:name="_Toc173066410"/>
            <w:bookmarkStart w:id="170" w:name="_Toc297193194"/>
            <w:bookmarkStart w:id="171" w:name="_Toc254970597"/>
            <w:bookmarkStart w:id="172" w:name="_Toc301781620"/>
            <w:bookmarkStart w:id="173" w:name="_Toc383699915"/>
            <w:bookmarkStart w:id="174" w:name="_Toc373333698"/>
            <w:bookmarkStart w:id="175" w:name="_Toc295404990"/>
            <w:bookmarkStart w:id="176" w:name="_Toc254970738"/>
            <w:bookmarkStart w:id="177" w:name="_Toc173211909"/>
            <w:r>
              <w:rPr>
                <w:rFonts w:hint="eastAsia" w:ascii="宋体" w:hAnsi="宋体" w:eastAsia="宋体" w:cs="仿宋_GB2312"/>
                <w:color w:val="auto"/>
                <w:kern w:val="2"/>
                <w:sz w:val="24"/>
                <w:szCs w:val="24"/>
                <w:highlight w:val="none"/>
              </w:rPr>
              <w:t>5</w:t>
            </w:r>
            <w:bookmarkEnd w:id="169"/>
            <w:bookmarkEnd w:id="170"/>
            <w:bookmarkEnd w:id="171"/>
            <w:bookmarkEnd w:id="172"/>
            <w:bookmarkEnd w:id="173"/>
            <w:bookmarkEnd w:id="174"/>
            <w:bookmarkEnd w:id="175"/>
            <w:bookmarkEnd w:id="176"/>
            <w:bookmarkEnd w:id="177"/>
          </w:p>
        </w:tc>
        <w:tc>
          <w:tcPr>
            <w:tcW w:w="915" w:type="dxa"/>
            <w:tcBorders>
              <w:right w:val="single" w:color="auto" w:sz="4" w:space="0"/>
            </w:tcBorders>
            <w:vAlign w:val="center"/>
          </w:tcPr>
          <w:p w14:paraId="6BC59A49">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16BCD324">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64FCBFDA">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vAlign w:val="center"/>
          </w:tcPr>
          <w:p w14:paraId="4F58FBBD">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5E70A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5BFF2A2F">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78" w:name="_Toc173066415"/>
            <w:bookmarkStart w:id="179" w:name="_Toc297193195"/>
            <w:bookmarkStart w:id="180" w:name="_Toc383699916"/>
            <w:bookmarkStart w:id="181" w:name="_Toc254970743"/>
            <w:bookmarkStart w:id="182" w:name="_Toc373333699"/>
            <w:bookmarkStart w:id="183" w:name="_Toc254970602"/>
            <w:bookmarkStart w:id="184" w:name="_Toc301781621"/>
            <w:bookmarkStart w:id="185" w:name="_Toc173211914"/>
            <w:bookmarkStart w:id="186" w:name="_Toc295404991"/>
            <w:r>
              <w:rPr>
                <w:rFonts w:hint="eastAsia" w:ascii="宋体" w:hAnsi="宋体" w:eastAsia="宋体" w:cs="仿宋_GB2312"/>
                <w:color w:val="auto"/>
                <w:kern w:val="2"/>
                <w:sz w:val="24"/>
                <w:szCs w:val="24"/>
                <w:highlight w:val="none"/>
              </w:rPr>
              <w:t>…</w:t>
            </w:r>
            <w:bookmarkEnd w:id="178"/>
            <w:bookmarkEnd w:id="179"/>
            <w:bookmarkEnd w:id="180"/>
            <w:bookmarkEnd w:id="181"/>
            <w:bookmarkEnd w:id="182"/>
            <w:bookmarkEnd w:id="183"/>
            <w:bookmarkEnd w:id="184"/>
            <w:bookmarkEnd w:id="185"/>
            <w:bookmarkEnd w:id="186"/>
          </w:p>
        </w:tc>
        <w:tc>
          <w:tcPr>
            <w:tcW w:w="915" w:type="dxa"/>
            <w:tcBorders>
              <w:right w:val="single" w:color="auto" w:sz="4" w:space="0"/>
            </w:tcBorders>
            <w:vAlign w:val="center"/>
          </w:tcPr>
          <w:p w14:paraId="6702311A">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5A229F17">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4" w:type="dxa"/>
            <w:vAlign w:val="center"/>
          </w:tcPr>
          <w:p w14:paraId="7D3E1DBA">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tcBorders>
              <w:right w:val="single" w:color="auto" w:sz="4" w:space="0"/>
            </w:tcBorders>
            <w:vAlign w:val="center"/>
          </w:tcPr>
          <w:p w14:paraId="530769BF">
            <w:pPr>
              <w:pStyle w:val="19"/>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bl>
    <w:p w14:paraId="224D5EEA">
      <w:pPr>
        <w:adjustRightInd w:val="0"/>
        <w:spacing w:line="360" w:lineRule="auto"/>
        <w:contextualSpacing/>
        <w:rPr>
          <w:rFonts w:hint="eastAsia" w:ascii="宋体" w:hAnsi="宋体" w:cs="仿宋_GB2312"/>
          <w:color w:val="auto"/>
          <w:sz w:val="24"/>
          <w:highlight w:val="none"/>
        </w:rPr>
      </w:pPr>
    </w:p>
    <w:p w14:paraId="0D3F0A1B">
      <w:pPr>
        <w:pStyle w:val="19"/>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46737225">
      <w:pPr>
        <w:pStyle w:val="19"/>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14:paraId="55EEC218">
      <w:pPr>
        <w:pStyle w:val="19"/>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4398E597">
      <w:pPr>
        <w:spacing w:line="360" w:lineRule="auto"/>
        <w:ind w:right="-817" w:rightChars="-389"/>
        <w:contextualSpacing/>
        <w:rPr>
          <w:rFonts w:hint="eastAsia" w:ascii="宋体" w:hAnsi="宋体" w:cs="仿宋_GB2312"/>
          <w:color w:val="auto"/>
          <w:sz w:val="24"/>
          <w:highlight w:val="none"/>
        </w:rPr>
      </w:pPr>
    </w:p>
    <w:p w14:paraId="5BACA7A6">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09A86453">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C1D6F8A">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04CBB21">
      <w:pPr>
        <w:snapToGrid w:val="0"/>
        <w:spacing w:before="156"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0AB3AB19">
      <w:pPr>
        <w:snapToGrid w:val="0"/>
        <w:spacing w:before="156" w:beforeLines="50" w:after="50"/>
        <w:ind w:left="142"/>
        <w:jc w:val="left"/>
        <w:rPr>
          <w:rFonts w:hint="eastAsia" w:ascii="宋体" w:hAnsi="宋体"/>
          <w:b/>
          <w:color w:val="auto"/>
          <w:sz w:val="24"/>
          <w:highlight w:val="none"/>
        </w:rPr>
      </w:pPr>
    </w:p>
    <w:p w14:paraId="29B783D9">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0049E44B">
      <w:pPr>
        <w:pStyle w:val="22"/>
        <w:spacing w:line="360" w:lineRule="auto"/>
        <w:contextualSpacing/>
        <w:rPr>
          <w:color w:val="auto"/>
          <w:sz w:val="24"/>
          <w:szCs w:val="24"/>
          <w:highlight w:val="none"/>
        </w:rPr>
      </w:pPr>
      <w:r>
        <w:rPr>
          <w:rFonts w:hint="eastAsia"/>
          <w:color w:val="auto"/>
          <w:sz w:val="24"/>
          <w:szCs w:val="24"/>
          <w:highlight w:val="none"/>
        </w:rPr>
        <w:t>所竞分标：分标</w:t>
      </w:r>
    </w:p>
    <w:tbl>
      <w:tblPr>
        <w:tblStyle w:val="3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925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DC7B729">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61CA7649">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2F28C74E">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4A72CDAF">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31497DF4">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6B71C923">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073E3935">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0C1C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DC3906">
            <w:pPr>
              <w:spacing w:line="360" w:lineRule="auto"/>
              <w:contextualSpacing/>
              <w:jc w:val="center"/>
              <w:rPr>
                <w:rFonts w:hint="eastAsia" w:ascii="宋体" w:hAnsi="宋体"/>
                <w:color w:val="auto"/>
                <w:sz w:val="24"/>
                <w:szCs w:val="20"/>
                <w:highlight w:val="none"/>
              </w:rPr>
            </w:pPr>
          </w:p>
        </w:tc>
        <w:tc>
          <w:tcPr>
            <w:tcW w:w="709" w:type="dxa"/>
            <w:vAlign w:val="center"/>
          </w:tcPr>
          <w:p w14:paraId="46845A58">
            <w:pPr>
              <w:spacing w:line="360" w:lineRule="auto"/>
              <w:contextualSpacing/>
              <w:jc w:val="center"/>
              <w:rPr>
                <w:rFonts w:hint="eastAsia" w:ascii="宋体" w:hAnsi="宋体"/>
                <w:color w:val="auto"/>
                <w:sz w:val="24"/>
                <w:szCs w:val="20"/>
                <w:highlight w:val="none"/>
              </w:rPr>
            </w:pPr>
          </w:p>
        </w:tc>
        <w:tc>
          <w:tcPr>
            <w:tcW w:w="1701" w:type="dxa"/>
            <w:vAlign w:val="center"/>
          </w:tcPr>
          <w:p w14:paraId="5E8AC087">
            <w:pPr>
              <w:spacing w:line="360" w:lineRule="auto"/>
              <w:contextualSpacing/>
              <w:jc w:val="center"/>
              <w:rPr>
                <w:rFonts w:hint="eastAsia" w:ascii="宋体" w:hAnsi="宋体"/>
                <w:color w:val="auto"/>
                <w:sz w:val="24"/>
                <w:szCs w:val="20"/>
                <w:highlight w:val="none"/>
              </w:rPr>
            </w:pPr>
          </w:p>
        </w:tc>
        <w:tc>
          <w:tcPr>
            <w:tcW w:w="1420" w:type="dxa"/>
            <w:vAlign w:val="center"/>
          </w:tcPr>
          <w:p w14:paraId="0C08DDBA">
            <w:pPr>
              <w:spacing w:line="360" w:lineRule="auto"/>
              <w:contextualSpacing/>
              <w:jc w:val="center"/>
              <w:rPr>
                <w:rFonts w:hint="eastAsia" w:ascii="宋体" w:hAnsi="宋体"/>
                <w:color w:val="auto"/>
                <w:sz w:val="24"/>
                <w:szCs w:val="20"/>
                <w:highlight w:val="none"/>
              </w:rPr>
            </w:pPr>
          </w:p>
        </w:tc>
        <w:tc>
          <w:tcPr>
            <w:tcW w:w="1698" w:type="dxa"/>
            <w:vAlign w:val="center"/>
          </w:tcPr>
          <w:p w14:paraId="4B2EE483">
            <w:pPr>
              <w:spacing w:line="360" w:lineRule="auto"/>
              <w:contextualSpacing/>
              <w:jc w:val="center"/>
              <w:rPr>
                <w:rFonts w:hint="eastAsia" w:ascii="宋体" w:hAnsi="宋体"/>
                <w:color w:val="auto"/>
                <w:sz w:val="24"/>
                <w:szCs w:val="20"/>
                <w:highlight w:val="none"/>
              </w:rPr>
            </w:pPr>
          </w:p>
        </w:tc>
        <w:tc>
          <w:tcPr>
            <w:tcW w:w="1843" w:type="dxa"/>
            <w:vAlign w:val="center"/>
          </w:tcPr>
          <w:p w14:paraId="61015B6A">
            <w:pPr>
              <w:spacing w:line="360" w:lineRule="auto"/>
              <w:contextualSpacing/>
              <w:jc w:val="center"/>
              <w:rPr>
                <w:rFonts w:hint="eastAsia" w:ascii="宋体" w:hAnsi="宋体"/>
                <w:color w:val="auto"/>
                <w:sz w:val="24"/>
                <w:szCs w:val="20"/>
                <w:highlight w:val="none"/>
              </w:rPr>
            </w:pPr>
          </w:p>
        </w:tc>
      </w:tr>
      <w:tr w14:paraId="25C2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C944EBF">
            <w:pPr>
              <w:spacing w:line="360" w:lineRule="auto"/>
              <w:contextualSpacing/>
              <w:jc w:val="center"/>
              <w:rPr>
                <w:rFonts w:hint="eastAsia" w:ascii="宋体" w:hAnsi="宋体"/>
                <w:color w:val="auto"/>
                <w:sz w:val="24"/>
                <w:szCs w:val="20"/>
                <w:highlight w:val="none"/>
              </w:rPr>
            </w:pPr>
          </w:p>
        </w:tc>
        <w:tc>
          <w:tcPr>
            <w:tcW w:w="709" w:type="dxa"/>
            <w:vAlign w:val="center"/>
          </w:tcPr>
          <w:p w14:paraId="709DD930">
            <w:pPr>
              <w:spacing w:line="360" w:lineRule="auto"/>
              <w:contextualSpacing/>
              <w:jc w:val="center"/>
              <w:rPr>
                <w:rFonts w:hint="eastAsia" w:ascii="宋体" w:hAnsi="宋体"/>
                <w:color w:val="auto"/>
                <w:sz w:val="24"/>
                <w:szCs w:val="20"/>
                <w:highlight w:val="none"/>
              </w:rPr>
            </w:pPr>
          </w:p>
        </w:tc>
        <w:tc>
          <w:tcPr>
            <w:tcW w:w="1701" w:type="dxa"/>
            <w:vAlign w:val="center"/>
          </w:tcPr>
          <w:p w14:paraId="72A2048A">
            <w:pPr>
              <w:spacing w:line="360" w:lineRule="auto"/>
              <w:contextualSpacing/>
              <w:jc w:val="center"/>
              <w:rPr>
                <w:rFonts w:hint="eastAsia" w:ascii="宋体" w:hAnsi="宋体"/>
                <w:color w:val="auto"/>
                <w:sz w:val="24"/>
                <w:szCs w:val="20"/>
                <w:highlight w:val="none"/>
              </w:rPr>
            </w:pPr>
          </w:p>
        </w:tc>
        <w:tc>
          <w:tcPr>
            <w:tcW w:w="1420" w:type="dxa"/>
            <w:vAlign w:val="center"/>
          </w:tcPr>
          <w:p w14:paraId="4C9516F2">
            <w:pPr>
              <w:spacing w:line="360" w:lineRule="auto"/>
              <w:contextualSpacing/>
              <w:jc w:val="center"/>
              <w:rPr>
                <w:rFonts w:hint="eastAsia" w:ascii="宋体" w:hAnsi="宋体"/>
                <w:color w:val="auto"/>
                <w:sz w:val="24"/>
                <w:szCs w:val="20"/>
                <w:highlight w:val="none"/>
              </w:rPr>
            </w:pPr>
          </w:p>
        </w:tc>
        <w:tc>
          <w:tcPr>
            <w:tcW w:w="1698" w:type="dxa"/>
            <w:vAlign w:val="center"/>
          </w:tcPr>
          <w:p w14:paraId="0E9E22A6">
            <w:pPr>
              <w:spacing w:line="360" w:lineRule="auto"/>
              <w:contextualSpacing/>
              <w:jc w:val="center"/>
              <w:rPr>
                <w:rFonts w:hint="eastAsia" w:ascii="宋体" w:hAnsi="宋体"/>
                <w:color w:val="auto"/>
                <w:sz w:val="24"/>
                <w:szCs w:val="20"/>
                <w:highlight w:val="none"/>
              </w:rPr>
            </w:pPr>
          </w:p>
        </w:tc>
        <w:tc>
          <w:tcPr>
            <w:tcW w:w="1843" w:type="dxa"/>
            <w:vAlign w:val="center"/>
          </w:tcPr>
          <w:p w14:paraId="63A400E3">
            <w:pPr>
              <w:spacing w:line="360" w:lineRule="auto"/>
              <w:contextualSpacing/>
              <w:jc w:val="center"/>
              <w:rPr>
                <w:rFonts w:hint="eastAsia" w:ascii="宋体" w:hAnsi="宋体"/>
                <w:color w:val="auto"/>
                <w:sz w:val="24"/>
                <w:szCs w:val="20"/>
                <w:highlight w:val="none"/>
              </w:rPr>
            </w:pPr>
          </w:p>
        </w:tc>
      </w:tr>
      <w:tr w14:paraId="166D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0726106">
            <w:pPr>
              <w:spacing w:line="360" w:lineRule="auto"/>
              <w:contextualSpacing/>
              <w:jc w:val="center"/>
              <w:rPr>
                <w:rFonts w:hint="eastAsia" w:ascii="宋体" w:hAnsi="宋体"/>
                <w:color w:val="auto"/>
                <w:sz w:val="24"/>
                <w:szCs w:val="20"/>
                <w:highlight w:val="none"/>
              </w:rPr>
            </w:pPr>
          </w:p>
        </w:tc>
        <w:tc>
          <w:tcPr>
            <w:tcW w:w="709" w:type="dxa"/>
            <w:vAlign w:val="center"/>
          </w:tcPr>
          <w:p w14:paraId="7F010435">
            <w:pPr>
              <w:spacing w:line="360" w:lineRule="auto"/>
              <w:contextualSpacing/>
              <w:jc w:val="center"/>
              <w:rPr>
                <w:rFonts w:hint="eastAsia" w:ascii="宋体" w:hAnsi="宋体"/>
                <w:color w:val="auto"/>
                <w:sz w:val="24"/>
                <w:szCs w:val="20"/>
                <w:highlight w:val="none"/>
              </w:rPr>
            </w:pPr>
          </w:p>
        </w:tc>
        <w:tc>
          <w:tcPr>
            <w:tcW w:w="1701" w:type="dxa"/>
            <w:vAlign w:val="center"/>
          </w:tcPr>
          <w:p w14:paraId="650B6E12">
            <w:pPr>
              <w:spacing w:line="360" w:lineRule="auto"/>
              <w:contextualSpacing/>
              <w:jc w:val="center"/>
              <w:rPr>
                <w:rFonts w:hint="eastAsia" w:ascii="宋体" w:hAnsi="宋体"/>
                <w:color w:val="auto"/>
                <w:sz w:val="24"/>
                <w:szCs w:val="20"/>
                <w:highlight w:val="none"/>
              </w:rPr>
            </w:pPr>
          </w:p>
        </w:tc>
        <w:tc>
          <w:tcPr>
            <w:tcW w:w="1420" w:type="dxa"/>
            <w:vAlign w:val="center"/>
          </w:tcPr>
          <w:p w14:paraId="028A9C75">
            <w:pPr>
              <w:spacing w:line="360" w:lineRule="auto"/>
              <w:contextualSpacing/>
              <w:jc w:val="center"/>
              <w:rPr>
                <w:rFonts w:hint="eastAsia" w:ascii="宋体" w:hAnsi="宋体"/>
                <w:color w:val="auto"/>
                <w:sz w:val="24"/>
                <w:szCs w:val="20"/>
                <w:highlight w:val="none"/>
              </w:rPr>
            </w:pPr>
          </w:p>
        </w:tc>
        <w:tc>
          <w:tcPr>
            <w:tcW w:w="1698" w:type="dxa"/>
            <w:vAlign w:val="center"/>
          </w:tcPr>
          <w:p w14:paraId="1AA0E7E8">
            <w:pPr>
              <w:spacing w:line="360" w:lineRule="auto"/>
              <w:contextualSpacing/>
              <w:jc w:val="center"/>
              <w:rPr>
                <w:rFonts w:hint="eastAsia" w:ascii="宋体" w:hAnsi="宋体"/>
                <w:color w:val="auto"/>
                <w:sz w:val="24"/>
                <w:szCs w:val="20"/>
                <w:highlight w:val="none"/>
              </w:rPr>
            </w:pPr>
          </w:p>
        </w:tc>
        <w:tc>
          <w:tcPr>
            <w:tcW w:w="1843" w:type="dxa"/>
            <w:vAlign w:val="center"/>
          </w:tcPr>
          <w:p w14:paraId="29ED79FD">
            <w:pPr>
              <w:spacing w:line="360" w:lineRule="auto"/>
              <w:contextualSpacing/>
              <w:jc w:val="center"/>
              <w:rPr>
                <w:rFonts w:hint="eastAsia" w:ascii="宋体" w:hAnsi="宋体"/>
                <w:color w:val="auto"/>
                <w:sz w:val="24"/>
                <w:szCs w:val="20"/>
                <w:highlight w:val="none"/>
              </w:rPr>
            </w:pPr>
          </w:p>
        </w:tc>
      </w:tr>
    </w:tbl>
    <w:p w14:paraId="0895039A">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57B7D4AE">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4266F7B8">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033A25E3">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68CC3959">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              日 期：</w:t>
      </w:r>
    </w:p>
    <w:p w14:paraId="7DC0FAE6">
      <w:pPr>
        <w:snapToGrid w:val="0"/>
        <w:spacing w:before="50" w:after="156" w:afterLines="50"/>
        <w:jc w:val="left"/>
        <w:rPr>
          <w:rFonts w:hint="eastAsia" w:ascii="宋体" w:hAnsi="宋体"/>
          <w:color w:val="auto"/>
          <w:sz w:val="24"/>
          <w:szCs w:val="20"/>
          <w:highlight w:val="none"/>
        </w:rPr>
      </w:pPr>
    </w:p>
    <w:p w14:paraId="6F664C27">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42846516">
      <w:pPr>
        <w:spacing w:line="300" w:lineRule="auto"/>
        <w:rPr>
          <w:rFonts w:hint="eastAsia"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6C26CCA3">
      <w:pPr>
        <w:jc w:val="center"/>
        <w:rPr>
          <w:rFonts w:hint="eastAsia" w:ascii="方正小标宋简体" w:hAnsi="方正小标宋简体" w:eastAsia="方正小标宋简体" w:cs="方正小标宋简体"/>
          <w:color w:val="auto"/>
          <w:sz w:val="44"/>
          <w:szCs w:val="44"/>
          <w:highlight w:val="none"/>
        </w:rPr>
      </w:pPr>
      <w:bookmarkStart w:id="187" w:name="_Toc71365926"/>
      <w:r>
        <w:rPr>
          <w:rFonts w:hint="eastAsia" w:ascii="方正小标宋简体" w:hAnsi="方正小标宋简体" w:eastAsia="方正小标宋简体" w:cs="方正小标宋简体"/>
          <w:color w:val="auto"/>
          <w:sz w:val="44"/>
          <w:szCs w:val="44"/>
          <w:highlight w:val="none"/>
        </w:rPr>
        <w:t>中小企业声明函（服务）</w:t>
      </w:r>
      <w:bookmarkEnd w:id="187"/>
    </w:p>
    <w:p w14:paraId="27858CA4">
      <w:pPr>
        <w:spacing w:before="2" w:line="500" w:lineRule="exact"/>
        <w:ind w:firstLine="708" w:firstLineChars="294"/>
        <w:rPr>
          <w:rFonts w:hint="eastAsia" w:ascii="宋体" w:hAnsi="宋体" w:cs="宋体"/>
          <w:b/>
          <w:bCs/>
          <w:color w:val="auto"/>
          <w:sz w:val="24"/>
          <w:highlight w:val="none"/>
        </w:rPr>
      </w:pPr>
    </w:p>
    <w:p w14:paraId="49713A22">
      <w:pPr>
        <w:pStyle w:val="17"/>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17CFF9EE">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0B3CF31">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D205954">
      <w:pPr>
        <w:pStyle w:val="17"/>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4D0FACC7">
      <w:pPr>
        <w:pStyle w:val="17"/>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6D643026">
      <w:pPr>
        <w:pStyle w:val="17"/>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37980430">
      <w:pPr>
        <w:pStyle w:val="17"/>
        <w:spacing w:before="56" w:line="500" w:lineRule="exact"/>
        <w:ind w:right="1808" w:firstLine="705" w:firstLineChars="294"/>
        <w:rPr>
          <w:rFonts w:hint="eastAsia" w:ascii="宋体" w:hAnsi="宋体"/>
          <w:color w:val="auto"/>
          <w:sz w:val="24"/>
          <w:highlight w:val="none"/>
        </w:rPr>
      </w:pPr>
    </w:p>
    <w:p w14:paraId="5DE56BF2">
      <w:pPr>
        <w:pStyle w:val="17"/>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456AF9D5">
      <w:pPr>
        <w:pStyle w:val="17"/>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33FF2ED4">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FB45BAC">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252DBB77">
      <w:pPr>
        <w:spacing w:line="360" w:lineRule="auto"/>
        <w:contextualSpacing/>
        <w:rPr>
          <w:rFonts w:hint="eastAsia" w:ascii="仿宋_GB2312" w:hAnsi="仿宋_GB2312" w:eastAsia="仿宋_GB2312" w:cs="仿宋_GB2312"/>
          <w:color w:val="auto"/>
          <w:sz w:val="32"/>
          <w:szCs w:val="32"/>
          <w:highlight w:val="none"/>
        </w:rPr>
      </w:pPr>
    </w:p>
    <w:p w14:paraId="667D7FD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79F7E5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CBE4112">
      <w:pPr>
        <w:spacing w:line="360" w:lineRule="auto"/>
        <w:contextualSpacing/>
        <w:rPr>
          <w:rFonts w:hint="eastAsia" w:ascii="宋体" w:hAnsi="宋体" w:cs="仿宋_GB2312"/>
          <w:color w:val="auto"/>
          <w:sz w:val="24"/>
          <w:highlight w:val="none"/>
        </w:rPr>
      </w:pPr>
    </w:p>
    <w:p w14:paraId="69D32062">
      <w:pPr>
        <w:spacing w:line="360" w:lineRule="auto"/>
        <w:contextualSpacing/>
        <w:rPr>
          <w:rFonts w:hint="eastAsia" w:ascii="宋体" w:hAnsi="宋体" w:cs="仿宋_GB2312"/>
          <w:color w:val="auto"/>
          <w:sz w:val="24"/>
          <w:highlight w:val="none"/>
        </w:rPr>
      </w:pPr>
    </w:p>
    <w:p w14:paraId="638E4F6D">
      <w:pPr>
        <w:spacing w:line="360" w:lineRule="auto"/>
        <w:contextualSpacing/>
        <w:rPr>
          <w:rFonts w:hint="eastAsia" w:ascii="宋体" w:hAnsi="宋体" w:cs="仿宋_GB2312"/>
          <w:color w:val="auto"/>
          <w:sz w:val="24"/>
          <w:highlight w:val="none"/>
        </w:rPr>
      </w:pPr>
    </w:p>
    <w:p w14:paraId="658A0427">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7ACE3A29">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549A299C">
      <w:pPr>
        <w:spacing w:line="360" w:lineRule="auto"/>
        <w:contextualSpacing/>
        <w:rPr>
          <w:rFonts w:hint="eastAsia" w:ascii="宋体" w:hAnsi="宋体" w:cs="仿宋_GB2312"/>
          <w:color w:val="auto"/>
          <w:sz w:val="24"/>
          <w:highlight w:val="none"/>
        </w:rPr>
      </w:pPr>
    </w:p>
    <w:p w14:paraId="393B231C">
      <w:pPr>
        <w:spacing w:line="360" w:lineRule="auto"/>
        <w:contextualSpacing/>
        <w:rPr>
          <w:rFonts w:hint="eastAsia" w:ascii="宋体" w:hAnsi="宋体" w:cs="仿宋_GB2312"/>
          <w:color w:val="auto"/>
          <w:sz w:val="24"/>
          <w:highlight w:val="none"/>
        </w:rPr>
      </w:pPr>
    </w:p>
    <w:p w14:paraId="2CBEB00E">
      <w:pPr>
        <w:spacing w:line="360" w:lineRule="auto"/>
        <w:contextualSpacing/>
        <w:rPr>
          <w:rFonts w:hint="eastAsia" w:ascii="宋体" w:hAnsi="宋体" w:cs="仿宋_GB2312"/>
          <w:color w:val="auto"/>
          <w:sz w:val="24"/>
          <w:highlight w:val="none"/>
        </w:rPr>
      </w:pPr>
    </w:p>
    <w:p w14:paraId="2A74DC7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w:t>
      </w:r>
      <w:r>
        <w:rPr>
          <w:rFonts w:hint="eastAsia" w:ascii="宋体" w:hAnsi="宋体" w:cs="仿宋_GB2312"/>
          <w:color w:val="auto"/>
          <w:sz w:val="24"/>
          <w:highlight w:val="none"/>
          <w:lang w:val="en-US" w:eastAsia="zh-CN"/>
        </w:rPr>
        <w:t>成交</w:t>
      </w:r>
      <w:r>
        <w:rPr>
          <w:rFonts w:hint="eastAsia" w:ascii="宋体" w:hAnsi="宋体" w:cs="仿宋_GB2312"/>
          <w:color w:val="auto"/>
          <w:sz w:val="24"/>
          <w:highlight w:val="none"/>
        </w:rPr>
        <w:t>结果时，同时公告其《残疾人福利性单位声明函》，接受社会监督。</w:t>
      </w:r>
    </w:p>
    <w:p w14:paraId="603B3AE4">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5B4F1F5C">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0572E0CC">
      <w:pPr>
        <w:pStyle w:val="2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23269374">
      <w:pPr>
        <w:pStyle w:val="22"/>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19F39C77">
      <w:pPr>
        <w:pStyle w:val="2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1C6341C">
      <w:pPr>
        <w:pStyle w:val="2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1BC9D676">
      <w:pPr>
        <w:pStyle w:val="22"/>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p>
    <w:p w14:paraId="293540DD">
      <w:pPr>
        <w:pStyle w:val="22"/>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7B062983">
      <w:pPr>
        <w:pStyle w:val="2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6736E84">
      <w:pPr>
        <w:pStyle w:val="2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05639566">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58671C8E">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06BF5DC3">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p>
    <w:p w14:paraId="767CC413">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2B7AFC9F">
      <w:pPr>
        <w:pStyle w:val="2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p>
    <w:p w14:paraId="283A3302">
      <w:pPr>
        <w:pStyle w:val="2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5BC3A5FF">
      <w:pPr>
        <w:pStyle w:val="22"/>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7BC41268">
      <w:pPr>
        <w:pStyle w:val="22"/>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2C0319C4">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p>
    <w:p w14:paraId="0E0042F5">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p>
    <w:p w14:paraId="3B1560CF">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p>
    <w:p w14:paraId="3E2FBAB1">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4819FBCE">
      <w:pPr>
        <w:pStyle w:val="22"/>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27DDF012">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084F9B0A">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p>
    <w:p w14:paraId="70FB8075">
      <w:pPr>
        <w:pStyle w:val="22"/>
        <w:spacing w:line="360" w:lineRule="auto"/>
        <w:ind w:left="25" w:leftChars="12" w:firstLine="352" w:firstLineChars="147"/>
        <w:contextualSpacing/>
        <w:rPr>
          <w:rFonts w:hint="eastAsia" w:hAnsi="宋体"/>
          <w:color w:val="auto"/>
          <w:sz w:val="24"/>
          <w:szCs w:val="24"/>
          <w:highlight w:val="none"/>
        </w:rPr>
      </w:pPr>
    </w:p>
    <w:p w14:paraId="7B7C00B0">
      <w:pPr>
        <w:pStyle w:val="2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5F334743">
      <w:pPr>
        <w:pStyle w:val="22"/>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4D41C1C3">
      <w:pPr>
        <w:pStyle w:val="22"/>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6EB3294F">
      <w:pPr>
        <w:pStyle w:val="22"/>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6A44A2E0">
      <w:pPr>
        <w:pStyle w:val="2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62949DC">
      <w:pPr>
        <w:pStyle w:val="2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90358A2">
      <w:pPr>
        <w:pStyle w:val="2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06C2547">
      <w:pPr>
        <w:pStyle w:val="22"/>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FDEFA3E">
      <w:pPr>
        <w:pStyle w:val="22"/>
        <w:snapToGrid w:val="0"/>
        <w:rPr>
          <w:b/>
          <w:color w:val="auto"/>
          <w:sz w:val="24"/>
          <w:szCs w:val="24"/>
          <w:highlight w:val="none"/>
        </w:rPr>
      </w:pPr>
    </w:p>
    <w:p w14:paraId="28331AA1">
      <w:pPr>
        <w:rPr>
          <w:color w:val="auto"/>
          <w:sz w:val="32"/>
          <w:szCs w:val="40"/>
          <w:highlight w:val="none"/>
        </w:rPr>
      </w:pPr>
    </w:p>
    <w:p w14:paraId="4B9160F0">
      <w:pPr>
        <w:rPr>
          <w:color w:val="auto"/>
          <w:sz w:val="32"/>
          <w:szCs w:val="40"/>
          <w:highlight w:val="none"/>
        </w:rPr>
      </w:pPr>
    </w:p>
    <w:p w14:paraId="2340B7D9">
      <w:pPr>
        <w:rPr>
          <w:color w:val="auto"/>
          <w:sz w:val="32"/>
          <w:szCs w:val="40"/>
          <w:highlight w:val="none"/>
        </w:rPr>
      </w:pPr>
    </w:p>
    <w:p w14:paraId="04D9BF73">
      <w:pPr>
        <w:rPr>
          <w:color w:val="auto"/>
          <w:sz w:val="32"/>
          <w:szCs w:val="40"/>
          <w:highlight w:val="none"/>
        </w:rPr>
      </w:pPr>
    </w:p>
    <w:p w14:paraId="30925A6C">
      <w:pPr>
        <w:rPr>
          <w:color w:val="auto"/>
          <w:sz w:val="32"/>
          <w:szCs w:val="40"/>
          <w:highlight w:val="none"/>
        </w:rPr>
      </w:pPr>
    </w:p>
    <w:p w14:paraId="79A3AB2F">
      <w:pPr>
        <w:rPr>
          <w:color w:val="auto"/>
          <w:sz w:val="32"/>
          <w:szCs w:val="40"/>
          <w:highlight w:val="none"/>
        </w:rPr>
      </w:pPr>
    </w:p>
    <w:p w14:paraId="16EB34FE">
      <w:pPr>
        <w:rPr>
          <w:color w:val="auto"/>
          <w:sz w:val="32"/>
          <w:szCs w:val="40"/>
          <w:highlight w:val="none"/>
        </w:rPr>
      </w:pPr>
    </w:p>
    <w:p w14:paraId="585CC51F">
      <w:pPr>
        <w:rPr>
          <w:color w:val="auto"/>
          <w:sz w:val="32"/>
          <w:szCs w:val="40"/>
          <w:highlight w:val="none"/>
        </w:rPr>
      </w:pPr>
    </w:p>
    <w:p w14:paraId="7A030FB9">
      <w:pPr>
        <w:rPr>
          <w:color w:val="auto"/>
          <w:sz w:val="32"/>
          <w:szCs w:val="40"/>
          <w:highlight w:val="none"/>
        </w:rPr>
      </w:pPr>
    </w:p>
    <w:p w14:paraId="627F27C3">
      <w:pPr>
        <w:rPr>
          <w:color w:val="auto"/>
          <w:sz w:val="32"/>
          <w:szCs w:val="40"/>
          <w:highlight w:val="none"/>
        </w:rPr>
      </w:pPr>
    </w:p>
    <w:p w14:paraId="432551E9">
      <w:pPr>
        <w:rPr>
          <w:color w:val="auto"/>
          <w:sz w:val="32"/>
          <w:szCs w:val="40"/>
          <w:highlight w:val="none"/>
        </w:rPr>
      </w:pPr>
    </w:p>
    <w:p w14:paraId="09C42AF8">
      <w:pPr>
        <w:rPr>
          <w:color w:val="auto"/>
          <w:sz w:val="32"/>
          <w:szCs w:val="40"/>
          <w:highlight w:val="none"/>
        </w:rPr>
      </w:pPr>
    </w:p>
    <w:p w14:paraId="45B11EF8">
      <w:pPr>
        <w:rPr>
          <w:color w:val="auto"/>
          <w:sz w:val="32"/>
          <w:szCs w:val="40"/>
          <w:highlight w:val="none"/>
        </w:rPr>
      </w:pPr>
    </w:p>
    <w:p w14:paraId="36FDF6BF">
      <w:pPr>
        <w:rPr>
          <w:color w:val="auto"/>
          <w:sz w:val="32"/>
          <w:szCs w:val="40"/>
          <w:highlight w:val="none"/>
        </w:rPr>
      </w:pPr>
    </w:p>
    <w:p w14:paraId="47EFD162">
      <w:pPr>
        <w:spacing w:line="360" w:lineRule="auto"/>
        <w:jc w:val="center"/>
        <w:rPr>
          <w:rFonts w:hint="eastAsia" w:ascii="方正小标宋简体" w:hAnsi="方正小标宋简体" w:eastAsia="方正小标宋简体" w:cs="方正小标宋简体"/>
          <w:color w:val="auto"/>
          <w:sz w:val="44"/>
          <w:szCs w:val="44"/>
          <w:highlight w:val="none"/>
        </w:rPr>
      </w:pPr>
    </w:p>
    <w:p w14:paraId="564067D4">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7FDC17F0">
      <w:pPr>
        <w:pStyle w:val="2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398F4FEB">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p>
    <w:p w14:paraId="49F9BC6B">
      <w:pPr>
        <w:pStyle w:val="2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CBE2ABE">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767A74A4">
      <w:pPr>
        <w:pStyle w:val="2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52D9AB91">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0397BA6A">
      <w:pPr>
        <w:pStyle w:val="2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6ED714B9">
      <w:pPr>
        <w:pStyle w:val="2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4C430174">
      <w:pPr>
        <w:pStyle w:val="2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419BAFE8">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p>
    <w:p w14:paraId="0CB83F49">
      <w:pPr>
        <w:pStyle w:val="2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13608B7E">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79D42E8C">
      <w:pPr>
        <w:pStyle w:val="2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5C0A9F87">
      <w:pPr>
        <w:pStyle w:val="2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1E96E2D3">
      <w:pPr>
        <w:pStyle w:val="2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1D8877E5">
      <w:pPr>
        <w:pStyle w:val="2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176C4B5C">
      <w:pPr>
        <w:pStyle w:val="2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3093C09F">
      <w:pPr>
        <w:pStyle w:val="2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2F515015">
      <w:pPr>
        <w:pStyle w:val="2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5D79F192">
      <w:pPr>
        <w:pStyle w:val="2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2A3553DE">
      <w:pPr>
        <w:pStyle w:val="2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p>
    <w:p w14:paraId="5ADF3FB7">
      <w:pPr>
        <w:pStyle w:val="2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p>
    <w:p w14:paraId="419C480A">
      <w:pPr>
        <w:pStyle w:val="22"/>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3848B70">
      <w:pPr>
        <w:pStyle w:val="22"/>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EE61F6E">
      <w:pPr>
        <w:pStyle w:val="2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4D508D56">
      <w:pPr>
        <w:pStyle w:val="22"/>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264AF5EF">
      <w:pPr>
        <w:pStyle w:val="22"/>
        <w:spacing w:line="360" w:lineRule="auto"/>
        <w:ind w:firstLine="241"/>
        <w:rPr>
          <w:rFonts w:hint="eastAsia" w:hAnsi="宋体"/>
          <w:bCs/>
          <w:color w:val="auto"/>
          <w:sz w:val="24"/>
          <w:szCs w:val="24"/>
          <w:highlight w:val="none"/>
          <w:u w:val="single"/>
        </w:rPr>
      </w:pPr>
    </w:p>
    <w:p w14:paraId="24C99590">
      <w:pPr>
        <w:pStyle w:val="22"/>
        <w:spacing w:line="360" w:lineRule="auto"/>
        <w:ind w:firstLine="241"/>
        <w:rPr>
          <w:rFonts w:hint="eastAsia" w:hAnsi="宋体"/>
          <w:bCs/>
          <w:color w:val="auto"/>
          <w:sz w:val="24"/>
          <w:szCs w:val="24"/>
          <w:highlight w:val="none"/>
          <w:u w:val="single"/>
        </w:rPr>
      </w:pPr>
    </w:p>
    <w:p w14:paraId="647B7094">
      <w:pPr>
        <w:pStyle w:val="22"/>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6E9AD19A">
      <w:pPr>
        <w:pStyle w:val="2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4467FA1B">
      <w:pPr>
        <w:pStyle w:val="2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p>
    <w:p w14:paraId="63F2ACB5">
      <w:pPr>
        <w:pStyle w:val="2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p>
    <w:p w14:paraId="6FD87FDB">
      <w:pPr>
        <w:pStyle w:val="22"/>
        <w:spacing w:line="360" w:lineRule="auto"/>
        <w:ind w:left="25" w:leftChars="12" w:firstLine="472" w:firstLineChars="197"/>
        <w:rPr>
          <w:rFonts w:hint="eastAsia" w:hAnsi="宋体"/>
          <w:color w:val="auto"/>
          <w:sz w:val="24"/>
          <w:szCs w:val="24"/>
          <w:highlight w:val="none"/>
        </w:rPr>
      </w:pPr>
    </w:p>
    <w:p w14:paraId="5FADE82C">
      <w:pPr>
        <w:pStyle w:val="2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p>
    <w:p w14:paraId="2DB0C451">
      <w:pPr>
        <w:pStyle w:val="22"/>
        <w:spacing w:line="360" w:lineRule="auto"/>
        <w:ind w:left="25" w:leftChars="12" w:firstLine="352" w:firstLineChars="147"/>
        <w:rPr>
          <w:rFonts w:hint="eastAsia" w:hAnsi="宋体"/>
          <w:bCs/>
          <w:color w:val="auto"/>
          <w:sz w:val="24"/>
          <w:szCs w:val="24"/>
          <w:highlight w:val="none"/>
          <w:u w:val="single"/>
        </w:rPr>
      </w:pPr>
    </w:p>
    <w:p w14:paraId="71681337">
      <w:pPr>
        <w:pStyle w:val="22"/>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40B6233C">
      <w:pPr>
        <w:pStyle w:val="22"/>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672912F">
      <w:pPr>
        <w:pStyle w:val="2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438907E">
      <w:pPr>
        <w:pStyle w:val="2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590BF223">
      <w:pPr>
        <w:pStyle w:val="22"/>
        <w:spacing w:line="360" w:lineRule="auto"/>
        <w:ind w:left="25" w:leftChars="12" w:firstLine="352" w:firstLineChars="147"/>
        <w:rPr>
          <w:rFonts w:hint="eastAsia" w:hAnsi="宋体"/>
          <w:color w:val="auto"/>
          <w:sz w:val="24"/>
          <w:szCs w:val="24"/>
          <w:highlight w:val="none"/>
        </w:rPr>
      </w:pPr>
    </w:p>
    <w:p w14:paraId="3A5503AE">
      <w:pPr>
        <w:pStyle w:val="2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A7AF151">
      <w:pPr>
        <w:pStyle w:val="22"/>
        <w:spacing w:line="360" w:lineRule="auto"/>
        <w:ind w:left="25" w:leftChars="12" w:firstLine="352" w:firstLineChars="147"/>
        <w:rPr>
          <w:rFonts w:hint="eastAsia" w:hAnsi="宋体"/>
          <w:color w:val="auto"/>
          <w:sz w:val="24"/>
          <w:szCs w:val="24"/>
          <w:highlight w:val="none"/>
        </w:rPr>
      </w:pPr>
    </w:p>
    <w:p w14:paraId="098898BB">
      <w:pPr>
        <w:pStyle w:val="2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5857EB6A">
      <w:pPr>
        <w:pStyle w:val="22"/>
        <w:spacing w:line="360" w:lineRule="auto"/>
        <w:ind w:left="25" w:leftChars="12" w:firstLine="475" w:firstLineChars="197"/>
        <w:rPr>
          <w:rFonts w:hint="eastAsia" w:hAnsi="宋体"/>
          <w:b/>
          <w:color w:val="auto"/>
          <w:sz w:val="24"/>
          <w:szCs w:val="24"/>
          <w:highlight w:val="none"/>
        </w:rPr>
      </w:pPr>
    </w:p>
    <w:p w14:paraId="3FEF252A">
      <w:pPr>
        <w:pStyle w:val="22"/>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4718610">
      <w:pPr>
        <w:pStyle w:val="22"/>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2230EA6F">
      <w:pPr>
        <w:pStyle w:val="2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9E56E7">
      <w:pPr>
        <w:pStyle w:val="2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A78A6B2">
      <w:pPr>
        <w:pStyle w:val="2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19FDF24">
      <w:pPr>
        <w:pStyle w:val="2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4D40582C">
      <w:pPr>
        <w:pStyle w:val="22"/>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38835FA2">
      <w:pPr>
        <w:pStyle w:val="3"/>
        <w:jc w:val="center"/>
        <w:rPr>
          <w:color w:val="auto"/>
          <w:highlight w:val="none"/>
        </w:rPr>
      </w:pPr>
      <w:bookmarkStart w:id="188" w:name="_Toc74323461"/>
      <w:r>
        <w:rPr>
          <w:rFonts w:hint="eastAsia"/>
          <w:color w:val="auto"/>
          <w:highlight w:val="none"/>
        </w:rPr>
        <w:t>第六章合同文本</w:t>
      </w:r>
      <w:bookmarkEnd w:id="188"/>
    </w:p>
    <w:p w14:paraId="22F8A6EA">
      <w:pPr>
        <w:spacing w:line="520" w:lineRule="exact"/>
        <w:rPr>
          <w:rFonts w:hint="eastAsia" w:ascii="宋体" w:hAnsi="宋体" w:cs="Courier New"/>
          <w:b/>
          <w:color w:val="auto"/>
          <w:sz w:val="32"/>
          <w:szCs w:val="32"/>
          <w:highlight w:val="none"/>
        </w:rPr>
      </w:pPr>
    </w:p>
    <w:p w14:paraId="3828296A">
      <w:pPr>
        <w:spacing w:line="360" w:lineRule="auto"/>
        <w:ind w:right="800"/>
        <w:rPr>
          <w:rFonts w:hint="eastAsia"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合同编号：</w:t>
      </w:r>
      <w:r>
        <w:rPr>
          <w:rFonts w:hint="eastAsia" w:ascii="宋体" w:hAnsi="宋体" w:cs="宋体"/>
          <w:color w:val="auto"/>
          <w:szCs w:val="21"/>
          <w:highlight w:val="none"/>
          <w:u w:val="single"/>
        </w:rPr>
        <w:t xml:space="preserve">                  </w:t>
      </w:r>
    </w:p>
    <w:p w14:paraId="77C98924">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99F2EC8">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3AD256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323F98B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（否）</w:t>
      </w:r>
      <w:r>
        <w:rPr>
          <w:rFonts w:hint="eastAsia" w:ascii="宋体" w:hAnsi="宋体" w:cs="宋体"/>
          <w:color w:val="auto"/>
          <w:szCs w:val="21"/>
          <w:highlight w:val="none"/>
        </w:rPr>
        <w:t>。</w:t>
      </w:r>
    </w:p>
    <w:p w14:paraId="4CD285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434795D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2C4B7F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34"/>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21FC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6763F5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00CC24D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32AEA4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70E98C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4AB2AE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43E56B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  价</w:t>
            </w:r>
          </w:p>
          <w:p w14:paraId="536C83A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050387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  价</w:t>
            </w:r>
          </w:p>
          <w:p w14:paraId="73626C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（元）</w:t>
            </w:r>
          </w:p>
        </w:tc>
      </w:tr>
      <w:tr w14:paraId="3D77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6AC34B63">
            <w:pPr>
              <w:spacing w:line="360" w:lineRule="auto"/>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61300A73">
            <w:pPr>
              <w:spacing w:line="360" w:lineRule="auto"/>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0B0DD6CA">
            <w:pPr>
              <w:spacing w:line="360" w:lineRule="auto"/>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2CF5C446">
            <w:pPr>
              <w:spacing w:line="360" w:lineRule="auto"/>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B777071">
            <w:pPr>
              <w:spacing w:line="360" w:lineRule="auto"/>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60219609">
            <w:pPr>
              <w:spacing w:line="360" w:lineRule="auto"/>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0385C232">
            <w:pPr>
              <w:spacing w:line="360" w:lineRule="auto"/>
              <w:jc w:val="center"/>
              <w:rPr>
                <w:rFonts w:hint="eastAsia" w:ascii="宋体" w:hAnsi="宋体" w:cs="宋体"/>
                <w:color w:val="auto"/>
                <w:szCs w:val="21"/>
                <w:highlight w:val="none"/>
              </w:rPr>
            </w:pPr>
          </w:p>
        </w:tc>
      </w:tr>
      <w:tr w14:paraId="1432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342896E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详见报价表</w:t>
            </w:r>
          </w:p>
        </w:tc>
      </w:tr>
      <w:tr w14:paraId="464D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037BFA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人民币合计金额（大写）：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15CF37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w:t>
      </w:r>
      <w:r>
        <w:rPr>
          <w:rFonts w:hint="eastAsia" w:ascii="宋体" w:hAnsi="宋体" w:cs="宋体"/>
          <w:color w:val="auto"/>
          <w:szCs w:val="21"/>
          <w:highlight w:val="none"/>
        </w:rPr>
        <w:t>完成全部服务内容及承担本合同项下全部责任和义务所需的</w:t>
      </w:r>
      <w:r>
        <w:rPr>
          <w:rFonts w:hint="eastAsia" w:ascii="宋体" w:hAnsi="宋体" w:cs="宋体"/>
          <w:color w:val="auto"/>
          <w:szCs w:val="21"/>
          <w:highlight w:val="none"/>
        </w:rPr>
        <w:t>的一切费用</w:t>
      </w:r>
      <w:r>
        <w:rPr>
          <w:rFonts w:hint="eastAsia" w:ascii="宋体" w:hAnsi="宋体"/>
          <w:color w:val="auto"/>
          <w:szCs w:val="21"/>
          <w:highlight w:val="none"/>
        </w:rPr>
        <w:t>。</w:t>
      </w:r>
    </w:p>
    <w:p w14:paraId="49855B2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1C0770F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r>
        <w:rPr>
          <w:rFonts w:hint="eastAsia" w:ascii="宋体" w:hAnsi="宋体" w:cs="宋体"/>
          <w:color w:val="auto"/>
          <w:szCs w:val="21"/>
          <w:highlight w:val="none"/>
        </w:rPr>
        <w:t>还必须符合本合同附件一约定的质量标准。</w:t>
      </w:r>
    </w:p>
    <w:p w14:paraId="64848BBD">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4BF1C8B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1、乙方应保证所提供服务在使用时不会侵犯任何第三方的专利权、商标权、著作权等知识产权及其他合法权利，且所有权、处分权等没有受到任何限制。</w:t>
      </w:r>
    </w:p>
    <w:p w14:paraId="15AE2CB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或者资料提供给与履行本合同无关的任何其他人。即使向履行本合同有关的人员提供，也应注意保密并限于履行合同的必需范围。乙方的保密义务持续有效，不因为本合同履行终止、解除或者无效而解除。</w:t>
      </w:r>
    </w:p>
    <w:p w14:paraId="55F705BB">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00A3C4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5A9EC1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02D3A8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0CE18F7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4、乙方完成服务后应及时书面通知甲方进行验收，甲方应在收到通知后七个工作日内进行验收。验收合格后由甲乙双方签署验收单并加盖采购人公章，甲乙双方各执一份。</w:t>
      </w:r>
    </w:p>
    <w:p w14:paraId="444A6B11">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5、甲乙双方应按照《广西壮族自治区政府采购项目履约验收管理办法》、双方合同、响应文件验收。</w:t>
      </w:r>
    </w:p>
    <w:p w14:paraId="75FA4A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1E00C7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w:t>
      </w:r>
      <w:r>
        <w:rPr>
          <w:rFonts w:hint="eastAsia" w:ascii="宋体" w:hAnsi="宋体" w:cs="宋体"/>
          <w:color w:val="auto"/>
          <w:szCs w:val="21"/>
          <w:highlight w:val="none"/>
        </w:rPr>
        <w:t>完成整改并重新提交验收，</w:t>
      </w:r>
      <w:r>
        <w:rPr>
          <w:rFonts w:hint="eastAsia" w:ascii="宋体" w:hAnsi="宋体" w:cs="宋体"/>
          <w:color w:val="auto"/>
          <w:szCs w:val="21"/>
          <w:highlight w:val="none"/>
        </w:rPr>
        <w:t>否则甲方有权不出具服务验收合格单。</w:t>
      </w:r>
    </w:p>
    <w:p w14:paraId="1EE06922">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222DEE0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57126B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78B1D9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按采购文件要求及乙方响应文件承诺</w:t>
      </w:r>
      <w:r>
        <w:rPr>
          <w:rFonts w:hint="eastAsia" w:ascii="宋体" w:hAnsi="宋体" w:cs="宋体"/>
          <w:color w:val="auto"/>
          <w:szCs w:val="21"/>
          <w:highlight w:val="none"/>
        </w:rPr>
        <w:t>。</w:t>
      </w:r>
    </w:p>
    <w:p w14:paraId="59ECF83D">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5B588C6C">
      <w:pPr>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合同签订后二十个工作日内，由甲方按本次采购成交单价乘以当年实际投保人数，一次性付清乙方当年保险费用；乙方自收到款项之日起三个工作日内开具发票给甲方（由甲方提供各单位开票信息给乙方）。</w:t>
      </w:r>
    </w:p>
    <w:p w14:paraId="4C12CD9A">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086671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履约保证金金额：按预算金额的</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%。即</w:t>
      </w:r>
      <w:r>
        <w:rPr>
          <w:rFonts w:hint="eastAsia" w:ascii="宋体" w:hAnsi="宋体" w:cs="宋体"/>
          <w:color w:val="auto"/>
          <w:szCs w:val="21"/>
          <w:highlight w:val="none"/>
          <w:lang w:val="en-US" w:eastAsia="zh-CN"/>
        </w:rPr>
        <w:t>叁万柒仟元整</w:t>
      </w:r>
      <w:r>
        <w:rPr>
          <w:rFonts w:hint="eastAsia" w:ascii="宋体" w:hAnsi="宋体" w:cs="宋体"/>
          <w:color w:val="auto"/>
          <w:szCs w:val="21"/>
          <w:highlight w:val="none"/>
          <w:lang w:eastAsia="zh-CN"/>
        </w:rPr>
        <w:t>（</w:t>
      </w:r>
      <w:r>
        <w:rPr>
          <w:rFonts w:hint="eastAsia" w:ascii="宋体" w:hAnsi="宋体" w:cs="宋体"/>
          <w:color w:val="auto"/>
          <w:szCs w:val="21"/>
          <w:highlight w:val="none"/>
        </w:rPr>
        <w:t>37000</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5D146C9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73968E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本合同执行中依法产生的应由甲方或乙方承担的一切税费均由乙方负担，合同另有约定的除外。</w:t>
      </w:r>
    </w:p>
    <w:p w14:paraId="71E121E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78D99A6F">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w:t>
      </w:r>
      <w:r>
        <w:rPr>
          <w:rFonts w:hint="eastAsia" w:ascii="宋体" w:hAnsi="宋体" w:cs="宋体"/>
          <w:color w:val="auto"/>
          <w:szCs w:val="21"/>
          <w:highlight w:val="none"/>
        </w:rPr>
        <w:t>逾期超过1</w:t>
      </w:r>
      <w:r>
        <w:rPr>
          <w:rFonts w:ascii="宋体" w:hAnsi="宋体" w:cs="宋体"/>
          <w:color w:val="auto"/>
          <w:szCs w:val="21"/>
          <w:highlight w:val="none"/>
        </w:rPr>
        <w:t>5</w:t>
      </w:r>
      <w:r>
        <w:rPr>
          <w:rFonts w:hint="eastAsia" w:ascii="宋体" w:hAnsi="宋体" w:cs="宋体"/>
          <w:color w:val="auto"/>
          <w:szCs w:val="21"/>
          <w:highlight w:val="none"/>
        </w:rPr>
        <w:t>天的甲方有权解除合同，乙方除需支付违约金外，仍需承担因此给甲方造成的经济损失，并退回甲方已支付的所有费用。</w:t>
      </w:r>
      <w:r>
        <w:rPr>
          <w:rFonts w:hint="eastAsia" w:ascii="宋体" w:hAnsi="宋体" w:cs="宋体"/>
          <w:color w:val="auto"/>
          <w:szCs w:val="21"/>
          <w:highlight w:val="none"/>
        </w:rPr>
        <w:t>本合同约定的违约金低于甲方实际损失的，乙方应予以补足。</w:t>
      </w:r>
    </w:p>
    <w:p w14:paraId="552F501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131F575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3、甲方延期付款的，每天向乙方偿付延期款额3‰违约金，但违约金累计不得超过延期款额5%。</w:t>
      </w:r>
    </w:p>
    <w:p w14:paraId="34679E05">
      <w:pPr>
        <w:pStyle w:val="44"/>
        <w:ind w:firstLine="420"/>
        <w:rPr>
          <w:rFonts w:hint="eastAsia" w:hAnsi="宋体" w:eastAsia="宋体" w:cs="Times New Roman"/>
          <w:color w:val="auto"/>
          <w:kern w:val="2"/>
          <w:sz w:val="21"/>
          <w:szCs w:val="21"/>
          <w:highlight w:val="none"/>
        </w:rPr>
      </w:pPr>
      <w:r>
        <w:rPr>
          <w:rFonts w:hint="eastAsia" w:hAnsi="宋体" w:eastAsia="宋体" w:cs="Times New Roman"/>
          <w:color w:val="auto"/>
          <w:kern w:val="2"/>
          <w:sz w:val="21"/>
          <w:szCs w:val="21"/>
          <w:highlight w:val="none"/>
        </w:rPr>
        <w:t>4、乙方不能将本合同的服务项目进行分包、转包，如发现乙方有分包、转包行为，甲方有权单方面解除合同，要求乙方退还甲方已支付的费用，并向甲方支付合同总金额2</w:t>
      </w:r>
      <w:r>
        <w:rPr>
          <w:rFonts w:hAnsi="宋体" w:eastAsia="宋体" w:cs="Times New Roman"/>
          <w:color w:val="auto"/>
          <w:kern w:val="2"/>
          <w:sz w:val="21"/>
          <w:szCs w:val="21"/>
          <w:highlight w:val="none"/>
        </w:rPr>
        <w:t>0</w:t>
      </w:r>
      <w:r>
        <w:rPr>
          <w:rFonts w:hint="eastAsia" w:hAnsi="宋体" w:eastAsia="宋体" w:cs="Times New Roman"/>
          <w:color w:val="auto"/>
          <w:kern w:val="2"/>
          <w:sz w:val="21"/>
          <w:szCs w:val="21"/>
          <w:highlight w:val="none"/>
        </w:rPr>
        <w:t>%的违约金，违约金不足以弥补甲方损失的，乙方应继续赔偿。</w:t>
      </w:r>
    </w:p>
    <w:p w14:paraId="0625FCBD">
      <w:pPr>
        <w:spacing w:line="360" w:lineRule="auto"/>
        <w:rPr>
          <w:color w:val="auto"/>
          <w:highlight w:val="none"/>
        </w:rPr>
      </w:pPr>
      <w:r>
        <w:rPr>
          <w:rFonts w:hint="eastAsia"/>
          <w:color w:val="auto"/>
          <w:highlight w:val="none"/>
        </w:rPr>
        <w:t xml:space="preserve"> </w:t>
      </w:r>
      <w:r>
        <w:rPr>
          <w:color w:val="auto"/>
          <w:highlight w:val="none"/>
        </w:rPr>
        <w:t xml:space="preserve">  5</w:t>
      </w:r>
      <w:r>
        <w:rPr>
          <w:rFonts w:hint="eastAsia"/>
          <w:color w:val="auto"/>
          <w:highlight w:val="none"/>
        </w:rPr>
        <w:t>、其他违约行为按合同总金额5%收取违约金并赔偿</w:t>
      </w:r>
      <w:r>
        <w:rPr>
          <w:rFonts w:hint="eastAsia"/>
          <w:color w:val="auto"/>
          <w:highlight w:val="none"/>
        </w:rPr>
        <w:t>实际</w:t>
      </w:r>
      <w:r>
        <w:rPr>
          <w:rFonts w:hint="eastAsia"/>
          <w:color w:val="auto"/>
          <w:highlight w:val="none"/>
        </w:rPr>
        <w:t>经济损失。</w:t>
      </w:r>
      <w:r>
        <w:rPr>
          <w:rFonts w:hint="eastAsia"/>
          <w:color w:val="auto"/>
          <w:highlight w:val="none"/>
        </w:rPr>
        <w:t>该约定不影响甲方根据实际损失要求增加赔偿的权利。</w:t>
      </w:r>
    </w:p>
    <w:p w14:paraId="7A5D86BE">
      <w:pPr>
        <w:spacing w:line="360" w:lineRule="auto"/>
        <w:ind w:firstLine="210" w:firstLineChars="100"/>
        <w:rPr>
          <w:color w:val="auto"/>
          <w:highlight w:val="none"/>
        </w:rPr>
      </w:pPr>
      <w:r>
        <w:rPr>
          <w:rFonts w:hint="eastAsia"/>
          <w:color w:val="auto"/>
          <w:highlight w:val="none"/>
        </w:rPr>
        <w:t>6、违约方应赔偿守约方所有的损失（包括但不限于直接损失、间接损失及实现债权的费用，如诉讼费、律师费、差旅费、调查费、财产保全责任保险费等）。</w:t>
      </w:r>
    </w:p>
    <w:p w14:paraId="71072E0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3B7E42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75BB8F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377485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0C3F4414">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722364D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52E17BE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2F5C26D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7D4BB81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5CE303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1、合同经双方法定代表人或者委托代理人签字并加盖单位公章后生效（委托代理人签字的需后附授权委托书，格式自拟）。</w:t>
      </w:r>
    </w:p>
    <w:p w14:paraId="0C0962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14:paraId="5F1564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52B106B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6C5B51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064BDB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273E406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1A3922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1CE8CC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2、竞标报价表；</w:t>
      </w:r>
    </w:p>
    <w:p w14:paraId="29EF1F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3、商务要求偏离表和技术要求偏离表；</w:t>
      </w:r>
    </w:p>
    <w:p w14:paraId="55A453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4、服务方案；</w:t>
      </w:r>
    </w:p>
    <w:p w14:paraId="1C23D5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5、响应文件中的其他相关文件。</w:t>
      </w:r>
    </w:p>
    <w:p w14:paraId="25D3A8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43F67B9F">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本合同一式六份，具有同等法律效力，采购代理机构一份，甲方三份，乙方两份。</w:t>
      </w:r>
    </w:p>
    <w:p w14:paraId="61F15E66">
      <w:pPr>
        <w:spacing w:line="360" w:lineRule="auto"/>
        <w:ind w:firstLine="420" w:firstLineChars="200"/>
        <w:rPr>
          <w:rFonts w:hint="eastAsia" w:ascii="宋体" w:hAnsi="宋体" w:cs="宋体"/>
          <w:color w:val="auto"/>
          <w:szCs w:val="21"/>
          <w:highlight w:val="none"/>
        </w:rPr>
      </w:pPr>
    </w:p>
    <w:tbl>
      <w:tblPr>
        <w:tblStyle w:val="34"/>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F4C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03BF4E8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5D33E12A">
            <w:pPr>
              <w:snapToGrid w:val="0"/>
              <w:spacing w:line="360" w:lineRule="auto"/>
              <w:rPr>
                <w:rFonts w:hint="eastAsia" w:ascii="宋体" w:hAnsi="宋体" w:cs="宋体"/>
                <w:color w:val="auto"/>
                <w:szCs w:val="21"/>
                <w:highlight w:val="none"/>
              </w:rPr>
            </w:pPr>
          </w:p>
          <w:p w14:paraId="2A51DF7A">
            <w:pPr>
              <w:snapToGrid w:val="0"/>
              <w:spacing w:line="360" w:lineRule="auto"/>
              <w:rPr>
                <w:rFonts w:hint="eastAsia" w:ascii="宋体" w:hAnsi="宋体" w:cs="宋体"/>
                <w:color w:val="auto"/>
                <w:szCs w:val="21"/>
                <w:highlight w:val="none"/>
              </w:rPr>
            </w:pPr>
          </w:p>
          <w:p w14:paraId="21F70F48">
            <w:pPr>
              <w:snapToGrid w:val="0"/>
              <w:spacing w:line="360" w:lineRule="auto"/>
              <w:ind w:firstLine="945" w:firstLineChars="450"/>
              <w:jc w:val="right"/>
              <w:rPr>
                <w:rFonts w:hint="eastAsia" w:ascii="宋体" w:hAnsi="宋体" w:cs="宋体"/>
                <w:color w:val="auto"/>
                <w:szCs w:val="21"/>
                <w:highlight w:val="none"/>
              </w:rPr>
            </w:pPr>
          </w:p>
          <w:p w14:paraId="1E120D55">
            <w:pPr>
              <w:snapToGrid w:val="0"/>
              <w:spacing w:line="360" w:lineRule="auto"/>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359636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5EC88231">
            <w:pPr>
              <w:snapToGrid w:val="0"/>
              <w:spacing w:line="360" w:lineRule="auto"/>
              <w:rPr>
                <w:rFonts w:hint="eastAsia" w:ascii="宋体" w:hAnsi="宋体" w:cs="宋体"/>
                <w:color w:val="auto"/>
                <w:szCs w:val="21"/>
                <w:highlight w:val="none"/>
              </w:rPr>
            </w:pPr>
          </w:p>
          <w:p w14:paraId="4D377C6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4AD2747">
            <w:pPr>
              <w:snapToGrid w:val="0"/>
              <w:spacing w:line="360" w:lineRule="auto"/>
              <w:jc w:val="right"/>
              <w:rPr>
                <w:rFonts w:hint="eastAsia" w:ascii="宋体" w:hAnsi="宋体" w:cs="宋体"/>
                <w:color w:val="auto"/>
                <w:szCs w:val="21"/>
                <w:highlight w:val="none"/>
              </w:rPr>
            </w:pPr>
          </w:p>
          <w:p w14:paraId="61C8CC25">
            <w:pPr>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0C10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A1E9E3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33A996F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p>
        </w:tc>
      </w:tr>
      <w:tr w14:paraId="1017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BB1568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5D51397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3E54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E3F416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3BBC354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576D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2B50EF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070B4BF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2FDB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7AC471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173037D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r>
      <w:tr w14:paraId="611B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3F1057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706B57F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7803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A10199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06B20F5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36C13AED">
      <w:pPr>
        <w:widowControl/>
        <w:jc w:val="left"/>
        <w:rPr>
          <w:rFonts w:hint="eastAsia" w:ascii="宋体" w:hAnsi="宋体" w:cs="宋体"/>
          <w:color w:val="auto"/>
          <w:sz w:val="20"/>
          <w:szCs w:val="20"/>
          <w:highlight w:val="none"/>
        </w:rPr>
      </w:pPr>
    </w:p>
    <w:p w14:paraId="2DFE6EBD">
      <w:pPr>
        <w:spacing w:before="4"/>
        <w:rPr>
          <w:rFonts w:hint="eastAsia" w:ascii="宋体" w:hAnsi="宋体" w:cs="宋体"/>
          <w:color w:val="auto"/>
          <w:sz w:val="6"/>
          <w:szCs w:val="6"/>
          <w:highlight w:val="none"/>
        </w:rPr>
      </w:pPr>
    </w:p>
    <w:p w14:paraId="14EB1DEE">
      <w:pPr>
        <w:spacing w:line="360" w:lineRule="auto"/>
        <w:ind w:right="800"/>
        <w:rPr>
          <w:rFonts w:hint="eastAsia" w:ascii="宋体" w:hAnsi="宋体" w:cs="宋体"/>
          <w:color w:val="auto"/>
          <w:sz w:val="6"/>
          <w:szCs w:val="6"/>
          <w:highlight w:val="none"/>
        </w:rPr>
      </w:pPr>
    </w:p>
    <w:sectPr>
      <w:footerReference r:id="rId8" w:type="first"/>
      <w:footerReference r:id="rId7"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仿宋_GBK">
    <w:altName w:val="微软雅黑"/>
    <w:panose1 w:val="00000000000000000000"/>
    <w:charset w:val="86"/>
    <w:family w:val="script"/>
    <w:pitch w:val="default"/>
    <w:sig w:usb0="00000000" w:usb1="00000000" w:usb2="00082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322C">
    <w:pPr>
      <w:pStyle w:val="25"/>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003C4E">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v1xsgBAACe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hb9cbIAQAAngMAAA4AAAAAAAAAAQAgAAAAHgEAAGRycy9lMm9Eb2Mu&#10;eG1sUEsFBgAAAAAGAAYAWQEAAFgFAAAAAA==&#10;">
              <v:fill on="f" focussize="0,0"/>
              <v:stroke on="f"/>
              <v:imagedata o:title=""/>
              <o:lock v:ext="edit" aspectratio="f"/>
              <v:textbox inset="0mm,0mm,0mm,0mm" style="mso-fit-shape-to-text:t;">
                <w:txbxContent>
                  <w:p w14:paraId="1D003C4E">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3691862C">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4951">
    <w:pPr>
      <w:pStyle w:val="25"/>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458CE9"/>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79458CE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8C349">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B6497C">
                          <w:pPr>
                            <w:pStyle w:val="25"/>
                            <w:jc w:val="center"/>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8sLxZyQEAAJ4DAAAOAAAAAAAAAAEAIAAAAB4BAABkcnMvZTJvRG9j&#10;LnhtbFBLBQYAAAAABgAGAFkBAABZBQAAAAA=&#10;">
              <v:fill on="f" focussize="0,0"/>
              <v:stroke on="f"/>
              <v:imagedata o:title=""/>
              <o:lock v:ext="edit" aspectratio="f"/>
              <v:textbox inset="0mm,0mm,0mm,0mm" style="mso-fit-shape-to-text:t;">
                <w:txbxContent>
                  <w:p w14:paraId="2AB6497C">
                    <w:pPr>
                      <w:pStyle w:val="25"/>
                      <w:jc w:val="center"/>
                    </w:pPr>
                    <w:r>
                      <w:fldChar w:fldCharType="begin"/>
                    </w:r>
                    <w:r>
                      <w:instrText xml:space="preserve"> PAGE  \* MERGEFORMAT </w:instrText>
                    </w:r>
                    <w:r>
                      <w:fldChar w:fldCharType="separate"/>
                    </w:r>
                    <w:r>
                      <w:t>11</w:t>
                    </w:r>
                    <w:r>
                      <w:fldChar w:fldCharType="end"/>
                    </w:r>
                  </w:p>
                </w:txbxContent>
              </v:textbox>
            </v:shape>
          </w:pict>
        </mc:Fallback>
      </mc:AlternateContent>
    </w:r>
  </w:p>
  <w:p w14:paraId="3AC8BBCF">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82D83">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E9FC94">
                          <w:pPr>
                            <w:pStyle w:val="2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q5Ri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arlGJyQEAAJ4DAAAOAAAAAAAAAAEAIAAAAB4BAABkcnMvZTJvRG9j&#10;LnhtbFBLBQYAAAAABgAGAFkBAABZBQAAAAA=&#10;">
              <v:fill on="f" focussize="0,0"/>
              <v:stroke on="f"/>
              <v:imagedata o:title=""/>
              <o:lock v:ext="edit" aspectratio="f"/>
              <v:textbox inset="0mm,0mm,0mm,0mm" style="mso-fit-shape-to-text:t;">
                <w:txbxContent>
                  <w:p w14:paraId="48E9FC94">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2508">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2225">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32D5D"/>
    <w:multiLevelType w:val="multilevel"/>
    <w:tmpl w:val="2A232D5D"/>
    <w:lvl w:ilvl="0" w:tentative="0">
      <w:start w:val="1"/>
      <w:numFmt w:val="decimal"/>
      <w:pStyle w:val="107"/>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39A5395"/>
    <w:multiLevelType w:val="multilevel"/>
    <w:tmpl w:val="339A5395"/>
    <w:lvl w:ilvl="0" w:tentative="0">
      <w:start w:val="1"/>
      <w:numFmt w:val="decimal"/>
      <w:pStyle w:val="106"/>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5557BB"/>
    <w:multiLevelType w:val="multilevel"/>
    <w:tmpl w:val="5D5557BB"/>
    <w:lvl w:ilvl="0" w:tentative="0">
      <w:start w:val="1"/>
      <w:numFmt w:val="decimal"/>
      <w:pStyle w:val="104"/>
      <w:lvlText w:val="%1."/>
      <w:lvlJc w:val="left"/>
      <w:pPr>
        <w:ind w:left="0" w:firstLine="0"/>
      </w:p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
    <w:nsid w:val="69233C06"/>
    <w:multiLevelType w:val="multilevel"/>
    <w:tmpl w:val="69233C06"/>
    <w:lvl w:ilvl="0" w:tentative="0">
      <w:start w:val="1"/>
      <w:numFmt w:val="bullet"/>
      <w:pStyle w:val="105"/>
      <w:lvlText w:val=""/>
      <w:lvlJc w:val="left"/>
      <w:pPr>
        <w:ind w:left="0" w:firstLine="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B3173AD"/>
    <w:multiLevelType w:val="multilevel"/>
    <w:tmpl w:val="6B3173AD"/>
    <w:lvl w:ilvl="0" w:tentative="0">
      <w:start w:val="1"/>
      <w:numFmt w:val="decimal"/>
      <w:pStyle w:val="108"/>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1EF22EB"/>
    <w:multiLevelType w:val="multilevel"/>
    <w:tmpl w:val="71EF22EB"/>
    <w:lvl w:ilvl="0" w:tentative="0">
      <w:start w:val="1"/>
      <w:numFmt w:val="bullet"/>
      <w:pStyle w:val="109"/>
      <w:lvlText w:val=""/>
      <w:lvlJc w:val="left"/>
      <w:pPr>
        <w:ind w:left="0" w:firstLine="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3MGYyMmRhY2U3YWQ3ZTU1MTJkYWJlNWNkZDJmYTQifQ=="/>
  </w:docVars>
  <w:rsids>
    <w:rsidRoot w:val="00F34B14"/>
    <w:rsid w:val="000002E0"/>
    <w:rsid w:val="00000672"/>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053"/>
    <w:rsid w:val="00012854"/>
    <w:rsid w:val="00012C21"/>
    <w:rsid w:val="00012EA6"/>
    <w:rsid w:val="00013359"/>
    <w:rsid w:val="000139CF"/>
    <w:rsid w:val="00013AA4"/>
    <w:rsid w:val="00013DFE"/>
    <w:rsid w:val="000141EA"/>
    <w:rsid w:val="0001469F"/>
    <w:rsid w:val="00016ABC"/>
    <w:rsid w:val="000177DB"/>
    <w:rsid w:val="000179C9"/>
    <w:rsid w:val="00017CCC"/>
    <w:rsid w:val="00020227"/>
    <w:rsid w:val="00020263"/>
    <w:rsid w:val="00020455"/>
    <w:rsid w:val="00020813"/>
    <w:rsid w:val="000215D0"/>
    <w:rsid w:val="000220B2"/>
    <w:rsid w:val="0002264C"/>
    <w:rsid w:val="00022731"/>
    <w:rsid w:val="00022792"/>
    <w:rsid w:val="00023E38"/>
    <w:rsid w:val="00024463"/>
    <w:rsid w:val="00025461"/>
    <w:rsid w:val="00025636"/>
    <w:rsid w:val="00025E36"/>
    <w:rsid w:val="00026855"/>
    <w:rsid w:val="00026886"/>
    <w:rsid w:val="0002785D"/>
    <w:rsid w:val="000307BE"/>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341"/>
    <w:rsid w:val="00055D41"/>
    <w:rsid w:val="00056EF6"/>
    <w:rsid w:val="00057CD6"/>
    <w:rsid w:val="00060DCE"/>
    <w:rsid w:val="000610E3"/>
    <w:rsid w:val="000614F3"/>
    <w:rsid w:val="000623B4"/>
    <w:rsid w:val="00062405"/>
    <w:rsid w:val="000634A7"/>
    <w:rsid w:val="00063B0B"/>
    <w:rsid w:val="00063F81"/>
    <w:rsid w:val="00064847"/>
    <w:rsid w:val="00065E08"/>
    <w:rsid w:val="00066C2B"/>
    <w:rsid w:val="000673E2"/>
    <w:rsid w:val="000677E3"/>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0468"/>
    <w:rsid w:val="000813B5"/>
    <w:rsid w:val="0008191E"/>
    <w:rsid w:val="00081AFA"/>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3B37"/>
    <w:rsid w:val="0009560F"/>
    <w:rsid w:val="0009588E"/>
    <w:rsid w:val="000959EE"/>
    <w:rsid w:val="00096DB9"/>
    <w:rsid w:val="00097183"/>
    <w:rsid w:val="000972CB"/>
    <w:rsid w:val="00097608"/>
    <w:rsid w:val="000A0F35"/>
    <w:rsid w:val="000A1175"/>
    <w:rsid w:val="000A13F3"/>
    <w:rsid w:val="000A23B1"/>
    <w:rsid w:val="000A2B0E"/>
    <w:rsid w:val="000A398F"/>
    <w:rsid w:val="000A448C"/>
    <w:rsid w:val="000A509C"/>
    <w:rsid w:val="000A54A7"/>
    <w:rsid w:val="000A5A17"/>
    <w:rsid w:val="000A5DF3"/>
    <w:rsid w:val="000A6007"/>
    <w:rsid w:val="000A65A6"/>
    <w:rsid w:val="000A70E3"/>
    <w:rsid w:val="000A7275"/>
    <w:rsid w:val="000A7A12"/>
    <w:rsid w:val="000A7A72"/>
    <w:rsid w:val="000A7F5C"/>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798"/>
    <w:rsid w:val="000D2626"/>
    <w:rsid w:val="000D411D"/>
    <w:rsid w:val="000D4589"/>
    <w:rsid w:val="000D4809"/>
    <w:rsid w:val="000D4FEF"/>
    <w:rsid w:val="000D7313"/>
    <w:rsid w:val="000D73DD"/>
    <w:rsid w:val="000E1C51"/>
    <w:rsid w:val="000E28AB"/>
    <w:rsid w:val="000E2E3E"/>
    <w:rsid w:val="000E3583"/>
    <w:rsid w:val="000E3AF0"/>
    <w:rsid w:val="000E4E04"/>
    <w:rsid w:val="000E5C8B"/>
    <w:rsid w:val="000E693B"/>
    <w:rsid w:val="000E6D5C"/>
    <w:rsid w:val="000E6EC9"/>
    <w:rsid w:val="000E70B4"/>
    <w:rsid w:val="000E725F"/>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AE9"/>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465D"/>
    <w:rsid w:val="00115E11"/>
    <w:rsid w:val="00115EEE"/>
    <w:rsid w:val="00115F56"/>
    <w:rsid w:val="00116CA9"/>
    <w:rsid w:val="00116F38"/>
    <w:rsid w:val="001170A4"/>
    <w:rsid w:val="00117AE7"/>
    <w:rsid w:val="00117B85"/>
    <w:rsid w:val="00117CBD"/>
    <w:rsid w:val="0012006A"/>
    <w:rsid w:val="00121979"/>
    <w:rsid w:val="00122064"/>
    <w:rsid w:val="00123CCB"/>
    <w:rsid w:val="00124341"/>
    <w:rsid w:val="00124492"/>
    <w:rsid w:val="00124B12"/>
    <w:rsid w:val="001250A0"/>
    <w:rsid w:val="001263B8"/>
    <w:rsid w:val="001268D1"/>
    <w:rsid w:val="00127F8A"/>
    <w:rsid w:val="00130217"/>
    <w:rsid w:val="00130783"/>
    <w:rsid w:val="00130A47"/>
    <w:rsid w:val="00130FB0"/>
    <w:rsid w:val="00132B47"/>
    <w:rsid w:val="001337F8"/>
    <w:rsid w:val="001348B4"/>
    <w:rsid w:val="001351CB"/>
    <w:rsid w:val="00135530"/>
    <w:rsid w:val="00135947"/>
    <w:rsid w:val="001359A2"/>
    <w:rsid w:val="00135F92"/>
    <w:rsid w:val="00136020"/>
    <w:rsid w:val="00136445"/>
    <w:rsid w:val="00136A9C"/>
    <w:rsid w:val="00137389"/>
    <w:rsid w:val="00140132"/>
    <w:rsid w:val="00141C9C"/>
    <w:rsid w:val="00142344"/>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396"/>
    <w:rsid w:val="00154518"/>
    <w:rsid w:val="00156359"/>
    <w:rsid w:val="00156DD6"/>
    <w:rsid w:val="0016086E"/>
    <w:rsid w:val="001609B9"/>
    <w:rsid w:val="00160D0C"/>
    <w:rsid w:val="00160DD1"/>
    <w:rsid w:val="00161172"/>
    <w:rsid w:val="00161998"/>
    <w:rsid w:val="00161E65"/>
    <w:rsid w:val="00162597"/>
    <w:rsid w:val="001629AF"/>
    <w:rsid w:val="001629FD"/>
    <w:rsid w:val="0016428A"/>
    <w:rsid w:val="001647C9"/>
    <w:rsid w:val="00165627"/>
    <w:rsid w:val="00166033"/>
    <w:rsid w:val="001661A3"/>
    <w:rsid w:val="00166F19"/>
    <w:rsid w:val="00167226"/>
    <w:rsid w:val="0016782B"/>
    <w:rsid w:val="0016784D"/>
    <w:rsid w:val="00167853"/>
    <w:rsid w:val="00167887"/>
    <w:rsid w:val="001723AD"/>
    <w:rsid w:val="00172CA8"/>
    <w:rsid w:val="00173256"/>
    <w:rsid w:val="001737B9"/>
    <w:rsid w:val="00173B0E"/>
    <w:rsid w:val="00173E03"/>
    <w:rsid w:val="0017512C"/>
    <w:rsid w:val="001756AF"/>
    <w:rsid w:val="0017586A"/>
    <w:rsid w:val="00175BA6"/>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5379"/>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339"/>
    <w:rsid w:val="001B7ECC"/>
    <w:rsid w:val="001C025B"/>
    <w:rsid w:val="001C115F"/>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56E2"/>
    <w:rsid w:val="001D58A1"/>
    <w:rsid w:val="001D58C2"/>
    <w:rsid w:val="001D5A8A"/>
    <w:rsid w:val="001D61CA"/>
    <w:rsid w:val="001D6E87"/>
    <w:rsid w:val="001D735E"/>
    <w:rsid w:val="001D73C8"/>
    <w:rsid w:val="001D7BC6"/>
    <w:rsid w:val="001E129E"/>
    <w:rsid w:val="001E175C"/>
    <w:rsid w:val="001E1B0E"/>
    <w:rsid w:val="001E1C7C"/>
    <w:rsid w:val="001E2186"/>
    <w:rsid w:val="001E3B63"/>
    <w:rsid w:val="001E55ED"/>
    <w:rsid w:val="001E5A94"/>
    <w:rsid w:val="001E7D7E"/>
    <w:rsid w:val="001F13FD"/>
    <w:rsid w:val="001F18F9"/>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2EF5"/>
    <w:rsid w:val="0021302C"/>
    <w:rsid w:val="00213B1C"/>
    <w:rsid w:val="00213F1E"/>
    <w:rsid w:val="00214202"/>
    <w:rsid w:val="002148E3"/>
    <w:rsid w:val="0021552D"/>
    <w:rsid w:val="002156AE"/>
    <w:rsid w:val="00215E99"/>
    <w:rsid w:val="002175BD"/>
    <w:rsid w:val="0022054D"/>
    <w:rsid w:val="0022107B"/>
    <w:rsid w:val="00223DDB"/>
    <w:rsid w:val="00223FA4"/>
    <w:rsid w:val="00223FB0"/>
    <w:rsid w:val="0022405A"/>
    <w:rsid w:val="00224067"/>
    <w:rsid w:val="0022421C"/>
    <w:rsid w:val="00224C4A"/>
    <w:rsid w:val="00224E83"/>
    <w:rsid w:val="00225664"/>
    <w:rsid w:val="002261E9"/>
    <w:rsid w:val="0022663D"/>
    <w:rsid w:val="00226A46"/>
    <w:rsid w:val="00227C56"/>
    <w:rsid w:val="00227F2D"/>
    <w:rsid w:val="00231851"/>
    <w:rsid w:val="0023186A"/>
    <w:rsid w:val="002319FB"/>
    <w:rsid w:val="00231B89"/>
    <w:rsid w:val="00231F11"/>
    <w:rsid w:val="00231F5E"/>
    <w:rsid w:val="002346B4"/>
    <w:rsid w:val="00234F6E"/>
    <w:rsid w:val="002355BE"/>
    <w:rsid w:val="002358EA"/>
    <w:rsid w:val="00236578"/>
    <w:rsid w:val="00236DE9"/>
    <w:rsid w:val="00237342"/>
    <w:rsid w:val="00237810"/>
    <w:rsid w:val="00237D5A"/>
    <w:rsid w:val="00240D75"/>
    <w:rsid w:val="002415AE"/>
    <w:rsid w:val="00241D3C"/>
    <w:rsid w:val="00241F68"/>
    <w:rsid w:val="00242109"/>
    <w:rsid w:val="00243189"/>
    <w:rsid w:val="002439AB"/>
    <w:rsid w:val="00243C19"/>
    <w:rsid w:val="00244AE8"/>
    <w:rsid w:val="00244DC9"/>
    <w:rsid w:val="00245587"/>
    <w:rsid w:val="00245F2B"/>
    <w:rsid w:val="002466CD"/>
    <w:rsid w:val="00247F3A"/>
    <w:rsid w:val="00250122"/>
    <w:rsid w:val="0025024D"/>
    <w:rsid w:val="00250755"/>
    <w:rsid w:val="00250E5A"/>
    <w:rsid w:val="00251043"/>
    <w:rsid w:val="00251C4A"/>
    <w:rsid w:val="0025204E"/>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67"/>
    <w:rsid w:val="00271FA8"/>
    <w:rsid w:val="00272293"/>
    <w:rsid w:val="002723C8"/>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2763"/>
    <w:rsid w:val="002A3A57"/>
    <w:rsid w:val="002A4B4F"/>
    <w:rsid w:val="002A57A8"/>
    <w:rsid w:val="002A6DEF"/>
    <w:rsid w:val="002A770B"/>
    <w:rsid w:val="002A7F9C"/>
    <w:rsid w:val="002B013E"/>
    <w:rsid w:val="002B058D"/>
    <w:rsid w:val="002B0C16"/>
    <w:rsid w:val="002B2456"/>
    <w:rsid w:val="002B2891"/>
    <w:rsid w:val="002B2AC5"/>
    <w:rsid w:val="002B32ED"/>
    <w:rsid w:val="002B3528"/>
    <w:rsid w:val="002B3539"/>
    <w:rsid w:val="002B4395"/>
    <w:rsid w:val="002B4532"/>
    <w:rsid w:val="002B4DD9"/>
    <w:rsid w:val="002B5042"/>
    <w:rsid w:val="002B69CC"/>
    <w:rsid w:val="002B6D71"/>
    <w:rsid w:val="002C03AE"/>
    <w:rsid w:val="002C0C1C"/>
    <w:rsid w:val="002C16AE"/>
    <w:rsid w:val="002C362C"/>
    <w:rsid w:val="002C41BF"/>
    <w:rsid w:val="002C54C2"/>
    <w:rsid w:val="002C5D34"/>
    <w:rsid w:val="002C60BB"/>
    <w:rsid w:val="002C6131"/>
    <w:rsid w:val="002C661A"/>
    <w:rsid w:val="002D0D6F"/>
    <w:rsid w:val="002D14BF"/>
    <w:rsid w:val="002D1796"/>
    <w:rsid w:val="002D25FC"/>
    <w:rsid w:val="002D4AC6"/>
    <w:rsid w:val="002D59BF"/>
    <w:rsid w:val="002D5BF5"/>
    <w:rsid w:val="002D5EE8"/>
    <w:rsid w:val="002D600A"/>
    <w:rsid w:val="002D7360"/>
    <w:rsid w:val="002D7648"/>
    <w:rsid w:val="002D7C80"/>
    <w:rsid w:val="002E109C"/>
    <w:rsid w:val="002E193E"/>
    <w:rsid w:val="002E1A94"/>
    <w:rsid w:val="002E1D55"/>
    <w:rsid w:val="002E26C4"/>
    <w:rsid w:val="002E2734"/>
    <w:rsid w:val="002E30A5"/>
    <w:rsid w:val="002E47E4"/>
    <w:rsid w:val="002E4BF9"/>
    <w:rsid w:val="002E4D61"/>
    <w:rsid w:val="002E50B9"/>
    <w:rsid w:val="002E68A7"/>
    <w:rsid w:val="002E6E6C"/>
    <w:rsid w:val="002E6E76"/>
    <w:rsid w:val="002F016E"/>
    <w:rsid w:val="002F051C"/>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AF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14D9"/>
    <w:rsid w:val="00331653"/>
    <w:rsid w:val="00331939"/>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6C"/>
    <w:rsid w:val="0035459E"/>
    <w:rsid w:val="00354AE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66E"/>
    <w:rsid w:val="00367764"/>
    <w:rsid w:val="00370316"/>
    <w:rsid w:val="00370DC7"/>
    <w:rsid w:val="00371CBD"/>
    <w:rsid w:val="00371F20"/>
    <w:rsid w:val="003721E3"/>
    <w:rsid w:val="00372B98"/>
    <w:rsid w:val="003737B7"/>
    <w:rsid w:val="003740CC"/>
    <w:rsid w:val="00374163"/>
    <w:rsid w:val="003745F4"/>
    <w:rsid w:val="0037491A"/>
    <w:rsid w:val="00374E79"/>
    <w:rsid w:val="0037529A"/>
    <w:rsid w:val="00375388"/>
    <w:rsid w:val="00375559"/>
    <w:rsid w:val="00375FB9"/>
    <w:rsid w:val="00376170"/>
    <w:rsid w:val="003761B2"/>
    <w:rsid w:val="00376851"/>
    <w:rsid w:val="00376FA2"/>
    <w:rsid w:val="00377133"/>
    <w:rsid w:val="00377A3B"/>
    <w:rsid w:val="00377E3C"/>
    <w:rsid w:val="00380874"/>
    <w:rsid w:val="00380BBE"/>
    <w:rsid w:val="00381BF4"/>
    <w:rsid w:val="00381D70"/>
    <w:rsid w:val="0038235E"/>
    <w:rsid w:val="003829D0"/>
    <w:rsid w:val="0038326A"/>
    <w:rsid w:val="00383D5E"/>
    <w:rsid w:val="0038444F"/>
    <w:rsid w:val="003861F0"/>
    <w:rsid w:val="00387051"/>
    <w:rsid w:val="00387ECF"/>
    <w:rsid w:val="00390133"/>
    <w:rsid w:val="0039021B"/>
    <w:rsid w:val="00390429"/>
    <w:rsid w:val="003906A0"/>
    <w:rsid w:val="00391A66"/>
    <w:rsid w:val="003923D5"/>
    <w:rsid w:val="003931AF"/>
    <w:rsid w:val="0039366C"/>
    <w:rsid w:val="00393EC8"/>
    <w:rsid w:val="003943CC"/>
    <w:rsid w:val="00395AB1"/>
    <w:rsid w:val="00395E42"/>
    <w:rsid w:val="0039621E"/>
    <w:rsid w:val="00396409"/>
    <w:rsid w:val="00396A2D"/>
    <w:rsid w:val="00396FC3"/>
    <w:rsid w:val="003A1431"/>
    <w:rsid w:val="003A1A94"/>
    <w:rsid w:val="003A204E"/>
    <w:rsid w:val="003A2D25"/>
    <w:rsid w:val="003A5101"/>
    <w:rsid w:val="003A5728"/>
    <w:rsid w:val="003A60E7"/>
    <w:rsid w:val="003A66A3"/>
    <w:rsid w:val="003A7092"/>
    <w:rsid w:val="003A72A1"/>
    <w:rsid w:val="003A7611"/>
    <w:rsid w:val="003A7D1F"/>
    <w:rsid w:val="003B0B6A"/>
    <w:rsid w:val="003B22F7"/>
    <w:rsid w:val="003B29CF"/>
    <w:rsid w:val="003B3A90"/>
    <w:rsid w:val="003B3D01"/>
    <w:rsid w:val="003B534F"/>
    <w:rsid w:val="003B7A79"/>
    <w:rsid w:val="003B7D00"/>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3F7F03"/>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82"/>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4157"/>
    <w:rsid w:val="0044417C"/>
    <w:rsid w:val="00444DB3"/>
    <w:rsid w:val="00445617"/>
    <w:rsid w:val="00445A2F"/>
    <w:rsid w:val="0044684E"/>
    <w:rsid w:val="00446EC8"/>
    <w:rsid w:val="00446F22"/>
    <w:rsid w:val="0045019F"/>
    <w:rsid w:val="004503A4"/>
    <w:rsid w:val="00450555"/>
    <w:rsid w:val="004506FA"/>
    <w:rsid w:val="00450B54"/>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4EA0"/>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49B"/>
    <w:rsid w:val="00486D60"/>
    <w:rsid w:val="00491FA1"/>
    <w:rsid w:val="00492A25"/>
    <w:rsid w:val="004938A3"/>
    <w:rsid w:val="0049558B"/>
    <w:rsid w:val="00496350"/>
    <w:rsid w:val="0049797C"/>
    <w:rsid w:val="004A0D52"/>
    <w:rsid w:val="004A1171"/>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4BFE"/>
    <w:rsid w:val="004B57DF"/>
    <w:rsid w:val="004B5976"/>
    <w:rsid w:val="004B722E"/>
    <w:rsid w:val="004B72E8"/>
    <w:rsid w:val="004B7E4F"/>
    <w:rsid w:val="004C01A5"/>
    <w:rsid w:val="004C0412"/>
    <w:rsid w:val="004C2138"/>
    <w:rsid w:val="004C3940"/>
    <w:rsid w:val="004C51FD"/>
    <w:rsid w:val="004C65A8"/>
    <w:rsid w:val="004C6689"/>
    <w:rsid w:val="004D0196"/>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696"/>
    <w:rsid w:val="004D6D52"/>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7160"/>
    <w:rsid w:val="004F7DD0"/>
    <w:rsid w:val="00500258"/>
    <w:rsid w:val="00500B2D"/>
    <w:rsid w:val="00501A99"/>
    <w:rsid w:val="00503180"/>
    <w:rsid w:val="005038A4"/>
    <w:rsid w:val="00504CD4"/>
    <w:rsid w:val="0050524B"/>
    <w:rsid w:val="00505450"/>
    <w:rsid w:val="00505FC6"/>
    <w:rsid w:val="00506449"/>
    <w:rsid w:val="00506C5E"/>
    <w:rsid w:val="005100B7"/>
    <w:rsid w:val="005105DE"/>
    <w:rsid w:val="005113C9"/>
    <w:rsid w:val="00511D0F"/>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26FA3"/>
    <w:rsid w:val="00530064"/>
    <w:rsid w:val="00531761"/>
    <w:rsid w:val="0053248F"/>
    <w:rsid w:val="005327AB"/>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A43"/>
    <w:rsid w:val="00546B96"/>
    <w:rsid w:val="00546F90"/>
    <w:rsid w:val="00547EFB"/>
    <w:rsid w:val="00550192"/>
    <w:rsid w:val="005522F2"/>
    <w:rsid w:val="005531DF"/>
    <w:rsid w:val="00553874"/>
    <w:rsid w:val="00553DCE"/>
    <w:rsid w:val="00554577"/>
    <w:rsid w:val="00554AD8"/>
    <w:rsid w:val="00554F78"/>
    <w:rsid w:val="00555DA1"/>
    <w:rsid w:val="00556BF7"/>
    <w:rsid w:val="00556E53"/>
    <w:rsid w:val="00557F60"/>
    <w:rsid w:val="00561730"/>
    <w:rsid w:val="00561B97"/>
    <w:rsid w:val="00562149"/>
    <w:rsid w:val="005640EB"/>
    <w:rsid w:val="005666A4"/>
    <w:rsid w:val="00567B5D"/>
    <w:rsid w:val="00570757"/>
    <w:rsid w:val="00573733"/>
    <w:rsid w:val="00573C78"/>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0ED3"/>
    <w:rsid w:val="005913A3"/>
    <w:rsid w:val="00591A5A"/>
    <w:rsid w:val="005935A2"/>
    <w:rsid w:val="005940D4"/>
    <w:rsid w:val="00594A7B"/>
    <w:rsid w:val="0059580E"/>
    <w:rsid w:val="00595D90"/>
    <w:rsid w:val="00596A6F"/>
    <w:rsid w:val="00596FCE"/>
    <w:rsid w:val="005A11BC"/>
    <w:rsid w:val="005A1525"/>
    <w:rsid w:val="005A1E17"/>
    <w:rsid w:val="005A2254"/>
    <w:rsid w:val="005A252B"/>
    <w:rsid w:val="005A2A8F"/>
    <w:rsid w:val="005A3008"/>
    <w:rsid w:val="005A3204"/>
    <w:rsid w:val="005A3341"/>
    <w:rsid w:val="005A3C3D"/>
    <w:rsid w:val="005A46EC"/>
    <w:rsid w:val="005A5EAE"/>
    <w:rsid w:val="005A6407"/>
    <w:rsid w:val="005A726C"/>
    <w:rsid w:val="005B017A"/>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2C12"/>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2CDC"/>
    <w:rsid w:val="005F3822"/>
    <w:rsid w:val="005F4635"/>
    <w:rsid w:val="005F4900"/>
    <w:rsid w:val="005F4E52"/>
    <w:rsid w:val="005F6D58"/>
    <w:rsid w:val="005F7383"/>
    <w:rsid w:val="0060058E"/>
    <w:rsid w:val="006009F6"/>
    <w:rsid w:val="00602A3C"/>
    <w:rsid w:val="00603EFD"/>
    <w:rsid w:val="0060475B"/>
    <w:rsid w:val="00604BED"/>
    <w:rsid w:val="00604FB6"/>
    <w:rsid w:val="00605387"/>
    <w:rsid w:val="00606302"/>
    <w:rsid w:val="006076FD"/>
    <w:rsid w:val="0061077B"/>
    <w:rsid w:val="00610811"/>
    <w:rsid w:val="006113FD"/>
    <w:rsid w:val="0061143F"/>
    <w:rsid w:val="006114D8"/>
    <w:rsid w:val="00613553"/>
    <w:rsid w:val="00613601"/>
    <w:rsid w:val="00613791"/>
    <w:rsid w:val="006150D6"/>
    <w:rsid w:val="00615245"/>
    <w:rsid w:val="0061590D"/>
    <w:rsid w:val="00615AAB"/>
    <w:rsid w:val="00617EEE"/>
    <w:rsid w:val="00620A1F"/>
    <w:rsid w:val="0062114B"/>
    <w:rsid w:val="0062169D"/>
    <w:rsid w:val="0062181E"/>
    <w:rsid w:val="0062211B"/>
    <w:rsid w:val="00622BB7"/>
    <w:rsid w:val="00622C1E"/>
    <w:rsid w:val="00623268"/>
    <w:rsid w:val="00623389"/>
    <w:rsid w:val="00623DAA"/>
    <w:rsid w:val="00623FAF"/>
    <w:rsid w:val="006265C4"/>
    <w:rsid w:val="0062678A"/>
    <w:rsid w:val="006270AF"/>
    <w:rsid w:val="00632950"/>
    <w:rsid w:val="00634367"/>
    <w:rsid w:val="00636CE3"/>
    <w:rsid w:val="00640082"/>
    <w:rsid w:val="00640291"/>
    <w:rsid w:val="00640EFE"/>
    <w:rsid w:val="00641D6D"/>
    <w:rsid w:val="00641FAC"/>
    <w:rsid w:val="00642B2C"/>
    <w:rsid w:val="00643664"/>
    <w:rsid w:val="00643CAA"/>
    <w:rsid w:val="00644F16"/>
    <w:rsid w:val="006455EB"/>
    <w:rsid w:val="006456C2"/>
    <w:rsid w:val="00645A65"/>
    <w:rsid w:val="00646959"/>
    <w:rsid w:val="00646A71"/>
    <w:rsid w:val="006477F0"/>
    <w:rsid w:val="006478E4"/>
    <w:rsid w:val="00650475"/>
    <w:rsid w:val="0065171A"/>
    <w:rsid w:val="00652680"/>
    <w:rsid w:val="00653CDE"/>
    <w:rsid w:val="00654585"/>
    <w:rsid w:val="0065566E"/>
    <w:rsid w:val="00655A89"/>
    <w:rsid w:val="00655AB6"/>
    <w:rsid w:val="00655EFA"/>
    <w:rsid w:val="00656061"/>
    <w:rsid w:val="00656281"/>
    <w:rsid w:val="0065636A"/>
    <w:rsid w:val="00657003"/>
    <w:rsid w:val="00660238"/>
    <w:rsid w:val="006602EF"/>
    <w:rsid w:val="00660B0C"/>
    <w:rsid w:val="00661277"/>
    <w:rsid w:val="006619E0"/>
    <w:rsid w:val="00663FEA"/>
    <w:rsid w:val="00664803"/>
    <w:rsid w:val="006657C5"/>
    <w:rsid w:val="006661A4"/>
    <w:rsid w:val="00666AC0"/>
    <w:rsid w:val="006670E0"/>
    <w:rsid w:val="006671B8"/>
    <w:rsid w:val="00667275"/>
    <w:rsid w:val="00667532"/>
    <w:rsid w:val="0066783E"/>
    <w:rsid w:val="00667E53"/>
    <w:rsid w:val="006706C3"/>
    <w:rsid w:val="006711C4"/>
    <w:rsid w:val="006713AB"/>
    <w:rsid w:val="00672CA5"/>
    <w:rsid w:val="00673711"/>
    <w:rsid w:val="00673F82"/>
    <w:rsid w:val="00674F74"/>
    <w:rsid w:val="0067508F"/>
    <w:rsid w:val="00677576"/>
    <w:rsid w:val="0068051E"/>
    <w:rsid w:val="00680B9D"/>
    <w:rsid w:val="00681F13"/>
    <w:rsid w:val="0068231C"/>
    <w:rsid w:val="00682332"/>
    <w:rsid w:val="00682344"/>
    <w:rsid w:val="00682F28"/>
    <w:rsid w:val="00683515"/>
    <w:rsid w:val="00683804"/>
    <w:rsid w:val="00684842"/>
    <w:rsid w:val="006859AA"/>
    <w:rsid w:val="00685BD6"/>
    <w:rsid w:val="00687116"/>
    <w:rsid w:val="006878A6"/>
    <w:rsid w:val="00687D5F"/>
    <w:rsid w:val="00690437"/>
    <w:rsid w:val="00690830"/>
    <w:rsid w:val="00690DC3"/>
    <w:rsid w:val="00690E65"/>
    <w:rsid w:val="006911B7"/>
    <w:rsid w:val="00691387"/>
    <w:rsid w:val="0069188E"/>
    <w:rsid w:val="00691974"/>
    <w:rsid w:val="00692BF6"/>
    <w:rsid w:val="00692CE6"/>
    <w:rsid w:val="00693186"/>
    <w:rsid w:val="00693381"/>
    <w:rsid w:val="00693B6C"/>
    <w:rsid w:val="006942AE"/>
    <w:rsid w:val="00695421"/>
    <w:rsid w:val="00697626"/>
    <w:rsid w:val="00697BD3"/>
    <w:rsid w:val="00697DFA"/>
    <w:rsid w:val="006A04A1"/>
    <w:rsid w:val="006A16D5"/>
    <w:rsid w:val="006A1772"/>
    <w:rsid w:val="006A1780"/>
    <w:rsid w:val="006A21DD"/>
    <w:rsid w:val="006A26C6"/>
    <w:rsid w:val="006A3302"/>
    <w:rsid w:val="006A3B28"/>
    <w:rsid w:val="006A4FEE"/>
    <w:rsid w:val="006A5549"/>
    <w:rsid w:val="006A703E"/>
    <w:rsid w:val="006A7721"/>
    <w:rsid w:val="006A7BE3"/>
    <w:rsid w:val="006A7D32"/>
    <w:rsid w:val="006B01D1"/>
    <w:rsid w:val="006B0DF4"/>
    <w:rsid w:val="006B16EA"/>
    <w:rsid w:val="006B1780"/>
    <w:rsid w:val="006B21DC"/>
    <w:rsid w:val="006B224E"/>
    <w:rsid w:val="006B376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89A"/>
    <w:rsid w:val="006D0AF7"/>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404"/>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2DA"/>
    <w:rsid w:val="00725378"/>
    <w:rsid w:val="00726A90"/>
    <w:rsid w:val="00727A43"/>
    <w:rsid w:val="00727FF2"/>
    <w:rsid w:val="00730550"/>
    <w:rsid w:val="00730C2A"/>
    <w:rsid w:val="00731434"/>
    <w:rsid w:val="00731E59"/>
    <w:rsid w:val="00732022"/>
    <w:rsid w:val="00732337"/>
    <w:rsid w:val="007323E0"/>
    <w:rsid w:val="00732911"/>
    <w:rsid w:val="00733721"/>
    <w:rsid w:val="00733DE2"/>
    <w:rsid w:val="00734142"/>
    <w:rsid w:val="007352EA"/>
    <w:rsid w:val="00737267"/>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1D1F"/>
    <w:rsid w:val="007623FB"/>
    <w:rsid w:val="00762517"/>
    <w:rsid w:val="00763240"/>
    <w:rsid w:val="0076376A"/>
    <w:rsid w:val="007648AD"/>
    <w:rsid w:val="0076504E"/>
    <w:rsid w:val="00765437"/>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CDD"/>
    <w:rsid w:val="00796DDF"/>
    <w:rsid w:val="00796F65"/>
    <w:rsid w:val="007A11C2"/>
    <w:rsid w:val="007A18BB"/>
    <w:rsid w:val="007A2714"/>
    <w:rsid w:val="007A27DD"/>
    <w:rsid w:val="007A338C"/>
    <w:rsid w:val="007A41BF"/>
    <w:rsid w:val="007A490A"/>
    <w:rsid w:val="007A7B95"/>
    <w:rsid w:val="007B0297"/>
    <w:rsid w:val="007B02FA"/>
    <w:rsid w:val="007B0F53"/>
    <w:rsid w:val="007B21AE"/>
    <w:rsid w:val="007B2570"/>
    <w:rsid w:val="007B3113"/>
    <w:rsid w:val="007B3304"/>
    <w:rsid w:val="007B3BF0"/>
    <w:rsid w:val="007B5FE6"/>
    <w:rsid w:val="007B738E"/>
    <w:rsid w:val="007B7490"/>
    <w:rsid w:val="007C03B6"/>
    <w:rsid w:val="007C0525"/>
    <w:rsid w:val="007C13F7"/>
    <w:rsid w:val="007C1D77"/>
    <w:rsid w:val="007C218D"/>
    <w:rsid w:val="007C2D28"/>
    <w:rsid w:val="007C3E22"/>
    <w:rsid w:val="007C4801"/>
    <w:rsid w:val="007C58C1"/>
    <w:rsid w:val="007C6218"/>
    <w:rsid w:val="007C6484"/>
    <w:rsid w:val="007C67C6"/>
    <w:rsid w:val="007C76F4"/>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C3F"/>
    <w:rsid w:val="007D6D68"/>
    <w:rsid w:val="007E194F"/>
    <w:rsid w:val="007E32DA"/>
    <w:rsid w:val="007E4998"/>
    <w:rsid w:val="007E4A9C"/>
    <w:rsid w:val="007E6914"/>
    <w:rsid w:val="007E7A0F"/>
    <w:rsid w:val="007E7F78"/>
    <w:rsid w:val="007F0179"/>
    <w:rsid w:val="007F01BC"/>
    <w:rsid w:val="007F17AF"/>
    <w:rsid w:val="007F27CB"/>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472"/>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7526"/>
    <w:rsid w:val="008407A7"/>
    <w:rsid w:val="0084322B"/>
    <w:rsid w:val="00843F81"/>
    <w:rsid w:val="00844087"/>
    <w:rsid w:val="008444DE"/>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1A2"/>
    <w:rsid w:val="00863A8E"/>
    <w:rsid w:val="0086407F"/>
    <w:rsid w:val="008645E3"/>
    <w:rsid w:val="00864E79"/>
    <w:rsid w:val="0086572B"/>
    <w:rsid w:val="00866615"/>
    <w:rsid w:val="0086661F"/>
    <w:rsid w:val="00866A0D"/>
    <w:rsid w:val="00866DB5"/>
    <w:rsid w:val="0086701D"/>
    <w:rsid w:val="0086702B"/>
    <w:rsid w:val="008672E2"/>
    <w:rsid w:val="0086784E"/>
    <w:rsid w:val="008709D1"/>
    <w:rsid w:val="0087121C"/>
    <w:rsid w:val="00871FD2"/>
    <w:rsid w:val="00872084"/>
    <w:rsid w:val="00872827"/>
    <w:rsid w:val="00872A32"/>
    <w:rsid w:val="0087377C"/>
    <w:rsid w:val="008743E3"/>
    <w:rsid w:val="00874911"/>
    <w:rsid w:val="008754E4"/>
    <w:rsid w:val="00876EAE"/>
    <w:rsid w:val="00880106"/>
    <w:rsid w:val="00880F95"/>
    <w:rsid w:val="008821A3"/>
    <w:rsid w:val="00882B44"/>
    <w:rsid w:val="008838AD"/>
    <w:rsid w:val="00885BC9"/>
    <w:rsid w:val="008864B3"/>
    <w:rsid w:val="008865E5"/>
    <w:rsid w:val="008871B0"/>
    <w:rsid w:val="00890B57"/>
    <w:rsid w:val="008916BA"/>
    <w:rsid w:val="00891A93"/>
    <w:rsid w:val="0089217C"/>
    <w:rsid w:val="00892286"/>
    <w:rsid w:val="00892790"/>
    <w:rsid w:val="00893261"/>
    <w:rsid w:val="00893671"/>
    <w:rsid w:val="00895838"/>
    <w:rsid w:val="00895A1E"/>
    <w:rsid w:val="00895A72"/>
    <w:rsid w:val="00895CDF"/>
    <w:rsid w:val="00896679"/>
    <w:rsid w:val="00896D8C"/>
    <w:rsid w:val="008A0FC9"/>
    <w:rsid w:val="008A1956"/>
    <w:rsid w:val="008A1A7C"/>
    <w:rsid w:val="008A248A"/>
    <w:rsid w:val="008A2CE2"/>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D2050"/>
    <w:rsid w:val="008D3B2D"/>
    <w:rsid w:val="008D4819"/>
    <w:rsid w:val="008D58D9"/>
    <w:rsid w:val="008D5AD4"/>
    <w:rsid w:val="008D5E2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77D4"/>
    <w:rsid w:val="008E7ADD"/>
    <w:rsid w:val="008F091F"/>
    <w:rsid w:val="008F17B2"/>
    <w:rsid w:val="008F22B3"/>
    <w:rsid w:val="008F357B"/>
    <w:rsid w:val="008F44CA"/>
    <w:rsid w:val="008F49D3"/>
    <w:rsid w:val="008F4A81"/>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5C02"/>
    <w:rsid w:val="00926112"/>
    <w:rsid w:val="0092625F"/>
    <w:rsid w:val="00926B28"/>
    <w:rsid w:val="00926D9C"/>
    <w:rsid w:val="00926E66"/>
    <w:rsid w:val="00927028"/>
    <w:rsid w:val="00927763"/>
    <w:rsid w:val="00927A2D"/>
    <w:rsid w:val="00927B37"/>
    <w:rsid w:val="00931CA9"/>
    <w:rsid w:val="009321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1FD"/>
    <w:rsid w:val="00954537"/>
    <w:rsid w:val="0095472D"/>
    <w:rsid w:val="00955342"/>
    <w:rsid w:val="00955FBB"/>
    <w:rsid w:val="0095694B"/>
    <w:rsid w:val="00956BD5"/>
    <w:rsid w:val="00956D84"/>
    <w:rsid w:val="009577B5"/>
    <w:rsid w:val="009608E6"/>
    <w:rsid w:val="00960F57"/>
    <w:rsid w:val="00961C90"/>
    <w:rsid w:val="00963C96"/>
    <w:rsid w:val="00965443"/>
    <w:rsid w:val="00965954"/>
    <w:rsid w:val="00965A21"/>
    <w:rsid w:val="00965E55"/>
    <w:rsid w:val="0096608E"/>
    <w:rsid w:val="00966522"/>
    <w:rsid w:val="00966C33"/>
    <w:rsid w:val="00970F18"/>
    <w:rsid w:val="00971CF1"/>
    <w:rsid w:val="00971F5D"/>
    <w:rsid w:val="0097206B"/>
    <w:rsid w:val="009721E9"/>
    <w:rsid w:val="00973772"/>
    <w:rsid w:val="00974C8A"/>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1A4"/>
    <w:rsid w:val="00995D67"/>
    <w:rsid w:val="00997613"/>
    <w:rsid w:val="009A013B"/>
    <w:rsid w:val="009A02F4"/>
    <w:rsid w:val="009A06BF"/>
    <w:rsid w:val="009A0D17"/>
    <w:rsid w:val="009A2494"/>
    <w:rsid w:val="009A32B1"/>
    <w:rsid w:val="009A33A3"/>
    <w:rsid w:val="009A36F2"/>
    <w:rsid w:val="009A383D"/>
    <w:rsid w:val="009A3C81"/>
    <w:rsid w:val="009A40C3"/>
    <w:rsid w:val="009A40D5"/>
    <w:rsid w:val="009A5268"/>
    <w:rsid w:val="009A56B1"/>
    <w:rsid w:val="009A57D0"/>
    <w:rsid w:val="009A6559"/>
    <w:rsid w:val="009A68FC"/>
    <w:rsid w:val="009A6CE4"/>
    <w:rsid w:val="009A7514"/>
    <w:rsid w:val="009A7E7A"/>
    <w:rsid w:val="009B0925"/>
    <w:rsid w:val="009B1584"/>
    <w:rsid w:val="009B18F0"/>
    <w:rsid w:val="009B1F4C"/>
    <w:rsid w:val="009B2471"/>
    <w:rsid w:val="009B2515"/>
    <w:rsid w:val="009B2A25"/>
    <w:rsid w:val="009B314F"/>
    <w:rsid w:val="009B439C"/>
    <w:rsid w:val="009B49A1"/>
    <w:rsid w:val="009B4A6C"/>
    <w:rsid w:val="009B4B06"/>
    <w:rsid w:val="009B4DA8"/>
    <w:rsid w:val="009B519A"/>
    <w:rsid w:val="009B620C"/>
    <w:rsid w:val="009B6753"/>
    <w:rsid w:val="009B676C"/>
    <w:rsid w:val="009B6A26"/>
    <w:rsid w:val="009B6BD0"/>
    <w:rsid w:val="009C079D"/>
    <w:rsid w:val="009C0D70"/>
    <w:rsid w:val="009C13D1"/>
    <w:rsid w:val="009C2913"/>
    <w:rsid w:val="009C2BD4"/>
    <w:rsid w:val="009C5AFE"/>
    <w:rsid w:val="009C6606"/>
    <w:rsid w:val="009C6CE5"/>
    <w:rsid w:val="009C6D50"/>
    <w:rsid w:val="009C7547"/>
    <w:rsid w:val="009D05EC"/>
    <w:rsid w:val="009D18D4"/>
    <w:rsid w:val="009D1FCF"/>
    <w:rsid w:val="009D2F60"/>
    <w:rsid w:val="009D3485"/>
    <w:rsid w:val="009D3A2E"/>
    <w:rsid w:val="009D5ADE"/>
    <w:rsid w:val="009D5BAC"/>
    <w:rsid w:val="009D5C56"/>
    <w:rsid w:val="009D6265"/>
    <w:rsid w:val="009D64BD"/>
    <w:rsid w:val="009D6CB1"/>
    <w:rsid w:val="009E0286"/>
    <w:rsid w:val="009E153F"/>
    <w:rsid w:val="009E167C"/>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2F84"/>
    <w:rsid w:val="009F3447"/>
    <w:rsid w:val="009F4D20"/>
    <w:rsid w:val="009F65F4"/>
    <w:rsid w:val="009F676B"/>
    <w:rsid w:val="009F6D2D"/>
    <w:rsid w:val="009F6D54"/>
    <w:rsid w:val="009F7F7D"/>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260"/>
    <w:rsid w:val="00A12579"/>
    <w:rsid w:val="00A12CDC"/>
    <w:rsid w:val="00A133D8"/>
    <w:rsid w:val="00A15655"/>
    <w:rsid w:val="00A160B0"/>
    <w:rsid w:val="00A1740C"/>
    <w:rsid w:val="00A17893"/>
    <w:rsid w:val="00A17904"/>
    <w:rsid w:val="00A20069"/>
    <w:rsid w:val="00A21787"/>
    <w:rsid w:val="00A2244D"/>
    <w:rsid w:val="00A2253D"/>
    <w:rsid w:val="00A2267F"/>
    <w:rsid w:val="00A22CDB"/>
    <w:rsid w:val="00A247B8"/>
    <w:rsid w:val="00A2495A"/>
    <w:rsid w:val="00A24C7A"/>
    <w:rsid w:val="00A24D85"/>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09B"/>
    <w:rsid w:val="00A42B8F"/>
    <w:rsid w:val="00A42D8E"/>
    <w:rsid w:val="00A43254"/>
    <w:rsid w:val="00A43896"/>
    <w:rsid w:val="00A43951"/>
    <w:rsid w:val="00A43A26"/>
    <w:rsid w:val="00A447A0"/>
    <w:rsid w:val="00A459F5"/>
    <w:rsid w:val="00A45FC0"/>
    <w:rsid w:val="00A46B74"/>
    <w:rsid w:val="00A47BF7"/>
    <w:rsid w:val="00A47ECC"/>
    <w:rsid w:val="00A50171"/>
    <w:rsid w:val="00A50444"/>
    <w:rsid w:val="00A504FA"/>
    <w:rsid w:val="00A5102E"/>
    <w:rsid w:val="00A5132E"/>
    <w:rsid w:val="00A51375"/>
    <w:rsid w:val="00A51533"/>
    <w:rsid w:val="00A531D4"/>
    <w:rsid w:val="00A54572"/>
    <w:rsid w:val="00A575B8"/>
    <w:rsid w:val="00A60C1B"/>
    <w:rsid w:val="00A619BB"/>
    <w:rsid w:val="00A61BC6"/>
    <w:rsid w:val="00A61C60"/>
    <w:rsid w:val="00A61ECB"/>
    <w:rsid w:val="00A6410C"/>
    <w:rsid w:val="00A647B1"/>
    <w:rsid w:val="00A64DEF"/>
    <w:rsid w:val="00A654D2"/>
    <w:rsid w:val="00A665DF"/>
    <w:rsid w:val="00A67FCC"/>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3754"/>
    <w:rsid w:val="00A84C5F"/>
    <w:rsid w:val="00A85930"/>
    <w:rsid w:val="00A863F7"/>
    <w:rsid w:val="00A86604"/>
    <w:rsid w:val="00A87519"/>
    <w:rsid w:val="00A9246D"/>
    <w:rsid w:val="00A92CCA"/>
    <w:rsid w:val="00A93BD0"/>
    <w:rsid w:val="00A93CC2"/>
    <w:rsid w:val="00A9469D"/>
    <w:rsid w:val="00A94D4B"/>
    <w:rsid w:val="00A9509F"/>
    <w:rsid w:val="00A95F11"/>
    <w:rsid w:val="00A974CC"/>
    <w:rsid w:val="00AA2001"/>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66D"/>
    <w:rsid w:val="00AC17A2"/>
    <w:rsid w:val="00AC272D"/>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E732E"/>
    <w:rsid w:val="00AF01FA"/>
    <w:rsid w:val="00AF033A"/>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B8"/>
    <w:rsid w:val="00B03B58"/>
    <w:rsid w:val="00B04721"/>
    <w:rsid w:val="00B04935"/>
    <w:rsid w:val="00B04A24"/>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014"/>
    <w:rsid w:val="00B20F18"/>
    <w:rsid w:val="00B21516"/>
    <w:rsid w:val="00B21A37"/>
    <w:rsid w:val="00B21D23"/>
    <w:rsid w:val="00B21F62"/>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4608"/>
    <w:rsid w:val="00B35A15"/>
    <w:rsid w:val="00B35B45"/>
    <w:rsid w:val="00B36165"/>
    <w:rsid w:val="00B36A99"/>
    <w:rsid w:val="00B42264"/>
    <w:rsid w:val="00B434B2"/>
    <w:rsid w:val="00B43D45"/>
    <w:rsid w:val="00B459AF"/>
    <w:rsid w:val="00B468F2"/>
    <w:rsid w:val="00B469DE"/>
    <w:rsid w:val="00B47286"/>
    <w:rsid w:val="00B47EB4"/>
    <w:rsid w:val="00B50234"/>
    <w:rsid w:val="00B51BF4"/>
    <w:rsid w:val="00B52C68"/>
    <w:rsid w:val="00B5372B"/>
    <w:rsid w:val="00B5384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01D1"/>
    <w:rsid w:val="00B71A92"/>
    <w:rsid w:val="00B721D8"/>
    <w:rsid w:val="00B730CA"/>
    <w:rsid w:val="00B732EA"/>
    <w:rsid w:val="00B73747"/>
    <w:rsid w:val="00B747C5"/>
    <w:rsid w:val="00B74F2F"/>
    <w:rsid w:val="00B753ED"/>
    <w:rsid w:val="00B758E7"/>
    <w:rsid w:val="00B7665F"/>
    <w:rsid w:val="00B769BC"/>
    <w:rsid w:val="00B770F7"/>
    <w:rsid w:val="00B77349"/>
    <w:rsid w:val="00B7761E"/>
    <w:rsid w:val="00B80A3D"/>
    <w:rsid w:val="00B80B04"/>
    <w:rsid w:val="00B821E4"/>
    <w:rsid w:val="00B823E0"/>
    <w:rsid w:val="00B8260D"/>
    <w:rsid w:val="00B82B78"/>
    <w:rsid w:val="00B82DE9"/>
    <w:rsid w:val="00B838FD"/>
    <w:rsid w:val="00B845B4"/>
    <w:rsid w:val="00B84662"/>
    <w:rsid w:val="00B84C74"/>
    <w:rsid w:val="00B84CE9"/>
    <w:rsid w:val="00B85191"/>
    <w:rsid w:val="00B858A1"/>
    <w:rsid w:val="00B85FEC"/>
    <w:rsid w:val="00B864A3"/>
    <w:rsid w:val="00B86C2A"/>
    <w:rsid w:val="00B8759A"/>
    <w:rsid w:val="00B902A5"/>
    <w:rsid w:val="00B90420"/>
    <w:rsid w:val="00B90848"/>
    <w:rsid w:val="00B91146"/>
    <w:rsid w:val="00B913E4"/>
    <w:rsid w:val="00B91DB9"/>
    <w:rsid w:val="00B91FF3"/>
    <w:rsid w:val="00B925F8"/>
    <w:rsid w:val="00B93EFE"/>
    <w:rsid w:val="00B944B9"/>
    <w:rsid w:val="00B94956"/>
    <w:rsid w:val="00B949EB"/>
    <w:rsid w:val="00B94C7F"/>
    <w:rsid w:val="00B94E93"/>
    <w:rsid w:val="00B956B5"/>
    <w:rsid w:val="00B95956"/>
    <w:rsid w:val="00B96DF2"/>
    <w:rsid w:val="00B96E18"/>
    <w:rsid w:val="00B96F5A"/>
    <w:rsid w:val="00B970CA"/>
    <w:rsid w:val="00BA0B39"/>
    <w:rsid w:val="00BA0CB2"/>
    <w:rsid w:val="00BA0E26"/>
    <w:rsid w:val="00BA138B"/>
    <w:rsid w:val="00BA305B"/>
    <w:rsid w:val="00BA31BF"/>
    <w:rsid w:val="00BA3C0F"/>
    <w:rsid w:val="00BA3FC7"/>
    <w:rsid w:val="00BA478B"/>
    <w:rsid w:val="00BA4BB4"/>
    <w:rsid w:val="00BA5224"/>
    <w:rsid w:val="00BA575E"/>
    <w:rsid w:val="00BA76B7"/>
    <w:rsid w:val="00BA7E3B"/>
    <w:rsid w:val="00BB078D"/>
    <w:rsid w:val="00BB079C"/>
    <w:rsid w:val="00BB0D7A"/>
    <w:rsid w:val="00BB10E1"/>
    <w:rsid w:val="00BB2471"/>
    <w:rsid w:val="00BB3035"/>
    <w:rsid w:val="00BB366E"/>
    <w:rsid w:val="00BB39C1"/>
    <w:rsid w:val="00BB3DF5"/>
    <w:rsid w:val="00BB3EA7"/>
    <w:rsid w:val="00BB5D16"/>
    <w:rsid w:val="00BB6180"/>
    <w:rsid w:val="00BB64CA"/>
    <w:rsid w:val="00BB69E6"/>
    <w:rsid w:val="00BB7323"/>
    <w:rsid w:val="00BB7BE5"/>
    <w:rsid w:val="00BC07C8"/>
    <w:rsid w:val="00BC08BD"/>
    <w:rsid w:val="00BC11E8"/>
    <w:rsid w:val="00BC1B7A"/>
    <w:rsid w:val="00BC2C17"/>
    <w:rsid w:val="00BC3ACD"/>
    <w:rsid w:val="00BC3B20"/>
    <w:rsid w:val="00BC3EE4"/>
    <w:rsid w:val="00BC45D5"/>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1C07"/>
    <w:rsid w:val="00BE2260"/>
    <w:rsid w:val="00BE3917"/>
    <w:rsid w:val="00BE50FD"/>
    <w:rsid w:val="00BE51CA"/>
    <w:rsid w:val="00BE537F"/>
    <w:rsid w:val="00BE5D77"/>
    <w:rsid w:val="00BE5FD1"/>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06A"/>
    <w:rsid w:val="00BF6625"/>
    <w:rsid w:val="00BF6A78"/>
    <w:rsid w:val="00BF7695"/>
    <w:rsid w:val="00BF79B4"/>
    <w:rsid w:val="00BF7C61"/>
    <w:rsid w:val="00C01427"/>
    <w:rsid w:val="00C014C7"/>
    <w:rsid w:val="00C02A61"/>
    <w:rsid w:val="00C031CF"/>
    <w:rsid w:val="00C047AB"/>
    <w:rsid w:val="00C058AF"/>
    <w:rsid w:val="00C075B6"/>
    <w:rsid w:val="00C1066D"/>
    <w:rsid w:val="00C124C1"/>
    <w:rsid w:val="00C128AE"/>
    <w:rsid w:val="00C12BA8"/>
    <w:rsid w:val="00C13094"/>
    <w:rsid w:val="00C136D6"/>
    <w:rsid w:val="00C13D5B"/>
    <w:rsid w:val="00C141D7"/>
    <w:rsid w:val="00C1711B"/>
    <w:rsid w:val="00C17AE2"/>
    <w:rsid w:val="00C20140"/>
    <w:rsid w:val="00C20F27"/>
    <w:rsid w:val="00C215CF"/>
    <w:rsid w:val="00C2195E"/>
    <w:rsid w:val="00C2244B"/>
    <w:rsid w:val="00C22711"/>
    <w:rsid w:val="00C2280A"/>
    <w:rsid w:val="00C22B0D"/>
    <w:rsid w:val="00C22BFF"/>
    <w:rsid w:val="00C23522"/>
    <w:rsid w:val="00C240C1"/>
    <w:rsid w:val="00C244A1"/>
    <w:rsid w:val="00C24AED"/>
    <w:rsid w:val="00C250D0"/>
    <w:rsid w:val="00C252AC"/>
    <w:rsid w:val="00C25C0F"/>
    <w:rsid w:val="00C26047"/>
    <w:rsid w:val="00C26567"/>
    <w:rsid w:val="00C26923"/>
    <w:rsid w:val="00C27214"/>
    <w:rsid w:val="00C27597"/>
    <w:rsid w:val="00C27E5E"/>
    <w:rsid w:val="00C30382"/>
    <w:rsid w:val="00C30772"/>
    <w:rsid w:val="00C30D6F"/>
    <w:rsid w:val="00C31063"/>
    <w:rsid w:val="00C31B7E"/>
    <w:rsid w:val="00C32024"/>
    <w:rsid w:val="00C322D1"/>
    <w:rsid w:val="00C3242A"/>
    <w:rsid w:val="00C33201"/>
    <w:rsid w:val="00C33A39"/>
    <w:rsid w:val="00C341D1"/>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2479"/>
    <w:rsid w:val="00C5266E"/>
    <w:rsid w:val="00C52C59"/>
    <w:rsid w:val="00C533F8"/>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63C5"/>
    <w:rsid w:val="00C77818"/>
    <w:rsid w:val="00C778A2"/>
    <w:rsid w:val="00C8063F"/>
    <w:rsid w:val="00C81282"/>
    <w:rsid w:val="00C827B4"/>
    <w:rsid w:val="00C83214"/>
    <w:rsid w:val="00C8329F"/>
    <w:rsid w:val="00C84F8A"/>
    <w:rsid w:val="00C85BA4"/>
    <w:rsid w:val="00C8618F"/>
    <w:rsid w:val="00C8625D"/>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3FA4"/>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1F5E"/>
    <w:rsid w:val="00CC2ABE"/>
    <w:rsid w:val="00CC2FF0"/>
    <w:rsid w:val="00CC3C53"/>
    <w:rsid w:val="00CC3D24"/>
    <w:rsid w:val="00CC3F91"/>
    <w:rsid w:val="00CC47EE"/>
    <w:rsid w:val="00CC4ACD"/>
    <w:rsid w:val="00CC4B0A"/>
    <w:rsid w:val="00CC4ED8"/>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3C3D"/>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1168"/>
    <w:rsid w:val="00D2438C"/>
    <w:rsid w:val="00D2585A"/>
    <w:rsid w:val="00D259B0"/>
    <w:rsid w:val="00D259C2"/>
    <w:rsid w:val="00D26C3F"/>
    <w:rsid w:val="00D27185"/>
    <w:rsid w:val="00D3028A"/>
    <w:rsid w:val="00D304F3"/>
    <w:rsid w:val="00D30AC5"/>
    <w:rsid w:val="00D31618"/>
    <w:rsid w:val="00D33488"/>
    <w:rsid w:val="00D33AB3"/>
    <w:rsid w:val="00D33F24"/>
    <w:rsid w:val="00D34160"/>
    <w:rsid w:val="00D346B8"/>
    <w:rsid w:val="00D34DCA"/>
    <w:rsid w:val="00D35AC8"/>
    <w:rsid w:val="00D35E80"/>
    <w:rsid w:val="00D36F87"/>
    <w:rsid w:val="00D37E4E"/>
    <w:rsid w:val="00D411EC"/>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BE5"/>
    <w:rsid w:val="00D53CC9"/>
    <w:rsid w:val="00D54A6A"/>
    <w:rsid w:val="00D54B8F"/>
    <w:rsid w:val="00D55848"/>
    <w:rsid w:val="00D55951"/>
    <w:rsid w:val="00D559F0"/>
    <w:rsid w:val="00D5650F"/>
    <w:rsid w:val="00D57EB6"/>
    <w:rsid w:val="00D608C0"/>
    <w:rsid w:val="00D60D6D"/>
    <w:rsid w:val="00D6128C"/>
    <w:rsid w:val="00D63B22"/>
    <w:rsid w:val="00D63C98"/>
    <w:rsid w:val="00D63EA5"/>
    <w:rsid w:val="00D66D8B"/>
    <w:rsid w:val="00D70849"/>
    <w:rsid w:val="00D72297"/>
    <w:rsid w:val="00D72A1C"/>
    <w:rsid w:val="00D7308F"/>
    <w:rsid w:val="00D7313E"/>
    <w:rsid w:val="00D73580"/>
    <w:rsid w:val="00D73802"/>
    <w:rsid w:val="00D73C2C"/>
    <w:rsid w:val="00D73D52"/>
    <w:rsid w:val="00D743B5"/>
    <w:rsid w:val="00D745E7"/>
    <w:rsid w:val="00D75F72"/>
    <w:rsid w:val="00D75FDA"/>
    <w:rsid w:val="00D774ED"/>
    <w:rsid w:val="00D777C3"/>
    <w:rsid w:val="00D7797C"/>
    <w:rsid w:val="00D77C44"/>
    <w:rsid w:val="00D77F88"/>
    <w:rsid w:val="00D807D9"/>
    <w:rsid w:val="00D81349"/>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870"/>
    <w:rsid w:val="00D86C88"/>
    <w:rsid w:val="00D86D47"/>
    <w:rsid w:val="00D8710C"/>
    <w:rsid w:val="00D873C6"/>
    <w:rsid w:val="00D9074A"/>
    <w:rsid w:val="00D9099E"/>
    <w:rsid w:val="00D9193A"/>
    <w:rsid w:val="00D91DFC"/>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41B"/>
    <w:rsid w:val="00DA6A44"/>
    <w:rsid w:val="00DA6EF0"/>
    <w:rsid w:val="00DA7A3C"/>
    <w:rsid w:val="00DB069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01"/>
    <w:rsid w:val="00DC3CC6"/>
    <w:rsid w:val="00DC3F55"/>
    <w:rsid w:val="00DC4782"/>
    <w:rsid w:val="00DC514A"/>
    <w:rsid w:val="00DC67B1"/>
    <w:rsid w:val="00DC7FBC"/>
    <w:rsid w:val="00DD0019"/>
    <w:rsid w:val="00DD132B"/>
    <w:rsid w:val="00DD1725"/>
    <w:rsid w:val="00DD1F4E"/>
    <w:rsid w:val="00DD2159"/>
    <w:rsid w:val="00DD218B"/>
    <w:rsid w:val="00DD2A18"/>
    <w:rsid w:val="00DD3044"/>
    <w:rsid w:val="00DD3985"/>
    <w:rsid w:val="00DD61E8"/>
    <w:rsid w:val="00DD62C0"/>
    <w:rsid w:val="00DD64DE"/>
    <w:rsid w:val="00DD66DE"/>
    <w:rsid w:val="00DD7859"/>
    <w:rsid w:val="00DD7B41"/>
    <w:rsid w:val="00DE0784"/>
    <w:rsid w:val="00DE0A1D"/>
    <w:rsid w:val="00DE15B2"/>
    <w:rsid w:val="00DE1A9A"/>
    <w:rsid w:val="00DE2108"/>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3662"/>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37614"/>
    <w:rsid w:val="00E402C5"/>
    <w:rsid w:val="00E402F4"/>
    <w:rsid w:val="00E405F1"/>
    <w:rsid w:val="00E417DB"/>
    <w:rsid w:val="00E43054"/>
    <w:rsid w:val="00E43655"/>
    <w:rsid w:val="00E44440"/>
    <w:rsid w:val="00E46013"/>
    <w:rsid w:val="00E47099"/>
    <w:rsid w:val="00E47284"/>
    <w:rsid w:val="00E477C3"/>
    <w:rsid w:val="00E51E16"/>
    <w:rsid w:val="00E52DED"/>
    <w:rsid w:val="00E53730"/>
    <w:rsid w:val="00E5438D"/>
    <w:rsid w:val="00E54511"/>
    <w:rsid w:val="00E54E50"/>
    <w:rsid w:val="00E55288"/>
    <w:rsid w:val="00E57577"/>
    <w:rsid w:val="00E619AA"/>
    <w:rsid w:val="00E62043"/>
    <w:rsid w:val="00E626B9"/>
    <w:rsid w:val="00E627C9"/>
    <w:rsid w:val="00E62DB4"/>
    <w:rsid w:val="00E62EB6"/>
    <w:rsid w:val="00E630F3"/>
    <w:rsid w:val="00E6332F"/>
    <w:rsid w:val="00E637C9"/>
    <w:rsid w:val="00E6402D"/>
    <w:rsid w:val="00E6680A"/>
    <w:rsid w:val="00E66F0D"/>
    <w:rsid w:val="00E70615"/>
    <w:rsid w:val="00E7161E"/>
    <w:rsid w:val="00E7207B"/>
    <w:rsid w:val="00E721A3"/>
    <w:rsid w:val="00E7347A"/>
    <w:rsid w:val="00E75A47"/>
    <w:rsid w:val="00E75BB6"/>
    <w:rsid w:val="00E75D8C"/>
    <w:rsid w:val="00E777F2"/>
    <w:rsid w:val="00E802C9"/>
    <w:rsid w:val="00E80BFB"/>
    <w:rsid w:val="00E80EC2"/>
    <w:rsid w:val="00E80F0A"/>
    <w:rsid w:val="00E814F9"/>
    <w:rsid w:val="00E815D4"/>
    <w:rsid w:val="00E8291B"/>
    <w:rsid w:val="00E82E70"/>
    <w:rsid w:val="00E82F92"/>
    <w:rsid w:val="00E830C6"/>
    <w:rsid w:val="00E8395F"/>
    <w:rsid w:val="00E8410F"/>
    <w:rsid w:val="00E849D7"/>
    <w:rsid w:val="00E85E41"/>
    <w:rsid w:val="00E85E95"/>
    <w:rsid w:val="00E85EA1"/>
    <w:rsid w:val="00E86703"/>
    <w:rsid w:val="00E900DA"/>
    <w:rsid w:val="00E91044"/>
    <w:rsid w:val="00E910D3"/>
    <w:rsid w:val="00E92097"/>
    <w:rsid w:val="00E92154"/>
    <w:rsid w:val="00E923CF"/>
    <w:rsid w:val="00E93685"/>
    <w:rsid w:val="00E93B65"/>
    <w:rsid w:val="00E93C8C"/>
    <w:rsid w:val="00E95111"/>
    <w:rsid w:val="00E95FDF"/>
    <w:rsid w:val="00E96ED8"/>
    <w:rsid w:val="00E97B69"/>
    <w:rsid w:val="00EA14C8"/>
    <w:rsid w:val="00EA2110"/>
    <w:rsid w:val="00EA283A"/>
    <w:rsid w:val="00EA2930"/>
    <w:rsid w:val="00EA2C90"/>
    <w:rsid w:val="00EA2E07"/>
    <w:rsid w:val="00EA383B"/>
    <w:rsid w:val="00EA3B6B"/>
    <w:rsid w:val="00EA48F3"/>
    <w:rsid w:val="00EA60BF"/>
    <w:rsid w:val="00EA7365"/>
    <w:rsid w:val="00EA763F"/>
    <w:rsid w:val="00EA77E9"/>
    <w:rsid w:val="00EB05D0"/>
    <w:rsid w:val="00EB1151"/>
    <w:rsid w:val="00EB11DF"/>
    <w:rsid w:val="00EB1D49"/>
    <w:rsid w:val="00EB23D9"/>
    <w:rsid w:val="00EB39A0"/>
    <w:rsid w:val="00EB430A"/>
    <w:rsid w:val="00EB5447"/>
    <w:rsid w:val="00EB559F"/>
    <w:rsid w:val="00EB566C"/>
    <w:rsid w:val="00EB5A18"/>
    <w:rsid w:val="00EB5DDB"/>
    <w:rsid w:val="00EB5F3D"/>
    <w:rsid w:val="00EB6C97"/>
    <w:rsid w:val="00EC1CEB"/>
    <w:rsid w:val="00EC1DC0"/>
    <w:rsid w:val="00EC1DC2"/>
    <w:rsid w:val="00EC1E09"/>
    <w:rsid w:val="00EC210E"/>
    <w:rsid w:val="00EC21EC"/>
    <w:rsid w:val="00EC24B8"/>
    <w:rsid w:val="00EC268C"/>
    <w:rsid w:val="00EC3753"/>
    <w:rsid w:val="00EC4E71"/>
    <w:rsid w:val="00EC5F1C"/>
    <w:rsid w:val="00EC740C"/>
    <w:rsid w:val="00ED0365"/>
    <w:rsid w:val="00ED0865"/>
    <w:rsid w:val="00ED0C1C"/>
    <w:rsid w:val="00ED1C60"/>
    <w:rsid w:val="00ED2EB9"/>
    <w:rsid w:val="00ED3722"/>
    <w:rsid w:val="00ED3A31"/>
    <w:rsid w:val="00ED4469"/>
    <w:rsid w:val="00ED5424"/>
    <w:rsid w:val="00ED5F23"/>
    <w:rsid w:val="00ED6A17"/>
    <w:rsid w:val="00ED6DC0"/>
    <w:rsid w:val="00ED7A7A"/>
    <w:rsid w:val="00EE0327"/>
    <w:rsid w:val="00EE038C"/>
    <w:rsid w:val="00EE10A9"/>
    <w:rsid w:val="00EE28C5"/>
    <w:rsid w:val="00EE2F09"/>
    <w:rsid w:val="00EE47C5"/>
    <w:rsid w:val="00EE490C"/>
    <w:rsid w:val="00EE4E57"/>
    <w:rsid w:val="00EE5738"/>
    <w:rsid w:val="00EE58BD"/>
    <w:rsid w:val="00EE5E59"/>
    <w:rsid w:val="00EE73D0"/>
    <w:rsid w:val="00EE76AC"/>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490D"/>
    <w:rsid w:val="00F14C13"/>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FEE"/>
    <w:rsid w:val="00F4492F"/>
    <w:rsid w:val="00F44DFD"/>
    <w:rsid w:val="00F45A72"/>
    <w:rsid w:val="00F46723"/>
    <w:rsid w:val="00F4706D"/>
    <w:rsid w:val="00F476E1"/>
    <w:rsid w:val="00F47D1D"/>
    <w:rsid w:val="00F47F29"/>
    <w:rsid w:val="00F50016"/>
    <w:rsid w:val="00F506E0"/>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4E3"/>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87D5C"/>
    <w:rsid w:val="00F90282"/>
    <w:rsid w:val="00F91082"/>
    <w:rsid w:val="00F9116D"/>
    <w:rsid w:val="00F91342"/>
    <w:rsid w:val="00F91A9A"/>
    <w:rsid w:val="00F92634"/>
    <w:rsid w:val="00F926D6"/>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195"/>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3B00"/>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9D2"/>
    <w:rsid w:val="00FF1C9B"/>
    <w:rsid w:val="00FF1D49"/>
    <w:rsid w:val="00FF203B"/>
    <w:rsid w:val="00FF2562"/>
    <w:rsid w:val="00FF3A41"/>
    <w:rsid w:val="00FF3D4C"/>
    <w:rsid w:val="00FF3E5B"/>
    <w:rsid w:val="00FF57E4"/>
    <w:rsid w:val="00FF78E5"/>
    <w:rsid w:val="010827C0"/>
    <w:rsid w:val="011E11DA"/>
    <w:rsid w:val="012C5FAF"/>
    <w:rsid w:val="014F6641"/>
    <w:rsid w:val="01891B53"/>
    <w:rsid w:val="01AF3D99"/>
    <w:rsid w:val="01B12E58"/>
    <w:rsid w:val="01C0309B"/>
    <w:rsid w:val="01D8357C"/>
    <w:rsid w:val="01FA47FF"/>
    <w:rsid w:val="02272329"/>
    <w:rsid w:val="02511F9D"/>
    <w:rsid w:val="02936A01"/>
    <w:rsid w:val="02DE5ECF"/>
    <w:rsid w:val="02F84A16"/>
    <w:rsid w:val="03166E95"/>
    <w:rsid w:val="03174F3D"/>
    <w:rsid w:val="033C49A3"/>
    <w:rsid w:val="03465822"/>
    <w:rsid w:val="035E0DBD"/>
    <w:rsid w:val="039D18E6"/>
    <w:rsid w:val="03A314B8"/>
    <w:rsid w:val="03D82B98"/>
    <w:rsid w:val="03F83E8B"/>
    <w:rsid w:val="03FE7EAB"/>
    <w:rsid w:val="04A44EF6"/>
    <w:rsid w:val="04BD7B45"/>
    <w:rsid w:val="04C410F4"/>
    <w:rsid w:val="04DA4474"/>
    <w:rsid w:val="04EE6171"/>
    <w:rsid w:val="052A53FB"/>
    <w:rsid w:val="05556187"/>
    <w:rsid w:val="05C56868"/>
    <w:rsid w:val="067A7CBC"/>
    <w:rsid w:val="06AE5BB8"/>
    <w:rsid w:val="07043A2A"/>
    <w:rsid w:val="07A539BD"/>
    <w:rsid w:val="07B72767"/>
    <w:rsid w:val="08077E72"/>
    <w:rsid w:val="080D690E"/>
    <w:rsid w:val="08103BA4"/>
    <w:rsid w:val="086E55FF"/>
    <w:rsid w:val="08882DD0"/>
    <w:rsid w:val="08C6368D"/>
    <w:rsid w:val="09063A89"/>
    <w:rsid w:val="090B10A0"/>
    <w:rsid w:val="090E293E"/>
    <w:rsid w:val="09410F65"/>
    <w:rsid w:val="09B039F5"/>
    <w:rsid w:val="09BC2B86"/>
    <w:rsid w:val="09CC2AAC"/>
    <w:rsid w:val="0A551C1B"/>
    <w:rsid w:val="0A6005BE"/>
    <w:rsid w:val="0A652D3E"/>
    <w:rsid w:val="0B093D05"/>
    <w:rsid w:val="0B195DEC"/>
    <w:rsid w:val="0B326F2A"/>
    <w:rsid w:val="0B3A3EBE"/>
    <w:rsid w:val="0B7F3FC7"/>
    <w:rsid w:val="0B84338B"/>
    <w:rsid w:val="0BC01BF6"/>
    <w:rsid w:val="0BDD4677"/>
    <w:rsid w:val="0BE36304"/>
    <w:rsid w:val="0BFC6504"/>
    <w:rsid w:val="0C1E2888"/>
    <w:rsid w:val="0C2F32F7"/>
    <w:rsid w:val="0C677F79"/>
    <w:rsid w:val="0C92213C"/>
    <w:rsid w:val="0CBE63EB"/>
    <w:rsid w:val="0CC2027E"/>
    <w:rsid w:val="0CC2416B"/>
    <w:rsid w:val="0D447276"/>
    <w:rsid w:val="0D84032B"/>
    <w:rsid w:val="0D9832DA"/>
    <w:rsid w:val="0DB937C0"/>
    <w:rsid w:val="0E4B1F1E"/>
    <w:rsid w:val="0E5C414B"/>
    <w:rsid w:val="0EBB3568"/>
    <w:rsid w:val="0EC56195"/>
    <w:rsid w:val="0ED9579C"/>
    <w:rsid w:val="0F2A74C4"/>
    <w:rsid w:val="0F401BB1"/>
    <w:rsid w:val="0F78156E"/>
    <w:rsid w:val="0FCB77DB"/>
    <w:rsid w:val="0FFF56D6"/>
    <w:rsid w:val="100625C1"/>
    <w:rsid w:val="10377635"/>
    <w:rsid w:val="10A27F31"/>
    <w:rsid w:val="11001706"/>
    <w:rsid w:val="11785740"/>
    <w:rsid w:val="11812847"/>
    <w:rsid w:val="1182211B"/>
    <w:rsid w:val="11927058"/>
    <w:rsid w:val="120E171E"/>
    <w:rsid w:val="12E84200"/>
    <w:rsid w:val="136A10B9"/>
    <w:rsid w:val="136F66CF"/>
    <w:rsid w:val="13854144"/>
    <w:rsid w:val="13AF4F03"/>
    <w:rsid w:val="14736E66"/>
    <w:rsid w:val="147F458F"/>
    <w:rsid w:val="14B60A59"/>
    <w:rsid w:val="14CD7B51"/>
    <w:rsid w:val="14E153AA"/>
    <w:rsid w:val="14E8498B"/>
    <w:rsid w:val="15223DDE"/>
    <w:rsid w:val="1534169A"/>
    <w:rsid w:val="157B75AD"/>
    <w:rsid w:val="15AA322A"/>
    <w:rsid w:val="15C03E03"/>
    <w:rsid w:val="162A25EB"/>
    <w:rsid w:val="1647748F"/>
    <w:rsid w:val="16503754"/>
    <w:rsid w:val="165F0C7D"/>
    <w:rsid w:val="16735895"/>
    <w:rsid w:val="16AE0CFE"/>
    <w:rsid w:val="16B005F3"/>
    <w:rsid w:val="16FD2A55"/>
    <w:rsid w:val="17067C1A"/>
    <w:rsid w:val="17092996"/>
    <w:rsid w:val="171B1048"/>
    <w:rsid w:val="17366761"/>
    <w:rsid w:val="174D31CB"/>
    <w:rsid w:val="17562080"/>
    <w:rsid w:val="177C01F0"/>
    <w:rsid w:val="179E3EFA"/>
    <w:rsid w:val="17CE6630"/>
    <w:rsid w:val="17E458DD"/>
    <w:rsid w:val="189721B4"/>
    <w:rsid w:val="18AD51E0"/>
    <w:rsid w:val="18C9062F"/>
    <w:rsid w:val="1A642D06"/>
    <w:rsid w:val="1ABC044C"/>
    <w:rsid w:val="1AFF0AFE"/>
    <w:rsid w:val="1B087B35"/>
    <w:rsid w:val="1B4F19F8"/>
    <w:rsid w:val="1B827E00"/>
    <w:rsid w:val="1BEC4D61"/>
    <w:rsid w:val="1C2C7853"/>
    <w:rsid w:val="1C3D55BC"/>
    <w:rsid w:val="1CFF0AC4"/>
    <w:rsid w:val="1D061E52"/>
    <w:rsid w:val="1D596426"/>
    <w:rsid w:val="1E205195"/>
    <w:rsid w:val="1E25455A"/>
    <w:rsid w:val="1E3D5D47"/>
    <w:rsid w:val="1E6A4663"/>
    <w:rsid w:val="1EB458DE"/>
    <w:rsid w:val="1ECC44FA"/>
    <w:rsid w:val="1ED61CF8"/>
    <w:rsid w:val="1EE8763B"/>
    <w:rsid w:val="1EEC32CA"/>
    <w:rsid w:val="1F063325"/>
    <w:rsid w:val="1FB74DC5"/>
    <w:rsid w:val="1FBC5DF5"/>
    <w:rsid w:val="1FE67D19"/>
    <w:rsid w:val="1FED72F9"/>
    <w:rsid w:val="1FF90588"/>
    <w:rsid w:val="20A756FA"/>
    <w:rsid w:val="20C3623F"/>
    <w:rsid w:val="20D83B05"/>
    <w:rsid w:val="210E5779"/>
    <w:rsid w:val="21781212"/>
    <w:rsid w:val="21B83F86"/>
    <w:rsid w:val="21C972A0"/>
    <w:rsid w:val="21E8421C"/>
    <w:rsid w:val="221178A8"/>
    <w:rsid w:val="221213CF"/>
    <w:rsid w:val="22327A92"/>
    <w:rsid w:val="2318468D"/>
    <w:rsid w:val="231D53A2"/>
    <w:rsid w:val="236D5383"/>
    <w:rsid w:val="23751ADF"/>
    <w:rsid w:val="23A10B26"/>
    <w:rsid w:val="23A75A11"/>
    <w:rsid w:val="23B7504C"/>
    <w:rsid w:val="240510B5"/>
    <w:rsid w:val="243674C1"/>
    <w:rsid w:val="24571307"/>
    <w:rsid w:val="24704055"/>
    <w:rsid w:val="2472601F"/>
    <w:rsid w:val="249C5520"/>
    <w:rsid w:val="25110A2A"/>
    <w:rsid w:val="255F47F5"/>
    <w:rsid w:val="256C0944"/>
    <w:rsid w:val="25A0096A"/>
    <w:rsid w:val="26446DE3"/>
    <w:rsid w:val="264A7253"/>
    <w:rsid w:val="26877DFE"/>
    <w:rsid w:val="269669E7"/>
    <w:rsid w:val="269E134D"/>
    <w:rsid w:val="26A270C1"/>
    <w:rsid w:val="26D7699F"/>
    <w:rsid w:val="2729330D"/>
    <w:rsid w:val="28180C8B"/>
    <w:rsid w:val="286839C1"/>
    <w:rsid w:val="28C77750"/>
    <w:rsid w:val="28E67622"/>
    <w:rsid w:val="292E4C0A"/>
    <w:rsid w:val="299F78B6"/>
    <w:rsid w:val="29AD16CA"/>
    <w:rsid w:val="29B13146"/>
    <w:rsid w:val="29C235A5"/>
    <w:rsid w:val="29D75F7F"/>
    <w:rsid w:val="29E90B31"/>
    <w:rsid w:val="29FD638B"/>
    <w:rsid w:val="29FF65A7"/>
    <w:rsid w:val="2A0B4F4C"/>
    <w:rsid w:val="2A5E32CD"/>
    <w:rsid w:val="2A6E3103"/>
    <w:rsid w:val="2A7F1496"/>
    <w:rsid w:val="2A804CD7"/>
    <w:rsid w:val="2AC5334C"/>
    <w:rsid w:val="2AD73080"/>
    <w:rsid w:val="2B116592"/>
    <w:rsid w:val="2B774624"/>
    <w:rsid w:val="2B966A97"/>
    <w:rsid w:val="2BC25ADE"/>
    <w:rsid w:val="2C0F7428"/>
    <w:rsid w:val="2C5F50DB"/>
    <w:rsid w:val="2C7A72BE"/>
    <w:rsid w:val="2C9A7D75"/>
    <w:rsid w:val="2CC17412"/>
    <w:rsid w:val="2CE81574"/>
    <w:rsid w:val="2D7C1E99"/>
    <w:rsid w:val="2DEE20E8"/>
    <w:rsid w:val="2DFB7085"/>
    <w:rsid w:val="2E045F3A"/>
    <w:rsid w:val="2E0A72C8"/>
    <w:rsid w:val="2E3507E9"/>
    <w:rsid w:val="2E9976CE"/>
    <w:rsid w:val="2E9F2106"/>
    <w:rsid w:val="2EF01DEE"/>
    <w:rsid w:val="2F0F2DE8"/>
    <w:rsid w:val="2F3740ED"/>
    <w:rsid w:val="2F401D3C"/>
    <w:rsid w:val="2F5B24E1"/>
    <w:rsid w:val="2FA95C88"/>
    <w:rsid w:val="2FB4573E"/>
    <w:rsid w:val="2FF67B04"/>
    <w:rsid w:val="3014442E"/>
    <w:rsid w:val="30240B15"/>
    <w:rsid w:val="3041370F"/>
    <w:rsid w:val="30647164"/>
    <w:rsid w:val="30A92DC8"/>
    <w:rsid w:val="30B87FED"/>
    <w:rsid w:val="30EA1274"/>
    <w:rsid w:val="312B50A3"/>
    <w:rsid w:val="31544CEE"/>
    <w:rsid w:val="31894FD2"/>
    <w:rsid w:val="318D26EA"/>
    <w:rsid w:val="32453A27"/>
    <w:rsid w:val="324C7EAF"/>
    <w:rsid w:val="3263064A"/>
    <w:rsid w:val="32867865"/>
    <w:rsid w:val="32A43132"/>
    <w:rsid w:val="32AC0C06"/>
    <w:rsid w:val="32E72E9F"/>
    <w:rsid w:val="33344EF5"/>
    <w:rsid w:val="33770F5C"/>
    <w:rsid w:val="337A0A4C"/>
    <w:rsid w:val="33FD3B57"/>
    <w:rsid w:val="34056568"/>
    <w:rsid w:val="34285A89"/>
    <w:rsid w:val="34AB35B3"/>
    <w:rsid w:val="34E70363"/>
    <w:rsid w:val="34F211E2"/>
    <w:rsid w:val="3537750C"/>
    <w:rsid w:val="3537798C"/>
    <w:rsid w:val="35584DBD"/>
    <w:rsid w:val="35BC359E"/>
    <w:rsid w:val="35C13FC9"/>
    <w:rsid w:val="35C67542"/>
    <w:rsid w:val="3608233F"/>
    <w:rsid w:val="360F7B72"/>
    <w:rsid w:val="36372B05"/>
    <w:rsid w:val="364257B6"/>
    <w:rsid w:val="3786388E"/>
    <w:rsid w:val="37EA5922"/>
    <w:rsid w:val="380D6333"/>
    <w:rsid w:val="38276B93"/>
    <w:rsid w:val="382E58B8"/>
    <w:rsid w:val="38686D8A"/>
    <w:rsid w:val="38AC3431"/>
    <w:rsid w:val="38B62526"/>
    <w:rsid w:val="38C56C0D"/>
    <w:rsid w:val="38FB618B"/>
    <w:rsid w:val="38FE7A29"/>
    <w:rsid w:val="392F2E16"/>
    <w:rsid w:val="3949339B"/>
    <w:rsid w:val="39537D75"/>
    <w:rsid w:val="39E00529"/>
    <w:rsid w:val="3A0B64A7"/>
    <w:rsid w:val="3A445910"/>
    <w:rsid w:val="3A574DDA"/>
    <w:rsid w:val="3AD3075A"/>
    <w:rsid w:val="3AD924FC"/>
    <w:rsid w:val="3AE710BD"/>
    <w:rsid w:val="3AF410E4"/>
    <w:rsid w:val="3AF74C02"/>
    <w:rsid w:val="3B0E1700"/>
    <w:rsid w:val="3BBD597A"/>
    <w:rsid w:val="3BE65813"/>
    <w:rsid w:val="3C0059A5"/>
    <w:rsid w:val="3C134E78"/>
    <w:rsid w:val="3C137C90"/>
    <w:rsid w:val="3C7544A7"/>
    <w:rsid w:val="3C8A7F52"/>
    <w:rsid w:val="3C9F32D2"/>
    <w:rsid w:val="3CF8135F"/>
    <w:rsid w:val="3D42349E"/>
    <w:rsid w:val="3D65451B"/>
    <w:rsid w:val="3D762284"/>
    <w:rsid w:val="3DDF607B"/>
    <w:rsid w:val="3DF6345D"/>
    <w:rsid w:val="3E155F41"/>
    <w:rsid w:val="3E2B5515"/>
    <w:rsid w:val="3E375EB7"/>
    <w:rsid w:val="3E382184"/>
    <w:rsid w:val="3E4D4F28"/>
    <w:rsid w:val="3E80785E"/>
    <w:rsid w:val="3ED92EC4"/>
    <w:rsid w:val="3EE13701"/>
    <w:rsid w:val="3EF773F5"/>
    <w:rsid w:val="3F1A4BB3"/>
    <w:rsid w:val="3F340649"/>
    <w:rsid w:val="3FE23C01"/>
    <w:rsid w:val="3FE47979"/>
    <w:rsid w:val="40192BA6"/>
    <w:rsid w:val="402B0A17"/>
    <w:rsid w:val="40415B0D"/>
    <w:rsid w:val="40866C82"/>
    <w:rsid w:val="40C35A5C"/>
    <w:rsid w:val="40DA57F1"/>
    <w:rsid w:val="416C57BC"/>
    <w:rsid w:val="41766EA9"/>
    <w:rsid w:val="41792343"/>
    <w:rsid w:val="420266C1"/>
    <w:rsid w:val="422363B0"/>
    <w:rsid w:val="42550A18"/>
    <w:rsid w:val="429D496A"/>
    <w:rsid w:val="42E52810"/>
    <w:rsid w:val="42F473A1"/>
    <w:rsid w:val="43217136"/>
    <w:rsid w:val="433A3C4A"/>
    <w:rsid w:val="437217EA"/>
    <w:rsid w:val="43754D8C"/>
    <w:rsid w:val="43AB7156"/>
    <w:rsid w:val="43AF64F0"/>
    <w:rsid w:val="441E62C0"/>
    <w:rsid w:val="4427077C"/>
    <w:rsid w:val="44695BC4"/>
    <w:rsid w:val="45325D14"/>
    <w:rsid w:val="457277D5"/>
    <w:rsid w:val="457E43CC"/>
    <w:rsid w:val="45811C7C"/>
    <w:rsid w:val="45906116"/>
    <w:rsid w:val="45931B8C"/>
    <w:rsid w:val="45EF2552"/>
    <w:rsid w:val="45F91CA4"/>
    <w:rsid w:val="45FB5A1D"/>
    <w:rsid w:val="463E3B5B"/>
    <w:rsid w:val="468B3EFB"/>
    <w:rsid w:val="46B53E1D"/>
    <w:rsid w:val="470A6193"/>
    <w:rsid w:val="47385210"/>
    <w:rsid w:val="47393DE0"/>
    <w:rsid w:val="475510F8"/>
    <w:rsid w:val="47A345BE"/>
    <w:rsid w:val="47CA4E21"/>
    <w:rsid w:val="47DC4F5C"/>
    <w:rsid w:val="48171365"/>
    <w:rsid w:val="48B40671"/>
    <w:rsid w:val="49425710"/>
    <w:rsid w:val="499B5738"/>
    <w:rsid w:val="499F244D"/>
    <w:rsid w:val="49E62540"/>
    <w:rsid w:val="4A203CA4"/>
    <w:rsid w:val="4A7F4E6E"/>
    <w:rsid w:val="4A973F3F"/>
    <w:rsid w:val="4AF96BC7"/>
    <w:rsid w:val="4B11183E"/>
    <w:rsid w:val="4B287458"/>
    <w:rsid w:val="4B5C0D0B"/>
    <w:rsid w:val="4B8410A0"/>
    <w:rsid w:val="4B862A85"/>
    <w:rsid w:val="4BAB3A41"/>
    <w:rsid w:val="4C612AD2"/>
    <w:rsid w:val="4C997D3D"/>
    <w:rsid w:val="4C9D782D"/>
    <w:rsid w:val="4CEF36E2"/>
    <w:rsid w:val="4CEF4DC5"/>
    <w:rsid w:val="4D3A32CE"/>
    <w:rsid w:val="4E257655"/>
    <w:rsid w:val="4E915170"/>
    <w:rsid w:val="4EC81323"/>
    <w:rsid w:val="4EDF237F"/>
    <w:rsid w:val="4EF13D02"/>
    <w:rsid w:val="4F0771E0"/>
    <w:rsid w:val="4F372380"/>
    <w:rsid w:val="4F372FFB"/>
    <w:rsid w:val="4FD33566"/>
    <w:rsid w:val="5025116D"/>
    <w:rsid w:val="505748CA"/>
    <w:rsid w:val="50595F65"/>
    <w:rsid w:val="5060304C"/>
    <w:rsid w:val="50A0169A"/>
    <w:rsid w:val="50F84F20"/>
    <w:rsid w:val="50FE0AB7"/>
    <w:rsid w:val="513444D8"/>
    <w:rsid w:val="514C1822"/>
    <w:rsid w:val="5184720E"/>
    <w:rsid w:val="51864D34"/>
    <w:rsid w:val="519D207E"/>
    <w:rsid w:val="51BE435D"/>
    <w:rsid w:val="52395ECD"/>
    <w:rsid w:val="52A15B9E"/>
    <w:rsid w:val="52B04F36"/>
    <w:rsid w:val="52C10D75"/>
    <w:rsid w:val="532A7941"/>
    <w:rsid w:val="53422EDD"/>
    <w:rsid w:val="537806AC"/>
    <w:rsid w:val="538708F0"/>
    <w:rsid w:val="53A45945"/>
    <w:rsid w:val="53C27FF8"/>
    <w:rsid w:val="53D13B7A"/>
    <w:rsid w:val="54806794"/>
    <w:rsid w:val="549E1A80"/>
    <w:rsid w:val="549E4143"/>
    <w:rsid w:val="54B95421"/>
    <w:rsid w:val="54B971CF"/>
    <w:rsid w:val="54C658F4"/>
    <w:rsid w:val="54EB1352"/>
    <w:rsid w:val="54EC75A4"/>
    <w:rsid w:val="550C4BD7"/>
    <w:rsid w:val="55175CA3"/>
    <w:rsid w:val="554C1D56"/>
    <w:rsid w:val="55572986"/>
    <w:rsid w:val="560501F2"/>
    <w:rsid w:val="564E7DEA"/>
    <w:rsid w:val="565340FA"/>
    <w:rsid w:val="569D042A"/>
    <w:rsid w:val="56AD5F59"/>
    <w:rsid w:val="56B25162"/>
    <w:rsid w:val="56C60774"/>
    <w:rsid w:val="56F50266"/>
    <w:rsid w:val="57007337"/>
    <w:rsid w:val="57233025"/>
    <w:rsid w:val="57610106"/>
    <w:rsid w:val="57B12A52"/>
    <w:rsid w:val="58D07FB1"/>
    <w:rsid w:val="58DD57F6"/>
    <w:rsid w:val="58F46334"/>
    <w:rsid w:val="59197759"/>
    <w:rsid w:val="597E13C3"/>
    <w:rsid w:val="59AF0BA0"/>
    <w:rsid w:val="5A186745"/>
    <w:rsid w:val="5A2F2CC8"/>
    <w:rsid w:val="5ABA15AB"/>
    <w:rsid w:val="5B143D77"/>
    <w:rsid w:val="5B33135D"/>
    <w:rsid w:val="5B9462A0"/>
    <w:rsid w:val="5BC76675"/>
    <w:rsid w:val="5C10702D"/>
    <w:rsid w:val="5C152601"/>
    <w:rsid w:val="5C2A09B2"/>
    <w:rsid w:val="5C591F03"/>
    <w:rsid w:val="5C8A1B2F"/>
    <w:rsid w:val="5CB9336C"/>
    <w:rsid w:val="5D2F32EF"/>
    <w:rsid w:val="5DAD189A"/>
    <w:rsid w:val="5DD07337"/>
    <w:rsid w:val="5DF72B16"/>
    <w:rsid w:val="5DF84DD3"/>
    <w:rsid w:val="5E8C14B0"/>
    <w:rsid w:val="5EA37071"/>
    <w:rsid w:val="5ECA1FD8"/>
    <w:rsid w:val="5F092B01"/>
    <w:rsid w:val="5F30008D"/>
    <w:rsid w:val="5F553F98"/>
    <w:rsid w:val="5F561B72"/>
    <w:rsid w:val="606007BB"/>
    <w:rsid w:val="607C7302"/>
    <w:rsid w:val="607D37A6"/>
    <w:rsid w:val="607D5554"/>
    <w:rsid w:val="60AC7F66"/>
    <w:rsid w:val="60BB607C"/>
    <w:rsid w:val="61587D6F"/>
    <w:rsid w:val="61695AD8"/>
    <w:rsid w:val="6183303E"/>
    <w:rsid w:val="61BF10D9"/>
    <w:rsid w:val="61F07DAC"/>
    <w:rsid w:val="621719D8"/>
    <w:rsid w:val="62AC22DC"/>
    <w:rsid w:val="62D81499"/>
    <w:rsid w:val="62D90A3C"/>
    <w:rsid w:val="62DA4EE0"/>
    <w:rsid w:val="62FA7330"/>
    <w:rsid w:val="632F68AE"/>
    <w:rsid w:val="63343EC4"/>
    <w:rsid w:val="63520F1A"/>
    <w:rsid w:val="639D7CBB"/>
    <w:rsid w:val="63A22BFD"/>
    <w:rsid w:val="63E15DFA"/>
    <w:rsid w:val="64590086"/>
    <w:rsid w:val="646C4B59"/>
    <w:rsid w:val="64E45EF7"/>
    <w:rsid w:val="64EE6A20"/>
    <w:rsid w:val="65705687"/>
    <w:rsid w:val="65815AE7"/>
    <w:rsid w:val="65D5373C"/>
    <w:rsid w:val="6626043C"/>
    <w:rsid w:val="6691014E"/>
    <w:rsid w:val="66BB41A0"/>
    <w:rsid w:val="66C87CCE"/>
    <w:rsid w:val="66F81DD8"/>
    <w:rsid w:val="6764121C"/>
    <w:rsid w:val="677435B2"/>
    <w:rsid w:val="67A32C53"/>
    <w:rsid w:val="67B51A77"/>
    <w:rsid w:val="67EE0AE5"/>
    <w:rsid w:val="67EE6D37"/>
    <w:rsid w:val="67EF75F1"/>
    <w:rsid w:val="67FD341E"/>
    <w:rsid w:val="682269E1"/>
    <w:rsid w:val="68444E8A"/>
    <w:rsid w:val="684F4F11"/>
    <w:rsid w:val="68680898"/>
    <w:rsid w:val="68831B76"/>
    <w:rsid w:val="690F397F"/>
    <w:rsid w:val="69124F16"/>
    <w:rsid w:val="6994109F"/>
    <w:rsid w:val="69A2465A"/>
    <w:rsid w:val="69A753F0"/>
    <w:rsid w:val="69A91168"/>
    <w:rsid w:val="69CD5C14"/>
    <w:rsid w:val="69CF0D33"/>
    <w:rsid w:val="6A70612A"/>
    <w:rsid w:val="6A745C1A"/>
    <w:rsid w:val="6A95793E"/>
    <w:rsid w:val="6AAF77DC"/>
    <w:rsid w:val="6ABE50E7"/>
    <w:rsid w:val="6B0148E1"/>
    <w:rsid w:val="6B3E1D84"/>
    <w:rsid w:val="6B9946B3"/>
    <w:rsid w:val="6BE0108D"/>
    <w:rsid w:val="6BE518DA"/>
    <w:rsid w:val="6C276F3A"/>
    <w:rsid w:val="6C577666"/>
    <w:rsid w:val="6C5C2F05"/>
    <w:rsid w:val="6C7007C7"/>
    <w:rsid w:val="6C896FE9"/>
    <w:rsid w:val="6C953C26"/>
    <w:rsid w:val="6CE16E6B"/>
    <w:rsid w:val="6CFE5C6F"/>
    <w:rsid w:val="6D4A4A10"/>
    <w:rsid w:val="6D7E0B5E"/>
    <w:rsid w:val="6DA34120"/>
    <w:rsid w:val="6DAA75C3"/>
    <w:rsid w:val="6DE76850"/>
    <w:rsid w:val="6E453429"/>
    <w:rsid w:val="6E5A5127"/>
    <w:rsid w:val="6E600263"/>
    <w:rsid w:val="6E985C4F"/>
    <w:rsid w:val="6EDD3662"/>
    <w:rsid w:val="6F0B6421"/>
    <w:rsid w:val="6F502086"/>
    <w:rsid w:val="6F5222A2"/>
    <w:rsid w:val="6FB20BD4"/>
    <w:rsid w:val="6FBA59BE"/>
    <w:rsid w:val="6FC7059A"/>
    <w:rsid w:val="70296B3E"/>
    <w:rsid w:val="7040034C"/>
    <w:rsid w:val="70611204"/>
    <w:rsid w:val="709A5CAE"/>
    <w:rsid w:val="70DD3DED"/>
    <w:rsid w:val="70EE7DA8"/>
    <w:rsid w:val="70F96E79"/>
    <w:rsid w:val="70FD0A17"/>
    <w:rsid w:val="71105F71"/>
    <w:rsid w:val="7130216F"/>
    <w:rsid w:val="7137174F"/>
    <w:rsid w:val="71493231"/>
    <w:rsid w:val="7165620F"/>
    <w:rsid w:val="717039F8"/>
    <w:rsid w:val="71AC7090"/>
    <w:rsid w:val="71BE50D0"/>
    <w:rsid w:val="71CD3E62"/>
    <w:rsid w:val="72920575"/>
    <w:rsid w:val="737541F2"/>
    <w:rsid w:val="73D32C53"/>
    <w:rsid w:val="73D7161C"/>
    <w:rsid w:val="744D4DE6"/>
    <w:rsid w:val="748C590E"/>
    <w:rsid w:val="74BA06CD"/>
    <w:rsid w:val="74C4154C"/>
    <w:rsid w:val="74D13AD5"/>
    <w:rsid w:val="74FA2C30"/>
    <w:rsid w:val="752E2E69"/>
    <w:rsid w:val="754D5C4B"/>
    <w:rsid w:val="75E73C47"/>
    <w:rsid w:val="760B6D06"/>
    <w:rsid w:val="761107C1"/>
    <w:rsid w:val="76764AC8"/>
    <w:rsid w:val="76937428"/>
    <w:rsid w:val="769B008A"/>
    <w:rsid w:val="76C240A7"/>
    <w:rsid w:val="76DA416A"/>
    <w:rsid w:val="77065E4C"/>
    <w:rsid w:val="775246B7"/>
    <w:rsid w:val="775B5A6C"/>
    <w:rsid w:val="77A954CC"/>
    <w:rsid w:val="77BA6C36"/>
    <w:rsid w:val="781E69D1"/>
    <w:rsid w:val="78201591"/>
    <w:rsid w:val="789B25C4"/>
    <w:rsid w:val="78C95383"/>
    <w:rsid w:val="78D9133E"/>
    <w:rsid w:val="7901747F"/>
    <w:rsid w:val="790939D1"/>
    <w:rsid w:val="790C34C1"/>
    <w:rsid w:val="792E3438"/>
    <w:rsid w:val="796B643A"/>
    <w:rsid w:val="79915775"/>
    <w:rsid w:val="7A102B3D"/>
    <w:rsid w:val="7A263B6B"/>
    <w:rsid w:val="7A4B626B"/>
    <w:rsid w:val="7A552C46"/>
    <w:rsid w:val="7A570AB8"/>
    <w:rsid w:val="7A6C06BC"/>
    <w:rsid w:val="7AC83418"/>
    <w:rsid w:val="7AE75F94"/>
    <w:rsid w:val="7AF46346"/>
    <w:rsid w:val="7B0F5EBF"/>
    <w:rsid w:val="7B130FB9"/>
    <w:rsid w:val="7BAC24F8"/>
    <w:rsid w:val="7BC720F8"/>
    <w:rsid w:val="7BD71E38"/>
    <w:rsid w:val="7BF64EDE"/>
    <w:rsid w:val="7C400C1E"/>
    <w:rsid w:val="7C7750F6"/>
    <w:rsid w:val="7C831CEC"/>
    <w:rsid w:val="7CB423BB"/>
    <w:rsid w:val="7CE00EED"/>
    <w:rsid w:val="7DD11708"/>
    <w:rsid w:val="7DEE4A4F"/>
    <w:rsid w:val="7E9006F1"/>
    <w:rsid w:val="7E9130D9"/>
    <w:rsid w:val="7EAE6230"/>
    <w:rsid w:val="7EBD579E"/>
    <w:rsid w:val="7EC167BD"/>
    <w:rsid w:val="7EEF4B84"/>
    <w:rsid w:val="7EF35613"/>
    <w:rsid w:val="7F272D9E"/>
    <w:rsid w:val="7F7D6EC7"/>
    <w:rsid w:val="7F983C52"/>
    <w:rsid w:val="BAFE33D7"/>
    <w:rsid w:val="E6CFF7DE"/>
    <w:rsid w:val="EFDD103F"/>
    <w:rsid w:val="F9ABFCB9"/>
    <w:rsid w:val="FD69E651"/>
    <w:rsid w:val="FEDB96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name="Body Text First Indent"/>
    <w:lsdException w:uiPriority="99" w:name="Body Text First Indent 2"/>
    <w:lsdException w:uiPriority="99" w:name="Note Heading"/>
    <w:lsdException w:qFormat="1" w:uiPriority="0"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8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8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8"/>
    <w:link w:val="48"/>
    <w:qFormat/>
    <w:uiPriority w:val="9"/>
    <w:pPr>
      <w:keepNext/>
      <w:keepLines/>
      <w:spacing w:before="280" w:after="290" w:line="376" w:lineRule="auto"/>
      <w:outlineLvl w:val="4"/>
    </w:pPr>
    <w:rPr>
      <w:b/>
      <w:bCs/>
      <w:sz w:val="28"/>
      <w:szCs w:val="28"/>
    </w:rPr>
  </w:style>
  <w:style w:type="paragraph" w:styleId="9">
    <w:name w:val="heading 6"/>
    <w:basedOn w:val="1"/>
    <w:next w:val="1"/>
    <w:link w:val="89"/>
    <w:semiHidden/>
    <w:unhideWhenUsed/>
    <w:qFormat/>
    <w:uiPriority w:val="9"/>
    <w:pPr>
      <w:keepNext/>
      <w:keepLines/>
      <w:spacing w:before="240" w:after="64" w:line="316" w:lineRule="auto"/>
      <w:ind w:left="1151"/>
      <w:outlineLvl w:val="5"/>
    </w:pPr>
    <w:rPr>
      <w:rFonts w:ascii="Arial" w:hAnsi="Arial" w:eastAsia="黑体" w:cstheme="minorBidi"/>
      <w:b/>
      <w:sz w:val="24"/>
    </w:rPr>
  </w:style>
  <w:style w:type="paragraph" w:styleId="10">
    <w:name w:val="heading 7"/>
    <w:basedOn w:val="1"/>
    <w:next w:val="1"/>
    <w:link w:val="90"/>
    <w:semiHidden/>
    <w:unhideWhenUsed/>
    <w:qFormat/>
    <w:uiPriority w:val="9"/>
    <w:pPr>
      <w:keepNext/>
      <w:keepLines/>
      <w:spacing w:before="240" w:after="64" w:line="316" w:lineRule="auto"/>
      <w:ind w:left="1296"/>
      <w:outlineLvl w:val="6"/>
    </w:pPr>
    <w:rPr>
      <w:rFonts w:cstheme="minorBidi"/>
      <w:b/>
      <w:sz w:val="24"/>
    </w:rPr>
  </w:style>
  <w:style w:type="paragraph" w:styleId="11">
    <w:name w:val="heading 8"/>
    <w:basedOn w:val="1"/>
    <w:next w:val="1"/>
    <w:link w:val="49"/>
    <w:qFormat/>
    <w:uiPriority w:val="9"/>
    <w:pPr>
      <w:keepNext/>
      <w:keepLines/>
      <w:spacing w:before="240" w:after="64" w:line="320" w:lineRule="auto"/>
      <w:outlineLvl w:val="7"/>
    </w:pPr>
    <w:rPr>
      <w:rFonts w:ascii="等线 Light" w:hAnsi="等线 Light" w:eastAsia="等线 Light"/>
      <w:sz w:val="24"/>
    </w:rPr>
  </w:style>
  <w:style w:type="paragraph" w:styleId="12">
    <w:name w:val="heading 9"/>
    <w:basedOn w:val="1"/>
    <w:next w:val="1"/>
    <w:link w:val="91"/>
    <w:semiHidden/>
    <w:unhideWhenUsed/>
    <w:qFormat/>
    <w:uiPriority w:val="9"/>
    <w:pPr>
      <w:keepNext/>
      <w:keepLines/>
      <w:spacing w:before="240" w:after="64" w:line="316" w:lineRule="auto"/>
      <w:ind w:left="1583"/>
      <w:outlineLvl w:val="8"/>
    </w:pPr>
    <w:rPr>
      <w:rFonts w:ascii="Arial" w:hAnsi="Arial" w:eastAsia="黑体" w:cstheme="minorBidi"/>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spacing w:after="156" w:afterLines="50" w:line="300" w:lineRule="auto"/>
      <w:ind w:firstLine="600" w:firstLineChars="200"/>
    </w:pPr>
    <w:rPr>
      <w:rFonts w:ascii="宋体" w:hAnsi="宋体"/>
      <w:sz w:val="30"/>
      <w:szCs w:val="20"/>
    </w:rPr>
  </w:style>
  <w:style w:type="paragraph" w:styleId="8">
    <w:name w:val="Normal Indent"/>
    <w:basedOn w:val="1"/>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semiHidden/>
    <w:unhideWhenUsed/>
    <w:qFormat/>
    <w:uiPriority w:val="35"/>
    <w:pPr>
      <w:spacing w:line="360" w:lineRule="auto"/>
      <w:jc w:val="center"/>
    </w:pPr>
    <w:rPr>
      <w:rFonts w:eastAsia="黑体" w:asciiTheme="majorHAnsi" w:hAnsiTheme="majorHAnsi" w:cstheme="majorBidi"/>
      <w:sz w:val="20"/>
      <w:szCs w:val="20"/>
    </w:rPr>
  </w:style>
  <w:style w:type="paragraph" w:styleId="15">
    <w:name w:val="annotation text"/>
    <w:basedOn w:val="1"/>
    <w:link w:val="50"/>
    <w:qFormat/>
    <w:uiPriority w:val="0"/>
    <w:pPr>
      <w:jc w:val="left"/>
    </w:pPr>
  </w:style>
  <w:style w:type="paragraph" w:styleId="16">
    <w:name w:val="Body Text 3"/>
    <w:basedOn w:val="1"/>
    <w:link w:val="51"/>
    <w:unhideWhenUsed/>
    <w:qFormat/>
    <w:uiPriority w:val="99"/>
    <w:pPr>
      <w:spacing w:after="120"/>
    </w:pPr>
    <w:rPr>
      <w:sz w:val="16"/>
      <w:szCs w:val="16"/>
    </w:rPr>
  </w:style>
  <w:style w:type="paragraph" w:styleId="17">
    <w:name w:val="Body Text"/>
    <w:basedOn w:val="1"/>
    <w:next w:val="18"/>
    <w:link w:val="52"/>
    <w:unhideWhenUsed/>
    <w:qFormat/>
    <w:uiPriority w:val="0"/>
    <w:pPr>
      <w:spacing w:after="120"/>
    </w:pPr>
  </w:style>
  <w:style w:type="paragraph" w:customStyle="1" w:styleId="18">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19">
    <w:name w:val="Body Text Indent"/>
    <w:basedOn w:val="1"/>
    <w:link w:val="53"/>
    <w:qFormat/>
    <w:uiPriority w:val="0"/>
    <w:pPr>
      <w:ind w:firstLine="830" w:firstLineChars="352"/>
    </w:pPr>
    <w:rPr>
      <w:rFonts w:ascii="仿宋_GB2312" w:eastAsia="仿宋_GB2312"/>
      <w:kern w:val="0"/>
      <w:sz w:val="32"/>
      <w:szCs w:val="20"/>
    </w:rPr>
  </w:style>
  <w:style w:type="paragraph" w:styleId="20">
    <w:name w:val="List 2"/>
    <w:basedOn w:val="1"/>
    <w:unhideWhenUsed/>
    <w:qFormat/>
    <w:uiPriority w:val="99"/>
    <w:pPr>
      <w:ind w:left="100" w:leftChars="200" w:hanging="200" w:hangingChars="200"/>
      <w:contextualSpacing/>
    </w:pPr>
  </w:style>
  <w:style w:type="paragraph" w:styleId="21">
    <w:name w:val="toc 3"/>
    <w:basedOn w:val="1"/>
    <w:next w:val="1"/>
    <w:semiHidden/>
    <w:unhideWhenUsed/>
    <w:qFormat/>
    <w:uiPriority w:val="39"/>
    <w:pPr>
      <w:spacing w:line="360" w:lineRule="auto"/>
      <w:ind w:left="400" w:leftChars="400" w:firstLine="560" w:firstLineChars="200"/>
    </w:pPr>
    <w:rPr>
      <w:rFonts w:eastAsia="黑体" w:cstheme="minorBidi"/>
      <w:sz w:val="28"/>
    </w:rPr>
  </w:style>
  <w:style w:type="paragraph" w:styleId="22">
    <w:name w:val="Plain Text"/>
    <w:basedOn w:val="1"/>
    <w:link w:val="54"/>
    <w:qFormat/>
    <w:uiPriority w:val="99"/>
    <w:rPr>
      <w:rFonts w:ascii="宋体" w:hAnsi="Courier New"/>
      <w:kern w:val="0"/>
      <w:sz w:val="20"/>
      <w:szCs w:val="21"/>
    </w:rPr>
  </w:style>
  <w:style w:type="paragraph" w:styleId="23">
    <w:name w:val="Date"/>
    <w:basedOn w:val="1"/>
    <w:next w:val="1"/>
    <w:link w:val="55"/>
    <w:unhideWhenUsed/>
    <w:qFormat/>
    <w:uiPriority w:val="99"/>
    <w:pPr>
      <w:ind w:left="100" w:leftChars="2500"/>
    </w:pPr>
  </w:style>
  <w:style w:type="paragraph" w:styleId="24">
    <w:name w:val="Balloon Text"/>
    <w:basedOn w:val="1"/>
    <w:link w:val="95"/>
    <w:semiHidden/>
    <w:qFormat/>
    <w:uiPriority w:val="99"/>
    <w:rPr>
      <w:sz w:val="18"/>
      <w:szCs w:val="18"/>
    </w:rPr>
  </w:style>
  <w:style w:type="paragraph" w:styleId="25">
    <w:name w:val="footer"/>
    <w:basedOn w:val="1"/>
    <w:link w:val="56"/>
    <w:unhideWhenUsed/>
    <w:qFormat/>
    <w:uiPriority w:val="99"/>
    <w:pPr>
      <w:tabs>
        <w:tab w:val="center" w:pos="4153"/>
        <w:tab w:val="right" w:pos="8306"/>
      </w:tabs>
      <w:snapToGrid w:val="0"/>
      <w:jc w:val="left"/>
    </w:pPr>
    <w:rPr>
      <w:kern w:val="0"/>
      <w:sz w:val="18"/>
      <w:szCs w:val="18"/>
    </w:rPr>
  </w:style>
  <w:style w:type="paragraph" w:styleId="26">
    <w:name w:val="header"/>
    <w:basedOn w:val="1"/>
    <w:link w:val="5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28"/>
    <w:next w:val="1"/>
    <w:unhideWhenUsed/>
    <w:qFormat/>
    <w:uiPriority w:val="39"/>
  </w:style>
  <w:style w:type="paragraph" w:styleId="28">
    <w:name w:val="index 1"/>
    <w:basedOn w:val="1"/>
    <w:next w:val="1"/>
    <w:qFormat/>
    <w:uiPriority w:val="0"/>
    <w:pPr>
      <w:spacing w:line="240" w:lineRule="exact"/>
      <w:ind w:firstLine="420" w:firstLineChars="200"/>
    </w:pPr>
    <w:rPr>
      <w:rFonts w:ascii="宋体" w:hAnsi="宋体"/>
      <w:bCs/>
    </w:rPr>
  </w:style>
  <w:style w:type="paragraph" w:styleId="29">
    <w:name w:val="toc 2"/>
    <w:basedOn w:val="1"/>
    <w:next w:val="1"/>
    <w:unhideWhenUsed/>
    <w:qFormat/>
    <w:uiPriority w:val="39"/>
    <w:pPr>
      <w:tabs>
        <w:tab w:val="right" w:leader="dot" w:pos="8296"/>
      </w:tabs>
      <w:ind w:left="420" w:leftChars="200"/>
    </w:pPr>
  </w:style>
  <w:style w:type="paragraph" w:styleId="30">
    <w:name w:val="Body Text 2"/>
    <w:basedOn w:val="1"/>
    <w:link w:val="94"/>
    <w:semiHidden/>
    <w:unhideWhenUsed/>
    <w:qFormat/>
    <w:uiPriority w:val="0"/>
    <w:pPr>
      <w:spacing w:after="120" w:line="480" w:lineRule="auto"/>
      <w:ind w:firstLine="560" w:firstLineChars="200"/>
    </w:pPr>
    <w:rPr>
      <w:rFonts w:cstheme="minorBidi"/>
      <w:sz w:val="28"/>
    </w:rPr>
  </w:style>
  <w:style w:type="paragraph" w:styleId="31">
    <w:name w:val="Normal (Web)"/>
    <w:basedOn w:val="1"/>
    <w:unhideWhenUsed/>
    <w:qFormat/>
    <w:uiPriority w:val="99"/>
    <w:rPr>
      <w:rFonts w:ascii="Calibri" w:hAnsi="Calibri"/>
      <w:kern w:val="0"/>
      <w:sz w:val="24"/>
    </w:rPr>
  </w:style>
  <w:style w:type="paragraph" w:styleId="32">
    <w:name w:val="annotation subject"/>
    <w:basedOn w:val="15"/>
    <w:next w:val="15"/>
    <w:link w:val="58"/>
    <w:qFormat/>
    <w:uiPriority w:val="99"/>
    <w:rPr>
      <w:b/>
      <w:bCs/>
    </w:rPr>
  </w:style>
  <w:style w:type="paragraph" w:styleId="33">
    <w:name w:val="Body Text First Indent"/>
    <w:basedOn w:val="17"/>
    <w:link w:val="93"/>
    <w:semiHidden/>
    <w:unhideWhenUsed/>
    <w:qFormat/>
    <w:uiPriority w:val="0"/>
    <w:pPr>
      <w:spacing w:line="360" w:lineRule="auto"/>
      <w:ind w:firstLine="420" w:firstLineChars="100"/>
    </w:pPr>
    <w:rPr>
      <w:rFonts w:cstheme="minorBidi"/>
      <w:sz w:val="28"/>
    </w:rPr>
  </w:style>
  <w:style w:type="table" w:styleId="35">
    <w:name w:val="Table Grid"/>
    <w:basedOn w:val="3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22"/>
    <w:rPr>
      <w:b/>
    </w:rPr>
  </w:style>
  <w:style w:type="character" w:styleId="38">
    <w:name w:val="endnote reference"/>
    <w:unhideWhenUsed/>
    <w:qFormat/>
    <w:uiPriority w:val="99"/>
    <w:rPr>
      <w:vertAlign w:val="superscript"/>
    </w:rPr>
  </w:style>
  <w:style w:type="character" w:styleId="39">
    <w:name w:val="page number"/>
    <w:basedOn w:val="36"/>
    <w:semiHidden/>
    <w:unhideWhenUsed/>
    <w:qFormat/>
    <w:uiPriority w:val="99"/>
    <w:rPr>
      <w:rFonts w:hint="default" w:ascii="Times New Roman" w:hAnsi="Times New Roman" w:eastAsia="宋体" w:cs="Times New Roman"/>
      <w:color w:val="auto"/>
      <w:sz w:val="21"/>
    </w:rPr>
  </w:style>
  <w:style w:type="character" w:styleId="40">
    <w:name w:val="FollowedHyperlink"/>
    <w:basedOn w:val="36"/>
    <w:semiHidden/>
    <w:unhideWhenUsed/>
    <w:qFormat/>
    <w:uiPriority w:val="99"/>
    <w:rPr>
      <w:color w:val="800080" w:themeColor="followedHyperlink"/>
      <w:u w:val="single"/>
      <w14:textFill>
        <w14:solidFill>
          <w14:schemeClr w14:val="folHlink"/>
        </w14:solidFill>
      </w14:textFill>
    </w:rPr>
  </w:style>
  <w:style w:type="character" w:styleId="41">
    <w:name w:val="Hyperlink"/>
    <w:unhideWhenUsed/>
    <w:qFormat/>
    <w:uiPriority w:val="99"/>
    <w:rPr>
      <w:color w:val="0000FF"/>
      <w:u w:val="single"/>
    </w:rPr>
  </w:style>
  <w:style w:type="character" w:styleId="42">
    <w:name w:val="annotation reference"/>
    <w:qFormat/>
    <w:uiPriority w:val="0"/>
    <w:rPr>
      <w:sz w:val="21"/>
      <w:szCs w:val="21"/>
    </w:rPr>
  </w:style>
  <w:style w:type="paragraph" w:customStyle="1" w:styleId="43">
    <w:name w:val="Heading2"/>
    <w:basedOn w:val="1"/>
    <w:next w:val="1"/>
    <w:qFormat/>
    <w:uiPriority w:val="0"/>
    <w:pPr>
      <w:keepNext/>
      <w:keepLines/>
      <w:spacing w:before="260" w:after="260" w:line="416" w:lineRule="auto"/>
    </w:pPr>
    <w:rPr>
      <w:rFonts w:eastAsia="黑体"/>
      <w:b/>
      <w:bCs/>
      <w:sz w:val="32"/>
      <w:szCs w:val="32"/>
    </w:rPr>
  </w:style>
  <w:style w:type="paragraph" w:customStyle="1" w:styleId="44">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5">
    <w:name w:val="标题 2 Char"/>
    <w:qFormat/>
    <w:uiPriority w:val="9"/>
    <w:rPr>
      <w:rFonts w:ascii="Cambria" w:hAnsi="Cambria" w:eastAsia="宋体" w:cs="Times New Roman"/>
      <w:b/>
      <w:bCs/>
      <w:kern w:val="2"/>
      <w:sz w:val="32"/>
      <w:szCs w:val="32"/>
    </w:rPr>
  </w:style>
  <w:style w:type="character" w:customStyle="1" w:styleId="46">
    <w:name w:val="标题 1 字符"/>
    <w:link w:val="3"/>
    <w:qFormat/>
    <w:uiPriority w:val="9"/>
    <w:rPr>
      <w:b/>
      <w:bCs/>
      <w:kern w:val="44"/>
      <w:sz w:val="44"/>
      <w:szCs w:val="44"/>
    </w:rPr>
  </w:style>
  <w:style w:type="character" w:customStyle="1" w:styleId="47">
    <w:name w:val="标题 2 字符"/>
    <w:link w:val="4"/>
    <w:qFormat/>
    <w:uiPriority w:val="9"/>
    <w:rPr>
      <w:rFonts w:ascii="Cambria" w:hAnsi="Cambria" w:eastAsia="宋体" w:cs="Times New Roman"/>
      <w:b/>
      <w:bCs/>
      <w:kern w:val="2"/>
      <w:sz w:val="32"/>
      <w:szCs w:val="32"/>
    </w:rPr>
  </w:style>
  <w:style w:type="character" w:customStyle="1" w:styleId="48">
    <w:name w:val="标题 5 字符"/>
    <w:link w:val="7"/>
    <w:semiHidden/>
    <w:qFormat/>
    <w:uiPriority w:val="9"/>
    <w:rPr>
      <w:rFonts w:ascii="Times New Roman" w:hAnsi="Times New Roman"/>
      <w:b/>
      <w:bCs/>
      <w:kern w:val="2"/>
      <w:sz w:val="28"/>
      <w:szCs w:val="28"/>
    </w:rPr>
  </w:style>
  <w:style w:type="character" w:customStyle="1" w:styleId="49">
    <w:name w:val="标题 8 字符"/>
    <w:link w:val="11"/>
    <w:semiHidden/>
    <w:qFormat/>
    <w:uiPriority w:val="9"/>
    <w:rPr>
      <w:rFonts w:ascii="等线 Light" w:hAnsi="等线 Light" w:eastAsia="等线 Light" w:cs="Times New Roman"/>
      <w:kern w:val="2"/>
      <w:sz w:val="24"/>
      <w:szCs w:val="24"/>
    </w:rPr>
  </w:style>
  <w:style w:type="character" w:customStyle="1" w:styleId="50">
    <w:name w:val="批注文字 字符2"/>
    <w:link w:val="15"/>
    <w:qFormat/>
    <w:uiPriority w:val="0"/>
    <w:rPr>
      <w:rFonts w:ascii="Times New Roman" w:hAnsi="Times New Roman"/>
      <w:kern w:val="2"/>
      <w:sz w:val="21"/>
      <w:szCs w:val="24"/>
    </w:rPr>
  </w:style>
  <w:style w:type="character" w:customStyle="1" w:styleId="51">
    <w:name w:val="正文文本 3 字符"/>
    <w:link w:val="16"/>
    <w:semiHidden/>
    <w:qFormat/>
    <w:uiPriority w:val="99"/>
    <w:rPr>
      <w:kern w:val="2"/>
      <w:sz w:val="16"/>
      <w:szCs w:val="16"/>
    </w:rPr>
  </w:style>
  <w:style w:type="character" w:customStyle="1" w:styleId="52">
    <w:name w:val="正文文本 字符1"/>
    <w:link w:val="17"/>
    <w:qFormat/>
    <w:uiPriority w:val="0"/>
    <w:rPr>
      <w:rFonts w:ascii="Times New Roman" w:hAnsi="Times New Roman"/>
      <w:kern w:val="2"/>
      <w:sz w:val="21"/>
      <w:szCs w:val="24"/>
    </w:rPr>
  </w:style>
  <w:style w:type="character" w:customStyle="1" w:styleId="53">
    <w:name w:val="正文文本缩进 字符"/>
    <w:link w:val="19"/>
    <w:qFormat/>
    <w:uiPriority w:val="0"/>
    <w:rPr>
      <w:rFonts w:ascii="仿宋_GB2312" w:hAnsi="Times New Roman" w:eastAsia="仿宋_GB2312" w:cs="Times New Roman"/>
      <w:sz w:val="32"/>
      <w:szCs w:val="20"/>
    </w:rPr>
  </w:style>
  <w:style w:type="character" w:customStyle="1" w:styleId="54">
    <w:name w:val="纯文本 字符3"/>
    <w:link w:val="22"/>
    <w:qFormat/>
    <w:uiPriority w:val="0"/>
    <w:rPr>
      <w:rFonts w:ascii="宋体" w:hAnsi="Courier New" w:eastAsia="宋体" w:cs="Courier New"/>
      <w:szCs w:val="21"/>
    </w:rPr>
  </w:style>
  <w:style w:type="character" w:customStyle="1" w:styleId="55">
    <w:name w:val="日期 字符"/>
    <w:link w:val="23"/>
    <w:semiHidden/>
    <w:qFormat/>
    <w:uiPriority w:val="99"/>
    <w:rPr>
      <w:rFonts w:ascii="Times New Roman" w:hAnsi="Times New Roman"/>
      <w:kern w:val="2"/>
      <w:sz w:val="21"/>
      <w:szCs w:val="24"/>
    </w:rPr>
  </w:style>
  <w:style w:type="character" w:customStyle="1" w:styleId="56">
    <w:name w:val="页脚 字符"/>
    <w:link w:val="25"/>
    <w:qFormat/>
    <w:uiPriority w:val="99"/>
    <w:rPr>
      <w:sz w:val="18"/>
      <w:szCs w:val="18"/>
    </w:rPr>
  </w:style>
  <w:style w:type="character" w:customStyle="1" w:styleId="57">
    <w:name w:val="页眉 字符"/>
    <w:link w:val="26"/>
    <w:qFormat/>
    <w:uiPriority w:val="99"/>
    <w:rPr>
      <w:sz w:val="18"/>
      <w:szCs w:val="18"/>
    </w:rPr>
  </w:style>
  <w:style w:type="character" w:customStyle="1" w:styleId="58">
    <w:name w:val="批注主题 字符"/>
    <w:link w:val="32"/>
    <w:qFormat/>
    <w:uiPriority w:val="99"/>
    <w:rPr>
      <w:rFonts w:ascii="Times New Roman" w:hAnsi="Times New Roman"/>
      <w:b/>
      <w:bCs/>
      <w:kern w:val="2"/>
      <w:sz w:val="21"/>
      <w:szCs w:val="24"/>
    </w:rPr>
  </w:style>
  <w:style w:type="character" w:customStyle="1" w:styleId="59">
    <w:name w:val="纯文本 字符2"/>
    <w:qFormat/>
    <w:uiPriority w:val="0"/>
    <w:rPr>
      <w:rFonts w:ascii="宋体" w:hAnsi="Courier New" w:eastAsia="宋体" w:cs="Courier New"/>
      <w:szCs w:val="21"/>
    </w:rPr>
  </w:style>
  <w:style w:type="character" w:customStyle="1" w:styleId="60">
    <w:name w:val="标题 1 字符1"/>
    <w:qFormat/>
    <w:uiPriority w:val="0"/>
    <w:rPr>
      <w:b/>
      <w:bCs/>
      <w:kern w:val="44"/>
      <w:sz w:val="44"/>
      <w:szCs w:val="44"/>
    </w:rPr>
  </w:style>
  <w:style w:type="character" w:customStyle="1" w:styleId="61">
    <w:name w:val="正文2 Char Char"/>
    <w:link w:val="62"/>
    <w:qFormat/>
    <w:uiPriority w:val="0"/>
    <w:rPr>
      <w:kern w:val="2"/>
      <w:sz w:val="24"/>
    </w:rPr>
  </w:style>
  <w:style w:type="paragraph" w:customStyle="1" w:styleId="62">
    <w:name w:val="正文2"/>
    <w:basedOn w:val="1"/>
    <w:link w:val="61"/>
    <w:qFormat/>
    <w:uiPriority w:val="0"/>
    <w:pPr>
      <w:adjustRightInd w:val="0"/>
      <w:spacing w:before="156" w:line="360" w:lineRule="auto"/>
      <w:ind w:firstLine="510" w:firstLineChars="200"/>
    </w:pPr>
    <w:rPr>
      <w:sz w:val="24"/>
      <w:szCs w:val="20"/>
    </w:rPr>
  </w:style>
  <w:style w:type="character" w:customStyle="1" w:styleId="63">
    <w:name w:val="纯文本 字符1"/>
    <w:qFormat/>
    <w:uiPriority w:val="99"/>
    <w:rPr>
      <w:rFonts w:ascii="宋体" w:hAnsi="Courier New"/>
    </w:rPr>
  </w:style>
  <w:style w:type="character" w:customStyle="1" w:styleId="64">
    <w:name w:val="批注文字 Char2"/>
    <w:qFormat/>
    <w:uiPriority w:val="0"/>
    <w:rPr>
      <w:rFonts w:ascii="Times New Roman" w:hAnsi="Times New Roman"/>
      <w:kern w:val="2"/>
      <w:sz w:val="21"/>
      <w:szCs w:val="24"/>
    </w:rPr>
  </w:style>
  <w:style w:type="character" w:customStyle="1" w:styleId="65">
    <w:name w:val="纯文本 字符"/>
    <w:qFormat/>
    <w:uiPriority w:val="99"/>
    <w:rPr>
      <w:rFonts w:ascii="宋体" w:hAnsi="Courier New" w:eastAsia="宋体" w:cs="Courier New"/>
      <w:szCs w:val="21"/>
    </w:rPr>
  </w:style>
  <w:style w:type="character" w:customStyle="1" w:styleId="66">
    <w:name w:val="textcontents"/>
    <w:qFormat/>
    <w:uiPriority w:val="0"/>
  </w:style>
  <w:style w:type="character" w:customStyle="1" w:styleId="67">
    <w:name w:val="apple-style-span"/>
    <w:qFormat/>
    <w:uiPriority w:val="0"/>
  </w:style>
  <w:style w:type="character" w:customStyle="1" w:styleId="68">
    <w:name w:val="批注文字 Char"/>
    <w:qFormat/>
    <w:uiPriority w:val="0"/>
    <w:rPr>
      <w:rFonts w:ascii="Times New Roman" w:hAnsi="Times New Roman"/>
      <w:kern w:val="2"/>
      <w:sz w:val="21"/>
      <w:szCs w:val="24"/>
    </w:rPr>
  </w:style>
  <w:style w:type="character" w:customStyle="1" w:styleId="69">
    <w:name w:val="正文文本 字符"/>
    <w:qFormat/>
    <w:uiPriority w:val="0"/>
    <w:rPr>
      <w:rFonts w:ascii="Times New Roman" w:hAnsi="Times New Roman"/>
      <w:kern w:val="2"/>
      <w:sz w:val="21"/>
      <w:szCs w:val="24"/>
    </w:rPr>
  </w:style>
  <w:style w:type="character" w:customStyle="1" w:styleId="7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纯文本 Char"/>
    <w:qFormat/>
    <w:uiPriority w:val="0"/>
    <w:rPr>
      <w:rFonts w:ascii="宋体" w:hAnsi="Courier New" w:eastAsia="宋体" w:cs="Courier New"/>
      <w:szCs w:val="21"/>
    </w:rPr>
  </w:style>
  <w:style w:type="character" w:customStyle="1" w:styleId="72">
    <w:name w:val="标题 8 Char"/>
    <w:qFormat/>
    <w:uiPriority w:val="0"/>
    <w:rPr>
      <w:rFonts w:ascii="Arial" w:hAnsi="Arial" w:eastAsia="黑体"/>
      <w:kern w:val="2"/>
      <w:sz w:val="24"/>
      <w:szCs w:val="24"/>
    </w:rPr>
  </w:style>
  <w:style w:type="character" w:customStyle="1" w:styleId="73">
    <w:name w:val="批注文字 字符"/>
    <w:qFormat/>
    <w:uiPriority w:val="99"/>
    <w:rPr>
      <w:rFonts w:ascii="Times New Roman" w:hAnsi="Times New Roman"/>
      <w:kern w:val="2"/>
      <w:sz w:val="21"/>
      <w:szCs w:val="24"/>
    </w:rPr>
  </w:style>
  <w:style w:type="character" w:customStyle="1" w:styleId="74">
    <w:name w:val="批注文字 字符1"/>
    <w:qFormat/>
    <w:uiPriority w:val="0"/>
    <w:rPr>
      <w:rFonts w:ascii="Times New Roman" w:hAnsi="Times New Roman"/>
      <w:kern w:val="2"/>
      <w:sz w:val="21"/>
      <w:szCs w:val="24"/>
    </w:rPr>
  </w:style>
  <w:style w:type="character" w:customStyle="1" w:styleId="75">
    <w:name w:val="正文文本 Char"/>
    <w:qFormat/>
    <w:uiPriority w:val="0"/>
    <w:rPr>
      <w:rFonts w:ascii="Times New Roman" w:hAnsi="Times New Roman"/>
      <w:kern w:val="2"/>
      <w:sz w:val="21"/>
      <w:szCs w:val="24"/>
    </w:rPr>
  </w:style>
  <w:style w:type="paragraph" w:customStyle="1" w:styleId="76">
    <w:name w:val="默认段落字体 Para Char Char Char Char Char Char Char Char Char1 Char Char Char Char"/>
    <w:basedOn w:val="1"/>
    <w:qFormat/>
    <w:uiPriority w:val="0"/>
    <w:rPr>
      <w:rFonts w:ascii="Tahoma" w:hAnsi="Tahoma"/>
      <w:sz w:val="24"/>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列出段落1"/>
    <w:basedOn w:val="1"/>
    <w:qFormat/>
    <w:uiPriority w:val="34"/>
    <w:pPr>
      <w:ind w:firstLine="420" w:firstLineChars="200"/>
    </w:pPr>
  </w:style>
  <w:style w:type="paragraph" w:customStyle="1" w:styleId="80">
    <w:name w:val="列出段落2"/>
    <w:basedOn w:val="1"/>
    <w:qFormat/>
    <w:uiPriority w:val="34"/>
    <w:pPr>
      <w:ind w:firstLine="420" w:firstLineChars="200"/>
    </w:pPr>
    <w:rPr>
      <w:rFonts w:ascii="Calibri" w:hAnsi="Calibri"/>
    </w:rPr>
  </w:style>
  <w:style w:type="character" w:customStyle="1" w:styleId="81">
    <w:name w:val="标题 3 字符"/>
    <w:basedOn w:val="36"/>
    <w:link w:val="5"/>
    <w:semiHidden/>
    <w:qFormat/>
    <w:uiPriority w:val="9"/>
    <w:rPr>
      <w:b/>
      <w:bCs/>
      <w:kern w:val="2"/>
      <w:sz w:val="32"/>
      <w:szCs w:val="32"/>
    </w:rPr>
  </w:style>
  <w:style w:type="character" w:customStyle="1" w:styleId="82">
    <w:name w:val="标题 4 字符"/>
    <w:basedOn w:val="36"/>
    <w:link w:val="6"/>
    <w:semiHidden/>
    <w:qFormat/>
    <w:uiPriority w:val="9"/>
    <w:rPr>
      <w:rFonts w:asciiTheme="majorHAnsi" w:hAnsiTheme="majorHAnsi" w:eastAsiaTheme="majorEastAsia" w:cstheme="majorBidi"/>
      <w:b/>
      <w:bCs/>
      <w:kern w:val="2"/>
      <w:sz w:val="28"/>
      <w:szCs w:val="28"/>
    </w:rPr>
  </w:style>
  <w:style w:type="character" w:customStyle="1" w:styleId="83">
    <w:name w:val="*正文 Char Char"/>
    <w:link w:val="84"/>
    <w:qFormat/>
    <w:locked/>
    <w:uiPriority w:val="0"/>
    <w:rPr>
      <w:rFonts w:ascii="宋体" w:hAnsi="宋体" w:eastAsia="仿宋_GB2312"/>
      <w:sz w:val="28"/>
      <w:szCs w:val="24"/>
    </w:rPr>
  </w:style>
  <w:style w:type="paragraph" w:customStyle="1" w:styleId="84">
    <w:name w:val="*正文"/>
    <w:basedOn w:val="1"/>
    <w:link w:val="83"/>
    <w:qFormat/>
    <w:uiPriority w:val="0"/>
    <w:pPr>
      <w:widowControl/>
      <w:spacing w:line="360" w:lineRule="auto"/>
      <w:ind w:firstLine="200" w:firstLineChars="200"/>
      <w:jc w:val="left"/>
    </w:pPr>
    <w:rPr>
      <w:rFonts w:ascii="宋体" w:hAnsi="宋体" w:eastAsia="仿宋_GB2312"/>
      <w:kern w:val="0"/>
      <w:sz w:val="28"/>
    </w:rPr>
  </w:style>
  <w:style w:type="character" w:customStyle="1" w:styleId="85">
    <w:name w:val="正正正文 Char"/>
    <w:link w:val="86"/>
    <w:qFormat/>
    <w:locked/>
    <w:uiPriority w:val="0"/>
    <w:rPr>
      <w:rFonts w:ascii="仿宋" w:hAnsi="仿宋" w:eastAsia="仿宋"/>
      <w:sz w:val="28"/>
      <w:szCs w:val="28"/>
    </w:rPr>
  </w:style>
  <w:style w:type="paragraph" w:customStyle="1" w:styleId="86">
    <w:name w:val="正正正文"/>
    <w:basedOn w:val="1"/>
    <w:link w:val="85"/>
    <w:qFormat/>
    <w:uiPriority w:val="0"/>
    <w:pPr>
      <w:spacing w:line="560" w:lineRule="exact"/>
      <w:ind w:firstLine="200" w:firstLineChars="200"/>
    </w:pPr>
    <w:rPr>
      <w:rFonts w:ascii="仿宋" w:hAnsi="仿宋" w:eastAsia="仿宋"/>
      <w:kern w:val="0"/>
      <w:sz w:val="28"/>
      <w:szCs w:val="28"/>
    </w:rPr>
  </w:style>
  <w:style w:type="character" w:customStyle="1" w:styleId="87">
    <w:name w:val="列表段落 字符2"/>
    <w:link w:val="88"/>
    <w:qFormat/>
    <w:locked/>
    <w:uiPriority w:val="0"/>
    <w:rPr>
      <w:rFonts w:ascii="Calibri" w:hAnsi="Calibri" w:cs="Calibri"/>
      <w:kern w:val="2"/>
      <w:sz w:val="21"/>
      <w:szCs w:val="22"/>
    </w:rPr>
  </w:style>
  <w:style w:type="paragraph" w:customStyle="1" w:styleId="88">
    <w:name w:val="列表段落1"/>
    <w:basedOn w:val="1"/>
    <w:link w:val="87"/>
    <w:qFormat/>
    <w:uiPriority w:val="34"/>
    <w:pPr>
      <w:widowControl/>
      <w:ind w:firstLine="420" w:firstLineChars="200"/>
      <w:jc w:val="left"/>
    </w:pPr>
    <w:rPr>
      <w:rFonts w:ascii="Calibri" w:hAnsi="Calibri" w:cs="Calibri"/>
      <w:szCs w:val="22"/>
    </w:rPr>
  </w:style>
  <w:style w:type="character" w:customStyle="1" w:styleId="89">
    <w:name w:val="标题 6 字符"/>
    <w:basedOn w:val="36"/>
    <w:link w:val="9"/>
    <w:semiHidden/>
    <w:qFormat/>
    <w:uiPriority w:val="9"/>
    <w:rPr>
      <w:rFonts w:ascii="Arial" w:hAnsi="Arial" w:eastAsia="黑体" w:cstheme="minorBidi"/>
      <w:b/>
      <w:kern w:val="2"/>
      <w:sz w:val="24"/>
      <w:szCs w:val="24"/>
    </w:rPr>
  </w:style>
  <w:style w:type="character" w:customStyle="1" w:styleId="90">
    <w:name w:val="标题 7 字符"/>
    <w:basedOn w:val="36"/>
    <w:link w:val="10"/>
    <w:semiHidden/>
    <w:qFormat/>
    <w:uiPriority w:val="9"/>
    <w:rPr>
      <w:rFonts w:cstheme="minorBidi"/>
      <w:b/>
      <w:kern w:val="2"/>
      <w:sz w:val="24"/>
      <w:szCs w:val="24"/>
    </w:rPr>
  </w:style>
  <w:style w:type="character" w:customStyle="1" w:styleId="91">
    <w:name w:val="标题 9 字符"/>
    <w:basedOn w:val="36"/>
    <w:link w:val="12"/>
    <w:semiHidden/>
    <w:qFormat/>
    <w:uiPriority w:val="9"/>
    <w:rPr>
      <w:rFonts w:ascii="Arial" w:hAnsi="Arial" w:eastAsia="黑体" w:cstheme="minorBidi"/>
      <w:kern w:val="2"/>
      <w:sz w:val="21"/>
      <w:szCs w:val="24"/>
    </w:rPr>
  </w:style>
  <w:style w:type="paragraph" w:customStyle="1" w:styleId="92">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93">
    <w:name w:val="正文文本首行缩进 字符"/>
    <w:basedOn w:val="52"/>
    <w:link w:val="33"/>
    <w:semiHidden/>
    <w:qFormat/>
    <w:uiPriority w:val="0"/>
    <w:rPr>
      <w:rFonts w:ascii="Times New Roman" w:hAnsi="Times New Roman" w:cstheme="minorBidi"/>
      <w:kern w:val="2"/>
      <w:sz w:val="28"/>
      <w:szCs w:val="24"/>
    </w:rPr>
  </w:style>
  <w:style w:type="character" w:customStyle="1" w:styleId="94">
    <w:name w:val="正文文本 2 字符"/>
    <w:basedOn w:val="36"/>
    <w:link w:val="30"/>
    <w:semiHidden/>
    <w:qFormat/>
    <w:uiPriority w:val="0"/>
    <w:rPr>
      <w:rFonts w:cstheme="minorBidi"/>
      <w:kern w:val="2"/>
      <w:sz w:val="28"/>
      <w:szCs w:val="24"/>
    </w:rPr>
  </w:style>
  <w:style w:type="character" w:customStyle="1" w:styleId="95">
    <w:name w:val="批注框文本 字符"/>
    <w:basedOn w:val="36"/>
    <w:link w:val="24"/>
    <w:semiHidden/>
    <w:qFormat/>
    <w:uiPriority w:val="99"/>
    <w:rPr>
      <w:kern w:val="2"/>
      <w:sz w:val="18"/>
      <w:szCs w:val="18"/>
    </w:rPr>
  </w:style>
  <w:style w:type="paragraph" w:customStyle="1" w:styleId="96">
    <w:name w:val="01-项目名称"/>
    <w:basedOn w:val="1"/>
    <w:next w:val="1"/>
    <w:qFormat/>
    <w:uiPriority w:val="0"/>
    <w:pPr>
      <w:snapToGrid w:val="0"/>
      <w:spacing w:line="360" w:lineRule="auto"/>
      <w:ind w:firstLine="560" w:firstLineChars="200"/>
      <w:jc w:val="center"/>
    </w:pPr>
    <w:rPr>
      <w:rFonts w:cstheme="minorBidi"/>
      <w:b/>
      <w:sz w:val="44"/>
    </w:rPr>
  </w:style>
  <w:style w:type="paragraph" w:customStyle="1" w:styleId="97">
    <w:name w:val="02-公司名称时间"/>
    <w:basedOn w:val="1"/>
    <w:next w:val="1"/>
    <w:qFormat/>
    <w:uiPriority w:val="0"/>
    <w:pPr>
      <w:snapToGrid w:val="0"/>
      <w:spacing w:line="360" w:lineRule="auto"/>
      <w:ind w:firstLine="560" w:firstLineChars="200"/>
      <w:jc w:val="center"/>
    </w:pPr>
    <w:rPr>
      <w:rFonts w:cstheme="minorBidi"/>
      <w:b/>
      <w:sz w:val="32"/>
    </w:rPr>
  </w:style>
  <w:style w:type="paragraph" w:customStyle="1" w:styleId="98">
    <w:name w:val="03-目录两字"/>
    <w:basedOn w:val="1"/>
    <w:next w:val="1"/>
    <w:qFormat/>
    <w:uiPriority w:val="0"/>
    <w:pPr>
      <w:snapToGrid w:val="0"/>
      <w:spacing w:line="360" w:lineRule="auto"/>
      <w:ind w:firstLine="560" w:firstLineChars="200"/>
      <w:jc w:val="center"/>
    </w:pPr>
    <w:rPr>
      <w:rFonts w:cstheme="minorBidi"/>
      <w:b/>
      <w:sz w:val="28"/>
    </w:rPr>
  </w:style>
  <w:style w:type="paragraph" w:customStyle="1" w:styleId="99">
    <w:name w:val="12-图片"/>
    <w:basedOn w:val="1"/>
    <w:next w:val="1"/>
    <w:qFormat/>
    <w:uiPriority w:val="0"/>
    <w:pPr>
      <w:snapToGrid w:val="0"/>
      <w:spacing w:beforeLines="50" w:afterLines="50" w:line="360" w:lineRule="auto"/>
      <w:ind w:firstLine="560" w:firstLineChars="200"/>
      <w:jc w:val="center"/>
    </w:pPr>
    <w:rPr>
      <w:rFonts w:cstheme="minorBidi"/>
      <w:sz w:val="28"/>
    </w:rPr>
  </w:style>
  <w:style w:type="paragraph" w:customStyle="1" w:styleId="100">
    <w:name w:val="13-表格整体"/>
    <w:basedOn w:val="1"/>
    <w:qFormat/>
    <w:uiPriority w:val="0"/>
    <w:pPr>
      <w:snapToGrid w:val="0"/>
      <w:spacing w:beforeLines="50" w:afterLines="50" w:line="360" w:lineRule="auto"/>
      <w:ind w:firstLine="560" w:firstLineChars="200"/>
    </w:pPr>
    <w:rPr>
      <w:rFonts w:cstheme="minorBidi"/>
      <w:sz w:val="28"/>
    </w:rPr>
  </w:style>
  <w:style w:type="paragraph" w:customStyle="1" w:styleId="101">
    <w:name w:val="15-图片题注"/>
    <w:basedOn w:val="1"/>
    <w:next w:val="1"/>
    <w:qFormat/>
    <w:uiPriority w:val="0"/>
    <w:pPr>
      <w:snapToGrid w:val="0"/>
      <w:spacing w:beforeLines="50" w:afterLines="50" w:line="360" w:lineRule="auto"/>
      <w:ind w:firstLine="560" w:firstLineChars="200"/>
      <w:jc w:val="center"/>
    </w:pPr>
    <w:rPr>
      <w:rFonts w:cstheme="minorBidi"/>
      <w:sz w:val="28"/>
    </w:rPr>
  </w:style>
  <w:style w:type="paragraph" w:customStyle="1" w:styleId="102">
    <w:name w:val="14-表格首行"/>
    <w:basedOn w:val="100"/>
    <w:next w:val="100"/>
    <w:qFormat/>
    <w:uiPriority w:val="0"/>
    <w:pPr>
      <w:jc w:val="center"/>
    </w:pPr>
    <w:rPr>
      <w:b/>
    </w:rPr>
  </w:style>
  <w:style w:type="paragraph" w:customStyle="1" w:styleId="103">
    <w:name w:val="05-正文加粗"/>
    <w:basedOn w:val="1"/>
    <w:next w:val="1"/>
    <w:qFormat/>
    <w:uiPriority w:val="0"/>
    <w:pPr>
      <w:snapToGrid w:val="0"/>
      <w:spacing w:line="360" w:lineRule="auto"/>
      <w:ind w:firstLine="200" w:firstLineChars="200"/>
    </w:pPr>
    <w:rPr>
      <w:rFonts w:cstheme="minorBidi"/>
      <w:b/>
      <w:sz w:val="24"/>
    </w:rPr>
  </w:style>
  <w:style w:type="paragraph" w:customStyle="1" w:styleId="104">
    <w:name w:val="06-编号"/>
    <w:basedOn w:val="1"/>
    <w:next w:val="1"/>
    <w:qFormat/>
    <w:uiPriority w:val="0"/>
    <w:pPr>
      <w:numPr>
        <w:ilvl w:val="0"/>
        <w:numId w:val="1"/>
      </w:numPr>
      <w:snapToGrid w:val="0"/>
      <w:spacing w:line="360" w:lineRule="auto"/>
      <w:ind w:firstLine="200" w:firstLineChars="200"/>
    </w:pPr>
    <w:rPr>
      <w:rFonts w:cstheme="minorBidi"/>
      <w:sz w:val="24"/>
    </w:rPr>
  </w:style>
  <w:style w:type="paragraph" w:customStyle="1" w:styleId="105">
    <w:name w:val="10-列表-圆点"/>
    <w:basedOn w:val="1"/>
    <w:next w:val="1"/>
    <w:qFormat/>
    <w:uiPriority w:val="0"/>
    <w:pPr>
      <w:numPr>
        <w:ilvl w:val="0"/>
        <w:numId w:val="2"/>
      </w:numPr>
      <w:snapToGrid w:val="0"/>
      <w:spacing w:line="360" w:lineRule="auto"/>
      <w:ind w:left="400" w:leftChars="200" w:hanging="200" w:hangingChars="200"/>
    </w:pPr>
    <w:rPr>
      <w:rFonts w:cstheme="minorBidi"/>
      <w:sz w:val="24"/>
    </w:rPr>
  </w:style>
  <w:style w:type="paragraph" w:customStyle="1" w:styleId="106">
    <w:name w:val="08-编号-括号"/>
    <w:basedOn w:val="1"/>
    <w:next w:val="1"/>
    <w:qFormat/>
    <w:uiPriority w:val="0"/>
    <w:pPr>
      <w:numPr>
        <w:ilvl w:val="0"/>
        <w:numId w:val="3"/>
      </w:numPr>
      <w:snapToGrid w:val="0"/>
      <w:spacing w:line="360" w:lineRule="auto"/>
      <w:ind w:firstLine="200" w:firstLineChars="200"/>
    </w:pPr>
    <w:rPr>
      <w:rFonts w:cstheme="minorBidi"/>
      <w:sz w:val="24"/>
    </w:rPr>
  </w:style>
  <w:style w:type="paragraph" w:customStyle="1" w:styleId="107">
    <w:name w:val="07-编号加粗"/>
    <w:basedOn w:val="1"/>
    <w:next w:val="1"/>
    <w:qFormat/>
    <w:uiPriority w:val="0"/>
    <w:pPr>
      <w:numPr>
        <w:ilvl w:val="0"/>
        <w:numId w:val="4"/>
      </w:numPr>
      <w:snapToGrid w:val="0"/>
      <w:spacing w:line="360" w:lineRule="auto"/>
      <w:ind w:firstLine="200" w:firstLineChars="200"/>
    </w:pPr>
    <w:rPr>
      <w:rFonts w:cstheme="minorBidi"/>
      <w:b/>
      <w:sz w:val="24"/>
    </w:rPr>
  </w:style>
  <w:style w:type="paragraph" w:customStyle="1" w:styleId="108">
    <w:name w:val="09-编号加粗-括号"/>
    <w:basedOn w:val="1"/>
    <w:next w:val="1"/>
    <w:qFormat/>
    <w:uiPriority w:val="0"/>
    <w:pPr>
      <w:numPr>
        <w:ilvl w:val="0"/>
        <w:numId w:val="5"/>
      </w:numPr>
      <w:snapToGrid w:val="0"/>
      <w:spacing w:line="360" w:lineRule="auto"/>
      <w:ind w:firstLine="200" w:firstLineChars="200"/>
    </w:pPr>
    <w:rPr>
      <w:rFonts w:cstheme="minorBidi"/>
      <w:b/>
      <w:sz w:val="24"/>
    </w:rPr>
  </w:style>
  <w:style w:type="paragraph" w:customStyle="1" w:styleId="109">
    <w:name w:val="11-列表-箭头"/>
    <w:basedOn w:val="1"/>
    <w:next w:val="1"/>
    <w:qFormat/>
    <w:uiPriority w:val="0"/>
    <w:pPr>
      <w:numPr>
        <w:ilvl w:val="0"/>
        <w:numId w:val="6"/>
      </w:numPr>
      <w:snapToGrid w:val="0"/>
      <w:spacing w:line="360" w:lineRule="auto"/>
      <w:ind w:left="400" w:leftChars="200" w:hanging="200" w:hangingChars="200"/>
    </w:pPr>
    <w:rPr>
      <w:rFonts w:cstheme="minorBidi"/>
      <w:sz w:val="24"/>
    </w:rPr>
  </w:style>
  <w:style w:type="paragraph" w:customStyle="1" w:styleId="110">
    <w:name w:val="16-表格题注"/>
    <w:basedOn w:val="1"/>
    <w:next w:val="1"/>
    <w:qFormat/>
    <w:uiPriority w:val="0"/>
    <w:pPr>
      <w:snapToGrid w:val="0"/>
      <w:spacing w:beforeLines="50" w:afterLines="50" w:line="360" w:lineRule="auto"/>
      <w:ind w:firstLine="560" w:firstLineChars="200"/>
      <w:jc w:val="center"/>
    </w:pPr>
    <w:rPr>
      <w:rFonts w:cstheme="minorBidi"/>
      <w:b/>
      <w:sz w:val="28"/>
    </w:rPr>
  </w:style>
  <w:style w:type="character" w:customStyle="1" w:styleId="111">
    <w:name w:val="00文档名称 Char"/>
    <w:basedOn w:val="36"/>
    <w:link w:val="112"/>
    <w:qFormat/>
    <w:locked/>
    <w:uiPriority w:val="0"/>
    <w:rPr>
      <w:rFonts w:ascii="黑体" w:hAnsi="黑体" w:eastAsia="黑体" w:cstheme="minorBidi"/>
      <w:b/>
      <w:kern w:val="2"/>
      <w:sz w:val="52"/>
      <w:szCs w:val="24"/>
    </w:rPr>
  </w:style>
  <w:style w:type="paragraph" w:customStyle="1" w:styleId="112">
    <w:name w:val="00文档名称"/>
    <w:basedOn w:val="1"/>
    <w:link w:val="111"/>
    <w:qFormat/>
    <w:uiPriority w:val="0"/>
    <w:pPr>
      <w:snapToGrid w:val="0"/>
      <w:spacing w:line="360" w:lineRule="auto"/>
      <w:ind w:firstLine="560" w:firstLineChars="200"/>
      <w:jc w:val="center"/>
    </w:pPr>
    <w:rPr>
      <w:rFonts w:ascii="黑体" w:hAnsi="黑体" w:eastAsia="黑体" w:cstheme="minorBidi"/>
      <w:b/>
      <w:sz w:val="52"/>
    </w:rPr>
  </w:style>
  <w:style w:type="paragraph" w:customStyle="1" w:styleId="113">
    <w:name w:val="04-正文"/>
    <w:basedOn w:val="1"/>
    <w:qFormat/>
    <w:uiPriority w:val="0"/>
    <w:pPr>
      <w:snapToGrid w:val="0"/>
      <w:spacing w:line="360" w:lineRule="auto"/>
      <w:ind w:firstLine="200" w:firstLineChars="200"/>
    </w:pPr>
    <w:rPr>
      <w:rFonts w:cstheme="minorBidi"/>
      <w:sz w:val="28"/>
    </w:rPr>
  </w:style>
  <w:style w:type="character" w:customStyle="1" w:styleId="114">
    <w:name w:val="font81"/>
    <w:basedOn w:val="36"/>
    <w:qFormat/>
    <w:uiPriority w:val="0"/>
    <w:rPr>
      <w:rFonts w:hint="eastAsia" w:ascii="宋体" w:hAnsi="宋体" w:eastAsia="宋体" w:cs="宋体"/>
      <w:b/>
      <w:bCs/>
      <w:color w:val="1D1D1F"/>
      <w:sz w:val="24"/>
      <w:szCs w:val="24"/>
      <w:u w:val="none"/>
    </w:rPr>
  </w:style>
  <w:style w:type="character" w:customStyle="1" w:styleId="115">
    <w:name w:val="font21"/>
    <w:basedOn w:val="36"/>
    <w:qFormat/>
    <w:uiPriority w:val="0"/>
    <w:rPr>
      <w:rFonts w:hint="default" w:ascii="Helvetica" w:hAnsi="Helvetica" w:eastAsia="Helvetica" w:cs="Helvetica"/>
      <w:b/>
      <w:bCs/>
      <w:color w:val="1D1D1F"/>
      <w:sz w:val="24"/>
      <w:szCs w:val="24"/>
      <w:u w:val="none"/>
    </w:rPr>
  </w:style>
  <w:style w:type="character" w:customStyle="1" w:styleId="116">
    <w:name w:val="font11"/>
    <w:basedOn w:val="36"/>
    <w:qFormat/>
    <w:uiPriority w:val="0"/>
    <w:rPr>
      <w:rFonts w:hint="eastAsia" w:ascii="宋体" w:hAnsi="宋体" w:eastAsia="宋体" w:cs="宋体"/>
      <w:color w:val="000000"/>
      <w:sz w:val="22"/>
      <w:szCs w:val="22"/>
      <w:u w:val="none"/>
    </w:rPr>
  </w:style>
  <w:style w:type="paragraph" w:styleId="117">
    <w:name w:val="List Paragraph"/>
    <w:basedOn w:val="1"/>
    <w:qFormat/>
    <w:uiPriority w:val="34"/>
    <w:pPr>
      <w:ind w:firstLine="420" w:firstLineChars="200"/>
    </w:pPr>
  </w:style>
  <w:style w:type="paragraph" w:customStyle="1" w:styleId="1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69</Pages>
  <Words>8594</Words>
  <Characters>9343</Characters>
  <Lines>297</Lines>
  <Paragraphs>83</Paragraphs>
  <TotalTime>12</TotalTime>
  <ScaleCrop>false</ScaleCrop>
  <LinksUpToDate>false</LinksUpToDate>
  <CharactersWithSpaces>9475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2025-10-10T03:11:00Z</dcterms:created>
  <dc:creator>唐冰</dc:creator>
  <cp:lastModifiedBy>liang</cp:lastModifiedBy>
  <cp:lastPrinted>2020-04-04T16:20:00Z</cp:lastPrinted>
  <dcterms:modified xsi:type="dcterms:W3CDTF">2025-10-14T08:24:24Z</dcterms:modified>
  <dc:title>竞争性谈判文件规范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D2DC4F560670474BAE153084CF7F26BE_13</vt:lpwstr>
  </property>
  <property fmtid="{D5CDD505-2E9C-101B-9397-08002B2CF9AE}" pid="4" name="KSOTemplateDocerSaveRecord">
    <vt:lpwstr>eyJoZGlkIjoiOGI4NjI5OTBmMDM1ODFlMDkzNDFlZTFiMWNhZWU5ZTMiLCJ1c2VySWQiOiI4NDE0MDQxMTQifQ==</vt:lpwstr>
  </property>
</Properties>
</file>