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454C">
      <w:pPr>
        <w:pageBreakBefore w:val="0"/>
        <w:kinsoku/>
        <w:wordWrap/>
        <w:topLinePunct w:val="0"/>
        <w:bidi w:val="0"/>
        <w:spacing w:line="312" w:lineRule="auto"/>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南宁品正建设咨询有限责任公司</w:t>
      </w:r>
    </w:p>
    <w:p w14:paraId="0039DF50">
      <w:pPr>
        <w:pageBreakBefore w:val="0"/>
        <w:kinsoku/>
        <w:wordWrap/>
        <w:topLinePunct w:val="0"/>
        <w:bidi w:val="0"/>
        <w:spacing w:line="312" w:lineRule="auto"/>
        <w:jc w:val="center"/>
        <w:rPr>
          <w:rFonts w:hint="eastAsia" w:ascii="宋体" w:hAnsi="宋体" w:eastAsia="宋体" w:cs="宋体"/>
          <w:color w:val="auto"/>
          <w:sz w:val="48"/>
          <w:szCs w:val="48"/>
        </w:rPr>
      </w:pPr>
    </w:p>
    <w:p w14:paraId="587FD240">
      <w:pPr>
        <w:pageBreakBefore w:val="0"/>
        <w:kinsoku/>
        <w:wordWrap/>
        <w:topLinePunct w:val="0"/>
        <w:bidi w:val="0"/>
        <w:spacing w:line="312" w:lineRule="auto"/>
        <w:jc w:val="center"/>
        <w:rPr>
          <w:rFonts w:hint="eastAsia" w:ascii="宋体" w:hAnsi="宋体" w:eastAsia="宋体" w:cs="宋体"/>
          <w:color w:val="auto"/>
        </w:rPr>
      </w:pPr>
    </w:p>
    <w:p w14:paraId="0B61B20A">
      <w:pPr>
        <w:keepNext/>
        <w:keepLines/>
        <w:pageBreakBefore w:val="0"/>
        <w:widowControl w:val="0"/>
        <w:kinsoku/>
        <w:wordWrap/>
        <w:topLinePunct w:val="0"/>
        <w:bidi w:val="0"/>
        <w:spacing w:before="340" w:after="330" w:line="312" w:lineRule="auto"/>
        <w:jc w:val="center"/>
        <w:outlineLvl w:val="9"/>
        <w:rPr>
          <w:rFonts w:hint="eastAsia" w:ascii="宋体" w:hAnsi="宋体" w:eastAsia="宋体" w:cs="宋体"/>
          <w:b/>
          <w:bCs/>
          <w:color w:val="auto"/>
          <w:kern w:val="44"/>
          <w:sz w:val="44"/>
          <w:szCs w:val="44"/>
          <w:lang w:val="en-US" w:eastAsia="zh-CN" w:bidi="ar-SA"/>
        </w:rPr>
      </w:pPr>
      <w:r>
        <w:rPr>
          <w:rFonts w:hint="eastAsia" w:ascii="宋体" w:hAnsi="宋体" w:eastAsia="宋体" w:cs="宋体"/>
          <w:b/>
          <w:bCs/>
          <w:color w:val="auto"/>
          <w:kern w:val="44"/>
          <w:sz w:val="44"/>
          <w:szCs w:val="44"/>
          <w:lang w:val="en-US" w:eastAsia="zh-CN" w:bidi="ar-SA"/>
        </w:rPr>
        <w:drawing>
          <wp:inline distT="0" distB="0" distL="114300" distR="114300">
            <wp:extent cx="2580640" cy="1761490"/>
            <wp:effectExtent l="0" t="0" r="10160" b="10160"/>
            <wp:docPr id="1" name="图片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标"/>
                    <pic:cNvPicPr>
                      <a:picLocks noChangeAspect="1"/>
                    </pic:cNvPicPr>
                  </pic:nvPicPr>
                  <pic:blipFill>
                    <a:blip r:embed="rId12"/>
                    <a:stretch>
                      <a:fillRect/>
                    </a:stretch>
                  </pic:blipFill>
                  <pic:spPr>
                    <a:xfrm>
                      <a:off x="0" y="0"/>
                      <a:ext cx="2580640" cy="1761490"/>
                    </a:xfrm>
                    <a:prstGeom prst="rect">
                      <a:avLst/>
                    </a:prstGeom>
                    <a:noFill/>
                    <a:ln>
                      <a:noFill/>
                    </a:ln>
                  </pic:spPr>
                </pic:pic>
              </a:graphicData>
            </a:graphic>
          </wp:inline>
        </w:drawing>
      </w:r>
    </w:p>
    <w:p w14:paraId="4883941D">
      <w:pPr>
        <w:keepNext/>
        <w:keepLines/>
        <w:pageBreakBefore w:val="0"/>
        <w:widowControl w:val="0"/>
        <w:kinsoku/>
        <w:wordWrap/>
        <w:topLinePunct w:val="0"/>
        <w:bidi w:val="0"/>
        <w:spacing w:before="340" w:after="330" w:line="312" w:lineRule="auto"/>
        <w:jc w:val="both"/>
        <w:outlineLvl w:val="9"/>
        <w:rPr>
          <w:rFonts w:hint="eastAsia" w:ascii="宋体" w:hAnsi="宋体" w:eastAsia="宋体" w:cs="宋体"/>
          <w:b/>
          <w:bCs/>
          <w:color w:val="auto"/>
          <w:kern w:val="44"/>
          <w:sz w:val="44"/>
          <w:szCs w:val="44"/>
          <w:lang w:val="en-US" w:eastAsia="zh-CN" w:bidi="ar-SA"/>
        </w:rPr>
      </w:pPr>
    </w:p>
    <w:p w14:paraId="0F235D53">
      <w:pPr>
        <w:pageBreakBefore w:val="0"/>
        <w:kinsoku/>
        <w:wordWrap/>
        <w:topLinePunct w:val="0"/>
        <w:bidi w:val="0"/>
        <w:spacing w:line="312" w:lineRule="auto"/>
        <w:rPr>
          <w:rFonts w:hint="eastAsia" w:ascii="宋体" w:hAnsi="宋体" w:eastAsia="宋体" w:cs="宋体"/>
          <w:color w:val="auto"/>
        </w:rPr>
      </w:pPr>
    </w:p>
    <w:p w14:paraId="6CF52F18">
      <w:pPr>
        <w:pageBreakBefore w:val="0"/>
        <w:kinsoku/>
        <w:wordWrap/>
        <w:topLinePunct w:val="0"/>
        <w:bidi w:val="0"/>
        <w:spacing w:line="312" w:lineRule="auto"/>
        <w:jc w:val="center"/>
        <w:rPr>
          <w:rFonts w:hint="eastAsia" w:ascii="宋体" w:hAnsi="宋体" w:eastAsia="宋体" w:cs="宋体"/>
          <w:b/>
          <w:bCs/>
          <w:color w:val="auto"/>
          <w:sz w:val="84"/>
        </w:rPr>
      </w:pPr>
      <w:r>
        <w:rPr>
          <w:rFonts w:hint="eastAsia" w:ascii="宋体" w:hAnsi="宋体" w:eastAsia="宋体" w:cs="宋体"/>
          <w:b/>
          <w:bCs/>
          <w:color w:val="auto"/>
          <w:sz w:val="84"/>
        </w:rPr>
        <w:t>竞争性磋商文件</w:t>
      </w:r>
    </w:p>
    <w:p w14:paraId="6C6CF6F0">
      <w:pPr>
        <w:pageBreakBefore w:val="0"/>
        <w:kinsoku/>
        <w:wordWrap/>
        <w:topLinePunct w:val="0"/>
        <w:bidi w:val="0"/>
        <w:spacing w:line="312" w:lineRule="auto"/>
        <w:jc w:val="center"/>
        <w:rPr>
          <w:rFonts w:hint="eastAsia" w:ascii="宋体" w:hAnsi="宋体" w:eastAsia="宋体" w:cs="宋体"/>
          <w:color w:val="auto"/>
        </w:rPr>
      </w:pPr>
    </w:p>
    <w:p w14:paraId="65C64773">
      <w:pPr>
        <w:pageBreakBefore w:val="0"/>
        <w:kinsoku/>
        <w:wordWrap/>
        <w:topLinePunct w:val="0"/>
        <w:bidi w:val="0"/>
        <w:spacing w:line="312" w:lineRule="auto"/>
        <w:jc w:val="center"/>
        <w:rPr>
          <w:rFonts w:hint="eastAsia" w:ascii="宋体" w:hAnsi="宋体" w:eastAsia="宋体" w:cs="宋体"/>
          <w:color w:val="auto"/>
        </w:rPr>
      </w:pPr>
    </w:p>
    <w:p w14:paraId="684904DA">
      <w:pPr>
        <w:pStyle w:val="19"/>
        <w:pageBreakBefore w:val="0"/>
        <w:kinsoku/>
        <w:wordWrap/>
        <w:topLinePunct w:val="0"/>
        <w:bidi w:val="0"/>
        <w:spacing w:line="312" w:lineRule="auto"/>
        <w:ind w:left="0" w:leftChars="0"/>
        <w:rPr>
          <w:rFonts w:hint="eastAsia" w:ascii="宋体" w:hAnsi="宋体" w:eastAsia="宋体" w:cs="宋体"/>
          <w:color w:val="auto"/>
        </w:rPr>
      </w:pPr>
    </w:p>
    <w:p w14:paraId="2AA3E192">
      <w:pPr>
        <w:pStyle w:val="19"/>
        <w:pageBreakBefore w:val="0"/>
        <w:kinsoku/>
        <w:wordWrap/>
        <w:topLinePunct w:val="0"/>
        <w:bidi w:val="0"/>
        <w:spacing w:line="312" w:lineRule="auto"/>
        <w:ind w:left="0" w:leftChars="0" w:firstLine="0" w:firstLineChars="0"/>
        <w:jc w:val="center"/>
        <w:rPr>
          <w:rFonts w:hint="eastAsia" w:ascii="宋体" w:hAnsi="宋体" w:eastAsia="宋体" w:cs="宋体"/>
          <w:b/>
          <w:color w:val="auto"/>
          <w:sz w:val="30"/>
          <w:szCs w:val="30"/>
          <w:u w:val="single"/>
          <w:lang w:eastAsia="zh-CN"/>
        </w:rPr>
      </w:pPr>
      <w:r>
        <w:rPr>
          <w:rFonts w:hint="eastAsia" w:ascii="宋体" w:hAnsi="宋体" w:eastAsia="宋体" w:cs="宋体"/>
          <w:b/>
          <w:color w:val="auto"/>
          <w:sz w:val="30"/>
          <w:szCs w:val="30"/>
        </w:rPr>
        <w:t>项目名称：</w:t>
      </w:r>
      <w:r>
        <w:rPr>
          <w:rFonts w:hint="eastAsia" w:ascii="宋体" w:hAnsi="宋体" w:cs="宋体"/>
          <w:b/>
          <w:color w:val="auto"/>
          <w:sz w:val="30"/>
          <w:szCs w:val="30"/>
          <w:lang w:eastAsia="zh-CN"/>
        </w:rPr>
        <w:t>梧州市卫生健康委员会2025年除“四害”服务采购</w:t>
      </w:r>
    </w:p>
    <w:p w14:paraId="5688BDD1">
      <w:pPr>
        <w:pStyle w:val="19"/>
        <w:pageBreakBefore w:val="0"/>
        <w:kinsoku/>
        <w:wordWrap/>
        <w:topLinePunct w:val="0"/>
        <w:bidi w:val="0"/>
        <w:spacing w:line="312" w:lineRule="auto"/>
        <w:ind w:left="0" w:leftChars="0" w:firstLine="1858" w:firstLineChars="617"/>
        <w:jc w:val="both"/>
        <w:rPr>
          <w:rFonts w:hint="eastAsia" w:ascii="宋体" w:hAnsi="宋体" w:eastAsia="宋体" w:cs="宋体"/>
          <w:color w:val="auto"/>
          <w:sz w:val="30"/>
          <w:szCs w:val="30"/>
          <w:highlight w:val="yellow"/>
          <w:lang w:eastAsia="zh-CN"/>
        </w:rPr>
      </w:pPr>
      <w:r>
        <w:rPr>
          <w:rFonts w:hint="eastAsia" w:ascii="宋体" w:hAnsi="宋体" w:eastAsia="宋体" w:cs="宋体"/>
          <w:b/>
          <w:color w:val="auto"/>
          <w:sz w:val="30"/>
          <w:szCs w:val="30"/>
        </w:rPr>
        <w:t>项目编号：</w:t>
      </w:r>
      <w:r>
        <w:rPr>
          <w:rFonts w:hint="eastAsia" w:ascii="宋体" w:hAnsi="宋体" w:cs="宋体"/>
          <w:b/>
          <w:color w:val="auto"/>
          <w:sz w:val="30"/>
          <w:szCs w:val="30"/>
          <w:lang w:eastAsia="zh-CN"/>
        </w:rPr>
        <w:t>WZZC2025-C3-990138-NNPZ</w:t>
      </w:r>
    </w:p>
    <w:p w14:paraId="72EAF825">
      <w:pPr>
        <w:pageBreakBefore w:val="0"/>
        <w:kinsoku/>
        <w:wordWrap/>
        <w:topLinePunct w:val="0"/>
        <w:bidi w:val="0"/>
        <w:spacing w:line="312" w:lineRule="auto"/>
        <w:jc w:val="center"/>
        <w:rPr>
          <w:rFonts w:hint="eastAsia" w:ascii="宋体" w:hAnsi="宋体" w:eastAsia="宋体" w:cs="宋体"/>
          <w:color w:val="auto"/>
          <w:sz w:val="32"/>
        </w:rPr>
      </w:pPr>
    </w:p>
    <w:p w14:paraId="1F604EAF">
      <w:pPr>
        <w:pageBreakBefore w:val="0"/>
        <w:kinsoku/>
        <w:wordWrap/>
        <w:topLinePunct w:val="0"/>
        <w:bidi w:val="0"/>
        <w:spacing w:line="312" w:lineRule="auto"/>
        <w:rPr>
          <w:rFonts w:hint="eastAsia" w:ascii="宋体" w:hAnsi="宋体" w:eastAsia="宋体" w:cs="宋体"/>
          <w:color w:val="auto"/>
          <w:sz w:val="32"/>
        </w:rPr>
      </w:pPr>
    </w:p>
    <w:p w14:paraId="4FD7C2BE">
      <w:pPr>
        <w:pageBreakBefore w:val="0"/>
        <w:kinsoku/>
        <w:wordWrap/>
        <w:topLinePunct w:val="0"/>
        <w:bidi w:val="0"/>
        <w:spacing w:line="312" w:lineRule="auto"/>
        <w:rPr>
          <w:rFonts w:hint="eastAsia" w:ascii="宋体" w:hAnsi="宋体" w:eastAsia="宋体" w:cs="宋体"/>
          <w:b w:val="0"/>
          <w:bCs/>
          <w:color w:val="auto"/>
          <w:sz w:val="32"/>
          <w:szCs w:val="32"/>
          <w:highlight w:val="none"/>
        </w:rPr>
      </w:pPr>
      <w:r>
        <w:rPr>
          <w:rFonts w:hint="eastAsia" w:ascii="宋体" w:hAnsi="宋体" w:eastAsia="宋体" w:cs="宋体"/>
          <w:b/>
          <w:color w:val="auto"/>
          <w:sz w:val="32"/>
          <w:szCs w:val="32"/>
        </w:rPr>
        <w:t xml:space="preserve">      </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highlight w:val="none"/>
        </w:rPr>
        <w:t xml:space="preserve">采   购   </w:t>
      </w:r>
      <w:r>
        <w:rPr>
          <w:rFonts w:hint="eastAsia" w:ascii="宋体" w:hAnsi="宋体" w:eastAsia="宋体" w:cs="宋体"/>
          <w:b w:val="0"/>
          <w:bCs/>
          <w:color w:val="auto"/>
          <w:spacing w:val="2"/>
          <w:sz w:val="32"/>
          <w:szCs w:val="32"/>
          <w:highlight w:val="none"/>
        </w:rPr>
        <w:t>人</w:t>
      </w:r>
      <w:r>
        <w:rPr>
          <w:rFonts w:hint="eastAsia" w:ascii="宋体" w:hAnsi="宋体" w:eastAsia="宋体" w:cs="宋体"/>
          <w:b w:val="0"/>
          <w:bCs/>
          <w:color w:val="auto"/>
          <w:sz w:val="32"/>
          <w:szCs w:val="32"/>
          <w:highlight w:val="none"/>
        </w:rPr>
        <w:t>:</w:t>
      </w:r>
      <w:r>
        <w:rPr>
          <w:rFonts w:hint="eastAsia" w:ascii="宋体" w:hAnsi="宋体" w:cs="宋体"/>
          <w:b w:val="0"/>
          <w:bCs/>
          <w:color w:val="auto"/>
          <w:sz w:val="32"/>
          <w:szCs w:val="32"/>
          <w:highlight w:val="none"/>
          <w:lang w:eastAsia="zh-CN"/>
        </w:rPr>
        <w:t>梧州市卫生健康委员会</w:t>
      </w:r>
    </w:p>
    <w:p w14:paraId="0E974883">
      <w:pPr>
        <w:pageBreakBefore w:val="0"/>
        <w:kinsoku/>
        <w:wordWrap/>
        <w:topLinePunct w:val="0"/>
        <w:bidi w:val="0"/>
        <w:spacing w:line="312" w:lineRule="auto"/>
        <w:ind w:firstLine="1104" w:firstLineChars="345"/>
        <w:rPr>
          <w:rFonts w:hint="eastAsia" w:ascii="宋体" w:hAnsi="宋体" w:eastAsia="宋体" w:cs="宋体"/>
          <w:b w:val="0"/>
          <w:bCs/>
          <w:color w:val="auto"/>
          <w:spacing w:val="10"/>
          <w:kern w:val="0"/>
          <w:sz w:val="32"/>
          <w:szCs w:val="32"/>
          <w:highlight w:val="none"/>
          <w:lang w:eastAsia="zh-CN"/>
        </w:rPr>
      </w:pPr>
      <w:r>
        <w:rPr>
          <w:rFonts w:hint="eastAsia" w:ascii="宋体" w:hAnsi="宋体" w:eastAsia="宋体" w:cs="宋体"/>
          <w:b w:val="0"/>
          <w:bCs/>
          <w:color w:val="auto"/>
          <w:sz w:val="32"/>
          <w:szCs w:val="32"/>
          <w:highlight w:val="none"/>
        </w:rPr>
        <w:t>采购</w:t>
      </w:r>
      <w:r>
        <w:rPr>
          <w:rFonts w:hint="eastAsia" w:ascii="宋体" w:hAnsi="宋体" w:eastAsia="宋体" w:cs="宋体"/>
          <w:b w:val="0"/>
          <w:bCs/>
          <w:color w:val="auto"/>
          <w:spacing w:val="2"/>
          <w:sz w:val="32"/>
          <w:szCs w:val="32"/>
          <w:highlight w:val="none"/>
        </w:rPr>
        <w:t>代理机</w:t>
      </w:r>
      <w:r>
        <w:rPr>
          <w:rFonts w:hint="eastAsia" w:ascii="宋体" w:hAnsi="宋体" w:eastAsia="宋体" w:cs="宋体"/>
          <w:b w:val="0"/>
          <w:bCs/>
          <w:color w:val="auto"/>
          <w:sz w:val="32"/>
          <w:szCs w:val="32"/>
          <w:highlight w:val="none"/>
        </w:rPr>
        <w:t>构:</w:t>
      </w:r>
      <w:r>
        <w:rPr>
          <w:rFonts w:hint="eastAsia" w:ascii="宋体" w:hAnsi="宋体" w:eastAsia="宋体" w:cs="宋体"/>
          <w:b w:val="0"/>
          <w:bCs/>
          <w:color w:val="auto"/>
          <w:spacing w:val="10"/>
          <w:kern w:val="0"/>
          <w:sz w:val="32"/>
          <w:szCs w:val="32"/>
          <w:highlight w:val="none"/>
          <w:lang w:eastAsia="zh-CN"/>
        </w:rPr>
        <w:t>南宁品正建设咨询有限责任公司</w:t>
      </w:r>
    </w:p>
    <w:p w14:paraId="541A6A4D">
      <w:pPr>
        <w:pageBreakBefore w:val="0"/>
        <w:kinsoku/>
        <w:wordWrap/>
        <w:topLinePunct w:val="0"/>
        <w:bidi w:val="0"/>
        <w:spacing w:line="312" w:lineRule="auto"/>
        <w:ind w:left="0" w:leftChars="0" w:firstLine="1104" w:firstLineChars="0"/>
        <w:jc w:val="both"/>
        <w:rPr>
          <w:rFonts w:hint="eastAsia" w:ascii="宋体" w:hAnsi="宋体" w:eastAsia="宋体"/>
          <w:b/>
          <w:color w:val="auto"/>
          <w:sz w:val="44"/>
          <w:szCs w:val="44"/>
          <w:highlight w:val="none"/>
          <w:lang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0"/>
          <w:cols w:space="720" w:num="1"/>
          <w:titlePg/>
          <w:docGrid w:type="lines" w:linePitch="312" w:charSpace="0"/>
        </w:sectPr>
      </w:pPr>
      <w:r>
        <w:rPr>
          <w:rFonts w:hint="eastAsia" w:ascii="宋体" w:hAnsi="宋体" w:eastAsia="宋体" w:cs="宋体"/>
          <w:b w:val="0"/>
          <w:bCs/>
          <w:color w:val="auto"/>
          <w:sz w:val="32"/>
          <w:szCs w:val="32"/>
          <w:highlight w:val="none"/>
        </w:rPr>
        <w:t>日        期</w:t>
      </w:r>
      <w:r>
        <w:rPr>
          <w:rFonts w:hint="eastAsia" w:ascii="宋体" w:hAnsi="宋体" w:eastAsia="宋体" w:cs="宋体"/>
          <w:b/>
          <w:bCs w:val="0"/>
          <w:color w:val="auto"/>
          <w:sz w:val="32"/>
          <w:szCs w:val="32"/>
          <w:highlight w:val="none"/>
        </w:rPr>
        <w:t>：</w:t>
      </w:r>
      <w:r>
        <w:rPr>
          <w:rFonts w:hint="eastAsia" w:ascii="宋体" w:hAnsi="宋体" w:eastAsia="宋体" w:cs="宋体"/>
          <w:b w:val="0"/>
          <w:bCs/>
          <w:color w:val="auto"/>
          <w:spacing w:val="-8"/>
          <w:sz w:val="32"/>
          <w:highlight w:val="none"/>
          <w:lang w:val="en-US" w:eastAsia="zh-CN"/>
        </w:rPr>
        <w:t>202</w:t>
      </w:r>
      <w:r>
        <w:rPr>
          <w:rFonts w:hint="eastAsia" w:ascii="宋体" w:hAnsi="宋体" w:cs="宋体"/>
          <w:b w:val="0"/>
          <w:bCs/>
          <w:color w:val="auto"/>
          <w:spacing w:val="-8"/>
          <w:sz w:val="32"/>
          <w:highlight w:val="none"/>
          <w:lang w:val="en-US" w:eastAsia="zh-CN"/>
        </w:rPr>
        <w:t>5</w:t>
      </w:r>
      <w:r>
        <w:rPr>
          <w:rFonts w:hint="eastAsia" w:ascii="宋体" w:hAnsi="宋体" w:eastAsia="宋体" w:cs="宋体"/>
          <w:b w:val="0"/>
          <w:bCs/>
          <w:color w:val="auto"/>
          <w:spacing w:val="-8"/>
          <w:sz w:val="32"/>
          <w:highlight w:val="none"/>
        </w:rPr>
        <w:t>年</w:t>
      </w:r>
      <w:r>
        <w:rPr>
          <w:rFonts w:hint="eastAsia" w:ascii="宋体" w:hAnsi="宋体" w:eastAsia="宋体" w:cs="宋体"/>
          <w:b w:val="0"/>
          <w:bCs/>
          <w:color w:val="auto"/>
          <w:spacing w:val="-8"/>
          <w:sz w:val="32"/>
          <w:highlight w:val="none"/>
          <w:lang w:val="en-US" w:eastAsia="zh-CN"/>
        </w:rPr>
        <w:t>0</w:t>
      </w:r>
      <w:r>
        <w:rPr>
          <w:rFonts w:hint="eastAsia" w:ascii="宋体" w:hAnsi="宋体" w:cs="宋体"/>
          <w:b w:val="0"/>
          <w:bCs/>
          <w:color w:val="auto"/>
          <w:spacing w:val="-8"/>
          <w:sz w:val="32"/>
          <w:highlight w:val="none"/>
          <w:lang w:val="en-US" w:eastAsia="zh-CN"/>
        </w:rPr>
        <w:t>6</w:t>
      </w:r>
      <w:r>
        <w:rPr>
          <w:rFonts w:hint="eastAsia" w:ascii="宋体" w:hAnsi="宋体" w:eastAsia="宋体" w:cs="宋体"/>
          <w:b w:val="0"/>
          <w:bCs/>
          <w:color w:val="auto"/>
          <w:spacing w:val="-8"/>
          <w:sz w:val="32"/>
          <w:highlight w:val="none"/>
        </w:rPr>
        <w:t>月</w:t>
      </w:r>
    </w:p>
    <w:p w14:paraId="3149320C">
      <w:pPr>
        <w:pStyle w:val="24"/>
        <w:pageBreakBefore w:val="0"/>
        <w:tabs>
          <w:tab w:val="right" w:leader="dot" w:pos="8879"/>
          <w:tab w:val="clear" w:pos="8296"/>
        </w:tabs>
        <w:kinsoku/>
        <w:wordWrap/>
        <w:topLinePunct w:val="0"/>
        <w:bidi w:val="0"/>
        <w:spacing w:line="312"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"1-3" \h \z \u </w:instrText>
      </w:r>
      <w:r>
        <w:rPr>
          <w:rFonts w:hint="eastAsia" w:ascii="宋体" w:hAnsi="宋体" w:eastAsia="宋体" w:cs="宋体"/>
          <w:b/>
          <w:color w:val="auto"/>
          <w:sz w:val="21"/>
          <w:szCs w:val="21"/>
          <w:highlight w:val="none"/>
        </w:rPr>
        <w:fldChar w:fldCharType="separate"/>
      </w:r>
    </w:p>
    <w:p w14:paraId="6ADF1AC3">
      <w:pPr>
        <w:pageBreakBefore w:val="0"/>
        <w:kinsoku/>
        <w:wordWrap/>
        <w:topLinePunct w:val="0"/>
        <w:bidi w:val="0"/>
        <w:spacing w:line="312" w:lineRule="auto"/>
        <w:rPr>
          <w:rFonts w:hint="eastAsia" w:ascii="宋体" w:hAnsi="宋体" w:eastAsia="宋体" w:cs="宋体"/>
          <w:color w:val="auto"/>
          <w:sz w:val="21"/>
          <w:szCs w:val="21"/>
          <w:highlight w:val="none"/>
        </w:rPr>
      </w:pPr>
    </w:p>
    <w:sdt>
      <w:sdtPr>
        <w:rPr>
          <w:rFonts w:ascii="宋体" w:hAnsi="宋体" w:eastAsia="宋体" w:cs="Times New Roman"/>
          <w:color w:val="auto"/>
          <w:kern w:val="2"/>
          <w:sz w:val="21"/>
          <w:szCs w:val="24"/>
          <w:highlight w:val="none"/>
          <w:lang w:val="en-US" w:eastAsia="zh-CN" w:bidi="ar-SA"/>
        </w:rPr>
        <w:id w:val="147472179"/>
        <w15:color w:val="DBDBDB"/>
        <w:docPartObj>
          <w:docPartGallery w:val="Table of Contents"/>
          <w:docPartUnique/>
        </w:docPartObj>
      </w:sdtPr>
      <w:sdtEndPr>
        <w:rPr>
          <w:rFonts w:hint="eastAsia" w:ascii="宋体" w:hAnsi="宋体" w:eastAsia="宋体" w:cs="宋体"/>
          <w:color w:val="auto"/>
          <w:kern w:val="2"/>
          <w:sz w:val="21"/>
          <w:szCs w:val="21"/>
          <w:highlight w:val="none"/>
          <w:lang w:val="en-US" w:eastAsia="zh-CN" w:bidi="ar-SA"/>
        </w:rPr>
      </w:sdtEndPr>
      <w:sdtContent>
        <w:p w14:paraId="5155C218">
          <w:pPr>
            <w:spacing w:before="0" w:beforeLines="0" w:after="0" w:afterLines="0" w:line="240" w:lineRule="auto"/>
            <w:ind w:left="0" w:leftChars="0" w:right="0" w:rightChars="0" w:firstLine="0" w:firstLineChars="0"/>
            <w:jc w:val="center"/>
            <w:rPr>
              <w:rStyle w:val="53"/>
              <w:color w:val="auto"/>
              <w:highlight w:val="none"/>
            </w:rPr>
          </w:pPr>
          <w:r>
            <w:rPr>
              <w:rStyle w:val="53"/>
              <w:color w:val="auto"/>
              <w:highlight w:val="none"/>
            </w:rPr>
            <w:t>目录</w:t>
          </w:r>
        </w:p>
        <w:p w14:paraId="221C8D4D">
          <w:pPr>
            <w:pStyle w:val="23"/>
            <w:tabs>
              <w:tab w:val="right" w:leader="dot" w:pos="9071"/>
            </w:tabs>
            <w:rPr>
              <w:rFonts w:hint="eastAsia" w:ascii="宋体" w:hAnsi="宋体" w:eastAsia="宋体" w:cs="宋体"/>
              <w:color w:val="auto"/>
              <w:kern w:val="2"/>
              <w:sz w:val="21"/>
              <w:szCs w:val="21"/>
              <w:highlight w:val="none"/>
              <w:lang w:val="en-US" w:eastAsia="zh-CN" w:bidi="ar-SA"/>
            </w:rPr>
          </w:pPr>
        </w:p>
        <w:p w14:paraId="5F41D855">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_Toc2558 </w:instrText>
          </w:r>
          <w:r>
            <w:rPr>
              <w:rFonts w:hint="eastAsia" w:ascii="宋体" w:hAnsi="宋体" w:eastAsia="宋体" w:cs="宋体"/>
              <w:color w:val="auto"/>
              <w:kern w:val="2"/>
              <w:sz w:val="28"/>
              <w:szCs w:val="28"/>
              <w:highlight w:val="none"/>
              <w:lang w:val="en-US" w:eastAsia="zh-CN" w:bidi="ar-SA"/>
            </w:rPr>
            <w:fldChar w:fldCharType="separate"/>
          </w:r>
          <w:r>
            <w:rPr>
              <w:rFonts w:hint="eastAsia"/>
              <w:color w:val="auto"/>
              <w:sz w:val="28"/>
              <w:szCs w:val="28"/>
              <w:highlight w:val="none"/>
              <w:lang w:val="en-US" w:eastAsia="zh-CN"/>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_Toc2558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7437C260">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_Toc7803 </w:instrText>
          </w:r>
          <w:r>
            <w:rPr>
              <w:rFonts w:hint="eastAsia" w:ascii="宋体" w:hAnsi="宋体" w:eastAsia="宋体" w:cs="宋体"/>
              <w:color w:val="auto"/>
              <w:kern w:val="2"/>
              <w:sz w:val="28"/>
              <w:szCs w:val="28"/>
              <w:highlight w:val="none"/>
              <w:lang w:val="en-US" w:eastAsia="zh-CN" w:bidi="ar-SA"/>
            </w:rPr>
            <w:fldChar w:fldCharType="separate"/>
          </w:r>
          <w:r>
            <w:rPr>
              <w:rFonts w:hint="eastAsia"/>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_Toc7803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24F39DBE">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_Toc876 </w:instrText>
          </w:r>
          <w:r>
            <w:rPr>
              <w:rFonts w:hint="eastAsia" w:ascii="宋体" w:hAnsi="宋体" w:eastAsia="宋体" w:cs="宋体"/>
              <w:color w:val="auto"/>
              <w:kern w:val="2"/>
              <w:sz w:val="28"/>
              <w:szCs w:val="28"/>
              <w:highlight w:val="none"/>
              <w:lang w:val="en-US" w:eastAsia="zh-CN" w:bidi="ar-SA"/>
            </w:rPr>
            <w:fldChar w:fldCharType="separate"/>
          </w:r>
          <w:r>
            <w:rPr>
              <w:rFonts w:hint="eastAsia"/>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_Toc876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148F70B1">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_Toc6447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评审</w:t>
          </w:r>
          <w:r>
            <w:rPr>
              <w:rFonts w:hint="eastAsia" w:ascii="宋体" w:hAnsi="宋体" w:eastAsia="宋体" w:cs="宋体"/>
              <w:color w:val="auto"/>
              <w:sz w:val="28"/>
              <w:szCs w:val="28"/>
              <w:highlight w:val="none"/>
            </w:rPr>
            <w:t>方法和成交标准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_Toc6447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5091094A">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_Toc15054 </w:instrText>
          </w:r>
          <w:r>
            <w:rPr>
              <w:rFonts w:hint="eastAsia" w:ascii="宋体" w:hAnsi="宋体" w:eastAsia="宋体" w:cs="宋体"/>
              <w:color w:val="auto"/>
              <w:kern w:val="2"/>
              <w:sz w:val="28"/>
              <w:szCs w:val="28"/>
              <w:highlight w:val="none"/>
              <w:lang w:val="en-US" w:eastAsia="zh-CN" w:bidi="ar-SA"/>
            </w:rPr>
            <w:fldChar w:fldCharType="separate"/>
          </w: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_Toc15054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46C4914A">
          <w:pPr>
            <w:pStyle w:val="23"/>
            <w:tabs>
              <w:tab w:val="right" w:leader="dot" w:pos="9071"/>
            </w:tabs>
            <w:rPr>
              <w:color w:val="auto"/>
              <w:sz w:val="28"/>
              <w:szCs w:val="28"/>
              <w:highlight w:val="none"/>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_Toc32227 </w:instrText>
          </w:r>
          <w:r>
            <w:rPr>
              <w:rFonts w:hint="eastAsia" w:ascii="宋体" w:hAnsi="宋体" w:eastAsia="宋体" w:cs="宋体"/>
              <w:color w:val="auto"/>
              <w:kern w:val="2"/>
              <w:sz w:val="28"/>
              <w:szCs w:val="28"/>
              <w:highlight w:val="none"/>
              <w:lang w:val="en-US" w:eastAsia="zh-CN" w:bidi="ar-SA"/>
            </w:rPr>
            <w:fldChar w:fldCharType="separate"/>
          </w:r>
          <w:r>
            <w:rPr>
              <w:rFonts w:hint="eastAsia"/>
              <w:color w:val="auto"/>
              <w:sz w:val="28"/>
              <w:szCs w:val="28"/>
              <w:highlight w:val="none"/>
            </w:rPr>
            <w:t xml:space="preserve">第六章 </w:t>
          </w:r>
          <w:r>
            <w:rPr>
              <w:rFonts w:hint="eastAsia"/>
              <w:color w:val="auto"/>
              <w:sz w:val="28"/>
              <w:szCs w:val="28"/>
              <w:highlight w:val="none"/>
              <w:lang w:val="en-US" w:eastAsia="zh-CN"/>
            </w:rPr>
            <w:t>拟签订的</w:t>
          </w:r>
          <w:r>
            <w:rPr>
              <w:rFonts w:hint="eastAsia"/>
              <w:color w:val="auto"/>
              <w:sz w:val="28"/>
              <w:szCs w:val="28"/>
              <w:highlight w:val="none"/>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_Toc32227 \h </w:instrText>
          </w:r>
          <w:r>
            <w:rPr>
              <w:color w:val="auto"/>
              <w:sz w:val="28"/>
              <w:szCs w:val="28"/>
              <w:highlight w:val="none"/>
            </w:rPr>
            <w:fldChar w:fldCharType="separate"/>
          </w:r>
          <w:r>
            <w:rPr>
              <w:color w:val="auto"/>
              <w:sz w:val="28"/>
              <w:szCs w:val="28"/>
              <w:highlight w:val="none"/>
            </w:rPr>
            <w:t>70</w:t>
          </w:r>
          <w:r>
            <w:rPr>
              <w:color w:val="auto"/>
              <w:sz w:val="28"/>
              <w:szCs w:val="28"/>
              <w:highlight w:val="none"/>
            </w:rPr>
            <w:fldChar w:fldCharType="end"/>
          </w:r>
          <w:r>
            <w:rPr>
              <w:rFonts w:hint="eastAsia" w:ascii="宋体" w:hAnsi="宋体" w:eastAsia="宋体" w:cs="宋体"/>
              <w:color w:val="auto"/>
              <w:kern w:val="2"/>
              <w:sz w:val="28"/>
              <w:szCs w:val="28"/>
              <w:highlight w:val="none"/>
              <w:lang w:val="en-US" w:eastAsia="zh-CN" w:bidi="ar-SA"/>
            </w:rPr>
            <w:fldChar w:fldCharType="end"/>
          </w:r>
        </w:p>
        <w:p w14:paraId="0D293C0E">
          <w:pPr>
            <w:pStyle w:val="13"/>
            <w:pageBreakBefore w:val="0"/>
            <w:kinsoku/>
            <w:wordWrap/>
            <w:topLinePunct w:val="0"/>
            <w:bidi w:val="0"/>
            <w:spacing w:line="312"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sdtContent>
    </w:sdt>
    <w:p w14:paraId="59413F77">
      <w:pPr>
        <w:pStyle w:val="13"/>
        <w:pageBreakBefore w:val="0"/>
        <w:kinsoku/>
        <w:wordWrap/>
        <w:topLinePunct w:val="0"/>
        <w:bidi w:val="0"/>
        <w:spacing w:line="312" w:lineRule="auto"/>
        <w:rPr>
          <w:rFonts w:hint="eastAsia" w:ascii="宋体" w:hAnsi="宋体" w:eastAsia="宋体" w:cs="宋体"/>
          <w:color w:val="auto"/>
          <w:kern w:val="2"/>
          <w:sz w:val="21"/>
          <w:szCs w:val="21"/>
          <w:highlight w:val="none"/>
          <w:lang w:val="en-US" w:eastAsia="zh-CN" w:bidi="ar-SA"/>
        </w:rPr>
      </w:pPr>
    </w:p>
    <w:p w14:paraId="2C88FCEC">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016FF7DE">
      <w:pPr>
        <w:pageBreakBefore w:val="0"/>
        <w:kinsoku/>
        <w:wordWrap/>
        <w:topLinePunct w:val="0"/>
        <w:bidi w:val="0"/>
        <w:spacing w:line="312" w:lineRule="auto"/>
        <w:rPr>
          <w:rFonts w:hint="eastAsia" w:ascii="宋体" w:hAnsi="宋体" w:eastAsia="宋体" w:cs="宋体"/>
          <w:color w:val="auto"/>
          <w:sz w:val="21"/>
          <w:szCs w:val="21"/>
          <w:highlight w:val="none"/>
        </w:rPr>
      </w:pPr>
    </w:p>
    <w:p w14:paraId="7E2E37E5">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12B197EA">
      <w:pPr>
        <w:pageBreakBefore w:val="0"/>
        <w:kinsoku/>
        <w:wordWrap/>
        <w:topLinePunct w:val="0"/>
        <w:bidi w:val="0"/>
        <w:spacing w:line="312" w:lineRule="auto"/>
        <w:rPr>
          <w:rFonts w:hint="eastAsia" w:ascii="宋体" w:hAnsi="宋体" w:eastAsia="宋体" w:cs="宋体"/>
          <w:color w:val="auto"/>
          <w:sz w:val="21"/>
          <w:szCs w:val="21"/>
          <w:highlight w:val="none"/>
        </w:rPr>
      </w:pPr>
    </w:p>
    <w:p w14:paraId="4740F631">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4DCA18E4">
      <w:pPr>
        <w:pageBreakBefore w:val="0"/>
        <w:kinsoku/>
        <w:wordWrap/>
        <w:topLinePunct w:val="0"/>
        <w:bidi w:val="0"/>
        <w:spacing w:line="312" w:lineRule="auto"/>
        <w:rPr>
          <w:rFonts w:hint="eastAsia" w:ascii="宋体" w:hAnsi="宋体" w:eastAsia="宋体" w:cs="宋体"/>
          <w:color w:val="auto"/>
          <w:sz w:val="21"/>
          <w:szCs w:val="21"/>
          <w:highlight w:val="none"/>
        </w:rPr>
      </w:pPr>
    </w:p>
    <w:p w14:paraId="1C9EB7FF">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5D2E2FC1">
      <w:pPr>
        <w:pageBreakBefore w:val="0"/>
        <w:kinsoku/>
        <w:wordWrap/>
        <w:topLinePunct w:val="0"/>
        <w:bidi w:val="0"/>
        <w:spacing w:line="312" w:lineRule="auto"/>
        <w:rPr>
          <w:rFonts w:hint="eastAsia" w:ascii="宋体" w:hAnsi="宋体" w:eastAsia="宋体" w:cs="宋体"/>
          <w:color w:val="auto"/>
          <w:sz w:val="21"/>
          <w:szCs w:val="21"/>
          <w:highlight w:val="none"/>
        </w:rPr>
      </w:pPr>
    </w:p>
    <w:p w14:paraId="00C04D3A">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0852394D">
      <w:pPr>
        <w:pageBreakBefore w:val="0"/>
        <w:kinsoku/>
        <w:wordWrap/>
        <w:topLinePunct w:val="0"/>
        <w:bidi w:val="0"/>
        <w:spacing w:line="312" w:lineRule="auto"/>
        <w:rPr>
          <w:rFonts w:hint="eastAsia" w:ascii="宋体" w:hAnsi="宋体" w:eastAsia="宋体" w:cs="宋体"/>
          <w:color w:val="auto"/>
          <w:sz w:val="21"/>
          <w:szCs w:val="21"/>
          <w:highlight w:val="none"/>
        </w:rPr>
      </w:pPr>
    </w:p>
    <w:p w14:paraId="6618364C">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2C8C9D7B">
      <w:pPr>
        <w:pageBreakBefore w:val="0"/>
        <w:kinsoku/>
        <w:wordWrap/>
        <w:topLinePunct w:val="0"/>
        <w:bidi w:val="0"/>
        <w:spacing w:line="312" w:lineRule="auto"/>
        <w:rPr>
          <w:rFonts w:hint="eastAsia" w:ascii="宋体" w:hAnsi="宋体" w:eastAsia="宋体" w:cs="宋体"/>
          <w:color w:val="auto"/>
          <w:sz w:val="21"/>
          <w:szCs w:val="21"/>
          <w:highlight w:val="none"/>
        </w:rPr>
      </w:pPr>
    </w:p>
    <w:p w14:paraId="690C31AF">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05239B53">
      <w:pPr>
        <w:pageBreakBefore w:val="0"/>
        <w:kinsoku/>
        <w:wordWrap/>
        <w:topLinePunct w:val="0"/>
        <w:bidi w:val="0"/>
        <w:spacing w:line="312" w:lineRule="auto"/>
        <w:rPr>
          <w:rFonts w:hint="eastAsia" w:ascii="宋体" w:hAnsi="宋体" w:eastAsia="宋体" w:cs="宋体"/>
          <w:color w:val="auto"/>
          <w:sz w:val="21"/>
          <w:szCs w:val="21"/>
          <w:highlight w:val="none"/>
        </w:rPr>
      </w:pPr>
    </w:p>
    <w:p w14:paraId="2C361417">
      <w:pPr>
        <w:pStyle w:val="13"/>
        <w:pageBreakBefore w:val="0"/>
        <w:kinsoku/>
        <w:wordWrap/>
        <w:topLinePunct w:val="0"/>
        <w:bidi w:val="0"/>
        <w:spacing w:line="312" w:lineRule="auto"/>
        <w:rPr>
          <w:rFonts w:hint="eastAsia" w:ascii="宋体" w:hAnsi="宋体" w:eastAsia="宋体" w:cs="宋体"/>
          <w:color w:val="auto"/>
          <w:sz w:val="21"/>
          <w:szCs w:val="21"/>
          <w:highlight w:val="none"/>
        </w:rPr>
      </w:pPr>
    </w:p>
    <w:p w14:paraId="72BD97B1">
      <w:pPr>
        <w:pStyle w:val="4"/>
        <w:keepNext/>
        <w:keepLines/>
        <w:pageBreakBefore w:val="0"/>
        <w:widowControl w:val="0"/>
        <w:kinsoku/>
        <w:wordWrap/>
        <w:overflowPunct/>
        <w:topLinePunct w:val="0"/>
        <w:autoSpaceDE/>
        <w:autoSpaceDN/>
        <w:bidi w:val="0"/>
        <w:adjustRightInd/>
        <w:snapToGrid/>
        <w:spacing w:before="200" w:after="200" w:line="360" w:lineRule="auto"/>
        <w:jc w:val="center"/>
        <w:textAlignment w:val="auto"/>
        <w:outlineLvl w:val="0"/>
        <w:rPr>
          <w:rFonts w:hint="eastAsia"/>
          <w:color w:val="auto"/>
          <w:highlight w:val="none"/>
          <w:lang w:val="en-US" w:eastAsia="zh-CN"/>
        </w:rPr>
      </w:pPr>
      <w:r>
        <w:rPr>
          <w:rFonts w:hint="eastAsia" w:ascii="宋体" w:hAnsi="宋体" w:eastAsia="宋体" w:cs="宋体"/>
          <w:color w:val="auto"/>
          <w:sz w:val="21"/>
          <w:szCs w:val="21"/>
          <w:highlight w:val="none"/>
        </w:rPr>
        <w:fldChar w:fldCharType="end"/>
      </w:r>
      <w:bookmarkStart w:id="0" w:name="_Toc2558"/>
      <w:bookmarkStart w:id="1" w:name="_Toc16252"/>
      <w:bookmarkStart w:id="2" w:name="_Hlk37430271"/>
      <w:r>
        <w:rPr>
          <w:rFonts w:hint="eastAsia"/>
          <w:color w:val="auto"/>
          <w:highlight w:val="none"/>
          <w:lang w:val="en-US" w:eastAsia="zh-CN"/>
        </w:rPr>
        <w:t>第一章 竞争性磋商公告</w:t>
      </w:r>
      <w:bookmarkEnd w:id="0"/>
      <w:bookmarkEnd w:id="1"/>
    </w:p>
    <w:p w14:paraId="78EFBD3A">
      <w:pPr>
        <w:pBdr>
          <w:top w:val="single" w:color="auto" w:sz="4" w:space="1"/>
          <w:left w:val="single" w:color="auto" w:sz="4" w:space="4"/>
          <w:bottom w:val="single" w:color="auto" w:sz="4" w:space="1"/>
          <w:right w:val="single" w:color="auto" w:sz="4" w:space="4"/>
        </w:pBd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41AD2A9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val="en-US" w:eastAsia="zh-CN"/>
        </w:rPr>
        <w:t>梧州市卫生健康委员会2025年除“四害”服务采购</w:t>
      </w:r>
      <w:r>
        <w:rPr>
          <w:rFonts w:hint="eastAsia" w:asciiTheme="minorEastAsia" w:hAnsiTheme="minorEastAsia" w:eastAsiaTheme="minorEastAsia" w:cstheme="minorEastAsia"/>
          <w:color w:val="auto"/>
          <w:szCs w:val="21"/>
          <w:highlight w:val="none"/>
        </w:rPr>
        <w:t>采购项目的潜在供应商应在“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”（https://www.zcygov.cn）获取采购文件，并于202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07月04</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lang w:val="en-US" w:eastAsia="zh-CN"/>
        </w:rPr>
        <w:t>09：30</w:t>
      </w:r>
      <w:r>
        <w:rPr>
          <w:rFonts w:hint="eastAsia" w:asciiTheme="minorEastAsia" w:hAnsiTheme="minorEastAsia" w:eastAsiaTheme="minorEastAsia" w:cstheme="minorEastAsia"/>
          <w:bCs/>
          <w:color w:val="auto"/>
          <w:szCs w:val="21"/>
          <w:highlight w:val="none"/>
        </w:rPr>
        <w:t>（北京时间）前</w:t>
      </w:r>
      <w:r>
        <w:rPr>
          <w:rFonts w:hint="eastAsia" w:asciiTheme="minorEastAsia" w:hAnsiTheme="minorEastAsia" w:eastAsiaTheme="minorEastAsia" w:cstheme="minorEastAsia"/>
          <w:bCs/>
          <w:color w:val="auto"/>
          <w:szCs w:val="21"/>
          <w:highlight w:val="none"/>
          <w:lang w:val="en-US" w:eastAsia="zh-CN"/>
        </w:rPr>
        <w:t>提交</w:t>
      </w:r>
      <w:r>
        <w:rPr>
          <w:rFonts w:hint="eastAsia" w:asciiTheme="minorEastAsia" w:hAnsiTheme="minorEastAsia" w:eastAsiaTheme="minorEastAsia" w:cstheme="minorEastAsia"/>
          <w:bCs/>
          <w:color w:val="auto"/>
          <w:szCs w:val="21"/>
          <w:highlight w:val="none"/>
        </w:rPr>
        <w:t>响应文件</w:t>
      </w:r>
      <w:r>
        <w:rPr>
          <w:rFonts w:hint="eastAsia" w:asciiTheme="minorEastAsia" w:hAnsiTheme="minorEastAsia" w:eastAsiaTheme="minorEastAsia" w:cstheme="minorEastAsia"/>
          <w:color w:val="auto"/>
          <w:szCs w:val="21"/>
          <w:highlight w:val="none"/>
        </w:rPr>
        <w:t>。</w:t>
      </w:r>
    </w:p>
    <w:bookmarkEnd w:id="2"/>
    <w:p w14:paraId="19522897">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 w:name="_Toc28359012"/>
      <w:bookmarkStart w:id="4" w:name="_Toc28359089"/>
      <w:bookmarkStart w:id="5" w:name="_Toc1531"/>
      <w:bookmarkStart w:id="6" w:name="_Toc35393798"/>
      <w:bookmarkStart w:id="7" w:name="_Toc35393629"/>
      <w:bookmarkStart w:id="8" w:name="_Toc44229878"/>
      <w:r>
        <w:rPr>
          <w:rFonts w:hint="eastAsia" w:asciiTheme="minorEastAsia" w:hAnsiTheme="minorEastAsia" w:eastAsiaTheme="minorEastAsia" w:cstheme="minorEastAsia"/>
          <w:bCs w:val="0"/>
          <w:color w:val="auto"/>
          <w:sz w:val="24"/>
          <w:szCs w:val="24"/>
          <w:highlight w:val="none"/>
        </w:rPr>
        <w:t>一、项目基本情况</w:t>
      </w:r>
      <w:bookmarkEnd w:id="3"/>
      <w:bookmarkEnd w:id="4"/>
      <w:bookmarkEnd w:id="5"/>
      <w:bookmarkEnd w:id="6"/>
      <w:bookmarkEnd w:id="7"/>
      <w:bookmarkEnd w:id="8"/>
    </w:p>
    <w:p w14:paraId="26C08859">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WZZC2025-C3-</w:t>
      </w:r>
      <w:bookmarkStart w:id="208" w:name="_GoBack"/>
      <w:r>
        <w:rPr>
          <w:rFonts w:hint="eastAsia" w:asciiTheme="minorEastAsia" w:hAnsiTheme="minorEastAsia" w:eastAsiaTheme="minorEastAsia" w:cstheme="minorEastAsia"/>
          <w:color w:val="auto"/>
          <w:szCs w:val="21"/>
          <w:highlight w:val="none"/>
          <w:lang w:eastAsia="zh-CN"/>
        </w:rPr>
        <w:t>990138</w:t>
      </w:r>
      <w:bookmarkEnd w:id="208"/>
      <w:r>
        <w:rPr>
          <w:rFonts w:hint="eastAsia" w:asciiTheme="minorEastAsia" w:hAnsiTheme="minorEastAsia" w:eastAsiaTheme="minorEastAsia" w:cstheme="minorEastAsia"/>
          <w:color w:val="auto"/>
          <w:szCs w:val="21"/>
          <w:highlight w:val="none"/>
          <w:lang w:eastAsia="zh-CN"/>
        </w:rPr>
        <w:t>-NNPZ</w:t>
      </w:r>
      <w:r>
        <w:rPr>
          <w:rFonts w:hint="eastAsia" w:asciiTheme="minorEastAsia" w:hAnsiTheme="minorEastAsia" w:eastAsiaTheme="minorEastAsia" w:cstheme="minorEastAsia"/>
          <w:color w:val="auto"/>
          <w:szCs w:val="21"/>
          <w:highlight w:val="none"/>
          <w:lang w:val="en-US" w:eastAsia="zh-CN"/>
        </w:rPr>
        <w:tab/>
      </w:r>
    </w:p>
    <w:p w14:paraId="4ADECEDE">
      <w:pPr>
        <w:spacing w:line="360" w:lineRule="auto"/>
        <w:ind w:firstLine="420" w:firstLineChars="20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val="en-US" w:eastAsia="zh-CN"/>
        </w:rPr>
        <w:t>梧州市卫生健康委员会2025年除“四害”服务采购</w:t>
      </w:r>
    </w:p>
    <w:p w14:paraId="0FC5C3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采购方式：竞争性磋商</w:t>
      </w:r>
    </w:p>
    <w:p w14:paraId="561C082A">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预算总金额（元）：</w:t>
      </w:r>
      <w:r>
        <w:rPr>
          <w:rFonts w:hint="eastAsia" w:asciiTheme="minorEastAsia" w:hAnsiTheme="minorEastAsia" w:eastAsiaTheme="minorEastAsia" w:cstheme="minorEastAsia"/>
          <w:color w:val="auto"/>
          <w:szCs w:val="21"/>
          <w:highlight w:val="none"/>
          <w:lang w:val="en-US" w:eastAsia="zh-CN"/>
        </w:rPr>
        <w:t>550000.00</w:t>
      </w:r>
    </w:p>
    <w:p w14:paraId="07A0979C">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采购需求：</w:t>
      </w:r>
    </w:p>
    <w:p w14:paraId="1FF2672C">
      <w:pPr>
        <w:spacing w:line="360" w:lineRule="auto"/>
        <w:ind w:left="420" w:leftChars="200" w:firstLine="0" w:firstLineChars="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标项一</w:t>
      </w:r>
    </w:p>
    <w:p w14:paraId="3C50B29A">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标项名称:</w:t>
      </w:r>
      <w:r>
        <w:rPr>
          <w:rFonts w:hint="eastAsia" w:ascii="宋体" w:hAnsi="宋体"/>
          <w:color w:val="auto"/>
          <w:szCs w:val="21"/>
          <w:highlight w:val="none"/>
          <w:lang w:val="en-US" w:eastAsia="zh-CN"/>
        </w:rPr>
        <w:t>梧州市</w:t>
      </w:r>
      <w:r>
        <w:rPr>
          <w:rFonts w:hint="eastAsia" w:ascii="宋体" w:hAnsi="宋体"/>
          <w:color w:val="auto"/>
          <w:szCs w:val="21"/>
          <w:highlight w:val="none"/>
        </w:rPr>
        <w:t>万秀区</w:t>
      </w:r>
      <w:r>
        <w:rPr>
          <w:rFonts w:hint="eastAsia" w:ascii="宋体" w:hAnsi="宋体"/>
          <w:color w:val="auto"/>
          <w:szCs w:val="21"/>
          <w:highlight w:val="none"/>
          <w:lang w:eastAsia="zh-CN"/>
        </w:rPr>
        <w:t>上半年</w:t>
      </w:r>
      <w:r>
        <w:rPr>
          <w:rFonts w:hint="eastAsia" w:ascii="宋体" w:hAnsi="宋体"/>
          <w:color w:val="auto"/>
          <w:szCs w:val="21"/>
          <w:highlight w:val="none"/>
        </w:rPr>
        <w:t>“除四害”服务</w:t>
      </w:r>
    </w:p>
    <w:p w14:paraId="3B880E26">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数量:1项</w:t>
      </w:r>
    </w:p>
    <w:p w14:paraId="550836B1">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预算金额（元）:180000.00</w:t>
      </w:r>
    </w:p>
    <w:p w14:paraId="6278B30F">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简要规格描述或项目基本概况介绍、用途：</w:t>
      </w:r>
      <w:r>
        <w:rPr>
          <w:rFonts w:hint="eastAsia" w:ascii="宋体" w:hAnsi="宋体"/>
          <w:color w:val="auto"/>
          <w:szCs w:val="21"/>
          <w:highlight w:val="none"/>
          <w:lang w:val="en-US" w:eastAsia="zh-CN"/>
        </w:rPr>
        <w:t>梧州市</w:t>
      </w:r>
      <w:r>
        <w:rPr>
          <w:rFonts w:hint="eastAsia" w:ascii="宋体" w:hAnsi="宋体"/>
          <w:color w:val="auto"/>
          <w:szCs w:val="21"/>
          <w:highlight w:val="none"/>
        </w:rPr>
        <w:t>万秀区“除四害”服务</w:t>
      </w:r>
      <w:r>
        <w:rPr>
          <w:rFonts w:hint="eastAsia" w:ascii="宋体" w:hAnsi="宋体"/>
          <w:color w:val="auto"/>
          <w:szCs w:val="21"/>
          <w:highlight w:val="none"/>
          <w:lang w:eastAsia="zh-CN"/>
        </w:rPr>
        <w:t>，</w:t>
      </w:r>
      <w:r>
        <w:rPr>
          <w:rFonts w:hint="eastAsia" w:ascii="宋体" w:hAnsi="宋体" w:cs="宋体"/>
          <w:b w:val="0"/>
          <w:bCs w:val="0"/>
          <w:color w:val="auto"/>
          <w:szCs w:val="21"/>
          <w:highlight w:val="none"/>
          <w:lang w:val="en-US" w:eastAsia="zh-CN"/>
        </w:rPr>
        <w:t>7月开展第一次除四害验收合格在对服务区域完成加强一次服务（具体时间以实际完成招标和开展除四害定），</w:t>
      </w:r>
      <w:r>
        <w:rPr>
          <w:rFonts w:hint="eastAsia" w:ascii="宋体" w:hAnsi="宋体"/>
          <w:color w:val="auto"/>
          <w:szCs w:val="21"/>
          <w:highlight w:val="none"/>
        </w:rPr>
        <w:t>具体内容详见竞争性磋商文件</w:t>
      </w:r>
      <w:r>
        <w:rPr>
          <w:rFonts w:hint="eastAsia" w:asciiTheme="minorEastAsia" w:hAnsiTheme="minorEastAsia" w:eastAsiaTheme="minorEastAsia" w:cstheme="minorEastAsia"/>
          <w:color w:val="auto"/>
          <w:szCs w:val="21"/>
          <w:highlight w:val="none"/>
          <w:lang w:val="en-US" w:eastAsia="zh-CN"/>
        </w:rPr>
        <w:t>。</w:t>
      </w:r>
    </w:p>
    <w:p w14:paraId="26C00F82">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最高限价（如有）：180000.00元</w:t>
      </w:r>
    </w:p>
    <w:p w14:paraId="08BABE51">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合同履约期限：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Theme="minorEastAsia" w:hAnsiTheme="minorEastAsia" w:eastAsiaTheme="minorEastAsia" w:cstheme="minorEastAsia"/>
          <w:color w:val="auto"/>
          <w:kern w:val="0"/>
          <w:sz w:val="21"/>
          <w:szCs w:val="21"/>
          <w:highlight w:val="none"/>
          <w:lang w:eastAsia="zh-CN"/>
        </w:rPr>
        <w:t>。</w:t>
      </w:r>
    </w:p>
    <w:p w14:paraId="066E32B6">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本标项（否）接受联合体投标</w:t>
      </w:r>
    </w:p>
    <w:p w14:paraId="1A0C2637">
      <w:pPr>
        <w:spacing w:line="360" w:lineRule="auto"/>
        <w:ind w:left="420" w:leftChars="200" w:firstLine="0" w:firstLineChars="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备注：标项一即为分标1</w:t>
      </w:r>
    </w:p>
    <w:p w14:paraId="24CD844B">
      <w:pPr>
        <w:spacing w:line="360" w:lineRule="auto"/>
        <w:ind w:left="420" w:leftChars="200" w:firstLine="0" w:firstLineChars="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标项二</w:t>
      </w:r>
    </w:p>
    <w:p w14:paraId="20560A74">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标项名称:</w:t>
      </w:r>
      <w:r>
        <w:rPr>
          <w:rFonts w:hint="eastAsia" w:ascii="宋体" w:hAnsi="宋体"/>
          <w:color w:val="auto"/>
          <w:szCs w:val="21"/>
          <w:highlight w:val="none"/>
          <w:lang w:val="en-US" w:eastAsia="zh-CN"/>
        </w:rPr>
        <w:t>梧州市长洲</w:t>
      </w:r>
      <w:r>
        <w:rPr>
          <w:rFonts w:hint="eastAsia" w:ascii="宋体" w:hAnsi="宋体"/>
          <w:color w:val="auto"/>
          <w:szCs w:val="21"/>
          <w:highlight w:val="none"/>
        </w:rPr>
        <w:t>区</w:t>
      </w:r>
      <w:r>
        <w:rPr>
          <w:rFonts w:hint="eastAsia" w:ascii="宋体" w:hAnsi="宋体"/>
          <w:color w:val="auto"/>
          <w:szCs w:val="21"/>
          <w:highlight w:val="none"/>
          <w:lang w:eastAsia="zh-CN"/>
        </w:rPr>
        <w:t>上半年</w:t>
      </w:r>
      <w:r>
        <w:rPr>
          <w:rFonts w:hint="eastAsia" w:ascii="宋体" w:hAnsi="宋体"/>
          <w:color w:val="auto"/>
          <w:szCs w:val="21"/>
          <w:highlight w:val="none"/>
        </w:rPr>
        <w:t>“除四害”服务</w:t>
      </w:r>
    </w:p>
    <w:p w14:paraId="2486488E">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数量:1项</w:t>
      </w:r>
    </w:p>
    <w:p w14:paraId="315EA09D">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预算金额（元）:180000.00</w:t>
      </w:r>
    </w:p>
    <w:p w14:paraId="25917A18">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简要规格描述或项目基本概况介绍、用途：</w:t>
      </w:r>
      <w:r>
        <w:rPr>
          <w:rFonts w:hint="eastAsia" w:ascii="宋体" w:hAnsi="宋体"/>
          <w:color w:val="auto"/>
          <w:szCs w:val="21"/>
          <w:highlight w:val="none"/>
          <w:lang w:val="en-US" w:eastAsia="zh-CN"/>
        </w:rPr>
        <w:t>梧州市长洲</w:t>
      </w:r>
      <w:r>
        <w:rPr>
          <w:rFonts w:hint="eastAsia" w:ascii="宋体" w:hAnsi="宋体"/>
          <w:color w:val="auto"/>
          <w:szCs w:val="21"/>
          <w:highlight w:val="none"/>
        </w:rPr>
        <w:t>区“除四害”服务</w:t>
      </w:r>
      <w:r>
        <w:rPr>
          <w:rFonts w:hint="eastAsia" w:ascii="宋体" w:hAnsi="宋体"/>
          <w:color w:val="auto"/>
          <w:szCs w:val="21"/>
          <w:highlight w:val="none"/>
          <w:lang w:eastAsia="zh-CN"/>
        </w:rPr>
        <w:t>，</w:t>
      </w:r>
      <w:r>
        <w:rPr>
          <w:rFonts w:hint="eastAsia" w:ascii="宋体" w:hAnsi="宋体" w:cs="宋体"/>
          <w:b w:val="0"/>
          <w:bCs w:val="0"/>
          <w:color w:val="auto"/>
          <w:szCs w:val="21"/>
          <w:highlight w:val="none"/>
          <w:lang w:val="en-US" w:eastAsia="zh-CN"/>
        </w:rPr>
        <w:t>7月开展第一次除四害验收合格在对服务区域完成加强一次服务（具体时间以实际完成招标和开展除四害定），</w:t>
      </w:r>
      <w:r>
        <w:rPr>
          <w:rFonts w:hint="eastAsia" w:ascii="宋体" w:hAnsi="宋体"/>
          <w:color w:val="auto"/>
          <w:szCs w:val="21"/>
          <w:highlight w:val="none"/>
        </w:rPr>
        <w:t>具体内容详见竞争性磋商文件</w:t>
      </w:r>
      <w:r>
        <w:rPr>
          <w:rFonts w:hint="eastAsia" w:asciiTheme="minorEastAsia" w:hAnsiTheme="minorEastAsia" w:eastAsiaTheme="minorEastAsia" w:cstheme="minorEastAsia"/>
          <w:color w:val="auto"/>
          <w:szCs w:val="21"/>
          <w:highlight w:val="none"/>
          <w:lang w:val="en-US" w:eastAsia="zh-CN"/>
        </w:rPr>
        <w:t>。</w:t>
      </w:r>
    </w:p>
    <w:p w14:paraId="591B1BE9">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最高限价（如有）：180000.00元</w:t>
      </w:r>
    </w:p>
    <w:p w14:paraId="07FD1CF2">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合同履约期限：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Theme="minorEastAsia" w:hAnsiTheme="minorEastAsia" w:eastAsiaTheme="minorEastAsia" w:cstheme="minorEastAsia"/>
          <w:color w:val="auto"/>
          <w:kern w:val="0"/>
          <w:sz w:val="21"/>
          <w:szCs w:val="21"/>
          <w:highlight w:val="none"/>
          <w:lang w:eastAsia="zh-CN"/>
        </w:rPr>
        <w:t>。</w:t>
      </w:r>
    </w:p>
    <w:p w14:paraId="5784714E">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本标项（否）接受联合体投标</w:t>
      </w:r>
    </w:p>
    <w:p w14:paraId="63AE2330">
      <w:pPr>
        <w:spacing w:line="360" w:lineRule="auto"/>
        <w:ind w:left="420" w:leftChars="200" w:firstLine="0" w:firstLineChars="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备注：标项二即为分标2</w:t>
      </w:r>
    </w:p>
    <w:p w14:paraId="2E095D59">
      <w:pPr>
        <w:spacing w:line="360" w:lineRule="auto"/>
        <w:ind w:left="420" w:leftChars="200" w:firstLine="0" w:firstLineChars="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标项三</w:t>
      </w:r>
    </w:p>
    <w:p w14:paraId="5F126C54">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标项名称:</w:t>
      </w:r>
      <w:r>
        <w:rPr>
          <w:rFonts w:hint="eastAsia" w:ascii="宋体" w:hAnsi="宋体"/>
          <w:color w:val="auto"/>
          <w:szCs w:val="21"/>
          <w:highlight w:val="none"/>
          <w:lang w:val="en-US" w:eastAsia="zh-CN"/>
        </w:rPr>
        <w:t>梧州市龙圩</w:t>
      </w:r>
      <w:r>
        <w:rPr>
          <w:rFonts w:hint="eastAsia" w:ascii="宋体" w:hAnsi="宋体"/>
          <w:color w:val="auto"/>
          <w:szCs w:val="21"/>
          <w:highlight w:val="none"/>
        </w:rPr>
        <w:t>区</w:t>
      </w:r>
      <w:r>
        <w:rPr>
          <w:rFonts w:hint="eastAsia" w:ascii="宋体" w:hAnsi="宋体"/>
          <w:color w:val="auto"/>
          <w:szCs w:val="21"/>
          <w:highlight w:val="none"/>
          <w:lang w:eastAsia="zh-CN"/>
        </w:rPr>
        <w:t>上半年</w:t>
      </w:r>
      <w:r>
        <w:rPr>
          <w:rFonts w:hint="eastAsia" w:ascii="宋体" w:hAnsi="宋体"/>
          <w:color w:val="auto"/>
          <w:szCs w:val="21"/>
          <w:highlight w:val="none"/>
        </w:rPr>
        <w:t>“除四害”服务</w:t>
      </w:r>
    </w:p>
    <w:p w14:paraId="546102E6">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数量:1项</w:t>
      </w:r>
    </w:p>
    <w:p w14:paraId="0587A942">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预算金额（元）:190000.00</w:t>
      </w:r>
    </w:p>
    <w:p w14:paraId="6A816F5B">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简要规格描述或项目基本概况介绍、用途：</w:t>
      </w:r>
      <w:r>
        <w:rPr>
          <w:rFonts w:hint="eastAsia" w:ascii="宋体" w:hAnsi="宋体"/>
          <w:color w:val="auto"/>
          <w:szCs w:val="21"/>
          <w:highlight w:val="none"/>
          <w:lang w:val="en-US" w:eastAsia="zh-CN"/>
        </w:rPr>
        <w:t>梧州市龙圩</w:t>
      </w:r>
      <w:r>
        <w:rPr>
          <w:rFonts w:hint="eastAsia" w:ascii="宋体" w:hAnsi="宋体"/>
          <w:color w:val="auto"/>
          <w:szCs w:val="21"/>
          <w:highlight w:val="none"/>
        </w:rPr>
        <w:t>区“除四害”服务</w:t>
      </w:r>
      <w:r>
        <w:rPr>
          <w:rFonts w:hint="eastAsia" w:ascii="宋体" w:hAnsi="宋体"/>
          <w:color w:val="auto"/>
          <w:szCs w:val="21"/>
          <w:highlight w:val="none"/>
          <w:lang w:eastAsia="zh-CN"/>
        </w:rPr>
        <w:t>，</w:t>
      </w:r>
      <w:r>
        <w:rPr>
          <w:rFonts w:hint="eastAsia" w:ascii="宋体" w:hAnsi="宋体" w:cs="宋体"/>
          <w:b w:val="0"/>
          <w:bCs w:val="0"/>
          <w:color w:val="auto"/>
          <w:szCs w:val="21"/>
          <w:highlight w:val="none"/>
          <w:lang w:val="en-US" w:eastAsia="zh-CN"/>
        </w:rPr>
        <w:t>7月开展第一次除四害验收合格在对服务区域完成加强一次服务（具体时间以实际完成招标和开展除四害定），</w:t>
      </w:r>
      <w:r>
        <w:rPr>
          <w:rFonts w:hint="eastAsia" w:ascii="宋体" w:hAnsi="宋体"/>
          <w:color w:val="auto"/>
          <w:szCs w:val="21"/>
          <w:highlight w:val="none"/>
        </w:rPr>
        <w:t>具体内容详见竞争性磋商文件</w:t>
      </w:r>
      <w:r>
        <w:rPr>
          <w:rFonts w:hint="eastAsia" w:asciiTheme="minorEastAsia" w:hAnsiTheme="minorEastAsia" w:eastAsiaTheme="minorEastAsia" w:cstheme="minorEastAsia"/>
          <w:color w:val="auto"/>
          <w:szCs w:val="21"/>
          <w:highlight w:val="none"/>
          <w:lang w:val="en-US" w:eastAsia="zh-CN"/>
        </w:rPr>
        <w:t>。</w:t>
      </w:r>
    </w:p>
    <w:p w14:paraId="070A2D6B">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最高限价（如有）：190000.00元</w:t>
      </w:r>
    </w:p>
    <w:p w14:paraId="67A66252">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合同履约期限：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Theme="minorEastAsia" w:hAnsiTheme="minorEastAsia" w:eastAsiaTheme="minorEastAsia" w:cstheme="minorEastAsia"/>
          <w:color w:val="auto"/>
          <w:kern w:val="0"/>
          <w:sz w:val="21"/>
          <w:szCs w:val="21"/>
          <w:highlight w:val="none"/>
          <w:lang w:eastAsia="zh-CN"/>
        </w:rPr>
        <w:t>。</w:t>
      </w:r>
    </w:p>
    <w:p w14:paraId="7473E3C2">
      <w:pPr>
        <w:spacing w:line="360" w:lineRule="auto"/>
        <w:ind w:left="420" w:leftChars="200" w:firstLine="0" w:firstLineChars="0"/>
        <w:rPr>
          <w:rFonts w:hint="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本标项（否）接受联合体投标</w:t>
      </w:r>
    </w:p>
    <w:p w14:paraId="013FE37D">
      <w:pPr>
        <w:spacing w:line="360" w:lineRule="auto"/>
        <w:ind w:left="420" w:leftChars="200" w:firstLine="0" w:firstLineChars="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备注：标项三即为分标3</w:t>
      </w:r>
    </w:p>
    <w:p w14:paraId="7AFBF935">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9" w:name="_Toc21544"/>
      <w:bookmarkStart w:id="10" w:name="_Toc28359090"/>
      <w:bookmarkStart w:id="11" w:name="_Toc44229879"/>
      <w:bookmarkStart w:id="12" w:name="_Toc35393630"/>
      <w:bookmarkStart w:id="13" w:name="_Toc28359013"/>
      <w:bookmarkStart w:id="14" w:name="_Toc35393799"/>
      <w:r>
        <w:rPr>
          <w:rFonts w:hint="eastAsia" w:asciiTheme="minorEastAsia" w:hAnsiTheme="minorEastAsia" w:eastAsiaTheme="minorEastAsia" w:cstheme="minorEastAsia"/>
          <w:bCs w:val="0"/>
          <w:color w:val="auto"/>
          <w:sz w:val="24"/>
          <w:szCs w:val="24"/>
          <w:highlight w:val="none"/>
        </w:rPr>
        <w:t>二、申请人的资格要求：</w:t>
      </w:r>
      <w:bookmarkEnd w:id="9"/>
      <w:bookmarkEnd w:id="10"/>
      <w:bookmarkEnd w:id="11"/>
      <w:bookmarkEnd w:id="12"/>
      <w:bookmarkEnd w:id="13"/>
      <w:bookmarkEnd w:id="14"/>
    </w:p>
    <w:p w14:paraId="051E2E7F">
      <w:pPr>
        <w:spacing w:line="360" w:lineRule="auto"/>
        <w:ind w:firstLine="420" w:firstLineChars="200"/>
        <w:outlineLvl w:val="9"/>
        <w:rPr>
          <w:rFonts w:hint="eastAsia" w:asciiTheme="minorEastAsia" w:hAnsiTheme="minorEastAsia" w:eastAsiaTheme="minorEastAsia" w:cstheme="minorEastAsia"/>
          <w:color w:val="auto"/>
          <w:szCs w:val="21"/>
          <w:highlight w:val="none"/>
        </w:rPr>
      </w:pPr>
      <w:bookmarkStart w:id="15" w:name="_Toc44229880"/>
      <w:bookmarkStart w:id="16" w:name="_Toc35393800"/>
      <w:bookmarkStart w:id="17" w:name="_Toc28359091"/>
      <w:bookmarkStart w:id="18" w:name="_Toc28359014"/>
      <w:bookmarkStart w:id="19" w:name="_Toc35393631"/>
      <w:r>
        <w:rPr>
          <w:rFonts w:hint="eastAsia" w:asciiTheme="minorEastAsia" w:hAnsiTheme="minorEastAsia" w:eastAsiaTheme="minorEastAsia" w:cstheme="minorEastAsia"/>
          <w:color w:val="auto"/>
          <w:szCs w:val="21"/>
          <w:highlight w:val="none"/>
        </w:rPr>
        <w:t>1.满足《中华人民共和国政府采购法》第二十二条规定；</w:t>
      </w:r>
    </w:p>
    <w:p w14:paraId="6B1BE14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分标1、2、3：本项目是专门面向中小微企业采购的标的，须提供的服务全部由符合本项目采购标的所属行业对应中小微企业划分标准的中小微企业（监狱企业、残疾人福利单位视同小微企业）承接。</w:t>
      </w:r>
    </w:p>
    <w:p w14:paraId="27D8E4A0">
      <w:pPr>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p>
    <w:p w14:paraId="6A5C3DD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【分标1】【分标</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】【分标</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w:t>
      </w:r>
    </w:p>
    <w:p w14:paraId="5E7BC74A">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单位负责人为同一人或者存在直接控股、管理关系的不同</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，不得参加同一合同项下的政府采购活动。为本项目提供过整体设计、规范编制或者项目管理、监理、检测等服务的</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，不得再参加本项目上述服务以外的其他采购活动。</w:t>
      </w:r>
    </w:p>
    <w:p w14:paraId="4DB7B0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，不得参与政府采购活动。</w:t>
      </w:r>
    </w:p>
    <w:p w14:paraId="3C483532">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0" w:name="_Toc418"/>
      <w:r>
        <w:rPr>
          <w:rFonts w:hint="eastAsia" w:asciiTheme="minorEastAsia" w:hAnsiTheme="minorEastAsia" w:eastAsiaTheme="minorEastAsia" w:cstheme="minorEastAsia"/>
          <w:bCs w:val="0"/>
          <w:color w:val="auto"/>
          <w:sz w:val="24"/>
          <w:szCs w:val="24"/>
          <w:highlight w:val="none"/>
        </w:rPr>
        <w:t>三、</w:t>
      </w:r>
      <w:bookmarkEnd w:id="15"/>
      <w:bookmarkEnd w:id="16"/>
      <w:bookmarkEnd w:id="17"/>
      <w:bookmarkEnd w:id="18"/>
      <w:bookmarkEnd w:id="19"/>
      <w:r>
        <w:rPr>
          <w:rFonts w:hint="eastAsia" w:asciiTheme="minorEastAsia" w:hAnsiTheme="minorEastAsia" w:eastAsiaTheme="minorEastAsia" w:cstheme="minorEastAsia"/>
          <w:bCs w:val="0"/>
          <w:color w:val="auto"/>
          <w:sz w:val="24"/>
          <w:szCs w:val="24"/>
          <w:highlight w:val="none"/>
        </w:rPr>
        <w:t>获取采购文件</w:t>
      </w:r>
      <w:bookmarkEnd w:id="20"/>
    </w:p>
    <w:p w14:paraId="2A474C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06月23</w:t>
      </w:r>
      <w:r>
        <w:rPr>
          <w:rFonts w:hint="eastAsia" w:asciiTheme="minorEastAsia" w:hAnsiTheme="minorEastAsia" w:eastAsiaTheme="minorEastAsia" w:cstheme="minorEastAsia"/>
          <w:color w:val="auto"/>
          <w:szCs w:val="21"/>
          <w:highlight w:val="none"/>
        </w:rPr>
        <w:t>日至202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06月30</w:t>
      </w:r>
      <w:r>
        <w:rPr>
          <w:rFonts w:hint="eastAsia" w:asciiTheme="minorEastAsia" w:hAnsiTheme="minorEastAsia" w:eastAsiaTheme="minorEastAsia" w:cstheme="minorEastAsia"/>
          <w:color w:val="auto"/>
          <w:szCs w:val="21"/>
          <w:highlight w:val="none"/>
        </w:rPr>
        <w:t>日，每天上午00:00至12:00，下午12:00至23:59（北京时间，法定节假日除外）</w:t>
      </w:r>
    </w:p>
    <w:p w14:paraId="3F37571D">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w:t>
      </w:r>
      <w:r>
        <w:rPr>
          <w:rFonts w:hint="eastAsia" w:ascii="宋体" w:hAnsi="宋体" w:eastAsia="宋体" w:cs="宋体"/>
          <w:i w:val="0"/>
          <w:iCs w:val="0"/>
          <w:caps w:val="0"/>
          <w:color w:val="auto"/>
          <w:spacing w:val="0"/>
          <w:sz w:val="21"/>
          <w:szCs w:val="21"/>
          <w:highlight w:val="none"/>
          <w:lang w:eastAsia="zh-CN"/>
        </w:rPr>
        <w:t>广西政府采购云平台</w:t>
      </w:r>
      <w:r>
        <w:rPr>
          <w:rFonts w:hint="eastAsia" w:ascii="宋体" w:hAnsi="宋体" w:eastAsia="宋体" w:cs="宋体"/>
          <w:i w:val="0"/>
          <w:iCs w:val="0"/>
          <w:caps w:val="0"/>
          <w:color w:val="auto"/>
          <w:spacing w:val="0"/>
          <w:sz w:val="21"/>
          <w:szCs w:val="21"/>
          <w:highlight w:val="none"/>
        </w:rPr>
        <w:t>”（https://www.zcygov.cn） </w:t>
      </w:r>
    </w:p>
    <w:p w14:paraId="58865646">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方式：潜在投标人通过“</w:t>
      </w:r>
      <w:r>
        <w:rPr>
          <w:rFonts w:hint="eastAsia" w:ascii="宋体" w:hAnsi="宋体" w:eastAsia="宋体" w:cs="宋体"/>
          <w:i w:val="0"/>
          <w:iCs w:val="0"/>
          <w:caps w:val="0"/>
          <w:color w:val="auto"/>
          <w:spacing w:val="0"/>
          <w:sz w:val="21"/>
          <w:szCs w:val="21"/>
          <w:highlight w:val="none"/>
          <w:lang w:eastAsia="zh-CN"/>
        </w:rPr>
        <w:t>广西政府采购云平台</w:t>
      </w:r>
      <w:r>
        <w:rPr>
          <w:rFonts w:hint="eastAsia" w:ascii="宋体" w:hAnsi="宋体" w:eastAsia="宋体" w:cs="宋体"/>
          <w:i w:val="0"/>
          <w:iCs w:val="0"/>
          <w:caps w:val="0"/>
          <w:color w:val="auto"/>
          <w:spacing w:val="0"/>
          <w:sz w:val="21"/>
          <w:szCs w:val="21"/>
          <w:highlight w:val="none"/>
        </w:rPr>
        <w:t>”完成账号注册后，须在获取竞争性磋商文件时限内登录“</w:t>
      </w:r>
      <w:r>
        <w:rPr>
          <w:rFonts w:hint="eastAsia" w:ascii="宋体" w:hAnsi="宋体" w:eastAsia="宋体" w:cs="宋体"/>
          <w:i w:val="0"/>
          <w:iCs w:val="0"/>
          <w:caps w:val="0"/>
          <w:color w:val="auto"/>
          <w:spacing w:val="0"/>
          <w:sz w:val="21"/>
          <w:szCs w:val="21"/>
          <w:highlight w:val="none"/>
          <w:lang w:eastAsia="zh-CN"/>
        </w:rPr>
        <w:t>广西政府采购云平台</w:t>
      </w:r>
      <w:r>
        <w:rPr>
          <w:rFonts w:hint="eastAsia" w:ascii="宋体" w:hAnsi="宋体" w:eastAsia="宋体" w:cs="宋体"/>
          <w:i w:val="0"/>
          <w:iCs w:val="0"/>
          <w:caps w:val="0"/>
          <w:color w:val="auto"/>
          <w:spacing w:val="0"/>
          <w:sz w:val="21"/>
          <w:szCs w:val="21"/>
          <w:highlight w:val="none"/>
        </w:rPr>
        <w:t>”的“项目采购——获取采购文件”模块自行申请获取并下载竞争性磋商文件。（如在操作过程中遇到问题或需技术支持，</w:t>
      </w:r>
      <w:r>
        <w:rPr>
          <w:rFonts w:hint="eastAsia" w:ascii="宋体" w:hAnsi="宋体" w:eastAsia="宋体" w:cs="宋体"/>
          <w:i w:val="0"/>
          <w:iCs w:val="0"/>
          <w:caps w:val="0"/>
          <w:color w:val="auto"/>
          <w:spacing w:val="0"/>
          <w:sz w:val="21"/>
          <w:szCs w:val="21"/>
          <w:highlight w:val="none"/>
          <w:lang w:eastAsia="zh-CN"/>
        </w:rPr>
        <w:t>广西政府采购云平台</w:t>
      </w:r>
      <w:r>
        <w:rPr>
          <w:rFonts w:hint="eastAsia" w:ascii="宋体" w:hAnsi="宋体" w:eastAsia="宋体" w:cs="宋体"/>
          <w:i w:val="0"/>
          <w:iCs w:val="0"/>
          <w:caps w:val="0"/>
          <w:color w:val="auto"/>
          <w:spacing w:val="0"/>
          <w:sz w:val="21"/>
          <w:szCs w:val="21"/>
          <w:highlight w:val="none"/>
        </w:rPr>
        <w:t>咨询电话：</w:t>
      </w:r>
      <w:r>
        <w:rPr>
          <w:rFonts w:hint="eastAsia" w:ascii="宋体" w:hAnsi="宋体" w:eastAsia="宋体" w:cs="宋体"/>
          <w:i w:val="0"/>
          <w:iCs w:val="0"/>
          <w:caps w:val="0"/>
          <w:color w:val="auto"/>
          <w:spacing w:val="0"/>
          <w:sz w:val="21"/>
          <w:szCs w:val="21"/>
          <w:highlight w:val="none"/>
          <w:lang w:eastAsia="zh-CN"/>
        </w:rPr>
        <w:t>95763</w:t>
      </w:r>
      <w:r>
        <w:rPr>
          <w:rFonts w:hint="eastAsia" w:ascii="宋体" w:hAnsi="宋体" w:eastAsia="宋体" w:cs="宋体"/>
          <w:i w:val="0"/>
          <w:iCs w:val="0"/>
          <w:caps w:val="0"/>
          <w:color w:val="auto"/>
          <w:spacing w:val="0"/>
          <w:sz w:val="21"/>
          <w:szCs w:val="21"/>
          <w:highlight w:val="none"/>
        </w:rPr>
        <w:t>）。 </w:t>
      </w:r>
    </w:p>
    <w:p w14:paraId="20662E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sz w:val="21"/>
          <w:szCs w:val="21"/>
          <w:highlight w:val="none"/>
        </w:rPr>
        <w:t>售价（元）：0</w:t>
      </w:r>
    </w:p>
    <w:p w14:paraId="34A79B76">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1" w:name="_Toc44229881"/>
      <w:bookmarkStart w:id="22" w:name="_Toc35393632"/>
      <w:bookmarkStart w:id="23" w:name="_Toc28359015"/>
      <w:bookmarkStart w:id="24" w:name="_Toc35393801"/>
      <w:bookmarkStart w:id="25" w:name="_Toc28359092"/>
      <w:bookmarkStart w:id="26" w:name="_Toc21985"/>
      <w:r>
        <w:rPr>
          <w:rFonts w:hint="eastAsia" w:asciiTheme="minorEastAsia" w:hAnsiTheme="minorEastAsia" w:eastAsiaTheme="minorEastAsia" w:cstheme="minorEastAsia"/>
          <w:bCs w:val="0"/>
          <w:color w:val="auto"/>
          <w:sz w:val="24"/>
          <w:szCs w:val="24"/>
          <w:highlight w:val="none"/>
        </w:rPr>
        <w:t>四、</w:t>
      </w:r>
      <w:bookmarkEnd w:id="21"/>
      <w:bookmarkEnd w:id="22"/>
      <w:bookmarkEnd w:id="23"/>
      <w:bookmarkEnd w:id="24"/>
      <w:bookmarkEnd w:id="25"/>
      <w:r>
        <w:rPr>
          <w:rFonts w:hint="eastAsia" w:asciiTheme="minorEastAsia" w:hAnsiTheme="minorEastAsia" w:eastAsiaTheme="minorEastAsia" w:cstheme="minorEastAsia"/>
          <w:bCs w:val="0"/>
          <w:color w:val="auto"/>
          <w:sz w:val="24"/>
          <w:szCs w:val="24"/>
          <w:highlight w:val="none"/>
        </w:rPr>
        <w:t>响应文件提交</w:t>
      </w:r>
      <w:bookmarkEnd w:id="26"/>
    </w:p>
    <w:p w14:paraId="3A2D54C8">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rPr>
        <w:t>截止时间：：</w:t>
      </w: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07月04</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u w:val="none"/>
          <w:lang w:val="en-US" w:eastAsia="zh-CN"/>
        </w:rPr>
        <w:t xml:space="preserve">09：30 </w:t>
      </w:r>
      <w:r>
        <w:rPr>
          <w:rFonts w:hint="eastAsia" w:asciiTheme="minorEastAsia" w:hAnsiTheme="minorEastAsia" w:eastAsiaTheme="minorEastAsia" w:cstheme="minorEastAsia"/>
          <w:bCs/>
          <w:color w:val="auto"/>
          <w:szCs w:val="21"/>
          <w:highlight w:val="none"/>
          <w:u w:val="none"/>
        </w:rPr>
        <w:t>（北京时间）</w:t>
      </w:r>
    </w:p>
    <w:p w14:paraId="365860C8">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rPr>
        <w:t>地点（网址）：在</w:t>
      </w:r>
      <w:r>
        <w:rPr>
          <w:rFonts w:hint="eastAsia" w:asciiTheme="minorEastAsia" w:hAnsiTheme="minorEastAsia" w:eastAsiaTheme="minorEastAsia" w:cstheme="minorEastAsia"/>
          <w:bCs/>
          <w:color w:val="auto"/>
          <w:szCs w:val="21"/>
          <w:highlight w:val="none"/>
          <w:u w:val="none"/>
          <w:lang w:eastAsia="zh-CN"/>
        </w:rPr>
        <w:t>广西政府采购云平台</w:t>
      </w:r>
      <w:r>
        <w:rPr>
          <w:rFonts w:hint="eastAsia" w:asciiTheme="minorEastAsia" w:hAnsiTheme="minorEastAsia" w:eastAsiaTheme="minorEastAsia" w:cstheme="minorEastAsia"/>
          <w:bCs/>
          <w:color w:val="auto"/>
          <w:szCs w:val="21"/>
          <w:highlight w:val="none"/>
          <w:u w:val="none"/>
        </w:rPr>
        <w:t>（https://www.zcygov.cn）线上解密开启响应文件</w:t>
      </w:r>
    </w:p>
    <w:p w14:paraId="015E63C9">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7" w:name="_Toc28359016"/>
      <w:bookmarkStart w:id="28" w:name="_Toc28359093"/>
      <w:bookmarkStart w:id="29" w:name="_Toc44229882"/>
      <w:bookmarkStart w:id="30" w:name="_Toc5391"/>
      <w:bookmarkStart w:id="31" w:name="_Toc35393633"/>
      <w:bookmarkStart w:id="32" w:name="_Toc35393802"/>
      <w:r>
        <w:rPr>
          <w:rFonts w:hint="eastAsia" w:asciiTheme="minorEastAsia" w:hAnsiTheme="minorEastAsia" w:eastAsiaTheme="minorEastAsia" w:cstheme="minorEastAsia"/>
          <w:bCs w:val="0"/>
          <w:color w:val="auto"/>
          <w:sz w:val="24"/>
          <w:szCs w:val="24"/>
          <w:highlight w:val="none"/>
        </w:rPr>
        <w:t>五、响应文件开启</w:t>
      </w:r>
      <w:bookmarkEnd w:id="27"/>
      <w:bookmarkEnd w:id="28"/>
      <w:bookmarkEnd w:id="29"/>
      <w:bookmarkEnd w:id="30"/>
      <w:bookmarkEnd w:id="31"/>
      <w:bookmarkEnd w:id="32"/>
    </w:p>
    <w:p w14:paraId="52E169FE">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开启时间：</w:t>
      </w: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07月04</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u w:val="none"/>
          <w:lang w:val="en-US" w:eastAsia="zh-CN"/>
        </w:rPr>
        <w:t>09：30</w:t>
      </w:r>
      <w:r>
        <w:rPr>
          <w:rFonts w:hint="eastAsia" w:asciiTheme="minorEastAsia" w:hAnsiTheme="minorEastAsia" w:eastAsiaTheme="minorEastAsia" w:cstheme="minorEastAsia"/>
          <w:bCs/>
          <w:color w:val="auto"/>
          <w:szCs w:val="21"/>
          <w:highlight w:val="none"/>
          <w:u w:val="none"/>
        </w:rPr>
        <w:t>（北京时间）；</w:t>
      </w:r>
    </w:p>
    <w:p w14:paraId="7EC0D520">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地点：在</w:t>
      </w:r>
      <w:r>
        <w:rPr>
          <w:rFonts w:hint="eastAsia" w:asciiTheme="minorEastAsia" w:hAnsiTheme="minorEastAsia" w:eastAsiaTheme="minorEastAsia" w:cstheme="minorEastAsia"/>
          <w:bCs/>
          <w:color w:val="auto"/>
          <w:szCs w:val="21"/>
          <w:highlight w:val="none"/>
          <w:u w:val="none"/>
          <w:lang w:eastAsia="zh-CN"/>
        </w:rPr>
        <w:t>广西政府采购云平台</w:t>
      </w:r>
      <w:r>
        <w:rPr>
          <w:rFonts w:hint="eastAsia" w:asciiTheme="minorEastAsia" w:hAnsiTheme="minorEastAsia" w:eastAsiaTheme="minorEastAsia" w:cstheme="minorEastAsia"/>
          <w:bCs/>
          <w:color w:val="auto"/>
          <w:szCs w:val="21"/>
          <w:highlight w:val="none"/>
          <w:u w:val="none"/>
        </w:rPr>
        <w:t>（https://www.zcygov.cn）线上解密开启响应文件。</w:t>
      </w:r>
    </w:p>
    <w:p w14:paraId="4489D7DA">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3" w:name="_Toc35393803"/>
      <w:bookmarkStart w:id="34" w:name="_Toc28359017"/>
      <w:bookmarkStart w:id="35" w:name="_Toc44229883"/>
      <w:bookmarkStart w:id="36" w:name="_Toc28143"/>
      <w:bookmarkStart w:id="37" w:name="_Toc28359094"/>
      <w:bookmarkStart w:id="38" w:name="_Toc35393634"/>
      <w:r>
        <w:rPr>
          <w:rFonts w:hint="eastAsia" w:asciiTheme="minorEastAsia" w:hAnsiTheme="minorEastAsia" w:eastAsiaTheme="minorEastAsia" w:cstheme="minorEastAsia"/>
          <w:bCs w:val="0"/>
          <w:color w:val="auto"/>
          <w:sz w:val="24"/>
          <w:szCs w:val="24"/>
          <w:highlight w:val="none"/>
        </w:rPr>
        <w:t>六、公告期限</w:t>
      </w:r>
      <w:bookmarkEnd w:id="33"/>
      <w:bookmarkEnd w:id="34"/>
      <w:bookmarkEnd w:id="35"/>
      <w:bookmarkEnd w:id="36"/>
      <w:bookmarkEnd w:id="37"/>
      <w:bookmarkEnd w:id="38"/>
    </w:p>
    <w:p w14:paraId="5597FB27">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139A0F5D">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9" w:name="_Toc387"/>
      <w:bookmarkStart w:id="40" w:name="_Toc35393804"/>
      <w:bookmarkStart w:id="41" w:name="_Toc35393635"/>
      <w:bookmarkStart w:id="42" w:name="_Toc44229884"/>
      <w:r>
        <w:rPr>
          <w:rFonts w:hint="eastAsia" w:asciiTheme="minorEastAsia" w:hAnsiTheme="minorEastAsia" w:eastAsiaTheme="minorEastAsia" w:cstheme="minorEastAsia"/>
          <w:bCs w:val="0"/>
          <w:color w:val="auto"/>
          <w:sz w:val="24"/>
          <w:szCs w:val="24"/>
          <w:highlight w:val="none"/>
        </w:rPr>
        <w:t>七、其他补充事宜</w:t>
      </w:r>
      <w:bookmarkEnd w:id="39"/>
      <w:bookmarkEnd w:id="40"/>
      <w:bookmarkEnd w:id="41"/>
      <w:bookmarkEnd w:id="42"/>
    </w:p>
    <w:p w14:paraId="7314D10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1.磋商保证金：本项目不需要缴纳磋商保证金</w:t>
      </w:r>
    </w:p>
    <w:p w14:paraId="17AE6CF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2.网上查询地址</w:t>
      </w:r>
    </w:p>
    <w:p w14:paraId="3BC350B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中国政府采购网、广西壮族自治区政府采购网、梧州市政府采购网。</w:t>
      </w:r>
    </w:p>
    <w:p w14:paraId="724E1EC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kern w:val="0"/>
          <w:szCs w:val="21"/>
          <w:highlight w:val="none"/>
        </w:rPr>
        <w:t>本项目需要落实的政府采购政策</w:t>
      </w:r>
    </w:p>
    <w:p w14:paraId="0C8A0BB4">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5594CD1F">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18431A0D">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7EB3603F">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41A491AF">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p>
    <w:p w14:paraId="40690418">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4.供应商竞标注意事项</w:t>
      </w:r>
    </w:p>
    <w:p w14:paraId="231AB871">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为全流程电子化采购项目，通过广西政府采购云平台（https：//www.zcygov.cn）实行在线电子竞标，供应商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F6C57B0">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或者0771-3381253）。</w:t>
      </w:r>
    </w:p>
    <w:p w14:paraId="6CE5A4F3">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3B5F84A">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（4）供应商需要在具备有摄像头及语音功能且互联网网络状况良好的电脑登录广西政府采购云平台远程开标大厅参与本次磋商，否则后果自负。</w:t>
      </w:r>
    </w:p>
    <w:p w14:paraId="1EBEB1D3">
      <w:pPr>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可选择其中一个分标参与</w:t>
      </w:r>
      <w:r>
        <w:rPr>
          <w:rFonts w:hint="eastAsia" w:asciiTheme="minorEastAsia" w:hAnsiTheme="minorEastAsia" w:eastAsiaTheme="minorEastAsia" w:cstheme="minorEastAsia"/>
          <w:b/>
          <w:bCs/>
          <w:color w:val="auto"/>
          <w:kern w:val="0"/>
          <w:szCs w:val="21"/>
          <w:highlight w:val="none"/>
          <w:lang w:val="en-US" w:eastAsia="zh-CN"/>
        </w:rPr>
        <w:t>竞标</w:t>
      </w:r>
      <w:r>
        <w:rPr>
          <w:rFonts w:hint="eastAsia" w:asciiTheme="minorEastAsia" w:hAnsiTheme="minorEastAsia" w:eastAsiaTheme="minorEastAsia" w:cstheme="minorEastAsia"/>
          <w:b/>
          <w:bCs/>
          <w:color w:val="auto"/>
          <w:kern w:val="0"/>
          <w:szCs w:val="21"/>
          <w:highlight w:val="none"/>
        </w:rPr>
        <w:t>也可选择多个分标参与</w:t>
      </w:r>
      <w:r>
        <w:rPr>
          <w:rFonts w:hint="eastAsia" w:asciiTheme="minorEastAsia" w:hAnsiTheme="minorEastAsia" w:eastAsiaTheme="minorEastAsia" w:cstheme="minorEastAsia"/>
          <w:b/>
          <w:bCs/>
          <w:color w:val="auto"/>
          <w:kern w:val="0"/>
          <w:szCs w:val="21"/>
          <w:highlight w:val="none"/>
          <w:lang w:val="en-US" w:eastAsia="zh-CN"/>
        </w:rPr>
        <w:t>竞标</w:t>
      </w:r>
      <w:r>
        <w:rPr>
          <w:rFonts w:hint="eastAsia" w:asciiTheme="minorEastAsia" w:hAnsiTheme="minorEastAsia" w:eastAsiaTheme="minorEastAsia" w:cstheme="minorEastAsia"/>
          <w:b/>
          <w:bCs/>
          <w:color w:val="auto"/>
          <w:kern w:val="0"/>
          <w:szCs w:val="21"/>
          <w:highlight w:val="none"/>
        </w:rPr>
        <w:t>，但分标1至分标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的</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不能重复中标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，只能成为其中一个分标的中标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人，由</w:t>
      </w:r>
      <w:r>
        <w:rPr>
          <w:rFonts w:hint="eastAsia" w:asciiTheme="minorEastAsia" w:hAnsiTheme="minorEastAsia" w:eastAsiaTheme="minorEastAsia" w:cstheme="minorEastAsia"/>
          <w:b/>
          <w:bCs/>
          <w:color w:val="auto"/>
          <w:kern w:val="0"/>
          <w:szCs w:val="21"/>
          <w:highlight w:val="none"/>
          <w:lang w:val="en-US" w:eastAsia="zh-CN"/>
        </w:rPr>
        <w:t>磋商小组</w:t>
      </w:r>
      <w:r>
        <w:rPr>
          <w:rFonts w:hint="eastAsia" w:asciiTheme="minorEastAsia" w:hAnsiTheme="minorEastAsia" w:eastAsiaTheme="minorEastAsia" w:cstheme="minorEastAsia"/>
          <w:b/>
          <w:bCs/>
          <w:color w:val="auto"/>
          <w:kern w:val="0"/>
          <w:szCs w:val="21"/>
          <w:highlight w:val="none"/>
        </w:rPr>
        <w:t>根据分标1至分标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各</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综合得分由高到低进行排名，并按分标1→分标2→分标3的顺序推荐各分标的第一中标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候选人。各分标第一中标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候选人不可同时再作为分标1至分标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的排名候选人。</w:t>
      </w:r>
    </w:p>
    <w:p w14:paraId="73520F1D">
      <w:pPr>
        <w:pStyle w:val="4"/>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43" w:name="_Toc35393636"/>
      <w:bookmarkStart w:id="44" w:name="_Toc2014"/>
      <w:bookmarkStart w:id="45" w:name="_Toc44229885"/>
      <w:bookmarkStart w:id="46" w:name="_Toc28359018"/>
      <w:bookmarkStart w:id="47" w:name="_Toc35393805"/>
      <w:bookmarkStart w:id="48" w:name="_Toc28359095"/>
      <w:r>
        <w:rPr>
          <w:rFonts w:hint="eastAsia" w:asciiTheme="minorEastAsia" w:hAnsiTheme="minorEastAsia" w:eastAsiaTheme="minorEastAsia" w:cstheme="minorEastAsia"/>
          <w:bCs w:val="0"/>
          <w:color w:val="auto"/>
          <w:sz w:val="24"/>
          <w:szCs w:val="24"/>
          <w:highlight w:val="none"/>
          <w:lang w:val="en-US" w:eastAsia="zh-CN"/>
        </w:rPr>
        <w:t>八</w:t>
      </w:r>
      <w:r>
        <w:rPr>
          <w:rFonts w:hint="eastAsia" w:asciiTheme="minorEastAsia" w:hAnsiTheme="minorEastAsia" w:eastAsiaTheme="minorEastAsia" w:cstheme="minorEastAsia"/>
          <w:bCs w:val="0"/>
          <w:color w:val="auto"/>
          <w:sz w:val="24"/>
          <w:szCs w:val="24"/>
          <w:highlight w:val="none"/>
        </w:rPr>
        <w:t>、凡对本次采购提出询问，请按以下方式联系。</w:t>
      </w:r>
      <w:bookmarkEnd w:id="43"/>
      <w:bookmarkEnd w:id="44"/>
      <w:bookmarkEnd w:id="45"/>
      <w:bookmarkEnd w:id="46"/>
      <w:bookmarkEnd w:id="47"/>
      <w:bookmarkEnd w:id="48"/>
    </w:p>
    <w:p w14:paraId="3C1C549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1"/>
        <w:rPr>
          <w:rFonts w:hint="eastAsia" w:asciiTheme="minorEastAsia" w:hAnsiTheme="minorEastAsia" w:eastAsiaTheme="minorEastAsia" w:cstheme="minorEastAsia"/>
          <w:color w:val="auto"/>
          <w:kern w:val="0"/>
          <w:szCs w:val="21"/>
          <w:highlight w:val="none"/>
        </w:rPr>
      </w:pPr>
      <w:bookmarkStart w:id="49" w:name="_Toc35393637"/>
      <w:bookmarkStart w:id="50" w:name="_Toc28359096"/>
      <w:bookmarkStart w:id="51" w:name="_Toc35393806"/>
      <w:bookmarkStart w:id="52" w:name="_Toc28359019"/>
      <w:r>
        <w:rPr>
          <w:rFonts w:hint="eastAsia" w:asciiTheme="minorEastAsia" w:hAnsiTheme="minorEastAsia" w:eastAsiaTheme="minorEastAsia" w:cstheme="minorEastAsia"/>
          <w:color w:val="auto"/>
          <w:kern w:val="0"/>
          <w:szCs w:val="21"/>
          <w:highlight w:val="none"/>
        </w:rPr>
        <w:t>1.采购人信息</w:t>
      </w:r>
      <w:bookmarkEnd w:id="49"/>
      <w:bookmarkEnd w:id="50"/>
      <w:bookmarkEnd w:id="51"/>
      <w:bookmarkEnd w:id="52"/>
    </w:p>
    <w:p w14:paraId="73276638">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名    称：</w:t>
      </w:r>
      <w:r>
        <w:rPr>
          <w:rFonts w:hint="eastAsia" w:asciiTheme="minorEastAsia" w:hAnsiTheme="minorEastAsia" w:eastAsiaTheme="minorEastAsia" w:cstheme="minorEastAsia"/>
          <w:color w:val="auto"/>
          <w:szCs w:val="21"/>
          <w:highlight w:val="none"/>
          <w:u w:val="none"/>
          <w:lang w:val="en-US" w:eastAsia="zh-CN"/>
        </w:rPr>
        <w:t>梧州市卫生健康委员会</w:t>
      </w:r>
    </w:p>
    <w:p w14:paraId="17C1905D">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地    址：梧州市西环路中段116号</w:t>
      </w:r>
    </w:p>
    <w:p w14:paraId="1F4F3366">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联 系 人：钟先生</w:t>
      </w:r>
    </w:p>
    <w:p w14:paraId="47F72E80">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default"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联系方式：</w:t>
      </w:r>
      <w:r>
        <w:rPr>
          <w:rFonts w:hint="eastAsia" w:asciiTheme="minorEastAsia" w:hAnsiTheme="minorEastAsia" w:eastAsiaTheme="minorEastAsia" w:cstheme="minorEastAsia"/>
          <w:color w:val="auto"/>
          <w:szCs w:val="21"/>
          <w:highlight w:val="none"/>
          <w:u w:val="none"/>
          <w:lang w:val="en-US" w:eastAsia="zh-CN"/>
        </w:rPr>
        <w:t>0774-3888329</w:t>
      </w:r>
    </w:p>
    <w:p w14:paraId="7C84888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outlineLvl w:val="1"/>
        <w:rPr>
          <w:rFonts w:hint="eastAsia" w:asciiTheme="minorEastAsia" w:hAnsiTheme="minorEastAsia" w:eastAsiaTheme="minorEastAsia" w:cstheme="minorEastAsia"/>
          <w:color w:val="auto"/>
          <w:kern w:val="0"/>
          <w:szCs w:val="21"/>
          <w:highlight w:val="none"/>
        </w:rPr>
      </w:pPr>
      <w:bookmarkStart w:id="53" w:name="_Toc28359020"/>
      <w:bookmarkStart w:id="54" w:name="_Toc35393807"/>
      <w:bookmarkStart w:id="55" w:name="_Toc28359097"/>
      <w:bookmarkStart w:id="56" w:name="_Toc35393638"/>
      <w:r>
        <w:rPr>
          <w:rFonts w:hint="eastAsia" w:asciiTheme="minorEastAsia" w:hAnsiTheme="minorEastAsia" w:eastAsiaTheme="minorEastAsia" w:cstheme="minorEastAsia"/>
          <w:color w:val="auto"/>
          <w:kern w:val="0"/>
          <w:szCs w:val="21"/>
          <w:highlight w:val="none"/>
        </w:rPr>
        <w:t>2.采购代理机构信息</w:t>
      </w:r>
      <w:bookmarkEnd w:id="53"/>
      <w:bookmarkEnd w:id="54"/>
      <w:bookmarkEnd w:id="55"/>
      <w:bookmarkEnd w:id="56"/>
    </w:p>
    <w:p w14:paraId="6687051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zCs w:val="21"/>
          <w:highlight w:val="none"/>
          <w:u w:val="none"/>
        </w:rPr>
        <w:t>名    称：</w:t>
      </w:r>
      <w:r>
        <w:rPr>
          <w:rFonts w:hint="eastAsia" w:asciiTheme="minorEastAsia" w:hAnsiTheme="minorEastAsia" w:eastAsiaTheme="minorEastAsia" w:cstheme="minorEastAsia"/>
          <w:color w:val="auto"/>
          <w:szCs w:val="21"/>
          <w:highlight w:val="none"/>
          <w:u w:val="none"/>
          <w:lang w:eastAsia="zh-CN"/>
        </w:rPr>
        <w:t>南宁品正建设咨询有限责任公司</w:t>
      </w:r>
    </w:p>
    <w:p w14:paraId="615C299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zCs w:val="21"/>
          <w:highlight w:val="none"/>
          <w:u w:val="none"/>
        </w:rPr>
        <w:t>地　　址：梧州市新兴二路119号A区西堤新苑5号楼地层17轴-33轴</w:t>
      </w:r>
    </w:p>
    <w:p w14:paraId="5AE6911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联 系 人：潘炜</w:t>
      </w:r>
    </w:p>
    <w:p w14:paraId="57BF668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联系方式：0774-</w:t>
      </w:r>
      <w:r>
        <w:rPr>
          <w:rFonts w:hint="eastAsia" w:asciiTheme="minorEastAsia" w:hAnsiTheme="minorEastAsia" w:eastAsiaTheme="minorEastAsia" w:cstheme="minorEastAsia"/>
          <w:color w:val="auto"/>
          <w:szCs w:val="21"/>
          <w:highlight w:val="none"/>
          <w:u w:val="none"/>
          <w:lang w:val="en-US" w:eastAsia="zh-CN"/>
        </w:rPr>
        <w:t>3894488</w:t>
      </w:r>
    </w:p>
    <w:p w14:paraId="5EAE4540">
      <w:pPr>
        <w:spacing w:line="360" w:lineRule="auto"/>
        <w:ind w:firstLine="420" w:firstLineChars="200"/>
        <w:rPr>
          <w:rFonts w:hint="eastAsia" w:asciiTheme="minorEastAsia" w:hAnsiTheme="minorEastAsia" w:eastAsiaTheme="minorEastAsia" w:cstheme="minorEastAsia"/>
          <w:color w:val="auto"/>
          <w:szCs w:val="21"/>
          <w:highlight w:val="none"/>
          <w:u w:val="single"/>
        </w:rPr>
      </w:pPr>
    </w:p>
    <w:p w14:paraId="3BAA4E5C">
      <w:pPr>
        <w:spacing w:line="360" w:lineRule="auto"/>
        <w:ind w:firstLine="630" w:firstLineChars="300"/>
        <w:jc w:val="righ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lang w:eastAsia="zh-CN"/>
        </w:rPr>
        <w:t>南宁品正建设咨询有限责任公司</w:t>
      </w:r>
    </w:p>
    <w:p w14:paraId="38943028">
      <w:pPr>
        <w:keepNext w:val="0"/>
        <w:keepLines w:val="0"/>
        <w:pageBreakBefore w:val="0"/>
        <w:widowControl w:val="0"/>
        <w:kinsoku/>
        <w:wordWrap/>
        <w:overflowPunct/>
        <w:topLinePunct w:val="0"/>
        <w:autoSpaceDE/>
        <w:autoSpaceDN/>
        <w:bidi w:val="0"/>
        <w:adjustRightInd/>
        <w:snapToGrid/>
        <w:spacing w:line="264" w:lineRule="auto"/>
        <w:ind w:firstLine="438" w:firstLineChars="209"/>
        <w:jc w:val="right"/>
        <w:textAlignment w:val="auto"/>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06月23</w:t>
      </w:r>
      <w:r>
        <w:rPr>
          <w:rFonts w:hint="eastAsia" w:asciiTheme="minorEastAsia" w:hAnsiTheme="minorEastAsia" w:eastAsiaTheme="minorEastAsia" w:cstheme="minorEastAsia"/>
          <w:color w:val="auto"/>
          <w:szCs w:val="21"/>
          <w:highlight w:val="none"/>
        </w:rPr>
        <w:t>日</w:t>
      </w:r>
    </w:p>
    <w:p w14:paraId="6B5D10CF">
      <w:pPr>
        <w:spacing w:line="360" w:lineRule="auto"/>
        <w:jc w:val="right"/>
        <w:rPr>
          <w:rStyle w:val="36"/>
          <w:rFonts w:hint="eastAsia" w:asciiTheme="minorEastAsia" w:hAnsiTheme="minorEastAsia" w:eastAsiaTheme="minorEastAsia" w:cstheme="minorEastAsia"/>
          <w:color w:val="auto"/>
          <w:sz w:val="36"/>
          <w:szCs w:val="36"/>
          <w:highlight w:val="none"/>
        </w:rPr>
        <w:sectPr>
          <w:footerReference r:id="rId7" w:type="default"/>
          <w:pgSz w:w="11905" w:h="16838"/>
          <w:pgMar w:top="1417" w:right="1417" w:bottom="1417" w:left="1417" w:header="850" w:footer="992" w:gutter="0"/>
          <w:pgNumType w:fmt="decimal" w:start="1"/>
          <w:cols w:space="720" w:num="1"/>
          <w:rtlGutter w:val="0"/>
          <w:docGrid w:type="lines" w:linePitch="318" w:charSpace="0"/>
        </w:sectPr>
      </w:pPr>
    </w:p>
    <w:p w14:paraId="2309B1DD">
      <w:pPr>
        <w:pStyle w:val="4"/>
        <w:pageBreakBefore w:val="0"/>
        <w:kinsoku/>
        <w:wordWrap/>
        <w:topLinePunct w:val="0"/>
        <w:bidi w:val="0"/>
        <w:spacing w:before="0" w:beforeAutospacing="0" w:after="0" w:afterAutospacing="0" w:line="312" w:lineRule="auto"/>
        <w:jc w:val="center"/>
        <w:outlineLvl w:val="0"/>
        <w:rPr>
          <w:rFonts w:hint="eastAsia"/>
          <w:color w:val="auto"/>
          <w:highlight w:val="none"/>
        </w:rPr>
      </w:pPr>
      <w:bookmarkStart w:id="57" w:name="_Toc7803"/>
      <w:bookmarkStart w:id="58" w:name="_Toc31383"/>
      <w:r>
        <w:rPr>
          <w:rFonts w:hint="eastAsia"/>
          <w:color w:val="auto"/>
          <w:highlight w:val="none"/>
        </w:rPr>
        <w:t>第二章 供应商须知</w:t>
      </w:r>
      <w:bookmarkEnd w:id="57"/>
      <w:bookmarkEnd w:id="58"/>
    </w:p>
    <w:p w14:paraId="626E4BA8">
      <w:pPr>
        <w:pageBreakBefore w:val="0"/>
        <w:kinsoku/>
        <w:wordWrap/>
        <w:topLinePunct w:val="0"/>
        <w:bidi w:val="0"/>
        <w:spacing w:beforeAutospacing="0" w:line="312" w:lineRule="auto"/>
        <w:jc w:val="center"/>
        <w:outlineLvl w:val="0"/>
        <w:rPr>
          <w:rFonts w:hint="eastAsia" w:ascii="宋体" w:hAnsi="宋体"/>
          <w:b/>
          <w:color w:val="auto"/>
          <w:sz w:val="32"/>
          <w:szCs w:val="32"/>
          <w:highlight w:val="none"/>
        </w:rPr>
      </w:pPr>
      <w:bookmarkStart w:id="59" w:name="_Toc22222"/>
      <w:r>
        <w:rPr>
          <w:rFonts w:hint="eastAsia" w:ascii="宋体" w:hAnsi="宋体"/>
          <w:b/>
          <w:color w:val="auto"/>
          <w:sz w:val="32"/>
          <w:szCs w:val="32"/>
          <w:highlight w:val="none"/>
        </w:rPr>
        <w:t>供应商须知前附表</w:t>
      </w:r>
      <w:bookmarkEnd w:id="59"/>
    </w:p>
    <w:p w14:paraId="675DB46A">
      <w:pPr>
        <w:pageBreakBefore w:val="0"/>
        <w:kinsoku/>
        <w:wordWrap/>
        <w:topLinePunct w:val="0"/>
        <w:bidi w:val="0"/>
        <w:spacing w:line="312" w:lineRule="auto"/>
        <w:jc w:val="center"/>
        <w:rPr>
          <w:rFonts w:hint="eastAsia" w:ascii="宋体" w:hAnsi="宋体"/>
          <w:b/>
          <w:color w:val="auto"/>
          <w:sz w:val="32"/>
          <w:szCs w:val="32"/>
          <w:highlight w:val="none"/>
        </w:rPr>
      </w:pPr>
    </w:p>
    <w:tbl>
      <w:tblPr>
        <w:tblStyle w:val="30"/>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6B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642C1BAC">
            <w:pPr>
              <w:pageBreakBefore w:val="0"/>
              <w:kinsoku/>
              <w:wordWrap/>
              <w:topLinePunct w:val="0"/>
              <w:bidi w:val="0"/>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47E874C4">
            <w:pPr>
              <w:pageBreakBefore w:val="0"/>
              <w:kinsoku/>
              <w:wordWrap/>
              <w:topLinePunct w:val="0"/>
              <w:bidi w:val="0"/>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0373D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37DE6C1">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56798630">
            <w:pPr>
              <w:pageBreakBefore w:val="0"/>
              <w:kinsoku/>
              <w:wordWrap/>
              <w:topLinePunct w:val="0"/>
              <w:bidi w:val="0"/>
              <w:spacing w:line="312"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4AD2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73A8F84">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292977A3">
            <w:pPr>
              <w:pageBreakBefore w:val="0"/>
              <w:kinsoku/>
              <w:wordWrap/>
              <w:topLinePunct w:val="0"/>
              <w:bidi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769C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CB365C1">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6FFCBE4C">
            <w:pPr>
              <w:pStyle w:val="11"/>
              <w:pageBreakBefore w:val="0"/>
              <w:kinsoku/>
              <w:wordWrap/>
              <w:topLinePunct w:val="0"/>
              <w:bidi w:val="0"/>
              <w:spacing w:line="312" w:lineRule="auto"/>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不允许分包</w:t>
            </w:r>
          </w:p>
        </w:tc>
      </w:tr>
      <w:tr w14:paraId="4163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DDCAB22">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06D68EF5">
            <w:pPr>
              <w:pageBreakBefore w:val="0"/>
              <w:kinsoku/>
              <w:wordWrap/>
              <w:topLinePunct w:val="0"/>
              <w:bidi w:val="0"/>
              <w:snapToGrid w:val="0"/>
              <w:spacing w:line="312" w:lineRule="auto"/>
              <w:jc w:val="left"/>
              <w:rPr>
                <w:rFonts w:hint="eastAsia"/>
                <w:color w:val="auto"/>
                <w:highlight w:val="none"/>
              </w:rPr>
            </w:pPr>
            <w:r>
              <w:rPr>
                <w:rFonts w:hint="eastAsia"/>
                <w:color w:val="auto"/>
                <w:highlight w:val="none"/>
              </w:rPr>
              <w:t>资格证明文件</w:t>
            </w:r>
          </w:p>
          <w:p w14:paraId="2EDEED69">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法定代表人身份证明书及法定代表人有效身份证正反面</w:t>
            </w:r>
            <w:r>
              <w:rPr>
                <w:rFonts w:hint="eastAsia"/>
                <w:color w:val="auto"/>
                <w:highlight w:val="none"/>
                <w:lang w:val="en-US" w:eastAsia="zh-CN"/>
              </w:rPr>
              <w:t>复印</w:t>
            </w:r>
            <w:r>
              <w:rPr>
                <w:rFonts w:hint="eastAsia"/>
                <w:color w:val="auto"/>
                <w:highlight w:val="none"/>
              </w:rPr>
              <w:t>件（格式后附）；</w:t>
            </w:r>
            <w:r>
              <w:rPr>
                <w:rFonts w:hint="eastAsia"/>
                <w:b/>
                <w:bCs/>
                <w:color w:val="auto"/>
                <w:highlight w:val="none"/>
              </w:rPr>
              <w:t>（除自然人竞标外必须提供，否则响应文件按无效响应处理）</w:t>
            </w: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lang w:eastAsia="zh-CN"/>
              </w:rPr>
              <w:t>）</w:t>
            </w:r>
            <w:r>
              <w:rPr>
                <w:rFonts w:hint="eastAsia"/>
                <w:color w:val="auto"/>
                <w:highlight w:val="none"/>
              </w:rPr>
              <w:t>法定代表人授权委托书及委托代理人有效身份证正反面</w:t>
            </w:r>
            <w:r>
              <w:rPr>
                <w:rFonts w:hint="eastAsia"/>
                <w:color w:val="auto"/>
                <w:highlight w:val="none"/>
                <w:lang w:val="en-US" w:eastAsia="zh-CN"/>
              </w:rPr>
              <w:t>复印</w:t>
            </w:r>
            <w:r>
              <w:rPr>
                <w:rFonts w:hint="eastAsia"/>
                <w:color w:val="auto"/>
                <w:highlight w:val="none"/>
              </w:rPr>
              <w:t>件（格式后附）；</w:t>
            </w:r>
            <w:r>
              <w:rPr>
                <w:rFonts w:hint="eastAsia"/>
                <w:b/>
                <w:bCs/>
                <w:color w:val="auto"/>
                <w:highlight w:val="none"/>
              </w:rPr>
              <w:t>（委托时必须提供，否则响应文件按无效响应处理）</w:t>
            </w:r>
          </w:p>
          <w:p w14:paraId="3279B13F">
            <w:pPr>
              <w:pStyle w:val="11"/>
              <w:pageBreakBefore w:val="0"/>
              <w:kinsoku/>
              <w:wordWrap/>
              <w:topLinePunct w:val="0"/>
              <w:bidi w:val="0"/>
              <w:spacing w:line="312" w:lineRule="auto"/>
              <w:rPr>
                <w:rFonts w:hint="eastAsia"/>
                <w:b/>
                <w:bCs/>
                <w:color w:val="auto"/>
                <w:highlight w:val="none"/>
                <w:lang w:val="en-US" w:eastAsia="zh-CN"/>
              </w:rPr>
            </w:pPr>
            <w:r>
              <w:rPr>
                <w:rFonts w:hint="eastAsia"/>
                <w:color w:val="auto"/>
                <w:highlight w:val="none"/>
                <w:lang w:val="en-US" w:eastAsia="zh-CN"/>
              </w:rPr>
              <w:t>2.供应商为法人或者其他组织的提供其营业执照等证明文件（如营业执照或者事业单位法人证书或者执业许可证等），供应商为自然人的提供其身份证复印件</w:t>
            </w:r>
            <w:r>
              <w:rPr>
                <w:rFonts w:hint="eastAsia"/>
                <w:b w:val="0"/>
                <w:bCs w:val="0"/>
                <w:color w:val="auto"/>
                <w:highlight w:val="none"/>
                <w:lang w:val="en-US" w:eastAsia="zh-CN"/>
              </w:rPr>
              <w:t>；</w:t>
            </w:r>
            <w:r>
              <w:rPr>
                <w:rFonts w:hint="eastAsia"/>
                <w:b/>
                <w:bCs/>
                <w:color w:val="auto"/>
                <w:highlight w:val="none"/>
                <w:lang w:val="en-US" w:eastAsia="zh-CN"/>
              </w:rPr>
              <w:t>（必须提供，否则响应文件按无效响应处理）</w:t>
            </w:r>
          </w:p>
          <w:p w14:paraId="79DF74AE">
            <w:pPr>
              <w:pageBreakBefore w:val="0"/>
              <w:kinsoku/>
              <w:wordWrap/>
              <w:topLinePunct w:val="0"/>
              <w:bidi w:val="0"/>
              <w:snapToGrid w:val="0"/>
              <w:spacing w:line="312" w:lineRule="auto"/>
              <w:jc w:val="left"/>
              <w:rPr>
                <w:rFonts w:hint="eastAsia"/>
                <w:b/>
                <w:bCs/>
                <w:color w:val="auto"/>
                <w:highlight w:val="none"/>
              </w:rPr>
            </w:pPr>
            <w:r>
              <w:rPr>
                <w:rFonts w:hint="eastAsia"/>
                <w:color w:val="auto"/>
                <w:highlight w:val="none"/>
                <w:lang w:val="en-US" w:eastAsia="zh-CN"/>
              </w:rPr>
              <w:t>3</w:t>
            </w:r>
            <w:r>
              <w:rPr>
                <w:rFonts w:hint="eastAsia"/>
                <w:color w:val="auto"/>
                <w:highlight w:val="none"/>
              </w:rPr>
              <w:t>.供应商依法缴纳税收的相关材料（</w:t>
            </w:r>
            <w:r>
              <w:rPr>
                <w:rFonts w:hint="eastAsia"/>
                <w:color w:val="auto"/>
                <w:highlight w:val="none"/>
                <w:lang w:val="en-US" w:eastAsia="zh-CN"/>
              </w:rPr>
              <w:t>2025年01月至截标前任意1</w:t>
            </w:r>
            <w:r>
              <w:rPr>
                <w:rFonts w:hint="eastAsia"/>
                <w:color w:val="auto"/>
                <w:highlight w:val="none"/>
              </w:rPr>
              <w:t>个月的依法缴纳税收的凭据复印件；依法免税的供应商，必须提供相应文件证明其依法免税。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color w:val="auto"/>
                <w:highlight w:val="none"/>
              </w:rPr>
              <w:t>；</w:t>
            </w:r>
            <w:r>
              <w:rPr>
                <w:rFonts w:hint="eastAsia"/>
                <w:b/>
                <w:bCs/>
                <w:color w:val="auto"/>
                <w:highlight w:val="none"/>
              </w:rPr>
              <w:t>（必须提供，否则响应文件按无效响应处理）</w:t>
            </w:r>
          </w:p>
          <w:p w14:paraId="57C078F0">
            <w:pPr>
              <w:pageBreakBefore w:val="0"/>
              <w:kinsoku/>
              <w:wordWrap/>
              <w:topLinePunct w:val="0"/>
              <w:bidi w:val="0"/>
              <w:snapToGrid w:val="0"/>
              <w:spacing w:line="312" w:lineRule="auto"/>
              <w:jc w:val="left"/>
              <w:rPr>
                <w:rFonts w:hint="eastAsia"/>
                <w:b/>
                <w:bCs/>
                <w:color w:val="auto"/>
                <w:highlight w:val="none"/>
              </w:rPr>
            </w:pPr>
            <w:r>
              <w:rPr>
                <w:rFonts w:hint="eastAsia"/>
                <w:color w:val="auto"/>
                <w:highlight w:val="none"/>
                <w:lang w:val="en-US" w:eastAsia="zh-CN"/>
              </w:rPr>
              <w:t>4</w:t>
            </w:r>
            <w:r>
              <w:rPr>
                <w:rFonts w:hint="eastAsia"/>
                <w:color w:val="auto"/>
                <w:highlight w:val="none"/>
              </w:rPr>
              <w:t>.供应商依法缴纳社会保障资金的相关材料[</w:t>
            </w:r>
            <w:r>
              <w:rPr>
                <w:rFonts w:hint="eastAsia"/>
                <w:color w:val="auto"/>
                <w:highlight w:val="none"/>
                <w:lang w:val="en-US" w:eastAsia="zh-CN"/>
              </w:rPr>
              <w:t>2025年01月至截标前任意1</w:t>
            </w:r>
            <w:r>
              <w:rPr>
                <w:rFonts w:hint="eastAsia"/>
                <w:color w:val="auto"/>
                <w:highlight w:val="none"/>
              </w:rPr>
              <w:t>个月的依法缴纳社会保障资金的缴费凭证（专用收据或者社会保险缴纳清单）复印件；依法不需要缴纳社会保障资金的供应商，必须提供相应文件证明不需要缴纳社会保障资金。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color w:val="auto"/>
                <w:highlight w:val="none"/>
              </w:rPr>
              <w:t>；</w:t>
            </w:r>
            <w:r>
              <w:rPr>
                <w:rFonts w:hint="eastAsia"/>
                <w:b/>
                <w:bCs/>
                <w:color w:val="auto"/>
                <w:highlight w:val="none"/>
              </w:rPr>
              <w:t>（必须提供，否则响应文件按无效响应处理）</w:t>
            </w:r>
          </w:p>
          <w:p w14:paraId="126C6824">
            <w:pPr>
              <w:keepNext w:val="0"/>
              <w:keepLines w:val="0"/>
              <w:pageBreakBefore w:val="0"/>
              <w:widowControl/>
              <w:suppressLineNumbers w:val="0"/>
              <w:kinsoku/>
              <w:wordWrap/>
              <w:topLinePunct w:val="0"/>
              <w:bidi w:val="0"/>
              <w:spacing w:line="312" w:lineRule="auto"/>
              <w:jc w:val="left"/>
              <w:rPr>
                <w:rFonts w:hint="eastAsia" w:ascii="Times New Roman" w:hAnsi="Times New Roman" w:eastAsia="宋体" w:cs="Times New Roman"/>
                <w:b/>
                <w:bCs/>
                <w:color w:val="auto"/>
                <w:highlight w:val="none"/>
              </w:rPr>
            </w:pPr>
            <w:r>
              <w:rPr>
                <w:rFonts w:hint="eastAsia"/>
                <w:color w:val="auto"/>
                <w:highlight w:val="none"/>
                <w:lang w:val="en-US" w:eastAsia="zh-CN"/>
              </w:rPr>
              <w:t>5</w:t>
            </w:r>
            <w:r>
              <w:rPr>
                <w:rFonts w:hint="eastAsia"/>
                <w:color w:val="auto"/>
                <w:highlight w:val="none"/>
              </w:rPr>
              <w:t>.</w:t>
            </w:r>
            <w:r>
              <w:rPr>
                <w:rFonts w:hint="eastAsia" w:ascii="Times New Roman" w:hAnsi="Times New Roman" w:eastAsia="宋体" w:cs="Times New Roman"/>
                <w:color w:val="auto"/>
                <w:highlight w:val="none"/>
                <w:lang w:val="en-US" w:eastAsia="zh-CN"/>
              </w:rPr>
              <w:t>供应商</w:t>
            </w:r>
            <w:r>
              <w:rPr>
                <w:rFonts w:hint="eastAsia" w:ascii="Times New Roman" w:hAnsi="Times New Roman" w:eastAsia="宋体" w:cs="Times New Roman"/>
                <w:color w:val="auto"/>
                <w:highlight w:val="none"/>
              </w:rPr>
              <w:t>财务状况报告（</w:t>
            </w:r>
            <w:r>
              <w:rPr>
                <w:rFonts w:hint="eastAsia" w:cs="Times New Roman"/>
                <w:color w:val="auto"/>
                <w:highlight w:val="none"/>
                <w:u w:val="none"/>
                <w:lang w:val="en-US" w:eastAsia="zh-CN"/>
              </w:rPr>
              <w:t>2023</w:t>
            </w:r>
            <w:r>
              <w:rPr>
                <w:rFonts w:hint="eastAsia" w:ascii="Times New Roman" w:hAnsi="Times New Roman" w:eastAsia="宋体" w:cs="Times New Roman"/>
                <w:color w:val="auto"/>
                <w:highlight w:val="none"/>
              </w:rPr>
              <w:t>年度</w:t>
            </w:r>
            <w:r>
              <w:rPr>
                <w:rFonts w:hint="eastAsia" w:cs="Times New Roman"/>
                <w:color w:val="auto"/>
                <w:highlight w:val="none"/>
                <w:lang w:val="en-US" w:eastAsia="zh-CN"/>
              </w:rPr>
              <w:t>或2024年度</w:t>
            </w:r>
            <w:r>
              <w:rPr>
                <w:rFonts w:hint="eastAsia" w:ascii="Times New Roman" w:hAnsi="Times New Roman" w:eastAsia="宋体" w:cs="Times New Roman"/>
                <w:color w:val="auto"/>
                <w:highlight w:val="none"/>
              </w:rPr>
              <w:t>财务</w:t>
            </w:r>
            <w:r>
              <w:rPr>
                <w:rFonts w:hint="eastAsia" w:ascii="Times New Roman" w:hAnsi="Times New Roman" w:eastAsia="宋体" w:cs="Times New Roman"/>
                <w:color w:val="auto"/>
                <w:highlight w:val="none"/>
                <w:lang w:val="en-US" w:eastAsia="zh-CN"/>
              </w:rPr>
              <w:t>报表</w:t>
            </w:r>
            <w:r>
              <w:rPr>
                <w:rFonts w:hint="eastAsia" w:ascii="Times New Roman" w:hAnsi="Times New Roman" w:eastAsia="宋体" w:cs="Times New Roman"/>
                <w:color w:val="auto"/>
                <w:highlight w:val="none"/>
              </w:rPr>
              <w:t>复印件或者银行出具的资信证明</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供应商属于</w:t>
            </w:r>
            <w:r>
              <w:rPr>
                <w:rFonts w:hint="eastAsia" w:ascii="Times New Roman" w:hAnsi="Times New Roman" w:eastAsia="宋体" w:cs="Times New Roman"/>
                <w:color w:val="auto"/>
                <w:highlight w:val="none"/>
              </w:rPr>
              <w:t>成立时间在规定年度之后的</w:t>
            </w:r>
            <w:r>
              <w:rPr>
                <w:rFonts w:hint="eastAsia" w:ascii="Times New Roman" w:hAnsi="Times New Roman" w:eastAsia="宋体" w:cs="Times New Roman"/>
                <w:color w:val="auto"/>
                <w:highlight w:val="none"/>
                <w:lang w:val="en-US" w:eastAsia="zh-CN"/>
              </w:rPr>
              <w:t>法人或其他组织</w:t>
            </w:r>
            <w:r>
              <w:rPr>
                <w:rFonts w:hint="eastAsia" w:ascii="Times New Roman" w:hAnsi="Times New Roman" w:eastAsia="宋体" w:cs="Times New Roman"/>
                <w:color w:val="auto"/>
                <w:highlight w:val="none"/>
              </w:rPr>
              <w:t>，需提供成立之日起至响应文件提交截止时间前的月报表或银行出具的资信证明</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资信证明</w:t>
            </w:r>
            <w:r>
              <w:rPr>
                <w:rFonts w:hint="eastAsia" w:ascii="Times New Roman" w:hAnsi="Times New Roman" w:eastAsia="宋体" w:cs="Times New Roman"/>
                <w:color w:val="auto"/>
                <w:highlight w:val="none"/>
              </w:rPr>
              <w:t>应在有效期内，未注明有效期的，</w:t>
            </w:r>
            <w:r>
              <w:rPr>
                <w:rFonts w:hint="eastAsia" w:ascii="Times New Roman" w:hAnsi="Times New Roman" w:eastAsia="宋体" w:cs="Times New Roman"/>
                <w:color w:val="auto"/>
                <w:highlight w:val="none"/>
                <w:lang w:val="en-US" w:eastAsia="zh-CN"/>
              </w:rPr>
              <w:t>银行</w:t>
            </w:r>
            <w:r>
              <w:rPr>
                <w:rFonts w:hint="eastAsia" w:ascii="Times New Roman" w:hAnsi="Times New Roman" w:eastAsia="宋体" w:cs="Times New Roman"/>
                <w:color w:val="auto"/>
                <w:highlight w:val="none"/>
              </w:rPr>
              <w:t>出具时间至响应文件提交截止时间不超过一年）；</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除自然人外</w:t>
            </w:r>
            <w:r>
              <w:rPr>
                <w:rFonts w:hint="eastAsia" w:ascii="Times New Roman" w:hAnsi="Times New Roman" w:eastAsia="宋体" w:cs="Times New Roman"/>
                <w:b/>
                <w:bCs/>
                <w:color w:val="auto"/>
                <w:highlight w:val="none"/>
              </w:rPr>
              <w:t>必须提供，否则响应文件按无效响应处理）</w:t>
            </w:r>
          </w:p>
          <w:p w14:paraId="62D81F0D">
            <w:pPr>
              <w:pStyle w:val="8"/>
              <w:spacing w:line="360" w:lineRule="auto"/>
              <w:ind w:left="0" w:leftChars="0" w:firstLine="0" w:firstLineChars="0"/>
              <w:rPr>
                <w:rFonts w:hint="eastAsia" w:ascii="Times New Roman" w:hAnsi="Times New Roman"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6</w:t>
            </w:r>
            <w:r>
              <w:rPr>
                <w:rFonts w:hint="eastAsia" w:ascii="Times New Roman" w:hAnsi="Times New Roman" w:cs="Times New Roman"/>
                <w:b w:val="0"/>
                <w:bCs w:val="0"/>
                <w:color w:val="auto"/>
                <w:kern w:val="2"/>
                <w:sz w:val="21"/>
                <w:szCs w:val="24"/>
                <w:highlight w:val="none"/>
                <w:lang w:val="en-US" w:eastAsia="zh-CN" w:bidi="ar-SA"/>
              </w:rPr>
              <w:t>.供应商直接控股、管理关系信息表（格式后附）；</w:t>
            </w:r>
            <w:r>
              <w:rPr>
                <w:rFonts w:hint="eastAsia" w:ascii="Times New Roman" w:hAnsi="Times New Roman" w:cs="Times New Roman"/>
                <w:b/>
                <w:bCs/>
                <w:color w:val="auto"/>
                <w:kern w:val="2"/>
                <w:sz w:val="21"/>
                <w:szCs w:val="24"/>
                <w:highlight w:val="none"/>
                <w:lang w:val="en-US" w:eastAsia="zh-CN" w:bidi="ar-SA"/>
              </w:rPr>
              <w:t>（必须提供，否则响应文件按无效处理）</w:t>
            </w:r>
          </w:p>
          <w:p w14:paraId="0E2C1A0F">
            <w:pPr>
              <w:pStyle w:val="8"/>
              <w:spacing w:line="360" w:lineRule="auto"/>
              <w:ind w:left="0" w:leftChars="0" w:firstLine="0" w:firstLineChars="0"/>
              <w:rPr>
                <w:rFonts w:hint="default"/>
                <w:b/>
                <w:bCs/>
                <w:color w:val="auto"/>
                <w:highlight w:val="none"/>
                <w:lang w:val="en-US" w:eastAsia="zh-CN"/>
              </w:rPr>
            </w:pPr>
            <w:r>
              <w:rPr>
                <w:rFonts w:hint="eastAsia" w:cs="Times New Roman"/>
                <w:b w:val="0"/>
                <w:bCs w:val="0"/>
                <w:color w:val="auto"/>
                <w:kern w:val="2"/>
                <w:sz w:val="21"/>
                <w:szCs w:val="24"/>
                <w:highlight w:val="none"/>
                <w:lang w:val="en-US" w:eastAsia="zh-CN" w:bidi="ar-SA"/>
              </w:rPr>
              <w:t>7</w:t>
            </w:r>
            <w:r>
              <w:rPr>
                <w:rFonts w:hint="eastAsia" w:ascii="Times New Roman" w:hAnsi="Times New Roman" w:eastAsia="宋体" w:cs="Times New Roman"/>
                <w:b w:val="0"/>
                <w:bCs w:val="0"/>
                <w:color w:val="auto"/>
                <w:kern w:val="2"/>
                <w:sz w:val="21"/>
                <w:szCs w:val="24"/>
                <w:highlight w:val="none"/>
                <w:lang w:val="en-US" w:eastAsia="zh-CN" w:bidi="ar-SA"/>
              </w:rPr>
              <w:t>.中小企业声明函（格式后附）</w:t>
            </w:r>
            <w:r>
              <w:rPr>
                <w:rFonts w:hint="eastAsia"/>
                <w:b/>
                <w:bCs/>
                <w:color w:val="auto"/>
                <w:highlight w:val="none"/>
                <w:lang w:val="en-US" w:eastAsia="zh-CN"/>
              </w:rPr>
              <w:t>（</w:t>
            </w:r>
            <w:r>
              <w:rPr>
                <w:rFonts w:hint="eastAsia"/>
                <w:b/>
                <w:bCs/>
                <w:color w:val="auto"/>
                <w:highlight w:val="none"/>
              </w:rPr>
              <w:t>必须提供，否则响应文件按无效响应处理</w:t>
            </w:r>
            <w:r>
              <w:rPr>
                <w:rFonts w:hint="eastAsia"/>
                <w:b/>
                <w:bCs/>
                <w:color w:val="auto"/>
                <w:highlight w:val="none"/>
                <w:lang w:val="en-US" w:eastAsia="zh-CN"/>
              </w:rPr>
              <w:t>）</w:t>
            </w:r>
          </w:p>
          <w:p w14:paraId="7C3E54A5">
            <w:pPr>
              <w:pageBreakBefore w:val="0"/>
              <w:kinsoku/>
              <w:wordWrap/>
              <w:topLinePunct w:val="0"/>
              <w:bidi w:val="0"/>
              <w:snapToGrid w:val="0"/>
              <w:spacing w:line="312" w:lineRule="auto"/>
              <w:jc w:val="left"/>
              <w:rPr>
                <w:rFonts w:hint="eastAsia"/>
                <w:color w:val="auto"/>
                <w:highlight w:val="none"/>
              </w:rPr>
            </w:pPr>
            <w:r>
              <w:rPr>
                <w:rFonts w:hint="eastAsia"/>
                <w:color w:val="auto"/>
                <w:highlight w:val="none"/>
                <w:lang w:val="en-US" w:eastAsia="zh-CN"/>
              </w:rPr>
              <w:t>8</w:t>
            </w:r>
            <w:r>
              <w:rPr>
                <w:rFonts w:hint="eastAsia"/>
                <w:color w:val="auto"/>
                <w:highlight w:val="none"/>
              </w:rPr>
              <w:t>.竞标声明（格式后附）；</w:t>
            </w:r>
            <w:r>
              <w:rPr>
                <w:rFonts w:hint="eastAsia"/>
                <w:b/>
                <w:bCs/>
                <w:color w:val="auto"/>
                <w:highlight w:val="none"/>
              </w:rPr>
              <w:t>（必须提供，否则响应文件按无效响应处理）</w:t>
            </w:r>
          </w:p>
          <w:p w14:paraId="5804A1E5">
            <w:pPr>
              <w:pageBreakBefore w:val="0"/>
              <w:kinsoku/>
              <w:wordWrap/>
              <w:topLinePunct w:val="0"/>
              <w:bidi w:val="0"/>
              <w:snapToGrid w:val="0"/>
              <w:spacing w:line="312" w:lineRule="auto"/>
              <w:jc w:val="left"/>
              <w:rPr>
                <w:rFonts w:hint="eastAsia"/>
                <w:color w:val="auto"/>
                <w:highlight w:val="none"/>
              </w:rPr>
            </w:pPr>
            <w:r>
              <w:rPr>
                <w:rFonts w:hint="eastAsia"/>
                <w:color w:val="auto"/>
                <w:highlight w:val="none"/>
                <w:lang w:val="en-US" w:eastAsia="zh-CN"/>
              </w:rPr>
              <w:t>9</w:t>
            </w:r>
            <w:r>
              <w:rPr>
                <w:rFonts w:hint="eastAsia"/>
                <w:color w:val="auto"/>
                <w:highlight w:val="none"/>
              </w:rPr>
              <w:t>.除磋商文件规定必须提供以外，供应商认为需要提供的其他证明材料；</w:t>
            </w:r>
          </w:p>
          <w:p w14:paraId="11795B56">
            <w:pPr>
              <w:pageBreakBefore w:val="0"/>
              <w:kinsoku/>
              <w:wordWrap/>
              <w:topLinePunct w:val="0"/>
              <w:bidi w:val="0"/>
              <w:snapToGrid w:val="0"/>
              <w:spacing w:line="360" w:lineRule="auto"/>
              <w:jc w:val="left"/>
              <w:rPr>
                <w:rFonts w:hint="eastAsia"/>
                <w:b/>
                <w:bCs/>
                <w:color w:val="auto"/>
                <w:highlight w:val="none"/>
              </w:rPr>
            </w:pPr>
            <w:r>
              <w:rPr>
                <w:rFonts w:hint="eastAsia"/>
                <w:b/>
                <w:bCs/>
                <w:color w:val="auto"/>
                <w:highlight w:val="none"/>
              </w:rPr>
              <w:t>注：</w:t>
            </w:r>
          </w:p>
          <w:p w14:paraId="4F5E0DE3">
            <w:pPr>
              <w:pageBreakBefore w:val="0"/>
              <w:kinsoku/>
              <w:wordWrap/>
              <w:overflowPunct/>
              <w:topLinePunct w:val="0"/>
              <w:bidi w:val="0"/>
              <w:snapToGrid w:val="0"/>
              <w:spacing w:line="300" w:lineRule="auto"/>
              <w:ind w:firstLine="413" w:firstLineChars="196"/>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1.以上标明“必须提供”的材料属于复印件的，必须加盖供应商</w:t>
            </w:r>
            <w:r>
              <w:rPr>
                <w:rFonts w:hint="eastAsia" w:ascii="宋体" w:hAnsi="宋体" w:eastAsia="宋体" w:cs="宋体"/>
                <w:b/>
                <w:color w:val="auto"/>
                <w:szCs w:val="21"/>
                <w:highlight w:val="none"/>
              </w:rPr>
              <w:t>CA</w:t>
            </w:r>
            <w:r>
              <w:rPr>
                <w:rFonts w:hint="eastAsia" w:ascii="宋体" w:hAnsi="宋体" w:eastAsia="宋体" w:cs="宋体"/>
                <w:b/>
                <w:bCs/>
                <w:color w:val="auto"/>
                <w:sz w:val="21"/>
                <w:szCs w:val="21"/>
                <w:highlight w:val="none"/>
                <w:lang w:val="en-US" w:eastAsia="zh-CN"/>
              </w:rPr>
              <w:t>签章</w:t>
            </w:r>
            <w:r>
              <w:rPr>
                <w:rFonts w:hint="eastAsia" w:ascii="宋体" w:hAnsi="宋体" w:eastAsia="宋体" w:cs="宋体"/>
                <w:b/>
                <w:bCs/>
                <w:color w:val="auto"/>
                <w:sz w:val="21"/>
                <w:szCs w:val="21"/>
                <w:highlight w:val="none"/>
              </w:rPr>
              <w:t>，否则响应文件按无效响应处理。</w:t>
            </w:r>
          </w:p>
          <w:p w14:paraId="7144EF03">
            <w:pPr>
              <w:pageBreakBefore w:val="0"/>
              <w:kinsoku/>
              <w:wordWrap/>
              <w:overflowPunct/>
              <w:topLinePunct w:val="0"/>
              <w:bidi w:val="0"/>
              <w:snapToGrid w:val="0"/>
              <w:spacing w:line="30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2.竞标声明必须由法定代表人在规定签章处签字并加盖供应商</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rPr>
              <w:t>，否则响应文件按无效响应处理。</w:t>
            </w:r>
          </w:p>
          <w:p w14:paraId="4195290F">
            <w:pPr>
              <w:pageBreakBefore w:val="0"/>
              <w:kinsoku/>
              <w:wordWrap/>
              <w:overflowPunct/>
              <w:topLinePunct w:val="0"/>
              <w:bidi w:val="0"/>
              <w:snapToGrid w:val="0"/>
              <w:spacing w:beforeAutospacing="0" w:line="30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电子投标响应文件中所须加盖公章部分均采用CA签章。若竞争性磋商文件中有专门标注的某关联点，并要求供应商在电子投标系统中作出投标响应的，如供应商未对关联点进行响应或者在响应文件其它内容进行描述，造成电子评审不能查询的责任由供应商自行承担。</w:t>
            </w:r>
          </w:p>
          <w:p w14:paraId="5D8C899F">
            <w:pPr>
              <w:pStyle w:val="3"/>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.以上材料未附格式的，由供应商自行拟定。</w:t>
            </w:r>
          </w:p>
        </w:tc>
      </w:tr>
      <w:tr w14:paraId="0888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92" w:type="dxa"/>
            <w:vMerge w:val="restart"/>
            <w:noWrap w:val="0"/>
            <w:vAlign w:val="center"/>
          </w:tcPr>
          <w:p w14:paraId="6F52A821">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14:paraId="70BFC827">
            <w:pPr>
              <w:pStyle w:val="3"/>
              <w:keepNext/>
              <w:keepLines/>
              <w:pageBreakBefore w:val="0"/>
              <w:widowControl w:val="0"/>
              <w:kinsoku/>
              <w:wordWrap/>
              <w:overflowPunct/>
              <w:topLinePunct w:val="0"/>
              <w:autoSpaceDE/>
              <w:autoSpaceDN/>
              <w:bidi w:val="0"/>
              <w:adjustRightInd/>
              <w:snapToGrid/>
              <w:spacing w:before="103" w:beforeLines="33" w:beforeAutospacing="0" w:after="0" w:line="312" w:lineRule="auto"/>
              <w:jc w:val="left"/>
              <w:textAlignment w:val="auto"/>
              <w:outlineLvl w:val="9"/>
              <w:rPr>
                <w:rFonts w:hint="eastAsia"/>
                <w:b/>
                <w:bCs/>
                <w:color w:val="auto"/>
                <w:sz w:val="21"/>
                <w:szCs w:val="21"/>
                <w:highlight w:val="none"/>
              </w:rPr>
            </w:pPr>
            <w:r>
              <w:rPr>
                <w:rFonts w:hint="eastAsia"/>
                <w:b/>
                <w:bCs/>
                <w:color w:val="auto"/>
                <w:sz w:val="21"/>
                <w:szCs w:val="21"/>
                <w:highlight w:val="none"/>
              </w:rPr>
              <w:t>报价文件</w:t>
            </w:r>
          </w:p>
          <w:p w14:paraId="77DB738B">
            <w:pPr>
              <w:pageBreakBefore w:val="0"/>
              <w:kinsoku/>
              <w:wordWrap/>
              <w:topLinePunct w:val="0"/>
              <w:bidi w:val="0"/>
              <w:spacing w:after="108" w:afterLines="34" w:afterAutospacing="0" w:line="312" w:lineRule="auto"/>
              <w:rPr>
                <w:rFonts w:hint="eastAsia"/>
                <w:b/>
                <w:bCs/>
                <w:color w:val="auto"/>
                <w:highlight w:val="none"/>
              </w:rPr>
            </w:pPr>
            <w:r>
              <w:rPr>
                <w:rFonts w:hint="eastAsia"/>
                <w:color w:val="auto"/>
                <w:highlight w:val="none"/>
                <w:lang w:val="en-US" w:eastAsia="zh-CN"/>
              </w:rPr>
              <w:t>1</w:t>
            </w:r>
            <w:r>
              <w:rPr>
                <w:rFonts w:hint="eastAsia"/>
                <w:color w:val="auto"/>
                <w:highlight w:val="none"/>
              </w:rPr>
              <w:t>.竞标报价表（格式后附）；</w:t>
            </w:r>
            <w:r>
              <w:rPr>
                <w:rFonts w:hint="eastAsia"/>
                <w:b/>
                <w:bCs/>
                <w:color w:val="auto"/>
                <w:highlight w:val="none"/>
              </w:rPr>
              <w:t>（必须提供，否则响应文件按无效响应处理）</w:t>
            </w:r>
          </w:p>
          <w:p w14:paraId="481CBDDE">
            <w:pPr>
              <w:pageBreakBefore w:val="0"/>
              <w:kinsoku/>
              <w:wordWrap/>
              <w:topLinePunct w:val="0"/>
              <w:bidi w:val="0"/>
              <w:spacing w:after="108" w:afterLines="34" w:afterAutospacing="0" w:line="312" w:lineRule="auto"/>
              <w:rPr>
                <w:rFonts w:hint="default"/>
                <w:color w:val="auto"/>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.供应商认为需要提供的其他有关资料。</w:t>
            </w:r>
          </w:p>
        </w:tc>
      </w:tr>
      <w:tr w14:paraId="5A89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528876A2">
            <w:pPr>
              <w:pageBreakBefore w:val="0"/>
              <w:kinsoku/>
              <w:wordWrap/>
              <w:topLinePunct w:val="0"/>
              <w:bidi w:val="0"/>
              <w:spacing w:line="312" w:lineRule="auto"/>
              <w:jc w:val="center"/>
              <w:rPr>
                <w:rFonts w:hint="eastAsia" w:ascii="宋体" w:hAnsi="宋体" w:cs="宋体"/>
                <w:color w:val="auto"/>
                <w:szCs w:val="21"/>
                <w:highlight w:val="none"/>
              </w:rPr>
            </w:pPr>
          </w:p>
        </w:tc>
        <w:tc>
          <w:tcPr>
            <w:tcW w:w="7912" w:type="dxa"/>
            <w:noWrap w:val="0"/>
            <w:vAlign w:val="center"/>
          </w:tcPr>
          <w:p w14:paraId="6F35802E">
            <w:pPr>
              <w:pageBreakBefore w:val="0"/>
              <w:kinsoku/>
              <w:wordWrap/>
              <w:topLinePunct w:val="0"/>
              <w:bidi w:val="0"/>
              <w:spacing w:before="159" w:beforeLines="50" w:beforeAutospacing="0" w:line="312" w:lineRule="auto"/>
              <w:rPr>
                <w:rFonts w:hint="eastAsia"/>
                <w:color w:val="auto"/>
                <w:highlight w:val="none"/>
              </w:rPr>
            </w:pPr>
            <w:r>
              <w:rPr>
                <w:rFonts w:hint="eastAsia"/>
                <w:color w:val="auto"/>
                <w:highlight w:val="none"/>
              </w:rPr>
              <w:t>商务技术文件</w:t>
            </w:r>
          </w:p>
          <w:p w14:paraId="3A7C7D11">
            <w:pPr>
              <w:pageBreakBefore w:val="0"/>
              <w:kinsoku/>
              <w:wordWrap/>
              <w:topLinePunct w:val="0"/>
              <w:bidi w:val="0"/>
              <w:spacing w:line="312" w:lineRule="auto"/>
              <w:rPr>
                <w:rFonts w:hint="eastAsia"/>
                <w:b/>
                <w:bCs/>
                <w:color w:val="auto"/>
                <w:highlight w:val="none"/>
                <w:lang w:val="en-US" w:eastAsia="zh-CN"/>
              </w:rPr>
            </w:pPr>
            <w:r>
              <w:rPr>
                <w:rFonts w:hint="eastAsia"/>
                <w:color w:val="auto"/>
                <w:highlight w:val="none"/>
                <w:lang w:val="en-US" w:eastAsia="zh-CN"/>
              </w:rPr>
              <w:t>1.</w:t>
            </w:r>
            <w:r>
              <w:rPr>
                <w:rFonts w:hint="eastAsia"/>
                <w:color w:val="auto"/>
                <w:highlight w:val="none"/>
              </w:rPr>
              <w:t>无串通竞标行为的承诺函（格式后附）；</w:t>
            </w:r>
            <w:r>
              <w:rPr>
                <w:rFonts w:hint="eastAsia"/>
                <w:b/>
                <w:bCs/>
                <w:color w:val="auto"/>
                <w:highlight w:val="none"/>
              </w:rPr>
              <w:t>（必须提供，否则响应文件按无效响应处理）</w:t>
            </w:r>
          </w:p>
          <w:p w14:paraId="55EA1F3C">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2</w:t>
            </w:r>
            <w:r>
              <w:rPr>
                <w:rFonts w:hint="eastAsia"/>
                <w:color w:val="auto"/>
                <w:highlight w:val="none"/>
              </w:rPr>
              <w:t>.商务条款偏离表（格式后附）；</w:t>
            </w:r>
            <w:r>
              <w:rPr>
                <w:rFonts w:hint="eastAsia"/>
                <w:b/>
                <w:bCs/>
                <w:color w:val="auto"/>
                <w:highlight w:val="none"/>
              </w:rPr>
              <w:t>（必须提供，否则响应文件按无效响应处理）</w:t>
            </w:r>
          </w:p>
          <w:p w14:paraId="5BFBD36E">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3</w:t>
            </w:r>
            <w:r>
              <w:rPr>
                <w:rFonts w:hint="eastAsia"/>
                <w:color w:val="auto"/>
                <w:highlight w:val="none"/>
              </w:rPr>
              <w:t>.</w:t>
            </w: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方案</w:t>
            </w:r>
            <w:r>
              <w:rPr>
                <w:rFonts w:hint="eastAsia"/>
                <w:color w:val="auto"/>
                <w:highlight w:val="none"/>
              </w:rPr>
              <w:t>；</w:t>
            </w:r>
            <w:r>
              <w:rPr>
                <w:rFonts w:hint="eastAsia"/>
                <w:b/>
                <w:bCs/>
                <w:color w:val="auto"/>
                <w:highlight w:val="none"/>
              </w:rPr>
              <w:t>（必须提供，否则响应文件按无效响应处理）</w:t>
            </w:r>
          </w:p>
          <w:p w14:paraId="26A4BD97">
            <w:pPr>
              <w:pageBreakBefore w:val="0"/>
              <w:kinsoku/>
              <w:wordWrap/>
              <w:topLinePunct w:val="0"/>
              <w:bidi w:val="0"/>
              <w:spacing w:line="312" w:lineRule="auto"/>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技术</w:t>
            </w:r>
            <w:r>
              <w:rPr>
                <w:rFonts w:hint="eastAsia"/>
                <w:color w:val="auto"/>
                <w:highlight w:val="none"/>
              </w:rPr>
              <w:t>需求偏离表（格式后附）；</w:t>
            </w:r>
            <w:r>
              <w:rPr>
                <w:rFonts w:hint="eastAsia"/>
                <w:b/>
                <w:bCs/>
                <w:color w:val="auto"/>
                <w:highlight w:val="none"/>
              </w:rPr>
              <w:t>（必须提供，否则响应文件按无效响应处理）</w:t>
            </w:r>
          </w:p>
          <w:p w14:paraId="22CC3878">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5</w:t>
            </w:r>
            <w:r>
              <w:rPr>
                <w:rFonts w:hint="eastAsia"/>
                <w:color w:val="auto"/>
                <w:highlight w:val="none"/>
              </w:rPr>
              <w:t>.项目实施人员一览表（格式自拟）；</w:t>
            </w:r>
            <w:r>
              <w:rPr>
                <w:rFonts w:hint="eastAsia"/>
                <w:b/>
                <w:bCs/>
                <w:color w:val="auto"/>
                <w:highlight w:val="none"/>
              </w:rPr>
              <w:t>（必须提供，否则响应文件按无效响应处理）</w:t>
            </w:r>
          </w:p>
          <w:p w14:paraId="0B4092A4">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6</w:t>
            </w:r>
            <w:r>
              <w:rPr>
                <w:rFonts w:hint="eastAsia"/>
                <w:color w:val="auto"/>
                <w:highlight w:val="none"/>
              </w:rPr>
              <w:t>.对应采购需求的</w:t>
            </w:r>
            <w:r>
              <w:rPr>
                <w:rFonts w:hint="eastAsia"/>
                <w:color w:val="auto"/>
                <w:highlight w:val="none"/>
                <w:lang w:val="en-US" w:eastAsia="zh-CN"/>
              </w:rPr>
              <w:t>技术</w:t>
            </w:r>
            <w:r>
              <w:rPr>
                <w:rFonts w:hint="eastAsia"/>
                <w:color w:val="auto"/>
                <w:highlight w:val="none"/>
              </w:rPr>
              <w:t>需求、商务条款提供的其他文件资料；</w:t>
            </w:r>
          </w:p>
          <w:p w14:paraId="6DB85994">
            <w:pPr>
              <w:pageBreakBefore w:val="0"/>
              <w:kinsoku/>
              <w:wordWrap/>
              <w:topLinePunct w:val="0"/>
              <w:bidi w:val="0"/>
              <w:spacing w:line="312" w:lineRule="auto"/>
              <w:rPr>
                <w:rFonts w:hint="eastAsia"/>
                <w:color w:val="auto"/>
                <w:highlight w:val="none"/>
              </w:rPr>
            </w:pPr>
            <w:r>
              <w:rPr>
                <w:rFonts w:hint="eastAsia"/>
                <w:color w:val="auto"/>
                <w:highlight w:val="none"/>
                <w:lang w:val="en-US" w:eastAsia="zh-CN"/>
              </w:rPr>
              <w:t>7</w:t>
            </w:r>
            <w:r>
              <w:rPr>
                <w:rFonts w:hint="eastAsia"/>
                <w:color w:val="auto"/>
                <w:highlight w:val="none"/>
              </w:rPr>
              <w:t>.供应商认为需要提供的其他有关资料。</w:t>
            </w:r>
          </w:p>
          <w:p w14:paraId="7E3AA261">
            <w:pPr>
              <w:pageBreakBefore w:val="0"/>
              <w:kinsoku/>
              <w:wordWrap/>
              <w:topLinePunct w:val="0"/>
              <w:bidi w:val="0"/>
              <w:snapToGrid w:val="0"/>
              <w:spacing w:line="312" w:lineRule="auto"/>
              <w:jc w:val="left"/>
              <w:rPr>
                <w:rFonts w:hint="eastAsia"/>
                <w:b/>
                <w:bCs/>
                <w:color w:val="auto"/>
                <w:highlight w:val="none"/>
              </w:rPr>
            </w:pPr>
            <w:r>
              <w:rPr>
                <w:rFonts w:hint="eastAsia"/>
                <w:b/>
                <w:bCs/>
                <w:color w:val="auto"/>
                <w:highlight w:val="none"/>
              </w:rPr>
              <w:t xml:space="preserve">注： </w:t>
            </w:r>
          </w:p>
          <w:p w14:paraId="7AB6ED9C">
            <w:pPr>
              <w:pStyle w:val="3"/>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.以上标明“必须提供”的材料属于</w:t>
            </w:r>
            <w:r>
              <w:rPr>
                <w:rFonts w:hint="eastAsia" w:asciiTheme="minorEastAsia" w:hAnsiTheme="minorEastAsia" w:eastAsiaTheme="minorEastAsia" w:cstheme="minorEastAsia"/>
                <w:color w:val="auto"/>
                <w:sz w:val="21"/>
                <w:szCs w:val="21"/>
                <w:highlight w:val="none"/>
                <w:lang w:val="en-US" w:eastAsia="zh-CN"/>
              </w:rPr>
              <w:t>复印件</w:t>
            </w:r>
            <w:r>
              <w:rPr>
                <w:rFonts w:hint="eastAsia" w:asciiTheme="minorEastAsia" w:hAnsiTheme="minorEastAsia" w:eastAsiaTheme="minorEastAsia" w:cstheme="minorEastAsia"/>
                <w:color w:val="auto"/>
                <w:sz w:val="21"/>
                <w:szCs w:val="21"/>
                <w:highlight w:val="none"/>
              </w:rPr>
              <w:t>的，必须加盖供应商</w:t>
            </w:r>
            <w:r>
              <w:rPr>
                <w:rFonts w:hint="eastAsia" w:asciiTheme="minorEastAsia" w:hAnsiTheme="minorEastAsia" w:eastAsiaTheme="minorEastAsia" w:cstheme="minorEastAsia"/>
                <w:color w:val="auto"/>
                <w:sz w:val="21"/>
                <w:szCs w:val="21"/>
                <w:highlight w:val="none"/>
                <w:lang w:val="en-US" w:eastAsia="zh-CN"/>
              </w:rPr>
              <w:t>电子签章</w:t>
            </w:r>
            <w:r>
              <w:rPr>
                <w:rFonts w:hint="eastAsia" w:asciiTheme="minorEastAsia" w:hAnsiTheme="minorEastAsia" w:eastAsiaTheme="minorEastAsia" w:cstheme="minorEastAsia"/>
                <w:color w:val="auto"/>
                <w:sz w:val="21"/>
                <w:szCs w:val="21"/>
                <w:highlight w:val="none"/>
              </w:rPr>
              <w:t>，否则响应文件按无效响应处理。</w:t>
            </w:r>
          </w:p>
          <w:p w14:paraId="27954AB8">
            <w:pPr>
              <w:pStyle w:val="3"/>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电子投标响应文件中所须加盖公章部分均采用CA签章。若竞争性磋商文件中有专门标注的某关联点，并要求供应商在电子投标系统中作出投标响应的，如供应商未对关联点进行响应或者在响应文件其它内容进行描述，造成电子评审不能查询的责任由供应商自行承担。</w:t>
            </w:r>
          </w:p>
          <w:p w14:paraId="6826C503">
            <w:pPr>
              <w:pStyle w:val="3"/>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.以上材料未附格式的，由供应商自行拟定。</w:t>
            </w:r>
          </w:p>
        </w:tc>
      </w:tr>
      <w:tr w14:paraId="19924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2DA1BF">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068AF370">
            <w:pPr>
              <w:pageBreakBefore w:val="0"/>
              <w:kinsoku/>
              <w:wordWrap/>
              <w:topLinePunct w:val="0"/>
              <w:bidi w:val="0"/>
              <w:snapToGrid w:val="0"/>
              <w:spacing w:line="312" w:lineRule="auto"/>
              <w:jc w:val="left"/>
              <w:rPr>
                <w:rFonts w:hint="eastAsia" w:ascii="宋体" w:hAnsi="宋体"/>
                <w:b/>
                <w:color w:val="auto"/>
                <w:szCs w:val="21"/>
                <w:highlight w:val="none"/>
              </w:rPr>
            </w:pPr>
            <w:r>
              <w:rPr>
                <w:rFonts w:hint="eastAsia" w:ascii="宋体" w:hAnsi="宋体"/>
                <w:color w:val="auto"/>
                <w:szCs w:val="21"/>
                <w:highlight w:val="none"/>
              </w:rPr>
              <w:t>竞标报价是履行合同的最终价格，即满足全部采购需求所应提供的服务的价格；包括竞标服务的成本、运输（含保险）（如有）、技术服务、培训、税费等所有费用。（采购需求另有约定的，从其约定。）</w:t>
            </w:r>
          </w:p>
        </w:tc>
      </w:tr>
      <w:tr w14:paraId="094E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8F7D097">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6021D30F">
            <w:pPr>
              <w:pStyle w:val="10"/>
              <w:pageBreakBefore w:val="0"/>
              <w:widowControl w:val="0"/>
              <w:tabs>
                <w:tab w:val="clear" w:pos="454"/>
              </w:tabs>
              <w:kinsoku/>
              <w:wordWrap/>
              <w:topLinePunct w:val="0"/>
              <w:bidi w:val="0"/>
              <w:snapToGrid w:val="0"/>
              <w:spacing w:afterLines="0" w:line="312"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none"/>
                <w:lang w:val="en-US" w:eastAsia="zh-CN"/>
              </w:rPr>
              <w:t>60</w:t>
            </w:r>
            <w:r>
              <w:rPr>
                <w:rFonts w:hint="eastAsia" w:ascii="宋体" w:hAnsi="宋体" w:cs="宋体"/>
                <w:color w:val="auto"/>
                <w:kern w:val="2"/>
                <w:sz w:val="21"/>
                <w:szCs w:val="21"/>
                <w:highlight w:val="none"/>
              </w:rPr>
              <w:t>日。</w:t>
            </w:r>
          </w:p>
        </w:tc>
      </w:tr>
      <w:tr w14:paraId="4EE0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E0104ED">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771190B6">
            <w:pPr>
              <w:keepNext w:val="0"/>
              <w:keepLines w:val="0"/>
              <w:pageBreakBefore w:val="0"/>
              <w:widowControl w:val="0"/>
              <w:kinsoku/>
              <w:wordWrap/>
              <w:overflowPunct/>
              <w:topLinePunct w:val="0"/>
              <w:autoSpaceDE w:val="0"/>
              <w:autoSpaceDN w:val="0"/>
              <w:bidi w:val="0"/>
              <w:adjustRightInd/>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☑本项目不收取磋商保证金。</w:t>
            </w:r>
          </w:p>
          <w:p w14:paraId="39FA72E9">
            <w:pPr>
              <w:keepNext w:val="0"/>
              <w:keepLines w:val="0"/>
              <w:pageBreakBefore w:val="0"/>
              <w:widowControl w:val="0"/>
              <w:kinsoku/>
              <w:wordWrap/>
              <w:overflowPunct/>
              <w:topLinePunct w:val="0"/>
              <w:bidi w:val="0"/>
              <w:adjustRightInd/>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□本项目收取磋商保证金，具体规定如下：</w:t>
            </w:r>
          </w:p>
          <w:p w14:paraId="7D3CDB56">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1.磋商保证金（人民币）：0.00元（须足额交纳）</w:t>
            </w:r>
          </w:p>
          <w:p w14:paraId="49C315FC">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磋商保证金的提交方式：银行转账/电汇、网上支付、支票、汇票、本票或者金融机构、担保机构出具的保函等非现金形式提交。采用金融结构、担保机构出具的保函，必须为无条件保函，保函有效期不得低于磋商有效期。）</w:t>
            </w:r>
          </w:p>
          <w:p w14:paraId="23FD0A84">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3.递交方式：</w:t>
            </w:r>
          </w:p>
          <w:p w14:paraId="0FD325E9">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（1）以转账或电汇或网上支付等方式提交的，应从对公账户转出，并应当在响应文件提交截止时间前足额到达指定账户，在用途或备注栏注明事由“</w:t>
            </w:r>
            <w:r>
              <w:rPr>
                <w:rFonts w:hint="eastAsia" w:ascii="宋体" w:hAnsi="宋体" w:eastAsia="宋体" w:cs="宋体"/>
                <w:color w:val="auto"/>
                <w:kern w:val="2"/>
                <w:sz w:val="21"/>
                <w:szCs w:val="21"/>
                <w:highlight w:val="none"/>
                <w:u w:val="single"/>
                <w:lang w:val="en-US" w:eastAsia="zh-CN" w:bidi="ar-SA"/>
              </w:rPr>
              <w:t>项目名称或项目编号+磋商保证金(如有分标，须列出分标号)</w:t>
            </w:r>
            <w:r>
              <w:rPr>
                <w:rFonts w:hint="eastAsia" w:ascii="宋体" w:hAnsi="宋体" w:eastAsia="宋体" w:cs="宋体"/>
                <w:color w:val="auto"/>
                <w:kern w:val="2"/>
                <w:sz w:val="21"/>
                <w:szCs w:val="21"/>
                <w:highlight w:val="none"/>
                <w:lang w:val="en-US" w:eastAsia="zh-CN" w:bidi="ar-SA"/>
              </w:rPr>
              <w:t>”信息。</w:t>
            </w:r>
          </w:p>
          <w:p w14:paraId="4A701ADE">
            <w:pPr>
              <w:pStyle w:val="6"/>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开户名称：/</w:t>
            </w:r>
          </w:p>
          <w:p w14:paraId="6E5ADCBA">
            <w:pPr>
              <w:pStyle w:val="6"/>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w:t>
            </w:r>
          </w:p>
          <w:p w14:paraId="07356D2A">
            <w:pPr>
              <w:pStyle w:val="6"/>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银行帐号：/</w:t>
            </w:r>
          </w:p>
          <w:p w14:paraId="7CA4476A">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支票、汇票、本票或者金融、担保机构出具的保函方式的，应将支票、汇票、本票或者金融、担保机构出具的保函等原件扫描件作为磋商保证金提交凭证，放置于响应文件中，并应在响应文件提交截止时间前提交票据或保函原件(可邮寄)，否则响应文件按无效处理。提交(邮寄)地址及收件人详见竞争性磋商公告，拒收到付邮件，通过邮寄方式送达的，请合理安排邮寄时间。</w:t>
            </w:r>
          </w:p>
          <w:p w14:paraId="5A118315">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4.备注：</w:t>
            </w:r>
          </w:p>
          <w:p w14:paraId="72B425C8">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（1）磋商保证金在响应文件提交截止时间后提交的，或者不按规定提交方式交纳的，或者未足额交纳的(包含保函额度不足的)，视为无效磋商保证金。</w:t>
            </w:r>
          </w:p>
          <w:p w14:paraId="17750049">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（2）供应商采用现钞方式、非供应商账户或者从个人账户转出的磋商保证金，视为无效磋商保证金。</w:t>
            </w:r>
          </w:p>
          <w:p w14:paraId="19425D16">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（3）支票、汇票或者本票出现无效或者背书情形的，视为无效磋商保证金。</w:t>
            </w:r>
          </w:p>
          <w:p w14:paraId="7B031746">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（4）保函有效期低于磋商有效期的，视为无效磋商保证金。</w:t>
            </w:r>
          </w:p>
          <w:p w14:paraId="7DA26CA3">
            <w:pPr>
              <w:pStyle w:val="6"/>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（5）采用金融、担保机构出具保函的，必须为无条件保函，否则视为无效磋商保证金。</w:t>
            </w:r>
          </w:p>
          <w:p w14:paraId="2A12B6E4">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（6）经查实，供应商提供虚假保证金证明材料的，采购人报政府采购监督管理部门处理。</w:t>
            </w:r>
          </w:p>
        </w:tc>
      </w:tr>
      <w:tr w14:paraId="1D06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0B030D">
            <w:pPr>
              <w:pageBreakBefore w:val="0"/>
              <w:kinsoku/>
              <w:wordWrap/>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noWrap w:val="0"/>
            <w:vAlign w:val="center"/>
          </w:tcPr>
          <w:p w14:paraId="0B457608">
            <w:pPr>
              <w:pageBreakBefore w:val="0"/>
              <w:kinsoku/>
              <w:wordWrap/>
              <w:overflowPunct/>
              <w:topLinePunct w:val="0"/>
              <w:bidi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本项目不接受</w:t>
            </w:r>
            <w:r>
              <w:rPr>
                <w:rFonts w:hint="eastAsia" w:ascii="宋体" w:hAnsi="宋体" w:eastAsia="宋体" w:cs="宋体"/>
                <w:color w:val="auto"/>
                <w:highlight w:val="none"/>
              </w:rPr>
              <w:t>电子</w:t>
            </w:r>
            <w:r>
              <w:rPr>
                <w:rFonts w:hint="eastAsia" w:ascii="宋体" w:hAnsi="宋体" w:eastAsia="宋体" w:cs="宋体"/>
                <w:color w:val="auto"/>
                <w:szCs w:val="21"/>
                <w:highlight w:val="none"/>
              </w:rPr>
              <w:t>备份响应文件</w:t>
            </w:r>
          </w:p>
        </w:tc>
      </w:tr>
      <w:tr w14:paraId="6716B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2BAD0AF">
            <w:pPr>
              <w:pageBreakBefore w:val="0"/>
              <w:kinsoku/>
              <w:wordWrap/>
              <w:overflowPunct/>
              <w:topLinePunct w:val="0"/>
              <w:bidi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20.1</w:t>
            </w:r>
          </w:p>
        </w:tc>
        <w:tc>
          <w:tcPr>
            <w:tcW w:w="7912" w:type="dxa"/>
            <w:noWrap w:val="0"/>
            <w:vAlign w:val="center"/>
          </w:tcPr>
          <w:p w14:paraId="74166B20">
            <w:pPr>
              <w:pageBreakBefore w:val="0"/>
              <w:kinsoku/>
              <w:wordWrap/>
              <w:overflowPunct/>
              <w:topLinePunct w:val="0"/>
              <w:bidi w:val="0"/>
              <w:snapToGrid w:val="0"/>
              <w:spacing w:line="30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响应文件提交截止时间：详见竞争性磋商公告。</w:t>
            </w:r>
          </w:p>
          <w:p w14:paraId="69155202">
            <w:pPr>
              <w:pageBreakBefore w:val="0"/>
              <w:kinsoku/>
              <w:wordWrap/>
              <w:overflowPunct/>
              <w:topLinePunct w:val="0"/>
              <w:bidi w:val="0"/>
              <w:snapToGrid w:val="0"/>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响应文件提交地点：详见竞争性磋商公告。</w:t>
            </w:r>
          </w:p>
        </w:tc>
      </w:tr>
      <w:tr w14:paraId="1ECB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92" w:type="dxa"/>
            <w:noWrap w:val="0"/>
            <w:vAlign w:val="center"/>
          </w:tcPr>
          <w:p w14:paraId="3E9D664D">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2BAD4EEC">
            <w:pPr>
              <w:pageBreakBefore w:val="0"/>
              <w:kinsoku/>
              <w:wordWrap/>
              <w:topLinePunct w:val="0"/>
              <w:bidi w:val="0"/>
              <w:snapToGrid w:val="0"/>
              <w:spacing w:line="312"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58FFE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92" w:type="dxa"/>
            <w:noWrap w:val="0"/>
            <w:vAlign w:val="center"/>
          </w:tcPr>
          <w:p w14:paraId="2555AEF7">
            <w:pPr>
              <w:pageBreakBefore w:val="0"/>
              <w:kinsoku/>
              <w:wordWrap/>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912" w:type="dxa"/>
            <w:noWrap w:val="0"/>
            <w:vAlign w:val="center"/>
          </w:tcPr>
          <w:p w14:paraId="5B12C829">
            <w:pPr>
              <w:pageBreakBefore w:val="0"/>
              <w:kinsoku/>
              <w:wordWrap/>
              <w:overflowPunct/>
              <w:topLinePunct w:val="0"/>
              <w:bidi w:val="0"/>
              <w:snapToGrid w:val="0"/>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首次响应文件开启时间详见“竞争性磋商公告”</w:t>
            </w:r>
          </w:p>
          <w:p w14:paraId="64B23845">
            <w:pPr>
              <w:pageBreakBefore w:val="0"/>
              <w:kinsoku/>
              <w:wordWrap/>
              <w:overflowPunct/>
              <w:topLinePunct w:val="0"/>
              <w:bidi w:val="0"/>
              <w:snapToGrid w:val="0"/>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首次响应文件解密时间：</w:t>
            </w:r>
            <w:r>
              <w:rPr>
                <w:rFonts w:hint="eastAsia" w:ascii="宋体" w:hAnsi="宋体" w:eastAsia="宋体" w:cs="宋体"/>
                <w:color w:val="auto"/>
                <w:highlight w:val="none"/>
                <w:u w:val="single"/>
              </w:rPr>
              <w:t xml:space="preserve"> 30</w:t>
            </w:r>
            <w:r>
              <w:rPr>
                <w:rFonts w:hint="eastAsia" w:ascii="宋体" w:hAnsi="宋体" w:eastAsia="宋体" w:cs="宋体"/>
                <w:color w:val="auto"/>
                <w:highlight w:val="none"/>
              </w:rPr>
              <w:t>分钟</w:t>
            </w:r>
          </w:p>
        </w:tc>
      </w:tr>
      <w:tr w14:paraId="13A0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794B4A">
            <w:pPr>
              <w:pageBreakBefore w:val="0"/>
              <w:kinsoku/>
              <w:wordWrap/>
              <w:topLinePunct w:val="0"/>
              <w:bidi w:val="0"/>
              <w:spacing w:line="312" w:lineRule="auto"/>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7912" w:type="dxa"/>
            <w:noWrap w:val="0"/>
            <w:vAlign w:val="center"/>
          </w:tcPr>
          <w:p w14:paraId="7BCEA377">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本项目不收取履约保证金。</w:t>
            </w:r>
          </w:p>
          <w:p w14:paraId="0DCE102A">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本项目收取履约保证金，具体规定如下：</w:t>
            </w:r>
          </w:p>
          <w:p w14:paraId="13587EC4">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p>
          <w:p w14:paraId="152B0248">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w:t>
            </w:r>
          </w:p>
          <w:p w14:paraId="395A2A4D">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成交供应商按合同履约的，从服务验收合格之日起满30日内，由成交供应商向履约保证金收取单位提供《广西壮族自治区政府采购项目合同验收书》（详见桂财采〔2015〕22号），保证金收取单位在收到合格材料后5个工作日内办理退还手续（不计利息）</w:t>
            </w:r>
            <w:r>
              <w:rPr>
                <w:rFonts w:hint="eastAsia" w:ascii="宋体" w:hAnsi="宋体" w:cs="宋体"/>
                <w:color w:val="auto"/>
                <w:szCs w:val="21"/>
                <w:highlight w:val="none"/>
                <w:lang w:eastAsia="zh-CN"/>
              </w:rPr>
              <w:t>。</w:t>
            </w:r>
          </w:p>
          <w:p w14:paraId="385F9467">
            <w:pPr>
              <w:pageBreakBefore w:val="0"/>
              <w:kinsoku/>
              <w:wordWrap/>
              <w:topLinePunct w:val="0"/>
              <w:bidi w:val="0"/>
              <w:snapToGrid w:val="0"/>
              <w:spacing w:line="312"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14:paraId="06EDB5DA">
            <w:pPr>
              <w:pageBreakBefore w:val="0"/>
              <w:kinsoku/>
              <w:wordWrap/>
              <w:topLinePunct w:val="0"/>
              <w:bidi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1.</w:t>
            </w:r>
            <w:bookmarkStart w:id="60" w:name="_Hlk54170335"/>
            <w:r>
              <w:rPr>
                <w:rFonts w:hint="eastAsia" w:ascii="宋体" w:hAnsi="宋体" w:cs="宋体"/>
                <w:b/>
                <w:bCs/>
                <w:color w:val="auto"/>
                <w:szCs w:val="21"/>
                <w:highlight w:val="none"/>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60"/>
          </w:p>
          <w:p w14:paraId="6E2E7443">
            <w:pPr>
              <w:pageBreakBefore w:val="0"/>
              <w:kinsoku/>
              <w:wordWrap/>
              <w:topLinePunct w:val="0"/>
              <w:bidi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cs="宋体"/>
                <w:b/>
                <w:bCs/>
                <w:color w:val="auto"/>
                <w:szCs w:val="21"/>
                <w:highlight w:val="none"/>
              </w:rPr>
              <w:br w:type="textWrapping"/>
            </w:r>
            <w:r>
              <w:rPr>
                <w:rFonts w:hint="eastAsia" w:ascii="宋体" w:hAnsi="宋体" w:cs="宋体"/>
                <w:b/>
                <w:bCs/>
                <w:color w:val="auto"/>
                <w:szCs w:val="21"/>
                <w:highlight w:val="none"/>
              </w:rPr>
              <w:t>3.采用银行、保险机构出具的保函的，必须为无条件保函，否则不予签订合同。</w:t>
            </w:r>
          </w:p>
          <w:p w14:paraId="79E06BAC">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b/>
                <w:bCs/>
                <w:color w:val="auto"/>
                <w:szCs w:val="21"/>
                <w:highlight w:val="none"/>
              </w:rPr>
              <w:t>4.供应商为联合体的，由联合体任意一方按规定提交的履约保证金，视为有效履约保证金。</w:t>
            </w:r>
          </w:p>
        </w:tc>
      </w:tr>
      <w:tr w14:paraId="5990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E7DDC04">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ascii="宋体" w:hAnsi="宋体" w:cs="宋体"/>
                <w:color w:val="auto"/>
                <w:szCs w:val="21"/>
                <w:highlight w:val="none"/>
              </w:rPr>
              <w:t>.1</w:t>
            </w:r>
          </w:p>
        </w:tc>
        <w:tc>
          <w:tcPr>
            <w:tcW w:w="7912" w:type="dxa"/>
            <w:noWrap w:val="0"/>
            <w:vAlign w:val="center"/>
          </w:tcPr>
          <w:p w14:paraId="451E9F25">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4AB6A74D">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3356C3E">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B56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992" w:type="dxa"/>
            <w:noWrap w:val="0"/>
            <w:vAlign w:val="center"/>
          </w:tcPr>
          <w:p w14:paraId="0AFFA52F">
            <w:pPr>
              <w:pageBreakBefore w:val="0"/>
              <w:kinsoku/>
              <w:wordWrap/>
              <w:topLinePunct w:val="0"/>
              <w:bidi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31.2</w:t>
            </w:r>
          </w:p>
        </w:tc>
        <w:tc>
          <w:tcPr>
            <w:tcW w:w="7912" w:type="dxa"/>
            <w:noWrap w:val="0"/>
            <w:vAlign w:val="center"/>
          </w:tcPr>
          <w:p w14:paraId="43D28DC9">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4CC4CC51">
            <w:pPr>
              <w:pStyle w:val="18"/>
              <w:pageBreakBefore w:val="0"/>
              <w:kinsoku/>
              <w:wordWrap/>
              <w:topLinePunct w:val="0"/>
              <w:bidi w:val="0"/>
              <w:snapToGrid w:val="0"/>
              <w:spacing w:line="312" w:lineRule="auto"/>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宋体"/>
                <w:color w:val="auto"/>
                <w:sz w:val="21"/>
                <w:highlight w:val="none"/>
                <w:lang w:val="en-US" w:eastAsia="zh-CN"/>
              </w:rPr>
              <w:t>南宁品正建设咨询有限责任公司</w:t>
            </w:r>
            <w:r>
              <w:rPr>
                <w:rFonts w:hint="eastAsia" w:hAnsi="宋体" w:cs="宋体"/>
                <w:color w:val="auto"/>
                <w:kern w:val="2"/>
                <w:sz w:val="21"/>
                <w:highlight w:val="none"/>
                <w:lang w:val="en-US" w:eastAsia="zh-CN"/>
              </w:rPr>
              <w:t>，联系电话：0774-3894488，通讯地址：梧州市长洲区新兴二路119号西堤新苑5号楼地层。</w:t>
            </w:r>
          </w:p>
          <w:p w14:paraId="1E6A1F6D">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hAnsi="宋体" w:cs="宋体"/>
                <w:color w:val="auto"/>
                <w:highlight w:val="none"/>
              </w:rPr>
              <w:t>业务时间：上午8时</w:t>
            </w:r>
            <w:r>
              <w:rPr>
                <w:rFonts w:hint="eastAsia" w:hAnsi="宋体" w:cs="宋体"/>
                <w:color w:val="auto"/>
                <w:highlight w:val="none"/>
                <w:lang w:val="en-US" w:eastAsia="zh-CN"/>
              </w:rPr>
              <w:t>3</w:t>
            </w:r>
            <w:r>
              <w:rPr>
                <w:rFonts w:hint="eastAsia" w:hAnsi="宋体" w:cs="宋体"/>
                <w:color w:val="auto"/>
                <w:highlight w:val="none"/>
              </w:rPr>
              <w:t>0分到12时00分，下午</w:t>
            </w:r>
            <w:r>
              <w:rPr>
                <w:rFonts w:hint="eastAsia" w:hAnsi="宋体" w:cs="宋体"/>
                <w:color w:val="auto"/>
                <w:highlight w:val="none"/>
                <w:lang w:val="en-US" w:eastAsia="zh-CN"/>
              </w:rPr>
              <w:t>15</w:t>
            </w:r>
            <w:r>
              <w:rPr>
                <w:rFonts w:hint="eastAsia" w:hAnsi="宋体" w:cs="宋体"/>
                <w:color w:val="auto"/>
                <w:highlight w:val="none"/>
              </w:rPr>
              <w:t>时00分到</w:t>
            </w:r>
            <w:r>
              <w:rPr>
                <w:rFonts w:hint="eastAsia" w:hAnsi="宋体" w:cs="宋体"/>
                <w:color w:val="auto"/>
                <w:highlight w:val="none"/>
                <w:lang w:val="en-US" w:eastAsia="zh-CN"/>
              </w:rPr>
              <w:t>18</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14:paraId="4864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19B3F0">
            <w:pPr>
              <w:pageBreakBefore w:val="0"/>
              <w:kinsoku/>
              <w:wordWrap/>
              <w:overflowPunct/>
              <w:topLinePunct w:val="0"/>
              <w:bidi w:val="0"/>
              <w:snapToGrid w:val="0"/>
              <w:spacing w:line="30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32.1</w:t>
            </w:r>
          </w:p>
        </w:tc>
        <w:tc>
          <w:tcPr>
            <w:tcW w:w="7912" w:type="dxa"/>
            <w:noWrap w:val="0"/>
            <w:vAlign w:val="center"/>
          </w:tcPr>
          <w:p w14:paraId="42BB581A">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02A60700">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2B9C223A">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p>
          <w:p w14:paraId="2753B164">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以分标成交金额为计费额，按本须知正文第32.2条规定的收费计算标准（服务类）采用差额定率累进法计算出收费基准价格，采购代理收费以收费基准价格收取。</w:t>
            </w:r>
          </w:p>
          <w:p w14:paraId="135F61B3">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采购代理费收取银行账户</w:t>
            </w:r>
          </w:p>
          <w:p w14:paraId="02B494B3">
            <w:pPr>
              <w:pStyle w:val="18"/>
              <w:pageBreakBefore w:val="0"/>
              <w:kinsoku/>
              <w:wordWrap/>
              <w:overflowPunct/>
              <w:topLinePunct w:val="0"/>
              <w:bidi w:val="0"/>
              <w:snapToGrid w:val="0"/>
              <w:spacing w:line="30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开户名称：南宁品正建设咨询有限责任公司</w:t>
            </w:r>
            <w:r>
              <w:rPr>
                <w:rFonts w:hint="eastAsia" w:hAnsi="宋体" w:cs="宋体"/>
                <w:color w:val="auto"/>
                <w:sz w:val="21"/>
                <w:szCs w:val="21"/>
                <w:highlight w:val="none"/>
                <w:lang w:val="en-US" w:eastAsia="zh-CN"/>
              </w:rPr>
              <w:t>梧州营业部</w:t>
            </w:r>
          </w:p>
          <w:p w14:paraId="48F3A79B">
            <w:pPr>
              <w:pStyle w:val="18"/>
              <w:pageBreakBefore w:val="0"/>
              <w:kinsoku/>
              <w:wordWrap/>
              <w:overflowPunct/>
              <w:topLinePunct w:val="0"/>
              <w:bidi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开户银行：中国建设银行股份有限公司广西梧州河东支行</w:t>
            </w:r>
          </w:p>
          <w:p w14:paraId="6E3E114D">
            <w:pPr>
              <w:pStyle w:val="18"/>
              <w:pageBreakBefore w:val="0"/>
              <w:kinsoku/>
              <w:wordWrap/>
              <w:overflowPunct/>
              <w:topLinePunct w:val="0"/>
              <w:bidi w:val="0"/>
              <w:snapToGrid w:val="0"/>
              <w:spacing w:line="30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rPr>
              <w:t>帐    号：4500 1648 6520 5070 1389</w:t>
            </w:r>
            <w:r>
              <w:rPr>
                <w:rFonts w:hint="eastAsia" w:ascii="宋体" w:hAnsi="宋体" w:eastAsia="宋体" w:cs="宋体"/>
                <w:color w:val="auto"/>
                <w:sz w:val="21"/>
                <w:szCs w:val="21"/>
                <w:highlight w:val="none"/>
                <w:lang w:val="en-US" w:eastAsia="zh-CN"/>
              </w:rPr>
              <w:t xml:space="preserve"> </w:t>
            </w:r>
          </w:p>
        </w:tc>
      </w:tr>
      <w:tr w14:paraId="7FD3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967E702">
            <w:pPr>
              <w:pageBreakBefore w:val="0"/>
              <w:kinsoku/>
              <w:wordWrap/>
              <w:topLinePunct w:val="0"/>
              <w:bidi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33.1</w:t>
            </w:r>
          </w:p>
        </w:tc>
        <w:tc>
          <w:tcPr>
            <w:tcW w:w="7912" w:type="dxa"/>
            <w:noWrap w:val="0"/>
            <w:vAlign w:val="center"/>
          </w:tcPr>
          <w:p w14:paraId="66638E95">
            <w:pPr>
              <w:pStyle w:val="18"/>
              <w:pageBreakBefore w:val="0"/>
              <w:kinsoku/>
              <w:wordWrap/>
              <w:topLinePunct w:val="0"/>
              <w:bidi w:val="0"/>
              <w:snapToGrid w:val="0"/>
              <w:spacing w:line="312" w:lineRule="auto"/>
              <w:rPr>
                <w:rFonts w:hint="eastAsia" w:hAnsi="宋体" w:cs="宋体"/>
                <w:color w:val="auto"/>
                <w:kern w:val="2"/>
                <w:sz w:val="21"/>
                <w:highlight w:val="none"/>
                <w:lang w:val="en-US" w:eastAsia="zh-CN"/>
              </w:rPr>
            </w:pPr>
            <w:r>
              <w:rPr>
                <w:rFonts w:hint="eastAsia" w:hAnsi="宋体"/>
                <w:color w:val="auto"/>
                <w:sz w:val="21"/>
                <w:szCs w:val="21"/>
                <w:highlight w:val="none"/>
                <w:lang w:val="en-US" w:eastAsia="zh-CN"/>
              </w:rPr>
              <w:t>解释：</w:t>
            </w:r>
            <w:r>
              <w:rPr>
                <w:rFonts w:hAnsi="宋体"/>
                <w:color w:val="auto"/>
                <w:sz w:val="21"/>
                <w:szCs w:val="21"/>
                <w:highlight w:val="none"/>
                <w:lang w:val="en-US" w:eastAsia="zh-CN"/>
              </w:rPr>
              <w:t>构成本</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的各个组成文件应互为解释，互为说明；除</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中有特别规定外，仅适用于</w:t>
            </w:r>
            <w:r>
              <w:rPr>
                <w:rFonts w:hint="eastAsia" w:hAnsi="宋体"/>
                <w:color w:val="auto"/>
                <w:sz w:val="21"/>
                <w:szCs w:val="21"/>
                <w:highlight w:val="none"/>
                <w:lang w:val="en-US" w:eastAsia="zh-CN"/>
              </w:rPr>
              <w:t>竞标</w:t>
            </w:r>
            <w:r>
              <w:rPr>
                <w:rFonts w:hAnsi="宋体"/>
                <w:color w:val="auto"/>
                <w:sz w:val="21"/>
                <w:szCs w:val="21"/>
                <w:highlight w:val="none"/>
                <w:lang w:val="en-US" w:eastAsia="zh-CN"/>
              </w:rPr>
              <w:t>阶段的规定，按</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w:t>
            </w:r>
            <w:r>
              <w:rPr>
                <w:rFonts w:hint="eastAsia" w:hAnsi="宋体"/>
                <w:color w:val="auto"/>
                <w:sz w:val="21"/>
                <w:szCs w:val="21"/>
                <w:highlight w:val="none"/>
                <w:lang w:val="en-US" w:eastAsia="zh-CN"/>
              </w:rPr>
              <w:t>竞争性磋商</w:t>
            </w:r>
            <w:r>
              <w:rPr>
                <w:rFonts w:hAnsi="宋体"/>
                <w:color w:val="auto"/>
                <w:sz w:val="21"/>
                <w:szCs w:val="21"/>
                <w:highlight w:val="none"/>
                <w:lang w:val="en-US" w:eastAsia="zh-CN"/>
              </w:rPr>
              <w:t>公告、</w:t>
            </w:r>
            <w:r>
              <w:rPr>
                <w:rFonts w:hint="eastAsia" w:hAnsi="宋体"/>
                <w:color w:val="auto"/>
                <w:sz w:val="21"/>
                <w:szCs w:val="21"/>
                <w:highlight w:val="none"/>
                <w:lang w:val="en-US" w:eastAsia="zh-CN"/>
              </w:rPr>
              <w:t>供应商</w:t>
            </w:r>
            <w:r>
              <w:rPr>
                <w:rFonts w:hAnsi="宋体"/>
                <w:color w:val="auto"/>
                <w:sz w:val="21"/>
                <w:szCs w:val="21"/>
                <w:highlight w:val="none"/>
                <w:lang w:val="en-US" w:eastAsia="zh-CN"/>
              </w:rPr>
              <w:t>须知</w:t>
            </w:r>
            <w:r>
              <w:rPr>
                <w:rFonts w:hint="eastAsia" w:hAnsi="宋体"/>
                <w:color w:val="auto"/>
                <w:sz w:val="21"/>
                <w:szCs w:val="21"/>
                <w:highlight w:val="none"/>
                <w:lang w:val="en-US" w:eastAsia="zh-CN"/>
              </w:rPr>
              <w:t>、采购需求</w:t>
            </w:r>
            <w:r>
              <w:rPr>
                <w:rFonts w:hAnsi="宋体"/>
                <w:color w:val="auto"/>
                <w:sz w:val="21"/>
                <w:szCs w:val="21"/>
                <w:highlight w:val="none"/>
                <w:lang w:val="en-US" w:eastAsia="zh-CN"/>
              </w:rPr>
              <w:t>、</w:t>
            </w:r>
            <w:r>
              <w:rPr>
                <w:rFonts w:hint="eastAsia"/>
                <w:color w:val="auto"/>
                <w:sz w:val="21"/>
                <w:szCs w:val="21"/>
                <w:highlight w:val="none"/>
                <w:lang w:val="en-US" w:eastAsia="zh-CN"/>
              </w:rPr>
              <w:t>评审程序、评审方法和评审标准</w:t>
            </w:r>
            <w:r>
              <w:rPr>
                <w:rFonts w:hAnsi="宋体"/>
                <w:color w:val="auto"/>
                <w:sz w:val="21"/>
                <w:szCs w:val="21"/>
                <w:highlight w:val="none"/>
                <w:lang w:val="en-US" w:eastAsia="zh-CN"/>
              </w:rPr>
              <w:t>、</w:t>
            </w:r>
            <w:r>
              <w:rPr>
                <w:rFonts w:hint="eastAsia" w:hAnsi="宋体"/>
                <w:color w:val="auto"/>
                <w:sz w:val="21"/>
                <w:szCs w:val="21"/>
                <w:highlight w:val="none"/>
                <w:lang w:val="en-US" w:eastAsia="zh-CN"/>
              </w:rPr>
              <w:t>响应</w:t>
            </w:r>
            <w:r>
              <w:rPr>
                <w:rFonts w:hAnsi="宋体"/>
                <w:color w:val="auto"/>
                <w:sz w:val="21"/>
                <w:szCs w:val="21"/>
                <w:highlight w:val="none"/>
                <w:lang w:val="en-US" w:eastAsia="zh-CN"/>
              </w:rPr>
              <w:t>文件格式</w:t>
            </w:r>
            <w:r>
              <w:rPr>
                <w:rFonts w:hint="eastAsia" w:hAnsi="宋体"/>
                <w:color w:val="auto"/>
                <w:sz w:val="21"/>
                <w:szCs w:val="21"/>
                <w:highlight w:val="none"/>
                <w:lang w:val="en-US" w:eastAsia="zh-CN"/>
              </w:rPr>
              <w:t>、合同文本</w:t>
            </w:r>
            <w:r>
              <w:rPr>
                <w:rFonts w:hAnsi="宋体"/>
                <w:color w:val="auto"/>
                <w:sz w:val="21"/>
                <w:szCs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与同步更新的</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不一致时以</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为准。按本款前述规定仍不能形成结论的，由</w:t>
            </w:r>
            <w:r>
              <w:rPr>
                <w:rFonts w:hint="eastAsia" w:hAnsi="宋体"/>
                <w:color w:val="auto"/>
                <w:sz w:val="21"/>
                <w:szCs w:val="21"/>
                <w:highlight w:val="none"/>
                <w:lang w:val="en-US" w:eastAsia="zh-CN"/>
              </w:rPr>
              <w:t>采购</w:t>
            </w:r>
            <w:r>
              <w:rPr>
                <w:rFonts w:hAnsi="宋体"/>
                <w:color w:val="auto"/>
                <w:sz w:val="21"/>
                <w:szCs w:val="21"/>
                <w:highlight w:val="none"/>
                <w:lang w:val="en-US" w:eastAsia="zh-CN"/>
              </w:rPr>
              <w:t>人</w:t>
            </w:r>
            <w:r>
              <w:rPr>
                <w:rFonts w:hint="eastAsia" w:hAnsi="宋体"/>
                <w:color w:val="auto"/>
                <w:sz w:val="21"/>
                <w:szCs w:val="21"/>
                <w:highlight w:val="none"/>
                <w:lang w:val="en-US" w:eastAsia="zh-CN"/>
              </w:rPr>
              <w:t>或者采购代理机构</w:t>
            </w:r>
            <w:r>
              <w:rPr>
                <w:rFonts w:hAnsi="宋体"/>
                <w:color w:val="auto"/>
                <w:sz w:val="21"/>
                <w:szCs w:val="21"/>
                <w:highlight w:val="none"/>
                <w:lang w:val="en-US" w:eastAsia="zh-CN"/>
              </w:rPr>
              <w:t>负责解释。</w:t>
            </w:r>
          </w:p>
        </w:tc>
      </w:tr>
      <w:tr w14:paraId="7F2F5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18C91E">
            <w:pPr>
              <w:pageBreakBefore w:val="0"/>
              <w:kinsoku/>
              <w:wordWrap/>
              <w:overflowPunct/>
              <w:topLinePunct w:val="0"/>
              <w:bidi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33.3</w:t>
            </w:r>
          </w:p>
        </w:tc>
        <w:tc>
          <w:tcPr>
            <w:tcW w:w="7912" w:type="dxa"/>
            <w:noWrap w:val="0"/>
            <w:vAlign w:val="center"/>
          </w:tcPr>
          <w:p w14:paraId="2B934751">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2E51D84">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bCs/>
                <w:color w:val="auto"/>
                <w:sz w:val="21"/>
                <w:highlight w:val="none"/>
              </w:rPr>
              <w:t>2.本磋商文件所称的“</w:t>
            </w:r>
            <w:r>
              <w:rPr>
                <w:rFonts w:hint="eastAsia" w:ascii="宋体" w:hAnsi="宋体" w:eastAsia="宋体" w:cs="宋体"/>
                <w:color w:val="auto"/>
                <w:sz w:val="21"/>
                <w:highlight w:val="none"/>
              </w:rPr>
              <w:t>电子签章</w:t>
            </w:r>
            <w:r>
              <w:rPr>
                <w:rFonts w:hint="eastAsia" w:ascii="宋体" w:hAnsi="宋体" w:eastAsia="宋体" w:cs="宋体"/>
                <w:bCs/>
                <w:color w:val="auto"/>
                <w:sz w:val="21"/>
                <w:highlight w:val="none"/>
              </w:rPr>
              <w:t>”、“电子签名”</w:t>
            </w:r>
            <w:r>
              <w:rPr>
                <w:rFonts w:hint="eastAsia" w:ascii="宋体" w:hAnsi="宋体" w:eastAsia="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2909566">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Cs/>
                <w:color w:val="auto"/>
                <w:sz w:val="21"/>
                <w:highlight w:val="none"/>
              </w:rPr>
            </w:pPr>
            <w:r>
              <w:rPr>
                <w:rFonts w:hint="eastAsia" w:ascii="宋体" w:hAnsi="宋体" w:eastAsia="宋体" w:cs="宋体"/>
                <w:color w:val="auto"/>
                <w:sz w:val="21"/>
                <w:highlight w:val="none"/>
              </w:rPr>
              <w:t>3.供应商为其他组织时，本磋商文件规定的法定代表人指负责人。本磋商文件所称负责人是指参加竞标的其他组织</w:t>
            </w:r>
            <w:r>
              <w:rPr>
                <w:rFonts w:hint="eastAsia" w:ascii="宋体" w:hAnsi="宋体" w:eastAsia="宋体" w:cs="宋体"/>
                <w:bCs/>
                <w:color w:val="auto"/>
                <w:sz w:val="21"/>
                <w:highlight w:val="none"/>
              </w:rPr>
              <w:t>营业执照或者执业许可证等证照上的</w:t>
            </w:r>
            <w:r>
              <w:rPr>
                <w:rFonts w:hint="eastAsia" w:ascii="宋体" w:hAnsi="宋体" w:eastAsia="宋体" w:cs="宋体"/>
                <w:color w:val="auto"/>
                <w:sz w:val="21"/>
                <w:highlight w:val="none"/>
              </w:rPr>
              <w:t>负责人</w:t>
            </w:r>
            <w:r>
              <w:rPr>
                <w:rFonts w:hint="eastAsia" w:ascii="宋体" w:hAnsi="宋体" w:eastAsia="宋体" w:cs="宋体"/>
                <w:bCs/>
                <w:color w:val="auto"/>
                <w:sz w:val="21"/>
                <w:highlight w:val="none"/>
              </w:rPr>
              <w:t>。</w:t>
            </w:r>
          </w:p>
          <w:p w14:paraId="18BD21E8">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0C2D1E2D">
            <w:pPr>
              <w:pStyle w:val="18"/>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05DE88FA">
      <w:pPr>
        <w:keepNext/>
        <w:keepLines/>
        <w:pageBreakBefore w:val="0"/>
        <w:widowControl w:val="0"/>
        <w:kinsoku/>
        <w:wordWrap/>
        <w:topLinePunct w:val="0"/>
        <w:bidi w:val="0"/>
        <w:spacing w:before="340" w:after="330" w:line="312" w:lineRule="auto"/>
        <w:jc w:val="both"/>
        <w:outlineLvl w:val="9"/>
        <w:rPr>
          <w:rFonts w:hint="eastAsia" w:ascii="Times New Roman" w:hAnsi="Times New Roman" w:eastAsia="宋体" w:cs="Times New Roman"/>
          <w:b/>
          <w:bCs/>
          <w:color w:val="auto"/>
          <w:kern w:val="44"/>
          <w:sz w:val="24"/>
          <w:szCs w:val="24"/>
          <w:highlight w:val="none"/>
          <w:lang w:val="en-US" w:eastAsia="zh-CN" w:bidi="ar-SA"/>
        </w:rPr>
      </w:pPr>
    </w:p>
    <w:p w14:paraId="7F7BA96F">
      <w:pPr>
        <w:pageBreakBefore w:val="0"/>
        <w:kinsoku/>
        <w:wordWrap/>
        <w:topLinePunct w:val="0"/>
        <w:bidi w:val="0"/>
        <w:spacing w:line="312" w:lineRule="auto"/>
        <w:rPr>
          <w:rFonts w:hint="eastAsia"/>
          <w:color w:val="auto"/>
          <w:sz w:val="24"/>
          <w:szCs w:val="24"/>
          <w:highlight w:val="none"/>
        </w:rPr>
      </w:pPr>
    </w:p>
    <w:p w14:paraId="5E6278A4">
      <w:pPr>
        <w:keepNext/>
        <w:keepLines/>
        <w:widowControl w:val="0"/>
        <w:spacing w:before="340" w:after="330" w:line="578" w:lineRule="auto"/>
        <w:jc w:val="both"/>
        <w:outlineLvl w:val="9"/>
        <w:rPr>
          <w:rFonts w:hint="eastAsia" w:ascii="Times New Roman" w:hAnsi="Times New Roman" w:eastAsia="宋体" w:cs="Times New Roman"/>
          <w:b/>
          <w:bCs/>
          <w:color w:val="auto"/>
          <w:kern w:val="44"/>
          <w:sz w:val="24"/>
          <w:szCs w:val="24"/>
          <w:highlight w:val="none"/>
          <w:lang w:val="en-US" w:eastAsia="zh-CN" w:bidi="ar-SA"/>
        </w:rPr>
      </w:pPr>
    </w:p>
    <w:p w14:paraId="27049E39">
      <w:pPr>
        <w:rPr>
          <w:rFonts w:hint="eastAsia"/>
          <w:color w:val="auto"/>
          <w:sz w:val="24"/>
          <w:szCs w:val="24"/>
          <w:highlight w:val="none"/>
        </w:rPr>
      </w:pPr>
    </w:p>
    <w:p w14:paraId="1286EF06">
      <w:pPr>
        <w:pStyle w:val="8"/>
        <w:rPr>
          <w:rFonts w:hint="eastAsia"/>
          <w:color w:val="auto"/>
          <w:highlight w:val="none"/>
        </w:rPr>
      </w:pPr>
    </w:p>
    <w:p w14:paraId="6E2873E1">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7C45AB1">
      <w:pPr>
        <w:pageBreakBefore w:val="0"/>
        <w:kinsoku/>
        <w:wordWrap/>
        <w:topLinePunct w:val="0"/>
        <w:bidi w:val="0"/>
        <w:spacing w:line="312" w:lineRule="auto"/>
        <w:jc w:val="center"/>
        <w:outlineLvl w:val="0"/>
        <w:rPr>
          <w:rFonts w:hint="eastAsia" w:ascii="宋体" w:hAnsi="宋体"/>
          <w:b/>
          <w:color w:val="auto"/>
          <w:sz w:val="32"/>
          <w:szCs w:val="32"/>
          <w:highlight w:val="none"/>
        </w:rPr>
      </w:pPr>
      <w:bookmarkStart w:id="61" w:name="_Toc3524"/>
      <w:r>
        <w:rPr>
          <w:rFonts w:hint="eastAsia" w:ascii="宋体" w:hAnsi="宋体"/>
          <w:b/>
          <w:color w:val="auto"/>
          <w:sz w:val="32"/>
          <w:szCs w:val="32"/>
          <w:highlight w:val="none"/>
        </w:rPr>
        <w:t>供应商须知正文</w:t>
      </w:r>
      <w:bookmarkEnd w:id="61"/>
    </w:p>
    <w:p w14:paraId="1A9F203B">
      <w:pPr>
        <w:pageBreakBefore w:val="0"/>
        <w:kinsoku/>
        <w:wordWrap/>
        <w:topLinePunct w:val="0"/>
        <w:bidi w:val="0"/>
        <w:spacing w:line="312" w:lineRule="auto"/>
        <w:jc w:val="center"/>
        <w:rPr>
          <w:rFonts w:hint="eastAsia" w:ascii="宋体" w:hAnsi="宋体"/>
          <w:b/>
          <w:color w:val="auto"/>
          <w:sz w:val="32"/>
          <w:szCs w:val="32"/>
          <w:highlight w:val="none"/>
        </w:rPr>
      </w:pPr>
    </w:p>
    <w:p w14:paraId="0867B0B1">
      <w:pPr>
        <w:pageBreakBefore w:val="0"/>
        <w:kinsoku/>
        <w:wordWrap/>
        <w:topLinePunct w:val="0"/>
        <w:bidi w:val="0"/>
        <w:spacing w:line="312" w:lineRule="auto"/>
        <w:jc w:val="center"/>
        <w:outlineLvl w:val="0"/>
        <w:rPr>
          <w:rFonts w:hint="eastAsia" w:ascii="宋体" w:hAnsi="宋体"/>
          <w:b/>
          <w:color w:val="auto"/>
          <w:sz w:val="32"/>
          <w:szCs w:val="32"/>
          <w:highlight w:val="none"/>
        </w:rPr>
      </w:pPr>
      <w:bookmarkStart w:id="62" w:name="_Toc3007"/>
      <w:r>
        <w:rPr>
          <w:rFonts w:hint="eastAsia" w:ascii="宋体" w:hAnsi="宋体"/>
          <w:b/>
          <w:color w:val="auto"/>
          <w:sz w:val="32"/>
          <w:szCs w:val="32"/>
          <w:highlight w:val="none"/>
        </w:rPr>
        <w:t>一、总则</w:t>
      </w:r>
      <w:bookmarkEnd w:id="62"/>
    </w:p>
    <w:p w14:paraId="6370C760">
      <w:pPr>
        <w:pageBreakBefore w:val="0"/>
        <w:kinsoku/>
        <w:wordWrap/>
        <w:topLinePunct w:val="0"/>
        <w:bidi w:val="0"/>
        <w:spacing w:line="312" w:lineRule="auto"/>
        <w:rPr>
          <w:rFonts w:hint="eastAsia" w:ascii="宋体" w:hAnsi="宋体"/>
          <w:color w:val="auto"/>
          <w:szCs w:val="21"/>
          <w:highlight w:val="none"/>
        </w:rPr>
      </w:pPr>
    </w:p>
    <w:p w14:paraId="58CBE467">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29B38DC">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1BDBA3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FD581C9">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BEE0900">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4061B6A">
      <w:pPr>
        <w:pageBreakBefore w:val="0"/>
        <w:kinsoku/>
        <w:wordWrap/>
        <w:topLinePunct w:val="0"/>
        <w:bidi w:val="0"/>
        <w:spacing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72AA1017">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44CDFE8">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2.4“工程”是指建设工程，包括建筑物和构筑物的新建、改建、扩建、装修、拆除、修缮等。</w:t>
      </w:r>
    </w:p>
    <w:p w14:paraId="619AF1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408D5A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7F8548A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2.7“响应文件”是指：供应商根据本磋商文件要求，编制包含资格证明、报价、商务技术等所有内容的文件</w:t>
      </w:r>
      <w:r>
        <w:rPr>
          <w:rFonts w:hint="eastAsia" w:ascii="宋体" w:hAnsi="宋体" w:eastAsia="宋体" w:cs="宋体"/>
          <w:color w:val="auto"/>
          <w:spacing w:val="-6"/>
          <w:szCs w:val="21"/>
          <w:highlight w:val="none"/>
        </w:rPr>
        <w:t>。</w:t>
      </w:r>
    </w:p>
    <w:p w14:paraId="30F78467">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2.8“实质性要求”是指磋商文件中已经指明不满足则响应文件按无效处理的条款，或者不能负偏离的条款，或者采购需求中带“▲”的条款。</w:t>
      </w:r>
    </w:p>
    <w:p w14:paraId="5D869C27">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3F903613">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4319FB5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672F61B9">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3DB1260C">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0AEA67D2">
      <w:pPr>
        <w:pageBreakBefore w:val="0"/>
        <w:kinsoku/>
        <w:wordWrap/>
        <w:topLinePunct w:val="0"/>
        <w:bidi w:val="0"/>
        <w:spacing w:line="312"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EC4101D">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供应商的资格条件详见“供应商须知前附表”。</w:t>
      </w:r>
    </w:p>
    <w:p w14:paraId="040726CF">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3.2供应商</w:t>
      </w:r>
      <w:r>
        <w:rPr>
          <w:rFonts w:hint="eastAsia" w:ascii="宋体" w:hAnsi="宋体" w:eastAsia="宋体" w:cs="宋体"/>
          <w:color w:val="auto"/>
          <w:highlight w:val="none"/>
        </w:rPr>
        <w:t>不得存在下列情形之一：</w:t>
      </w:r>
    </w:p>
    <w:p w14:paraId="02BEB225">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单位负责人为同一人或者存在直接控股、管理关系的不同供应商，不得参加同一合同项下的政府采购活动；</w:t>
      </w:r>
    </w:p>
    <w:p w14:paraId="3EC5D23C">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（2）为本项目提供过整体设计、规范编制或者项目管理、监理、检测等服务的供应商，不得再参加本项目上述服务以外的其他采购活动；</w:t>
      </w:r>
    </w:p>
    <w:p w14:paraId="54F775D7">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（3）为本分标的代建人；</w:t>
      </w:r>
    </w:p>
    <w:p w14:paraId="3E40D311">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（4）为本分标提供采购代理服务的；</w:t>
      </w:r>
    </w:p>
    <w:p w14:paraId="4F82B9CB">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（5）与本分标的监理人或代建人或采购代理机构同为一个法定代表人的；</w:t>
      </w:r>
    </w:p>
    <w:p w14:paraId="4CC213B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（6）与本分标的监理人或代建人或采购代理机构相互控股或参股的；</w:t>
      </w:r>
    </w:p>
    <w:p w14:paraId="5A138432">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（7）与本分标的监理人或代建人或采购代理机构相互任职或工作的；</w:t>
      </w:r>
    </w:p>
    <w:p w14:paraId="71C320A2">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bookmarkStart w:id="63" w:name="_Toc3986"/>
      <w:r>
        <w:rPr>
          <w:rFonts w:hint="eastAsia" w:ascii="宋体" w:hAnsi="宋体" w:eastAsia="宋体" w:cs="宋体"/>
          <w:b w:val="0"/>
          <w:bCs/>
          <w:color w:val="auto"/>
          <w:highlight w:val="none"/>
        </w:rPr>
        <w:t>（8）在“信用中国”网站（www.creditchina.gov.cn） 、中国政府采购网（www.ccgp.gov.cn）被列入失信被执行人、重大税收违法失信主体、政府采购严重违法失信行为记录名单及其他不符合《中华人民共和国政府采购法》第二十二条规定条件的。</w:t>
      </w:r>
      <w:bookmarkEnd w:id="63"/>
    </w:p>
    <w:p w14:paraId="6FA61396">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39EF2D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588074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2E67E4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1449BF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A0B182D">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及《广西壮族自治区财政厅关于持续优化政府采购营商环境推动高质量发展的通知》（桂财采〔2024〕55号）的规定，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%的扣除，用扣除后的价格参加评审</w:t>
      </w:r>
      <w:r>
        <w:rPr>
          <w:rFonts w:hint="eastAsia" w:ascii="宋体" w:hAnsi="宋体" w:eastAsia="宋体" w:cs="宋体"/>
          <w:bCs/>
          <w:color w:val="auto"/>
          <w:szCs w:val="21"/>
          <w:highlight w:val="none"/>
          <w:lang w:val="en-US" w:eastAsia="zh-CN"/>
        </w:rPr>
        <w:t>。</w:t>
      </w:r>
    </w:p>
    <w:p w14:paraId="2BF41848">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BE65EA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72213F77">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76E7BA40">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bookmarkStart w:id="64" w:name="_Toc254970532"/>
      <w:bookmarkStart w:id="65" w:name="_Toc254970673"/>
      <w:r>
        <w:rPr>
          <w:rFonts w:hint="eastAsia" w:ascii="黑体" w:hAnsi="黑体" w:eastAsia="黑体" w:cs="宋体"/>
          <w:b/>
          <w:bCs/>
          <w:color w:val="auto"/>
          <w:sz w:val="24"/>
          <w:highlight w:val="none"/>
        </w:rPr>
        <w:t>7.特别说明</w:t>
      </w:r>
      <w:bookmarkEnd w:id="64"/>
      <w:bookmarkEnd w:id="65"/>
    </w:p>
    <w:p w14:paraId="3C1331EA">
      <w:pPr>
        <w:pageBreakBefore w:val="0"/>
        <w:kinsoku/>
        <w:wordWrap/>
        <w:topLinePunct w:val="0"/>
        <w:bidi w:val="0"/>
        <w:spacing w:line="312" w:lineRule="auto"/>
        <w:ind w:firstLine="420" w:firstLineChars="200"/>
        <w:rPr>
          <w:rFonts w:hint="eastAsia" w:ascii="宋体" w:hAnsi="宋体" w:cs="宋体"/>
          <w:color w:val="auto"/>
          <w:szCs w:val="21"/>
          <w:highlight w:val="none"/>
        </w:rPr>
      </w:pPr>
      <w:bookmarkStart w:id="66" w:name="_8.1提供相同品牌产品且通过资格审查、符合性审查的不同投标人参加同一合"/>
      <w:bookmarkEnd w:id="66"/>
      <w:r>
        <w:rPr>
          <w:rFonts w:hint="eastAsia" w:ascii="宋体" w:hAnsi="宋体" w:cs="宋体"/>
          <w:color w:val="auto"/>
          <w:szCs w:val="21"/>
          <w:highlight w:val="none"/>
        </w:rPr>
        <w:t>7.</w:t>
      </w:r>
      <w:r>
        <w:rPr>
          <w:rFonts w:ascii="宋体" w:hAnsi="宋体" w:cs="宋体"/>
          <w:color w:val="auto"/>
          <w:szCs w:val="21"/>
          <w:highlight w:val="none"/>
        </w:rPr>
        <w:t>1</w:t>
      </w:r>
      <w:bookmarkStart w:id="6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7"/>
    <w:p w14:paraId="1D2AB8EC">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1E0612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891DA3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F842B9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A58BB9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278283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D4B07B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5E148B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16477E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B2325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EAF13E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E24A00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40AB1F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6D1838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DF63F3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0D0BE98">
      <w:pPr>
        <w:pageBreakBefore w:val="0"/>
        <w:tabs>
          <w:tab w:val="left" w:pos="6931"/>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334B768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34B204A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3E8EF94">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519B90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90B9165">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B2BA374">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6FABF4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339556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4A7962A">
      <w:pPr>
        <w:pageBreakBefore w:val="0"/>
        <w:kinsoku/>
        <w:wordWrap/>
        <w:topLinePunct w:val="0"/>
        <w:bidi w:val="0"/>
        <w:spacing w:line="312" w:lineRule="auto"/>
        <w:ind w:left="1" w:firstLine="417" w:firstLineChars="199"/>
        <w:jc w:val="center"/>
        <w:rPr>
          <w:rFonts w:hint="eastAsia" w:ascii="宋体" w:hAnsi="宋体"/>
          <w:color w:val="auto"/>
          <w:highlight w:val="none"/>
        </w:rPr>
      </w:pPr>
      <w:bookmarkStart w:id="68" w:name="_Toc254970534"/>
      <w:bookmarkStart w:id="69" w:name="_Toc254970675"/>
    </w:p>
    <w:p w14:paraId="127A612C">
      <w:pPr>
        <w:pageBreakBefore w:val="0"/>
        <w:kinsoku/>
        <w:wordWrap/>
        <w:topLinePunct w:val="0"/>
        <w:bidi w:val="0"/>
        <w:spacing w:line="312" w:lineRule="auto"/>
        <w:jc w:val="center"/>
        <w:outlineLvl w:val="0"/>
        <w:rPr>
          <w:rFonts w:hint="eastAsia" w:ascii="宋体" w:hAnsi="宋体"/>
          <w:b/>
          <w:bCs/>
          <w:color w:val="auto"/>
          <w:sz w:val="32"/>
          <w:szCs w:val="32"/>
          <w:highlight w:val="none"/>
        </w:rPr>
      </w:pPr>
      <w:bookmarkStart w:id="70" w:name="_Toc8488"/>
      <w:r>
        <w:rPr>
          <w:rFonts w:hint="eastAsia" w:ascii="宋体" w:hAnsi="宋体"/>
          <w:b/>
          <w:bCs/>
          <w:color w:val="auto"/>
          <w:sz w:val="32"/>
          <w:szCs w:val="32"/>
          <w:highlight w:val="none"/>
        </w:rPr>
        <w:t>二、磋商文件</w:t>
      </w:r>
      <w:bookmarkEnd w:id="68"/>
      <w:bookmarkEnd w:id="69"/>
      <w:bookmarkEnd w:id="70"/>
    </w:p>
    <w:p w14:paraId="19B0EDBC">
      <w:pPr>
        <w:pageBreakBefore w:val="0"/>
        <w:kinsoku/>
        <w:wordWrap/>
        <w:topLinePunct w:val="0"/>
        <w:bidi w:val="0"/>
        <w:spacing w:line="312" w:lineRule="auto"/>
        <w:rPr>
          <w:rFonts w:hint="eastAsia" w:ascii="宋体" w:hAnsi="宋体"/>
          <w:color w:val="auto"/>
          <w:szCs w:val="21"/>
          <w:highlight w:val="none"/>
        </w:rPr>
      </w:pPr>
    </w:p>
    <w:p w14:paraId="6BE81AE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4BEEFA1F">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6BE82CC2">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57CCC918">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6EC6537D">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29150000">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48F24F49">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2590919E">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106CD129">
      <w:pPr>
        <w:pageBreakBefore w:val="0"/>
        <w:kinsoku/>
        <w:wordWrap/>
        <w:topLinePunct w:val="0"/>
        <w:bidi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供应商如发现磋商文件内容有误或对政府采购活动事项有疑问的，应在提交首次响应文件截止时间5日前以书面形式向采购人或采购代理机构提出澄清或者询问。采购人、采购代理机构将在3个工作日内对供应商依法提出的询问作出答复</w:t>
      </w:r>
      <w:r>
        <w:rPr>
          <w:rFonts w:hint="eastAsia" w:ascii="宋体" w:hAnsi="宋体"/>
          <w:color w:val="auto"/>
          <w:szCs w:val="21"/>
          <w:highlight w:val="none"/>
        </w:rPr>
        <w:t>。</w:t>
      </w:r>
    </w:p>
    <w:p w14:paraId="660D1DF7">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72875CC">
      <w:pPr>
        <w:pageBreakBefore w:val="0"/>
        <w:kinsoku/>
        <w:wordWrap/>
        <w:topLinePunct w:val="0"/>
        <w:bidi w:val="0"/>
        <w:spacing w:line="312"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10.1 提交首次响应文件截止之日前，采购人、采购代理机构对已发出的磋商文件进行必要的澄清或者修改。如澄清或者修改的内容可能影响响应文件编制的，在提交首次响应文件截止之日3个工作日前，在政府采购信息发布媒体发布更正公告，不足3个工作日的，顺延提交首次响应文件截止时间。 </w:t>
      </w:r>
    </w:p>
    <w:p w14:paraId="1CB1C7D8">
      <w:pPr>
        <w:pageBreakBefore w:val="0"/>
        <w:kinsoku/>
        <w:wordWrap/>
        <w:topLinePunct w:val="0"/>
        <w:bidi w:val="0"/>
        <w:spacing w:line="312"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10.2 采购人、采购代理机构可视具体情况，延长磋商截止时间和开标时间的，在提交首次响应文件截止时间2日前，在政府采购信息发布媒体上发布变更公告。 </w:t>
      </w:r>
    </w:p>
    <w:p w14:paraId="157F2FAE">
      <w:pPr>
        <w:pageBreakBefore w:val="0"/>
        <w:kinsoku/>
        <w:wordWrap/>
        <w:topLinePunct w:val="0"/>
        <w:bidi w:val="0"/>
        <w:spacing w:line="312" w:lineRule="auto"/>
        <w:ind w:firstLine="420" w:firstLineChars="200"/>
        <w:rPr>
          <w:rFonts w:hint="eastAsia" w:ascii="宋体" w:hAnsi="宋体"/>
          <w:color w:val="auto"/>
          <w:szCs w:val="21"/>
          <w:highlight w:val="none"/>
        </w:rPr>
      </w:pPr>
      <w:r>
        <w:rPr>
          <w:rFonts w:hint="eastAsia" w:ascii="宋体" w:hAnsi="宋体" w:eastAsia="宋体" w:cs="宋体"/>
          <w:color w:val="auto"/>
          <w:sz w:val="21"/>
          <w:highlight w:val="none"/>
          <w:lang w:val="en-US" w:eastAsia="zh-CN"/>
        </w:rPr>
        <w:t>10.3 所有与本项目相关的澄清、修改、补遗的内容作为磋商文件的组成部分。该所有通知文件在政府采购信息媒体发布之日起，视为供应商已收到该通知。供应商未及时关注网站上发布的通知文件造成的损失，由供应商负责</w:t>
      </w:r>
      <w:r>
        <w:rPr>
          <w:rFonts w:hint="eastAsia" w:ascii="宋体" w:hAnsi="宋体" w:eastAsia="宋体" w:cs="宋体"/>
          <w:color w:val="auto"/>
          <w:sz w:val="21"/>
          <w:highlight w:val="none"/>
        </w:rPr>
        <w:t>。</w:t>
      </w:r>
    </w:p>
    <w:p w14:paraId="5C6559F4">
      <w:pPr>
        <w:pageBreakBefore w:val="0"/>
        <w:kinsoku/>
        <w:wordWrap/>
        <w:topLinePunct w:val="0"/>
        <w:bidi w:val="0"/>
        <w:spacing w:line="312" w:lineRule="auto"/>
        <w:rPr>
          <w:rFonts w:hint="eastAsia" w:ascii="宋体" w:hAnsi="宋体"/>
          <w:color w:val="auto"/>
          <w:szCs w:val="21"/>
          <w:highlight w:val="none"/>
        </w:rPr>
      </w:pPr>
    </w:p>
    <w:p w14:paraId="5B1768A6">
      <w:pPr>
        <w:pageBreakBefore w:val="0"/>
        <w:kinsoku/>
        <w:wordWrap/>
        <w:topLinePunct w:val="0"/>
        <w:bidi w:val="0"/>
        <w:spacing w:line="312" w:lineRule="auto"/>
        <w:jc w:val="center"/>
        <w:outlineLvl w:val="0"/>
        <w:rPr>
          <w:rFonts w:hint="eastAsia" w:ascii="宋体" w:hAnsi="宋体"/>
          <w:b/>
          <w:bCs/>
          <w:color w:val="auto"/>
          <w:szCs w:val="21"/>
          <w:highlight w:val="none"/>
        </w:rPr>
      </w:pPr>
      <w:bookmarkStart w:id="71" w:name="_Toc2836"/>
      <w:r>
        <w:rPr>
          <w:rFonts w:hint="eastAsia" w:ascii="宋体" w:hAnsi="宋体"/>
          <w:b/>
          <w:bCs/>
          <w:color w:val="auto"/>
          <w:sz w:val="32"/>
          <w:szCs w:val="32"/>
          <w:highlight w:val="none"/>
        </w:rPr>
        <w:t>三、响应文件的编制</w:t>
      </w:r>
      <w:bookmarkEnd w:id="71"/>
    </w:p>
    <w:p w14:paraId="5F9E4999">
      <w:pPr>
        <w:pageBreakBefore w:val="0"/>
        <w:kinsoku/>
        <w:wordWrap/>
        <w:topLinePunct w:val="0"/>
        <w:bidi w:val="0"/>
        <w:spacing w:line="312" w:lineRule="auto"/>
        <w:rPr>
          <w:rFonts w:hint="eastAsia" w:ascii="宋体" w:hAnsi="宋体"/>
          <w:color w:val="auto"/>
          <w:szCs w:val="21"/>
          <w:highlight w:val="none"/>
        </w:rPr>
      </w:pPr>
    </w:p>
    <w:p w14:paraId="16E1717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C15EF9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A9172C7">
      <w:pPr>
        <w:pageBreakBefore w:val="0"/>
        <w:kinsoku/>
        <w:wordWrap/>
        <w:topLinePunct w:val="0"/>
        <w:bidi w:val="0"/>
        <w:spacing w:line="312"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3FE7BD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商务技术文件</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部分组成。</w:t>
      </w:r>
    </w:p>
    <w:p w14:paraId="56BA77DB">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53A80934">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报价文件：详见须知前附表</w:t>
      </w:r>
    </w:p>
    <w:p w14:paraId="54A5D3A8">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商务技术文件：详见须知前附表</w:t>
      </w:r>
    </w:p>
    <w:p w14:paraId="0A81F2BB">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文件中所须加盖公章部分均采用CA签章。若</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文件中有专门标注的某关联点，并要求供应商在电子投标系统中作出</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标响应的，如供应商未对关联点进行响应或者在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文件其它内容进行描述，造成电子评审不能查询的责任由供应商自行承担。</w:t>
      </w:r>
    </w:p>
    <w:p w14:paraId="12CFC8B5">
      <w:pPr>
        <w:pageBreakBefore w:val="0"/>
        <w:kinsoku/>
        <w:wordWrap/>
        <w:topLinePunct w:val="0"/>
        <w:bidi w:val="0"/>
        <w:spacing w:line="312"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3 </w:t>
      </w:r>
      <w:r>
        <w:rPr>
          <w:rFonts w:hint="eastAsia" w:ascii="宋体" w:hAnsi="宋体" w:cs="宋体"/>
          <w:color w:val="auto"/>
          <w:szCs w:val="21"/>
          <w:highlight w:val="none"/>
        </w:rPr>
        <w:t>CA签章上目前没有法人(负责人)或授权代表签字信息，供应商在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文件中涉及到签字的位置线下签好字然后扫描或者拍照做成PDF的格式亦可。</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文件中涉及到签字的位置未按要求签字的，提供的材料视为无效。</w:t>
      </w:r>
    </w:p>
    <w:p w14:paraId="6A482FDE">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73D6F3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E30B88D">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856C68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0B8828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15.竞标报价要求和构成</w:t>
      </w:r>
    </w:p>
    <w:p w14:paraId="39550ACD">
      <w:pPr>
        <w:pageBreakBefore w:val="0"/>
        <w:tabs>
          <w:tab w:val="left" w:pos="2492"/>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5801CBC">
      <w:pPr>
        <w:pageBreakBefore w:val="0"/>
        <w:tabs>
          <w:tab w:val="left" w:pos="2492"/>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24F22549">
      <w:pPr>
        <w:pageBreakBefore w:val="0"/>
        <w:kinsoku/>
        <w:wordWrap/>
        <w:topLinePunct w:val="0"/>
        <w:bidi w:val="0"/>
        <w:spacing w:line="312"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9307DE6">
      <w:pPr>
        <w:pageBreakBefore w:val="0"/>
        <w:kinsoku/>
        <w:wordWrap/>
        <w:topLinePunct w:val="0"/>
        <w:bidi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E208E7A">
      <w:pPr>
        <w:pageBreakBefore w:val="0"/>
        <w:kinsoku/>
        <w:wordWrap/>
        <w:topLinePunct w:val="0"/>
        <w:bidi w:val="0"/>
        <w:spacing w:line="312"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88E80C6">
      <w:pPr>
        <w:pageBreakBefore w:val="0"/>
        <w:kinsoku/>
        <w:wordWrap/>
        <w:topLinePunct w:val="0"/>
        <w:bidi w:val="0"/>
        <w:spacing w:line="312"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F2CF5A4">
      <w:pPr>
        <w:pageBreakBefore w:val="0"/>
        <w:kinsoku/>
        <w:wordWrap/>
        <w:topLinePunct w:val="0"/>
        <w:bidi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31F578F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14:paraId="364081C4">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2"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2"/>
    <w:p w14:paraId="09618631">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00F0F45">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8ADBE1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DCAE7FE">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96097F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0025633D">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D92A14B">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6DD8D99A">
      <w:pPr>
        <w:pageBreakBefore w:val="0"/>
        <w:kinsoku/>
        <w:wordWrap/>
        <w:topLinePunct w:val="0"/>
        <w:bidi w:val="0"/>
        <w:spacing w:line="312" w:lineRule="auto"/>
        <w:ind w:firstLine="420" w:firstLineChars="200"/>
        <w:rPr>
          <w:rFonts w:hint="eastAsia" w:ascii="宋体" w:hAnsi="宋体" w:cs="宋体"/>
          <w:color w:val="auto"/>
          <w:szCs w:val="21"/>
          <w:highlight w:val="none"/>
        </w:rPr>
      </w:pPr>
      <w:bookmarkStart w:id="73"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3"/>
      <w:r>
        <w:rPr>
          <w:rFonts w:hint="eastAsia" w:ascii="宋体" w:hAnsi="宋体" w:cs="宋体"/>
          <w:color w:val="auto"/>
          <w:szCs w:val="21"/>
          <w:highlight w:val="none"/>
        </w:rPr>
        <w:t xml:space="preserve"> </w:t>
      </w:r>
    </w:p>
    <w:p w14:paraId="3B9DAF30">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10F95EB1">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0CAA8E4">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D3E93BD">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2CE154CD">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01996E5">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3D955B6E">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D49D473">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20D56849">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12FDF550">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auto"/>
          <w:szCs w:val="21"/>
          <w:highlight w:val="none"/>
        </w:rPr>
      </w:pPr>
      <w:bookmarkStart w:id="74" w:name="_Hlk45702405"/>
      <w:r>
        <w:rPr>
          <w:rFonts w:hint="eastAsia" w:asciiTheme="minorEastAsia" w:hAnsiTheme="minorEastAsia" w:eastAsiaTheme="minorEastAsia" w:cstheme="minorEastAsia"/>
          <w:color w:val="auto"/>
          <w:szCs w:val="21"/>
          <w:highlight w:val="none"/>
        </w:rPr>
        <w:t>18.1电子响应文件中须加盖供应商公章部分均采用 CA 签章，并根据“政府采购项目电子交易管理操作指南-供应商” 及本</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规定的格式和顺序编制电子响应文件并进行关联定位，以便</w:t>
      </w:r>
      <w:r>
        <w:rPr>
          <w:rFonts w:hint="eastAsia" w:asciiTheme="minorEastAsia" w:hAnsiTheme="minorEastAsia" w:eastAsiaTheme="minorEastAsia" w:cstheme="minorEastAsia"/>
          <w:color w:val="auto"/>
          <w:szCs w:val="21"/>
          <w:highlight w:val="none"/>
          <w:lang w:eastAsia="zh-CN"/>
        </w:rPr>
        <w:t>磋商小组</w:t>
      </w:r>
      <w:r>
        <w:rPr>
          <w:rFonts w:hint="eastAsia" w:asciiTheme="minorEastAsia" w:hAnsiTheme="minorEastAsia" w:eastAsiaTheme="minorEastAsia" w:cstheme="minorEastAsia"/>
          <w:color w:val="auto"/>
          <w:szCs w:val="21"/>
          <w:highlight w:val="none"/>
        </w:rPr>
        <w:t>在评审时，点击评分项可直接定位到该评分项内容。如对</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的某项要求，供应商的电子响应文件未能关联定位提供相应的内容与其对应，则</w:t>
      </w:r>
      <w:r>
        <w:rPr>
          <w:rFonts w:hint="eastAsia" w:asciiTheme="minorEastAsia" w:hAnsiTheme="minorEastAsia" w:eastAsiaTheme="minorEastAsia" w:cstheme="minorEastAsia"/>
          <w:color w:val="auto"/>
          <w:szCs w:val="21"/>
          <w:highlight w:val="none"/>
          <w:lang w:eastAsia="zh-CN"/>
        </w:rPr>
        <w:t>磋商小组</w:t>
      </w:r>
      <w:r>
        <w:rPr>
          <w:rFonts w:hint="eastAsia" w:asciiTheme="minorEastAsia" w:hAnsiTheme="minorEastAsia" w:eastAsiaTheme="minorEastAsia" w:cstheme="minorEastAsia"/>
          <w:color w:val="auto"/>
          <w:szCs w:val="21"/>
          <w:highlight w:val="none"/>
        </w:rPr>
        <w:t>在评审时如做出对供应商不利的评审由供应商自行承担。电子响应文件如内容不完整、编排混乱导致电子响应文件被误读、 漏读，或者在按采购文件规定的部位查找不到相关内容的，由供应商自行承担</w:t>
      </w:r>
      <w:r>
        <w:rPr>
          <w:rFonts w:hint="eastAsia" w:asciiTheme="minorEastAsia" w:hAnsiTheme="minorEastAsia" w:eastAsiaTheme="minorEastAsia" w:cstheme="minorEastAsia"/>
          <w:color w:val="auto"/>
          <w:spacing w:val="-6"/>
          <w:szCs w:val="21"/>
          <w:highlight w:val="none"/>
        </w:rPr>
        <w:t>。</w:t>
      </w:r>
    </w:p>
    <w:p w14:paraId="44A09913">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 CA 签章上目前没有</w:t>
      </w:r>
      <w:r>
        <w:rPr>
          <w:rFonts w:hint="eastAsia" w:asciiTheme="minorEastAsia" w:hAnsiTheme="minorEastAsia" w:eastAsiaTheme="minorEastAsia" w:cstheme="minorEastAsia"/>
          <w:color w:val="auto"/>
          <w:szCs w:val="21"/>
          <w:highlight w:val="none"/>
          <w:lang w:eastAsia="zh-CN"/>
        </w:rPr>
        <w:t>法定代表人</w:t>
      </w:r>
      <w:r>
        <w:rPr>
          <w:rFonts w:hint="eastAsia" w:asciiTheme="minorEastAsia" w:hAnsiTheme="minorEastAsia" w:eastAsiaTheme="minorEastAsia" w:cstheme="minorEastAsia"/>
          <w:color w:val="auto"/>
          <w:szCs w:val="21"/>
          <w:highlight w:val="none"/>
        </w:rPr>
        <w:t>（负责人）或授权代表签字信息，供应商在响应文件中涉及到签字的位置线下签好字然后扫描或者拍照做成PDF的格式即可。</w:t>
      </w:r>
    </w:p>
    <w:p w14:paraId="470E2D5B">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响应文件中标注的供应商名称应与营业执照（事业单位法人证书、执业许可证、自然人身份证）及公章一致，否则其响应文件按无效响应处理。</w:t>
      </w:r>
    </w:p>
    <w:p w14:paraId="5C409B03">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 xml:space="preserve"> 投标文件不得涂改，若有修改错漏处，须法定代表人（负责人）或授权委托人签字（或个人CA签章）。投标文件因字迹潦草或表达不清所引起的后果由</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负责。</w:t>
      </w:r>
    </w:p>
    <w:p w14:paraId="09A1DB99">
      <w:pPr>
        <w:spacing w:line="360" w:lineRule="auto"/>
        <w:ind w:firstLine="422" w:firstLineChars="200"/>
        <w:outlineLvl w:val="9"/>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 xml:space="preserve">评审前准备 </w:t>
      </w:r>
      <w:r>
        <w:rPr>
          <w:rFonts w:hint="eastAsia" w:asciiTheme="minorEastAsia" w:hAnsiTheme="minorEastAsia" w:eastAsiaTheme="minorEastAsia" w:cstheme="minorEastAsia"/>
          <w:b/>
          <w:bCs/>
          <w:color w:val="auto"/>
          <w:szCs w:val="21"/>
          <w:highlight w:val="none"/>
          <w:lang w:val="en-US" w:eastAsia="zh-CN"/>
        </w:rPr>
        <w:t xml:space="preserve"> </w:t>
      </w:r>
    </w:p>
    <w:p w14:paraId="7D9380D8">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.1本项目实行网上评审，采用电子投标响应文件；若</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 xml:space="preserve">参与投标，自行承担投标一切费用。 </w:t>
      </w:r>
    </w:p>
    <w:p w14:paraId="4E9BE149">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.2各</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在截标前应确保成为</w:t>
      </w:r>
      <w:r>
        <w:rPr>
          <w:rFonts w:hint="eastAsia" w:asciiTheme="minorEastAsia" w:hAnsiTheme="minorEastAsia" w:eastAsiaTheme="minorEastAsia" w:cstheme="minorEastAsia"/>
          <w:b/>
          <w:bCs/>
          <w:color w:val="auto"/>
          <w:szCs w:val="21"/>
          <w:highlight w:val="none"/>
          <w:lang w:eastAsia="zh-CN"/>
        </w:rPr>
        <w:t>广西政府采购云平台</w:t>
      </w:r>
      <w:r>
        <w:rPr>
          <w:rFonts w:hint="eastAsia" w:asciiTheme="minorEastAsia" w:hAnsiTheme="minorEastAsia" w:eastAsiaTheme="minorEastAsia" w:cstheme="minorEastAsia"/>
          <w:b/>
          <w:bCs/>
          <w:color w:val="auto"/>
          <w:szCs w:val="21"/>
          <w:highlight w:val="none"/>
        </w:rPr>
        <w:t>正式注册入库</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，并完成 CA 数字证书申领。因未注册入库、未办理 CA 数字证书等原因造成无法投标或投标失败等后果由</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 xml:space="preserve">自行承担。 </w:t>
      </w:r>
    </w:p>
    <w:p w14:paraId="1C568A6A">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.3</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将</w:t>
      </w:r>
      <w:r>
        <w:rPr>
          <w:rFonts w:hint="eastAsia" w:asciiTheme="minorEastAsia" w:hAnsiTheme="minorEastAsia" w:eastAsiaTheme="minorEastAsia" w:cstheme="minorEastAsia"/>
          <w:b/>
          <w:bCs/>
          <w:color w:val="auto"/>
          <w:szCs w:val="21"/>
          <w:highlight w:val="none"/>
          <w:lang w:eastAsia="zh-CN"/>
        </w:rPr>
        <w:t>广西政府采购云平台电子交易客户端</w:t>
      </w:r>
      <w:r>
        <w:rPr>
          <w:rFonts w:hint="eastAsia" w:asciiTheme="minorEastAsia" w:hAnsiTheme="minorEastAsia" w:eastAsiaTheme="minorEastAsia" w:cstheme="minorEastAsia"/>
          <w:b/>
          <w:bCs/>
          <w:color w:val="auto"/>
          <w:szCs w:val="21"/>
          <w:highlight w:val="none"/>
        </w:rPr>
        <w:t>下载、安装完成后，可通过账号密码或 CA 登录客户端进行投标文件制作。客户端请至网站下载专区查看，如有问题可拨打</w:t>
      </w:r>
      <w:r>
        <w:rPr>
          <w:rFonts w:hint="eastAsia" w:asciiTheme="minorEastAsia" w:hAnsiTheme="minorEastAsia" w:eastAsiaTheme="minorEastAsia" w:cstheme="minorEastAsia"/>
          <w:b/>
          <w:bCs/>
          <w:color w:val="auto"/>
          <w:szCs w:val="21"/>
          <w:highlight w:val="none"/>
          <w:lang w:eastAsia="zh-CN"/>
        </w:rPr>
        <w:t>广西政府采购云平台</w:t>
      </w:r>
      <w:r>
        <w:rPr>
          <w:rFonts w:hint="eastAsia" w:asciiTheme="minorEastAsia" w:hAnsiTheme="minorEastAsia" w:eastAsiaTheme="minorEastAsia" w:cstheme="minorEastAsia"/>
          <w:b/>
          <w:bCs/>
          <w:color w:val="auto"/>
          <w:szCs w:val="21"/>
          <w:highlight w:val="none"/>
        </w:rPr>
        <w:t>客户服务热线 95763 进行咨询。</w:t>
      </w:r>
    </w:p>
    <w:p w14:paraId="42B47654">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19.电子备份响应文件</w:t>
      </w:r>
    </w:p>
    <w:p w14:paraId="05691AB7">
      <w:pPr>
        <w:pageBreakBefore w:val="0"/>
        <w:kinsoku/>
        <w:wordWrap/>
        <w:topLinePunct w:val="0"/>
        <w:bidi w:val="0"/>
        <w:spacing w:line="312"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b w:val="0"/>
          <w:color w:val="auto"/>
          <w:sz w:val="21"/>
          <w:szCs w:val="21"/>
          <w:highlight w:val="none"/>
          <w:lang w:eastAsia="zh-CN"/>
        </w:rPr>
        <w:t>电子备份响应文件是指通过在线编制生成且后缀名为“bfbs”的文件，是否接受电子备份响应文件详见在“供应商须知前附表”。</w:t>
      </w:r>
    </w:p>
    <w:p w14:paraId="3F78EBD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F80CB28">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3A860442">
      <w:pPr>
        <w:pageBreakBefore w:val="0"/>
        <w:kinsoku/>
        <w:wordWrap/>
        <w:topLinePunct w:val="0"/>
        <w:bidi w:val="0"/>
        <w:spacing w:line="312" w:lineRule="auto"/>
        <w:ind w:firstLine="420" w:firstLineChars="200"/>
        <w:outlineLvl w:val="9"/>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20.2未在规定时间内提交或者未按照磋商文件要求加密的电子响应文件，广西政府采购云平台将拒收。</w:t>
      </w:r>
    </w:p>
    <w:p w14:paraId="6E13E6DD">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3FBE5101">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bookmarkStart w:id="75" w:name="_Toc254970684"/>
      <w:bookmarkStart w:id="76" w:name="_Toc254970543"/>
      <w:r>
        <w:rPr>
          <w:rFonts w:hint="eastAsia" w:asciiTheme="minorEastAsia" w:hAnsiTheme="minorEastAsia" w:eastAsiaTheme="minorEastAsia" w:cstheme="minorEastAsia"/>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75"/>
    <w:bookmarkEnd w:id="76"/>
    <w:p w14:paraId="0F3BA23F">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21.2在提交响应文件截止时间前，除供应商补充、修改或者撤回响应文件外，任何单位和个人不得解密或提取响应文件。</w:t>
      </w:r>
    </w:p>
    <w:p w14:paraId="7843993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22. 首次响应文件的退回</w:t>
      </w:r>
    </w:p>
    <w:p w14:paraId="0195E326">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Cs w:val="21"/>
          <w:highlight w:val="none"/>
          <w:lang w:eastAsia="zh-CN"/>
        </w:rPr>
        <w:t>采购人和采购代理机构对已提交的响应文件概不退回。</w:t>
      </w:r>
    </w:p>
    <w:p w14:paraId="3C152BC6">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35B5AD9D">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供应商在首次响应文件提交截止时间后向采购人、采购代理机构书面申请撤回响应文件的，将根据本须知正文17.4的规定不予退还其磋商保证金。</w:t>
      </w:r>
    </w:p>
    <w:bookmarkEnd w:id="74"/>
    <w:p w14:paraId="787545D6">
      <w:pPr>
        <w:pageBreakBefore w:val="0"/>
        <w:kinsoku/>
        <w:wordWrap/>
        <w:topLinePunct w:val="0"/>
        <w:bidi w:val="0"/>
        <w:spacing w:line="312" w:lineRule="auto"/>
        <w:rPr>
          <w:rFonts w:hint="eastAsia" w:ascii="宋体" w:hAnsi="宋体"/>
          <w:color w:val="auto"/>
          <w:szCs w:val="21"/>
          <w:highlight w:val="none"/>
        </w:rPr>
      </w:pPr>
    </w:p>
    <w:p w14:paraId="589CF06E">
      <w:pPr>
        <w:pageBreakBefore w:val="0"/>
        <w:kinsoku/>
        <w:wordWrap/>
        <w:topLinePunct w:val="0"/>
        <w:bidi w:val="0"/>
        <w:spacing w:line="312" w:lineRule="auto"/>
        <w:ind w:left="420" w:leftChars="0" w:firstLine="420" w:firstLineChars="0"/>
        <w:jc w:val="center"/>
        <w:outlineLvl w:val="0"/>
        <w:rPr>
          <w:rFonts w:hint="eastAsia" w:ascii="宋体" w:hAnsi="宋体"/>
          <w:b/>
          <w:bCs/>
          <w:color w:val="auto"/>
          <w:sz w:val="32"/>
          <w:szCs w:val="32"/>
          <w:highlight w:val="none"/>
        </w:rPr>
      </w:pPr>
      <w:bookmarkStart w:id="77" w:name="_Toc1609"/>
      <w:r>
        <w:rPr>
          <w:rFonts w:hint="eastAsia" w:ascii="宋体" w:hAnsi="宋体"/>
          <w:b/>
          <w:bCs/>
          <w:color w:val="auto"/>
          <w:sz w:val="32"/>
          <w:szCs w:val="32"/>
          <w:highlight w:val="none"/>
        </w:rPr>
        <w:t>四、评审及磋商</w:t>
      </w:r>
      <w:bookmarkEnd w:id="77"/>
    </w:p>
    <w:p w14:paraId="7CFBF64A">
      <w:pPr>
        <w:pageBreakBefore w:val="0"/>
        <w:kinsoku/>
        <w:wordWrap/>
        <w:topLinePunct w:val="0"/>
        <w:bidi w:val="0"/>
        <w:spacing w:line="312" w:lineRule="auto"/>
        <w:ind w:left="420" w:firstLine="420"/>
        <w:rPr>
          <w:rFonts w:hint="eastAsia" w:ascii="宋体" w:hAnsi="宋体"/>
          <w:color w:val="auto"/>
          <w:szCs w:val="21"/>
          <w:highlight w:val="none"/>
        </w:rPr>
      </w:pPr>
    </w:p>
    <w:p w14:paraId="19242587">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.磋商小组成立</w:t>
      </w:r>
    </w:p>
    <w:p w14:paraId="7A950AC6">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A0A1F57">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DFD5032">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24.3采购代理机构应当基于广西政府采购云平台抽（选）取评审专家。</w:t>
      </w:r>
    </w:p>
    <w:p w14:paraId="7E6843AD">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24.4参加过采购项目前期咨询论证的专家，不得参加该采购项目的评审活动。</w:t>
      </w:r>
    </w:p>
    <w:p w14:paraId="26E09EC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4AC5470C">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eastAsia="宋体" w:cs="宋体"/>
          <w:b/>
          <w:bCs/>
          <w:color w:val="auto"/>
          <w:szCs w:val="21"/>
          <w:highlight w:val="none"/>
        </w:rPr>
        <w:t>供应商未在规定的时间内解密响应文件或者解密失败的，供应商的响应文件按无效处理。</w:t>
      </w:r>
    </w:p>
    <w:p w14:paraId="09E7C9A4">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1DF41DCB">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57B4C1C1">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评审程序、评审方法和评审标准”规定的方法、评审因素、标准和程序对响应文件进行评审并推荐成交候选供应商。</w:t>
      </w:r>
    </w:p>
    <w:p w14:paraId="7812FBF5">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4968C94">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593CD007">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14:paraId="65C811C3">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BFE21FA">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1ACBA5E6">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14:paraId="09012751">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759B63D0">
      <w:pPr>
        <w:pageBreakBefore w:val="0"/>
        <w:kinsoku/>
        <w:wordWrap/>
        <w:topLinePunct w:val="0"/>
        <w:bidi w:val="0"/>
        <w:spacing w:line="312"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B11E418">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34435588">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712DB">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8"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8"/>
    </w:p>
    <w:p w14:paraId="4A31D749">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27.3出现下列情形之一的，采购人或者采购代理机构应当终止竞争性磋商采购活动，发布项目终止公告并说明原因，重新开展采购活动：</w:t>
      </w:r>
    </w:p>
    <w:p w14:paraId="03FE151D">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1AE02A8C">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5BBB9283">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（3）除“第四章 评审程序、评审方法和评审标准”第4.3条规定的情形外，在采购过程中符合要求的供应商或者报价未超过采购预算的供应商不足3家的。</w:t>
      </w:r>
    </w:p>
    <w:p w14:paraId="4B69C122">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r>
        <w:rPr>
          <w:rFonts w:hint="eastAsia" w:ascii="宋体" w:hAnsi="宋体" w:eastAsia="宋体" w:cs="宋体"/>
          <w:bCs/>
          <w:color w:val="auto"/>
          <w:szCs w:val="21"/>
          <w:highlight w:val="none"/>
        </w:rPr>
        <w:t>。</w:t>
      </w:r>
    </w:p>
    <w:p w14:paraId="1660E6D0">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4CE95419">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1BB048C0">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59F66FB4">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23D6B0F5">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477FDF78">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29.1签订电子采购合同：成交供应商领取电子成交通知书后，在</w:t>
      </w:r>
      <w:r>
        <w:rPr>
          <w:rFonts w:hint="eastAsia" w:ascii="宋体" w:hAnsi="宋体" w:eastAsia="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04D4DD5D">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线下签订纸质合同：供应商领取成交通知书后，按“供应商须知前附表”规定向采购人出示相关证明材料，经采购人核验合格后方可签订合同。</w:t>
      </w:r>
    </w:p>
    <w:p w14:paraId="66AE9103">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29.2签订合同时间：按成交通知书规定的时间与采购人签订合同。</w:t>
      </w:r>
    </w:p>
    <w:p w14:paraId="5F809F67">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49F8FFD">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8BFB6FB">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854D0A3">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29.6如签订合同并生效后，供应商无故拒绝或延期，除按照合同条款处理外，将承担相应的法律责任。</w:t>
      </w:r>
    </w:p>
    <w:p w14:paraId="350767AC">
      <w:pPr>
        <w:pageBreakBefore w:val="0"/>
        <w:kinsoku/>
        <w:wordWrap/>
        <w:topLinePunct w:val="0"/>
        <w:bidi w:val="0"/>
        <w:spacing w:line="312"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FEEF613">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2C398E36">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0D33363">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2D04E8B7">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Cs w:val="21"/>
          <w:highlight w:val="none"/>
        </w:rPr>
        <w:t>但答复的内容不得涉及商业秘密</w:t>
      </w:r>
      <w:r>
        <w:rPr>
          <w:rFonts w:hint="eastAsia" w:ascii="宋体" w:hAnsi="宋体" w:eastAsia="宋体" w:cs="宋体"/>
          <w:color w:val="auto"/>
          <w:highlight w:val="none"/>
        </w:rPr>
        <w:t>。</w:t>
      </w:r>
    </w:p>
    <w:p w14:paraId="0C1C9680">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3C59CD67">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3065C89C">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69A406D">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FB5F5E1">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0A12B81">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000A747B">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95F1D71">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4919634">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4898159">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DC1B8B">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997360D">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06D8EB43">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56B19DF">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8219C5A">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E34A76E">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EEA4D46">
      <w:pPr>
        <w:pageBreakBefore w:val="0"/>
        <w:kinsoku/>
        <w:wordWrap/>
        <w:topLinePunct w:val="0"/>
        <w:bidi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87E971B">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46E6B7C">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32.其他内容</w:t>
      </w:r>
    </w:p>
    <w:p w14:paraId="0F22FBB6">
      <w:pPr>
        <w:pageBreakBefore w:val="0"/>
        <w:tabs>
          <w:tab w:val="left" w:pos="2835"/>
        </w:tabs>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32.1代理服务收费标准及缴费账户详见“供应商须知前附表”，供应商为联合体的，可以由联合体中的一方或者多方共同交纳代理服务费。</w:t>
      </w:r>
    </w:p>
    <w:p w14:paraId="7B9DEA30">
      <w:pPr>
        <w:pageBreakBefore w:val="0"/>
        <w:tabs>
          <w:tab w:val="left" w:pos="2835"/>
        </w:tabs>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31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tcBorders>
              <w:tl2br w:val="single" w:color="auto" w:sz="4" w:space="0"/>
            </w:tcBorders>
            <w:noWrap w:val="0"/>
            <w:vAlign w:val="top"/>
          </w:tcPr>
          <w:p w14:paraId="6207D30E">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3DE542C5">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tc>
        <w:tc>
          <w:tcPr>
            <w:tcW w:w="1659" w:type="dxa"/>
            <w:noWrap w:val="0"/>
            <w:vAlign w:val="center"/>
          </w:tcPr>
          <w:p w14:paraId="53147523">
            <w:pPr>
              <w:pageBreakBefore w:val="0"/>
              <w:kinsoku/>
              <w:wordWrap/>
              <w:topLinePunct w:val="0"/>
              <w:bidi w:val="0"/>
              <w:spacing w:line="312" w:lineRule="auto"/>
              <w:ind w:firstLine="105" w:firstLine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货物类</w:t>
            </w:r>
          </w:p>
        </w:tc>
        <w:tc>
          <w:tcPr>
            <w:tcW w:w="1532" w:type="dxa"/>
            <w:noWrap w:val="0"/>
            <w:vAlign w:val="center"/>
          </w:tcPr>
          <w:p w14:paraId="38272DC0">
            <w:pPr>
              <w:pageBreakBefore w:val="0"/>
              <w:kinsoku/>
              <w:wordWrap/>
              <w:topLinePunct w:val="0"/>
              <w:bidi w:val="0"/>
              <w:spacing w:line="312"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服务类</w:t>
            </w:r>
          </w:p>
        </w:tc>
        <w:tc>
          <w:tcPr>
            <w:tcW w:w="1546" w:type="dxa"/>
            <w:noWrap w:val="0"/>
            <w:vAlign w:val="center"/>
          </w:tcPr>
          <w:p w14:paraId="75AA687A">
            <w:pPr>
              <w:pageBreakBefore w:val="0"/>
              <w:kinsoku/>
              <w:wordWrap/>
              <w:topLinePunct w:val="0"/>
              <w:bidi w:val="0"/>
              <w:spacing w:line="312"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工程类</w:t>
            </w:r>
          </w:p>
        </w:tc>
      </w:tr>
      <w:tr w14:paraId="520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EA0D72">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659" w:type="dxa"/>
            <w:noWrap w:val="0"/>
            <w:vAlign w:val="top"/>
          </w:tcPr>
          <w:p w14:paraId="0A0ACF87">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1532" w:type="dxa"/>
            <w:noWrap w:val="0"/>
            <w:vAlign w:val="top"/>
          </w:tcPr>
          <w:p w14:paraId="7E47CE8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1546" w:type="dxa"/>
            <w:noWrap w:val="0"/>
            <w:vAlign w:val="top"/>
          </w:tcPr>
          <w:p w14:paraId="399C36E7">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6B66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99A85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659" w:type="dxa"/>
            <w:noWrap w:val="0"/>
            <w:vAlign w:val="top"/>
          </w:tcPr>
          <w:p w14:paraId="31BD38E1">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1532" w:type="dxa"/>
            <w:noWrap w:val="0"/>
            <w:vAlign w:val="top"/>
          </w:tcPr>
          <w:p w14:paraId="7832B0C9">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1546" w:type="dxa"/>
            <w:noWrap w:val="0"/>
            <w:vAlign w:val="top"/>
          </w:tcPr>
          <w:p w14:paraId="262EF207">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716F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F00AED">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659" w:type="dxa"/>
            <w:noWrap w:val="0"/>
            <w:vAlign w:val="top"/>
          </w:tcPr>
          <w:p w14:paraId="08E98190">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1532" w:type="dxa"/>
            <w:noWrap w:val="0"/>
            <w:vAlign w:val="top"/>
          </w:tcPr>
          <w:p w14:paraId="3BE0E536">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1546" w:type="dxa"/>
            <w:noWrap w:val="0"/>
            <w:vAlign w:val="top"/>
          </w:tcPr>
          <w:p w14:paraId="37A7E193">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2B22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4A0CE89">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659" w:type="dxa"/>
            <w:noWrap w:val="0"/>
            <w:vAlign w:val="top"/>
          </w:tcPr>
          <w:p w14:paraId="56AB8A8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1532" w:type="dxa"/>
            <w:noWrap w:val="0"/>
            <w:vAlign w:val="top"/>
          </w:tcPr>
          <w:p w14:paraId="132C95A5">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1546" w:type="dxa"/>
            <w:noWrap w:val="0"/>
            <w:vAlign w:val="top"/>
          </w:tcPr>
          <w:p w14:paraId="784FF647">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7BB3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23A4AFD">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659" w:type="dxa"/>
            <w:noWrap w:val="0"/>
            <w:vAlign w:val="top"/>
          </w:tcPr>
          <w:p w14:paraId="198EF94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1532" w:type="dxa"/>
            <w:noWrap w:val="0"/>
            <w:vAlign w:val="top"/>
          </w:tcPr>
          <w:p w14:paraId="7F9C03E6">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1546" w:type="dxa"/>
            <w:noWrap w:val="0"/>
            <w:vAlign w:val="top"/>
          </w:tcPr>
          <w:p w14:paraId="5BC05ECA">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6B4C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noWrap w:val="0"/>
            <w:vAlign w:val="top"/>
          </w:tcPr>
          <w:p w14:paraId="4298D449">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659" w:type="dxa"/>
            <w:noWrap w:val="0"/>
            <w:vAlign w:val="top"/>
          </w:tcPr>
          <w:p w14:paraId="73656A57">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532" w:type="dxa"/>
            <w:noWrap w:val="0"/>
            <w:vAlign w:val="top"/>
          </w:tcPr>
          <w:p w14:paraId="556CE16D">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1546" w:type="dxa"/>
            <w:noWrap w:val="0"/>
            <w:vAlign w:val="top"/>
          </w:tcPr>
          <w:p w14:paraId="776CA04A">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14DA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5BA29C9">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659" w:type="dxa"/>
            <w:noWrap w:val="0"/>
            <w:vAlign w:val="top"/>
          </w:tcPr>
          <w:p w14:paraId="654C8129">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1532" w:type="dxa"/>
            <w:noWrap w:val="0"/>
            <w:vAlign w:val="top"/>
          </w:tcPr>
          <w:p w14:paraId="417A4670">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1546" w:type="dxa"/>
            <w:noWrap w:val="0"/>
            <w:vAlign w:val="top"/>
          </w:tcPr>
          <w:p w14:paraId="7010FDD0">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382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1883528">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659" w:type="dxa"/>
            <w:noWrap w:val="0"/>
            <w:vAlign w:val="top"/>
          </w:tcPr>
          <w:p w14:paraId="60A1D025">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32" w:type="dxa"/>
            <w:noWrap w:val="0"/>
            <w:vAlign w:val="top"/>
          </w:tcPr>
          <w:p w14:paraId="7D96B1AD">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46" w:type="dxa"/>
            <w:noWrap w:val="0"/>
            <w:vAlign w:val="top"/>
          </w:tcPr>
          <w:p w14:paraId="6CB4A6C9">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3FE5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1DB388">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659" w:type="dxa"/>
            <w:noWrap w:val="0"/>
            <w:vAlign w:val="top"/>
          </w:tcPr>
          <w:p w14:paraId="530E1726">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1532" w:type="dxa"/>
            <w:noWrap w:val="0"/>
            <w:vAlign w:val="top"/>
          </w:tcPr>
          <w:p w14:paraId="14B5A41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1546" w:type="dxa"/>
            <w:noWrap w:val="0"/>
            <w:vAlign w:val="top"/>
          </w:tcPr>
          <w:p w14:paraId="3118F394">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1633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41BEF0">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659" w:type="dxa"/>
            <w:noWrap w:val="0"/>
            <w:vAlign w:val="top"/>
          </w:tcPr>
          <w:p w14:paraId="10A9723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1532" w:type="dxa"/>
            <w:noWrap w:val="0"/>
            <w:vAlign w:val="top"/>
          </w:tcPr>
          <w:p w14:paraId="52FFB45D">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1546" w:type="dxa"/>
            <w:noWrap w:val="0"/>
            <w:vAlign w:val="top"/>
          </w:tcPr>
          <w:p w14:paraId="5E27BF8F">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342C9A48">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7DFF3B1A">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（1）按本表费率计算的收费为采购代理的收费基准价格；</w:t>
      </w:r>
    </w:p>
    <w:p w14:paraId="6D24899E">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（2）采购代理收费按差额定率累进法计算。</w:t>
      </w:r>
    </w:p>
    <w:p w14:paraId="7B2116C9">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例如：某服务采购代理业务成交金额或者暂定价为</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0万元，计算采购代理收费额如下：</w:t>
      </w:r>
    </w:p>
    <w:p w14:paraId="5F9324F0">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 万元 ×l.5 %＝ 1.5 万元</w:t>
      </w:r>
    </w:p>
    <w:p w14:paraId="3E8E6617">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0 － 100 ）万元 ×0.8%＝ 0.</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万元</w:t>
      </w:r>
    </w:p>
    <w:p w14:paraId="09780A81">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合计收费＝ 1.5 ＋ 0.</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2.3</w:t>
      </w:r>
      <w:r>
        <w:rPr>
          <w:rFonts w:hint="eastAsia" w:asciiTheme="minorEastAsia" w:hAnsiTheme="minorEastAsia" w:eastAsiaTheme="minorEastAsia" w:cstheme="minorEastAsia"/>
          <w:color w:val="auto"/>
          <w:highlight w:val="none"/>
        </w:rPr>
        <w:t xml:space="preserve"> 万元</w:t>
      </w:r>
    </w:p>
    <w:p w14:paraId="3170837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33.需要补充的其他内容</w:t>
      </w:r>
    </w:p>
    <w:p w14:paraId="6F5176CC">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auto"/>
          <w:kern w:val="2"/>
          <w:sz w:val="21"/>
          <w:highlight w:val="none"/>
          <w:lang w:val="en-US" w:eastAsia="zh-CN"/>
        </w:rPr>
      </w:pPr>
      <w:r>
        <w:rPr>
          <w:rFonts w:hint="eastAsia" w:asciiTheme="minorEastAsia" w:hAnsiTheme="minorEastAsia" w:eastAsiaTheme="minorEastAsia" w:cstheme="minorEastAsia"/>
          <w:color w:val="auto"/>
          <w:kern w:val="2"/>
          <w:sz w:val="21"/>
          <w:highlight w:val="none"/>
          <w:lang w:val="en-US" w:eastAsia="zh-CN"/>
        </w:rPr>
        <w:t>33.1本磋商文件解释规则详见“供应商须知前附表”。</w:t>
      </w:r>
    </w:p>
    <w:p w14:paraId="1392CF8F">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auto"/>
          <w:kern w:val="2"/>
          <w:sz w:val="21"/>
          <w:highlight w:val="none"/>
          <w:lang w:val="en-US" w:eastAsia="zh-CN"/>
        </w:rPr>
      </w:pPr>
      <w:r>
        <w:rPr>
          <w:rFonts w:hint="eastAsia" w:asciiTheme="minorEastAsia" w:hAnsiTheme="minorEastAsia" w:eastAsiaTheme="minorEastAsia" w:cstheme="minorEastAsia"/>
          <w:color w:val="auto"/>
          <w:kern w:val="2"/>
          <w:sz w:val="21"/>
          <w:highlight w:val="none"/>
          <w:lang w:val="en-US" w:eastAsia="zh-CN"/>
        </w:rPr>
        <w:t>33.2 其他事项详见“供应商须知前附表”。</w:t>
      </w:r>
    </w:p>
    <w:p w14:paraId="33AF49D9">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lang w:val="en-US" w:eastAsia="zh-CN"/>
        </w:rPr>
        <w:t>33.3</w:t>
      </w:r>
      <w:r>
        <w:rPr>
          <w:rFonts w:hint="eastAsia" w:asciiTheme="minorEastAsia" w:hAnsiTheme="minorEastAsia" w:eastAsiaTheme="minorEastAsia" w:cstheme="minorEastAsia"/>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11795E2">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（1）在货物采购项目中，货物由中小企业制造，即货物由中小企业生产且使用该中小企业商号或者注册商标，不对其中涉及的工程承建商和服务的承接商作出要求；</w:t>
      </w:r>
    </w:p>
    <w:p w14:paraId="301BE8BC">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（2）在工程采购项目中，工程由中小企业承建，即工程施工单位为中小企业，不对其中涉及的货物的制造商和服务的承接商作出要求；</w:t>
      </w:r>
    </w:p>
    <w:p w14:paraId="7B430046">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2E6A50A">
      <w:pPr>
        <w:pStyle w:val="18"/>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D0DF9E5">
      <w:pPr>
        <w:pStyle w:val="18"/>
        <w:pageBreakBefore w:val="0"/>
        <w:kinsoku/>
        <w:wordWrap/>
        <w:topLinePunct w:val="0"/>
        <w:bidi w:val="0"/>
        <w:spacing w:line="312" w:lineRule="auto"/>
        <w:ind w:firstLine="420" w:firstLineChars="200"/>
        <w:textAlignment w:val="center"/>
        <w:rPr>
          <w:rFonts w:hint="eastAsia" w:asciiTheme="minorEastAsia" w:hAnsiTheme="minorEastAsia" w:eastAsiaTheme="minorEastAsia" w:cstheme="minorEastAsia"/>
          <w:color w:val="auto"/>
          <w:kern w:val="2"/>
          <w:sz w:val="21"/>
          <w:highlight w:val="none"/>
          <w:lang w:val="en-US" w:eastAsia="zh-CN"/>
        </w:rPr>
      </w:pPr>
      <w:r>
        <w:rPr>
          <w:rFonts w:hint="eastAsia" w:asciiTheme="minorEastAsia" w:hAnsiTheme="minorEastAsia" w:eastAsiaTheme="minorEastAsia" w:cstheme="minorEastAsia"/>
          <w:color w:val="auto"/>
          <w:kern w:val="2"/>
          <w:sz w:val="21"/>
          <w:highlight w:val="none"/>
        </w:rPr>
        <w:t>依据本磋商文件规定享受扶持政策获得政府采购合同的，小微企业不得将合同分包给大中型企业，中型企业不得将合同分包给大型企业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color w:val="auto"/>
          <w:kern w:val="2"/>
          <w:sz w:val="21"/>
          <w:highlight w:val="none"/>
          <w:lang w:val="en-US" w:eastAsia="zh-CN"/>
        </w:rPr>
        <w:t>。</w:t>
      </w:r>
    </w:p>
    <w:p w14:paraId="075600C0">
      <w:pPr>
        <w:rPr>
          <w:rFonts w:hAnsi="宋体"/>
          <w:b/>
          <w:color w:val="auto"/>
          <w:highlight w:val="none"/>
        </w:rPr>
      </w:pPr>
      <w:r>
        <w:rPr>
          <w:rFonts w:hAnsi="宋体"/>
          <w:b/>
          <w:color w:val="auto"/>
          <w:highlight w:val="none"/>
        </w:rPr>
        <w:br w:type="page"/>
      </w:r>
    </w:p>
    <w:p w14:paraId="65AE30CD">
      <w:pPr>
        <w:pStyle w:val="4"/>
        <w:pageBreakBefore w:val="0"/>
        <w:numPr>
          <w:ilvl w:val="0"/>
          <w:numId w:val="2"/>
        </w:numPr>
        <w:kinsoku/>
        <w:wordWrap/>
        <w:topLinePunct w:val="0"/>
        <w:bidi w:val="0"/>
        <w:spacing w:line="312" w:lineRule="auto"/>
        <w:jc w:val="center"/>
        <w:outlineLvl w:val="0"/>
        <w:rPr>
          <w:rFonts w:hint="eastAsia"/>
          <w:color w:val="auto"/>
          <w:highlight w:val="none"/>
        </w:rPr>
      </w:pPr>
      <w:bookmarkStart w:id="79" w:name="_Toc2920"/>
      <w:bookmarkStart w:id="80" w:name="_Toc876"/>
      <w:r>
        <w:rPr>
          <w:rFonts w:hint="eastAsia"/>
          <w:color w:val="auto"/>
          <w:highlight w:val="none"/>
        </w:rPr>
        <w:t>采购需求</w:t>
      </w:r>
      <w:bookmarkEnd w:id="79"/>
      <w:bookmarkEnd w:id="80"/>
    </w:p>
    <w:p w14:paraId="775BF0EF">
      <w:pPr>
        <w:pageBreakBefore w:val="0"/>
        <w:kinsoku/>
        <w:wordWrap/>
        <w:topLinePunct w:val="0"/>
        <w:bidi w:val="0"/>
        <w:spacing w:line="312" w:lineRule="auto"/>
        <w:jc w:val="left"/>
        <w:rPr>
          <w:rFonts w:hint="eastAsia" w:ascii="宋体" w:hAnsi="宋体" w:cs="宋体"/>
          <w:color w:val="auto"/>
          <w:szCs w:val="21"/>
          <w:highlight w:val="none"/>
        </w:rPr>
      </w:pPr>
      <w:bookmarkStart w:id="81" w:name="_Toc254970490"/>
      <w:bookmarkStart w:id="82" w:name="_Toc254970631"/>
      <w:r>
        <w:rPr>
          <w:rFonts w:hint="eastAsia" w:ascii="宋体" w:hAnsi="宋体" w:cs="宋体"/>
          <w:color w:val="auto"/>
          <w:szCs w:val="21"/>
          <w:highlight w:val="none"/>
        </w:rPr>
        <w:t>说明：</w:t>
      </w:r>
    </w:p>
    <w:p w14:paraId="66FF6562">
      <w:pPr>
        <w:pageBreakBefore w:val="0"/>
        <w:kinsoku/>
        <w:wordWrap/>
        <w:topLinePunct w:val="0"/>
        <w:bidi w:val="0"/>
        <w:spacing w:line="312" w:lineRule="auto"/>
        <w:ind w:firstLine="420" w:firstLineChars="200"/>
        <w:jc w:val="left"/>
        <w:outlineLvl w:val="0"/>
        <w:rPr>
          <w:rFonts w:hint="eastAsia"/>
          <w:color w:val="auto"/>
          <w:highlight w:val="none"/>
        </w:rPr>
      </w:pPr>
      <w:bookmarkStart w:id="83" w:name="_Toc12979"/>
      <w:r>
        <w:rPr>
          <w:rFonts w:hint="eastAsia"/>
          <w:color w:val="auto"/>
          <w:highlight w:val="none"/>
        </w:rPr>
        <w:t>1. 为落实政府采购政策需满足的要求</w:t>
      </w:r>
      <w:bookmarkEnd w:id="83"/>
    </w:p>
    <w:p w14:paraId="5DA5BCC8">
      <w:pPr>
        <w:pageBreakBefore w:val="0"/>
        <w:kinsoku/>
        <w:wordWrap/>
        <w:topLinePunct w:val="0"/>
        <w:bidi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文件所称中小企业必须符合《政府采购促进中小企业发展管理办法》（财库〔2020〕46号）的规定。</w:t>
      </w:r>
    </w:p>
    <w:p w14:paraId="0D8E4DA9">
      <w:pPr>
        <w:pageBreakBefore w:val="0"/>
        <w:kinsoku/>
        <w:wordWrap/>
        <w:topLinePunct w:val="0"/>
        <w:bidi w:val="0"/>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的投标货物必须使用政府强制采购的节能产品，</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必须在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文件中提供所投标产品的节能产品认证证书复印件（加盖</w:t>
      </w:r>
      <w:r>
        <w:rPr>
          <w:rFonts w:hint="eastAsia" w:ascii="宋体" w:hAnsi="宋体" w:cs="宋体"/>
          <w:color w:val="auto"/>
          <w:szCs w:val="21"/>
          <w:highlight w:val="none"/>
          <w:lang w:val="en-US" w:eastAsia="zh-CN"/>
        </w:rPr>
        <w:t>供应商电子</w:t>
      </w:r>
      <w:r>
        <w:rPr>
          <w:rFonts w:hint="eastAsia" w:ascii="宋体" w:hAnsi="宋体" w:cs="宋体"/>
          <w:color w:val="auto"/>
          <w:szCs w:val="21"/>
          <w:highlight w:val="none"/>
        </w:rPr>
        <w:t>公章），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w:t>
      </w:r>
    </w:p>
    <w:p w14:paraId="47724F0F">
      <w:pPr>
        <w:pageBreakBefore w:val="0"/>
        <w:kinsoku/>
        <w:wordWrap/>
        <w:topLinePunct w:val="0"/>
        <w:bidi w:val="0"/>
        <w:spacing w:line="312"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45546137">
      <w:pPr>
        <w:pageBreakBefore w:val="0"/>
        <w:kinsoku/>
        <w:wordWrap/>
        <w:topLinePunct w:val="0"/>
        <w:bidi w:val="0"/>
        <w:spacing w:line="312" w:lineRule="auto"/>
        <w:ind w:firstLine="424" w:firstLineChars="202"/>
        <w:jc w:val="left"/>
        <w:rPr>
          <w:rStyle w:val="37"/>
          <w:color w:val="auto"/>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rPr>
        <w:t>采购需求中出现的品牌、型号或生产供应商仅起参考作用，不属于指定品牌、型号或生产</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的情形。</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可参照或选用其他相当的品牌、型号或生产</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替代。采购需求中如涉及某项参数指标（尺寸、重量、数量等）、材质或服务要求未明确标记偏离区间时，均仅作为项目最低要求，验收时依据国家相关标准或规定（如有）要求通过即可。不再作额外要求。接受并鼓励对项目有实质性帮助的参数指标、材质或服务作为正偏离参与响应</w:t>
      </w:r>
      <w:r>
        <w:rPr>
          <w:rFonts w:hint="eastAsia"/>
          <w:color w:val="auto"/>
          <w:highlight w:val="none"/>
        </w:rPr>
        <w:t>。</w:t>
      </w:r>
    </w:p>
    <w:p w14:paraId="29709914">
      <w:pPr>
        <w:pageBreakBefore w:val="0"/>
        <w:kinsoku/>
        <w:wordWrap/>
        <w:topLinePunct w:val="0"/>
        <w:bidi w:val="0"/>
        <w:spacing w:line="312" w:lineRule="auto"/>
        <w:outlineLvl w:val="0"/>
        <w:rPr>
          <w:rFonts w:hint="eastAsia" w:ascii="宋体" w:hAnsi="宋体" w:eastAsia="宋体" w:cs="宋体"/>
          <w:color w:val="auto"/>
          <w:highlight w:val="none"/>
        </w:rPr>
      </w:pPr>
      <w:bookmarkStart w:id="84" w:name="_Toc6141"/>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color w:val="auto"/>
          <w:highlight w:val="none"/>
          <w:lang w:eastAsia="zh-CN"/>
        </w:rPr>
        <w:t>服务商</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bookmarkEnd w:id="84"/>
    </w:p>
    <w:p w14:paraId="66876F3F">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
    <w:bookmarkEnd w:id="82"/>
    <w:p w14:paraId="5830ACC9">
      <w:pPr>
        <w:pStyle w:val="2"/>
        <w:rPr>
          <w:rFonts w:hint="default" w:eastAsia="宋体"/>
          <w:b/>
          <w:bCs/>
          <w:color w:val="auto"/>
          <w:highlight w:val="none"/>
          <w:lang w:val="en-US" w:eastAsia="zh-CN"/>
        </w:rPr>
      </w:pPr>
      <w:r>
        <w:rPr>
          <w:rFonts w:hint="eastAsia" w:ascii="宋体" w:hAnsi="宋体"/>
          <w:b/>
          <w:bCs/>
          <w:color w:val="auto"/>
          <w:highlight w:val="none"/>
          <w:lang w:val="en-US" w:eastAsia="zh-CN"/>
        </w:rPr>
        <w:t>分标1  预算金额：</w:t>
      </w:r>
      <w:r>
        <w:rPr>
          <w:rFonts w:hint="eastAsia" w:ascii="宋体" w:hAnsi="宋体"/>
          <w:b/>
          <w:bCs/>
          <w:color w:val="auto"/>
          <w:highlight w:val="none"/>
          <w:u w:val="single"/>
          <w:lang w:val="en-US" w:eastAsia="zh-CN"/>
        </w:rPr>
        <w:t>18万元</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897"/>
        <w:gridCol w:w="4"/>
        <w:gridCol w:w="733"/>
        <w:gridCol w:w="6432"/>
      </w:tblGrid>
      <w:tr w14:paraId="2A727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6FC852C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w:t>
            </w:r>
            <w:r>
              <w:rPr>
                <w:rFonts w:hint="eastAsia" w:ascii="宋体" w:hAnsi="宋体" w:eastAsia="宋体" w:cs="宋体"/>
                <w:b/>
                <w:color w:val="auto"/>
                <w:sz w:val="21"/>
                <w:szCs w:val="21"/>
                <w:highlight w:val="none"/>
                <w:lang w:val="en-US" w:eastAsia="zh-CN"/>
              </w:rPr>
              <w:t>要</w:t>
            </w:r>
            <w:r>
              <w:rPr>
                <w:rFonts w:hint="eastAsia" w:ascii="宋体" w:hAnsi="宋体" w:eastAsia="宋体" w:cs="宋体"/>
                <w:b/>
                <w:color w:val="auto"/>
                <w:sz w:val="21"/>
                <w:szCs w:val="21"/>
                <w:highlight w:val="none"/>
              </w:rPr>
              <w:t>求</w:t>
            </w:r>
          </w:p>
        </w:tc>
      </w:tr>
      <w:tr w14:paraId="3E399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558E4D2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3F2E5CE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9EC3DB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37FFAA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技术</w:t>
            </w:r>
            <w:r>
              <w:rPr>
                <w:rFonts w:hint="eastAsia" w:ascii="宋体" w:hAnsi="宋体" w:eastAsia="宋体" w:cs="宋体"/>
                <w:bCs/>
                <w:color w:val="auto"/>
                <w:sz w:val="21"/>
                <w:szCs w:val="21"/>
                <w:highlight w:val="none"/>
              </w:rPr>
              <w:t>要求</w:t>
            </w:r>
          </w:p>
        </w:tc>
      </w:tr>
      <w:tr w14:paraId="1A682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7B911543">
            <w:pPr>
              <w:keepNext w:val="0"/>
              <w:keepLines w:val="0"/>
              <w:pageBreakBefore w:val="0"/>
              <w:kinsoku/>
              <w:wordWrap/>
              <w:overflowPunct/>
              <w:topLinePunct w:val="0"/>
              <w:autoSpaceDE/>
              <w:autoSpaceDN/>
              <w:bidi w:val="0"/>
              <w:adjustRightInd/>
              <w:snapToGrid/>
              <w:spacing w:line="440" w:lineRule="exact"/>
              <w:jc w:val="center"/>
              <w:rPr>
                <w:rFonts w:hint="eastAsia"/>
                <w:color w:val="auto"/>
                <w:highlight w:val="none"/>
              </w:rPr>
            </w:pPr>
          </w:p>
          <w:p w14:paraId="115A969D">
            <w:pPr>
              <w:pStyle w:val="21"/>
              <w:jc w:val="center"/>
              <w:rPr>
                <w:rFonts w:hint="eastAsia" w:eastAsia="宋体"/>
                <w:color w:val="auto"/>
                <w:highlight w:val="none"/>
                <w:lang w:val="en-US" w:eastAsia="zh-CN"/>
              </w:rPr>
            </w:pPr>
            <w:r>
              <w:rPr>
                <w:rFonts w:hint="eastAsia"/>
                <w:color w:val="auto"/>
                <w:sz w:val="21"/>
                <w:szCs w:val="21"/>
                <w:highlight w:val="none"/>
                <w:lang w:val="en-US" w:eastAsia="zh-CN"/>
              </w:rPr>
              <w:t>1</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3BDCFD7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梧州市</w:t>
            </w:r>
            <w:r>
              <w:rPr>
                <w:rFonts w:hint="eastAsia" w:ascii="宋体" w:hAnsi="宋体"/>
                <w:color w:val="auto"/>
                <w:szCs w:val="21"/>
                <w:highlight w:val="none"/>
              </w:rPr>
              <w:t>万秀区“除四害”服务</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B2EDC7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7BD2995">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一、项目总概况</w:t>
            </w:r>
          </w:p>
          <w:p w14:paraId="5726B962">
            <w:pPr>
              <w:pStyle w:val="2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为了有效控制城区病媒密度，控制虫媒传染疾病风险，维护市民身体健康。对我市建成区公共场所开展病媒生物防制工作。城区范围为万秀区内所有主次干道绿化带、街心花园、闲置地、下水道、垃圾桶、公共厕所、垃圾中转站</w:t>
            </w:r>
            <w:r>
              <w:rPr>
                <w:rFonts w:hint="eastAsia" w:ascii="宋体" w:hAnsi="宋体" w:cs="宋体"/>
                <w:bCs/>
                <w:color w:val="auto"/>
                <w:kern w:val="2"/>
                <w:sz w:val="21"/>
                <w:szCs w:val="21"/>
                <w:highlight w:val="none"/>
                <w:lang w:val="en-US" w:eastAsia="zh-CN" w:bidi="ar-SA"/>
              </w:rPr>
              <w:t>、农贸市场</w:t>
            </w:r>
            <w:r>
              <w:rPr>
                <w:rFonts w:hint="default"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公共场所</w:t>
            </w:r>
            <w:r>
              <w:rPr>
                <w:rFonts w:hint="default" w:ascii="宋体" w:hAnsi="宋体" w:eastAsia="宋体" w:cs="宋体"/>
                <w:bCs/>
                <w:color w:val="auto"/>
                <w:kern w:val="2"/>
                <w:sz w:val="21"/>
                <w:szCs w:val="21"/>
                <w:highlight w:val="none"/>
                <w:lang w:val="en-US" w:eastAsia="zh-CN" w:bidi="ar-SA"/>
              </w:rPr>
              <w:t>。引进</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家专业消杀公司负责万秀区公共场所的病媒生物防制工作，确保城区公共场所病媒生物密度达到病媒生物密度</w:t>
            </w:r>
            <w:r>
              <w:rPr>
                <w:rFonts w:hint="eastAsia" w:ascii="宋体" w:hAnsi="宋体" w:cs="宋体"/>
                <w:bCs/>
                <w:color w:val="auto"/>
                <w:kern w:val="2"/>
                <w:sz w:val="21"/>
                <w:szCs w:val="21"/>
                <w:highlight w:val="none"/>
                <w:lang w:val="en-US" w:eastAsia="zh-CN" w:bidi="ar-SA"/>
              </w:rPr>
              <w:t>控制</w:t>
            </w:r>
            <w:r>
              <w:rPr>
                <w:rFonts w:hint="default" w:ascii="宋体" w:hAnsi="宋体" w:eastAsia="宋体" w:cs="宋体"/>
                <w:bCs/>
                <w:color w:val="auto"/>
                <w:kern w:val="2"/>
                <w:sz w:val="21"/>
                <w:szCs w:val="21"/>
                <w:highlight w:val="none"/>
                <w:lang w:val="en-US" w:eastAsia="zh-CN" w:bidi="ar-SA"/>
              </w:rPr>
              <w:t>C级标准。</w:t>
            </w:r>
          </w:p>
          <w:p w14:paraId="17A5237B">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二、灭鼠范围</w:t>
            </w:r>
          </w:p>
          <w:p w14:paraId="2DD9C15F">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西江一～三路，桂江一～三路，南堤路、桂北路、北环路、中山路，骑楼城，大中路，和平路，南环路，大南路，阜民路，白云路、大东路、东正路、东中路、文化路，建设路及二中垃圾中转站等；新兴一路、西堤一、二路、西环路、文澜路、工厂一路、蝶山一路、蝶山二路、日化路、富民路、大学路、鸳江路、步埠路、龙骨路及垃圾中转站、潘塘公园及周边等）上述主要街道（道路）、公厕、公园绿地（街心花园）、垃圾中转站灭鼠。</w:t>
            </w:r>
          </w:p>
          <w:p w14:paraId="5B8ED57C">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2.南中市场、大东市场、万寿宫市场、钱鉴市场、文澜市场、新兴市场、天天市场、怡景市场、桥头市场、西环市场、新民市场灭鼠。</w:t>
            </w:r>
          </w:p>
          <w:p w14:paraId="35D025A7">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三、灭蟑、灭蚊、灭蝇范围</w:t>
            </w:r>
          </w:p>
          <w:p w14:paraId="1F1BDBB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建成区内所有主次干道绿化带、街心花园、下水道、垃圾桶、公共厕所、垃圾中转站、农贸市场。</w:t>
            </w:r>
          </w:p>
          <w:p w14:paraId="2FD3F25E">
            <w:pPr>
              <w:pStyle w:val="78"/>
              <w:widowControl/>
              <w:spacing w:line="440" w:lineRule="exact"/>
              <w:ind w:firstLine="420" w:firstLineChars="200"/>
              <w:rPr>
                <w:rFonts w:hint="eastAsia"/>
                <w:color w:val="auto"/>
                <w:highlight w:val="none"/>
                <w:lang w:eastAsia="zh-CN"/>
              </w:rPr>
            </w:pPr>
            <w:r>
              <w:rPr>
                <w:rFonts w:hint="eastAsia"/>
                <w:color w:val="auto"/>
                <w:highlight w:val="none"/>
              </w:rPr>
              <w:t>（</w:t>
            </w:r>
            <w:r>
              <w:rPr>
                <w:rFonts w:hint="eastAsia"/>
                <w:color w:val="auto"/>
                <w:highlight w:val="none"/>
                <w:lang w:val="en-US" w:eastAsia="zh-CN"/>
              </w:rPr>
              <w:t>一</w:t>
            </w:r>
            <w:r>
              <w:rPr>
                <w:rFonts w:hint="eastAsia"/>
                <w:color w:val="auto"/>
                <w:highlight w:val="none"/>
              </w:rPr>
              <w:t>）公共厕所：民主公厕</w:t>
            </w:r>
            <w:r>
              <w:rPr>
                <w:rFonts w:hint="eastAsia"/>
                <w:color w:val="auto"/>
                <w:highlight w:val="none"/>
                <w:lang w:eastAsia="zh-CN"/>
              </w:rPr>
              <w:t>、龙母庙公厕、</w:t>
            </w:r>
            <w:r>
              <w:rPr>
                <w:rFonts w:hint="eastAsia"/>
                <w:color w:val="auto"/>
                <w:highlight w:val="none"/>
              </w:rPr>
              <w:t>文化小游园环保公厕、旧二中小游园公厕、桂江一桥底东桥头公厕</w:t>
            </w:r>
            <w:r>
              <w:rPr>
                <w:rFonts w:hint="eastAsia"/>
                <w:color w:val="auto"/>
                <w:highlight w:val="none"/>
                <w:lang w:eastAsia="zh-CN"/>
              </w:rPr>
              <w:t>、西堤路蓝天港湾对面公厕、怡景小游园移动公厕、新一中公厕、潘塘公园莲花池旁公厕、梧州学院旁移动公司公厕、桂江一桥底西桥头公厕、潘塘公园东旧梧高操场公厕、鸳江春泛桥底公厕、西堤路西江四桥桥底公厕、珠山公厕、广仁路公厕、</w:t>
            </w:r>
            <w:r>
              <w:rPr>
                <w:rFonts w:hint="eastAsia"/>
                <w:color w:val="auto"/>
                <w:highlight w:val="none"/>
              </w:rPr>
              <w:t>冰泉公厕</w:t>
            </w:r>
            <w:r>
              <w:rPr>
                <w:rFonts w:hint="eastAsia"/>
                <w:color w:val="auto"/>
                <w:highlight w:val="none"/>
                <w:lang w:eastAsia="zh-CN"/>
              </w:rPr>
              <w:t>、</w:t>
            </w:r>
            <w:r>
              <w:rPr>
                <w:rFonts w:hint="eastAsia"/>
                <w:color w:val="auto"/>
                <w:highlight w:val="none"/>
              </w:rPr>
              <w:t>盐仓里公厕</w:t>
            </w:r>
            <w:r>
              <w:rPr>
                <w:rFonts w:hint="eastAsia"/>
                <w:color w:val="auto"/>
                <w:highlight w:val="none"/>
                <w:lang w:eastAsia="zh-CN"/>
              </w:rPr>
              <w:t>、</w:t>
            </w:r>
            <w:r>
              <w:rPr>
                <w:rFonts w:hint="eastAsia"/>
                <w:color w:val="auto"/>
                <w:highlight w:val="none"/>
              </w:rPr>
              <w:t>石鼓公厕</w:t>
            </w:r>
            <w:r>
              <w:rPr>
                <w:rFonts w:hint="eastAsia"/>
                <w:color w:val="auto"/>
                <w:highlight w:val="none"/>
                <w:lang w:eastAsia="zh-CN"/>
              </w:rPr>
              <w:t>、</w:t>
            </w:r>
            <w:r>
              <w:rPr>
                <w:rFonts w:hint="eastAsia"/>
                <w:color w:val="auto"/>
                <w:highlight w:val="none"/>
              </w:rPr>
              <w:t>石厦公厕</w:t>
            </w:r>
            <w:r>
              <w:rPr>
                <w:rFonts w:hint="eastAsia"/>
                <w:color w:val="auto"/>
                <w:highlight w:val="none"/>
                <w:lang w:eastAsia="zh-CN"/>
              </w:rPr>
              <w:t>、</w:t>
            </w:r>
            <w:r>
              <w:rPr>
                <w:rFonts w:hint="eastAsia"/>
                <w:color w:val="auto"/>
                <w:highlight w:val="none"/>
              </w:rPr>
              <w:t>大校场公厕</w:t>
            </w:r>
            <w:r>
              <w:rPr>
                <w:rFonts w:hint="eastAsia"/>
                <w:color w:val="auto"/>
                <w:highlight w:val="none"/>
                <w:lang w:eastAsia="zh-CN"/>
              </w:rPr>
              <w:t>、</w:t>
            </w:r>
            <w:r>
              <w:rPr>
                <w:rFonts w:hint="eastAsia"/>
                <w:color w:val="auto"/>
                <w:highlight w:val="none"/>
              </w:rPr>
              <w:t>四方后路公厕</w:t>
            </w:r>
            <w:r>
              <w:rPr>
                <w:rFonts w:hint="eastAsia"/>
                <w:color w:val="auto"/>
                <w:highlight w:val="none"/>
                <w:lang w:eastAsia="zh-CN"/>
              </w:rPr>
              <w:t>、</w:t>
            </w:r>
            <w:r>
              <w:rPr>
                <w:rFonts w:hint="eastAsia"/>
                <w:color w:val="auto"/>
                <w:highlight w:val="none"/>
              </w:rPr>
              <w:t>钱鉴公厕</w:t>
            </w:r>
            <w:r>
              <w:rPr>
                <w:rFonts w:hint="eastAsia"/>
                <w:color w:val="auto"/>
                <w:highlight w:val="none"/>
                <w:lang w:eastAsia="zh-CN"/>
              </w:rPr>
              <w:t>、</w:t>
            </w:r>
            <w:r>
              <w:rPr>
                <w:rFonts w:hint="eastAsia"/>
                <w:color w:val="auto"/>
                <w:highlight w:val="none"/>
              </w:rPr>
              <w:t>莲花山公厕</w:t>
            </w:r>
            <w:r>
              <w:rPr>
                <w:rFonts w:hint="eastAsia"/>
                <w:color w:val="auto"/>
                <w:highlight w:val="none"/>
                <w:lang w:eastAsia="zh-CN"/>
              </w:rPr>
              <w:t>、</w:t>
            </w:r>
            <w:r>
              <w:rPr>
                <w:rFonts w:hint="eastAsia"/>
                <w:color w:val="auto"/>
                <w:highlight w:val="none"/>
              </w:rPr>
              <w:t>文澜小学公厕</w:t>
            </w:r>
            <w:r>
              <w:rPr>
                <w:rFonts w:hint="eastAsia"/>
                <w:color w:val="auto"/>
                <w:highlight w:val="none"/>
                <w:lang w:eastAsia="zh-CN"/>
              </w:rPr>
              <w:t>、</w:t>
            </w:r>
            <w:r>
              <w:rPr>
                <w:rFonts w:hint="eastAsia"/>
                <w:color w:val="auto"/>
                <w:highlight w:val="none"/>
              </w:rPr>
              <w:t>步埠路公厕</w:t>
            </w:r>
            <w:r>
              <w:rPr>
                <w:rFonts w:hint="eastAsia"/>
                <w:color w:val="auto"/>
                <w:highlight w:val="none"/>
                <w:lang w:eastAsia="zh-CN"/>
              </w:rPr>
              <w:t>、</w:t>
            </w:r>
            <w:r>
              <w:rPr>
                <w:rFonts w:hint="eastAsia"/>
                <w:color w:val="auto"/>
                <w:highlight w:val="none"/>
              </w:rPr>
              <w:t>文澜公厕</w:t>
            </w:r>
            <w:r>
              <w:rPr>
                <w:rFonts w:hint="eastAsia"/>
                <w:color w:val="auto"/>
                <w:highlight w:val="none"/>
                <w:lang w:eastAsia="zh-CN"/>
              </w:rPr>
              <w:t>、</w:t>
            </w:r>
            <w:r>
              <w:rPr>
                <w:rFonts w:hint="eastAsia"/>
                <w:color w:val="auto"/>
                <w:highlight w:val="none"/>
              </w:rPr>
              <w:t>富江公厕</w:t>
            </w:r>
            <w:r>
              <w:rPr>
                <w:rFonts w:hint="eastAsia"/>
                <w:color w:val="auto"/>
                <w:highlight w:val="none"/>
                <w:lang w:eastAsia="zh-CN"/>
              </w:rPr>
              <w:t>、</w:t>
            </w:r>
            <w:r>
              <w:rPr>
                <w:rFonts w:hint="eastAsia"/>
                <w:color w:val="auto"/>
                <w:highlight w:val="none"/>
              </w:rPr>
              <w:t>大山脚公厕</w:t>
            </w:r>
            <w:r>
              <w:rPr>
                <w:rFonts w:hint="eastAsia"/>
                <w:color w:val="auto"/>
                <w:highlight w:val="none"/>
                <w:lang w:eastAsia="zh-CN"/>
              </w:rPr>
              <w:t>、</w:t>
            </w:r>
            <w:r>
              <w:rPr>
                <w:rFonts w:hint="eastAsia"/>
                <w:color w:val="auto"/>
                <w:highlight w:val="none"/>
              </w:rPr>
              <w:t>太和路环保公厕</w:t>
            </w:r>
            <w:r>
              <w:rPr>
                <w:rFonts w:hint="eastAsia"/>
                <w:color w:val="auto"/>
                <w:highlight w:val="none"/>
                <w:lang w:eastAsia="zh-CN"/>
              </w:rPr>
              <w:t>、</w:t>
            </w:r>
            <w:r>
              <w:rPr>
                <w:rFonts w:hint="eastAsia"/>
                <w:color w:val="auto"/>
                <w:highlight w:val="none"/>
              </w:rPr>
              <w:t>新兴公厕</w:t>
            </w:r>
            <w:r>
              <w:rPr>
                <w:rFonts w:hint="eastAsia"/>
                <w:color w:val="auto"/>
                <w:highlight w:val="none"/>
                <w:lang w:eastAsia="zh-CN"/>
              </w:rPr>
              <w:t>、</w:t>
            </w:r>
            <w:r>
              <w:rPr>
                <w:rFonts w:hint="eastAsia"/>
                <w:color w:val="auto"/>
                <w:highlight w:val="none"/>
              </w:rPr>
              <w:t>传经里公厕</w:t>
            </w:r>
            <w:r>
              <w:rPr>
                <w:rFonts w:hint="eastAsia"/>
                <w:color w:val="auto"/>
                <w:highlight w:val="none"/>
                <w:lang w:eastAsia="zh-CN"/>
              </w:rPr>
              <w:t>、</w:t>
            </w:r>
            <w:r>
              <w:rPr>
                <w:rFonts w:hint="eastAsia"/>
                <w:color w:val="auto"/>
                <w:highlight w:val="none"/>
              </w:rPr>
              <w:t>桂北公厕</w:t>
            </w:r>
            <w:r>
              <w:rPr>
                <w:rFonts w:hint="eastAsia"/>
                <w:color w:val="auto"/>
                <w:highlight w:val="none"/>
                <w:lang w:eastAsia="zh-CN"/>
              </w:rPr>
              <w:t>、</w:t>
            </w:r>
            <w:r>
              <w:rPr>
                <w:rFonts w:hint="eastAsia"/>
                <w:color w:val="auto"/>
                <w:highlight w:val="none"/>
              </w:rPr>
              <w:t>人武公厕</w:t>
            </w:r>
            <w:r>
              <w:rPr>
                <w:rFonts w:hint="eastAsia"/>
                <w:color w:val="auto"/>
                <w:highlight w:val="none"/>
                <w:lang w:eastAsia="zh-CN"/>
              </w:rPr>
              <w:t>、</w:t>
            </w:r>
            <w:r>
              <w:rPr>
                <w:rFonts w:hint="eastAsia"/>
                <w:color w:val="auto"/>
                <w:highlight w:val="none"/>
              </w:rPr>
              <w:t>牛栏山公厕</w:t>
            </w:r>
            <w:r>
              <w:rPr>
                <w:rFonts w:hint="eastAsia"/>
                <w:color w:val="auto"/>
                <w:highlight w:val="none"/>
                <w:lang w:eastAsia="zh-CN"/>
              </w:rPr>
              <w:t>、</w:t>
            </w:r>
            <w:r>
              <w:rPr>
                <w:rFonts w:hint="eastAsia"/>
                <w:color w:val="auto"/>
                <w:highlight w:val="none"/>
              </w:rPr>
              <w:t>人民医院公厕</w:t>
            </w:r>
            <w:r>
              <w:rPr>
                <w:rFonts w:hint="eastAsia"/>
                <w:color w:val="auto"/>
                <w:highlight w:val="none"/>
                <w:lang w:eastAsia="zh-CN"/>
              </w:rPr>
              <w:t>、</w:t>
            </w:r>
            <w:r>
              <w:rPr>
                <w:rFonts w:hint="eastAsia"/>
                <w:color w:val="auto"/>
                <w:highlight w:val="none"/>
              </w:rPr>
              <w:t>万寿宫公厕</w:t>
            </w:r>
            <w:r>
              <w:rPr>
                <w:rFonts w:hint="eastAsia"/>
                <w:color w:val="auto"/>
                <w:highlight w:val="none"/>
                <w:lang w:eastAsia="zh-CN"/>
              </w:rPr>
              <w:t>、</w:t>
            </w:r>
            <w:r>
              <w:rPr>
                <w:rFonts w:hint="eastAsia"/>
                <w:color w:val="auto"/>
                <w:highlight w:val="none"/>
              </w:rPr>
              <w:t>中药厂公厕</w:t>
            </w:r>
            <w:r>
              <w:rPr>
                <w:rFonts w:hint="eastAsia"/>
                <w:color w:val="auto"/>
                <w:highlight w:val="none"/>
                <w:lang w:eastAsia="zh-CN"/>
              </w:rPr>
              <w:t>、</w:t>
            </w:r>
            <w:r>
              <w:rPr>
                <w:rFonts w:hint="eastAsia"/>
                <w:color w:val="auto"/>
                <w:highlight w:val="none"/>
              </w:rPr>
              <w:t>鸡爪山公厕</w:t>
            </w:r>
            <w:r>
              <w:rPr>
                <w:rFonts w:hint="eastAsia"/>
                <w:color w:val="auto"/>
                <w:highlight w:val="none"/>
                <w:lang w:eastAsia="zh-CN"/>
              </w:rPr>
              <w:t>。</w:t>
            </w:r>
          </w:p>
          <w:p w14:paraId="37D9AF83">
            <w:pPr>
              <w:pStyle w:val="78"/>
              <w:widowControl/>
              <w:spacing w:line="44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）垃圾中转站：钱鉴中转站、桂江一桥底中转站、阜民路中转站、石鼓路中转站、富民中转站、文澜中转站、下三云中转站、新兴中转站、龙骨冲中转站、步埠中转站、下冲中转站。</w:t>
            </w:r>
          </w:p>
          <w:p w14:paraId="614DB01D">
            <w:pPr>
              <w:pStyle w:val="78"/>
              <w:widowControl/>
              <w:spacing w:line="440" w:lineRule="exact"/>
              <w:ind w:firstLine="420" w:firstLineChars="200"/>
              <w:rPr>
                <w:rFonts w:hint="eastAsia"/>
                <w:color w:val="auto"/>
                <w:highlight w:val="none"/>
                <w:lang w:val="en-US" w:eastAsia="zh-CN"/>
              </w:rPr>
            </w:pPr>
            <w:r>
              <w:rPr>
                <w:rFonts w:hint="eastAsia"/>
                <w:color w:val="auto"/>
                <w:highlight w:val="none"/>
                <w:lang w:val="en-US" w:eastAsia="zh-CN"/>
              </w:rPr>
              <w:t>（三）农贸市场：南中市场、大东市场、万寿宫市场、钱鉴市场、文澜市场、新兴市场、天天市场、怡景市场、桥头市场、西环市场、新民市场。</w:t>
            </w:r>
          </w:p>
          <w:p w14:paraId="1D796C31">
            <w:pPr>
              <w:pStyle w:val="78"/>
              <w:widowControl/>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四、药物需求一览表</w:t>
            </w:r>
          </w:p>
          <w:tbl>
            <w:tblPr>
              <w:tblStyle w:val="30"/>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7"/>
              <w:gridCol w:w="1941"/>
              <w:gridCol w:w="3822"/>
            </w:tblGrid>
            <w:tr w14:paraId="2B04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15905D0">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序号</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5CC0509B">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货物或服务名称</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0931A740">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药物技术参数及性能（配置）要求</w:t>
                  </w:r>
                </w:p>
              </w:tc>
            </w:tr>
            <w:tr w14:paraId="6ABC7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7E1E94FE">
                  <w:pPr>
                    <w:widowControl/>
                    <w:tabs>
                      <w:tab w:val="center" w:pos="366"/>
                      <w:tab w:val="left" w:pos="501"/>
                    </w:tabs>
                    <w:spacing w:line="440" w:lineRule="exact"/>
                    <w:jc w:val="left"/>
                    <w:textAlignment w:val="baseline"/>
                    <w:rPr>
                      <w:rStyle w:val="79"/>
                      <w:color w:val="auto"/>
                      <w:szCs w:val="21"/>
                      <w:highlight w:val="none"/>
                    </w:rPr>
                  </w:pPr>
                  <w:r>
                    <w:rPr>
                      <w:rStyle w:val="79"/>
                      <w:rFonts w:hint="eastAsia" w:ascii="宋体" w:hAnsi="宋体" w:cs="宋体"/>
                      <w:color w:val="auto"/>
                      <w:szCs w:val="21"/>
                      <w:highlight w:val="none"/>
                    </w:rPr>
                    <w:tab/>
                  </w:r>
                  <w:r>
                    <w:rPr>
                      <w:rStyle w:val="79"/>
                      <w:rFonts w:hint="eastAsia" w:ascii="宋体" w:hAnsi="宋体" w:cs="宋体"/>
                      <w:color w:val="auto"/>
                      <w:szCs w:val="21"/>
                      <w:highlight w:val="none"/>
                    </w:rPr>
                    <w:t>1</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87751D1">
                  <w:pPr>
                    <w:spacing w:line="440" w:lineRule="exact"/>
                    <w:jc w:val="center"/>
                    <w:textAlignment w:val="baseline"/>
                    <w:rPr>
                      <w:rStyle w:val="79"/>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0.005%溴鼠灵饵剂（含灭鼠服务）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60E1B3FD">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1、1千克/包，20千克/袋；</w:t>
                  </w:r>
                </w:p>
                <w:p w14:paraId="3F194132">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2、包装材料：反光（或避光）塑料膜。</w:t>
                  </w:r>
                </w:p>
                <w:p w14:paraId="2ACB1039">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★3、有效成分含量：溴鼠灵含量</w:t>
                  </w:r>
                  <w:r>
                    <w:rPr>
                      <w:rStyle w:val="79"/>
                      <w:rFonts w:ascii="Arial" w:hAnsi="Arial" w:cs="Arial"/>
                      <w:color w:val="auto"/>
                      <w:szCs w:val="21"/>
                      <w:highlight w:val="none"/>
                    </w:rPr>
                    <w:t>≥</w:t>
                  </w:r>
                  <w:r>
                    <w:rPr>
                      <w:rFonts w:hint="eastAsia" w:ascii="宋体" w:hAnsi="宋体" w:cs="宋体"/>
                      <w:bCs/>
                      <w:color w:val="auto"/>
                      <w:szCs w:val="21"/>
                      <w:highlight w:val="none"/>
                    </w:rPr>
                    <w:t>0.005%</w:t>
                  </w:r>
                </w:p>
                <w:p w14:paraId="35426979">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4、外包装：印有产品性能、使用技术、中毒及急救措施、生产日期、有效期等。</w:t>
                  </w:r>
                </w:p>
                <w:p w14:paraId="5621C6F7">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5、所供毒饵有效期≥15个月。</w:t>
                  </w:r>
                </w:p>
                <w:p w14:paraId="1C158DF8">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6、在灭鼠范围内灭鼠的同时开展填鼠洞，要求用水泥（混凝土）、碎石填封。</w:t>
                  </w:r>
                </w:p>
                <w:p w14:paraId="23CE68B8">
                  <w:pPr>
                    <w:wordWrap w:val="0"/>
                    <w:topLinePunct/>
                    <w:adjustRightInd w:val="0"/>
                    <w:snapToGrid w:val="0"/>
                    <w:spacing w:line="300" w:lineRule="exact"/>
                    <w:jc w:val="left"/>
                    <w:rPr>
                      <w:rStyle w:val="79"/>
                      <w:rFonts w:hint="default" w:ascii="宋体" w:hAnsi="宋体"/>
                      <w:color w:val="auto"/>
                      <w:szCs w:val="21"/>
                      <w:highlight w:val="none"/>
                      <w:lang w:val="en-US"/>
                    </w:rPr>
                  </w:pPr>
                  <w:r>
                    <w:rPr>
                      <w:rStyle w:val="79"/>
                      <w:rFonts w:hint="eastAsia" w:ascii="宋体" w:hAnsi="宋体"/>
                      <w:color w:val="auto"/>
                      <w:szCs w:val="21"/>
                      <w:highlight w:val="none"/>
                      <w:lang w:val="en-US"/>
                    </w:rPr>
                    <w:t>7、除“四害”工作需在</w:t>
                  </w:r>
                  <w:r>
                    <w:rPr>
                      <w:rStyle w:val="79"/>
                      <w:rFonts w:hint="eastAsia" w:ascii="宋体" w:hAnsi="宋体"/>
                      <w:color w:val="auto"/>
                      <w:szCs w:val="21"/>
                      <w:highlight w:val="none"/>
                      <w:lang w:val="en-US" w:eastAsia="zh-CN"/>
                    </w:rPr>
                    <w:t>10</w:t>
                  </w:r>
                  <w:r>
                    <w:rPr>
                      <w:rStyle w:val="79"/>
                      <w:rFonts w:hint="eastAsia" w:ascii="宋体" w:hAnsi="宋体"/>
                      <w:color w:val="auto"/>
                      <w:szCs w:val="21"/>
                      <w:highlight w:val="none"/>
                      <w:lang w:val="en-US"/>
                    </w:rPr>
                    <w:t>日内完成。</w:t>
                  </w:r>
                </w:p>
              </w:tc>
            </w:tr>
            <w:tr w14:paraId="44DE4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C71F7C3">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2</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01E40DD0">
                  <w:pPr>
                    <w:keepNext w:val="0"/>
                    <w:keepLines w:val="0"/>
                    <w:widowControl/>
                    <w:suppressLineNumbers w:val="0"/>
                    <w:jc w:val="left"/>
                    <w:rPr>
                      <w:rStyle w:val="79"/>
                      <w:rFonts w:hAnsi="宋体"/>
                      <w:color w:val="auto"/>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0.5%吡丙醚颗粒剂（含灭蚊幼服务）或者</w:t>
                  </w:r>
                  <w:r>
                    <w:rPr>
                      <w:rFonts w:ascii="sans-serif" w:hAnsi="sans-serif" w:eastAsia="宋体" w:cs="sans-serif"/>
                      <w:i w:val="0"/>
                      <w:caps w:val="0"/>
                      <w:color w:val="auto"/>
                      <w:spacing w:val="0"/>
                      <w:kern w:val="0"/>
                      <w:sz w:val="19"/>
                      <w:szCs w:val="19"/>
                      <w:highlight w:val="none"/>
                      <w:shd w:val="clear" w:color="auto" w:fill="FFFFFF"/>
                      <w:lang w:val="en-US" w:eastAsia="zh-CN" w:bidi="ar"/>
                    </w:rPr>
                    <w:t>苏芸金杆菌</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3C4AC57D">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★1、有效成分：</w:t>
                  </w:r>
                  <w:r>
                    <w:rPr>
                      <w:rStyle w:val="79"/>
                      <w:rFonts w:ascii="Arial" w:hAnsi="Arial" w:cs="Arial"/>
                      <w:color w:val="auto"/>
                      <w:szCs w:val="21"/>
                      <w:highlight w:val="none"/>
                    </w:rPr>
                    <w:t>≥</w:t>
                  </w:r>
                  <w:r>
                    <w:rPr>
                      <w:rFonts w:hint="eastAsia" w:ascii="宋体" w:hAnsi="宋体" w:cs="宋体"/>
                      <w:bCs/>
                      <w:color w:val="auto"/>
                      <w:szCs w:val="21"/>
                      <w:highlight w:val="none"/>
                    </w:rPr>
                    <w:t>0.5%吡丙醚，剂型；颗粒剂；</w:t>
                  </w:r>
                </w:p>
                <w:p w14:paraId="26370E92">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2、用于外环境蚊虫孳生地处理；</w:t>
                  </w:r>
                </w:p>
                <w:p w14:paraId="1F1D1709">
                  <w:pPr>
                    <w:wordWrap w:val="0"/>
                    <w:topLinePunct/>
                    <w:adjustRightInd w:val="0"/>
                    <w:snapToGrid w:val="0"/>
                    <w:spacing w:line="300" w:lineRule="exact"/>
                    <w:jc w:val="left"/>
                    <w:rPr>
                      <w:rStyle w:val="79"/>
                      <w:rFonts w:ascii="宋体" w:hAnsi="宋体"/>
                      <w:color w:val="auto"/>
                      <w:szCs w:val="21"/>
                      <w:highlight w:val="none"/>
                    </w:rPr>
                  </w:pPr>
                  <w:r>
                    <w:rPr>
                      <w:rFonts w:hint="eastAsia" w:ascii="宋体" w:hAnsi="宋体" w:cs="宋体"/>
                      <w:bCs/>
                      <w:color w:val="auto"/>
                      <w:szCs w:val="21"/>
                      <w:highlight w:val="none"/>
                    </w:rPr>
                    <w:t>3、500克/包，20包/箱。</w:t>
                  </w:r>
                </w:p>
              </w:tc>
            </w:tr>
            <w:tr w14:paraId="4E0E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D4B3E4B">
                  <w:pPr>
                    <w:widowControl/>
                    <w:spacing w:line="440" w:lineRule="exact"/>
                    <w:jc w:val="center"/>
                    <w:textAlignment w:val="baseline"/>
                    <w:rPr>
                      <w:rStyle w:val="79"/>
                      <w:rFonts w:ascii="宋体" w:hAnsi="宋体" w:cs="宋体"/>
                      <w:color w:val="auto"/>
                      <w:szCs w:val="21"/>
                      <w:highlight w:val="none"/>
                    </w:rPr>
                  </w:pPr>
                  <w:r>
                    <w:rPr>
                      <w:rStyle w:val="79"/>
                      <w:rFonts w:hint="eastAsia" w:ascii="宋体" w:hAnsi="宋体" w:cs="宋体"/>
                      <w:color w:val="auto"/>
                      <w:szCs w:val="21"/>
                      <w:highlight w:val="none"/>
                    </w:rPr>
                    <w:t>3</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AA7F860">
                  <w:pPr>
                    <w:spacing w:line="440" w:lineRule="exact"/>
                    <w:jc w:val="center"/>
                    <w:textAlignment w:val="baseline"/>
                    <w:rPr>
                      <w:rStyle w:val="79"/>
                      <w:rFonts w:ascii="Arial" w:hAnsi="Arial" w:cs="Arial"/>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1%高效氯氰菊酯热烟雾剂（含复配剂）</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4ED935CD">
                  <w:pPr>
                    <w:wordWrap w:val="0"/>
                    <w:topLinePunct/>
                    <w:adjustRightInd w:val="0"/>
                    <w:snapToGrid w:val="0"/>
                    <w:spacing w:line="300" w:lineRule="exact"/>
                    <w:jc w:val="left"/>
                    <w:rPr>
                      <w:rFonts w:hint="eastAsia" w:ascii="宋体" w:hAnsi="宋体" w:cs="宋体"/>
                      <w:bCs/>
                      <w:color w:val="auto"/>
                      <w:szCs w:val="21"/>
                      <w:highlight w:val="none"/>
                    </w:rPr>
                  </w:pPr>
                  <w:r>
                    <w:rPr>
                      <w:rStyle w:val="79"/>
                      <w:rFonts w:hint="eastAsia" w:ascii="宋体" w:hAnsi="宋体" w:cs="宋体"/>
                      <w:color w:val="auto"/>
                      <w:szCs w:val="21"/>
                      <w:highlight w:val="none"/>
                    </w:rPr>
                    <w:t>1、</w:t>
                  </w:r>
                  <w:r>
                    <w:rPr>
                      <w:rFonts w:hint="eastAsia" w:ascii="宋体" w:hAnsi="宋体" w:cs="宋体"/>
                      <w:bCs/>
                      <w:color w:val="auto"/>
                      <w:szCs w:val="21"/>
                      <w:highlight w:val="none"/>
                    </w:rPr>
                    <w:t>为确保灭蟑螂效果，有效控制蟑螂密度，产品必需为202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月后生产。</w:t>
                  </w:r>
                </w:p>
                <w:p w14:paraId="01D9CE23">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▲2、有效成份：</w:t>
                  </w:r>
                  <w:r>
                    <w:rPr>
                      <w:rFonts w:ascii="宋体" w:hAnsi="宋体" w:cs="宋体"/>
                      <w:bCs/>
                      <w:color w:val="auto"/>
                      <w:szCs w:val="21"/>
                      <w:highlight w:val="none"/>
                    </w:rPr>
                    <w:t>≥</w:t>
                  </w:r>
                  <w:r>
                    <w:rPr>
                      <w:rFonts w:hint="eastAsia" w:ascii="宋体" w:hAnsi="宋体" w:cs="宋体"/>
                      <w:bCs/>
                      <w:color w:val="auto"/>
                      <w:szCs w:val="21"/>
                      <w:highlight w:val="none"/>
                    </w:rPr>
                    <w:t>1%高效氯氰菊酯，剂型：热雾剂 (药物包装有生产日期，用于下水道灭蟑螂、蚊子等）</w:t>
                  </w:r>
                </w:p>
                <w:p w14:paraId="734C75EA">
                  <w:pPr>
                    <w:wordWrap w:val="0"/>
                    <w:topLinePunct/>
                    <w:adjustRightInd w:val="0"/>
                    <w:snapToGrid w:val="0"/>
                    <w:spacing w:line="300" w:lineRule="exact"/>
                    <w:jc w:val="left"/>
                    <w:rPr>
                      <w:rFonts w:hint="eastAsia"/>
                      <w:color w:val="auto"/>
                      <w:highlight w:val="none"/>
                    </w:rPr>
                  </w:pPr>
                  <w:r>
                    <w:rPr>
                      <w:rFonts w:hint="eastAsia" w:ascii="宋体" w:hAnsi="宋体" w:cs="宋体"/>
                      <w:bCs/>
                      <w:color w:val="auto"/>
                      <w:szCs w:val="21"/>
                      <w:highlight w:val="none"/>
                    </w:rPr>
                    <w:t>3、5升/桶，4桶/箱</w:t>
                  </w:r>
                </w:p>
              </w:tc>
            </w:tr>
            <w:tr w14:paraId="54FA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B3774BF">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4</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345EC187">
                  <w:pPr>
                    <w:spacing w:line="440" w:lineRule="exact"/>
                    <w:jc w:val="center"/>
                    <w:textAlignment w:val="baseline"/>
                    <w:rPr>
                      <w:rStyle w:val="79"/>
                      <w:rFonts w:ascii="宋体" w:hAnsi="宋体"/>
                      <w:color w:val="auto"/>
                      <w:szCs w:val="21"/>
                      <w:highlight w:val="none"/>
                    </w:rPr>
                  </w:pPr>
                  <w:r>
                    <w:rPr>
                      <w:rStyle w:val="79"/>
                      <w:rFonts w:ascii="Arial" w:hAnsi="Arial" w:cs="Arial"/>
                      <w:color w:val="auto"/>
                      <w:szCs w:val="21"/>
                      <w:highlight w:val="none"/>
                    </w:rPr>
                    <w:t>≥</w:t>
                  </w:r>
                  <w:r>
                    <w:rPr>
                      <w:rStyle w:val="79"/>
                      <w:rFonts w:hint="eastAsia" w:ascii="Arial" w:hAnsi="Arial" w:cs="Arial"/>
                      <w:color w:val="auto"/>
                      <w:szCs w:val="21"/>
                      <w:highlight w:val="none"/>
                    </w:rPr>
                    <w:t>15%高氯残杀威悬浮剂</w:t>
                  </w:r>
                  <w:r>
                    <w:rPr>
                      <w:rStyle w:val="79"/>
                      <w:rFonts w:hint="eastAsia" w:ascii="宋体" w:hAnsi="宋体" w:cs="宋体"/>
                      <w:color w:val="auto"/>
                      <w:szCs w:val="21"/>
                      <w:highlight w:val="none"/>
                    </w:rPr>
                    <w:t>（含灭蚊蝇服务）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19959483">
                  <w:pPr>
                    <w:pStyle w:val="78"/>
                    <w:widowControl/>
                    <w:spacing w:line="440" w:lineRule="exact"/>
                    <w:ind w:firstLine="0" w:firstLineChars="0"/>
                    <w:rPr>
                      <w:color w:val="auto"/>
                      <w:highlight w:val="none"/>
                    </w:rPr>
                  </w:pPr>
                  <w:r>
                    <w:rPr>
                      <w:rStyle w:val="79"/>
                      <w:b/>
                      <w:bCs/>
                      <w:color w:val="auto"/>
                      <w:highlight w:val="none"/>
                    </w:rPr>
                    <w:t>★</w:t>
                  </w:r>
                  <w:r>
                    <w:rPr>
                      <w:rFonts w:hint="eastAsia"/>
                      <w:color w:val="auto"/>
                      <w:highlight w:val="none"/>
                    </w:rPr>
                    <w:t>1、有效成分：</w:t>
                  </w:r>
                  <w:r>
                    <w:rPr>
                      <w:color w:val="auto"/>
                      <w:highlight w:val="none"/>
                    </w:rPr>
                    <w:t>≥</w:t>
                  </w:r>
                  <w:r>
                    <w:rPr>
                      <w:rFonts w:hint="eastAsia"/>
                      <w:color w:val="auto"/>
                      <w:highlight w:val="none"/>
                    </w:rPr>
                    <w:t>8.5%高效氯氰菊酯、</w:t>
                  </w:r>
                  <w:r>
                    <w:rPr>
                      <w:color w:val="auto"/>
                      <w:highlight w:val="none"/>
                    </w:rPr>
                    <w:t>≥</w:t>
                  </w:r>
                  <w:r>
                    <w:rPr>
                      <w:rFonts w:hint="eastAsia"/>
                      <w:color w:val="auto"/>
                      <w:highlight w:val="none"/>
                    </w:rPr>
                    <w:t>6.5%残杀威</w:t>
                  </w:r>
                </w:p>
                <w:p w14:paraId="0FBD3B3B">
                  <w:pPr>
                    <w:numPr>
                      <w:ilvl w:val="0"/>
                      <w:numId w:val="3"/>
                    </w:numPr>
                    <w:spacing w:line="440" w:lineRule="exact"/>
                    <w:textAlignment w:val="baseline"/>
                    <w:rPr>
                      <w:rFonts w:hint="eastAsia"/>
                      <w:color w:val="auto"/>
                      <w:highlight w:val="none"/>
                    </w:rPr>
                  </w:pPr>
                  <w:r>
                    <w:rPr>
                      <w:rFonts w:hint="eastAsia"/>
                      <w:color w:val="auto"/>
                      <w:highlight w:val="none"/>
                    </w:rPr>
                    <w:t>有效期：二年内、包装标有生产日期</w:t>
                  </w:r>
                </w:p>
                <w:p w14:paraId="2DD82E66">
                  <w:pPr>
                    <w:pStyle w:val="2"/>
                    <w:ind w:firstLine="0" w:firstLineChars="0"/>
                    <w:rPr>
                      <w:color w:val="auto"/>
                      <w:highlight w:val="none"/>
                    </w:rPr>
                  </w:pPr>
                  <w:r>
                    <w:rPr>
                      <w:rFonts w:hint="eastAsia"/>
                      <w:color w:val="auto"/>
                      <w:highlight w:val="none"/>
                    </w:rPr>
                    <w:t>3、500克/瓶，20瓶/箱。</w:t>
                  </w:r>
                </w:p>
              </w:tc>
            </w:tr>
            <w:tr w14:paraId="6DE9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F11944E">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lang w:val="en-US"/>
                    </w:rPr>
                    <w:t>5</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2554D5D9">
                  <w:pPr>
                    <w:spacing w:line="440" w:lineRule="exact"/>
                    <w:jc w:val="center"/>
                    <w:textAlignment w:val="baseline"/>
                    <w:rPr>
                      <w:rStyle w:val="79"/>
                      <w:color w:val="auto"/>
                      <w:szCs w:val="21"/>
                      <w:highlight w:val="none"/>
                    </w:rPr>
                  </w:pPr>
                  <w:r>
                    <w:rPr>
                      <w:rStyle w:val="79"/>
                      <w:rFonts w:hint="eastAsia" w:ascii="宋体" w:hAnsi="宋体" w:cs="宋体"/>
                      <w:color w:val="auto"/>
                      <w:szCs w:val="21"/>
                      <w:highlight w:val="none"/>
                    </w:rPr>
                    <w:t>毒鼠屋（毒饵站或毒饵盒）</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4647212A">
                  <w:pPr>
                    <w:jc w:val="left"/>
                    <w:rPr>
                      <w:rFonts w:ascii="宋体" w:hAnsi="宋体"/>
                      <w:color w:val="auto"/>
                      <w:szCs w:val="21"/>
                      <w:highlight w:val="none"/>
                    </w:rPr>
                  </w:pPr>
                  <w:r>
                    <w:rPr>
                      <w:rFonts w:hint="eastAsia" w:ascii="宋体" w:hAnsi="宋体"/>
                      <w:color w:val="auto"/>
                      <w:szCs w:val="21"/>
                      <w:highlight w:val="none"/>
                    </w:rPr>
                    <w:t>适用于户外灭鼠。</w:t>
                  </w:r>
                </w:p>
                <w:p w14:paraId="07494CC0">
                  <w:pPr>
                    <w:jc w:val="left"/>
                    <w:rPr>
                      <w:rFonts w:ascii="宋体" w:hAnsi="宋体"/>
                      <w:color w:val="auto"/>
                      <w:szCs w:val="21"/>
                      <w:highlight w:val="none"/>
                    </w:rPr>
                  </w:pPr>
                  <w:r>
                    <w:rPr>
                      <w:rFonts w:hint="eastAsia" w:ascii="宋体" w:hAnsi="宋体"/>
                      <w:color w:val="auto"/>
                      <w:szCs w:val="21"/>
                      <w:highlight w:val="none"/>
                    </w:rPr>
                    <w:t>1.材质：水泥或陶瓷；</w:t>
                  </w:r>
                </w:p>
                <w:p w14:paraId="0416166D">
                  <w:pPr>
                    <w:pStyle w:val="78"/>
                    <w:widowControl/>
                    <w:spacing w:line="440" w:lineRule="exact"/>
                    <w:ind w:firstLine="0" w:firstLineChars="0"/>
                    <w:rPr>
                      <w:rStyle w:val="79"/>
                      <w:rFonts w:hint="eastAsia" w:ascii="宋体" w:hAnsi="宋体" w:cs="宋体"/>
                      <w:bCs/>
                      <w:color w:val="auto"/>
                      <w:kern w:val="0"/>
                      <w:szCs w:val="21"/>
                      <w:highlight w:val="none"/>
                    </w:rPr>
                  </w:pPr>
                  <w:r>
                    <w:rPr>
                      <w:rFonts w:hint="eastAsia" w:ascii="宋体" w:hAnsi="宋体"/>
                      <w:color w:val="auto"/>
                      <w:szCs w:val="21"/>
                      <w:highlight w:val="none"/>
                    </w:rPr>
                    <w:t>★2.规格：长度≥26cm。</w:t>
                  </w: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2000个,具体区域数量分配根据采购人最终确定为准。</w:t>
                  </w:r>
                </w:p>
                <w:p w14:paraId="35144CAF">
                  <w:pPr>
                    <w:jc w:val="left"/>
                    <w:rPr>
                      <w:rStyle w:val="79"/>
                      <w:rFonts w:ascii="宋体" w:hAnsi="宋体"/>
                      <w:color w:val="auto"/>
                      <w:szCs w:val="21"/>
                      <w:highlight w:val="none"/>
                    </w:rPr>
                  </w:pPr>
                  <w:r>
                    <w:rPr>
                      <w:rStyle w:val="79"/>
                      <w:rFonts w:hint="eastAsia" w:ascii="宋体" w:hAnsi="宋体" w:cs="宋体"/>
                      <w:bCs/>
                      <w:color w:val="auto"/>
                      <w:kern w:val="0"/>
                      <w:szCs w:val="21"/>
                      <w:highlight w:val="none"/>
                    </w:rPr>
                    <w:t>3.需满足本次除“四害”服务的要求</w:t>
                  </w:r>
                </w:p>
              </w:tc>
            </w:tr>
            <w:tr w14:paraId="161D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68E1BB2B">
                  <w:pPr>
                    <w:widowControl/>
                    <w:spacing w:line="440" w:lineRule="exact"/>
                    <w:jc w:val="center"/>
                    <w:textAlignment w:val="baseline"/>
                    <w:rPr>
                      <w:rStyle w:val="79"/>
                      <w:rFonts w:hint="default" w:ascii="宋体" w:hAnsi="宋体" w:cs="宋体"/>
                      <w:color w:val="auto"/>
                      <w:szCs w:val="21"/>
                      <w:highlight w:val="none"/>
                      <w:lang w:val="en-US"/>
                    </w:rPr>
                  </w:pPr>
                  <w:r>
                    <w:rPr>
                      <w:rStyle w:val="79"/>
                      <w:rFonts w:hint="eastAsia" w:ascii="宋体" w:hAnsi="宋体" w:cs="宋体"/>
                      <w:color w:val="auto"/>
                      <w:szCs w:val="21"/>
                      <w:highlight w:val="none"/>
                      <w:lang w:val="en-US"/>
                    </w:rPr>
                    <w:t>6</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0240AAA">
                  <w:pPr>
                    <w:keepNext w:val="0"/>
                    <w:keepLines w:val="0"/>
                    <w:pageBreakBefore w:val="0"/>
                    <w:kinsoku/>
                    <w:overflowPunct/>
                    <w:autoSpaceDE/>
                    <w:autoSpaceDN/>
                    <w:bidi w:val="0"/>
                    <w:spacing w:line="240" w:lineRule="auto"/>
                    <w:jc w:val="center"/>
                    <w:textAlignment w:val="baseline"/>
                    <w:rPr>
                      <w:rFonts w:hint="eastAsia" w:ascii="Arial" w:hAnsi="Arial" w:eastAsia="宋体" w:cs="Arial"/>
                      <w:color w:val="auto"/>
                      <w:kern w:val="2"/>
                      <w:sz w:val="21"/>
                      <w:szCs w:val="21"/>
                      <w:highlight w:val="none"/>
                      <w:lang w:val="en-US" w:eastAsia="zh-CN" w:bidi="ar-SA"/>
                    </w:rPr>
                  </w:pPr>
                  <w:r>
                    <w:rPr>
                      <w:rFonts w:hint="eastAsia" w:ascii="宋体" w:hAnsi="宋体"/>
                      <w:color w:val="auto"/>
                      <w:szCs w:val="21"/>
                      <w:highlight w:val="none"/>
                    </w:rPr>
                    <w:t>粘鼠板</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0E69F922">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适用于</w:t>
                  </w:r>
                  <w:r>
                    <w:rPr>
                      <w:rFonts w:hint="eastAsia" w:ascii="宋体" w:hAnsi="宋体"/>
                      <w:color w:val="auto"/>
                      <w:szCs w:val="21"/>
                      <w:highlight w:val="none"/>
                      <w:lang w:eastAsia="zh-CN"/>
                    </w:rPr>
                    <w:t>农贸市场</w:t>
                  </w:r>
                  <w:r>
                    <w:rPr>
                      <w:rFonts w:hint="eastAsia" w:ascii="宋体" w:hAnsi="宋体"/>
                      <w:color w:val="auto"/>
                      <w:szCs w:val="21"/>
                      <w:highlight w:val="none"/>
                    </w:rPr>
                    <w:t>室内灭鼠。</w:t>
                  </w:r>
                </w:p>
                <w:p w14:paraId="19EC6A4D">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★1.含胶量：≥25克；</w:t>
                  </w:r>
                </w:p>
                <w:p w14:paraId="60CF5EE2">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2.规格：展开大小300mm×200mm；</w:t>
                  </w:r>
                </w:p>
                <w:p w14:paraId="2B594500">
                  <w:pPr>
                    <w:pStyle w:val="2"/>
                    <w:keepNext w:val="0"/>
                    <w:keepLines w:val="0"/>
                    <w:pageBreakBefore w:val="0"/>
                    <w:kinsoku/>
                    <w:overflowPunct/>
                    <w:autoSpaceDE/>
                    <w:autoSpaceDN/>
                    <w:bidi w:val="0"/>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t>3.材质：硬纸板。</w:t>
                  </w:r>
                </w:p>
                <w:p w14:paraId="7BB3A855">
                  <w:pPr>
                    <w:pStyle w:val="2"/>
                    <w:keepNext w:val="0"/>
                    <w:keepLines w:val="0"/>
                    <w:pageBreakBefore w:val="0"/>
                    <w:kinsoku/>
                    <w:overflowPunct/>
                    <w:autoSpaceDE/>
                    <w:autoSpaceDN/>
                    <w:bidi w:val="0"/>
                    <w:spacing w:line="240" w:lineRule="auto"/>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4.数量：</w:t>
                  </w:r>
                  <w:r>
                    <w:rPr>
                      <w:rFonts w:hint="eastAsia" w:ascii="宋体" w:hAnsi="宋体"/>
                      <w:color w:val="auto"/>
                      <w:szCs w:val="21"/>
                      <w:highlight w:val="none"/>
                      <w:lang w:eastAsia="zh-CN"/>
                    </w:rPr>
                    <w:t>每个农贸市场放置</w:t>
                  </w: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张</w:t>
                  </w:r>
                  <w:r>
                    <w:rPr>
                      <w:rFonts w:hint="eastAsia" w:ascii="宋体" w:hAnsi="宋体"/>
                      <w:color w:val="auto"/>
                      <w:szCs w:val="21"/>
                      <w:highlight w:val="none"/>
                      <w:lang w:eastAsia="zh-CN"/>
                    </w:rPr>
                    <w:t>（以实际达到灭杀效果为准）</w:t>
                  </w:r>
                </w:p>
              </w:tc>
            </w:tr>
            <w:tr w14:paraId="6164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98D0860">
                  <w:pPr>
                    <w:widowControl/>
                    <w:spacing w:line="440" w:lineRule="exact"/>
                    <w:jc w:val="center"/>
                    <w:textAlignment w:val="baseline"/>
                    <w:rPr>
                      <w:rStyle w:val="79"/>
                      <w:rFonts w:hint="default" w:ascii="宋体" w:hAnsi="宋体" w:cs="宋体"/>
                      <w:color w:val="auto"/>
                      <w:szCs w:val="21"/>
                      <w:highlight w:val="none"/>
                      <w:lang w:val="en-US"/>
                    </w:rPr>
                  </w:pPr>
                  <w:r>
                    <w:rPr>
                      <w:rStyle w:val="79"/>
                      <w:rFonts w:hint="eastAsia" w:ascii="宋体" w:hAnsi="宋体" w:cs="宋体"/>
                      <w:color w:val="auto"/>
                      <w:szCs w:val="21"/>
                      <w:highlight w:val="none"/>
                      <w:lang w:val="en-US"/>
                    </w:rPr>
                    <w:t>7</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7DB01225">
                  <w:pPr>
                    <w:keepNext w:val="0"/>
                    <w:keepLines w:val="0"/>
                    <w:pageBreakBefore w:val="0"/>
                    <w:kinsoku/>
                    <w:overflowPunct/>
                    <w:autoSpaceDE/>
                    <w:autoSpaceDN/>
                    <w:bidi w:val="0"/>
                    <w:spacing w:line="240" w:lineRule="auto"/>
                    <w:jc w:val="center"/>
                    <w:textAlignment w:val="baseline"/>
                    <w:rPr>
                      <w:rFonts w:hint="eastAsia" w:ascii="Arial" w:hAnsi="Arial" w:eastAsia="宋体" w:cs="Arial"/>
                      <w:color w:val="auto"/>
                      <w:kern w:val="2"/>
                      <w:sz w:val="21"/>
                      <w:szCs w:val="21"/>
                      <w:highlight w:val="none"/>
                      <w:lang w:val="en-US" w:eastAsia="zh-CN" w:bidi="ar-SA"/>
                    </w:rPr>
                  </w:pPr>
                  <w:r>
                    <w:rPr>
                      <w:rFonts w:hint="eastAsia" w:ascii="宋体" w:hAnsi="宋体" w:cs="宋体"/>
                      <w:color w:val="auto"/>
                      <w:kern w:val="0"/>
                      <w:szCs w:val="21"/>
                      <w:highlight w:val="none"/>
                    </w:rPr>
                    <w:t>灭蝇笼、绳等</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12F73B8A">
                  <w:pPr>
                    <w:pStyle w:val="2"/>
                    <w:keepNext w:val="0"/>
                    <w:keepLines w:val="0"/>
                    <w:pageBreakBefore w:val="0"/>
                    <w:kinsoku/>
                    <w:overflowPunct/>
                    <w:autoSpaceDE/>
                    <w:autoSpaceDN/>
                    <w:bidi w:val="0"/>
                    <w:spacing w:line="240" w:lineRule="auto"/>
                    <w:ind w:firstLine="0" w:firstLineChars="0"/>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eastAsia="zh-CN"/>
                    </w:rPr>
                    <w:t>每个</w:t>
                  </w:r>
                  <w:r>
                    <w:rPr>
                      <w:rFonts w:hint="eastAsia"/>
                      <w:color w:val="auto"/>
                      <w:highlight w:val="none"/>
                    </w:rPr>
                    <w:t>农贸市场安装灭蝇笼、绳</w:t>
                  </w:r>
                  <w:r>
                    <w:rPr>
                      <w:rFonts w:hint="eastAsia" w:ascii="宋体" w:hAnsi="宋体"/>
                      <w:color w:val="auto"/>
                      <w:szCs w:val="21"/>
                      <w:highlight w:val="none"/>
                    </w:rPr>
                    <w:t>≥</w:t>
                  </w:r>
                  <w:r>
                    <w:rPr>
                      <w:rFonts w:hint="eastAsia"/>
                      <w:color w:val="auto"/>
                      <w:highlight w:val="none"/>
                      <w:lang w:val="en-US" w:eastAsia="zh-CN"/>
                    </w:rPr>
                    <w:t>10处</w:t>
                  </w:r>
                  <w:r>
                    <w:rPr>
                      <w:rFonts w:hint="eastAsia"/>
                      <w:color w:val="auto"/>
                      <w:highlight w:val="none"/>
                    </w:rPr>
                    <w:t>，含苍蝇引诱剂</w:t>
                  </w:r>
                  <w:r>
                    <w:rPr>
                      <w:rFonts w:hint="eastAsia"/>
                      <w:color w:val="auto"/>
                      <w:highlight w:val="none"/>
                      <w:lang w:val="en-US" w:eastAsia="zh-CN"/>
                    </w:rPr>
                    <w:t>50包</w:t>
                  </w:r>
                  <w:r>
                    <w:rPr>
                      <w:rFonts w:hint="eastAsia"/>
                      <w:color w:val="auto"/>
                      <w:highlight w:val="none"/>
                    </w:rPr>
                    <w:t>，每个农贸市场按照面积放置，具体以达到防治效果为准。</w:t>
                  </w:r>
                </w:p>
              </w:tc>
            </w:tr>
            <w:tr w14:paraId="4716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3E3300A">
                  <w:pPr>
                    <w:widowControl/>
                    <w:spacing w:line="440" w:lineRule="exact"/>
                    <w:jc w:val="center"/>
                    <w:textAlignment w:val="baseline"/>
                    <w:rPr>
                      <w:rFonts w:ascii="宋体" w:hAnsi="宋体"/>
                      <w:color w:val="auto"/>
                      <w:szCs w:val="21"/>
                      <w:highlight w:val="none"/>
                    </w:rPr>
                  </w:pPr>
                  <w:r>
                    <w:rPr>
                      <w:rStyle w:val="79"/>
                      <w:rFonts w:hint="eastAsia" w:ascii="宋体" w:hAnsi="宋体"/>
                      <w:color w:val="auto"/>
                      <w:szCs w:val="21"/>
                      <w:highlight w:val="none"/>
                      <w:lang w:val="en-US"/>
                    </w:rPr>
                    <w:t>8</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99BF4B6">
                  <w:pPr>
                    <w:spacing w:line="440" w:lineRule="exact"/>
                    <w:jc w:val="center"/>
                    <w:textAlignment w:val="baseline"/>
                    <w:rPr>
                      <w:rFonts w:hint="eastAsia" w:ascii="宋体" w:hAnsi="宋体"/>
                      <w:color w:val="auto"/>
                      <w:kern w:val="0"/>
                      <w:szCs w:val="21"/>
                      <w:highlight w:val="none"/>
                    </w:rPr>
                  </w:pPr>
                  <w:r>
                    <w:rPr>
                      <w:rStyle w:val="79"/>
                      <w:rFonts w:hint="eastAsia" w:ascii="宋体" w:hAnsi="宋体" w:cs="宋体"/>
                      <w:color w:val="auto"/>
                      <w:kern w:val="0"/>
                      <w:szCs w:val="21"/>
                      <w:highlight w:val="none"/>
                    </w:rPr>
                    <w:t>热烟雾机、手推式喷雾器汽油</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14DDE4E1">
                  <w:pPr>
                    <w:spacing w:line="440" w:lineRule="exact"/>
                    <w:textAlignment w:val="baseline"/>
                    <w:rPr>
                      <w:rFonts w:hint="eastAsia" w:ascii="宋体" w:hAnsi="宋体" w:cs="宋体"/>
                      <w:bCs/>
                      <w:color w:val="auto"/>
                      <w:kern w:val="0"/>
                      <w:szCs w:val="21"/>
                      <w:highlight w:val="none"/>
                    </w:rPr>
                  </w:pP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40升。</w:t>
                  </w:r>
                </w:p>
              </w:tc>
            </w:tr>
          </w:tbl>
          <w:p w14:paraId="7B287966">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1、以上2-</w:t>
            </w: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color w:val="auto"/>
                <w:kern w:val="2"/>
                <w:sz w:val="21"/>
                <w:szCs w:val="21"/>
                <w:highlight w:val="none"/>
                <w:lang w:val="en-US" w:eastAsia="zh-CN" w:bidi="ar-SA"/>
              </w:rPr>
              <w:t>项及第1项灭鼠剂所列卫生杀虫剂为本项目要求供应商使用的消杀药品类别，供应商所选用的药品要按照以上所列的技术参数来选用，即有效成分、含量、剂型符合要求。</w:t>
            </w:r>
          </w:p>
          <w:p w14:paraId="1C8184D3">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color w:val="auto"/>
                <w:kern w:val="2"/>
                <w:sz w:val="21"/>
                <w:szCs w:val="21"/>
                <w:highlight w:val="none"/>
                <w:lang w:val="en-US" w:eastAsia="zh-CN" w:bidi="ar-SA"/>
              </w:rPr>
              <w:t>2、杜绝使用来源不明、无“三证”或质量不稳定的卫生杀虫剂，确保灭效和人畜等各项安全，符合绿色环保的有关要求。</w:t>
            </w:r>
            <w:r>
              <w:rPr>
                <w:rFonts w:hint="eastAsia" w:ascii="宋体" w:hAnsi="宋体" w:eastAsia="宋体" w:cs="宋体"/>
                <w:b/>
                <w:bCs w:val="0"/>
                <w:color w:val="auto"/>
                <w:kern w:val="2"/>
                <w:sz w:val="21"/>
                <w:szCs w:val="21"/>
                <w:highlight w:val="none"/>
                <w:lang w:val="en-US" w:eastAsia="zh-CN" w:bidi="ar-SA"/>
              </w:rPr>
              <w:t>不得使用国家、自治区禁止使用的药物；不得在食品工厂及学校等场所使用农业部限制使用灭鼠毒饵；不得使用不育剂等灭鼠周期过长毒饵，否则响应文件按无效处理。</w:t>
            </w:r>
          </w:p>
          <w:p w14:paraId="5DEED95D">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left"/>
              <w:outlineLvl w:val="6"/>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五、</w:t>
            </w:r>
            <w:r>
              <w:rPr>
                <w:rFonts w:ascii="宋体" w:hAnsi="宋体" w:cs="宋体"/>
                <w:b/>
                <w:bCs/>
                <w:color w:val="auto"/>
                <w:kern w:val="0"/>
                <w:szCs w:val="21"/>
                <w:highlight w:val="none"/>
              </w:rPr>
              <w:t>工作要求</w:t>
            </w:r>
          </w:p>
          <w:p w14:paraId="5C01CCB5">
            <w:pPr>
              <w:pStyle w:val="21"/>
              <w:keepNext w:val="0"/>
              <w:keepLines w:val="0"/>
              <w:pageBreakBefore w:val="0"/>
              <w:widowControl w:val="0"/>
              <w:kinsoku/>
              <w:wordWrap/>
              <w:overflowPunct/>
              <w:topLinePunct w:val="0"/>
              <w:bidi w:val="0"/>
              <w:adjustRightInd/>
              <w:snapToGrid/>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（一）工作要求</w:t>
            </w:r>
          </w:p>
          <w:p w14:paraId="67ED346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1.必须确保城区公共场所“四害”</w:t>
            </w:r>
            <w:r>
              <w:rPr>
                <w:rFonts w:hint="eastAsia" w:ascii="宋体" w:hAnsi="宋体" w:cs="宋体"/>
                <w:color w:val="auto"/>
                <w:kern w:val="0"/>
                <w:szCs w:val="21"/>
                <w:highlight w:val="none"/>
              </w:rPr>
              <w:t>防制工作达到国家标准C级</w:t>
            </w:r>
            <w:r>
              <w:rPr>
                <w:rFonts w:ascii="宋体" w:hAnsi="宋体" w:cs="宋体"/>
                <w:color w:val="auto"/>
                <w:kern w:val="0"/>
                <w:szCs w:val="21"/>
                <w:highlight w:val="none"/>
              </w:rPr>
              <w:t>。</w:t>
            </w:r>
          </w:p>
          <w:p w14:paraId="1800A25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.必须保证病媒生物防制药械的安全使用。</w:t>
            </w:r>
          </w:p>
          <w:p w14:paraId="6937625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项目</w:t>
            </w:r>
            <w:r>
              <w:rPr>
                <w:rFonts w:ascii="宋体" w:hAnsi="宋体" w:cs="宋体"/>
                <w:color w:val="auto"/>
                <w:kern w:val="0"/>
                <w:szCs w:val="21"/>
                <w:highlight w:val="none"/>
              </w:rPr>
              <w:t>结束后（或过程中），至少邀请1次专家组对</w:t>
            </w:r>
            <w:r>
              <w:rPr>
                <w:rFonts w:hint="eastAsia" w:ascii="宋体" w:hAnsi="宋体" w:cs="宋体"/>
                <w:color w:val="auto"/>
                <w:kern w:val="0"/>
                <w:szCs w:val="21"/>
                <w:highlight w:val="none"/>
                <w:lang w:val="en-US" w:eastAsia="zh-CN"/>
              </w:rPr>
              <w:t>项目实施</w:t>
            </w:r>
            <w:r>
              <w:rPr>
                <w:rFonts w:ascii="宋体" w:hAnsi="宋体" w:cs="宋体"/>
                <w:color w:val="auto"/>
                <w:kern w:val="0"/>
                <w:szCs w:val="21"/>
                <w:highlight w:val="none"/>
              </w:rPr>
              <w:t>情况进行检查</w:t>
            </w:r>
            <w:r>
              <w:rPr>
                <w:rFonts w:hint="eastAsia" w:ascii="宋体" w:hAnsi="宋体" w:cs="宋体"/>
                <w:color w:val="auto"/>
                <w:kern w:val="0"/>
                <w:szCs w:val="21"/>
                <w:highlight w:val="none"/>
              </w:rPr>
              <w:t>指导</w:t>
            </w:r>
            <w:r>
              <w:rPr>
                <w:rFonts w:ascii="宋体" w:hAnsi="宋体" w:cs="宋体"/>
                <w:color w:val="auto"/>
                <w:kern w:val="0"/>
                <w:szCs w:val="21"/>
                <w:highlight w:val="none"/>
              </w:rPr>
              <w:t>，专家由</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u w:val="single"/>
                <w:lang w:val="en-US" w:eastAsia="zh-CN"/>
              </w:rPr>
              <w:t>梧州市卫生健康委（市爱卫办）</w:t>
            </w:r>
            <w:r>
              <w:rPr>
                <w:rFonts w:ascii="宋体" w:hAnsi="宋体" w:cs="宋体"/>
                <w:color w:val="auto"/>
                <w:kern w:val="0"/>
                <w:szCs w:val="21"/>
                <w:highlight w:val="none"/>
              </w:rPr>
              <w:t>指定</w:t>
            </w:r>
            <w:r>
              <w:rPr>
                <w:rFonts w:hint="eastAsia" w:ascii="宋体" w:hAnsi="宋体" w:cs="宋体"/>
                <w:color w:val="auto"/>
                <w:kern w:val="0"/>
                <w:szCs w:val="21"/>
                <w:highlight w:val="none"/>
                <w:lang w:eastAsia="zh-CN"/>
              </w:rPr>
              <w:t>。</w:t>
            </w:r>
          </w:p>
          <w:p w14:paraId="27065E3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.对鼠药投放点要配备双标识，即毒鼠屋有标识，毒鼠屋临近的位置（墙壁、树木等）也要有标识。</w:t>
            </w:r>
          </w:p>
          <w:p w14:paraId="3D11CFC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.毒鼠屋长度≥30cm</w:t>
            </w:r>
            <w:r>
              <w:rPr>
                <w:rFonts w:hint="eastAsia" w:ascii="宋体" w:hAnsi="宋体" w:cs="宋体"/>
                <w:color w:val="auto"/>
                <w:kern w:val="0"/>
                <w:szCs w:val="21"/>
                <w:highlight w:val="none"/>
              </w:rPr>
              <w:t>，两端设置有鼠药防漏功能</w:t>
            </w:r>
            <w:r>
              <w:rPr>
                <w:rFonts w:ascii="宋体" w:hAnsi="宋体" w:cs="宋体"/>
                <w:color w:val="auto"/>
                <w:kern w:val="0"/>
                <w:szCs w:val="21"/>
                <w:highlight w:val="none"/>
              </w:rPr>
              <w:t>。</w:t>
            </w:r>
          </w:p>
          <w:p w14:paraId="556112B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lang w:val="en-US" w:eastAsia="zh-CN"/>
              </w:rPr>
              <w:t>6</w:t>
            </w:r>
            <w:r>
              <w:rPr>
                <w:rFonts w:ascii="宋体" w:hAnsi="宋体" w:cs="宋体"/>
                <w:color w:val="auto"/>
                <w:kern w:val="0"/>
                <w:highlight w:val="none"/>
              </w:rPr>
              <w:t>.对</w:t>
            </w:r>
            <w:r>
              <w:rPr>
                <w:rFonts w:hint="eastAsia" w:ascii="宋体" w:hAnsi="宋体" w:cs="宋体"/>
                <w:color w:val="auto"/>
                <w:kern w:val="0"/>
                <w:highlight w:val="none"/>
                <w:lang w:val="en-US" w:eastAsia="zh-CN"/>
              </w:rPr>
              <w:t>项目</w:t>
            </w:r>
            <w:r>
              <w:rPr>
                <w:rFonts w:ascii="宋体" w:hAnsi="宋体" w:cs="宋体"/>
                <w:color w:val="auto"/>
                <w:kern w:val="0"/>
                <w:highlight w:val="none"/>
              </w:rPr>
              <w:t>片区投放的毒鼠屋进行统一编号并固定好位置，形成一览表和位置图报至</w:t>
            </w:r>
            <w:r>
              <w:rPr>
                <w:rFonts w:hint="eastAsia" w:ascii="宋体" w:hAnsi="宋体" w:cs="宋体"/>
                <w:color w:val="auto"/>
                <w:kern w:val="0"/>
                <w:highlight w:val="none"/>
                <w:u w:val="single"/>
                <w:lang w:val="en-US" w:eastAsia="zh-CN"/>
              </w:rPr>
              <w:t xml:space="preserve"> 梧州市卫生健康委（市爱卫办）</w:t>
            </w:r>
          </w:p>
          <w:p w14:paraId="7AF8468C">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成交</w:t>
            </w:r>
            <w:r>
              <w:rPr>
                <w:rFonts w:ascii="宋体" w:hAnsi="宋体" w:cs="宋体"/>
                <w:color w:val="auto"/>
                <w:kern w:val="0"/>
                <w:szCs w:val="21"/>
                <w:highlight w:val="none"/>
              </w:rPr>
              <w:t>供应商必须保证除四害药械的安全使用，所使用的药械必须符合国家规定，不得使用国家禁止使用的药械。</w:t>
            </w:r>
          </w:p>
          <w:p w14:paraId="23AE9B49">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ascii="宋体" w:hAnsi="宋体" w:cs="宋体"/>
                <w:color w:val="auto"/>
                <w:kern w:val="0"/>
                <w:szCs w:val="21"/>
                <w:highlight w:val="none"/>
              </w:rPr>
              <w:t>）灭鼠后公共场所的鼠迹（死鼠、鼠洞）由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负责清理，蟑迹由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指导</w:t>
            </w:r>
            <w:r>
              <w:rPr>
                <w:rFonts w:hint="eastAsia" w:ascii="宋体" w:hAnsi="宋体" w:cs="宋体"/>
                <w:color w:val="auto"/>
                <w:kern w:val="0"/>
                <w:szCs w:val="21"/>
                <w:highlight w:val="none"/>
                <w:lang w:val="en-US" w:eastAsia="zh-CN"/>
              </w:rPr>
              <w:t>采购人</w:t>
            </w:r>
            <w:r>
              <w:rPr>
                <w:rFonts w:ascii="宋体" w:hAnsi="宋体" w:cs="宋体"/>
                <w:color w:val="auto"/>
                <w:kern w:val="0"/>
                <w:szCs w:val="21"/>
                <w:highlight w:val="none"/>
              </w:rPr>
              <w:t>进行清理。</w:t>
            </w:r>
          </w:p>
          <w:p w14:paraId="75DADD40">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ascii="宋体" w:hAnsi="宋体" w:cs="宋体"/>
                <w:color w:val="auto"/>
                <w:kern w:val="0"/>
                <w:szCs w:val="21"/>
                <w:highlight w:val="none"/>
              </w:rPr>
              <w:t>）在投放鼠药的范围内设置警示标志。</w:t>
            </w:r>
          </w:p>
          <w:p w14:paraId="54404488">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ascii="宋体" w:hAnsi="宋体" w:cs="宋体"/>
                <w:color w:val="auto"/>
                <w:kern w:val="0"/>
                <w:szCs w:val="21"/>
                <w:highlight w:val="none"/>
              </w:rPr>
              <w:t>）施工人员在防治害虫作业期间不影响市民正常生活。</w:t>
            </w:r>
          </w:p>
          <w:p w14:paraId="68926D70">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ascii="宋体" w:hAnsi="宋体" w:cs="宋体"/>
                <w:color w:val="auto"/>
                <w:kern w:val="0"/>
                <w:szCs w:val="21"/>
                <w:highlight w:val="none"/>
              </w:rPr>
              <w:t>）施工人员必须持证上岗，着公司统一制服，并佩戴工作牌。</w:t>
            </w:r>
          </w:p>
          <w:p w14:paraId="45320870">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highlight w:val="none"/>
              </w:rPr>
              <w:t>（</w:t>
            </w:r>
            <w:r>
              <w:rPr>
                <w:rFonts w:hint="eastAsia" w:ascii="宋体" w:hAnsi="宋体" w:cs="宋体"/>
                <w:color w:val="auto"/>
                <w:kern w:val="0"/>
                <w:highlight w:val="none"/>
                <w:lang w:val="en-US" w:eastAsia="zh-CN"/>
              </w:rPr>
              <w:t>七</w:t>
            </w:r>
            <w:r>
              <w:rPr>
                <w:rFonts w:ascii="宋体" w:hAnsi="宋体" w:cs="宋体"/>
                <w:color w:val="auto"/>
                <w:kern w:val="0"/>
                <w:highlight w:val="none"/>
              </w:rPr>
              <w:t>）必须在规定</w:t>
            </w:r>
            <w:r>
              <w:rPr>
                <w:rFonts w:hint="eastAsia" w:ascii="宋体" w:hAnsi="宋体" w:cs="宋体"/>
                <w:color w:val="auto"/>
                <w:kern w:val="0"/>
                <w:highlight w:val="none"/>
                <w:lang w:val="en-US" w:eastAsia="zh-CN"/>
              </w:rPr>
              <w:t>服务</w:t>
            </w:r>
            <w:r>
              <w:rPr>
                <w:rFonts w:ascii="宋体" w:hAnsi="宋体" w:cs="宋体"/>
                <w:color w:val="auto"/>
                <w:kern w:val="0"/>
                <w:highlight w:val="none"/>
              </w:rPr>
              <w:t>期限内完成消杀服务</w:t>
            </w:r>
            <w:r>
              <w:rPr>
                <w:rFonts w:hint="eastAsia" w:ascii="宋体" w:hAnsi="宋体" w:cs="宋体"/>
                <w:color w:val="auto"/>
                <w:kern w:val="0"/>
                <w:highlight w:val="none"/>
              </w:rPr>
              <w:t>工作。</w:t>
            </w:r>
          </w:p>
          <w:p w14:paraId="49CF4C32">
            <w:pPr>
              <w:keepNext w:val="0"/>
              <w:keepLines w:val="0"/>
              <w:pageBreakBefore w:val="0"/>
              <w:widowControl w:val="0"/>
              <w:kinsoku/>
              <w:wordWrap/>
              <w:overflowPunct/>
              <w:topLinePunct w:val="0"/>
              <w:autoSpaceDE w:val="0"/>
              <w:autoSpaceDN w:val="0"/>
              <w:bidi w:val="0"/>
              <w:adjustRightInd/>
              <w:snapToGrid/>
              <w:spacing w:line="332" w:lineRule="auto"/>
              <w:ind w:right="210" w:firstLine="422" w:firstLineChars="200"/>
              <w:jc w:val="lef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六、监督与验收</w:t>
            </w:r>
          </w:p>
          <w:p w14:paraId="35E944A8">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w:t>
            </w:r>
            <w:r>
              <w:rPr>
                <w:rFonts w:hint="eastAsia"/>
                <w:color w:val="auto"/>
                <w:highlight w:val="none"/>
                <w:lang w:eastAsia="zh-CN"/>
              </w:rPr>
              <w:t>爱卫办</w:t>
            </w:r>
            <w:r>
              <w:rPr>
                <w:rFonts w:hint="eastAsia" w:ascii="宋体" w:hAnsi="宋体" w:cs="宋体"/>
                <w:color w:val="auto"/>
                <w:kern w:val="0"/>
                <w:szCs w:val="21"/>
                <w:highlight w:val="none"/>
              </w:rPr>
              <w:t>负责对</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服务进行质量监督，点验抽查药械数量和质量，查验出入库登记。有检测条件的，对其质量进行抽样检测，无检测条件的查验并留存相关产品“三证”，采取留样送检、委托抽检等方式进行监督。</w:t>
            </w:r>
          </w:p>
          <w:p w14:paraId="50790095">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eastAsia="zh-CN"/>
              </w:rPr>
              <w:t>万秀区卫生健康局（</w:t>
            </w:r>
            <w:r>
              <w:rPr>
                <w:rFonts w:hint="eastAsia" w:ascii="宋体" w:hAnsi="宋体" w:cs="宋体"/>
                <w:color w:val="auto"/>
                <w:kern w:val="0"/>
                <w:szCs w:val="21"/>
                <w:highlight w:val="none"/>
                <w:u w:val="single"/>
                <w:lang w:val="en-US" w:eastAsia="zh-CN"/>
              </w:rPr>
              <w:t>爱卫办</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rPr>
              <w:t>负责协助对</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服务的范围和工作开展情况进行日常监督，并协调辖区内的公园广场、沿街公厕、垃圾中转站配合</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开展病媒生物消杀工作。</w:t>
            </w:r>
          </w:p>
          <w:p w14:paraId="247E5A6F">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.梧州</w:t>
            </w:r>
            <w:r>
              <w:rPr>
                <w:rFonts w:ascii="宋体" w:hAnsi="宋体" w:cs="宋体"/>
                <w:color w:val="auto"/>
                <w:kern w:val="0"/>
                <w:szCs w:val="21"/>
                <w:highlight w:val="none"/>
              </w:rPr>
              <w:t>市疾病预防控制中心对消杀后的病媒生物密度进行监测，监测结果达到</w:t>
            </w:r>
            <w:r>
              <w:rPr>
                <w:rFonts w:hint="default" w:ascii="宋体" w:hAnsi="宋体" w:eastAsia="宋体" w:cs="宋体"/>
                <w:bCs/>
                <w:color w:val="auto"/>
                <w:kern w:val="2"/>
                <w:sz w:val="21"/>
                <w:szCs w:val="21"/>
                <w:highlight w:val="none"/>
                <w:lang w:val="en-US" w:eastAsia="zh-CN" w:bidi="ar-SA"/>
              </w:rPr>
              <w:t>病媒生物密度</w:t>
            </w:r>
            <w:r>
              <w:rPr>
                <w:rFonts w:hint="eastAsia" w:ascii="宋体" w:hAnsi="宋体" w:cs="宋体"/>
                <w:bCs/>
                <w:color w:val="auto"/>
                <w:kern w:val="2"/>
                <w:sz w:val="21"/>
                <w:szCs w:val="21"/>
                <w:highlight w:val="none"/>
                <w:lang w:val="en-US" w:eastAsia="zh-CN" w:bidi="ar-SA"/>
              </w:rPr>
              <w:t>控制</w:t>
            </w:r>
            <w:r>
              <w:rPr>
                <w:rFonts w:hint="default" w:ascii="宋体" w:hAnsi="宋体" w:eastAsia="宋体" w:cs="宋体"/>
                <w:bCs/>
                <w:color w:val="auto"/>
                <w:kern w:val="2"/>
                <w:sz w:val="21"/>
                <w:szCs w:val="21"/>
                <w:highlight w:val="none"/>
                <w:lang w:val="en-US" w:eastAsia="zh-CN" w:bidi="ar-SA"/>
              </w:rPr>
              <w:t>C级</w:t>
            </w:r>
            <w:r>
              <w:rPr>
                <w:rFonts w:hint="eastAsia" w:ascii="宋体" w:hAnsi="宋体" w:cs="宋体"/>
                <w:bCs/>
                <w:color w:val="auto"/>
                <w:kern w:val="2"/>
                <w:sz w:val="21"/>
                <w:szCs w:val="21"/>
                <w:highlight w:val="none"/>
                <w:lang w:val="en-US" w:eastAsia="zh-CN" w:bidi="ar-SA"/>
              </w:rPr>
              <w:t>标准</w:t>
            </w:r>
            <w:r>
              <w:rPr>
                <w:rFonts w:ascii="宋体" w:hAnsi="宋体" w:cs="宋体"/>
                <w:color w:val="auto"/>
                <w:kern w:val="0"/>
                <w:szCs w:val="21"/>
                <w:highlight w:val="none"/>
              </w:rPr>
              <w:t>后</w:t>
            </w:r>
            <w:r>
              <w:rPr>
                <w:rFonts w:hint="eastAsia" w:ascii="宋体" w:hAnsi="宋体" w:cs="宋体"/>
                <w:color w:val="auto"/>
                <w:kern w:val="0"/>
                <w:szCs w:val="21"/>
                <w:highlight w:val="none"/>
              </w:rPr>
              <w:t>方可</w:t>
            </w:r>
            <w:r>
              <w:rPr>
                <w:rFonts w:ascii="宋体" w:hAnsi="宋体" w:cs="宋体"/>
                <w:color w:val="auto"/>
                <w:kern w:val="0"/>
                <w:szCs w:val="21"/>
                <w:highlight w:val="none"/>
              </w:rPr>
              <w:t>验收合格。</w:t>
            </w:r>
          </w:p>
          <w:p w14:paraId="03BAD657">
            <w:pPr>
              <w:keepNext w:val="0"/>
              <w:keepLines w:val="0"/>
              <w:pageBreakBefore w:val="0"/>
              <w:widowControl w:val="0"/>
              <w:kinsoku/>
              <w:wordWrap/>
              <w:overflowPunct/>
              <w:topLinePunct w:val="0"/>
              <w:autoSpaceDE w:val="0"/>
              <w:autoSpaceDN w:val="0"/>
              <w:bidi w:val="0"/>
              <w:adjustRightInd/>
              <w:snapToGrid/>
              <w:spacing w:line="440" w:lineRule="exact"/>
              <w:ind w:right="210"/>
              <w:jc w:val="left"/>
              <w:rPr>
                <w:rFonts w:ascii="宋体" w:hAnsi="宋体" w:cs="宋体"/>
                <w:b/>
                <w:color w:val="auto"/>
                <w:kern w:val="0"/>
                <w:szCs w:val="21"/>
                <w:highlight w:val="none"/>
              </w:rPr>
            </w:pPr>
            <w:r>
              <w:rPr>
                <w:rFonts w:hint="eastAsia" w:ascii="宋体" w:hAnsi="宋体" w:cs="宋体"/>
                <w:b/>
                <w:color w:val="auto"/>
                <w:spacing w:val="-8"/>
                <w:kern w:val="0"/>
                <w:szCs w:val="21"/>
                <w:highlight w:val="none"/>
                <w:lang w:val="en-US" w:eastAsia="zh-CN"/>
              </w:rPr>
              <w:t>七</w:t>
            </w:r>
            <w:r>
              <w:rPr>
                <w:rFonts w:ascii="宋体" w:hAnsi="宋体" w:cs="宋体"/>
                <w:b/>
                <w:color w:val="auto"/>
                <w:spacing w:val="-8"/>
                <w:kern w:val="0"/>
                <w:szCs w:val="21"/>
                <w:highlight w:val="none"/>
              </w:rPr>
              <w:t>、技术要求</w:t>
            </w:r>
          </w:p>
          <w:p w14:paraId="7E72F9CE">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（一）供应商须提供可行的消杀技术方案和实施方案。</w:t>
            </w:r>
          </w:p>
          <w:p w14:paraId="2A03D56B">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（二）供应商应具备足够的各类施工及技术人员、器械、车辆等，并利用各种有效的常规或创新的消杀技术、方法或装置，安全、环保、高效地完成消杀工作，达到消杀质量标准。</w:t>
            </w:r>
            <w:r>
              <w:rPr>
                <w:rFonts w:hint="eastAsia" w:ascii="宋体" w:hAnsi="宋体" w:cs="宋体"/>
                <w:color w:val="auto"/>
                <w:kern w:val="0"/>
                <w:szCs w:val="21"/>
                <w:highlight w:val="none"/>
              </w:rPr>
              <w:t>超低容量喷雾器不少于4台；热烟雾机不少于4台；消杀作业车辆不少于3辆；手推式机动喷雾机不少于4台，手压式喷雾器不少于4台</w:t>
            </w:r>
            <w:r>
              <w:rPr>
                <w:rFonts w:hint="eastAsia" w:ascii="宋体" w:hAnsi="宋体" w:cs="宋体"/>
                <w:color w:val="auto"/>
                <w:kern w:val="0"/>
                <w:szCs w:val="21"/>
                <w:highlight w:val="none"/>
                <w:lang w:eastAsia="zh-CN"/>
              </w:rPr>
              <w:t>。</w:t>
            </w:r>
          </w:p>
          <w:p w14:paraId="3C4FDC3A">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hint="eastAsia" w:ascii="宋体" w:hAnsi="宋体" w:eastAsia="宋体" w:cs="宋体"/>
                <w:bCs/>
                <w:color w:val="auto"/>
                <w:sz w:val="21"/>
                <w:szCs w:val="21"/>
                <w:highlight w:val="none"/>
              </w:rPr>
            </w:pPr>
            <w:r>
              <w:rPr>
                <w:rFonts w:ascii="宋体" w:hAnsi="宋体" w:cs="宋体"/>
                <w:color w:val="auto"/>
                <w:kern w:val="0"/>
                <w:szCs w:val="21"/>
                <w:highlight w:val="none"/>
              </w:rPr>
              <w:t>（三）药械应有具体的数量，符合</w:t>
            </w:r>
            <w:r>
              <w:rPr>
                <w:rFonts w:hint="eastAsia" w:ascii="宋体" w:hAnsi="宋体" w:cs="宋体"/>
                <w:color w:val="auto"/>
                <w:kern w:val="0"/>
                <w:szCs w:val="21"/>
                <w:highlight w:val="none"/>
                <w:lang w:val="en-US" w:eastAsia="zh-CN"/>
              </w:rPr>
              <w:t>项目片区</w:t>
            </w:r>
            <w:r>
              <w:rPr>
                <w:rFonts w:ascii="宋体" w:hAnsi="宋体" w:cs="宋体"/>
                <w:color w:val="auto"/>
                <w:kern w:val="0"/>
                <w:szCs w:val="21"/>
                <w:highlight w:val="none"/>
              </w:rPr>
              <w:t>实际需要，并完成消杀服务区域内的主要街道、公共绿化地、闲置地、下水道、垃圾中转站、公共厕所等病媒生物防制工作。</w:t>
            </w:r>
          </w:p>
        </w:tc>
      </w:tr>
      <w:tr w14:paraId="232C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1F95C0C2">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二、商务要求</w:t>
            </w:r>
          </w:p>
        </w:tc>
      </w:tr>
      <w:tr w14:paraId="73481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6B94D7FF">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22A06659">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要求</w:t>
            </w:r>
          </w:p>
        </w:tc>
      </w:tr>
      <w:tr w14:paraId="1489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2A4F255A">
            <w:pPr>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合同签订期</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305414F9">
            <w:pPr>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自成交通知书发出之日起15个日历日内签订合同。</w:t>
            </w:r>
          </w:p>
        </w:tc>
      </w:tr>
      <w:tr w14:paraId="02D32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136455F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及服务地点</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1FE1E6C7">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宋体" w:hAnsi="宋体" w:cs="宋体"/>
                <w:color w:val="auto"/>
                <w:szCs w:val="21"/>
                <w:highlight w:val="none"/>
              </w:rPr>
              <w:t>。</w:t>
            </w:r>
          </w:p>
          <w:p w14:paraId="471A6543">
            <w:pPr>
              <w:spacing w:line="440" w:lineRule="exact"/>
              <w:jc w:val="left"/>
              <w:rPr>
                <w:rFonts w:hint="eastAsia" w:ascii="宋体" w:hAnsi="宋体"/>
                <w:color w:val="auto"/>
                <w:highlight w:val="none"/>
              </w:rPr>
            </w:pPr>
            <w:r>
              <w:rPr>
                <w:rFonts w:hint="eastAsia" w:ascii="宋体" w:hAnsi="宋体" w:cs="宋体"/>
                <w:color w:val="auto"/>
                <w:szCs w:val="21"/>
                <w:highlight w:val="none"/>
              </w:rPr>
              <w:t>2.服务地点：广西梧州市采购人指定地点。</w:t>
            </w:r>
          </w:p>
        </w:tc>
      </w:tr>
      <w:tr w14:paraId="40E7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2822AA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付款方式及条件</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62EEC7F7">
            <w:pPr>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7月开展第一次除四害，完成并验收通过后在对服务区域加强一次服务（具体时间以实际完成招标和开展除四害定），成交供应商向采购人开具全额发票，采购人收到发票后10个工作日内一次付清。</w:t>
            </w:r>
          </w:p>
        </w:tc>
      </w:tr>
      <w:tr w14:paraId="0016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6A4EF884">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售后服务</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381FBAA5">
            <w:pPr>
              <w:spacing w:line="440" w:lineRule="exact"/>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消杀服务采购所需货物按国家有关规定实行“三包”，负责送货上门。</w:t>
            </w:r>
          </w:p>
        </w:tc>
      </w:tr>
      <w:tr w14:paraId="64EA2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7A69284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11C806F6">
            <w:pPr>
              <w:spacing w:line="440" w:lineRule="exact"/>
              <w:rPr>
                <w:rFonts w:hint="eastAsia" w:ascii="宋体" w:hAnsi="宋体"/>
                <w:color w:val="auto"/>
                <w:highlight w:val="none"/>
              </w:rPr>
            </w:pPr>
            <w:r>
              <w:rPr>
                <w:rFonts w:hint="eastAsia" w:ascii="宋体" w:hAnsi="宋体"/>
                <w:color w:val="auto"/>
                <w:highlight w:val="none"/>
                <w:lang w:val="en-US" w:eastAsia="zh-CN"/>
              </w:rPr>
              <w:t>确保</w:t>
            </w:r>
            <w:r>
              <w:rPr>
                <w:rFonts w:hint="eastAsia" w:ascii="宋体" w:hAnsi="宋体"/>
                <w:color w:val="auto"/>
                <w:highlight w:val="none"/>
              </w:rPr>
              <w:t>灭鼠、蚊、蝇、蟑螂达《GB/T 27773-2011 病媒生物密度控制水平》 C 级标准；消杀验收采用病媒生物密度监测方法：鼠类 GB/T 23798-2009、病媒生物密度监测方法：蟑螂 GB/T 23795-2009、病媒生物密度监测方法：蝇类 GB/T 23796-2009、病媒生物密度监测方法：蚊类 GB/T 23797-2009。</w:t>
            </w:r>
          </w:p>
        </w:tc>
      </w:tr>
    </w:tbl>
    <w:p w14:paraId="1A30C8BE">
      <w:pPr>
        <w:spacing w:line="360" w:lineRule="auto"/>
        <w:ind w:firstLine="308" w:firstLineChars="147"/>
        <w:jc w:val="left"/>
        <w:rPr>
          <w:rFonts w:ascii="宋体" w:hAnsi="宋体" w:cs="Arial"/>
          <w:bCs/>
          <w:color w:val="auto"/>
          <w:szCs w:val="21"/>
          <w:highlight w:val="none"/>
          <w:u w:val="single"/>
        </w:rPr>
      </w:pPr>
      <w:r>
        <w:rPr>
          <w:rFonts w:hint="eastAsia" w:ascii="宋体" w:hAnsi="宋体"/>
          <w:color w:val="auto"/>
          <w:highlight w:val="none"/>
        </w:rPr>
        <w:br w:type="page"/>
      </w:r>
    </w:p>
    <w:p w14:paraId="27224FB2">
      <w:pPr>
        <w:pStyle w:val="2"/>
        <w:rPr>
          <w:rFonts w:hint="default" w:eastAsia="宋体"/>
          <w:b/>
          <w:bCs/>
          <w:color w:val="auto"/>
          <w:highlight w:val="none"/>
          <w:lang w:val="en-US" w:eastAsia="zh-CN"/>
        </w:rPr>
      </w:pPr>
      <w:r>
        <w:rPr>
          <w:rFonts w:hint="eastAsia" w:ascii="宋体" w:hAnsi="宋体"/>
          <w:b/>
          <w:bCs/>
          <w:color w:val="auto"/>
          <w:highlight w:val="none"/>
          <w:lang w:val="en-US" w:eastAsia="zh-CN"/>
        </w:rPr>
        <w:t>分标2   预算金额：</w:t>
      </w:r>
      <w:r>
        <w:rPr>
          <w:rFonts w:hint="eastAsia" w:ascii="宋体" w:hAnsi="宋体"/>
          <w:b/>
          <w:bCs/>
          <w:color w:val="auto"/>
          <w:highlight w:val="none"/>
          <w:u w:val="single"/>
          <w:lang w:val="en-US" w:eastAsia="zh-CN"/>
        </w:rPr>
        <w:t>18万元</w:t>
      </w:r>
    </w:p>
    <w:p w14:paraId="4990765C">
      <w:pPr>
        <w:pStyle w:val="2"/>
        <w:rPr>
          <w:rFonts w:hint="default" w:eastAsia="宋体"/>
          <w:b/>
          <w:bCs/>
          <w:color w:val="auto"/>
          <w:highlight w:val="no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897"/>
        <w:gridCol w:w="4"/>
        <w:gridCol w:w="733"/>
        <w:gridCol w:w="6432"/>
      </w:tblGrid>
      <w:tr w14:paraId="5C3D4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9" w:hRule="atLeast"/>
        </w:trPr>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51368D6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一、项目要求及技术要求</w:t>
            </w:r>
          </w:p>
        </w:tc>
      </w:tr>
      <w:tr w14:paraId="509D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5E30DE8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26748D4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F26A3D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74E896B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技术要求</w:t>
            </w:r>
          </w:p>
        </w:tc>
      </w:tr>
      <w:tr w14:paraId="04DAA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7DEA6B5F">
            <w:pPr>
              <w:pStyle w:val="21"/>
              <w:rPr>
                <w:rFonts w:hint="eastAsia"/>
                <w:color w:val="auto"/>
                <w:highlight w:val="none"/>
              </w:rPr>
            </w:pPr>
            <w:r>
              <w:rPr>
                <w:rFonts w:hint="eastAsia"/>
                <w:color w:val="auto"/>
                <w:highlight w:val="none"/>
                <w:lang w:val="en-US" w:eastAsia="zh-CN"/>
              </w:rPr>
              <w:t>1</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197C621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梧州市长洲</w:t>
            </w:r>
            <w:r>
              <w:rPr>
                <w:rFonts w:hint="eastAsia" w:ascii="宋体" w:hAnsi="宋体"/>
                <w:color w:val="auto"/>
                <w:szCs w:val="21"/>
                <w:highlight w:val="none"/>
              </w:rPr>
              <w:t>区“除四害”服务</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2512CD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2B7E912">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一、项目总概况</w:t>
            </w:r>
          </w:p>
          <w:p w14:paraId="100AE57E">
            <w:pPr>
              <w:pStyle w:val="2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为了有效控制城区病媒密度，控制虫媒传染疾病风险，维护市民身体健康。对我市建成区公共场所开展病媒生物防制工作。城区范围为</w:t>
            </w:r>
            <w:r>
              <w:rPr>
                <w:rFonts w:hint="eastAsia" w:ascii="宋体" w:hAnsi="宋体" w:cs="宋体"/>
                <w:bCs/>
                <w:color w:val="auto"/>
                <w:kern w:val="2"/>
                <w:sz w:val="21"/>
                <w:szCs w:val="21"/>
                <w:highlight w:val="none"/>
                <w:lang w:val="en-US" w:eastAsia="zh-CN" w:bidi="ar-SA"/>
              </w:rPr>
              <w:t>长洲区</w:t>
            </w:r>
            <w:r>
              <w:rPr>
                <w:rFonts w:hint="default" w:ascii="宋体" w:hAnsi="宋体" w:eastAsia="宋体" w:cs="宋体"/>
                <w:bCs/>
                <w:color w:val="auto"/>
                <w:kern w:val="2"/>
                <w:sz w:val="21"/>
                <w:szCs w:val="21"/>
                <w:highlight w:val="none"/>
                <w:lang w:val="en-US" w:eastAsia="zh-CN" w:bidi="ar-SA"/>
              </w:rPr>
              <w:t>内所有主次干道绿化带、街心花园、闲置地、下水道、垃圾桶、公共厕所、垃圾中转站</w:t>
            </w:r>
            <w:r>
              <w:rPr>
                <w:rFonts w:hint="eastAsia" w:ascii="宋体" w:hAnsi="宋体" w:cs="宋体"/>
                <w:bCs/>
                <w:color w:val="auto"/>
                <w:kern w:val="2"/>
                <w:sz w:val="21"/>
                <w:szCs w:val="21"/>
                <w:highlight w:val="none"/>
                <w:lang w:val="en-US" w:eastAsia="zh-CN" w:bidi="ar-SA"/>
              </w:rPr>
              <w:t>、农贸市场</w:t>
            </w:r>
            <w:r>
              <w:rPr>
                <w:rFonts w:hint="default"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公共场所</w:t>
            </w:r>
            <w:r>
              <w:rPr>
                <w:rFonts w:hint="default" w:ascii="宋体" w:hAnsi="宋体" w:eastAsia="宋体" w:cs="宋体"/>
                <w:bCs/>
                <w:color w:val="auto"/>
                <w:kern w:val="2"/>
                <w:sz w:val="21"/>
                <w:szCs w:val="21"/>
                <w:highlight w:val="none"/>
                <w:lang w:val="en-US" w:eastAsia="zh-CN" w:bidi="ar-SA"/>
              </w:rPr>
              <w:t>。引进</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家专业消杀公司负责</w:t>
            </w:r>
            <w:r>
              <w:rPr>
                <w:rFonts w:hint="eastAsia" w:ascii="宋体" w:hAnsi="宋体" w:cs="宋体"/>
                <w:bCs/>
                <w:color w:val="auto"/>
                <w:kern w:val="2"/>
                <w:sz w:val="21"/>
                <w:szCs w:val="21"/>
                <w:highlight w:val="none"/>
                <w:lang w:val="en-US" w:eastAsia="zh-CN" w:bidi="ar-SA"/>
              </w:rPr>
              <w:t>长洲区</w:t>
            </w:r>
            <w:r>
              <w:rPr>
                <w:rFonts w:hint="default" w:ascii="宋体" w:hAnsi="宋体" w:eastAsia="宋体" w:cs="宋体"/>
                <w:bCs/>
                <w:color w:val="auto"/>
                <w:kern w:val="2"/>
                <w:sz w:val="21"/>
                <w:szCs w:val="21"/>
                <w:highlight w:val="none"/>
                <w:lang w:val="en-US" w:eastAsia="zh-CN" w:bidi="ar-SA"/>
              </w:rPr>
              <w:t>公共场所的病媒生物防制工作，确保城区公共场所病媒生物密度达到病媒生物密度</w:t>
            </w:r>
            <w:r>
              <w:rPr>
                <w:rFonts w:hint="eastAsia" w:ascii="宋体" w:hAnsi="宋体" w:cs="宋体"/>
                <w:bCs/>
                <w:color w:val="auto"/>
                <w:kern w:val="2"/>
                <w:sz w:val="21"/>
                <w:szCs w:val="21"/>
                <w:highlight w:val="none"/>
                <w:lang w:val="en-US" w:eastAsia="zh-CN" w:bidi="ar-SA"/>
              </w:rPr>
              <w:t>控制</w:t>
            </w:r>
            <w:r>
              <w:rPr>
                <w:rFonts w:hint="default" w:ascii="宋体" w:hAnsi="宋体" w:eastAsia="宋体" w:cs="宋体"/>
                <w:bCs/>
                <w:color w:val="auto"/>
                <w:kern w:val="2"/>
                <w:sz w:val="21"/>
                <w:szCs w:val="21"/>
                <w:highlight w:val="none"/>
                <w:lang w:val="en-US" w:eastAsia="zh-CN" w:bidi="ar-SA"/>
              </w:rPr>
              <w:t>C级标准。</w:t>
            </w:r>
          </w:p>
          <w:p w14:paraId="07B4625C">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二、灭鼠范围</w:t>
            </w:r>
          </w:p>
          <w:p w14:paraId="726561A7">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宋体" w:hAnsi="宋体" w:eastAsia="宋体" w:cs="宋体"/>
                <w:b w:val="0"/>
                <w:bCs/>
                <w:color w:val="auto"/>
                <w:kern w:val="2"/>
                <w:sz w:val="21"/>
                <w:szCs w:val="21"/>
                <w:highlight w:val="none"/>
                <w:lang w:val="en-US" w:eastAsia="zh-CN" w:bidi="ar-SA"/>
              </w:rPr>
              <w:t>长洲区：新兴二路、新兴三路、西堤三路、奥奇丽路、迎宾路、冬湖路、银湖南路、三龙大道、红岭路、湖滨路、德润路、站前路、竹湾路、吉祥路、吉塘路、菊湖路、秋湖路、夏湖路、春湖路、新湖二路、新湖一路、新兴珠宝路、金湖北路、广成线（外环路）、平浪高速路收费站至三龙大道段、瑞和路、祥湖北路、兴梧路、兴业路、兴安路、祥湖南路、瑞湖路、永和路、龙腾路、三龙东三路、三龙东二路、三龙东一路、新闻路、机场路、国龙大酒店东侧路、银湖北路、银湖北路、长洲消防西侧路、西环路、西环龙山里路、新兴二路北一巷、三桥至水利枢纽、毅德城、兴龙路、兴龙路北侧路、红岭路北一巷、竹湾路连通西堤三路匝道（两边）、长洲岛南侧沿江路、长洲岛北侧沿江路、机场路东侧路、机场路南侧路、龙腾路至三桥非桥面段、职院北侧路（经纬路）等上述主要街道及垃圾中转站、公厕、公园绿地等灭鼠。</w:t>
            </w:r>
          </w:p>
          <w:p w14:paraId="5CB667CF">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2.大塘市场、京梧市场、幸福市场、新城市场、红岭市场、宏威农产品交易中心、福兴农贸市场、新龙市场、同舟市场、竹湾市场、粤廉花木鸟市场、龙兴农贸市场、泰基·红岭市场灭鼠。</w:t>
            </w:r>
          </w:p>
          <w:p w14:paraId="2D5826DC">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三、灭蟑、灭蚊、灭蝇范围</w:t>
            </w:r>
          </w:p>
          <w:p w14:paraId="1BA7542F">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长洲区：区内市政府及市委联合大楼周边有、区内所有主次干道绿化带、街心花园、闲置地、下水道、垃圾桶、公共厕所、垃圾中转站。</w:t>
            </w:r>
          </w:p>
          <w:p w14:paraId="0164B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（一）公共厕所：新兴二路2号公厕、西堤三路1号公厕、西堤三路2号公厕、西堤三路3号公厕、红岭路1号公厕</w:t>
            </w:r>
          </w:p>
          <w:p w14:paraId="29033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湖滨路2号公厕、三龙大道3号公厕、新兴二路1号公厕、新兴二路3号公厕、新湖一路公厕、红岭路2号公厕、三龙东一路公厕、三龙大道1号公厕、三龙大道2号公厕、湖滨路1号公厕、舜帝大道公厕、新闻路1号公厕、玫瑰湖公厕、西堤公园公厕。</w:t>
            </w:r>
          </w:p>
          <w:p w14:paraId="7C693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（二）垃圾中转站：新兴三路中转站、竹湾中转站、两广B区、红岭毅德城对面垃圾中转站、玫瑰湖对面垃圾中转站（临时）、长洲区垃圾转运场。</w:t>
            </w:r>
          </w:p>
          <w:p w14:paraId="33B0F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（三）农贸市场：大塘市场、京梧市场、幸福市场、新城市场、红岭市场、宏威农产品交易中心、福兴农贸市场、新龙市场、同舟市场、竹湾市场、粤廉花木鸟市场、龙兴农贸市场、泰基·红岭市场</w:t>
            </w:r>
          </w:p>
          <w:p w14:paraId="1E5AB62E">
            <w:pPr>
              <w:pStyle w:val="2"/>
              <w:keepNext w:val="0"/>
              <w:keepLines w:val="0"/>
              <w:pageBreakBefore w:val="0"/>
              <w:numPr>
                <w:ilvl w:val="0"/>
                <w:numId w:val="4"/>
              </w:numPr>
              <w:kinsoku/>
              <w:wordWrap/>
              <w:overflowPunct/>
              <w:topLinePunct w:val="0"/>
              <w:autoSpaceDE/>
              <w:autoSpaceDN/>
              <w:bidi w:val="0"/>
              <w:adjustRightInd/>
              <w:snapToGrid/>
              <w:spacing w:line="440" w:lineRule="exact"/>
              <w:ind w:leftChars="0"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药物需求一览表</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7"/>
              <w:gridCol w:w="1942"/>
              <w:gridCol w:w="3825"/>
            </w:tblGrid>
            <w:tr w14:paraId="41C7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4D410C5">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序号</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34EC413E">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货物或服务名称</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0F679EB8">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药物技术参数及性能（配置）要求</w:t>
                  </w:r>
                </w:p>
              </w:tc>
            </w:tr>
            <w:tr w14:paraId="6318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7CC0B7E1">
                  <w:pPr>
                    <w:widowControl/>
                    <w:tabs>
                      <w:tab w:val="center" w:pos="366"/>
                      <w:tab w:val="left" w:pos="501"/>
                    </w:tabs>
                    <w:spacing w:line="440" w:lineRule="exact"/>
                    <w:jc w:val="left"/>
                    <w:textAlignment w:val="baseline"/>
                    <w:rPr>
                      <w:rStyle w:val="79"/>
                      <w:color w:val="auto"/>
                      <w:szCs w:val="21"/>
                      <w:highlight w:val="none"/>
                    </w:rPr>
                  </w:pPr>
                  <w:r>
                    <w:rPr>
                      <w:rStyle w:val="79"/>
                      <w:rFonts w:hint="eastAsia" w:ascii="宋体" w:hAnsi="宋体" w:cs="宋体"/>
                      <w:color w:val="auto"/>
                      <w:szCs w:val="21"/>
                      <w:highlight w:val="none"/>
                    </w:rPr>
                    <w:tab/>
                  </w:r>
                  <w:r>
                    <w:rPr>
                      <w:rStyle w:val="79"/>
                      <w:rFonts w:hint="eastAsia" w:ascii="宋体" w:hAnsi="宋体" w:cs="宋体"/>
                      <w:color w:val="auto"/>
                      <w:szCs w:val="21"/>
                      <w:highlight w:val="none"/>
                    </w:rPr>
                    <w:t>1</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7BE6F5CF">
                  <w:pPr>
                    <w:spacing w:line="440" w:lineRule="exact"/>
                    <w:jc w:val="center"/>
                    <w:textAlignment w:val="baseline"/>
                    <w:rPr>
                      <w:rStyle w:val="79"/>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0.005%溴鼠灵饵剂（含灭鼠服务）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548205F8">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1、1千克/包，20千克/袋；</w:t>
                  </w:r>
                </w:p>
                <w:p w14:paraId="5196B4D8">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2、包装材料：反光（或避光）塑料膜。</w:t>
                  </w:r>
                </w:p>
                <w:p w14:paraId="5C1D9BAE">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★3、有效成分含量：溴鼠灵含量</w:t>
                  </w:r>
                  <w:r>
                    <w:rPr>
                      <w:rStyle w:val="79"/>
                      <w:rFonts w:ascii="Arial" w:hAnsi="Arial" w:cs="Arial"/>
                      <w:color w:val="auto"/>
                      <w:szCs w:val="21"/>
                      <w:highlight w:val="none"/>
                    </w:rPr>
                    <w:t>≥</w:t>
                  </w:r>
                  <w:r>
                    <w:rPr>
                      <w:rFonts w:hint="eastAsia" w:ascii="宋体" w:hAnsi="宋体" w:cs="宋体"/>
                      <w:bCs/>
                      <w:color w:val="auto"/>
                      <w:szCs w:val="21"/>
                      <w:highlight w:val="none"/>
                    </w:rPr>
                    <w:t>0.005%</w:t>
                  </w:r>
                </w:p>
                <w:p w14:paraId="6D01C6D3">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4、外包装：印有产品性能、使用技术、中毒及急救措施、生产日期、有效期等。</w:t>
                  </w:r>
                </w:p>
                <w:p w14:paraId="5030D022">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5、所供毒饵有效期≥15个月。</w:t>
                  </w:r>
                </w:p>
                <w:p w14:paraId="7E2A4EEF">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6、在灭鼠范围内灭鼠的同时开展填鼠洞，要求用水泥（混凝土）、碎石填封。</w:t>
                  </w:r>
                </w:p>
                <w:p w14:paraId="36792BC8">
                  <w:pPr>
                    <w:wordWrap w:val="0"/>
                    <w:topLinePunct/>
                    <w:adjustRightInd w:val="0"/>
                    <w:snapToGrid w:val="0"/>
                    <w:spacing w:line="300" w:lineRule="exact"/>
                    <w:jc w:val="left"/>
                    <w:rPr>
                      <w:rStyle w:val="79"/>
                      <w:rFonts w:ascii="宋体" w:hAnsi="宋体"/>
                      <w:color w:val="auto"/>
                      <w:szCs w:val="21"/>
                      <w:highlight w:val="none"/>
                    </w:rPr>
                  </w:pPr>
                  <w:r>
                    <w:rPr>
                      <w:rStyle w:val="79"/>
                      <w:rFonts w:hint="eastAsia" w:ascii="宋体" w:hAnsi="宋体"/>
                      <w:color w:val="auto"/>
                      <w:szCs w:val="21"/>
                      <w:highlight w:val="none"/>
                      <w:lang w:val="en-US"/>
                    </w:rPr>
                    <w:t>7、除“四害”工作需在</w:t>
                  </w:r>
                  <w:r>
                    <w:rPr>
                      <w:rStyle w:val="79"/>
                      <w:rFonts w:hint="eastAsia" w:ascii="宋体" w:hAnsi="宋体"/>
                      <w:color w:val="auto"/>
                      <w:szCs w:val="21"/>
                      <w:highlight w:val="none"/>
                      <w:lang w:val="en-US" w:eastAsia="zh-CN"/>
                    </w:rPr>
                    <w:t>10</w:t>
                  </w:r>
                  <w:r>
                    <w:rPr>
                      <w:rStyle w:val="79"/>
                      <w:rFonts w:hint="eastAsia" w:ascii="宋体" w:hAnsi="宋体"/>
                      <w:color w:val="auto"/>
                      <w:szCs w:val="21"/>
                      <w:highlight w:val="none"/>
                      <w:lang w:val="en-US"/>
                    </w:rPr>
                    <w:t>日内完成。</w:t>
                  </w:r>
                </w:p>
              </w:tc>
            </w:tr>
            <w:tr w14:paraId="33C08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8B508D9">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2</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86E0E4A">
                  <w:pPr>
                    <w:keepNext w:val="0"/>
                    <w:keepLines w:val="0"/>
                    <w:widowControl/>
                    <w:suppressLineNumbers w:val="0"/>
                    <w:jc w:val="left"/>
                    <w:rPr>
                      <w:rStyle w:val="79"/>
                      <w:rFonts w:hAnsi="宋体"/>
                      <w:color w:val="auto"/>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0.5%吡丙醚颗粒剂（含灭蚊幼服务）或者</w:t>
                  </w:r>
                  <w:r>
                    <w:rPr>
                      <w:rFonts w:ascii="sans-serif" w:hAnsi="sans-serif" w:eastAsia="宋体" w:cs="sans-serif"/>
                      <w:i w:val="0"/>
                      <w:caps w:val="0"/>
                      <w:color w:val="auto"/>
                      <w:spacing w:val="0"/>
                      <w:kern w:val="0"/>
                      <w:sz w:val="19"/>
                      <w:szCs w:val="19"/>
                      <w:highlight w:val="none"/>
                      <w:shd w:val="clear" w:color="auto" w:fill="FFFFFF"/>
                      <w:lang w:val="en-US" w:eastAsia="zh-CN" w:bidi="ar"/>
                    </w:rPr>
                    <w:t>苏芸金杆菌</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3369C071">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★1、有效成分：</w:t>
                  </w:r>
                  <w:r>
                    <w:rPr>
                      <w:rStyle w:val="79"/>
                      <w:rFonts w:ascii="Arial" w:hAnsi="Arial" w:cs="Arial"/>
                      <w:color w:val="auto"/>
                      <w:szCs w:val="21"/>
                      <w:highlight w:val="none"/>
                    </w:rPr>
                    <w:t>≥</w:t>
                  </w:r>
                  <w:r>
                    <w:rPr>
                      <w:rFonts w:hint="eastAsia" w:ascii="宋体" w:hAnsi="宋体" w:cs="宋体"/>
                      <w:bCs/>
                      <w:color w:val="auto"/>
                      <w:szCs w:val="21"/>
                      <w:highlight w:val="none"/>
                    </w:rPr>
                    <w:t>0.5%吡丙醚，剂型；颗粒剂；</w:t>
                  </w:r>
                </w:p>
                <w:p w14:paraId="0B213F53">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2、用于外环境蚊虫孳生地处理；</w:t>
                  </w:r>
                </w:p>
                <w:p w14:paraId="22B8E0DC">
                  <w:pPr>
                    <w:wordWrap w:val="0"/>
                    <w:topLinePunct/>
                    <w:adjustRightInd w:val="0"/>
                    <w:snapToGrid w:val="0"/>
                    <w:spacing w:line="300" w:lineRule="exact"/>
                    <w:jc w:val="left"/>
                    <w:rPr>
                      <w:rStyle w:val="79"/>
                      <w:rFonts w:ascii="宋体" w:hAnsi="宋体"/>
                      <w:color w:val="auto"/>
                      <w:szCs w:val="21"/>
                      <w:highlight w:val="none"/>
                    </w:rPr>
                  </w:pPr>
                  <w:r>
                    <w:rPr>
                      <w:rFonts w:hint="eastAsia" w:ascii="宋体" w:hAnsi="宋体" w:cs="宋体"/>
                      <w:bCs/>
                      <w:color w:val="auto"/>
                      <w:szCs w:val="21"/>
                      <w:highlight w:val="none"/>
                    </w:rPr>
                    <w:t>3、500克/包，20包/箱。</w:t>
                  </w:r>
                </w:p>
              </w:tc>
            </w:tr>
            <w:tr w14:paraId="23381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6C510BA">
                  <w:pPr>
                    <w:widowControl/>
                    <w:spacing w:line="440" w:lineRule="exact"/>
                    <w:jc w:val="center"/>
                    <w:textAlignment w:val="baseline"/>
                    <w:rPr>
                      <w:rStyle w:val="79"/>
                      <w:rFonts w:ascii="宋体" w:hAnsi="宋体" w:cs="宋体"/>
                      <w:color w:val="auto"/>
                      <w:szCs w:val="21"/>
                      <w:highlight w:val="none"/>
                    </w:rPr>
                  </w:pPr>
                  <w:r>
                    <w:rPr>
                      <w:rStyle w:val="79"/>
                      <w:rFonts w:hint="eastAsia" w:ascii="宋体" w:hAnsi="宋体" w:cs="宋体"/>
                      <w:color w:val="auto"/>
                      <w:szCs w:val="21"/>
                      <w:highlight w:val="none"/>
                    </w:rPr>
                    <w:t>3</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2B9F155">
                  <w:pPr>
                    <w:spacing w:line="440" w:lineRule="exact"/>
                    <w:jc w:val="center"/>
                    <w:textAlignment w:val="baseline"/>
                    <w:rPr>
                      <w:rStyle w:val="79"/>
                      <w:rFonts w:ascii="Arial" w:hAnsi="Arial" w:cs="Arial"/>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1%高效氯氰菊酯热烟雾剂（含复配剂）</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4AC9EBC6">
                  <w:pPr>
                    <w:wordWrap w:val="0"/>
                    <w:topLinePunct/>
                    <w:adjustRightInd w:val="0"/>
                    <w:snapToGrid w:val="0"/>
                    <w:spacing w:line="300" w:lineRule="exact"/>
                    <w:jc w:val="left"/>
                    <w:rPr>
                      <w:rFonts w:hint="eastAsia" w:ascii="宋体" w:hAnsi="宋体" w:cs="宋体"/>
                      <w:bCs/>
                      <w:color w:val="auto"/>
                      <w:szCs w:val="21"/>
                      <w:highlight w:val="none"/>
                    </w:rPr>
                  </w:pPr>
                  <w:r>
                    <w:rPr>
                      <w:rStyle w:val="79"/>
                      <w:rFonts w:hint="eastAsia" w:ascii="宋体" w:hAnsi="宋体" w:cs="宋体"/>
                      <w:color w:val="auto"/>
                      <w:szCs w:val="21"/>
                      <w:highlight w:val="none"/>
                    </w:rPr>
                    <w:t>1、</w:t>
                  </w:r>
                  <w:r>
                    <w:rPr>
                      <w:rFonts w:hint="eastAsia" w:ascii="宋体" w:hAnsi="宋体" w:cs="宋体"/>
                      <w:bCs/>
                      <w:color w:val="auto"/>
                      <w:szCs w:val="21"/>
                      <w:highlight w:val="none"/>
                    </w:rPr>
                    <w:t>为确保灭蟑螂效果，有效控制蟑螂密度，产品必需为202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月后生产。</w:t>
                  </w:r>
                </w:p>
                <w:p w14:paraId="32EDDC60">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▲2、有效成份：</w:t>
                  </w:r>
                  <w:r>
                    <w:rPr>
                      <w:rFonts w:ascii="宋体" w:hAnsi="宋体" w:cs="宋体"/>
                      <w:bCs/>
                      <w:color w:val="auto"/>
                      <w:szCs w:val="21"/>
                      <w:highlight w:val="none"/>
                    </w:rPr>
                    <w:t>≥</w:t>
                  </w:r>
                  <w:r>
                    <w:rPr>
                      <w:rFonts w:hint="eastAsia" w:ascii="宋体" w:hAnsi="宋体" w:cs="宋体"/>
                      <w:bCs/>
                      <w:color w:val="auto"/>
                      <w:szCs w:val="21"/>
                      <w:highlight w:val="none"/>
                    </w:rPr>
                    <w:t>1%高效氯氰菊酯，剂型：热雾剂 (药物包装有生产日期，用于下水道灭蟑螂、蚊子等）</w:t>
                  </w:r>
                </w:p>
                <w:p w14:paraId="176FEEF1">
                  <w:pPr>
                    <w:wordWrap w:val="0"/>
                    <w:topLinePunct/>
                    <w:adjustRightInd w:val="0"/>
                    <w:snapToGrid w:val="0"/>
                    <w:spacing w:line="300" w:lineRule="exact"/>
                    <w:jc w:val="left"/>
                    <w:rPr>
                      <w:rFonts w:hint="eastAsia"/>
                      <w:color w:val="auto"/>
                      <w:highlight w:val="none"/>
                    </w:rPr>
                  </w:pPr>
                  <w:r>
                    <w:rPr>
                      <w:rFonts w:hint="eastAsia" w:ascii="宋体" w:hAnsi="宋体" w:cs="宋体"/>
                      <w:bCs/>
                      <w:color w:val="auto"/>
                      <w:szCs w:val="21"/>
                      <w:highlight w:val="none"/>
                    </w:rPr>
                    <w:t>3、5升/桶，4桶/箱</w:t>
                  </w:r>
                </w:p>
              </w:tc>
            </w:tr>
            <w:tr w14:paraId="7B35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6272376F">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4</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0CB2A0E6">
                  <w:pPr>
                    <w:spacing w:line="440" w:lineRule="exact"/>
                    <w:jc w:val="center"/>
                    <w:textAlignment w:val="baseline"/>
                    <w:rPr>
                      <w:rStyle w:val="79"/>
                      <w:rFonts w:ascii="宋体" w:hAnsi="宋体"/>
                      <w:color w:val="auto"/>
                      <w:szCs w:val="21"/>
                      <w:highlight w:val="none"/>
                    </w:rPr>
                  </w:pPr>
                  <w:r>
                    <w:rPr>
                      <w:rStyle w:val="79"/>
                      <w:rFonts w:ascii="Arial" w:hAnsi="Arial" w:cs="Arial"/>
                      <w:color w:val="auto"/>
                      <w:szCs w:val="21"/>
                      <w:highlight w:val="none"/>
                    </w:rPr>
                    <w:t>≥</w:t>
                  </w:r>
                  <w:r>
                    <w:rPr>
                      <w:rStyle w:val="79"/>
                      <w:rFonts w:hint="eastAsia" w:ascii="Arial" w:hAnsi="Arial" w:cs="Arial"/>
                      <w:color w:val="auto"/>
                      <w:szCs w:val="21"/>
                      <w:highlight w:val="none"/>
                    </w:rPr>
                    <w:t>15%高氯残杀威悬浮剂</w:t>
                  </w:r>
                  <w:r>
                    <w:rPr>
                      <w:rStyle w:val="79"/>
                      <w:rFonts w:hint="eastAsia" w:ascii="宋体" w:hAnsi="宋体" w:cs="宋体"/>
                      <w:color w:val="auto"/>
                      <w:szCs w:val="21"/>
                      <w:highlight w:val="none"/>
                    </w:rPr>
                    <w:t>（含灭蚊蝇服务）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4A474934">
                  <w:pPr>
                    <w:pStyle w:val="78"/>
                    <w:widowControl/>
                    <w:spacing w:line="440" w:lineRule="exact"/>
                    <w:ind w:firstLine="0" w:firstLineChars="0"/>
                    <w:rPr>
                      <w:color w:val="auto"/>
                      <w:highlight w:val="none"/>
                    </w:rPr>
                  </w:pPr>
                  <w:r>
                    <w:rPr>
                      <w:rStyle w:val="79"/>
                      <w:b/>
                      <w:bCs/>
                      <w:color w:val="auto"/>
                      <w:highlight w:val="none"/>
                    </w:rPr>
                    <w:t>★</w:t>
                  </w:r>
                  <w:r>
                    <w:rPr>
                      <w:rFonts w:hint="eastAsia"/>
                      <w:color w:val="auto"/>
                      <w:highlight w:val="none"/>
                    </w:rPr>
                    <w:t>1、有效成分：</w:t>
                  </w:r>
                  <w:r>
                    <w:rPr>
                      <w:color w:val="auto"/>
                      <w:highlight w:val="none"/>
                    </w:rPr>
                    <w:t>≥</w:t>
                  </w:r>
                  <w:r>
                    <w:rPr>
                      <w:rFonts w:hint="eastAsia"/>
                      <w:color w:val="auto"/>
                      <w:highlight w:val="none"/>
                    </w:rPr>
                    <w:t>8.5%高效氯氰菊酯、</w:t>
                  </w:r>
                  <w:r>
                    <w:rPr>
                      <w:color w:val="auto"/>
                      <w:highlight w:val="none"/>
                    </w:rPr>
                    <w:t>≥</w:t>
                  </w:r>
                  <w:r>
                    <w:rPr>
                      <w:rFonts w:hint="eastAsia"/>
                      <w:color w:val="auto"/>
                      <w:highlight w:val="none"/>
                    </w:rPr>
                    <w:t>6.5%残杀威</w:t>
                  </w:r>
                </w:p>
                <w:p w14:paraId="7C9E6E9C">
                  <w:pPr>
                    <w:numPr>
                      <w:ilvl w:val="0"/>
                      <w:numId w:val="0"/>
                    </w:numPr>
                    <w:spacing w:line="440" w:lineRule="exact"/>
                    <w:textAlignment w:val="baseline"/>
                    <w:rPr>
                      <w:rFonts w:hint="eastAsia"/>
                      <w:color w:val="auto"/>
                      <w:highlight w:val="none"/>
                    </w:rPr>
                  </w:pPr>
                  <w:r>
                    <w:rPr>
                      <w:rFonts w:hint="eastAsia"/>
                      <w:color w:val="auto"/>
                      <w:highlight w:val="none"/>
                      <w:lang w:val="en-US" w:eastAsia="zh-CN"/>
                    </w:rPr>
                    <w:t>2、</w:t>
                  </w:r>
                  <w:r>
                    <w:rPr>
                      <w:rFonts w:hint="eastAsia"/>
                      <w:color w:val="auto"/>
                      <w:highlight w:val="none"/>
                    </w:rPr>
                    <w:t>有效期：二年内、包装标有生产日期</w:t>
                  </w:r>
                </w:p>
                <w:p w14:paraId="18D13B38">
                  <w:pPr>
                    <w:pStyle w:val="2"/>
                    <w:ind w:firstLine="0" w:firstLineChars="0"/>
                    <w:rPr>
                      <w:color w:val="auto"/>
                      <w:highlight w:val="none"/>
                    </w:rPr>
                  </w:pPr>
                  <w:r>
                    <w:rPr>
                      <w:rFonts w:hint="eastAsia"/>
                      <w:color w:val="auto"/>
                      <w:highlight w:val="none"/>
                    </w:rPr>
                    <w:t>3、500克/瓶，20瓶/箱。</w:t>
                  </w:r>
                </w:p>
              </w:tc>
            </w:tr>
            <w:tr w14:paraId="618D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49B17F6">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lang w:val="en-US"/>
                    </w:rPr>
                    <w:t>5</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5756FF81">
                  <w:pPr>
                    <w:spacing w:line="440" w:lineRule="exact"/>
                    <w:jc w:val="center"/>
                    <w:textAlignment w:val="baseline"/>
                    <w:rPr>
                      <w:rStyle w:val="79"/>
                      <w:color w:val="auto"/>
                      <w:szCs w:val="21"/>
                      <w:highlight w:val="none"/>
                    </w:rPr>
                  </w:pPr>
                  <w:r>
                    <w:rPr>
                      <w:rStyle w:val="79"/>
                      <w:rFonts w:hint="eastAsia" w:ascii="宋体" w:hAnsi="宋体" w:cs="宋体"/>
                      <w:color w:val="auto"/>
                      <w:szCs w:val="21"/>
                      <w:highlight w:val="none"/>
                    </w:rPr>
                    <w:t>毒鼠屋（毒饵站或毒饵盒）</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3D90ECEF">
                  <w:pPr>
                    <w:jc w:val="left"/>
                    <w:rPr>
                      <w:rFonts w:ascii="宋体" w:hAnsi="宋体"/>
                      <w:color w:val="auto"/>
                      <w:szCs w:val="21"/>
                      <w:highlight w:val="none"/>
                    </w:rPr>
                  </w:pPr>
                  <w:r>
                    <w:rPr>
                      <w:rFonts w:hint="eastAsia" w:ascii="宋体" w:hAnsi="宋体"/>
                      <w:color w:val="auto"/>
                      <w:szCs w:val="21"/>
                      <w:highlight w:val="none"/>
                    </w:rPr>
                    <w:t>适用于户外灭鼠。</w:t>
                  </w:r>
                </w:p>
                <w:p w14:paraId="3F1F8240">
                  <w:pPr>
                    <w:jc w:val="left"/>
                    <w:rPr>
                      <w:rFonts w:ascii="宋体" w:hAnsi="宋体"/>
                      <w:color w:val="auto"/>
                      <w:szCs w:val="21"/>
                      <w:highlight w:val="none"/>
                    </w:rPr>
                  </w:pPr>
                  <w:r>
                    <w:rPr>
                      <w:rFonts w:hint="eastAsia" w:ascii="宋体" w:hAnsi="宋体"/>
                      <w:color w:val="auto"/>
                      <w:szCs w:val="21"/>
                      <w:highlight w:val="none"/>
                    </w:rPr>
                    <w:t>1.材质：水泥或陶瓷；</w:t>
                  </w:r>
                </w:p>
                <w:p w14:paraId="513AFE90">
                  <w:pPr>
                    <w:pStyle w:val="78"/>
                    <w:widowControl/>
                    <w:spacing w:line="440" w:lineRule="exact"/>
                    <w:ind w:firstLine="0" w:firstLineChars="0"/>
                    <w:rPr>
                      <w:rStyle w:val="79"/>
                      <w:rFonts w:hint="eastAsia" w:ascii="宋体" w:hAnsi="宋体" w:cs="宋体"/>
                      <w:bCs/>
                      <w:color w:val="auto"/>
                      <w:kern w:val="0"/>
                      <w:szCs w:val="21"/>
                      <w:highlight w:val="none"/>
                    </w:rPr>
                  </w:pPr>
                  <w:r>
                    <w:rPr>
                      <w:rFonts w:hint="eastAsia" w:ascii="宋体" w:hAnsi="宋体"/>
                      <w:color w:val="auto"/>
                      <w:szCs w:val="21"/>
                      <w:highlight w:val="none"/>
                    </w:rPr>
                    <w:t>★2.规格：长度≥26cm。</w:t>
                  </w: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2000个,具体区域数量分配根据采购人最终确定为准。</w:t>
                  </w:r>
                </w:p>
                <w:p w14:paraId="591EB9C4">
                  <w:pPr>
                    <w:jc w:val="left"/>
                    <w:rPr>
                      <w:rStyle w:val="79"/>
                      <w:rFonts w:ascii="宋体" w:hAnsi="宋体"/>
                      <w:color w:val="auto"/>
                      <w:szCs w:val="21"/>
                      <w:highlight w:val="none"/>
                    </w:rPr>
                  </w:pPr>
                  <w:r>
                    <w:rPr>
                      <w:rStyle w:val="79"/>
                      <w:rFonts w:hint="eastAsia" w:ascii="宋体" w:hAnsi="宋体" w:cs="宋体"/>
                      <w:bCs/>
                      <w:color w:val="auto"/>
                      <w:kern w:val="0"/>
                      <w:szCs w:val="21"/>
                      <w:highlight w:val="none"/>
                    </w:rPr>
                    <w:t>3.需满足本次除“四害”服务的要求</w:t>
                  </w:r>
                </w:p>
              </w:tc>
            </w:tr>
            <w:tr w14:paraId="71F1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034E817">
                  <w:pPr>
                    <w:widowControl/>
                    <w:spacing w:line="440" w:lineRule="exact"/>
                    <w:jc w:val="center"/>
                    <w:textAlignment w:val="baseline"/>
                    <w:rPr>
                      <w:rFonts w:ascii="宋体" w:hAnsi="宋体"/>
                      <w:color w:val="auto"/>
                      <w:szCs w:val="21"/>
                      <w:highlight w:val="none"/>
                    </w:rPr>
                  </w:pPr>
                  <w:r>
                    <w:rPr>
                      <w:rStyle w:val="79"/>
                      <w:rFonts w:hint="eastAsia" w:ascii="宋体" w:hAnsi="宋体" w:cs="宋体"/>
                      <w:color w:val="auto"/>
                      <w:szCs w:val="21"/>
                      <w:highlight w:val="none"/>
                      <w:lang w:val="en-US"/>
                    </w:rPr>
                    <w:t>6</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BE1DD0C">
                  <w:pPr>
                    <w:keepNext w:val="0"/>
                    <w:keepLines w:val="0"/>
                    <w:pageBreakBefore w:val="0"/>
                    <w:kinsoku/>
                    <w:overflowPunct/>
                    <w:autoSpaceDE/>
                    <w:autoSpaceDN/>
                    <w:bidi w:val="0"/>
                    <w:spacing w:line="240" w:lineRule="auto"/>
                    <w:jc w:val="center"/>
                    <w:textAlignment w:val="baseline"/>
                    <w:rPr>
                      <w:rFonts w:hint="eastAsia" w:ascii="宋体" w:hAnsi="宋体"/>
                      <w:color w:val="auto"/>
                      <w:kern w:val="0"/>
                      <w:szCs w:val="21"/>
                      <w:highlight w:val="none"/>
                    </w:rPr>
                  </w:pPr>
                  <w:r>
                    <w:rPr>
                      <w:rFonts w:hint="eastAsia" w:ascii="宋体" w:hAnsi="宋体"/>
                      <w:color w:val="auto"/>
                      <w:szCs w:val="21"/>
                      <w:highlight w:val="none"/>
                    </w:rPr>
                    <w:t>粘鼠板</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0B253F71">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适用于</w:t>
                  </w:r>
                  <w:r>
                    <w:rPr>
                      <w:rFonts w:hint="eastAsia" w:ascii="宋体" w:hAnsi="宋体"/>
                      <w:color w:val="auto"/>
                      <w:szCs w:val="21"/>
                      <w:highlight w:val="none"/>
                      <w:lang w:eastAsia="zh-CN"/>
                    </w:rPr>
                    <w:t>农贸市场</w:t>
                  </w:r>
                  <w:r>
                    <w:rPr>
                      <w:rFonts w:hint="eastAsia" w:ascii="宋体" w:hAnsi="宋体"/>
                      <w:color w:val="auto"/>
                      <w:szCs w:val="21"/>
                      <w:highlight w:val="none"/>
                    </w:rPr>
                    <w:t>室内灭鼠。</w:t>
                  </w:r>
                </w:p>
                <w:p w14:paraId="5B3D9C21">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★1.含胶量：≥25克；</w:t>
                  </w:r>
                </w:p>
                <w:p w14:paraId="5A927102">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2.规格：展开大小300mm×200mm；</w:t>
                  </w:r>
                </w:p>
                <w:p w14:paraId="3F5D2CAC">
                  <w:pPr>
                    <w:pStyle w:val="2"/>
                    <w:keepNext w:val="0"/>
                    <w:keepLines w:val="0"/>
                    <w:pageBreakBefore w:val="0"/>
                    <w:kinsoku/>
                    <w:overflowPunct/>
                    <w:autoSpaceDE/>
                    <w:autoSpaceDN/>
                    <w:bidi w:val="0"/>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t>3.材质：硬纸板。</w:t>
                  </w:r>
                </w:p>
                <w:p w14:paraId="25AB1C4C">
                  <w:pPr>
                    <w:pStyle w:val="2"/>
                    <w:keepNext w:val="0"/>
                    <w:keepLines w:val="0"/>
                    <w:pageBreakBefore w:val="0"/>
                    <w:kinsoku/>
                    <w:overflowPunct/>
                    <w:autoSpaceDE/>
                    <w:autoSpaceDN/>
                    <w:bidi w:val="0"/>
                    <w:spacing w:line="240" w:lineRule="auto"/>
                    <w:ind w:firstLine="0" w:firstLineChars="0"/>
                    <w:rPr>
                      <w:rFonts w:hint="eastAsia" w:ascii="宋体" w:hAnsi="宋体" w:cs="宋体"/>
                      <w:bCs/>
                      <w:color w:val="auto"/>
                      <w:kern w:val="0"/>
                      <w:szCs w:val="21"/>
                      <w:highlight w:val="none"/>
                    </w:rPr>
                  </w:pPr>
                  <w:r>
                    <w:rPr>
                      <w:rFonts w:hint="eastAsia" w:ascii="宋体" w:hAnsi="宋体"/>
                      <w:color w:val="auto"/>
                      <w:szCs w:val="21"/>
                      <w:highlight w:val="none"/>
                    </w:rPr>
                    <w:t>4.数量：</w:t>
                  </w:r>
                  <w:r>
                    <w:rPr>
                      <w:rFonts w:hint="eastAsia" w:ascii="宋体" w:hAnsi="宋体"/>
                      <w:color w:val="auto"/>
                      <w:szCs w:val="21"/>
                      <w:highlight w:val="none"/>
                      <w:lang w:eastAsia="zh-CN"/>
                    </w:rPr>
                    <w:t>每个农贸市场放置</w:t>
                  </w: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张</w:t>
                  </w:r>
                  <w:r>
                    <w:rPr>
                      <w:rFonts w:hint="eastAsia" w:ascii="宋体" w:hAnsi="宋体"/>
                      <w:color w:val="auto"/>
                      <w:szCs w:val="21"/>
                      <w:highlight w:val="none"/>
                      <w:lang w:eastAsia="zh-CN"/>
                    </w:rPr>
                    <w:t>（以实际达到灭杀效果为准）</w:t>
                  </w:r>
                </w:p>
              </w:tc>
            </w:tr>
            <w:tr w14:paraId="466C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5286820">
                  <w:pPr>
                    <w:widowControl/>
                    <w:spacing w:line="440" w:lineRule="exact"/>
                    <w:jc w:val="center"/>
                    <w:textAlignment w:val="baseline"/>
                    <w:rPr>
                      <w:rStyle w:val="79"/>
                      <w:rFonts w:hint="eastAsia" w:ascii="宋体" w:hAnsi="宋体"/>
                      <w:color w:val="auto"/>
                      <w:szCs w:val="21"/>
                      <w:highlight w:val="none"/>
                      <w:lang w:val="en-US"/>
                    </w:rPr>
                  </w:pPr>
                  <w:r>
                    <w:rPr>
                      <w:rStyle w:val="79"/>
                      <w:rFonts w:hint="eastAsia" w:ascii="宋体" w:hAnsi="宋体" w:cs="宋体"/>
                      <w:color w:val="auto"/>
                      <w:szCs w:val="21"/>
                      <w:highlight w:val="none"/>
                      <w:lang w:val="en-US"/>
                    </w:rPr>
                    <w:t>7</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D1DE4AD">
                  <w:pPr>
                    <w:keepNext w:val="0"/>
                    <w:keepLines w:val="0"/>
                    <w:pageBreakBefore w:val="0"/>
                    <w:kinsoku/>
                    <w:overflowPunct/>
                    <w:autoSpaceDE/>
                    <w:autoSpaceDN/>
                    <w:bidi w:val="0"/>
                    <w:spacing w:line="240" w:lineRule="auto"/>
                    <w:jc w:val="center"/>
                    <w:textAlignment w:val="baseline"/>
                    <w:rPr>
                      <w:rStyle w:val="79"/>
                      <w:rFonts w:hint="eastAsia" w:ascii="宋体" w:hAnsi="宋体" w:cs="宋体"/>
                      <w:color w:val="auto"/>
                      <w:kern w:val="0"/>
                      <w:szCs w:val="21"/>
                      <w:highlight w:val="none"/>
                    </w:rPr>
                  </w:pPr>
                  <w:r>
                    <w:rPr>
                      <w:rFonts w:hint="eastAsia" w:ascii="宋体" w:hAnsi="宋体" w:cs="宋体"/>
                      <w:color w:val="auto"/>
                      <w:kern w:val="0"/>
                      <w:szCs w:val="21"/>
                      <w:highlight w:val="none"/>
                    </w:rPr>
                    <w:t>灭蝇笼、绳等</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160C818C">
                  <w:pPr>
                    <w:pStyle w:val="2"/>
                    <w:keepNext w:val="0"/>
                    <w:keepLines w:val="0"/>
                    <w:pageBreakBefore w:val="0"/>
                    <w:kinsoku/>
                    <w:overflowPunct/>
                    <w:autoSpaceDE/>
                    <w:autoSpaceDN/>
                    <w:bidi w:val="0"/>
                    <w:spacing w:line="240" w:lineRule="auto"/>
                    <w:ind w:firstLine="0" w:firstLineChars="0"/>
                    <w:rPr>
                      <w:rStyle w:val="79"/>
                      <w:rFonts w:hint="eastAsia" w:ascii="宋体" w:hAnsi="宋体" w:cs="宋体"/>
                      <w:color w:val="auto"/>
                      <w:szCs w:val="21"/>
                      <w:highlight w:val="none"/>
                    </w:rPr>
                  </w:pPr>
                  <w:r>
                    <w:rPr>
                      <w:rFonts w:hint="eastAsia"/>
                      <w:color w:val="auto"/>
                      <w:highlight w:val="none"/>
                      <w:lang w:eastAsia="zh-CN"/>
                    </w:rPr>
                    <w:t>每个</w:t>
                  </w:r>
                  <w:r>
                    <w:rPr>
                      <w:rFonts w:hint="eastAsia"/>
                      <w:color w:val="auto"/>
                      <w:highlight w:val="none"/>
                    </w:rPr>
                    <w:t>农贸市场安装灭蝇笼、绳</w:t>
                  </w:r>
                  <w:r>
                    <w:rPr>
                      <w:rFonts w:hint="eastAsia" w:ascii="宋体" w:hAnsi="宋体"/>
                      <w:color w:val="auto"/>
                      <w:szCs w:val="21"/>
                      <w:highlight w:val="none"/>
                    </w:rPr>
                    <w:t>≥</w:t>
                  </w:r>
                  <w:r>
                    <w:rPr>
                      <w:rFonts w:hint="eastAsia"/>
                      <w:color w:val="auto"/>
                      <w:highlight w:val="none"/>
                      <w:lang w:val="en-US" w:eastAsia="zh-CN"/>
                    </w:rPr>
                    <w:t>10处</w:t>
                  </w:r>
                  <w:r>
                    <w:rPr>
                      <w:rFonts w:hint="eastAsia"/>
                      <w:color w:val="auto"/>
                      <w:highlight w:val="none"/>
                    </w:rPr>
                    <w:t>，含苍蝇引诱剂</w:t>
                  </w:r>
                  <w:r>
                    <w:rPr>
                      <w:rFonts w:hint="eastAsia"/>
                      <w:color w:val="auto"/>
                      <w:highlight w:val="none"/>
                      <w:lang w:val="en-US" w:eastAsia="zh-CN"/>
                    </w:rPr>
                    <w:t>50包</w:t>
                  </w:r>
                  <w:r>
                    <w:rPr>
                      <w:rFonts w:hint="eastAsia"/>
                      <w:color w:val="auto"/>
                      <w:highlight w:val="none"/>
                    </w:rPr>
                    <w:t>，每个农贸市场按照面积放置，具体以达到防治效果为准。</w:t>
                  </w:r>
                </w:p>
              </w:tc>
            </w:tr>
            <w:tr w14:paraId="4CF5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3CCBC66">
                  <w:pPr>
                    <w:widowControl/>
                    <w:spacing w:line="440" w:lineRule="exact"/>
                    <w:jc w:val="center"/>
                    <w:textAlignment w:val="baseline"/>
                    <w:rPr>
                      <w:rStyle w:val="79"/>
                      <w:rFonts w:hint="eastAsia" w:ascii="宋体" w:hAnsi="宋体"/>
                      <w:color w:val="auto"/>
                      <w:szCs w:val="21"/>
                      <w:highlight w:val="none"/>
                      <w:lang w:val="en-US"/>
                    </w:rPr>
                  </w:pPr>
                  <w:r>
                    <w:rPr>
                      <w:rStyle w:val="79"/>
                      <w:rFonts w:hint="eastAsia" w:ascii="宋体" w:hAnsi="宋体"/>
                      <w:color w:val="auto"/>
                      <w:szCs w:val="21"/>
                      <w:highlight w:val="none"/>
                      <w:lang w:val="en-US"/>
                    </w:rPr>
                    <w:t>8</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BEBEA26">
                  <w:pPr>
                    <w:spacing w:line="440" w:lineRule="exact"/>
                    <w:jc w:val="center"/>
                    <w:textAlignment w:val="baseline"/>
                    <w:rPr>
                      <w:rStyle w:val="79"/>
                      <w:rFonts w:hint="eastAsia" w:ascii="宋体" w:hAnsi="宋体" w:cs="宋体"/>
                      <w:color w:val="auto"/>
                      <w:kern w:val="0"/>
                      <w:szCs w:val="21"/>
                      <w:highlight w:val="none"/>
                    </w:rPr>
                  </w:pPr>
                  <w:r>
                    <w:rPr>
                      <w:rStyle w:val="79"/>
                      <w:rFonts w:hint="eastAsia" w:ascii="宋体" w:hAnsi="宋体" w:cs="宋体"/>
                      <w:color w:val="auto"/>
                      <w:kern w:val="0"/>
                      <w:szCs w:val="21"/>
                      <w:highlight w:val="none"/>
                    </w:rPr>
                    <w:t>热烟雾机、手推式喷雾器汽油</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329D8C16">
                  <w:pPr>
                    <w:spacing w:line="440" w:lineRule="exact"/>
                    <w:textAlignment w:val="baseline"/>
                    <w:rPr>
                      <w:rStyle w:val="79"/>
                      <w:rFonts w:hint="eastAsia" w:ascii="宋体" w:hAnsi="宋体" w:cs="宋体"/>
                      <w:color w:val="auto"/>
                      <w:szCs w:val="21"/>
                      <w:highlight w:val="none"/>
                    </w:rPr>
                  </w:pP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40升。</w:t>
                  </w:r>
                </w:p>
              </w:tc>
            </w:tr>
          </w:tbl>
          <w:p w14:paraId="36267824">
            <w:pPr>
              <w:pStyle w:val="2"/>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bCs w:val="0"/>
                <w:color w:val="auto"/>
                <w:kern w:val="2"/>
                <w:sz w:val="21"/>
                <w:szCs w:val="21"/>
                <w:highlight w:val="none"/>
                <w:lang w:val="en-US" w:eastAsia="zh-CN" w:bidi="ar-SA"/>
              </w:rPr>
            </w:pPr>
          </w:p>
          <w:p w14:paraId="5DF80281">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210" w:firstLineChars="1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1、以上2-</w:t>
            </w: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color w:val="auto"/>
                <w:kern w:val="2"/>
                <w:sz w:val="21"/>
                <w:szCs w:val="21"/>
                <w:highlight w:val="none"/>
                <w:lang w:val="en-US" w:eastAsia="zh-CN" w:bidi="ar-SA"/>
              </w:rPr>
              <w:t>项及第1项灭鼠剂所列卫生杀虫剂为本项目要求供应商使用的消杀药品类别，供应商所选用的药品要按照以上所列的技术参数来选用，即有效成分、含量、剂型符合要求。</w:t>
            </w:r>
          </w:p>
          <w:p w14:paraId="70E30B60">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color w:val="auto"/>
                <w:kern w:val="2"/>
                <w:sz w:val="21"/>
                <w:szCs w:val="21"/>
                <w:highlight w:val="none"/>
                <w:lang w:val="en-US" w:eastAsia="zh-CN" w:bidi="ar-SA"/>
              </w:rPr>
              <w:t>2、杜绝使用来源不明、无“三证”或质量不稳定的卫生杀虫剂，确保灭效和人畜等各项安全，符合绿色环保的有关要求。</w:t>
            </w:r>
            <w:r>
              <w:rPr>
                <w:rFonts w:hint="eastAsia" w:ascii="宋体" w:hAnsi="宋体" w:eastAsia="宋体" w:cs="宋体"/>
                <w:b/>
                <w:bCs w:val="0"/>
                <w:color w:val="auto"/>
                <w:kern w:val="2"/>
                <w:sz w:val="21"/>
                <w:szCs w:val="21"/>
                <w:highlight w:val="none"/>
                <w:lang w:val="en-US" w:eastAsia="zh-CN" w:bidi="ar-SA"/>
              </w:rPr>
              <w:t>不得使用国家、自治区禁止使用的药物；不得在食品工厂及学校等场所使用农业部限制使用灭鼠毒饵；不得使用不育剂等灭鼠周期过长灭鼠毒饵，否则响应文件按无效处理。</w:t>
            </w:r>
          </w:p>
          <w:p w14:paraId="0D0C7BE5">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left"/>
              <w:outlineLvl w:val="6"/>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五、</w:t>
            </w:r>
            <w:r>
              <w:rPr>
                <w:rFonts w:ascii="宋体" w:hAnsi="宋体" w:cs="宋体"/>
                <w:b/>
                <w:bCs/>
                <w:color w:val="auto"/>
                <w:kern w:val="0"/>
                <w:szCs w:val="21"/>
                <w:highlight w:val="none"/>
              </w:rPr>
              <w:t>工作要求</w:t>
            </w:r>
          </w:p>
          <w:p w14:paraId="3E39AF1C">
            <w:pPr>
              <w:pStyle w:val="21"/>
              <w:keepNext w:val="0"/>
              <w:keepLines w:val="0"/>
              <w:pageBreakBefore w:val="0"/>
              <w:widowControl w:val="0"/>
              <w:kinsoku/>
              <w:wordWrap/>
              <w:overflowPunct/>
              <w:topLinePunct w:val="0"/>
              <w:bidi w:val="0"/>
              <w:adjustRightInd/>
              <w:snapToGrid/>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（一）工作要求</w:t>
            </w:r>
          </w:p>
          <w:p w14:paraId="23336C7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1.必须确保城区公共场所“四害”</w:t>
            </w:r>
            <w:r>
              <w:rPr>
                <w:rFonts w:hint="eastAsia" w:ascii="宋体" w:hAnsi="宋体" w:cs="宋体"/>
                <w:color w:val="auto"/>
                <w:kern w:val="0"/>
                <w:szCs w:val="21"/>
                <w:highlight w:val="none"/>
              </w:rPr>
              <w:t>防制工作达到国家标准C级</w:t>
            </w:r>
            <w:r>
              <w:rPr>
                <w:rFonts w:ascii="宋体" w:hAnsi="宋体" w:cs="宋体"/>
                <w:color w:val="auto"/>
                <w:kern w:val="0"/>
                <w:szCs w:val="21"/>
                <w:highlight w:val="none"/>
              </w:rPr>
              <w:t>。</w:t>
            </w:r>
          </w:p>
          <w:p w14:paraId="3F37771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.必须保证病媒生物防制药械的安全使用。</w:t>
            </w:r>
          </w:p>
          <w:p w14:paraId="440B301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项目</w:t>
            </w:r>
            <w:r>
              <w:rPr>
                <w:rFonts w:ascii="宋体" w:hAnsi="宋体" w:cs="宋体"/>
                <w:color w:val="auto"/>
                <w:kern w:val="0"/>
                <w:szCs w:val="21"/>
                <w:highlight w:val="none"/>
              </w:rPr>
              <w:t>结束后（或过程中），至少邀请1次专家组对</w:t>
            </w:r>
            <w:r>
              <w:rPr>
                <w:rFonts w:hint="eastAsia" w:ascii="宋体" w:hAnsi="宋体" w:cs="宋体"/>
                <w:color w:val="auto"/>
                <w:kern w:val="0"/>
                <w:szCs w:val="21"/>
                <w:highlight w:val="none"/>
                <w:lang w:val="en-US" w:eastAsia="zh-CN"/>
              </w:rPr>
              <w:t>项目实施</w:t>
            </w:r>
            <w:r>
              <w:rPr>
                <w:rFonts w:ascii="宋体" w:hAnsi="宋体" w:cs="宋体"/>
                <w:color w:val="auto"/>
                <w:kern w:val="0"/>
                <w:szCs w:val="21"/>
                <w:highlight w:val="none"/>
              </w:rPr>
              <w:t>情况进行检查</w:t>
            </w:r>
            <w:r>
              <w:rPr>
                <w:rFonts w:hint="eastAsia" w:ascii="宋体" w:hAnsi="宋体" w:cs="宋体"/>
                <w:color w:val="auto"/>
                <w:kern w:val="0"/>
                <w:szCs w:val="21"/>
                <w:highlight w:val="none"/>
              </w:rPr>
              <w:t>指导</w:t>
            </w:r>
            <w:r>
              <w:rPr>
                <w:rFonts w:ascii="宋体" w:hAnsi="宋体" w:cs="宋体"/>
                <w:color w:val="auto"/>
                <w:kern w:val="0"/>
                <w:szCs w:val="21"/>
                <w:highlight w:val="none"/>
              </w:rPr>
              <w:t>，专家由</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u w:val="single"/>
                <w:lang w:val="en-US" w:eastAsia="zh-CN"/>
              </w:rPr>
              <w:t xml:space="preserve">梧州市卫生健康委（市爱卫办） </w:t>
            </w:r>
            <w:r>
              <w:rPr>
                <w:rFonts w:ascii="宋体" w:hAnsi="宋体" w:cs="宋体"/>
                <w:color w:val="auto"/>
                <w:kern w:val="0"/>
                <w:szCs w:val="21"/>
                <w:highlight w:val="none"/>
              </w:rPr>
              <w:t>指定。</w:t>
            </w:r>
          </w:p>
          <w:p w14:paraId="30EDCC4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.对鼠药投放点要配备双标识，即毒鼠屋有标识，毒鼠屋临近的位置（墙壁、树木等）也要有标识。</w:t>
            </w:r>
          </w:p>
          <w:p w14:paraId="340E36D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.毒鼠屋长度≥30cm</w:t>
            </w:r>
            <w:r>
              <w:rPr>
                <w:rFonts w:hint="eastAsia" w:ascii="宋体" w:hAnsi="宋体" w:cs="宋体"/>
                <w:color w:val="auto"/>
                <w:kern w:val="0"/>
                <w:szCs w:val="21"/>
                <w:highlight w:val="none"/>
              </w:rPr>
              <w:t>，两端设置有鼠药防漏功能</w:t>
            </w:r>
            <w:r>
              <w:rPr>
                <w:rFonts w:ascii="宋体" w:hAnsi="宋体" w:cs="宋体"/>
                <w:color w:val="auto"/>
                <w:kern w:val="0"/>
                <w:szCs w:val="21"/>
                <w:highlight w:val="none"/>
              </w:rPr>
              <w:t>。</w:t>
            </w:r>
          </w:p>
          <w:p w14:paraId="0C3AECD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lang w:val="en-US" w:eastAsia="zh-CN"/>
              </w:rPr>
              <w:t>6</w:t>
            </w:r>
            <w:r>
              <w:rPr>
                <w:rFonts w:ascii="宋体" w:hAnsi="宋体" w:cs="宋体"/>
                <w:color w:val="auto"/>
                <w:kern w:val="0"/>
                <w:highlight w:val="none"/>
              </w:rPr>
              <w:t>.对</w:t>
            </w:r>
            <w:r>
              <w:rPr>
                <w:rFonts w:hint="eastAsia" w:ascii="宋体" w:hAnsi="宋体" w:cs="宋体"/>
                <w:color w:val="auto"/>
                <w:kern w:val="0"/>
                <w:highlight w:val="none"/>
                <w:lang w:val="en-US" w:eastAsia="zh-CN"/>
              </w:rPr>
              <w:t>项目</w:t>
            </w:r>
            <w:r>
              <w:rPr>
                <w:rFonts w:ascii="宋体" w:hAnsi="宋体" w:cs="宋体"/>
                <w:color w:val="auto"/>
                <w:kern w:val="0"/>
                <w:highlight w:val="none"/>
              </w:rPr>
              <w:t>片区投放的毒鼠屋进行统一编号并固定好位置，形成一览表和位置图报至</w:t>
            </w:r>
            <w:r>
              <w:rPr>
                <w:rFonts w:hint="eastAsia" w:ascii="宋体" w:hAnsi="宋体" w:cs="宋体"/>
                <w:color w:val="auto"/>
                <w:kern w:val="0"/>
                <w:highlight w:val="none"/>
                <w:u w:val="single"/>
                <w:lang w:val="en-US" w:eastAsia="zh-CN"/>
              </w:rPr>
              <w:t xml:space="preserve">  梧州市卫生健康委（市爱卫办） </w:t>
            </w:r>
          </w:p>
          <w:p w14:paraId="5D3C9A73">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成交</w:t>
            </w:r>
            <w:r>
              <w:rPr>
                <w:rFonts w:ascii="宋体" w:hAnsi="宋体" w:cs="宋体"/>
                <w:color w:val="auto"/>
                <w:kern w:val="0"/>
                <w:szCs w:val="21"/>
                <w:highlight w:val="none"/>
              </w:rPr>
              <w:t>供应商必须保证除四害药械的安全使用，所使用的药械必须符合国家规定，不得使用国家禁止使用的药械。</w:t>
            </w:r>
          </w:p>
          <w:p w14:paraId="3257A4B8">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ascii="宋体" w:hAnsi="宋体" w:cs="宋体"/>
                <w:color w:val="auto"/>
                <w:kern w:val="0"/>
                <w:szCs w:val="21"/>
                <w:highlight w:val="none"/>
              </w:rPr>
              <w:t>）灭鼠后公共场所的鼠迹（死鼠、鼠洞）由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负责清理，蟑迹由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指导</w:t>
            </w:r>
            <w:r>
              <w:rPr>
                <w:rFonts w:hint="eastAsia" w:ascii="宋体" w:hAnsi="宋体" w:cs="宋体"/>
                <w:color w:val="auto"/>
                <w:kern w:val="0"/>
                <w:szCs w:val="21"/>
                <w:highlight w:val="none"/>
                <w:lang w:val="en-US" w:eastAsia="zh-CN"/>
              </w:rPr>
              <w:t>采购人</w:t>
            </w:r>
            <w:r>
              <w:rPr>
                <w:rFonts w:ascii="宋体" w:hAnsi="宋体" w:cs="宋体"/>
                <w:color w:val="auto"/>
                <w:kern w:val="0"/>
                <w:szCs w:val="21"/>
                <w:highlight w:val="none"/>
              </w:rPr>
              <w:t>进行清理。</w:t>
            </w:r>
          </w:p>
          <w:p w14:paraId="5FCFEECF">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ascii="宋体" w:hAnsi="宋体" w:cs="宋体"/>
                <w:color w:val="auto"/>
                <w:kern w:val="0"/>
                <w:szCs w:val="21"/>
                <w:highlight w:val="none"/>
              </w:rPr>
              <w:t>）在投放鼠药的范围内设置警示标志。</w:t>
            </w:r>
          </w:p>
          <w:p w14:paraId="4CE4E333">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ascii="宋体" w:hAnsi="宋体" w:cs="宋体"/>
                <w:color w:val="auto"/>
                <w:kern w:val="0"/>
                <w:szCs w:val="21"/>
                <w:highlight w:val="none"/>
              </w:rPr>
              <w:t>）施工人员在防治害虫作业期间不影响市民正常生活。</w:t>
            </w:r>
          </w:p>
          <w:p w14:paraId="07C0D1B7">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ascii="宋体" w:hAnsi="宋体" w:cs="宋体"/>
                <w:color w:val="auto"/>
                <w:kern w:val="0"/>
                <w:szCs w:val="21"/>
                <w:highlight w:val="none"/>
              </w:rPr>
              <w:t>）施工人员必须持证上岗，着公司统一制服，并佩戴工作牌。</w:t>
            </w:r>
          </w:p>
          <w:p w14:paraId="78A5732F">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highlight w:val="none"/>
              </w:rPr>
              <w:t>（</w:t>
            </w:r>
            <w:r>
              <w:rPr>
                <w:rFonts w:hint="eastAsia" w:ascii="宋体" w:hAnsi="宋体" w:cs="宋体"/>
                <w:color w:val="auto"/>
                <w:kern w:val="0"/>
                <w:highlight w:val="none"/>
                <w:lang w:val="en-US" w:eastAsia="zh-CN"/>
              </w:rPr>
              <w:t>七</w:t>
            </w:r>
            <w:r>
              <w:rPr>
                <w:rFonts w:ascii="宋体" w:hAnsi="宋体" w:cs="宋体"/>
                <w:color w:val="auto"/>
                <w:kern w:val="0"/>
                <w:highlight w:val="none"/>
              </w:rPr>
              <w:t>）必须在规定</w:t>
            </w:r>
            <w:r>
              <w:rPr>
                <w:rFonts w:hint="eastAsia" w:ascii="宋体" w:hAnsi="宋体" w:cs="宋体"/>
                <w:color w:val="auto"/>
                <w:kern w:val="0"/>
                <w:highlight w:val="none"/>
                <w:lang w:val="en-US" w:eastAsia="zh-CN"/>
              </w:rPr>
              <w:t>服务</w:t>
            </w:r>
            <w:r>
              <w:rPr>
                <w:rFonts w:ascii="宋体" w:hAnsi="宋体" w:cs="宋体"/>
                <w:color w:val="auto"/>
                <w:kern w:val="0"/>
                <w:highlight w:val="none"/>
              </w:rPr>
              <w:t>期限内完成消杀服务</w:t>
            </w:r>
            <w:r>
              <w:rPr>
                <w:rFonts w:hint="eastAsia" w:ascii="宋体" w:hAnsi="宋体" w:cs="宋体"/>
                <w:color w:val="auto"/>
                <w:kern w:val="0"/>
                <w:highlight w:val="none"/>
              </w:rPr>
              <w:t>工作。</w:t>
            </w:r>
          </w:p>
          <w:p w14:paraId="7540C2F7">
            <w:pPr>
              <w:keepNext w:val="0"/>
              <w:keepLines w:val="0"/>
              <w:pageBreakBefore w:val="0"/>
              <w:widowControl w:val="0"/>
              <w:kinsoku/>
              <w:wordWrap/>
              <w:overflowPunct/>
              <w:topLinePunct w:val="0"/>
              <w:autoSpaceDE w:val="0"/>
              <w:autoSpaceDN w:val="0"/>
              <w:bidi w:val="0"/>
              <w:adjustRightInd/>
              <w:snapToGrid/>
              <w:spacing w:line="332" w:lineRule="auto"/>
              <w:ind w:right="210" w:firstLine="422" w:firstLineChars="200"/>
              <w:jc w:val="lef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六、监督与验收</w:t>
            </w:r>
          </w:p>
          <w:p w14:paraId="2D6CF6BF">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w:t>
            </w:r>
            <w:r>
              <w:rPr>
                <w:rFonts w:hint="eastAsia"/>
                <w:color w:val="auto"/>
                <w:highlight w:val="none"/>
                <w:lang w:eastAsia="zh-CN"/>
              </w:rPr>
              <w:t>爱卫办</w:t>
            </w:r>
            <w:r>
              <w:rPr>
                <w:rFonts w:hint="eastAsia" w:ascii="宋体" w:hAnsi="宋体" w:cs="宋体"/>
                <w:color w:val="auto"/>
                <w:kern w:val="0"/>
                <w:szCs w:val="21"/>
                <w:highlight w:val="none"/>
              </w:rPr>
              <w:t>负责对</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服务进行质量监督，点验抽查药械数量和质量，查验出入库登记。有检测条件的，对其质量进行抽样检测，无检测条件的查验并留存相关产品“三证”，采取留样送检、委托抽检等方式进行监督。</w:t>
            </w:r>
          </w:p>
          <w:p w14:paraId="5C18453E">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eastAsia="zh-CN"/>
              </w:rPr>
              <w:t>长洲区卫生健康局（</w:t>
            </w:r>
            <w:r>
              <w:rPr>
                <w:rFonts w:hint="eastAsia" w:ascii="宋体" w:hAnsi="宋体" w:cs="宋体"/>
                <w:color w:val="auto"/>
                <w:kern w:val="0"/>
                <w:szCs w:val="21"/>
                <w:highlight w:val="none"/>
                <w:u w:val="single"/>
                <w:lang w:val="en-US" w:eastAsia="zh-CN"/>
              </w:rPr>
              <w:t>爱卫办</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负责协助对</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服务的范围和工作开展情况进行日常监督，并协调辖区内的公园广场、沿街公厕、垃圾中转站配合</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开展病媒生物消杀工作。</w:t>
            </w:r>
          </w:p>
          <w:p w14:paraId="5D20CD0C">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梧州</w:t>
            </w:r>
            <w:r>
              <w:rPr>
                <w:rFonts w:ascii="宋体" w:hAnsi="宋体" w:cs="宋体"/>
                <w:color w:val="auto"/>
                <w:kern w:val="0"/>
                <w:szCs w:val="21"/>
                <w:highlight w:val="none"/>
              </w:rPr>
              <w:t>市疾病预防控制中心对消杀后的病媒生物密度进行监测，监测结果达到国家C级标准后</w:t>
            </w:r>
            <w:r>
              <w:rPr>
                <w:rFonts w:hint="eastAsia" w:ascii="宋体" w:hAnsi="宋体" w:cs="宋体"/>
                <w:color w:val="auto"/>
                <w:kern w:val="0"/>
                <w:szCs w:val="21"/>
                <w:highlight w:val="none"/>
              </w:rPr>
              <w:t>方可</w:t>
            </w:r>
            <w:r>
              <w:rPr>
                <w:rFonts w:ascii="宋体" w:hAnsi="宋体" w:cs="宋体"/>
                <w:color w:val="auto"/>
                <w:kern w:val="0"/>
                <w:szCs w:val="21"/>
                <w:highlight w:val="none"/>
              </w:rPr>
              <w:t>验收合格。</w:t>
            </w:r>
          </w:p>
          <w:p w14:paraId="21A4CE18">
            <w:pPr>
              <w:keepNext w:val="0"/>
              <w:keepLines w:val="0"/>
              <w:pageBreakBefore w:val="0"/>
              <w:widowControl w:val="0"/>
              <w:kinsoku/>
              <w:wordWrap/>
              <w:overflowPunct/>
              <w:topLinePunct w:val="0"/>
              <w:autoSpaceDE w:val="0"/>
              <w:autoSpaceDN w:val="0"/>
              <w:bidi w:val="0"/>
              <w:adjustRightInd/>
              <w:snapToGrid/>
              <w:spacing w:line="440" w:lineRule="exact"/>
              <w:ind w:right="210"/>
              <w:jc w:val="left"/>
              <w:rPr>
                <w:rFonts w:ascii="宋体" w:hAnsi="宋体" w:cs="宋体"/>
                <w:b/>
                <w:color w:val="auto"/>
                <w:kern w:val="0"/>
                <w:szCs w:val="21"/>
                <w:highlight w:val="none"/>
              </w:rPr>
            </w:pPr>
            <w:r>
              <w:rPr>
                <w:rFonts w:hint="eastAsia" w:ascii="宋体" w:hAnsi="宋体" w:cs="宋体"/>
                <w:b/>
                <w:color w:val="auto"/>
                <w:spacing w:val="-8"/>
                <w:kern w:val="0"/>
                <w:szCs w:val="21"/>
                <w:highlight w:val="none"/>
                <w:lang w:val="en-US" w:eastAsia="zh-CN"/>
              </w:rPr>
              <w:t>七</w:t>
            </w:r>
            <w:r>
              <w:rPr>
                <w:rFonts w:ascii="宋体" w:hAnsi="宋体" w:cs="宋体"/>
                <w:b/>
                <w:color w:val="auto"/>
                <w:spacing w:val="-8"/>
                <w:kern w:val="0"/>
                <w:szCs w:val="21"/>
                <w:highlight w:val="none"/>
              </w:rPr>
              <w:t>、技术要求</w:t>
            </w:r>
          </w:p>
          <w:p w14:paraId="0D23E83A">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（一）供应商须提供可行的消杀技术方案和实施方案。</w:t>
            </w:r>
          </w:p>
          <w:p w14:paraId="2048D215">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ascii="宋体" w:hAnsi="宋体" w:cs="宋体"/>
                <w:color w:val="auto"/>
                <w:kern w:val="0"/>
                <w:szCs w:val="21"/>
                <w:highlight w:val="none"/>
              </w:rPr>
            </w:pPr>
            <w:r>
              <w:rPr>
                <w:rFonts w:ascii="宋体" w:hAnsi="宋体" w:cs="宋体"/>
                <w:color w:val="auto"/>
                <w:kern w:val="0"/>
                <w:szCs w:val="21"/>
                <w:highlight w:val="none"/>
              </w:rPr>
              <w:t>（二）供应商应具备足够的各类施工及技术人员、器械、车辆等，并利用各种有效的常规或创新的消杀技术、方法或装置，安全、环保、高效地完成消杀工作，达到消杀质量标准。</w:t>
            </w:r>
            <w:r>
              <w:rPr>
                <w:rFonts w:hint="eastAsia" w:ascii="宋体" w:hAnsi="宋体" w:cs="宋体"/>
                <w:color w:val="auto"/>
                <w:kern w:val="0"/>
                <w:szCs w:val="21"/>
                <w:highlight w:val="none"/>
              </w:rPr>
              <w:t>超低容量喷雾器不少于4台；热烟雾机不少于4台；消杀作业车辆不少于3辆；手推式机动喷雾机不少于4台，手压式喷雾器不少于4台</w:t>
            </w:r>
            <w:r>
              <w:rPr>
                <w:rFonts w:hint="eastAsia" w:ascii="宋体" w:hAnsi="宋体" w:cs="宋体"/>
                <w:color w:val="auto"/>
                <w:kern w:val="0"/>
                <w:szCs w:val="21"/>
                <w:highlight w:val="none"/>
                <w:lang w:eastAsia="zh-CN"/>
              </w:rPr>
              <w:t>。</w:t>
            </w:r>
          </w:p>
          <w:p w14:paraId="57351FC6">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hint="eastAsia" w:ascii="宋体" w:hAnsi="宋体" w:eastAsia="宋体" w:cs="宋体"/>
                <w:bCs/>
                <w:color w:val="auto"/>
                <w:sz w:val="21"/>
                <w:szCs w:val="21"/>
                <w:highlight w:val="none"/>
              </w:rPr>
            </w:pPr>
            <w:r>
              <w:rPr>
                <w:rFonts w:ascii="宋体" w:hAnsi="宋体" w:cs="宋体"/>
                <w:color w:val="auto"/>
                <w:kern w:val="0"/>
                <w:szCs w:val="21"/>
                <w:highlight w:val="none"/>
              </w:rPr>
              <w:t>（三）药械应有具体的数量，符合</w:t>
            </w:r>
            <w:r>
              <w:rPr>
                <w:rFonts w:hint="eastAsia" w:ascii="宋体" w:hAnsi="宋体" w:cs="宋体"/>
                <w:color w:val="auto"/>
                <w:kern w:val="0"/>
                <w:szCs w:val="21"/>
                <w:highlight w:val="none"/>
                <w:lang w:val="en-US" w:eastAsia="zh-CN"/>
              </w:rPr>
              <w:t>项目片区</w:t>
            </w:r>
            <w:r>
              <w:rPr>
                <w:rFonts w:ascii="宋体" w:hAnsi="宋体" w:cs="宋体"/>
                <w:color w:val="auto"/>
                <w:kern w:val="0"/>
                <w:szCs w:val="21"/>
                <w:highlight w:val="none"/>
              </w:rPr>
              <w:t>实际需要，并完成消杀服务区域内的主要街道、公共绿化地、闲置地、下水道、垃圾中转站、公共厕所等病媒生物防制工作。</w:t>
            </w:r>
          </w:p>
        </w:tc>
      </w:tr>
      <w:tr w14:paraId="0E6F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3AEA495B">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二、商务要求</w:t>
            </w:r>
          </w:p>
        </w:tc>
      </w:tr>
      <w:tr w14:paraId="553BD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20FF143F">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461A1C09">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要求</w:t>
            </w:r>
          </w:p>
        </w:tc>
      </w:tr>
      <w:tr w14:paraId="4FA8D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6BCC153E">
            <w:pPr>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合同签订期</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1F6C1805">
            <w:pPr>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自成交通知书发出之日起15个日历日内签订合同。</w:t>
            </w:r>
          </w:p>
        </w:tc>
      </w:tr>
      <w:tr w14:paraId="68B7E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21A1BA5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及服务地点</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6E5F45A5">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宋体" w:hAnsi="宋体" w:cs="宋体"/>
                <w:color w:val="auto"/>
                <w:szCs w:val="21"/>
                <w:highlight w:val="none"/>
              </w:rPr>
              <w:t>。</w:t>
            </w:r>
          </w:p>
          <w:p w14:paraId="37BE4CF2">
            <w:pPr>
              <w:spacing w:line="440" w:lineRule="exact"/>
              <w:jc w:val="left"/>
              <w:rPr>
                <w:rFonts w:hint="eastAsia" w:ascii="宋体" w:hAnsi="宋体"/>
                <w:color w:val="auto"/>
                <w:highlight w:val="none"/>
              </w:rPr>
            </w:pPr>
            <w:r>
              <w:rPr>
                <w:rFonts w:hint="eastAsia" w:ascii="宋体" w:hAnsi="宋体" w:cs="宋体"/>
                <w:color w:val="auto"/>
                <w:szCs w:val="21"/>
                <w:highlight w:val="none"/>
              </w:rPr>
              <w:t>2.服务地点：广西梧州市采购人指定地点。</w:t>
            </w:r>
          </w:p>
        </w:tc>
      </w:tr>
      <w:tr w14:paraId="3FB3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1C6751B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付款方式及条件</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5212DBFA">
            <w:pPr>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7月开展第一次除四害，完成并验收通过后在对服务区域加强一次服务（具体时间以实际完成招标和开展除四害定），成交供应商向采购人开具全额发票，采购人收到发票后10个工作日内一次付清。</w:t>
            </w:r>
          </w:p>
        </w:tc>
      </w:tr>
      <w:tr w14:paraId="6F787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3E224B39">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售后服务</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59FE84AD">
            <w:pPr>
              <w:spacing w:line="440" w:lineRule="exact"/>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消杀服务采购所需货物按国家有关规定实行“三包”，负责送货上门。</w:t>
            </w:r>
          </w:p>
        </w:tc>
      </w:tr>
      <w:tr w14:paraId="605C2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730F2CB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6E2FD3D4">
            <w:pPr>
              <w:spacing w:line="440" w:lineRule="exact"/>
              <w:rPr>
                <w:rFonts w:hint="eastAsia" w:ascii="宋体" w:hAnsi="宋体"/>
                <w:color w:val="auto"/>
                <w:highlight w:val="none"/>
              </w:rPr>
            </w:pPr>
            <w:r>
              <w:rPr>
                <w:rFonts w:hint="eastAsia" w:ascii="宋体" w:hAnsi="宋体"/>
                <w:color w:val="auto"/>
                <w:highlight w:val="none"/>
                <w:lang w:val="en-US" w:eastAsia="zh-CN"/>
              </w:rPr>
              <w:t>确保</w:t>
            </w:r>
            <w:r>
              <w:rPr>
                <w:rFonts w:hint="eastAsia" w:ascii="宋体" w:hAnsi="宋体"/>
                <w:color w:val="auto"/>
                <w:highlight w:val="none"/>
              </w:rPr>
              <w:t>灭鼠、蚊、蝇、蟑螂达《GB/T 27773-2011 病媒生物密度控制水平》 C 级标准；消杀验收采用病媒生物密度监测方法：鼠类 GB/T 23798-2009、病媒生物密度监测方法：蟑螂 GB/T 23795-2009、病媒生物密度监测方法：蝇类 GB/T 23796-2009、病媒生物密度监测方法：蚊类 GB/T 23797-2009。</w:t>
            </w:r>
          </w:p>
        </w:tc>
      </w:tr>
    </w:tbl>
    <w:p w14:paraId="77CDEF2A">
      <w:pPr>
        <w:pStyle w:val="13"/>
        <w:spacing w:line="360" w:lineRule="auto"/>
        <w:rPr>
          <w:rFonts w:ascii="宋体" w:hAnsi="宋体" w:cs="宋体"/>
          <w:color w:val="auto"/>
          <w:sz w:val="20"/>
          <w:szCs w:val="20"/>
          <w:highlight w:val="none"/>
        </w:rPr>
      </w:pPr>
    </w:p>
    <w:p w14:paraId="349D8132">
      <w:pPr>
        <w:pStyle w:val="2"/>
        <w:rPr>
          <w:rFonts w:hint="default" w:eastAsia="宋体"/>
          <w:b/>
          <w:bCs/>
          <w:color w:val="auto"/>
          <w:highlight w:val="none"/>
          <w:lang w:val="en-US" w:eastAsia="zh-CN"/>
        </w:rPr>
      </w:pPr>
      <w:bookmarkStart w:id="85" w:name="_Toc74322608"/>
      <w:r>
        <w:rPr>
          <w:rFonts w:hint="eastAsia"/>
          <w:color w:val="auto"/>
          <w:highlight w:val="none"/>
        </w:rPr>
        <w:br w:type="page"/>
      </w:r>
      <w:r>
        <w:rPr>
          <w:rFonts w:hint="eastAsia" w:ascii="宋体" w:hAnsi="宋体"/>
          <w:b/>
          <w:bCs/>
          <w:color w:val="auto"/>
          <w:highlight w:val="none"/>
          <w:lang w:val="en-US" w:eastAsia="zh-CN"/>
        </w:rPr>
        <w:t>分标3    预算金额：</w:t>
      </w:r>
      <w:r>
        <w:rPr>
          <w:rFonts w:hint="eastAsia" w:ascii="宋体" w:hAnsi="宋体"/>
          <w:b/>
          <w:bCs/>
          <w:color w:val="auto"/>
          <w:highlight w:val="none"/>
          <w:u w:val="single"/>
          <w:lang w:val="en-US" w:eastAsia="zh-CN"/>
        </w:rPr>
        <w:t>19万元</w:t>
      </w:r>
    </w:p>
    <w:p w14:paraId="5FF2775A">
      <w:pPr>
        <w:pStyle w:val="2"/>
        <w:rPr>
          <w:rFonts w:hint="default" w:eastAsia="宋体"/>
          <w:b/>
          <w:bCs/>
          <w:color w:val="auto"/>
          <w:highlight w:val="no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897"/>
        <w:gridCol w:w="4"/>
        <w:gridCol w:w="733"/>
        <w:gridCol w:w="6432"/>
      </w:tblGrid>
      <w:tr w14:paraId="43F31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7064C0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一、项目要求及技术要求</w:t>
            </w:r>
          </w:p>
        </w:tc>
      </w:tr>
      <w:tr w14:paraId="08EB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458985C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6C0B900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1C52A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D25E54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技术要求</w:t>
            </w:r>
          </w:p>
        </w:tc>
      </w:tr>
      <w:tr w14:paraId="4B19C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auto" w:sz="4" w:space="0"/>
              <w:left w:val="single" w:color="auto" w:sz="4" w:space="0"/>
              <w:bottom w:val="single" w:color="auto" w:sz="4" w:space="0"/>
              <w:right w:val="single" w:color="auto" w:sz="4" w:space="0"/>
            </w:tcBorders>
            <w:noWrap w:val="0"/>
            <w:vAlign w:val="center"/>
          </w:tcPr>
          <w:p w14:paraId="6BC6A94A">
            <w:pPr>
              <w:pStyle w:val="21"/>
              <w:rPr>
                <w:rFonts w:hint="eastAsia"/>
                <w:color w:val="auto"/>
                <w:highlight w:val="none"/>
              </w:rPr>
            </w:pPr>
            <w:r>
              <w:rPr>
                <w:rFonts w:hint="eastAsia"/>
                <w:color w:val="auto"/>
                <w:highlight w:val="none"/>
                <w:lang w:val="en-US" w:eastAsia="zh-CN"/>
              </w:rPr>
              <w:t>1</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67EAA2B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梧州市龙圩区</w:t>
            </w:r>
            <w:r>
              <w:rPr>
                <w:rFonts w:hint="eastAsia" w:ascii="宋体" w:hAnsi="宋体"/>
                <w:color w:val="auto"/>
                <w:szCs w:val="21"/>
                <w:highlight w:val="none"/>
              </w:rPr>
              <w:t>“除四害”服务</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B7C8C5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4767129">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一、项目总概况</w:t>
            </w:r>
          </w:p>
          <w:p w14:paraId="460FC889">
            <w:pPr>
              <w:pStyle w:val="2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rPr>
                <w:rFonts w:hint="default" w:ascii="宋体" w:hAnsi="宋体" w:eastAsia="宋体" w:cs="宋体"/>
                <w:bCs/>
                <w:color w:val="auto"/>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为了有效控制城区病媒密度，控制虫媒传染疾病风险，维护市民身体健康。对我市建成区公共场所开展病媒生物防制工作。城区范围为</w:t>
            </w:r>
            <w:r>
              <w:rPr>
                <w:rFonts w:hint="eastAsia" w:ascii="宋体" w:hAnsi="宋体" w:cs="宋体"/>
                <w:bCs/>
                <w:color w:val="auto"/>
                <w:kern w:val="2"/>
                <w:sz w:val="21"/>
                <w:szCs w:val="21"/>
                <w:highlight w:val="none"/>
                <w:lang w:val="en-US" w:eastAsia="zh-CN" w:bidi="ar-SA"/>
              </w:rPr>
              <w:t>龙圩</w:t>
            </w:r>
            <w:r>
              <w:rPr>
                <w:rFonts w:hint="default" w:ascii="宋体" w:hAnsi="宋体" w:eastAsia="宋体" w:cs="宋体"/>
                <w:bCs/>
                <w:color w:val="auto"/>
                <w:kern w:val="2"/>
                <w:sz w:val="21"/>
                <w:szCs w:val="21"/>
                <w:highlight w:val="none"/>
                <w:lang w:val="en-US" w:eastAsia="zh-CN" w:bidi="ar-SA"/>
              </w:rPr>
              <w:t>区内所有主次干道绿化带、街心花园、闲置地、下水道、垃圾桶、公共厕所、垃圾中转站</w:t>
            </w:r>
            <w:r>
              <w:rPr>
                <w:rFonts w:hint="eastAsia" w:ascii="宋体" w:hAnsi="宋体" w:cs="宋体"/>
                <w:bCs/>
                <w:color w:val="auto"/>
                <w:kern w:val="2"/>
                <w:sz w:val="21"/>
                <w:szCs w:val="21"/>
                <w:highlight w:val="none"/>
                <w:lang w:val="en-US" w:eastAsia="zh-CN" w:bidi="ar-SA"/>
              </w:rPr>
              <w:t>、农贸市场</w:t>
            </w:r>
            <w:r>
              <w:rPr>
                <w:rFonts w:hint="default" w:ascii="宋体" w:hAnsi="宋体" w:eastAsia="宋体" w:cs="宋体"/>
                <w:bCs/>
                <w:color w:val="auto"/>
                <w:kern w:val="2"/>
                <w:sz w:val="21"/>
                <w:szCs w:val="21"/>
                <w:highlight w:val="none"/>
                <w:lang w:val="en-US" w:eastAsia="zh-CN" w:bidi="ar-SA"/>
              </w:rPr>
              <w:t>等</w:t>
            </w:r>
            <w:r>
              <w:rPr>
                <w:rFonts w:hint="eastAsia" w:ascii="宋体" w:hAnsi="宋体" w:cs="宋体"/>
                <w:bCs/>
                <w:color w:val="auto"/>
                <w:kern w:val="2"/>
                <w:sz w:val="21"/>
                <w:szCs w:val="21"/>
                <w:highlight w:val="none"/>
                <w:lang w:val="en-US" w:eastAsia="zh-CN" w:bidi="ar-SA"/>
              </w:rPr>
              <w:t>公共场所</w:t>
            </w:r>
            <w:r>
              <w:rPr>
                <w:rFonts w:hint="default" w:ascii="宋体" w:hAnsi="宋体" w:eastAsia="宋体" w:cs="宋体"/>
                <w:bCs/>
                <w:color w:val="auto"/>
                <w:kern w:val="2"/>
                <w:sz w:val="21"/>
                <w:szCs w:val="21"/>
                <w:highlight w:val="none"/>
                <w:lang w:val="en-US" w:eastAsia="zh-CN" w:bidi="ar-SA"/>
              </w:rPr>
              <w:t>。引进</w:t>
            </w:r>
            <w:r>
              <w:rPr>
                <w:rFonts w:hint="eastAsia" w:ascii="宋体" w:hAnsi="宋体" w:eastAsia="宋体" w:cs="宋体"/>
                <w:bCs/>
                <w:color w:val="auto"/>
                <w:kern w:val="2"/>
                <w:sz w:val="21"/>
                <w:szCs w:val="21"/>
                <w:highlight w:val="none"/>
                <w:lang w:val="en-US" w:eastAsia="zh-CN" w:bidi="ar-SA"/>
              </w:rPr>
              <w:t>1</w:t>
            </w:r>
            <w:r>
              <w:rPr>
                <w:rFonts w:hint="default" w:ascii="宋体" w:hAnsi="宋体" w:eastAsia="宋体" w:cs="宋体"/>
                <w:bCs/>
                <w:color w:val="auto"/>
                <w:kern w:val="2"/>
                <w:sz w:val="21"/>
                <w:szCs w:val="21"/>
                <w:highlight w:val="none"/>
                <w:lang w:val="en-US" w:eastAsia="zh-CN" w:bidi="ar-SA"/>
              </w:rPr>
              <w:t>家专业消杀公司负责</w:t>
            </w:r>
            <w:r>
              <w:rPr>
                <w:rFonts w:hint="eastAsia" w:ascii="宋体" w:hAnsi="宋体" w:cs="宋体"/>
                <w:bCs/>
                <w:color w:val="auto"/>
                <w:kern w:val="2"/>
                <w:sz w:val="21"/>
                <w:szCs w:val="21"/>
                <w:highlight w:val="none"/>
                <w:lang w:val="en-US" w:eastAsia="zh-CN" w:bidi="ar-SA"/>
              </w:rPr>
              <w:t>龙圩</w:t>
            </w:r>
            <w:r>
              <w:rPr>
                <w:rFonts w:hint="default" w:ascii="宋体" w:hAnsi="宋体" w:eastAsia="宋体" w:cs="宋体"/>
                <w:bCs/>
                <w:color w:val="auto"/>
                <w:kern w:val="2"/>
                <w:sz w:val="21"/>
                <w:szCs w:val="21"/>
                <w:highlight w:val="none"/>
                <w:lang w:val="en-US" w:eastAsia="zh-CN" w:bidi="ar-SA"/>
              </w:rPr>
              <w:t>区公共场所的病媒生物防制工作，确保城区公共场所病媒生物密度达到病媒生物密度</w:t>
            </w:r>
            <w:r>
              <w:rPr>
                <w:rFonts w:hint="eastAsia" w:ascii="宋体" w:hAnsi="宋体" w:cs="宋体"/>
                <w:bCs/>
                <w:color w:val="auto"/>
                <w:kern w:val="2"/>
                <w:sz w:val="21"/>
                <w:szCs w:val="21"/>
                <w:highlight w:val="none"/>
                <w:lang w:val="en-US" w:eastAsia="zh-CN" w:bidi="ar-SA"/>
              </w:rPr>
              <w:t>控制</w:t>
            </w:r>
            <w:r>
              <w:rPr>
                <w:rFonts w:hint="default" w:ascii="宋体" w:hAnsi="宋体" w:eastAsia="宋体" w:cs="宋体"/>
                <w:bCs/>
                <w:color w:val="auto"/>
                <w:kern w:val="2"/>
                <w:sz w:val="21"/>
                <w:szCs w:val="21"/>
                <w:highlight w:val="none"/>
                <w:lang w:val="en-US" w:eastAsia="zh-CN" w:bidi="ar-SA"/>
              </w:rPr>
              <w:t>C级标准。</w:t>
            </w:r>
          </w:p>
          <w:p w14:paraId="317D0F3C">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二、灭鼠范围</w:t>
            </w:r>
          </w:p>
          <w:p w14:paraId="5054D80D">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苍海路、苍梧大道、政贤路、龙城路、城西大道、城南大道、西南大道北段、龙湖西一路、龙湖西三路、龙湖西二路、龙湖西一路分岔路、广信路、京塘路、下廓街、忠义街、龙华街、峡顶街、凤岭街、龙湖一路、龙湖二路、龙湖三路、龙湖路、广场路、政贤一路、政贤二路、政贤三路、政贤五路、政贤六路、城东三路、政贤七路、银兴一路、龙圩区地税门前路、政贤路南侧路、银信二路、城南一路、城南二路、城东路、广场中路、城东一路、城东二路、祥龙路、祥龙一路、祥龙二路、祥龙三路、祥龙五路、祥龙六路、祥龙中路、祥龙中路、龙兴路、花园路、安泰路、安泰中路、大坡路（x184）、广场西路、西南大道东侧路、工业大道、工业大道北侧路、西南大道东侧路、建兴路、双桂路、高铁南站北侧路（连通水利枢纽及沧海路）、高冲街、校园路、沿江路防洪堤、沿江路、广场一路、广场二路、广场三路、广场一路北侧路、政贤一路北侧路、林水一路、林水二路、城南大道南侧路、龙兴路北侧路、安泰一路、安泰二路、安泰三路、安泰五路、安泰五路东侧路、龙城路西北支路、西南大道南段、园博园东侧路等上述主要街道</w:t>
            </w:r>
            <w:r>
              <w:rPr>
                <w:rFonts w:hint="eastAsia" w:ascii="宋体" w:hAnsi="宋体" w:cs="宋体"/>
                <w:bCs/>
                <w:color w:val="auto"/>
                <w:szCs w:val="21"/>
                <w:highlight w:val="none"/>
                <w:lang w:eastAsia="zh-CN"/>
              </w:rPr>
              <w:t>（道路）、公厕、公园绿地（街心花园）、垃圾中转站</w:t>
            </w:r>
            <w:r>
              <w:rPr>
                <w:rFonts w:hint="eastAsia" w:ascii="宋体" w:hAnsi="宋体" w:cs="宋体"/>
                <w:bCs/>
                <w:color w:val="auto"/>
                <w:szCs w:val="21"/>
                <w:highlight w:val="none"/>
              </w:rPr>
              <w:t>灭鼠。</w:t>
            </w:r>
          </w:p>
          <w:p w14:paraId="4C14339A">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2.新塘市场、城东市场、林水市场、龙湖市场、同益市场、城南农贸市场、大园塘市场、龙圩区活禽批发安置点、园区市场、广西西江城智慧农贸市场灭鼠。</w:t>
            </w:r>
          </w:p>
          <w:p w14:paraId="4B62F607">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三、灭蟑、灭蚊、灭蝇范围</w:t>
            </w:r>
          </w:p>
          <w:p w14:paraId="56E2F941">
            <w:pPr>
              <w:wordWrap w:val="0"/>
              <w:topLinePunct/>
              <w:adjustRightInd w:val="0"/>
              <w:snapToGrid w:val="0"/>
              <w:spacing w:line="300" w:lineRule="exact"/>
              <w:ind w:firstLine="420" w:firstLineChars="200"/>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建成</w:t>
            </w:r>
            <w:r>
              <w:rPr>
                <w:rFonts w:hint="eastAsia" w:ascii="宋体" w:hAnsi="宋体" w:cs="宋体"/>
                <w:bCs/>
                <w:color w:val="auto"/>
                <w:szCs w:val="21"/>
                <w:highlight w:val="none"/>
              </w:rPr>
              <w:t>区内所有主次干道绿化带、街心花园、下水道、垃圾桶、公共厕所、垃圾中转站</w:t>
            </w:r>
            <w:r>
              <w:rPr>
                <w:rFonts w:hint="eastAsia" w:ascii="宋体" w:hAnsi="宋体" w:cs="宋体"/>
                <w:bCs/>
                <w:color w:val="auto"/>
                <w:szCs w:val="21"/>
                <w:highlight w:val="none"/>
                <w:lang w:eastAsia="zh-CN"/>
              </w:rPr>
              <w:t>、农贸市场。</w:t>
            </w:r>
          </w:p>
          <w:p w14:paraId="491D5264">
            <w:pPr>
              <w:wordWrap w:val="0"/>
              <w:topLinePunct/>
              <w:adjustRightInd w:val="0"/>
              <w:snapToGrid w:val="0"/>
              <w:spacing w:line="300" w:lineRule="exact"/>
              <w:ind w:firstLine="420" w:firstLineChars="200"/>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（一）</w:t>
            </w:r>
            <w:r>
              <w:rPr>
                <w:rFonts w:hint="eastAsia" w:ascii="宋体" w:hAnsi="宋体" w:cs="宋体"/>
                <w:bCs/>
                <w:color w:val="auto"/>
                <w:szCs w:val="21"/>
                <w:highlight w:val="none"/>
              </w:rPr>
              <w:t>公共厕所：人民会堂公厕、防洪提公厕、凤岭街公厕、广场公厕(罗马柱旁)、广场公厕(苍梧民政局旁）</w:t>
            </w:r>
            <w:r>
              <w:rPr>
                <w:rFonts w:hint="eastAsia" w:ascii="宋体" w:hAnsi="宋体" w:cs="宋体"/>
                <w:bCs/>
                <w:color w:val="auto"/>
                <w:szCs w:val="21"/>
                <w:highlight w:val="none"/>
                <w:lang w:eastAsia="zh-CN"/>
              </w:rPr>
              <w:t>、榕树根公厕、原灯光球场公厕、龙湖公厕。</w:t>
            </w:r>
          </w:p>
          <w:p w14:paraId="15964324">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　　</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rPr>
              <w:t>）</w:t>
            </w:r>
            <w:bookmarkStart w:id="86" w:name="OLE_LINK4"/>
            <w:r>
              <w:rPr>
                <w:rFonts w:hint="eastAsia" w:ascii="宋体" w:hAnsi="宋体" w:cs="宋体"/>
                <w:bCs/>
                <w:color w:val="auto"/>
                <w:szCs w:val="21"/>
                <w:highlight w:val="none"/>
              </w:rPr>
              <w:t>垃圾中转站</w:t>
            </w:r>
            <w:bookmarkEnd w:id="86"/>
            <w:r>
              <w:rPr>
                <w:rFonts w:hint="eastAsia" w:ascii="宋体" w:hAnsi="宋体" w:cs="宋体"/>
                <w:bCs/>
                <w:color w:val="auto"/>
                <w:szCs w:val="21"/>
                <w:highlight w:val="none"/>
              </w:rPr>
              <w:t>：天桥中转站、会堂临时收集点、城南地埋式垃圾收集点</w:t>
            </w:r>
            <w:r>
              <w:rPr>
                <w:rFonts w:hint="eastAsia" w:ascii="宋体" w:hAnsi="宋体" w:cs="宋体"/>
                <w:bCs/>
                <w:color w:val="auto"/>
                <w:szCs w:val="21"/>
                <w:highlight w:val="none"/>
                <w:lang w:eastAsia="zh-CN"/>
              </w:rPr>
              <w:t>、梧州南站地埋式垃圾转运站、世纪大厦地埋式垃圾收集点、南百生活垃圾中转站、西南中转站</w:t>
            </w:r>
            <w:r>
              <w:rPr>
                <w:rFonts w:hint="eastAsia" w:ascii="宋体" w:hAnsi="宋体" w:cs="宋体"/>
                <w:bCs/>
                <w:color w:val="auto"/>
                <w:szCs w:val="21"/>
                <w:highlight w:val="none"/>
              </w:rPr>
              <w:t>。</w:t>
            </w:r>
          </w:p>
          <w:p w14:paraId="5ACD9217">
            <w:pPr>
              <w:wordWrap w:val="0"/>
              <w:topLinePunct/>
              <w:adjustRightInd w:val="0"/>
              <w:snapToGrid w:val="0"/>
              <w:spacing w:line="3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（三）农贸市场：新塘市场、城东市场、林水市场、龙湖市场、同益市场、城南农贸市场、大园塘市场、龙圩区活禽批发安置点、园区市场、广西西江城智慧农贸市场。</w:t>
            </w:r>
          </w:p>
          <w:p w14:paraId="72183EB3">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四、药物需求一览表</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7"/>
              <w:gridCol w:w="1942"/>
              <w:gridCol w:w="3825"/>
            </w:tblGrid>
            <w:tr w14:paraId="33F0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2B6D416">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序号</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572E8D9">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货物或服务名称</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1741A32B">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药物技术参数及性能（配置）要求</w:t>
                  </w:r>
                </w:p>
              </w:tc>
            </w:tr>
            <w:tr w14:paraId="1719A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CAF5776">
                  <w:pPr>
                    <w:widowControl/>
                    <w:tabs>
                      <w:tab w:val="center" w:pos="366"/>
                      <w:tab w:val="left" w:pos="501"/>
                    </w:tabs>
                    <w:spacing w:line="440" w:lineRule="exact"/>
                    <w:jc w:val="left"/>
                    <w:textAlignment w:val="baseline"/>
                    <w:rPr>
                      <w:rStyle w:val="79"/>
                      <w:color w:val="auto"/>
                      <w:szCs w:val="21"/>
                      <w:highlight w:val="none"/>
                    </w:rPr>
                  </w:pPr>
                  <w:r>
                    <w:rPr>
                      <w:rStyle w:val="79"/>
                      <w:rFonts w:hint="eastAsia" w:ascii="宋体" w:hAnsi="宋体" w:cs="宋体"/>
                      <w:color w:val="auto"/>
                      <w:szCs w:val="21"/>
                      <w:highlight w:val="none"/>
                    </w:rPr>
                    <w:tab/>
                  </w:r>
                  <w:r>
                    <w:rPr>
                      <w:rStyle w:val="79"/>
                      <w:rFonts w:hint="eastAsia" w:ascii="宋体" w:hAnsi="宋体" w:cs="宋体"/>
                      <w:color w:val="auto"/>
                      <w:szCs w:val="21"/>
                      <w:highlight w:val="none"/>
                    </w:rPr>
                    <w:t>1</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7172BDA">
                  <w:pPr>
                    <w:spacing w:line="440" w:lineRule="exact"/>
                    <w:jc w:val="center"/>
                    <w:textAlignment w:val="baseline"/>
                    <w:rPr>
                      <w:rStyle w:val="79"/>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0.005%溴鼠灵饵剂（含灭鼠服务）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3BF38EF2">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1、1千克/包，20千克/袋；</w:t>
                  </w:r>
                </w:p>
                <w:p w14:paraId="5B5E071E">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2、包装材料：反光（或避光）塑料膜。</w:t>
                  </w:r>
                </w:p>
                <w:p w14:paraId="51B88965">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★3、有效成分含量：溴鼠灵含量</w:t>
                  </w:r>
                  <w:r>
                    <w:rPr>
                      <w:rStyle w:val="79"/>
                      <w:rFonts w:ascii="Arial" w:hAnsi="Arial" w:cs="Arial"/>
                      <w:color w:val="auto"/>
                      <w:szCs w:val="21"/>
                      <w:highlight w:val="none"/>
                    </w:rPr>
                    <w:t>≥</w:t>
                  </w:r>
                  <w:r>
                    <w:rPr>
                      <w:rFonts w:hint="eastAsia" w:ascii="宋体" w:hAnsi="宋体" w:cs="宋体"/>
                      <w:bCs/>
                      <w:color w:val="auto"/>
                      <w:szCs w:val="21"/>
                      <w:highlight w:val="none"/>
                    </w:rPr>
                    <w:t>0.005%</w:t>
                  </w:r>
                </w:p>
                <w:p w14:paraId="4C56B95C">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4、外包装：印有产品性能、使用技术、中毒及急救措施、生产日期、有效期等。</w:t>
                  </w:r>
                </w:p>
                <w:p w14:paraId="257EF88C">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5、所供毒饵有效期≥15个月。</w:t>
                  </w:r>
                </w:p>
                <w:p w14:paraId="1471E3D8">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6、在灭鼠范围内灭鼠的同时开展填鼠洞，要求用水泥（混凝土）、碎石填封。</w:t>
                  </w:r>
                </w:p>
                <w:p w14:paraId="5D20CF46">
                  <w:pPr>
                    <w:wordWrap w:val="0"/>
                    <w:topLinePunct/>
                    <w:adjustRightInd w:val="0"/>
                    <w:snapToGrid w:val="0"/>
                    <w:spacing w:line="300" w:lineRule="exact"/>
                    <w:jc w:val="left"/>
                    <w:rPr>
                      <w:rStyle w:val="79"/>
                      <w:rFonts w:hint="default" w:ascii="宋体" w:hAnsi="宋体"/>
                      <w:color w:val="auto"/>
                      <w:szCs w:val="21"/>
                      <w:highlight w:val="none"/>
                      <w:lang w:val="en-US"/>
                    </w:rPr>
                  </w:pPr>
                  <w:r>
                    <w:rPr>
                      <w:rStyle w:val="79"/>
                      <w:rFonts w:hint="eastAsia" w:ascii="宋体" w:hAnsi="宋体"/>
                      <w:color w:val="auto"/>
                      <w:szCs w:val="21"/>
                      <w:highlight w:val="none"/>
                      <w:lang w:val="en-US"/>
                    </w:rPr>
                    <w:t>7、除“四害”工作需在</w:t>
                  </w:r>
                  <w:r>
                    <w:rPr>
                      <w:rStyle w:val="79"/>
                      <w:rFonts w:hint="eastAsia" w:ascii="宋体" w:hAnsi="宋体"/>
                      <w:color w:val="auto"/>
                      <w:szCs w:val="21"/>
                      <w:highlight w:val="none"/>
                      <w:lang w:val="en-US" w:eastAsia="zh-CN"/>
                    </w:rPr>
                    <w:t>10</w:t>
                  </w:r>
                  <w:r>
                    <w:rPr>
                      <w:rStyle w:val="79"/>
                      <w:rFonts w:hint="eastAsia" w:ascii="宋体" w:hAnsi="宋体"/>
                      <w:color w:val="auto"/>
                      <w:szCs w:val="21"/>
                      <w:highlight w:val="none"/>
                      <w:lang w:val="en-US"/>
                    </w:rPr>
                    <w:t>日内完成。</w:t>
                  </w:r>
                </w:p>
              </w:tc>
            </w:tr>
            <w:tr w14:paraId="5F5E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59A5471C">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2</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1DBF1181">
                  <w:pPr>
                    <w:keepNext w:val="0"/>
                    <w:keepLines w:val="0"/>
                    <w:widowControl/>
                    <w:suppressLineNumbers w:val="0"/>
                    <w:jc w:val="left"/>
                    <w:rPr>
                      <w:rStyle w:val="79"/>
                      <w:rFonts w:hAnsi="宋体"/>
                      <w:color w:val="auto"/>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0.5%吡丙醚颗粒剂（含灭蚊幼服务）或者</w:t>
                  </w:r>
                  <w:r>
                    <w:rPr>
                      <w:rFonts w:ascii="sans-serif" w:hAnsi="sans-serif" w:eastAsia="宋体" w:cs="sans-serif"/>
                      <w:i w:val="0"/>
                      <w:caps w:val="0"/>
                      <w:color w:val="auto"/>
                      <w:spacing w:val="0"/>
                      <w:kern w:val="0"/>
                      <w:sz w:val="19"/>
                      <w:szCs w:val="19"/>
                      <w:highlight w:val="none"/>
                      <w:shd w:val="clear" w:color="auto" w:fill="FFFFFF"/>
                      <w:lang w:val="en-US" w:eastAsia="zh-CN" w:bidi="ar"/>
                    </w:rPr>
                    <w:t>苏芸金杆菌</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55BD25CA">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★1、有效成分：0.5%吡丙醚，剂型；颗粒剂；</w:t>
                  </w:r>
                </w:p>
                <w:p w14:paraId="3F0E8C96">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2、用于外环境蚊虫孳生地处理；</w:t>
                  </w:r>
                </w:p>
                <w:p w14:paraId="3D547D3C">
                  <w:pPr>
                    <w:wordWrap w:val="0"/>
                    <w:topLinePunct/>
                    <w:adjustRightInd w:val="0"/>
                    <w:snapToGrid w:val="0"/>
                    <w:spacing w:line="300" w:lineRule="exact"/>
                    <w:jc w:val="left"/>
                    <w:rPr>
                      <w:rStyle w:val="79"/>
                      <w:rFonts w:ascii="宋体" w:hAnsi="宋体"/>
                      <w:color w:val="auto"/>
                      <w:szCs w:val="21"/>
                      <w:highlight w:val="none"/>
                    </w:rPr>
                  </w:pPr>
                  <w:r>
                    <w:rPr>
                      <w:rFonts w:hint="eastAsia" w:ascii="宋体" w:hAnsi="宋体" w:cs="宋体"/>
                      <w:bCs/>
                      <w:color w:val="auto"/>
                      <w:szCs w:val="21"/>
                      <w:highlight w:val="none"/>
                    </w:rPr>
                    <w:t>3、500克/包，20包/箱。</w:t>
                  </w:r>
                </w:p>
              </w:tc>
            </w:tr>
            <w:tr w14:paraId="18B54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3FD8E27">
                  <w:pPr>
                    <w:widowControl/>
                    <w:spacing w:line="440" w:lineRule="exact"/>
                    <w:jc w:val="center"/>
                    <w:textAlignment w:val="baseline"/>
                    <w:rPr>
                      <w:rStyle w:val="79"/>
                      <w:rFonts w:ascii="宋体" w:hAnsi="宋体" w:cs="宋体"/>
                      <w:color w:val="auto"/>
                      <w:szCs w:val="21"/>
                      <w:highlight w:val="none"/>
                    </w:rPr>
                  </w:pPr>
                  <w:r>
                    <w:rPr>
                      <w:rStyle w:val="79"/>
                      <w:rFonts w:hint="eastAsia" w:ascii="宋体" w:hAnsi="宋体" w:cs="宋体"/>
                      <w:color w:val="auto"/>
                      <w:szCs w:val="21"/>
                      <w:highlight w:val="none"/>
                    </w:rPr>
                    <w:t>3</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484D3271">
                  <w:pPr>
                    <w:spacing w:line="440" w:lineRule="exact"/>
                    <w:jc w:val="center"/>
                    <w:textAlignment w:val="baseline"/>
                    <w:rPr>
                      <w:rStyle w:val="79"/>
                      <w:rFonts w:ascii="Arial" w:hAnsi="Arial" w:cs="Arial"/>
                      <w:color w:val="auto"/>
                      <w:szCs w:val="21"/>
                      <w:highlight w:val="none"/>
                    </w:rPr>
                  </w:pPr>
                  <w:r>
                    <w:rPr>
                      <w:rStyle w:val="79"/>
                      <w:rFonts w:ascii="Arial" w:hAnsi="Arial" w:cs="Arial"/>
                      <w:color w:val="auto"/>
                      <w:szCs w:val="21"/>
                      <w:highlight w:val="none"/>
                    </w:rPr>
                    <w:t>≥</w:t>
                  </w:r>
                  <w:r>
                    <w:rPr>
                      <w:rStyle w:val="79"/>
                      <w:rFonts w:hint="eastAsia" w:ascii="宋体" w:hAnsi="宋体" w:cs="宋体"/>
                      <w:color w:val="auto"/>
                      <w:szCs w:val="21"/>
                      <w:highlight w:val="none"/>
                    </w:rPr>
                    <w:t>1%高效氯氰菊酯热烟雾剂（含复配剂）</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0BA80D1C">
                  <w:pPr>
                    <w:wordWrap w:val="0"/>
                    <w:topLinePunct/>
                    <w:adjustRightInd w:val="0"/>
                    <w:snapToGrid w:val="0"/>
                    <w:spacing w:line="300" w:lineRule="exact"/>
                    <w:jc w:val="left"/>
                    <w:rPr>
                      <w:rFonts w:hint="eastAsia" w:ascii="宋体" w:hAnsi="宋体" w:cs="宋体"/>
                      <w:bCs/>
                      <w:color w:val="auto"/>
                      <w:szCs w:val="21"/>
                      <w:highlight w:val="none"/>
                    </w:rPr>
                  </w:pPr>
                  <w:r>
                    <w:rPr>
                      <w:rStyle w:val="79"/>
                      <w:rFonts w:hint="eastAsia" w:ascii="宋体" w:hAnsi="宋体" w:cs="宋体"/>
                      <w:color w:val="auto"/>
                      <w:szCs w:val="21"/>
                      <w:highlight w:val="none"/>
                    </w:rPr>
                    <w:t>1、</w:t>
                  </w:r>
                  <w:r>
                    <w:rPr>
                      <w:rFonts w:hint="eastAsia" w:ascii="宋体" w:hAnsi="宋体" w:cs="宋体"/>
                      <w:bCs/>
                      <w:color w:val="auto"/>
                      <w:szCs w:val="21"/>
                      <w:highlight w:val="none"/>
                    </w:rPr>
                    <w:t>为确保灭蟑螂效果，有效控制蟑螂密度，产品必需为202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月后生产。</w:t>
                  </w:r>
                </w:p>
                <w:p w14:paraId="65607A62">
                  <w:pPr>
                    <w:wordWrap w:val="0"/>
                    <w:topLinePunct/>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▲2、有效成份：</w:t>
                  </w:r>
                  <w:r>
                    <w:rPr>
                      <w:rFonts w:ascii="宋体" w:hAnsi="宋体" w:cs="宋体"/>
                      <w:bCs/>
                      <w:color w:val="auto"/>
                      <w:szCs w:val="21"/>
                      <w:highlight w:val="none"/>
                    </w:rPr>
                    <w:t>≥</w:t>
                  </w:r>
                  <w:r>
                    <w:rPr>
                      <w:rFonts w:hint="eastAsia" w:ascii="宋体" w:hAnsi="宋体" w:cs="宋体"/>
                      <w:bCs/>
                      <w:color w:val="auto"/>
                      <w:szCs w:val="21"/>
                      <w:highlight w:val="none"/>
                    </w:rPr>
                    <w:t>1%高效氯氰菊酯，剂型：热雾剂 (药物包装有生产日期，用于下水道灭蟑螂、蚊子等）</w:t>
                  </w:r>
                </w:p>
                <w:p w14:paraId="40B9A842">
                  <w:pPr>
                    <w:wordWrap w:val="0"/>
                    <w:topLinePunct/>
                    <w:adjustRightInd w:val="0"/>
                    <w:snapToGrid w:val="0"/>
                    <w:spacing w:line="300" w:lineRule="exact"/>
                    <w:jc w:val="left"/>
                    <w:rPr>
                      <w:rFonts w:hint="eastAsia"/>
                      <w:color w:val="auto"/>
                      <w:highlight w:val="none"/>
                    </w:rPr>
                  </w:pPr>
                  <w:r>
                    <w:rPr>
                      <w:rFonts w:hint="eastAsia" w:ascii="宋体" w:hAnsi="宋体" w:cs="宋体"/>
                      <w:bCs/>
                      <w:color w:val="auto"/>
                      <w:szCs w:val="21"/>
                      <w:highlight w:val="none"/>
                    </w:rPr>
                    <w:t>3、5升/桶，4桶/箱</w:t>
                  </w:r>
                </w:p>
              </w:tc>
            </w:tr>
            <w:tr w14:paraId="41A7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CED1273">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rPr>
                    <w:t>4</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6B45C1A6">
                  <w:pPr>
                    <w:spacing w:line="440" w:lineRule="exact"/>
                    <w:jc w:val="center"/>
                    <w:textAlignment w:val="baseline"/>
                    <w:rPr>
                      <w:rStyle w:val="79"/>
                      <w:rFonts w:ascii="宋体" w:hAnsi="宋体"/>
                      <w:color w:val="auto"/>
                      <w:szCs w:val="21"/>
                      <w:highlight w:val="none"/>
                    </w:rPr>
                  </w:pPr>
                  <w:r>
                    <w:rPr>
                      <w:rStyle w:val="79"/>
                      <w:rFonts w:ascii="Arial" w:hAnsi="Arial" w:cs="Arial"/>
                      <w:color w:val="auto"/>
                      <w:szCs w:val="21"/>
                      <w:highlight w:val="none"/>
                    </w:rPr>
                    <w:t>≥</w:t>
                  </w:r>
                  <w:r>
                    <w:rPr>
                      <w:rStyle w:val="79"/>
                      <w:rFonts w:hint="eastAsia" w:ascii="Arial" w:hAnsi="Arial" w:cs="Arial"/>
                      <w:color w:val="auto"/>
                      <w:szCs w:val="21"/>
                      <w:highlight w:val="none"/>
                    </w:rPr>
                    <w:t>15%高氯残杀威悬浮剂</w:t>
                  </w:r>
                  <w:r>
                    <w:rPr>
                      <w:rStyle w:val="79"/>
                      <w:rFonts w:hint="eastAsia" w:ascii="宋体" w:hAnsi="宋体" w:cs="宋体"/>
                      <w:color w:val="auto"/>
                      <w:szCs w:val="21"/>
                      <w:highlight w:val="none"/>
                    </w:rPr>
                    <w:t>（含灭蚊蝇服务）</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70A55A86">
                  <w:pPr>
                    <w:pStyle w:val="78"/>
                    <w:widowControl/>
                    <w:spacing w:line="440" w:lineRule="exact"/>
                    <w:ind w:firstLine="0" w:firstLineChars="0"/>
                    <w:rPr>
                      <w:color w:val="auto"/>
                      <w:highlight w:val="none"/>
                    </w:rPr>
                  </w:pPr>
                  <w:r>
                    <w:rPr>
                      <w:rStyle w:val="79"/>
                      <w:b/>
                      <w:bCs/>
                      <w:color w:val="auto"/>
                      <w:highlight w:val="none"/>
                    </w:rPr>
                    <w:t>★</w:t>
                  </w:r>
                  <w:r>
                    <w:rPr>
                      <w:rFonts w:hint="eastAsia"/>
                      <w:color w:val="auto"/>
                      <w:highlight w:val="none"/>
                    </w:rPr>
                    <w:t>1、有效成分：</w:t>
                  </w:r>
                  <w:r>
                    <w:rPr>
                      <w:color w:val="auto"/>
                      <w:highlight w:val="none"/>
                    </w:rPr>
                    <w:t>≥</w:t>
                  </w:r>
                  <w:r>
                    <w:rPr>
                      <w:rFonts w:hint="eastAsia"/>
                      <w:color w:val="auto"/>
                      <w:highlight w:val="none"/>
                    </w:rPr>
                    <w:t>8.5%高效氯氰菊酯、</w:t>
                  </w:r>
                  <w:r>
                    <w:rPr>
                      <w:color w:val="auto"/>
                      <w:highlight w:val="none"/>
                    </w:rPr>
                    <w:t>≥</w:t>
                  </w:r>
                  <w:r>
                    <w:rPr>
                      <w:rFonts w:hint="eastAsia"/>
                      <w:color w:val="auto"/>
                      <w:highlight w:val="none"/>
                    </w:rPr>
                    <w:t>6.5%残杀威</w:t>
                  </w:r>
                </w:p>
                <w:p w14:paraId="043EAC6B">
                  <w:pPr>
                    <w:numPr>
                      <w:ilvl w:val="0"/>
                      <w:numId w:val="0"/>
                    </w:numPr>
                    <w:spacing w:line="440" w:lineRule="exact"/>
                    <w:textAlignment w:val="baseline"/>
                    <w:rPr>
                      <w:rFonts w:hint="eastAsia"/>
                      <w:color w:val="auto"/>
                      <w:highlight w:val="none"/>
                    </w:rPr>
                  </w:pPr>
                  <w:r>
                    <w:rPr>
                      <w:rFonts w:hint="eastAsia"/>
                      <w:color w:val="auto"/>
                      <w:highlight w:val="none"/>
                      <w:lang w:val="en-US" w:eastAsia="zh-CN"/>
                    </w:rPr>
                    <w:t>2、</w:t>
                  </w:r>
                  <w:r>
                    <w:rPr>
                      <w:rFonts w:hint="eastAsia"/>
                      <w:color w:val="auto"/>
                      <w:highlight w:val="none"/>
                    </w:rPr>
                    <w:t>有效期：二年内、包装标有生产日期</w:t>
                  </w:r>
                </w:p>
                <w:p w14:paraId="5206DC5C">
                  <w:pPr>
                    <w:pStyle w:val="2"/>
                    <w:ind w:firstLine="0" w:firstLineChars="0"/>
                    <w:rPr>
                      <w:color w:val="auto"/>
                      <w:highlight w:val="none"/>
                    </w:rPr>
                  </w:pPr>
                  <w:r>
                    <w:rPr>
                      <w:rFonts w:hint="eastAsia"/>
                      <w:color w:val="auto"/>
                      <w:highlight w:val="none"/>
                    </w:rPr>
                    <w:t>3、500克/瓶，20瓶/箱。</w:t>
                  </w:r>
                </w:p>
              </w:tc>
            </w:tr>
            <w:tr w14:paraId="4236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DEA602C">
                  <w:pPr>
                    <w:widowControl/>
                    <w:spacing w:line="440" w:lineRule="exact"/>
                    <w:jc w:val="center"/>
                    <w:textAlignment w:val="baseline"/>
                    <w:rPr>
                      <w:rStyle w:val="79"/>
                      <w:rFonts w:ascii="宋体" w:hAnsi="宋体"/>
                      <w:color w:val="auto"/>
                      <w:szCs w:val="21"/>
                      <w:highlight w:val="none"/>
                    </w:rPr>
                  </w:pPr>
                  <w:r>
                    <w:rPr>
                      <w:rStyle w:val="79"/>
                      <w:rFonts w:hint="eastAsia" w:ascii="宋体" w:hAnsi="宋体" w:cs="宋体"/>
                      <w:color w:val="auto"/>
                      <w:szCs w:val="21"/>
                      <w:highlight w:val="none"/>
                      <w:lang w:val="en-US"/>
                    </w:rPr>
                    <w:t>5</w:t>
                  </w:r>
                </w:p>
              </w:tc>
              <w:tc>
                <w:tcPr>
                  <w:tcW w:w="1565" w:type="pct"/>
                  <w:tcBorders>
                    <w:top w:val="single" w:color="000000" w:sz="4" w:space="0"/>
                    <w:left w:val="single" w:color="000000" w:sz="4" w:space="0"/>
                    <w:bottom w:val="single" w:color="000000" w:sz="4" w:space="0"/>
                    <w:right w:val="single" w:color="000000" w:sz="4" w:space="0"/>
                  </w:tcBorders>
                  <w:noWrap w:val="0"/>
                  <w:vAlign w:val="center"/>
                </w:tcPr>
                <w:p w14:paraId="0A80352A">
                  <w:pPr>
                    <w:spacing w:line="440" w:lineRule="exact"/>
                    <w:jc w:val="center"/>
                    <w:textAlignment w:val="baseline"/>
                    <w:rPr>
                      <w:rStyle w:val="79"/>
                      <w:color w:val="auto"/>
                      <w:szCs w:val="21"/>
                      <w:highlight w:val="none"/>
                    </w:rPr>
                  </w:pPr>
                  <w:r>
                    <w:rPr>
                      <w:rStyle w:val="79"/>
                      <w:rFonts w:hint="eastAsia" w:ascii="宋体" w:hAnsi="宋体" w:cs="宋体"/>
                      <w:color w:val="auto"/>
                      <w:szCs w:val="21"/>
                      <w:highlight w:val="none"/>
                    </w:rPr>
                    <w:t>毒鼠屋（毒饵站或毒饵盒）</w:t>
                  </w:r>
                </w:p>
              </w:tc>
              <w:tc>
                <w:tcPr>
                  <w:tcW w:w="3082" w:type="pct"/>
                  <w:tcBorders>
                    <w:top w:val="single" w:color="000000" w:sz="4" w:space="0"/>
                    <w:left w:val="single" w:color="000000" w:sz="4" w:space="0"/>
                    <w:bottom w:val="single" w:color="000000" w:sz="4" w:space="0"/>
                    <w:right w:val="single" w:color="000000" w:sz="4" w:space="0"/>
                  </w:tcBorders>
                  <w:noWrap w:val="0"/>
                  <w:vAlign w:val="center"/>
                </w:tcPr>
                <w:p w14:paraId="5D21C97B">
                  <w:pPr>
                    <w:jc w:val="left"/>
                    <w:rPr>
                      <w:rFonts w:ascii="宋体" w:hAnsi="宋体"/>
                      <w:color w:val="auto"/>
                      <w:szCs w:val="21"/>
                      <w:highlight w:val="none"/>
                    </w:rPr>
                  </w:pPr>
                  <w:r>
                    <w:rPr>
                      <w:rFonts w:hint="eastAsia" w:ascii="宋体" w:hAnsi="宋体"/>
                      <w:color w:val="auto"/>
                      <w:szCs w:val="21"/>
                      <w:highlight w:val="none"/>
                    </w:rPr>
                    <w:t>适用于户外灭鼠。</w:t>
                  </w:r>
                </w:p>
                <w:p w14:paraId="7617BAAB">
                  <w:pPr>
                    <w:jc w:val="left"/>
                    <w:rPr>
                      <w:rFonts w:ascii="宋体" w:hAnsi="宋体"/>
                      <w:color w:val="auto"/>
                      <w:szCs w:val="21"/>
                      <w:highlight w:val="none"/>
                    </w:rPr>
                  </w:pPr>
                  <w:r>
                    <w:rPr>
                      <w:rFonts w:hint="eastAsia" w:ascii="宋体" w:hAnsi="宋体"/>
                      <w:color w:val="auto"/>
                      <w:szCs w:val="21"/>
                      <w:highlight w:val="none"/>
                    </w:rPr>
                    <w:t>1.材质：水泥或陶瓷；</w:t>
                  </w:r>
                </w:p>
                <w:p w14:paraId="50D0C844">
                  <w:pPr>
                    <w:pStyle w:val="78"/>
                    <w:widowControl/>
                    <w:spacing w:line="440" w:lineRule="exact"/>
                    <w:ind w:firstLine="0" w:firstLineChars="0"/>
                    <w:rPr>
                      <w:rStyle w:val="79"/>
                      <w:rFonts w:hint="eastAsia" w:ascii="宋体" w:hAnsi="宋体" w:cs="宋体"/>
                      <w:bCs/>
                      <w:color w:val="auto"/>
                      <w:kern w:val="0"/>
                      <w:szCs w:val="21"/>
                      <w:highlight w:val="none"/>
                    </w:rPr>
                  </w:pPr>
                  <w:r>
                    <w:rPr>
                      <w:rFonts w:hint="eastAsia" w:ascii="宋体" w:hAnsi="宋体"/>
                      <w:color w:val="auto"/>
                      <w:szCs w:val="21"/>
                      <w:highlight w:val="none"/>
                    </w:rPr>
                    <w:t>★2.规格：长度≥26cm。</w:t>
                  </w: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2000个,具体区域数量分配根据采购人最终确定为准。</w:t>
                  </w:r>
                </w:p>
                <w:p w14:paraId="2909ECC6">
                  <w:pPr>
                    <w:jc w:val="left"/>
                    <w:rPr>
                      <w:rStyle w:val="79"/>
                      <w:rFonts w:ascii="宋体" w:hAnsi="宋体"/>
                      <w:color w:val="auto"/>
                      <w:szCs w:val="21"/>
                      <w:highlight w:val="none"/>
                    </w:rPr>
                  </w:pPr>
                  <w:r>
                    <w:rPr>
                      <w:rStyle w:val="79"/>
                      <w:rFonts w:hint="eastAsia" w:ascii="宋体" w:hAnsi="宋体" w:cs="宋体"/>
                      <w:bCs/>
                      <w:color w:val="auto"/>
                      <w:kern w:val="0"/>
                      <w:szCs w:val="21"/>
                      <w:highlight w:val="none"/>
                    </w:rPr>
                    <w:t>3.需满足本次巩固国家卫生城市除“四害”服务的要求</w:t>
                  </w:r>
                </w:p>
              </w:tc>
            </w:tr>
            <w:tr w14:paraId="071F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3A99B59">
                  <w:pPr>
                    <w:widowControl/>
                    <w:spacing w:line="440" w:lineRule="exact"/>
                    <w:jc w:val="center"/>
                    <w:textAlignment w:val="baseline"/>
                    <w:rPr>
                      <w:rFonts w:ascii="宋体" w:hAnsi="宋体"/>
                      <w:color w:val="auto"/>
                      <w:szCs w:val="21"/>
                      <w:highlight w:val="none"/>
                    </w:rPr>
                  </w:pPr>
                  <w:r>
                    <w:rPr>
                      <w:rStyle w:val="79"/>
                      <w:rFonts w:hint="eastAsia" w:ascii="宋体" w:hAnsi="宋体" w:cs="宋体"/>
                      <w:color w:val="auto"/>
                      <w:szCs w:val="21"/>
                      <w:highlight w:val="none"/>
                      <w:lang w:val="en-US"/>
                    </w:rPr>
                    <w:t>6</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4676FC3">
                  <w:pPr>
                    <w:keepNext w:val="0"/>
                    <w:keepLines w:val="0"/>
                    <w:pageBreakBefore w:val="0"/>
                    <w:kinsoku/>
                    <w:overflowPunct/>
                    <w:autoSpaceDE/>
                    <w:autoSpaceDN/>
                    <w:bidi w:val="0"/>
                    <w:spacing w:line="240" w:lineRule="auto"/>
                    <w:jc w:val="center"/>
                    <w:textAlignment w:val="baseline"/>
                    <w:rPr>
                      <w:rFonts w:hint="eastAsia" w:ascii="宋体" w:hAnsi="宋体"/>
                      <w:color w:val="auto"/>
                      <w:kern w:val="0"/>
                      <w:szCs w:val="21"/>
                      <w:highlight w:val="none"/>
                    </w:rPr>
                  </w:pPr>
                  <w:r>
                    <w:rPr>
                      <w:rFonts w:hint="eastAsia" w:ascii="宋体" w:hAnsi="宋体"/>
                      <w:color w:val="auto"/>
                      <w:szCs w:val="21"/>
                      <w:highlight w:val="none"/>
                    </w:rPr>
                    <w:t>粘鼠板</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0228AAD5">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适用于</w:t>
                  </w:r>
                  <w:r>
                    <w:rPr>
                      <w:rFonts w:hint="eastAsia" w:ascii="宋体" w:hAnsi="宋体"/>
                      <w:color w:val="auto"/>
                      <w:szCs w:val="21"/>
                      <w:highlight w:val="none"/>
                      <w:lang w:eastAsia="zh-CN"/>
                    </w:rPr>
                    <w:t>农贸市场</w:t>
                  </w:r>
                  <w:r>
                    <w:rPr>
                      <w:rFonts w:hint="eastAsia" w:ascii="宋体" w:hAnsi="宋体"/>
                      <w:color w:val="auto"/>
                      <w:szCs w:val="21"/>
                      <w:highlight w:val="none"/>
                    </w:rPr>
                    <w:t>室内灭鼠。</w:t>
                  </w:r>
                </w:p>
                <w:p w14:paraId="1B8126B1">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★1.含胶量：≥25克；</w:t>
                  </w:r>
                </w:p>
                <w:p w14:paraId="59D38C31">
                  <w:pPr>
                    <w:keepNext w:val="0"/>
                    <w:keepLines w:val="0"/>
                    <w:pageBreakBefore w:val="0"/>
                    <w:kinsoku/>
                    <w:overflowPunct/>
                    <w:autoSpaceDE/>
                    <w:autoSpaceDN/>
                    <w:bidi w:val="0"/>
                    <w:spacing w:line="240" w:lineRule="auto"/>
                    <w:jc w:val="left"/>
                    <w:rPr>
                      <w:rFonts w:ascii="宋体" w:hAnsi="宋体"/>
                      <w:color w:val="auto"/>
                      <w:szCs w:val="21"/>
                      <w:highlight w:val="none"/>
                    </w:rPr>
                  </w:pPr>
                  <w:r>
                    <w:rPr>
                      <w:rFonts w:hint="eastAsia" w:ascii="宋体" w:hAnsi="宋体"/>
                      <w:color w:val="auto"/>
                      <w:szCs w:val="21"/>
                      <w:highlight w:val="none"/>
                    </w:rPr>
                    <w:t>2.规格：展开大小300mm×200mm；</w:t>
                  </w:r>
                </w:p>
                <w:p w14:paraId="62C068C8">
                  <w:pPr>
                    <w:pStyle w:val="2"/>
                    <w:keepNext w:val="0"/>
                    <w:keepLines w:val="0"/>
                    <w:pageBreakBefore w:val="0"/>
                    <w:kinsoku/>
                    <w:overflowPunct/>
                    <w:autoSpaceDE/>
                    <w:autoSpaceDN/>
                    <w:bidi w:val="0"/>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t>3.材质：硬纸板。</w:t>
                  </w:r>
                </w:p>
                <w:p w14:paraId="512FB8CB">
                  <w:pPr>
                    <w:pStyle w:val="2"/>
                    <w:keepNext w:val="0"/>
                    <w:keepLines w:val="0"/>
                    <w:pageBreakBefore w:val="0"/>
                    <w:kinsoku/>
                    <w:overflowPunct/>
                    <w:autoSpaceDE/>
                    <w:autoSpaceDN/>
                    <w:bidi w:val="0"/>
                    <w:spacing w:line="240" w:lineRule="auto"/>
                    <w:ind w:firstLine="0" w:firstLineChars="0"/>
                    <w:rPr>
                      <w:rFonts w:hint="eastAsia" w:ascii="宋体" w:hAnsi="宋体" w:cs="宋体"/>
                      <w:bCs/>
                      <w:color w:val="auto"/>
                      <w:kern w:val="0"/>
                      <w:szCs w:val="21"/>
                      <w:highlight w:val="none"/>
                    </w:rPr>
                  </w:pPr>
                  <w:r>
                    <w:rPr>
                      <w:rFonts w:hint="eastAsia" w:ascii="宋体" w:hAnsi="宋体"/>
                      <w:color w:val="auto"/>
                      <w:szCs w:val="21"/>
                      <w:highlight w:val="none"/>
                    </w:rPr>
                    <w:t>4.数量：</w:t>
                  </w:r>
                  <w:r>
                    <w:rPr>
                      <w:rFonts w:hint="eastAsia" w:ascii="宋体" w:hAnsi="宋体"/>
                      <w:color w:val="auto"/>
                      <w:szCs w:val="21"/>
                      <w:highlight w:val="none"/>
                      <w:lang w:eastAsia="zh-CN"/>
                    </w:rPr>
                    <w:t>每个农贸市场放置</w:t>
                  </w:r>
                  <w:r>
                    <w:rPr>
                      <w:rFonts w:hint="eastAsia" w:ascii="宋体" w:hAnsi="宋体"/>
                      <w:color w:val="auto"/>
                      <w:szCs w:val="21"/>
                      <w:highlight w:val="none"/>
                    </w:rPr>
                    <w:t>≥</w:t>
                  </w:r>
                  <w:r>
                    <w:rPr>
                      <w:rFonts w:hint="eastAsia" w:ascii="宋体" w:hAnsi="宋体"/>
                      <w:color w:val="auto"/>
                      <w:szCs w:val="21"/>
                      <w:highlight w:val="none"/>
                      <w:lang w:val="en-US" w:eastAsia="zh-CN"/>
                    </w:rPr>
                    <w:t>20</w:t>
                  </w:r>
                  <w:r>
                    <w:rPr>
                      <w:rFonts w:hint="eastAsia" w:ascii="宋体" w:hAnsi="宋体"/>
                      <w:color w:val="auto"/>
                      <w:szCs w:val="21"/>
                      <w:highlight w:val="none"/>
                    </w:rPr>
                    <w:t>张</w:t>
                  </w:r>
                  <w:r>
                    <w:rPr>
                      <w:rFonts w:hint="eastAsia" w:ascii="宋体" w:hAnsi="宋体"/>
                      <w:color w:val="auto"/>
                      <w:szCs w:val="21"/>
                      <w:highlight w:val="none"/>
                      <w:lang w:eastAsia="zh-CN"/>
                    </w:rPr>
                    <w:t>（以实际达到灭杀效果为准）</w:t>
                  </w:r>
                </w:p>
              </w:tc>
            </w:tr>
            <w:tr w14:paraId="66A1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92B7CE5">
                  <w:pPr>
                    <w:widowControl/>
                    <w:spacing w:line="440" w:lineRule="exact"/>
                    <w:jc w:val="center"/>
                    <w:textAlignment w:val="baseline"/>
                    <w:rPr>
                      <w:rStyle w:val="79"/>
                      <w:rFonts w:hint="eastAsia" w:ascii="宋体" w:hAnsi="宋体"/>
                      <w:color w:val="auto"/>
                      <w:szCs w:val="21"/>
                      <w:highlight w:val="none"/>
                      <w:lang w:val="en-US"/>
                    </w:rPr>
                  </w:pPr>
                  <w:r>
                    <w:rPr>
                      <w:rStyle w:val="79"/>
                      <w:rFonts w:hint="eastAsia" w:ascii="宋体" w:hAnsi="宋体" w:cs="宋体"/>
                      <w:color w:val="auto"/>
                      <w:szCs w:val="21"/>
                      <w:highlight w:val="none"/>
                      <w:lang w:val="en-US"/>
                    </w:rPr>
                    <w:t>7</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B246E5A">
                  <w:pPr>
                    <w:keepNext w:val="0"/>
                    <w:keepLines w:val="0"/>
                    <w:pageBreakBefore w:val="0"/>
                    <w:kinsoku/>
                    <w:overflowPunct/>
                    <w:autoSpaceDE/>
                    <w:autoSpaceDN/>
                    <w:bidi w:val="0"/>
                    <w:spacing w:line="240" w:lineRule="auto"/>
                    <w:jc w:val="center"/>
                    <w:textAlignment w:val="baseline"/>
                    <w:rPr>
                      <w:rStyle w:val="79"/>
                      <w:rFonts w:hint="eastAsia" w:ascii="宋体" w:hAnsi="宋体" w:cs="宋体"/>
                      <w:color w:val="auto"/>
                      <w:kern w:val="0"/>
                      <w:szCs w:val="21"/>
                      <w:highlight w:val="none"/>
                    </w:rPr>
                  </w:pPr>
                  <w:r>
                    <w:rPr>
                      <w:rFonts w:hint="eastAsia" w:ascii="宋体" w:hAnsi="宋体" w:cs="宋体"/>
                      <w:color w:val="auto"/>
                      <w:kern w:val="0"/>
                      <w:szCs w:val="21"/>
                      <w:highlight w:val="none"/>
                    </w:rPr>
                    <w:t>灭蝇笼、绳等</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147544B5">
                  <w:pPr>
                    <w:pStyle w:val="2"/>
                    <w:keepNext w:val="0"/>
                    <w:keepLines w:val="0"/>
                    <w:pageBreakBefore w:val="0"/>
                    <w:kinsoku/>
                    <w:overflowPunct/>
                    <w:autoSpaceDE/>
                    <w:autoSpaceDN/>
                    <w:bidi w:val="0"/>
                    <w:spacing w:line="240" w:lineRule="auto"/>
                    <w:ind w:firstLine="0" w:firstLineChars="0"/>
                    <w:rPr>
                      <w:rStyle w:val="79"/>
                      <w:rFonts w:hint="eastAsia" w:ascii="宋体" w:hAnsi="宋体" w:cs="宋体"/>
                      <w:color w:val="auto"/>
                      <w:szCs w:val="21"/>
                      <w:highlight w:val="none"/>
                    </w:rPr>
                  </w:pPr>
                  <w:r>
                    <w:rPr>
                      <w:rFonts w:hint="eastAsia"/>
                      <w:color w:val="auto"/>
                      <w:highlight w:val="none"/>
                      <w:lang w:eastAsia="zh-CN"/>
                    </w:rPr>
                    <w:t>每个</w:t>
                  </w:r>
                  <w:r>
                    <w:rPr>
                      <w:rFonts w:hint="eastAsia"/>
                      <w:color w:val="auto"/>
                      <w:highlight w:val="none"/>
                    </w:rPr>
                    <w:t>农贸市场安装灭蝇笼、绳</w:t>
                  </w:r>
                  <w:r>
                    <w:rPr>
                      <w:rFonts w:hint="eastAsia" w:ascii="宋体" w:hAnsi="宋体"/>
                      <w:color w:val="auto"/>
                      <w:szCs w:val="21"/>
                      <w:highlight w:val="none"/>
                    </w:rPr>
                    <w:t>≥</w:t>
                  </w:r>
                  <w:r>
                    <w:rPr>
                      <w:rFonts w:hint="eastAsia"/>
                      <w:color w:val="auto"/>
                      <w:highlight w:val="none"/>
                      <w:lang w:val="en-US" w:eastAsia="zh-CN"/>
                    </w:rPr>
                    <w:t>10处</w:t>
                  </w:r>
                  <w:r>
                    <w:rPr>
                      <w:rFonts w:hint="eastAsia"/>
                      <w:color w:val="auto"/>
                      <w:highlight w:val="none"/>
                    </w:rPr>
                    <w:t>，含苍蝇引诱剂</w:t>
                  </w:r>
                  <w:r>
                    <w:rPr>
                      <w:rFonts w:hint="eastAsia"/>
                      <w:color w:val="auto"/>
                      <w:highlight w:val="none"/>
                      <w:lang w:val="en-US" w:eastAsia="zh-CN"/>
                    </w:rPr>
                    <w:t>50包</w:t>
                  </w:r>
                  <w:r>
                    <w:rPr>
                      <w:rFonts w:hint="eastAsia"/>
                      <w:color w:val="auto"/>
                      <w:highlight w:val="none"/>
                    </w:rPr>
                    <w:t>，每个农贸市场按照面积放置，具体以达到防治效果为准。</w:t>
                  </w:r>
                </w:p>
              </w:tc>
            </w:tr>
            <w:tr w14:paraId="1B3B0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2DDAFA3">
                  <w:pPr>
                    <w:widowControl/>
                    <w:spacing w:line="440" w:lineRule="exact"/>
                    <w:jc w:val="center"/>
                    <w:textAlignment w:val="baseline"/>
                    <w:rPr>
                      <w:rStyle w:val="79"/>
                      <w:rFonts w:hint="eastAsia" w:ascii="宋体" w:hAnsi="宋体"/>
                      <w:color w:val="auto"/>
                      <w:szCs w:val="21"/>
                      <w:highlight w:val="none"/>
                      <w:lang w:val="en-US"/>
                    </w:rPr>
                  </w:pPr>
                  <w:r>
                    <w:rPr>
                      <w:rStyle w:val="79"/>
                      <w:rFonts w:hint="eastAsia" w:ascii="宋体" w:hAnsi="宋体"/>
                      <w:color w:val="auto"/>
                      <w:szCs w:val="21"/>
                      <w:highlight w:val="none"/>
                      <w:lang w:val="en-US"/>
                    </w:rPr>
                    <w:t>8</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F8B722E">
                  <w:pPr>
                    <w:spacing w:line="440" w:lineRule="exact"/>
                    <w:jc w:val="center"/>
                    <w:textAlignment w:val="baseline"/>
                    <w:rPr>
                      <w:rStyle w:val="79"/>
                      <w:rFonts w:hint="eastAsia" w:ascii="宋体" w:hAnsi="宋体" w:cs="宋体"/>
                      <w:color w:val="auto"/>
                      <w:kern w:val="0"/>
                      <w:szCs w:val="21"/>
                      <w:highlight w:val="none"/>
                    </w:rPr>
                  </w:pPr>
                  <w:r>
                    <w:rPr>
                      <w:rStyle w:val="79"/>
                      <w:rFonts w:hint="eastAsia" w:ascii="宋体" w:hAnsi="宋体" w:cs="宋体"/>
                      <w:color w:val="auto"/>
                      <w:kern w:val="0"/>
                      <w:szCs w:val="21"/>
                      <w:highlight w:val="none"/>
                    </w:rPr>
                    <w:t>热烟雾机、手推式喷雾器汽油</w:t>
                  </w:r>
                </w:p>
              </w:tc>
              <w:tc>
                <w:tcPr>
                  <w:tcW w:w="3744" w:type="dxa"/>
                  <w:tcBorders>
                    <w:top w:val="single" w:color="000000" w:sz="4" w:space="0"/>
                    <w:left w:val="single" w:color="000000" w:sz="4" w:space="0"/>
                    <w:bottom w:val="single" w:color="000000" w:sz="4" w:space="0"/>
                    <w:right w:val="single" w:color="000000" w:sz="4" w:space="0"/>
                  </w:tcBorders>
                  <w:noWrap w:val="0"/>
                  <w:vAlign w:val="center"/>
                </w:tcPr>
                <w:p w14:paraId="722C761D">
                  <w:pPr>
                    <w:spacing w:line="440" w:lineRule="exact"/>
                    <w:textAlignment w:val="baseline"/>
                    <w:rPr>
                      <w:rStyle w:val="79"/>
                      <w:rFonts w:hint="eastAsia" w:ascii="宋体" w:hAnsi="宋体" w:cs="宋体"/>
                      <w:color w:val="auto"/>
                      <w:szCs w:val="21"/>
                      <w:highlight w:val="none"/>
                    </w:rPr>
                  </w:pPr>
                  <w:r>
                    <w:rPr>
                      <w:rStyle w:val="79"/>
                      <w:rFonts w:hint="eastAsia" w:ascii="宋体" w:hAnsi="宋体" w:cs="宋体"/>
                      <w:color w:val="auto"/>
                      <w:szCs w:val="21"/>
                      <w:highlight w:val="none"/>
                    </w:rPr>
                    <w:t>数量：不少于</w:t>
                  </w:r>
                  <w:r>
                    <w:rPr>
                      <w:rStyle w:val="79"/>
                      <w:rFonts w:hint="eastAsia" w:ascii="宋体" w:hAnsi="宋体" w:cs="宋体"/>
                      <w:bCs/>
                      <w:color w:val="auto"/>
                      <w:kern w:val="0"/>
                      <w:szCs w:val="21"/>
                      <w:highlight w:val="none"/>
                    </w:rPr>
                    <w:t>40升。</w:t>
                  </w:r>
                </w:p>
              </w:tc>
            </w:tr>
          </w:tbl>
          <w:p w14:paraId="13B42A68">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1、以上2-</w:t>
            </w: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color w:val="auto"/>
                <w:kern w:val="2"/>
                <w:sz w:val="21"/>
                <w:szCs w:val="21"/>
                <w:highlight w:val="none"/>
                <w:lang w:val="en-US" w:eastAsia="zh-CN" w:bidi="ar-SA"/>
              </w:rPr>
              <w:t>项及第1项灭鼠剂所列卫生杀虫剂为本项目要求供应商使用的消杀药品类别，供应商所选用的药品要按照以上所列的技术参数来选用，即有效成分、含量、剂型符合要求。</w:t>
            </w:r>
          </w:p>
          <w:p w14:paraId="561BE02C">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color w:val="auto"/>
                <w:kern w:val="2"/>
                <w:sz w:val="21"/>
                <w:szCs w:val="21"/>
                <w:highlight w:val="none"/>
                <w:lang w:val="en-US" w:eastAsia="zh-CN" w:bidi="ar-SA"/>
              </w:rPr>
              <w:t>2、杜绝使用来源不明、无“三证”或质量不稳定的卫生杀虫剂，确保灭效和人畜等各项安全，符合绿色环保的有关要求。</w:t>
            </w:r>
            <w:r>
              <w:rPr>
                <w:rFonts w:hint="eastAsia" w:ascii="宋体" w:hAnsi="宋体" w:eastAsia="宋体" w:cs="宋体"/>
                <w:b/>
                <w:bCs w:val="0"/>
                <w:color w:val="auto"/>
                <w:kern w:val="2"/>
                <w:sz w:val="21"/>
                <w:szCs w:val="21"/>
                <w:highlight w:val="none"/>
                <w:lang w:val="en-US" w:eastAsia="zh-CN" w:bidi="ar-SA"/>
              </w:rPr>
              <w:t>不得使用国家、自治区禁止使用的药物；不得在食品工厂及学校等场所使用农业部限制使用灭鼠毒饵；不得使用不育剂等灭鼠周期过长灭鼠毒饵，否则响应文件按无效处理。</w:t>
            </w:r>
          </w:p>
          <w:p w14:paraId="0714BCE7">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jc w:val="left"/>
              <w:outlineLvl w:val="6"/>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五、</w:t>
            </w:r>
            <w:r>
              <w:rPr>
                <w:rFonts w:ascii="宋体" w:hAnsi="宋体" w:cs="宋体"/>
                <w:b/>
                <w:bCs/>
                <w:color w:val="auto"/>
                <w:kern w:val="0"/>
                <w:szCs w:val="21"/>
                <w:highlight w:val="none"/>
              </w:rPr>
              <w:t>工作要求</w:t>
            </w:r>
          </w:p>
          <w:p w14:paraId="67A8D630">
            <w:pPr>
              <w:pStyle w:val="21"/>
              <w:keepNext w:val="0"/>
              <w:keepLines w:val="0"/>
              <w:pageBreakBefore w:val="0"/>
              <w:widowControl w:val="0"/>
              <w:kinsoku/>
              <w:wordWrap/>
              <w:overflowPunct/>
              <w:topLinePunct w:val="0"/>
              <w:bidi w:val="0"/>
              <w:adjustRightInd/>
              <w:snapToGrid/>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（一）工作要求</w:t>
            </w:r>
          </w:p>
          <w:p w14:paraId="24655C3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1.必须确保城区公共场所“四害”</w:t>
            </w:r>
            <w:r>
              <w:rPr>
                <w:rFonts w:hint="eastAsia" w:ascii="宋体" w:hAnsi="宋体" w:cs="宋体"/>
                <w:color w:val="auto"/>
                <w:kern w:val="0"/>
                <w:szCs w:val="21"/>
                <w:highlight w:val="none"/>
              </w:rPr>
              <w:t>防制工作达到国家标准C级</w:t>
            </w:r>
            <w:r>
              <w:rPr>
                <w:rFonts w:ascii="宋体" w:hAnsi="宋体" w:cs="宋体"/>
                <w:color w:val="auto"/>
                <w:kern w:val="0"/>
                <w:szCs w:val="21"/>
                <w:highlight w:val="none"/>
              </w:rPr>
              <w:t>。</w:t>
            </w:r>
          </w:p>
          <w:p w14:paraId="0102AD4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.必须保证病媒生物防制药械的安全使用。</w:t>
            </w:r>
          </w:p>
          <w:p w14:paraId="48D8912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项目</w:t>
            </w:r>
            <w:r>
              <w:rPr>
                <w:rFonts w:ascii="宋体" w:hAnsi="宋体" w:cs="宋体"/>
                <w:color w:val="auto"/>
                <w:kern w:val="0"/>
                <w:szCs w:val="21"/>
                <w:highlight w:val="none"/>
              </w:rPr>
              <w:t>结束后（或过程中），至少邀请1次专家组对</w:t>
            </w:r>
            <w:r>
              <w:rPr>
                <w:rFonts w:hint="eastAsia" w:ascii="宋体" w:hAnsi="宋体" w:cs="宋体"/>
                <w:color w:val="auto"/>
                <w:kern w:val="0"/>
                <w:szCs w:val="21"/>
                <w:highlight w:val="none"/>
                <w:lang w:val="en-US" w:eastAsia="zh-CN"/>
              </w:rPr>
              <w:t>项目实施</w:t>
            </w:r>
            <w:r>
              <w:rPr>
                <w:rFonts w:ascii="宋体" w:hAnsi="宋体" w:cs="宋体"/>
                <w:color w:val="auto"/>
                <w:kern w:val="0"/>
                <w:szCs w:val="21"/>
                <w:highlight w:val="none"/>
              </w:rPr>
              <w:t>情况进行检查</w:t>
            </w:r>
            <w:r>
              <w:rPr>
                <w:rFonts w:hint="eastAsia" w:ascii="宋体" w:hAnsi="宋体" w:cs="宋体"/>
                <w:color w:val="auto"/>
                <w:kern w:val="0"/>
                <w:szCs w:val="21"/>
                <w:highlight w:val="none"/>
              </w:rPr>
              <w:t>指导</w:t>
            </w:r>
            <w:r>
              <w:rPr>
                <w:rFonts w:ascii="宋体" w:hAnsi="宋体" w:cs="宋体"/>
                <w:color w:val="auto"/>
                <w:kern w:val="0"/>
                <w:szCs w:val="21"/>
                <w:highlight w:val="none"/>
              </w:rPr>
              <w:t>，专家由</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u w:val="single"/>
                <w:lang w:val="en-US" w:eastAsia="zh-CN"/>
              </w:rPr>
              <w:t xml:space="preserve">梧州市卫生健康委（市爱卫办） </w:t>
            </w:r>
            <w:r>
              <w:rPr>
                <w:rFonts w:ascii="宋体" w:hAnsi="宋体" w:cs="宋体"/>
                <w:color w:val="auto"/>
                <w:kern w:val="0"/>
                <w:szCs w:val="21"/>
                <w:highlight w:val="none"/>
              </w:rPr>
              <w:t>指定。</w:t>
            </w:r>
          </w:p>
          <w:p w14:paraId="2D8951A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.对鼠药投放点要配备双标识，即毒鼠屋有标识，毒鼠屋临近的位置（墙壁、树木等）也要有标识。</w:t>
            </w:r>
          </w:p>
          <w:p w14:paraId="0549C50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.毒鼠屋长度≥30cm</w:t>
            </w:r>
            <w:r>
              <w:rPr>
                <w:rFonts w:hint="eastAsia" w:ascii="宋体" w:hAnsi="宋体" w:cs="宋体"/>
                <w:color w:val="auto"/>
                <w:kern w:val="0"/>
                <w:szCs w:val="21"/>
                <w:highlight w:val="none"/>
              </w:rPr>
              <w:t>，两端设置有鼠药防漏功能</w:t>
            </w:r>
            <w:r>
              <w:rPr>
                <w:rFonts w:ascii="宋体" w:hAnsi="宋体" w:cs="宋体"/>
                <w:color w:val="auto"/>
                <w:kern w:val="0"/>
                <w:szCs w:val="21"/>
                <w:highlight w:val="none"/>
              </w:rPr>
              <w:t>。</w:t>
            </w:r>
          </w:p>
          <w:p w14:paraId="3CD9C3E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lang w:val="en-US" w:eastAsia="zh-CN"/>
              </w:rPr>
              <w:t>6</w:t>
            </w:r>
            <w:r>
              <w:rPr>
                <w:rFonts w:ascii="宋体" w:hAnsi="宋体" w:cs="宋体"/>
                <w:color w:val="auto"/>
                <w:kern w:val="0"/>
                <w:highlight w:val="none"/>
              </w:rPr>
              <w:t>.对</w:t>
            </w:r>
            <w:r>
              <w:rPr>
                <w:rFonts w:hint="eastAsia" w:ascii="宋体" w:hAnsi="宋体" w:cs="宋体"/>
                <w:color w:val="auto"/>
                <w:kern w:val="0"/>
                <w:highlight w:val="none"/>
                <w:lang w:val="en-US" w:eastAsia="zh-CN"/>
              </w:rPr>
              <w:t>项目</w:t>
            </w:r>
            <w:r>
              <w:rPr>
                <w:rFonts w:ascii="宋体" w:hAnsi="宋体" w:cs="宋体"/>
                <w:color w:val="auto"/>
                <w:kern w:val="0"/>
                <w:highlight w:val="none"/>
              </w:rPr>
              <w:t>片区投放的毒鼠屋进行统一编号并固定好位置，形成一览表和位置图报至</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szCs w:val="21"/>
                <w:highlight w:val="none"/>
                <w:u w:val="single"/>
                <w:lang w:val="en-US" w:eastAsia="zh-CN"/>
              </w:rPr>
              <w:t>梧州市卫生健康委（市爱卫办）</w:t>
            </w:r>
            <w:r>
              <w:rPr>
                <w:rFonts w:hint="eastAsia" w:ascii="宋体" w:hAnsi="宋体" w:cs="宋体"/>
                <w:color w:val="auto"/>
                <w:kern w:val="0"/>
                <w:highlight w:val="none"/>
                <w:u w:val="single"/>
                <w:lang w:val="en-US" w:eastAsia="zh-CN"/>
              </w:rPr>
              <w:t xml:space="preserve"> </w:t>
            </w:r>
          </w:p>
          <w:p w14:paraId="53829238">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成交</w:t>
            </w:r>
            <w:r>
              <w:rPr>
                <w:rFonts w:ascii="宋体" w:hAnsi="宋体" w:cs="宋体"/>
                <w:color w:val="auto"/>
                <w:kern w:val="0"/>
                <w:szCs w:val="21"/>
                <w:highlight w:val="none"/>
              </w:rPr>
              <w:t>供应商必须保证除四害药械的安全使用，所使用的药械必须符合国家规定，不得使用国家禁止使用的药械。</w:t>
            </w:r>
          </w:p>
          <w:p w14:paraId="3E693B2A">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ascii="宋体" w:hAnsi="宋体" w:cs="宋体"/>
                <w:color w:val="auto"/>
                <w:kern w:val="0"/>
                <w:szCs w:val="21"/>
                <w:highlight w:val="none"/>
              </w:rPr>
              <w:t>）灭鼠后公共场所的鼠迹（死鼠、鼠洞）由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负责清理，蟑迹由</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指导</w:t>
            </w:r>
            <w:r>
              <w:rPr>
                <w:rFonts w:hint="eastAsia" w:ascii="宋体" w:hAnsi="宋体" w:cs="宋体"/>
                <w:color w:val="auto"/>
                <w:kern w:val="0"/>
                <w:szCs w:val="21"/>
                <w:highlight w:val="none"/>
                <w:lang w:val="en-US" w:eastAsia="zh-CN"/>
              </w:rPr>
              <w:t>采购人</w:t>
            </w:r>
            <w:r>
              <w:rPr>
                <w:rFonts w:ascii="宋体" w:hAnsi="宋体" w:cs="宋体"/>
                <w:color w:val="auto"/>
                <w:kern w:val="0"/>
                <w:szCs w:val="21"/>
                <w:highlight w:val="none"/>
              </w:rPr>
              <w:t>进行清理。</w:t>
            </w:r>
          </w:p>
          <w:p w14:paraId="52D01F8E">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ascii="宋体" w:hAnsi="宋体" w:cs="宋体"/>
                <w:color w:val="auto"/>
                <w:kern w:val="0"/>
                <w:szCs w:val="21"/>
                <w:highlight w:val="none"/>
              </w:rPr>
              <w:t>）在投放鼠药的范围内设置警示标志。</w:t>
            </w:r>
          </w:p>
          <w:p w14:paraId="1A4357D0">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ascii="宋体" w:hAnsi="宋体" w:cs="宋体"/>
                <w:color w:val="auto"/>
                <w:kern w:val="0"/>
                <w:szCs w:val="21"/>
                <w:highlight w:val="none"/>
              </w:rPr>
              <w:t>）施工人员在防治害虫作业期间不影响市民正常生活。</w:t>
            </w:r>
          </w:p>
          <w:p w14:paraId="0CF310C2">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ascii="宋体" w:hAnsi="宋体" w:cs="宋体"/>
                <w:color w:val="auto"/>
                <w:kern w:val="0"/>
                <w:szCs w:val="21"/>
                <w:highlight w:val="none"/>
              </w:rPr>
              <w:t>）施工人员必须持证上岗，着公司统一制服，并佩戴工作牌。</w:t>
            </w:r>
          </w:p>
          <w:p w14:paraId="0A91049D">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highlight w:val="none"/>
              </w:rPr>
              <w:t>（</w:t>
            </w:r>
            <w:r>
              <w:rPr>
                <w:rFonts w:hint="eastAsia" w:ascii="宋体" w:hAnsi="宋体" w:cs="宋体"/>
                <w:color w:val="auto"/>
                <w:kern w:val="0"/>
                <w:highlight w:val="none"/>
                <w:lang w:val="en-US" w:eastAsia="zh-CN"/>
              </w:rPr>
              <w:t>七</w:t>
            </w:r>
            <w:r>
              <w:rPr>
                <w:rFonts w:ascii="宋体" w:hAnsi="宋体" w:cs="宋体"/>
                <w:color w:val="auto"/>
                <w:kern w:val="0"/>
                <w:highlight w:val="none"/>
              </w:rPr>
              <w:t>）必须在规定</w:t>
            </w:r>
            <w:r>
              <w:rPr>
                <w:rFonts w:hint="eastAsia" w:ascii="宋体" w:hAnsi="宋体" w:cs="宋体"/>
                <w:color w:val="auto"/>
                <w:kern w:val="0"/>
                <w:highlight w:val="none"/>
                <w:lang w:val="en-US" w:eastAsia="zh-CN"/>
              </w:rPr>
              <w:t>服务</w:t>
            </w:r>
            <w:r>
              <w:rPr>
                <w:rFonts w:ascii="宋体" w:hAnsi="宋体" w:cs="宋体"/>
                <w:color w:val="auto"/>
                <w:kern w:val="0"/>
                <w:highlight w:val="none"/>
              </w:rPr>
              <w:t>期限内完成消杀服务</w:t>
            </w:r>
            <w:r>
              <w:rPr>
                <w:rFonts w:hint="eastAsia" w:ascii="宋体" w:hAnsi="宋体" w:cs="宋体"/>
                <w:color w:val="auto"/>
                <w:kern w:val="0"/>
                <w:highlight w:val="none"/>
              </w:rPr>
              <w:t>工作。</w:t>
            </w:r>
          </w:p>
          <w:p w14:paraId="0D44D232">
            <w:pPr>
              <w:keepNext w:val="0"/>
              <w:keepLines w:val="0"/>
              <w:pageBreakBefore w:val="0"/>
              <w:widowControl w:val="0"/>
              <w:kinsoku/>
              <w:wordWrap/>
              <w:overflowPunct/>
              <w:topLinePunct w:val="0"/>
              <w:autoSpaceDE w:val="0"/>
              <w:autoSpaceDN w:val="0"/>
              <w:bidi w:val="0"/>
              <w:adjustRightInd/>
              <w:snapToGrid/>
              <w:spacing w:line="332" w:lineRule="auto"/>
              <w:ind w:right="210" w:firstLine="422" w:firstLineChars="200"/>
              <w:jc w:val="lef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六、监督与验收</w:t>
            </w:r>
          </w:p>
          <w:p w14:paraId="5A2B8EE5">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w:t>
            </w:r>
            <w:r>
              <w:rPr>
                <w:rFonts w:hint="eastAsia"/>
                <w:color w:val="auto"/>
                <w:highlight w:val="none"/>
                <w:lang w:eastAsia="zh-CN"/>
              </w:rPr>
              <w:t>爱卫办</w:t>
            </w:r>
            <w:r>
              <w:rPr>
                <w:rFonts w:hint="eastAsia" w:ascii="宋体" w:hAnsi="宋体" w:cs="宋体"/>
                <w:color w:val="auto"/>
                <w:kern w:val="0"/>
                <w:szCs w:val="21"/>
                <w:highlight w:val="none"/>
              </w:rPr>
              <w:t>负责对</w:t>
            </w:r>
            <w:r>
              <w:rPr>
                <w:rFonts w:hint="eastAsia" w:ascii="宋体" w:hAnsi="宋体" w:cs="宋体"/>
                <w:color w:val="auto"/>
                <w:kern w:val="0"/>
                <w:szCs w:val="21"/>
                <w:highlight w:val="none"/>
                <w:lang w:val="en-US" w:eastAsia="zh-CN"/>
              </w:rPr>
              <w:t>成交供应商</w:t>
            </w:r>
            <w:r>
              <w:rPr>
                <w:rFonts w:ascii="宋体" w:hAnsi="宋体" w:cs="宋体"/>
                <w:color w:val="auto"/>
                <w:kern w:val="0"/>
                <w:szCs w:val="21"/>
                <w:highlight w:val="none"/>
              </w:rPr>
              <w:t>服务进行质量监督，点验抽查药械数量和质量，查验出入库登记。有检测条件的，对其质量进行抽样检测，无检测条件的查验并留存相关产品“三证”，采取留样送检、委托抽检等方式进行监督。</w:t>
            </w:r>
          </w:p>
          <w:p w14:paraId="7D66B4BF">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龙圩</w:t>
            </w:r>
            <w:r>
              <w:rPr>
                <w:rFonts w:hint="eastAsia" w:ascii="宋体" w:hAnsi="宋体" w:cs="宋体"/>
                <w:color w:val="auto"/>
                <w:kern w:val="0"/>
                <w:szCs w:val="21"/>
                <w:highlight w:val="none"/>
                <w:u w:val="single"/>
                <w:lang w:eastAsia="zh-CN"/>
              </w:rPr>
              <w:t>区卫生健康局（</w:t>
            </w:r>
            <w:r>
              <w:rPr>
                <w:rFonts w:hint="eastAsia" w:ascii="宋体" w:hAnsi="宋体" w:cs="宋体"/>
                <w:color w:val="auto"/>
                <w:kern w:val="0"/>
                <w:szCs w:val="21"/>
                <w:highlight w:val="none"/>
                <w:u w:val="single"/>
                <w:lang w:val="en-US" w:eastAsia="zh-CN"/>
              </w:rPr>
              <w:t>爱卫办</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负责协助对</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服务的范围和工作开展情况进行日常监督，并协调辖区内的公园广场、沿街公厕、垃圾中转站配合</w:t>
            </w:r>
            <w:r>
              <w:rPr>
                <w:rFonts w:hint="eastAsia" w:ascii="宋体" w:hAnsi="宋体" w:cs="宋体"/>
                <w:color w:val="auto"/>
                <w:kern w:val="0"/>
                <w:szCs w:val="21"/>
                <w:highlight w:val="none"/>
                <w:lang w:val="en-US" w:eastAsia="zh-CN"/>
              </w:rPr>
              <w:t>成交供应商</w:t>
            </w:r>
            <w:r>
              <w:rPr>
                <w:rFonts w:hint="eastAsia" w:ascii="宋体" w:hAnsi="宋体" w:cs="宋体"/>
                <w:color w:val="auto"/>
                <w:kern w:val="0"/>
                <w:szCs w:val="21"/>
                <w:highlight w:val="none"/>
              </w:rPr>
              <w:t>开展病媒生物消杀工作。</w:t>
            </w:r>
          </w:p>
          <w:p w14:paraId="002D39B7">
            <w:pPr>
              <w:keepNext w:val="0"/>
              <w:keepLines w:val="0"/>
              <w:pageBreakBefore w:val="0"/>
              <w:widowControl w:val="0"/>
              <w:kinsoku/>
              <w:wordWrap/>
              <w:overflowPunct/>
              <w:topLinePunct w:val="0"/>
              <w:autoSpaceDE w:val="0"/>
              <w:autoSpaceDN w:val="0"/>
              <w:bidi w:val="0"/>
              <w:adjustRightInd/>
              <w:snapToGrid/>
              <w:spacing w:line="440" w:lineRule="exact"/>
              <w:ind w:right="21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梧州</w:t>
            </w:r>
            <w:r>
              <w:rPr>
                <w:rFonts w:ascii="宋体" w:hAnsi="宋体" w:cs="宋体"/>
                <w:color w:val="auto"/>
                <w:kern w:val="0"/>
                <w:szCs w:val="21"/>
                <w:highlight w:val="none"/>
              </w:rPr>
              <w:t>市疾病预防控制中心对消杀后的病媒生物密度进行监测，监测结果达到</w:t>
            </w:r>
            <w:r>
              <w:rPr>
                <w:rFonts w:hint="default" w:ascii="宋体" w:hAnsi="宋体" w:eastAsia="宋体" w:cs="宋体"/>
                <w:bCs/>
                <w:color w:val="auto"/>
                <w:kern w:val="2"/>
                <w:sz w:val="21"/>
                <w:szCs w:val="21"/>
                <w:highlight w:val="none"/>
                <w:lang w:val="en-US" w:eastAsia="zh-CN" w:bidi="ar-SA"/>
              </w:rPr>
              <w:t>病媒生物密度</w:t>
            </w:r>
            <w:r>
              <w:rPr>
                <w:rFonts w:hint="eastAsia" w:ascii="宋体" w:hAnsi="宋体" w:cs="宋体"/>
                <w:bCs/>
                <w:color w:val="auto"/>
                <w:kern w:val="2"/>
                <w:sz w:val="21"/>
                <w:szCs w:val="21"/>
                <w:highlight w:val="none"/>
                <w:lang w:val="en-US" w:eastAsia="zh-CN" w:bidi="ar-SA"/>
              </w:rPr>
              <w:t>控制</w:t>
            </w:r>
            <w:r>
              <w:rPr>
                <w:rFonts w:hint="default" w:ascii="宋体" w:hAnsi="宋体" w:eastAsia="宋体" w:cs="宋体"/>
                <w:bCs/>
                <w:color w:val="auto"/>
                <w:kern w:val="2"/>
                <w:sz w:val="21"/>
                <w:szCs w:val="21"/>
                <w:highlight w:val="none"/>
                <w:lang w:val="en-US" w:eastAsia="zh-CN" w:bidi="ar-SA"/>
              </w:rPr>
              <w:t>C级标准</w:t>
            </w:r>
            <w:r>
              <w:rPr>
                <w:rFonts w:ascii="宋体" w:hAnsi="宋体" w:cs="宋体"/>
                <w:color w:val="auto"/>
                <w:kern w:val="0"/>
                <w:szCs w:val="21"/>
                <w:highlight w:val="none"/>
              </w:rPr>
              <w:t>后</w:t>
            </w:r>
            <w:r>
              <w:rPr>
                <w:rFonts w:hint="eastAsia" w:ascii="宋体" w:hAnsi="宋体" w:cs="宋体"/>
                <w:color w:val="auto"/>
                <w:kern w:val="0"/>
                <w:szCs w:val="21"/>
                <w:highlight w:val="none"/>
              </w:rPr>
              <w:t>方可</w:t>
            </w:r>
            <w:r>
              <w:rPr>
                <w:rFonts w:ascii="宋体" w:hAnsi="宋体" w:cs="宋体"/>
                <w:color w:val="auto"/>
                <w:kern w:val="0"/>
                <w:szCs w:val="21"/>
                <w:highlight w:val="none"/>
              </w:rPr>
              <w:t>验收合格。</w:t>
            </w:r>
          </w:p>
          <w:p w14:paraId="629B8325">
            <w:pPr>
              <w:keepNext w:val="0"/>
              <w:keepLines w:val="0"/>
              <w:pageBreakBefore w:val="0"/>
              <w:widowControl w:val="0"/>
              <w:kinsoku/>
              <w:wordWrap/>
              <w:overflowPunct/>
              <w:topLinePunct w:val="0"/>
              <w:autoSpaceDE w:val="0"/>
              <w:autoSpaceDN w:val="0"/>
              <w:bidi w:val="0"/>
              <w:adjustRightInd/>
              <w:snapToGrid/>
              <w:spacing w:line="440" w:lineRule="exact"/>
              <w:ind w:right="210"/>
              <w:jc w:val="left"/>
              <w:rPr>
                <w:rFonts w:ascii="宋体" w:hAnsi="宋体" w:cs="宋体"/>
                <w:b/>
                <w:color w:val="auto"/>
                <w:kern w:val="0"/>
                <w:szCs w:val="21"/>
                <w:highlight w:val="none"/>
              </w:rPr>
            </w:pPr>
            <w:r>
              <w:rPr>
                <w:rFonts w:hint="eastAsia" w:ascii="宋体" w:hAnsi="宋体" w:cs="宋体"/>
                <w:b/>
                <w:color w:val="auto"/>
                <w:spacing w:val="-8"/>
                <w:kern w:val="0"/>
                <w:szCs w:val="21"/>
                <w:highlight w:val="none"/>
                <w:lang w:val="en-US" w:eastAsia="zh-CN"/>
              </w:rPr>
              <w:t>七</w:t>
            </w:r>
            <w:r>
              <w:rPr>
                <w:rFonts w:ascii="宋体" w:hAnsi="宋体" w:cs="宋体"/>
                <w:b/>
                <w:color w:val="auto"/>
                <w:spacing w:val="-8"/>
                <w:kern w:val="0"/>
                <w:szCs w:val="21"/>
                <w:highlight w:val="none"/>
              </w:rPr>
              <w:t>、技术要求</w:t>
            </w:r>
          </w:p>
          <w:p w14:paraId="109E70E1">
            <w:pPr>
              <w:keepNext w:val="0"/>
              <w:keepLines w:val="0"/>
              <w:pageBreakBefore w:val="0"/>
              <w:widowControl w:val="0"/>
              <w:kinsoku/>
              <w:wordWrap/>
              <w:overflowPunct/>
              <w:topLinePunct w:val="0"/>
              <w:autoSpaceDE w:val="0"/>
              <w:autoSpaceDN w:val="0"/>
              <w:bidi w:val="0"/>
              <w:adjustRightInd/>
              <w:snapToGrid/>
              <w:spacing w:line="440" w:lineRule="exact"/>
              <w:ind w:left="532"/>
              <w:jc w:val="left"/>
              <w:rPr>
                <w:rFonts w:ascii="宋体" w:hAnsi="宋体" w:cs="宋体"/>
                <w:color w:val="auto"/>
                <w:kern w:val="0"/>
                <w:szCs w:val="21"/>
                <w:highlight w:val="none"/>
              </w:rPr>
            </w:pPr>
            <w:r>
              <w:rPr>
                <w:rFonts w:ascii="宋体" w:hAnsi="宋体" w:cs="宋体"/>
                <w:color w:val="auto"/>
                <w:kern w:val="0"/>
                <w:szCs w:val="21"/>
                <w:highlight w:val="none"/>
              </w:rPr>
              <w:t>（一）供应商须提供可行的消杀技术方案和实施方案。</w:t>
            </w:r>
          </w:p>
          <w:p w14:paraId="4A0954C1">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ascii="宋体" w:hAnsi="宋体" w:cs="宋体"/>
                <w:color w:val="auto"/>
                <w:kern w:val="0"/>
                <w:szCs w:val="21"/>
                <w:highlight w:val="none"/>
              </w:rPr>
            </w:pPr>
            <w:r>
              <w:rPr>
                <w:rFonts w:ascii="宋体" w:hAnsi="宋体" w:cs="宋体"/>
                <w:color w:val="auto"/>
                <w:kern w:val="0"/>
                <w:szCs w:val="21"/>
                <w:highlight w:val="none"/>
              </w:rPr>
              <w:t>（二）供应商应具备足够的各类施工及技术人员、器械、车辆等，并利用各种有效的常规或创新的消杀技术、方法或装置，安全、环保、高效地完成消杀工作，达到消杀质量标准。</w:t>
            </w:r>
            <w:r>
              <w:rPr>
                <w:rFonts w:hint="eastAsia" w:ascii="宋体" w:hAnsi="宋体" w:cs="宋体"/>
                <w:color w:val="auto"/>
                <w:kern w:val="0"/>
                <w:szCs w:val="21"/>
                <w:highlight w:val="none"/>
              </w:rPr>
              <w:t>超低容量喷雾器不少于4台；热烟雾机不少于4台；消杀作业车辆不少于3辆；手推式机动喷雾机不少于4台，手压式喷雾器不少于4台</w:t>
            </w:r>
            <w:r>
              <w:rPr>
                <w:rFonts w:hint="eastAsia" w:ascii="宋体" w:hAnsi="宋体" w:cs="宋体"/>
                <w:color w:val="auto"/>
                <w:kern w:val="0"/>
                <w:szCs w:val="21"/>
                <w:highlight w:val="none"/>
                <w:lang w:eastAsia="zh-CN"/>
              </w:rPr>
              <w:t>。</w:t>
            </w:r>
          </w:p>
          <w:p w14:paraId="2EABD306">
            <w:pPr>
              <w:keepNext w:val="0"/>
              <w:keepLines w:val="0"/>
              <w:pageBreakBefore w:val="0"/>
              <w:widowControl w:val="0"/>
              <w:kinsoku/>
              <w:wordWrap/>
              <w:overflowPunct/>
              <w:topLinePunct w:val="0"/>
              <w:autoSpaceDE w:val="0"/>
              <w:autoSpaceDN w:val="0"/>
              <w:bidi w:val="0"/>
              <w:adjustRightInd/>
              <w:snapToGrid/>
              <w:spacing w:line="440" w:lineRule="exact"/>
              <w:ind w:left="112" w:right="208" w:firstLine="420"/>
              <w:jc w:val="left"/>
              <w:rPr>
                <w:rFonts w:hint="eastAsia" w:ascii="宋体" w:hAnsi="宋体" w:eastAsia="宋体" w:cs="宋体"/>
                <w:bCs/>
                <w:color w:val="auto"/>
                <w:sz w:val="21"/>
                <w:szCs w:val="21"/>
                <w:highlight w:val="none"/>
              </w:rPr>
            </w:pPr>
            <w:r>
              <w:rPr>
                <w:rFonts w:ascii="宋体" w:hAnsi="宋体" w:cs="宋体"/>
                <w:color w:val="auto"/>
                <w:kern w:val="0"/>
                <w:szCs w:val="21"/>
                <w:highlight w:val="none"/>
              </w:rPr>
              <w:t>（三）药械应有具体的数量，符合</w:t>
            </w:r>
            <w:r>
              <w:rPr>
                <w:rFonts w:hint="eastAsia" w:ascii="宋体" w:hAnsi="宋体" w:cs="宋体"/>
                <w:color w:val="auto"/>
                <w:kern w:val="0"/>
                <w:szCs w:val="21"/>
                <w:highlight w:val="none"/>
                <w:lang w:val="en-US" w:eastAsia="zh-CN"/>
              </w:rPr>
              <w:t>项目片区</w:t>
            </w:r>
            <w:r>
              <w:rPr>
                <w:rFonts w:ascii="宋体" w:hAnsi="宋体" w:cs="宋体"/>
                <w:color w:val="auto"/>
                <w:kern w:val="0"/>
                <w:szCs w:val="21"/>
                <w:highlight w:val="none"/>
              </w:rPr>
              <w:t>实际需要，并完成消杀服务区域内的主要街道、公共绿化地、闲置地、下水道、垃圾中转站、公共厕所等病媒生物防制工作。</w:t>
            </w:r>
          </w:p>
        </w:tc>
      </w:tr>
      <w:tr w14:paraId="12ED8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76" w:type="dxa"/>
            <w:gridSpan w:val="5"/>
            <w:tcBorders>
              <w:top w:val="single" w:color="auto" w:sz="4" w:space="0"/>
              <w:left w:val="single" w:color="auto" w:sz="4" w:space="0"/>
              <w:bottom w:val="single" w:color="auto" w:sz="4" w:space="0"/>
              <w:right w:val="single" w:color="auto" w:sz="4" w:space="0"/>
            </w:tcBorders>
            <w:noWrap w:val="0"/>
            <w:vAlign w:val="top"/>
          </w:tcPr>
          <w:p w14:paraId="5AE88E7B">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二、商务要求</w:t>
            </w:r>
          </w:p>
        </w:tc>
      </w:tr>
      <w:tr w14:paraId="5786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61829082">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36DE55C8">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要求</w:t>
            </w:r>
          </w:p>
        </w:tc>
      </w:tr>
      <w:tr w14:paraId="1068B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720993BB">
            <w:pPr>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合同签订期</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26258136">
            <w:pPr>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自成交通知书发出之日起15个日历日内签订合同。</w:t>
            </w:r>
          </w:p>
        </w:tc>
      </w:tr>
      <w:tr w14:paraId="0A994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38B6AD4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及服务地点</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69DED5F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1.服务期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日内完成一次除四害服务</w:t>
            </w:r>
            <w:r>
              <w:rPr>
                <w:rFonts w:hint="eastAsia" w:ascii="宋体" w:hAnsi="宋体" w:cs="宋体"/>
                <w:color w:val="auto"/>
                <w:szCs w:val="21"/>
                <w:highlight w:val="none"/>
              </w:rPr>
              <w:t>。</w:t>
            </w:r>
          </w:p>
          <w:p w14:paraId="6157BD39">
            <w:pPr>
              <w:spacing w:line="440" w:lineRule="exact"/>
              <w:jc w:val="left"/>
              <w:rPr>
                <w:rFonts w:hint="eastAsia" w:ascii="宋体" w:hAnsi="宋体"/>
                <w:color w:val="auto"/>
                <w:highlight w:val="none"/>
              </w:rPr>
            </w:pPr>
            <w:r>
              <w:rPr>
                <w:rFonts w:hint="eastAsia" w:ascii="宋体" w:hAnsi="宋体" w:cs="宋体"/>
                <w:color w:val="auto"/>
                <w:szCs w:val="21"/>
                <w:highlight w:val="none"/>
              </w:rPr>
              <w:t>2.服务地点：广西梧州市采购人指定地点。</w:t>
            </w:r>
          </w:p>
        </w:tc>
      </w:tr>
      <w:tr w14:paraId="5A71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2E0DF0D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付款方式及条件</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53F5C40B">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7月开展第一次除四害，完成并验收通过后在对服务区域加强一次服务（具体时间以实际完成招标和开展除四害定），成交供应商向采购人开具税务全额发票，采购人收到发票后10个工作日内一次付清。</w:t>
            </w:r>
          </w:p>
        </w:tc>
      </w:tr>
      <w:tr w14:paraId="23DF3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1EF2E640">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售后服务</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4C957446">
            <w:pPr>
              <w:spacing w:line="440" w:lineRule="exact"/>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消杀服务采购所需货物按国家有关规定实行“三包”，负责送货上门。</w:t>
            </w:r>
          </w:p>
        </w:tc>
      </w:tr>
      <w:tr w14:paraId="163B7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14:paraId="32CC0D1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169" w:type="dxa"/>
            <w:gridSpan w:val="3"/>
            <w:tcBorders>
              <w:top w:val="single" w:color="auto" w:sz="4" w:space="0"/>
              <w:left w:val="single" w:color="auto" w:sz="4" w:space="0"/>
              <w:bottom w:val="single" w:color="auto" w:sz="4" w:space="0"/>
              <w:right w:val="single" w:color="auto" w:sz="4" w:space="0"/>
            </w:tcBorders>
            <w:noWrap w:val="0"/>
            <w:vAlign w:val="top"/>
          </w:tcPr>
          <w:p w14:paraId="115862CB">
            <w:pPr>
              <w:spacing w:line="440" w:lineRule="exact"/>
              <w:rPr>
                <w:rFonts w:hint="eastAsia" w:ascii="宋体" w:hAnsi="宋体"/>
                <w:color w:val="auto"/>
                <w:highlight w:val="none"/>
              </w:rPr>
            </w:pPr>
            <w:r>
              <w:rPr>
                <w:rFonts w:hint="eastAsia" w:ascii="宋体" w:hAnsi="宋体"/>
                <w:color w:val="auto"/>
                <w:highlight w:val="none"/>
                <w:lang w:val="en-US" w:eastAsia="zh-CN"/>
              </w:rPr>
              <w:t>确保</w:t>
            </w:r>
            <w:r>
              <w:rPr>
                <w:rFonts w:hint="eastAsia" w:ascii="宋体" w:hAnsi="宋体"/>
                <w:color w:val="auto"/>
                <w:highlight w:val="none"/>
              </w:rPr>
              <w:t>灭鼠、蚊、蝇、蟑螂达《GB/T 27773-2011 病媒生物密度控制水平》 C 级标准；消杀验收采用病媒生物密度监测方法：鼠类 GB/T 23798-2009、病媒生物密度监测方法：蟑螂 GB/T 23795-2009、病媒生物密度监测方法：蝇类 GB/T 23796-2009、病媒生物密度监测方法：蚊类 GB/T 23797-2009。</w:t>
            </w:r>
          </w:p>
        </w:tc>
      </w:tr>
      <w:bookmarkEnd w:id="85"/>
    </w:tbl>
    <w:p w14:paraId="38EC312E">
      <w:pPr>
        <w:pStyle w:val="76"/>
        <w:rPr>
          <w:rFonts w:hint="eastAsia" w:ascii="宋体" w:hAnsi="宋体" w:eastAsia="宋体" w:cs="宋体"/>
          <w:color w:val="auto"/>
          <w:sz w:val="21"/>
          <w:szCs w:val="21"/>
          <w:highlight w:val="none"/>
        </w:rPr>
      </w:pPr>
    </w:p>
    <w:p w14:paraId="5BE894DB">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auto"/>
          <w:sz w:val="21"/>
          <w:szCs w:val="21"/>
          <w:highlight w:val="none"/>
        </w:rPr>
      </w:pPr>
    </w:p>
    <w:p w14:paraId="0A4B80B3">
      <w:pPr>
        <w:pageBreakBefore w:val="0"/>
        <w:tabs>
          <w:tab w:val="left" w:pos="180"/>
          <w:tab w:val="left" w:pos="1620"/>
        </w:tabs>
        <w:kinsoku/>
        <w:wordWrap/>
        <w:topLinePunct w:val="0"/>
        <w:bidi w:val="0"/>
        <w:spacing w:line="312" w:lineRule="auto"/>
        <w:ind w:firstLine="422" w:firstLineChars="200"/>
        <w:rPr>
          <w:rFonts w:hint="eastAsia" w:ascii="宋体" w:hAnsi="宋体" w:cs="宋体"/>
          <w:b/>
          <w:bCs/>
          <w:color w:val="auto"/>
          <w:szCs w:val="21"/>
          <w:highlight w:val="none"/>
        </w:rPr>
      </w:pPr>
    </w:p>
    <w:p w14:paraId="37AAB7E2">
      <w:pPr>
        <w:pageBreakBefore w:val="0"/>
        <w:kinsoku/>
        <w:wordWrap/>
        <w:topLinePunct w:val="0"/>
        <w:bidi w:val="0"/>
        <w:spacing w:line="312" w:lineRule="auto"/>
        <w:jc w:val="center"/>
        <w:outlineLvl w:val="0"/>
        <w:rPr>
          <w:rFonts w:ascii="宋体" w:hAnsi="宋体"/>
          <w:b/>
          <w:color w:val="auto"/>
          <w:sz w:val="32"/>
          <w:szCs w:val="32"/>
          <w:highlight w:val="none"/>
        </w:rPr>
      </w:pPr>
      <w:r>
        <w:rPr>
          <w:rFonts w:hint="eastAsia" w:ascii="宋体" w:hAnsi="宋体" w:cs="宋体"/>
          <w:b w:val="0"/>
          <w:bCs w:val="0"/>
          <w:color w:val="auto"/>
          <w:szCs w:val="21"/>
          <w:highlight w:val="none"/>
        </w:rPr>
        <w:br w:type="page"/>
      </w:r>
      <w:bookmarkStart w:id="87" w:name="_Toc6447"/>
      <w:bookmarkStart w:id="88" w:name="_Toc6856"/>
      <w:bookmarkStart w:id="89" w:name="_Toc8228"/>
      <w:bookmarkStart w:id="90" w:name="_Toc27365"/>
      <w:bookmarkStart w:id="91" w:name="_Toc14278"/>
      <w:r>
        <w:rPr>
          <w:rStyle w:val="56"/>
          <w:rFonts w:hint="eastAsia" w:ascii="宋体" w:hAnsi="宋体" w:eastAsia="宋体" w:cs="宋体"/>
          <w:color w:val="auto"/>
          <w:highlight w:val="none"/>
        </w:rPr>
        <w:t>第</w:t>
      </w:r>
      <w:r>
        <w:rPr>
          <w:rStyle w:val="56"/>
          <w:rFonts w:hint="eastAsia" w:ascii="宋体" w:hAnsi="宋体" w:cs="宋体"/>
          <w:color w:val="auto"/>
          <w:highlight w:val="none"/>
          <w:lang w:val="en-US" w:eastAsia="zh-CN"/>
        </w:rPr>
        <w:t>四</w:t>
      </w:r>
      <w:r>
        <w:rPr>
          <w:rStyle w:val="56"/>
          <w:rFonts w:hint="eastAsia" w:ascii="宋体" w:hAnsi="宋体" w:eastAsia="宋体" w:cs="宋体"/>
          <w:color w:val="auto"/>
          <w:highlight w:val="none"/>
        </w:rPr>
        <w:t xml:space="preserve">章 </w:t>
      </w:r>
      <w:r>
        <w:rPr>
          <w:rStyle w:val="56"/>
          <w:rFonts w:hint="eastAsia" w:ascii="宋体" w:hAnsi="宋体" w:eastAsia="宋体" w:cs="宋体"/>
          <w:color w:val="auto"/>
          <w:highlight w:val="none"/>
          <w:lang w:eastAsia="zh-CN"/>
        </w:rPr>
        <w:t>评审</w:t>
      </w:r>
      <w:r>
        <w:rPr>
          <w:rStyle w:val="56"/>
          <w:rFonts w:hint="eastAsia" w:ascii="宋体" w:hAnsi="宋体" w:eastAsia="宋体" w:cs="宋体"/>
          <w:color w:val="auto"/>
          <w:highlight w:val="none"/>
        </w:rPr>
        <w:t>方法和成交标准</w:t>
      </w:r>
      <w:bookmarkEnd w:id="87"/>
      <w:bookmarkEnd w:id="88"/>
      <w:bookmarkEnd w:id="89"/>
      <w:bookmarkEnd w:id="90"/>
      <w:bookmarkEnd w:id="91"/>
    </w:p>
    <w:p w14:paraId="49B5C503">
      <w:pPr>
        <w:spacing w:line="360" w:lineRule="auto"/>
        <w:jc w:val="center"/>
        <w:outlineLvl w:val="0"/>
        <w:rPr>
          <w:rFonts w:hint="eastAsia" w:ascii="宋体" w:hAnsi="宋体"/>
          <w:b/>
          <w:color w:val="auto"/>
          <w:sz w:val="32"/>
          <w:szCs w:val="32"/>
          <w:highlight w:val="none"/>
        </w:rPr>
      </w:pPr>
      <w:bookmarkStart w:id="92" w:name="_Toc8985"/>
      <w:r>
        <w:rPr>
          <w:rFonts w:hint="eastAsia" w:ascii="宋体" w:hAnsi="宋体"/>
          <w:b/>
          <w:color w:val="auto"/>
          <w:sz w:val="32"/>
          <w:szCs w:val="32"/>
          <w:highlight w:val="none"/>
        </w:rPr>
        <w:t>一、评审程序和评审方法</w:t>
      </w:r>
      <w:bookmarkEnd w:id="92"/>
    </w:p>
    <w:p w14:paraId="23D866B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49C4400B">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07B5D2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7142233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4F3C8A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7A494B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15E61C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312F6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66AE557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0B32C8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2C20E2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2EFBC4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43D9AE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0B18F8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（5）有第二章“供应商须知”第3.2项规定的任何一种情形的。</w:t>
      </w:r>
    </w:p>
    <w:p w14:paraId="7F1F356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6893B7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60F440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p w14:paraId="6259A3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24870C">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189748E5">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5D05D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22FA1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ADE1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3A3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34B7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064BBE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07D58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33AA5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AE5D4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8B8EF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781C3F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34B884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0CA4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40B3AD6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797CF83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1E29A18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2A79E6E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2707202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602E0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66D50D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62D0F0B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2AE6637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112D3F7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42F9EB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396E4E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14:paraId="40F0F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4EA6AF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27B44B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659C70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AA5BB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30E86D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861AC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E80875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3CDCBA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A5A6E7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DDF0B5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C41660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BE9CB1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对磋商文件作出的实质性变动是磋商文件的有效组成部分，由磋商小组及时以书面形式同时通知所有参加磋商的供应商。</w:t>
      </w:r>
    </w:p>
    <w:p w14:paraId="796197F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10B2F22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324454D">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14:paraId="2E6401B3">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3973227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A2FBA8F">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86E2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3F971F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CBBB8F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CE5F6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6DF35D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2A0E30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7E927CE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09969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6B9549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66A9A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41B1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AFA976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2D08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72258C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1718B45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A875A1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9852ED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FAF4BD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F33D1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12B86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78E5DC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4501AFD">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3AC49C4">
      <w:pPr>
        <w:spacing w:line="360" w:lineRule="auto"/>
        <w:ind w:firstLine="422" w:firstLineChars="200"/>
        <w:rPr>
          <w:rFonts w:hint="eastAsia" w:ascii="宋体" w:hAnsi="宋体"/>
          <w:b/>
          <w:bCs/>
          <w:color w:val="auto"/>
          <w:kern w:val="0"/>
          <w:szCs w:val="21"/>
          <w:highlight w:val="none"/>
        </w:rPr>
      </w:pPr>
      <w:r>
        <w:rPr>
          <w:rFonts w:hint="eastAsia" w:ascii="宋体" w:hAnsi="宋体" w:eastAsia="宋体" w:cs="Times New Roman"/>
          <w:b/>
          <w:bCs/>
          <w:color w:val="auto"/>
          <w:szCs w:val="21"/>
          <w:highlight w:val="none"/>
          <w:lang w:val="en-US" w:eastAsia="zh-CN"/>
        </w:rPr>
        <w:t>特别说明：</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可选择其中一个分标参与</w:t>
      </w:r>
      <w:r>
        <w:rPr>
          <w:rFonts w:hint="eastAsia" w:asciiTheme="minorEastAsia" w:hAnsiTheme="minorEastAsia" w:eastAsiaTheme="minorEastAsia" w:cstheme="minorEastAsia"/>
          <w:b/>
          <w:bCs/>
          <w:color w:val="auto"/>
          <w:kern w:val="0"/>
          <w:szCs w:val="21"/>
          <w:highlight w:val="none"/>
          <w:lang w:val="en-US" w:eastAsia="zh-CN"/>
        </w:rPr>
        <w:t>竞标</w:t>
      </w:r>
      <w:r>
        <w:rPr>
          <w:rFonts w:hint="eastAsia" w:asciiTheme="minorEastAsia" w:hAnsiTheme="minorEastAsia" w:eastAsiaTheme="minorEastAsia" w:cstheme="minorEastAsia"/>
          <w:b/>
          <w:bCs/>
          <w:color w:val="auto"/>
          <w:kern w:val="0"/>
          <w:szCs w:val="21"/>
          <w:highlight w:val="none"/>
        </w:rPr>
        <w:t>也可选择多个分标参与</w:t>
      </w:r>
      <w:r>
        <w:rPr>
          <w:rFonts w:hint="eastAsia" w:asciiTheme="minorEastAsia" w:hAnsiTheme="minorEastAsia" w:eastAsiaTheme="minorEastAsia" w:cstheme="minorEastAsia"/>
          <w:b/>
          <w:bCs/>
          <w:color w:val="auto"/>
          <w:kern w:val="0"/>
          <w:szCs w:val="21"/>
          <w:highlight w:val="none"/>
          <w:lang w:val="en-US" w:eastAsia="zh-CN"/>
        </w:rPr>
        <w:t>竞标</w:t>
      </w:r>
      <w:r>
        <w:rPr>
          <w:rFonts w:hint="eastAsia" w:asciiTheme="minorEastAsia" w:hAnsiTheme="minorEastAsia" w:eastAsiaTheme="minorEastAsia" w:cstheme="minorEastAsia"/>
          <w:b/>
          <w:bCs/>
          <w:color w:val="auto"/>
          <w:kern w:val="0"/>
          <w:szCs w:val="21"/>
          <w:highlight w:val="none"/>
        </w:rPr>
        <w:t>，但分标1至分标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的</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不能重复中标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，只能成为其中一个分标的中标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人，由</w:t>
      </w:r>
      <w:r>
        <w:rPr>
          <w:rFonts w:hint="eastAsia" w:asciiTheme="minorEastAsia" w:hAnsiTheme="minorEastAsia" w:eastAsiaTheme="minorEastAsia" w:cstheme="minorEastAsia"/>
          <w:b/>
          <w:bCs/>
          <w:color w:val="auto"/>
          <w:kern w:val="0"/>
          <w:szCs w:val="21"/>
          <w:highlight w:val="none"/>
          <w:lang w:val="en-US" w:eastAsia="zh-CN"/>
        </w:rPr>
        <w:t>磋商小组</w:t>
      </w:r>
      <w:r>
        <w:rPr>
          <w:rFonts w:hint="eastAsia" w:asciiTheme="minorEastAsia" w:hAnsiTheme="minorEastAsia" w:eastAsiaTheme="minorEastAsia" w:cstheme="minorEastAsia"/>
          <w:b/>
          <w:bCs/>
          <w:color w:val="auto"/>
          <w:kern w:val="0"/>
          <w:szCs w:val="21"/>
          <w:highlight w:val="none"/>
        </w:rPr>
        <w:t>根据分标1至分标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各</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综合得分由高到低进行排名，并按分标1→分标2→分标3的顺序推荐各分标的第一中标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候选人。各分标第一中标</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成交</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rPr>
        <w:t>候选人不可同时再作为分标1至分标</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rPr>
        <w:t>的排名候选人。</w:t>
      </w:r>
    </w:p>
    <w:p w14:paraId="708171FF">
      <w:pPr>
        <w:spacing w:line="360" w:lineRule="auto"/>
        <w:ind w:firstLine="420" w:firstLineChars="200"/>
        <w:rPr>
          <w:rFonts w:ascii="宋体" w:hAnsi="宋体"/>
          <w:b/>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59E287">
      <w:pPr>
        <w:snapToGrid w:val="0"/>
        <w:spacing w:line="440" w:lineRule="atLeast"/>
        <w:ind w:right="-29" w:rightChars="-14" w:firstLine="420" w:firstLineChars="200"/>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）计分办法（按四舍五入取至百分位）：</w:t>
      </w:r>
    </w:p>
    <w:tbl>
      <w:tblPr>
        <w:tblStyle w:val="30"/>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78"/>
        <w:gridCol w:w="6612"/>
      </w:tblGrid>
      <w:tr w14:paraId="5DC2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noWrap w:val="0"/>
            <w:vAlign w:val="center"/>
          </w:tcPr>
          <w:p w14:paraId="1D2E7382">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78" w:type="dxa"/>
            <w:noWrap w:val="0"/>
            <w:vAlign w:val="center"/>
          </w:tcPr>
          <w:p w14:paraId="0307D31D">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612" w:type="dxa"/>
            <w:noWrap w:val="0"/>
            <w:vAlign w:val="center"/>
          </w:tcPr>
          <w:p w14:paraId="1A4028BA">
            <w:pPr>
              <w:widowControl/>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14:paraId="0AD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noWrap w:val="0"/>
            <w:vAlign w:val="center"/>
          </w:tcPr>
          <w:p w14:paraId="78C7D409">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8" w:type="dxa"/>
            <w:noWrap w:val="0"/>
            <w:vAlign w:val="center"/>
          </w:tcPr>
          <w:p w14:paraId="1B711281">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025458E3">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612" w:type="dxa"/>
            <w:noWrap w:val="0"/>
            <w:vAlign w:val="top"/>
          </w:tcPr>
          <w:p w14:paraId="07C2EF94">
            <w:pPr>
              <w:spacing w:line="440"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1C7D0CE">
            <w:pPr>
              <w:pStyle w:val="18"/>
              <w:spacing w:line="440" w:lineRule="exact"/>
              <w:ind w:firstLine="420" w:firstLineChars="200"/>
              <w:rPr>
                <w:rFonts w:hint="eastAsia" w:hAnsi="宋体"/>
                <w:color w:val="auto"/>
                <w:sz w:val="21"/>
                <w:highlight w:val="none"/>
              </w:rPr>
            </w:pPr>
            <w:r>
              <w:rPr>
                <w:rFonts w:hint="eastAsia" w:hAnsi="宋体" w:cs="Courier New"/>
                <w:bCs/>
                <w:color w:val="auto"/>
                <w:kern w:val="2"/>
                <w:sz w:val="21"/>
                <w:highlight w:val="none"/>
              </w:rPr>
              <w:t>（2）采购政策性扣除计算方法</w:t>
            </w:r>
          </w:p>
          <w:p w14:paraId="02474120">
            <w:pPr>
              <w:spacing w:line="440" w:lineRule="exact"/>
              <w:ind w:firstLine="369" w:firstLineChars="176"/>
              <w:rPr>
                <w:rFonts w:hint="eastAsia" w:ascii="宋体" w:hAnsi="宋体" w:cs="宋体"/>
                <w:color w:val="auto"/>
                <w:highlight w:val="none"/>
              </w:rPr>
            </w:pPr>
            <w:r>
              <w:rPr>
                <w:rFonts w:hint="eastAsia" w:ascii="宋体" w:hAnsi="宋体" w:cs="宋体"/>
                <w:color w:val="auto"/>
                <w:szCs w:val="21"/>
                <w:highlight w:val="none"/>
                <w:lang w:val="en-US" w:eastAsia="zh-CN"/>
              </w:rPr>
              <w:t>参照</w:t>
            </w:r>
            <w:r>
              <w:rPr>
                <w:rFonts w:hint="eastAsia" w:ascii="宋体" w:hAnsi="宋体" w:cs="宋体"/>
                <w:color w:val="auto"/>
                <w:szCs w:val="21"/>
                <w:highlight w:val="none"/>
              </w:rPr>
              <w:t>《政府采购促进中小企业发展管理办法》（财库〔2020〕46号）</w:t>
            </w:r>
            <w:r>
              <w:rPr>
                <w:rFonts w:hint="eastAsia" w:ascii="宋体" w:hAnsi="宋体"/>
                <w:bCs/>
                <w:color w:val="auto"/>
                <w:szCs w:val="21"/>
                <w:highlight w:val="none"/>
              </w:rPr>
              <w:t>和《广西壮族自治区财政厅关于进一步发挥政府采购政策功能促进企业发展的通知》（桂财采〔2022〕30号）</w:t>
            </w:r>
            <w:r>
              <w:rPr>
                <w:rFonts w:hint="eastAsia" w:ascii="宋体" w:hAnsi="宋体" w:cs="宋体"/>
                <w:color w:val="auto"/>
                <w:szCs w:val="21"/>
                <w:highlight w:val="none"/>
              </w:rPr>
              <w:t>的规定，供应商在其响应文件中提供《中小企业声明函》，</w:t>
            </w:r>
            <w:r>
              <w:rPr>
                <w:rFonts w:hint="eastAsia" w:ascii="宋体" w:hAnsi="宋体"/>
                <w:bCs/>
                <w:color w:val="auto"/>
                <w:szCs w:val="21"/>
                <w:highlight w:val="none"/>
              </w:rPr>
              <w:t>且服务全部由小微企业承接</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对供应商的竞标报价给予20%的扣除，扣除后的价格为评审价，即评审价=竞标报价×（1-2</w:t>
            </w:r>
            <w:r>
              <w:rPr>
                <w:rFonts w:ascii="宋体" w:hAnsi="宋体"/>
                <w:bCs/>
                <w:color w:val="auto"/>
                <w:szCs w:val="21"/>
                <w:highlight w:val="none"/>
              </w:rPr>
              <w:t>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4</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的扣除，用扣除后的价格参加评审，扣除后的价格为评审价，即评审价=竞标报价×（1-</w:t>
            </w:r>
            <w:r>
              <w:rPr>
                <w:rFonts w:ascii="宋体" w:hAnsi="宋体"/>
                <w:bCs/>
                <w:color w:val="auto"/>
                <w:szCs w:val="21"/>
                <w:highlight w:val="none"/>
                <w:u w:val="single"/>
              </w:rPr>
              <w:t xml:space="preserve"> </w:t>
            </w:r>
            <w:r>
              <w:rPr>
                <w:rFonts w:hint="eastAsia" w:ascii="宋体" w:hAnsi="宋体"/>
                <w:bCs/>
                <w:color w:val="auto"/>
                <w:szCs w:val="21"/>
                <w:highlight w:val="none"/>
                <w:u w:val="single"/>
              </w:rPr>
              <w:t>4</w:t>
            </w:r>
            <w:r>
              <w:rPr>
                <w:rFonts w:ascii="宋体" w:hAnsi="宋体"/>
                <w:bCs/>
                <w:color w:val="auto"/>
                <w:szCs w:val="21"/>
                <w:highlight w:val="none"/>
                <w:u w:val="single"/>
              </w:rPr>
              <w:t xml:space="preserve"> </w:t>
            </w:r>
            <w:r>
              <w:rPr>
                <w:rFonts w:hint="eastAsia" w:ascii="宋体" w:hAnsi="宋体"/>
                <w:bCs/>
                <w:color w:val="auto"/>
                <w:szCs w:val="21"/>
                <w:highlight w:val="none"/>
              </w:rPr>
              <w:t>%）。除上述情况外，评审价=竞标报价。</w:t>
            </w:r>
          </w:p>
          <w:p w14:paraId="5536CC8C">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val="en-US" w:eastAsia="zh-CN"/>
              </w:rPr>
              <w:t>参照</w:t>
            </w:r>
            <w:r>
              <w:rPr>
                <w:rFonts w:hint="eastAsia" w:ascii="宋体" w:hAnsi="宋体"/>
                <w:color w:val="auto"/>
                <w:szCs w:val="21"/>
                <w:highlight w:val="none"/>
              </w:rPr>
              <w:t>《财政部、司法部关于政府采购支持监狱企业发展有关问题的通知》（财库〔2014〕68号）的规定，监狱企业视同小型、微型企业，享受预留份额、评审中价格扣除等促进中小企业发展的政府采购政策。监狱企业参加采购活动时，应当提供由省级以上监狱管理局、戒毒管理局(含新疆生产建设兵团)出具的属于监狱企业的证明文件。不重复享受政策。</w:t>
            </w:r>
          </w:p>
          <w:p w14:paraId="36FFE4D4">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szCs w:val="21"/>
                <w:highlight w:val="none"/>
                <w:lang w:val="en-US" w:eastAsia="zh-CN"/>
              </w:rPr>
              <w:t>参照</w:t>
            </w:r>
            <w:r>
              <w:rPr>
                <w:rFonts w:hint="eastAsia" w:ascii="宋体" w:hAnsi="宋体"/>
                <w:color w:val="auto"/>
                <w:szCs w:val="21"/>
                <w:highlight w:val="none"/>
              </w:rPr>
              <w:t>《关于促进残疾人就业政府采购政策的通知》（财库〔2017〕141号）的规定，残疾人福利性单位视同小型、微型企业，享受预留份额、评审中价格扣除等促进中小企业发展的政府采购政策。残疾人福利性单位参加采购活动时，应当提供该通知规定的《残疾人福利性单位声明函》，并对声明的真实性负责。残疾人福利性单位属于小型、微型企业的，不重复享受政策。</w:t>
            </w:r>
          </w:p>
          <w:p w14:paraId="6B6982D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（5）除上述情况外，评审价＝最后报价。</w:t>
            </w:r>
          </w:p>
          <w:p w14:paraId="26D4F38D">
            <w:pPr>
              <w:pStyle w:val="18"/>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（6）以进入比较与评价环节的最低的评审价为基准价，基准价得分为</w:t>
            </w:r>
            <w:r>
              <w:rPr>
                <w:rFonts w:hint="eastAsia" w:ascii="宋体" w:hAnsi="宋体" w:eastAsia="宋体" w:cs="宋体"/>
                <w:bCs/>
                <w:color w:val="auto"/>
                <w:kern w:val="2"/>
                <w:sz w:val="21"/>
                <w:szCs w:val="21"/>
                <w:highlight w:val="none"/>
                <w:u w:val="single"/>
                <w:lang w:val="en-US" w:eastAsia="zh-CN"/>
              </w:rPr>
              <w:t>20</w:t>
            </w:r>
            <w:r>
              <w:rPr>
                <w:rFonts w:hint="eastAsia" w:ascii="宋体" w:hAnsi="宋体" w:eastAsia="宋体" w:cs="宋体"/>
                <w:bCs/>
                <w:color w:val="auto"/>
                <w:kern w:val="2"/>
                <w:sz w:val="21"/>
                <w:szCs w:val="21"/>
                <w:highlight w:val="none"/>
                <w:u w:val="single"/>
              </w:rPr>
              <w:t>分</w:t>
            </w:r>
            <w:r>
              <w:rPr>
                <w:rFonts w:hint="eastAsia" w:ascii="宋体" w:hAnsi="宋体" w:eastAsia="宋体" w:cs="宋体"/>
                <w:bCs/>
                <w:color w:val="auto"/>
                <w:kern w:val="2"/>
                <w:sz w:val="21"/>
                <w:szCs w:val="21"/>
                <w:highlight w:val="none"/>
              </w:rPr>
              <w:t>。</w:t>
            </w:r>
          </w:p>
          <w:p w14:paraId="4DEB8A85">
            <w:pPr>
              <w:rPr>
                <w:rFonts w:hint="eastAsia"/>
                <w:color w:val="auto"/>
                <w:highlight w:val="none"/>
              </w:rPr>
            </w:pPr>
            <w:r>
              <w:rPr>
                <w:rFonts w:hint="eastAsia" w:ascii="宋体" w:hAnsi="宋体" w:cs="宋体"/>
                <w:color w:val="auto"/>
                <w:spacing w:val="0"/>
                <w:kern w:val="2"/>
                <w:sz w:val="21"/>
                <w:szCs w:val="20"/>
                <w:highlight w:val="none"/>
              </w:rPr>
              <w:t>备注：本项目为专门面向中小企业，此项优惠政策不再执行。</w:t>
            </w:r>
          </w:p>
          <w:p w14:paraId="0AD9EBCE">
            <w:pPr>
              <w:pStyle w:val="18"/>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（7）价格分计算公式：</w:t>
            </w:r>
          </w:p>
          <w:p w14:paraId="1D21CD10">
            <w:pPr>
              <w:pStyle w:val="18"/>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报价得分=（基准价/最后报价）×</w:t>
            </w:r>
            <w:r>
              <w:rPr>
                <w:rFonts w:hint="eastAsia" w:ascii="宋体" w:hAnsi="宋体" w:eastAsia="宋体" w:cs="宋体"/>
                <w:bCs/>
                <w:color w:val="auto"/>
                <w:kern w:val="2"/>
                <w:sz w:val="21"/>
                <w:szCs w:val="21"/>
                <w:highlight w:val="none"/>
                <w:u w:val="single"/>
                <w:lang w:val="en-US" w:eastAsia="zh-CN"/>
              </w:rPr>
              <w:t>20分</w:t>
            </w:r>
          </w:p>
        </w:tc>
      </w:tr>
      <w:tr w14:paraId="168C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noWrap w:val="0"/>
            <w:vAlign w:val="center"/>
          </w:tcPr>
          <w:p w14:paraId="16915FB4">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278" w:type="dxa"/>
            <w:noWrap w:val="0"/>
            <w:vAlign w:val="center"/>
          </w:tcPr>
          <w:p w14:paraId="78C086B4">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612" w:type="dxa"/>
            <w:noWrap w:val="0"/>
            <w:vAlign w:val="top"/>
          </w:tcPr>
          <w:p w14:paraId="56484728">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55C1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3" w:type="dxa"/>
            <w:noWrap w:val="0"/>
            <w:vAlign w:val="center"/>
          </w:tcPr>
          <w:p w14:paraId="4E07D59B">
            <w:pPr>
              <w:spacing w:line="400" w:lineRule="exact"/>
              <w:ind w:left="-105" w:leftChars="-50" w:right="-105" w:rightChars="-5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p w14:paraId="1A4BDCD1">
            <w:pPr>
              <w:spacing w:line="400" w:lineRule="exact"/>
              <w:ind w:left="-105" w:leftChars="-50" w:right="-105" w:rightChars="-50"/>
              <w:jc w:val="center"/>
              <w:rPr>
                <w:rFonts w:hint="eastAsia" w:ascii="宋体" w:hAnsi="宋体" w:eastAsia="宋体" w:cs="宋体"/>
                <w:bCs/>
                <w:color w:val="auto"/>
                <w:kern w:val="0"/>
                <w:sz w:val="21"/>
                <w:szCs w:val="21"/>
                <w:highlight w:val="none"/>
              </w:rPr>
            </w:pPr>
          </w:p>
        </w:tc>
        <w:tc>
          <w:tcPr>
            <w:tcW w:w="1278" w:type="dxa"/>
            <w:noWrap w:val="0"/>
            <w:vAlign w:val="center"/>
          </w:tcPr>
          <w:p w14:paraId="409C0B22">
            <w:pPr>
              <w:spacing w:line="400" w:lineRule="exact"/>
              <w:jc w:val="center"/>
              <w:rPr>
                <w:rFonts w:hint="eastAsia" w:ascii="宋体" w:hAnsi="宋体" w:eastAsia="宋体" w:cs="宋体"/>
                <w:bCs/>
                <w:color w:val="auto"/>
                <w:kern w:val="0"/>
                <w:sz w:val="21"/>
                <w:szCs w:val="21"/>
                <w:highlight w:val="none"/>
              </w:rPr>
            </w:pPr>
          </w:p>
          <w:p w14:paraId="5EEFDB3F">
            <w:pPr>
              <w:spacing w:line="400" w:lineRule="exact"/>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技术方案分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612" w:type="dxa"/>
            <w:noWrap w:val="0"/>
            <w:vAlign w:val="center"/>
          </w:tcPr>
          <w:p w14:paraId="668C2137">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技术方案中对使用器械，药物描述简单，选用说明模糊，可实施性一般的；</w:t>
            </w:r>
          </w:p>
          <w:p w14:paraId="3F2B5415">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技术方案中对使用器械，药物描述清晰，选用说明明确，对竞争性磋商文件响应及可实施性较好；</w:t>
            </w:r>
          </w:p>
          <w:p w14:paraId="22B53D31">
            <w:pPr>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提供详细、全面、完善的技术方案，同时在结合本项目涉及的环境及虫害现状、采购人需求、安全性、合理性、有效性等方面体现出方案的可实施性的；</w:t>
            </w:r>
          </w:p>
        </w:tc>
      </w:tr>
      <w:tr w14:paraId="610A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3" w:type="dxa"/>
            <w:noWrap w:val="0"/>
            <w:vAlign w:val="center"/>
          </w:tcPr>
          <w:p w14:paraId="707223C6">
            <w:pPr>
              <w:spacing w:line="400" w:lineRule="exact"/>
              <w:ind w:left="-105" w:leftChars="-50" w:right="-105" w:rightChars="-5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278" w:type="dxa"/>
            <w:noWrap w:val="0"/>
            <w:vAlign w:val="center"/>
          </w:tcPr>
          <w:p w14:paraId="121F40AD">
            <w:pPr>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实施方案分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612" w:type="dxa"/>
            <w:noWrap w:val="0"/>
            <w:vAlign w:val="center"/>
          </w:tcPr>
          <w:p w14:paraId="05584318">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实施方案中消杀工序，操作规程描述简单，可实施性一般的；</w:t>
            </w:r>
          </w:p>
          <w:p w14:paraId="6251CFE2">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实施方案中消杀工序，操作规程描述比较详细，对竞争性磋商文件响应及可实施性较好的；</w:t>
            </w:r>
          </w:p>
          <w:p w14:paraId="46BFF941">
            <w:pPr>
              <w:pStyle w:val="18"/>
              <w:spacing w:line="42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
                <w:sz w:val="21"/>
                <w:szCs w:val="21"/>
                <w:highlight w:val="none"/>
              </w:rPr>
              <w:t>三档（</w:t>
            </w:r>
            <w:r>
              <w:rPr>
                <w:rFonts w:hint="eastAsia" w:hAnsi="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在满足</w:t>
            </w:r>
            <w:r>
              <w:rPr>
                <w:rFonts w:hint="eastAsia" w:hAnsi="宋体" w:eastAsia="宋体" w:cs="宋体"/>
                <w:bCs/>
                <w:color w:val="auto"/>
                <w:kern w:val="2"/>
                <w:sz w:val="21"/>
                <w:szCs w:val="21"/>
                <w:highlight w:val="none"/>
                <w:lang w:val="en-US" w:eastAsia="zh-CN"/>
              </w:rPr>
              <w:t>二档</w:t>
            </w:r>
            <w:r>
              <w:rPr>
                <w:rFonts w:hint="eastAsia" w:ascii="宋体" w:hAnsi="宋体" w:eastAsia="宋体" w:cs="宋体"/>
                <w:bCs/>
                <w:color w:val="auto"/>
                <w:kern w:val="2"/>
                <w:sz w:val="21"/>
                <w:szCs w:val="21"/>
                <w:highlight w:val="none"/>
              </w:rPr>
              <w:t>的条件下，能够结合本项目涉及的环境及虫害现状，对竞争性磋商文件完全响应并提供详细、有效、全面、完善的实施方案；</w:t>
            </w:r>
          </w:p>
        </w:tc>
      </w:tr>
      <w:tr w14:paraId="702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843" w:type="dxa"/>
            <w:noWrap w:val="0"/>
            <w:vAlign w:val="center"/>
          </w:tcPr>
          <w:p w14:paraId="56CE978C">
            <w:pPr>
              <w:spacing w:line="400" w:lineRule="exact"/>
              <w:ind w:left="-105" w:leftChars="-50" w:right="-105" w:rightChars="-50"/>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278" w:type="dxa"/>
            <w:noWrap w:val="0"/>
            <w:vAlign w:val="center"/>
          </w:tcPr>
          <w:p w14:paraId="16F05C3A">
            <w:pPr>
              <w:spacing w:line="400" w:lineRule="exact"/>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质量控制及售后服务承诺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p>
        </w:tc>
        <w:tc>
          <w:tcPr>
            <w:tcW w:w="6612" w:type="dxa"/>
            <w:noWrap w:val="0"/>
            <w:vAlign w:val="center"/>
          </w:tcPr>
          <w:p w14:paraId="35F8B7AA">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供应商针对本项目的质量控制及售后服务承诺比较简单，基本满足要求的；</w:t>
            </w:r>
          </w:p>
          <w:p w14:paraId="2B707FD7">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供应商针对本项目的质量控制及售后服务承诺比较详细，能较好的保障项目的质量，售后服务承诺较好的；</w:t>
            </w:r>
          </w:p>
          <w:p w14:paraId="24FC41FB">
            <w:pPr>
              <w:pStyle w:val="18"/>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三档（</w:t>
            </w:r>
            <w:r>
              <w:rPr>
                <w:rFonts w:hint="eastAsia" w:ascii="宋体" w:hAnsi="宋体" w:eastAsia="宋体" w:cs="宋体"/>
                <w:bCs/>
                <w:color w:val="auto"/>
                <w:kern w:val="2"/>
                <w:sz w:val="21"/>
                <w:szCs w:val="21"/>
                <w:highlight w:val="none"/>
                <w:lang w:val="en-US" w:eastAsia="zh-CN"/>
              </w:rPr>
              <w:t>1</w:t>
            </w:r>
            <w:r>
              <w:rPr>
                <w:rFonts w:hint="eastAsia"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供应商针对本项目的质量控制及售后服务承诺详细、具体，能很好的保证项目的质量，售后服务承诺最好且切实可行的；</w:t>
            </w:r>
          </w:p>
        </w:tc>
      </w:tr>
      <w:tr w14:paraId="1486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1125872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2.4</w:t>
            </w:r>
          </w:p>
        </w:tc>
        <w:tc>
          <w:tcPr>
            <w:tcW w:w="1278" w:type="dxa"/>
            <w:noWrap w:val="0"/>
            <w:vAlign w:val="center"/>
          </w:tcPr>
          <w:p w14:paraId="7F0BF73E">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default" w:ascii="宋体" w:hAnsi="宋体" w:eastAsia="宋体" w:cs="宋体"/>
                <w:color w:val="auto"/>
                <w:sz w:val="21"/>
                <w:szCs w:val="21"/>
                <w:highlight w:val="none"/>
                <w:lang w:val="en-US" w:eastAsia="zh-CN"/>
              </w:rPr>
              <w:t>突发关联事项应急处置分</w:t>
            </w:r>
            <w:r>
              <w:rPr>
                <w:rFonts w:hint="eastAsia" w:ascii="宋体" w:hAnsi="宋体" w:cs="宋体"/>
                <w:color w:val="auto"/>
                <w:sz w:val="21"/>
                <w:szCs w:val="21"/>
                <w:highlight w:val="none"/>
                <w:lang w:val="en-US" w:eastAsia="zh-CN"/>
              </w:rPr>
              <w:t>（6分）</w:t>
            </w:r>
          </w:p>
        </w:tc>
        <w:tc>
          <w:tcPr>
            <w:tcW w:w="6612" w:type="dxa"/>
            <w:noWrap w:val="0"/>
            <w:vAlign w:val="center"/>
          </w:tcPr>
          <w:p w14:paraId="1D4DE760">
            <w:pPr>
              <w:pStyle w:val="18"/>
              <w:numPr>
                <w:ilvl w:val="0"/>
                <w:numId w:val="5"/>
              </w:numPr>
              <w:shd w:val="clear" w:color="auto" w:fill="FFFFFF"/>
              <w:spacing w:line="500" w:lineRule="exact"/>
              <w:rPr>
                <w:rFonts w:hint="eastAsia"/>
                <w:color w:val="auto"/>
                <w:highlight w:val="none"/>
                <w:lang w:eastAsia="zh-CN"/>
              </w:rPr>
            </w:pPr>
            <w:r>
              <w:rPr>
                <w:rFonts w:hint="eastAsia"/>
                <w:color w:val="auto"/>
                <w:highlight w:val="none"/>
                <w:lang w:eastAsia="zh-CN"/>
              </w:rPr>
              <w:t>服务期间至灭后四害密度监测期间</w:t>
            </w:r>
            <w:r>
              <w:rPr>
                <w:rFonts w:hint="default"/>
                <w:color w:val="auto"/>
                <w:highlight w:val="none"/>
              </w:rPr>
              <w:t>能承诺在</w:t>
            </w:r>
            <w:r>
              <w:rPr>
                <w:rFonts w:hint="eastAsia"/>
                <w:color w:val="auto"/>
                <w:highlight w:val="none"/>
                <w:lang w:eastAsia="zh-CN"/>
              </w:rPr>
              <w:t>采购单位</w:t>
            </w:r>
            <w:r>
              <w:rPr>
                <w:rFonts w:hint="default"/>
                <w:color w:val="auto"/>
                <w:highlight w:val="none"/>
              </w:rPr>
              <w:t>发现特殊疫情或者是需要</w:t>
            </w:r>
            <w:r>
              <w:rPr>
                <w:rFonts w:hint="eastAsia"/>
                <w:color w:val="auto"/>
                <w:highlight w:val="none"/>
                <w:lang w:eastAsia="zh-CN"/>
              </w:rPr>
              <w:t>成交供应商</w:t>
            </w:r>
            <w:r>
              <w:rPr>
                <w:rFonts w:hint="default"/>
                <w:color w:val="auto"/>
                <w:highlight w:val="none"/>
              </w:rPr>
              <w:t>及时到场的特殊情况</w:t>
            </w:r>
            <w:r>
              <w:rPr>
                <w:rFonts w:hint="eastAsia"/>
                <w:color w:val="auto"/>
                <w:highlight w:val="none"/>
                <w:lang w:eastAsia="zh-CN"/>
              </w:rPr>
              <w:t>（群众投诉、反映，检查发现问题等）</w:t>
            </w:r>
            <w:r>
              <w:rPr>
                <w:rFonts w:hint="default"/>
                <w:color w:val="auto"/>
                <w:highlight w:val="none"/>
              </w:rPr>
              <w:t>时</w:t>
            </w:r>
            <w:r>
              <w:rPr>
                <w:rFonts w:hint="default"/>
                <w:color w:val="auto"/>
                <w:highlight w:val="none"/>
                <w:lang w:eastAsia="zh-CN"/>
              </w:rPr>
              <w:t>，</w:t>
            </w:r>
            <w:r>
              <w:rPr>
                <w:rFonts w:hint="default" w:ascii="Arial" w:hAnsi="Arial" w:cs="Arial"/>
                <w:color w:val="auto"/>
                <w:highlight w:val="none"/>
              </w:rPr>
              <w:t>≦</w:t>
            </w:r>
            <w:r>
              <w:rPr>
                <w:rFonts w:hint="eastAsia"/>
                <w:color w:val="auto"/>
                <w:highlight w:val="none"/>
                <w:lang w:val="en-US" w:eastAsia="zh-CN"/>
              </w:rPr>
              <w:t>7</w:t>
            </w:r>
            <w:r>
              <w:rPr>
                <w:rFonts w:hint="default"/>
                <w:color w:val="auto"/>
                <w:highlight w:val="none"/>
              </w:rPr>
              <w:t>个小时到达并采取相应措施，予以处理解决的，得</w:t>
            </w:r>
            <w:r>
              <w:rPr>
                <w:rFonts w:hint="eastAsia"/>
                <w:color w:val="auto"/>
                <w:highlight w:val="none"/>
                <w:lang w:val="en-US" w:eastAsia="zh-CN"/>
              </w:rPr>
              <w:t>2</w:t>
            </w:r>
            <w:r>
              <w:rPr>
                <w:rFonts w:hint="default"/>
                <w:color w:val="auto"/>
                <w:highlight w:val="none"/>
              </w:rPr>
              <w:t>分</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）服务期间至灭后四害密度监测期间</w:t>
            </w:r>
            <w:r>
              <w:rPr>
                <w:rFonts w:hint="default"/>
                <w:color w:val="auto"/>
                <w:highlight w:val="none"/>
              </w:rPr>
              <w:t>能承诺在</w:t>
            </w:r>
            <w:r>
              <w:rPr>
                <w:rFonts w:hint="eastAsia"/>
                <w:color w:val="auto"/>
                <w:highlight w:val="none"/>
                <w:lang w:eastAsia="zh-CN"/>
              </w:rPr>
              <w:t>采购单位</w:t>
            </w:r>
            <w:r>
              <w:rPr>
                <w:rFonts w:hint="default"/>
                <w:color w:val="auto"/>
                <w:highlight w:val="none"/>
              </w:rPr>
              <w:t>发现特殊疫情或者是需要</w:t>
            </w:r>
            <w:r>
              <w:rPr>
                <w:rFonts w:hint="eastAsia"/>
                <w:color w:val="auto"/>
                <w:highlight w:val="none"/>
                <w:lang w:eastAsia="zh-CN"/>
              </w:rPr>
              <w:t>成交供应商</w:t>
            </w:r>
            <w:r>
              <w:rPr>
                <w:rFonts w:hint="default"/>
                <w:color w:val="auto"/>
                <w:highlight w:val="none"/>
              </w:rPr>
              <w:t>及时到场的特殊情况</w:t>
            </w:r>
            <w:r>
              <w:rPr>
                <w:rFonts w:hint="eastAsia"/>
                <w:color w:val="auto"/>
                <w:highlight w:val="none"/>
                <w:lang w:eastAsia="zh-CN"/>
              </w:rPr>
              <w:t>（群众投诉、反映，检查发现问题等）</w:t>
            </w:r>
            <w:r>
              <w:rPr>
                <w:rFonts w:hint="default"/>
                <w:color w:val="auto"/>
                <w:highlight w:val="none"/>
              </w:rPr>
              <w:t>时</w:t>
            </w:r>
            <w:r>
              <w:rPr>
                <w:rFonts w:hint="default"/>
                <w:color w:val="auto"/>
                <w:highlight w:val="none"/>
                <w:lang w:eastAsia="zh-CN"/>
              </w:rPr>
              <w:t>，</w:t>
            </w:r>
            <w:r>
              <w:rPr>
                <w:rFonts w:hint="eastAsia"/>
                <w:color w:val="auto"/>
                <w:highlight w:val="none"/>
                <w:lang w:eastAsia="zh-CN"/>
              </w:rPr>
              <w:t>能在</w:t>
            </w:r>
            <w:r>
              <w:rPr>
                <w:rFonts w:hint="default" w:ascii="Arial" w:hAnsi="Arial" w:cs="Arial"/>
                <w:color w:val="auto"/>
                <w:highlight w:val="none"/>
              </w:rPr>
              <w:t>≦</w:t>
            </w:r>
            <w:r>
              <w:rPr>
                <w:rFonts w:hint="eastAsia"/>
                <w:color w:val="auto"/>
                <w:highlight w:val="none"/>
                <w:lang w:val="en-US" w:eastAsia="zh-CN"/>
              </w:rPr>
              <w:t>5</w:t>
            </w:r>
            <w:r>
              <w:rPr>
                <w:rFonts w:hint="default"/>
                <w:color w:val="auto"/>
                <w:highlight w:val="none"/>
              </w:rPr>
              <w:t>个小时</w:t>
            </w:r>
            <w:r>
              <w:rPr>
                <w:rFonts w:hint="eastAsia"/>
                <w:color w:val="auto"/>
                <w:highlight w:val="none"/>
                <w:lang w:eastAsia="zh-CN"/>
              </w:rPr>
              <w:t>内</w:t>
            </w:r>
            <w:r>
              <w:rPr>
                <w:rFonts w:hint="default"/>
                <w:color w:val="auto"/>
                <w:highlight w:val="none"/>
              </w:rPr>
              <w:t>到达并采取相应措施，予以处理解决的，得</w:t>
            </w:r>
            <w:r>
              <w:rPr>
                <w:rFonts w:hint="eastAsia"/>
                <w:color w:val="auto"/>
                <w:highlight w:val="none"/>
                <w:lang w:val="en-US" w:eastAsia="zh-CN"/>
              </w:rPr>
              <w:t>4</w:t>
            </w:r>
            <w:r>
              <w:rPr>
                <w:rFonts w:hint="default"/>
                <w:color w:val="auto"/>
                <w:highlight w:val="none"/>
              </w:rPr>
              <w:t>分</w:t>
            </w:r>
            <w:r>
              <w:rPr>
                <w:rFonts w:hint="eastAsia"/>
                <w:color w:val="auto"/>
                <w:highlight w:val="none"/>
                <w:lang w:eastAsia="zh-CN"/>
              </w:rPr>
              <w:t>。</w:t>
            </w:r>
          </w:p>
          <w:p w14:paraId="7A53A156">
            <w:pPr>
              <w:pStyle w:val="18"/>
              <w:numPr>
                <w:ilvl w:val="0"/>
                <w:numId w:val="0"/>
              </w:numPr>
              <w:shd w:val="clear" w:color="auto" w:fill="FFFFFF"/>
              <w:spacing w:line="500" w:lineRule="exact"/>
              <w:ind w:leftChars="0"/>
              <w:rPr>
                <w:rFonts w:hint="eastAsia" w:eastAsia="宋体"/>
                <w:color w:val="auto"/>
                <w:highlight w:val="none"/>
                <w:lang w:val="en-US" w:eastAsia="zh-CN"/>
              </w:rPr>
            </w:pPr>
            <w:r>
              <w:rPr>
                <w:rFonts w:hint="eastAsia" w:ascii="宋体" w:hAnsi="宋体" w:cs="宋体"/>
                <w:color w:val="auto"/>
                <w:szCs w:val="21"/>
                <w:highlight w:val="none"/>
                <w:lang w:eastAsia="zh-CN"/>
              </w:rPr>
              <w:t>（</w:t>
            </w:r>
            <w:r>
              <w:rPr>
                <w:rFonts w:hint="eastAsia"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color w:val="auto"/>
                <w:highlight w:val="none"/>
                <w:lang w:eastAsia="zh-CN"/>
              </w:rPr>
              <w:t>服务期间至灭后四害密度监测期间</w:t>
            </w:r>
            <w:r>
              <w:rPr>
                <w:rFonts w:hint="default" w:ascii="宋体" w:hAnsi="Courier New" w:eastAsia="宋体" w:cs="Times New Roman"/>
                <w:color w:val="auto"/>
                <w:kern w:val="0"/>
                <w:sz w:val="20"/>
                <w:szCs w:val="21"/>
                <w:highlight w:val="none"/>
                <w:lang w:val="en-US" w:eastAsia="zh-CN" w:bidi="ar-SA"/>
              </w:rPr>
              <w:t>能承诺在</w:t>
            </w:r>
            <w:r>
              <w:rPr>
                <w:rFonts w:hint="eastAsia" w:ascii="宋体" w:hAnsi="Courier New" w:eastAsia="宋体" w:cs="Times New Roman"/>
                <w:color w:val="auto"/>
                <w:kern w:val="0"/>
                <w:sz w:val="20"/>
                <w:szCs w:val="21"/>
                <w:highlight w:val="none"/>
                <w:lang w:val="en-US" w:eastAsia="zh-CN" w:bidi="ar-SA"/>
              </w:rPr>
              <w:t>采购单位</w:t>
            </w:r>
            <w:r>
              <w:rPr>
                <w:rFonts w:hint="default" w:ascii="宋体" w:hAnsi="Courier New" w:eastAsia="宋体" w:cs="Times New Roman"/>
                <w:color w:val="auto"/>
                <w:kern w:val="0"/>
                <w:sz w:val="20"/>
                <w:szCs w:val="21"/>
                <w:highlight w:val="none"/>
                <w:lang w:val="en-US" w:eastAsia="zh-CN" w:bidi="ar-SA"/>
              </w:rPr>
              <w:t>发现特殊疫情或者是需要</w:t>
            </w:r>
            <w:r>
              <w:rPr>
                <w:rFonts w:hint="eastAsia" w:ascii="宋体" w:hAnsi="Courier New" w:eastAsia="宋体" w:cs="Times New Roman"/>
                <w:color w:val="auto"/>
                <w:kern w:val="0"/>
                <w:sz w:val="20"/>
                <w:szCs w:val="21"/>
                <w:highlight w:val="none"/>
                <w:lang w:val="en-US" w:eastAsia="zh-CN" w:bidi="ar-SA"/>
              </w:rPr>
              <w:t>成交供应商</w:t>
            </w:r>
            <w:r>
              <w:rPr>
                <w:rFonts w:hint="default" w:ascii="宋体" w:hAnsi="Courier New" w:eastAsia="宋体" w:cs="Times New Roman"/>
                <w:color w:val="auto"/>
                <w:kern w:val="0"/>
                <w:sz w:val="20"/>
                <w:szCs w:val="21"/>
                <w:highlight w:val="none"/>
                <w:lang w:val="en-US" w:eastAsia="zh-CN" w:bidi="ar-SA"/>
              </w:rPr>
              <w:t>及时到场的特殊情况</w:t>
            </w:r>
            <w:r>
              <w:rPr>
                <w:rFonts w:hint="eastAsia" w:ascii="宋体" w:hAnsi="Courier New" w:eastAsia="宋体" w:cs="Times New Roman"/>
                <w:color w:val="auto"/>
                <w:kern w:val="0"/>
                <w:sz w:val="20"/>
                <w:szCs w:val="21"/>
                <w:highlight w:val="none"/>
                <w:lang w:val="en-US" w:eastAsia="zh-CN" w:bidi="ar-SA"/>
              </w:rPr>
              <w:t>（群众投诉、反映</w:t>
            </w:r>
            <w:r>
              <w:rPr>
                <w:rFonts w:hint="eastAsia" w:cs="Times New Roman"/>
                <w:color w:val="auto"/>
                <w:kern w:val="0"/>
                <w:sz w:val="20"/>
                <w:szCs w:val="21"/>
                <w:highlight w:val="none"/>
                <w:lang w:val="en-US" w:eastAsia="zh-CN" w:bidi="ar-SA"/>
              </w:rPr>
              <w:t>问题</w:t>
            </w:r>
            <w:r>
              <w:rPr>
                <w:rFonts w:hint="eastAsia" w:ascii="宋体" w:hAnsi="Courier New" w:eastAsia="宋体" w:cs="Times New Roman"/>
                <w:color w:val="auto"/>
                <w:kern w:val="0"/>
                <w:sz w:val="20"/>
                <w:szCs w:val="21"/>
                <w:highlight w:val="none"/>
                <w:lang w:val="en-US" w:eastAsia="zh-CN" w:bidi="ar-SA"/>
              </w:rPr>
              <w:t>，检查发现问题等）</w:t>
            </w:r>
            <w:r>
              <w:rPr>
                <w:rFonts w:hint="default" w:ascii="宋体" w:hAnsi="Courier New" w:eastAsia="宋体" w:cs="Times New Roman"/>
                <w:color w:val="auto"/>
                <w:kern w:val="0"/>
                <w:sz w:val="20"/>
                <w:szCs w:val="21"/>
                <w:highlight w:val="none"/>
                <w:lang w:val="en-US" w:eastAsia="zh-CN" w:bidi="ar-SA"/>
              </w:rPr>
              <w:t>时，能在</w:t>
            </w:r>
            <w:r>
              <w:rPr>
                <w:rFonts w:hint="default" w:ascii="Arial" w:hAnsi="Arial" w:cs="Arial"/>
                <w:color w:val="auto"/>
                <w:highlight w:val="none"/>
              </w:rPr>
              <w:t>≦</w:t>
            </w:r>
            <w:r>
              <w:rPr>
                <w:rFonts w:hint="eastAsia" w:cs="Times New Roman"/>
                <w:color w:val="auto"/>
                <w:kern w:val="0"/>
                <w:sz w:val="20"/>
                <w:szCs w:val="21"/>
                <w:highlight w:val="none"/>
                <w:lang w:val="en-US" w:eastAsia="zh-CN" w:bidi="ar-SA"/>
              </w:rPr>
              <w:t>3</w:t>
            </w:r>
            <w:r>
              <w:rPr>
                <w:rFonts w:hint="default" w:ascii="宋体" w:hAnsi="Courier New" w:eastAsia="宋体" w:cs="Times New Roman"/>
                <w:color w:val="auto"/>
                <w:kern w:val="0"/>
                <w:sz w:val="20"/>
                <w:szCs w:val="21"/>
                <w:highlight w:val="none"/>
                <w:lang w:val="en-US" w:eastAsia="zh-CN" w:bidi="ar-SA"/>
              </w:rPr>
              <w:t>个小时内到达并采取相应措施，予以处理解决的，得</w:t>
            </w:r>
            <w:r>
              <w:rPr>
                <w:rFonts w:hint="eastAsia" w:cs="Times New Roman"/>
                <w:color w:val="auto"/>
                <w:kern w:val="0"/>
                <w:sz w:val="20"/>
                <w:szCs w:val="21"/>
                <w:highlight w:val="none"/>
                <w:lang w:val="en-US" w:eastAsia="zh-CN" w:bidi="ar-SA"/>
              </w:rPr>
              <w:t>6</w:t>
            </w:r>
            <w:r>
              <w:rPr>
                <w:rFonts w:hint="default" w:ascii="宋体" w:hAnsi="Courier New" w:eastAsia="宋体" w:cs="Times New Roman"/>
                <w:color w:val="auto"/>
                <w:kern w:val="0"/>
                <w:sz w:val="20"/>
                <w:szCs w:val="21"/>
                <w:highlight w:val="none"/>
                <w:lang w:val="en-US" w:eastAsia="zh-CN" w:bidi="ar-SA"/>
              </w:rPr>
              <w:t>分</w:t>
            </w:r>
            <w:r>
              <w:rPr>
                <w:rFonts w:hint="eastAsia" w:ascii="宋体" w:hAnsi="Courier New" w:cs="Times New Roman"/>
                <w:color w:val="auto"/>
                <w:kern w:val="0"/>
                <w:sz w:val="20"/>
                <w:szCs w:val="21"/>
                <w:highlight w:val="none"/>
                <w:lang w:val="en-US" w:eastAsia="zh-CN" w:bidi="ar-SA"/>
              </w:rPr>
              <w:t>。</w:t>
            </w:r>
          </w:p>
          <w:p w14:paraId="21F661F1">
            <w:pPr>
              <w:rPr>
                <w:rFonts w:hint="eastAsia" w:ascii="Times New Roman" w:hAnsi="Times New Roman" w:eastAsia="宋体" w:cs="Times New Roman"/>
                <w:color w:val="auto"/>
                <w:kern w:val="2"/>
                <w:sz w:val="21"/>
                <w:szCs w:val="24"/>
                <w:highlight w:val="none"/>
                <w:lang w:val="en-US" w:eastAsia="zh-CN" w:bidi="ar-SA"/>
              </w:rPr>
            </w:pPr>
          </w:p>
        </w:tc>
      </w:tr>
      <w:tr w14:paraId="0385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25B6D9CF">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p>
        </w:tc>
        <w:tc>
          <w:tcPr>
            <w:tcW w:w="1278" w:type="dxa"/>
            <w:noWrap w:val="0"/>
            <w:vAlign w:val="center"/>
          </w:tcPr>
          <w:p w14:paraId="052500EF">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人员方案分</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w:t>
            </w:r>
          </w:p>
        </w:tc>
        <w:tc>
          <w:tcPr>
            <w:tcW w:w="6612" w:type="dxa"/>
            <w:noWrap w:val="0"/>
            <w:vAlign w:val="center"/>
          </w:tcPr>
          <w:p w14:paraId="7DB5A4E0">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一档(</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分)：技术负责人具有大专（含大专）及以上学历；投入人员有6人以上（含6人）具有有害生物防制员证，其中</w:t>
            </w:r>
            <w:r>
              <w:rPr>
                <w:rFonts w:hint="eastAsia" w:hAnsi="宋体" w:eastAsia="宋体" w:cs="宋体"/>
                <w:bCs/>
                <w:color w:val="auto"/>
                <w:kern w:val="2"/>
                <w:sz w:val="21"/>
                <w:szCs w:val="21"/>
                <w:highlight w:val="none"/>
                <w:lang w:val="en-US" w:eastAsia="zh-CN"/>
              </w:rPr>
              <w:t>至少</w:t>
            </w:r>
            <w:r>
              <w:rPr>
                <w:rFonts w:hint="eastAsia" w:ascii="宋体" w:hAnsi="宋体" w:eastAsia="宋体" w:cs="宋体"/>
                <w:bCs/>
                <w:color w:val="auto"/>
                <w:kern w:val="2"/>
                <w:sz w:val="21"/>
                <w:szCs w:val="21"/>
                <w:highlight w:val="none"/>
              </w:rPr>
              <w:t>1人具有四级（中级）及以上有害生物防制员证书；</w:t>
            </w:r>
          </w:p>
          <w:p w14:paraId="1B35F9CE">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二档(</w:t>
            </w:r>
            <w:r>
              <w:rPr>
                <w:rFonts w:hint="eastAsia"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分)：技术负责人具有大专（含大专）及以上学历；投入人员有8人以上（含8人）具有有害生物防制员证，其中3人（含3人）以上具有四级（中级）及以上有害生物防制员证书；</w:t>
            </w:r>
          </w:p>
          <w:p w14:paraId="01B77CEB">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三档(</w:t>
            </w:r>
            <w:r>
              <w:rPr>
                <w:rFonts w:hint="eastAsia" w:hAnsi="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技术负责人具有大专（含大专）及以上学历；投入人员有12人以上（含12人）具有有害生物防制员证，其中3人（含3人）以上具有四级（中级）及以上有害生物防制员证书；3人(含3人)以上具有三级（高级）有害生物防制员证书。</w:t>
            </w:r>
          </w:p>
          <w:p w14:paraId="3EC39CEB">
            <w:pPr>
              <w:pStyle w:val="18"/>
              <w:spacing w:line="420" w:lineRule="exact"/>
              <w:ind w:firstLine="422" w:firstLineChars="20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注：1、上述人员具有有害生物防制员相应证书的，提供证书复印件并加盖供应商公章。</w:t>
            </w:r>
          </w:p>
          <w:p w14:paraId="1A221E0D">
            <w:pPr>
              <w:pStyle w:val="18"/>
              <w:spacing w:line="420" w:lineRule="exact"/>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2、</w:t>
            </w:r>
            <w:r>
              <w:rPr>
                <w:rFonts w:hint="eastAsia" w:hAnsi="宋体" w:eastAsia="宋体" w:cs="宋体"/>
                <w:b/>
                <w:bCs w:val="0"/>
                <w:color w:val="auto"/>
                <w:kern w:val="2"/>
                <w:sz w:val="21"/>
                <w:szCs w:val="21"/>
                <w:highlight w:val="none"/>
                <w:lang w:val="en-US" w:eastAsia="zh-CN"/>
              </w:rPr>
              <w:t>提交</w:t>
            </w:r>
            <w:r>
              <w:rPr>
                <w:rFonts w:hint="eastAsia" w:ascii="宋体" w:hAnsi="宋体" w:eastAsia="宋体" w:cs="宋体"/>
                <w:b/>
                <w:bCs w:val="0"/>
                <w:color w:val="auto"/>
                <w:kern w:val="2"/>
                <w:sz w:val="21"/>
                <w:szCs w:val="21"/>
                <w:highlight w:val="none"/>
              </w:rPr>
              <w:t>截止日期前半年内任意连续三个月由</w:t>
            </w:r>
            <w:r>
              <w:rPr>
                <w:rFonts w:hint="eastAsia" w:hAnsi="宋体" w:eastAsia="宋体" w:cs="宋体"/>
                <w:b/>
                <w:bCs w:val="0"/>
                <w:color w:val="auto"/>
                <w:kern w:val="2"/>
                <w:sz w:val="21"/>
                <w:szCs w:val="21"/>
                <w:highlight w:val="none"/>
                <w:lang w:val="en-US" w:eastAsia="zh-CN"/>
              </w:rPr>
              <w:t>供应商</w:t>
            </w:r>
            <w:r>
              <w:rPr>
                <w:rFonts w:hint="eastAsia" w:ascii="宋体" w:hAnsi="宋体" w:eastAsia="宋体" w:cs="宋体"/>
                <w:b/>
                <w:bCs w:val="0"/>
                <w:color w:val="auto"/>
                <w:kern w:val="2"/>
                <w:sz w:val="21"/>
                <w:szCs w:val="21"/>
                <w:highlight w:val="none"/>
              </w:rPr>
              <w:t>购买社保证明</w:t>
            </w:r>
            <w:r>
              <w:rPr>
                <w:rFonts w:hint="eastAsia" w:hAnsi="宋体" w:eastAsia="宋体" w:cs="宋体"/>
                <w:b/>
                <w:bCs w:val="0"/>
                <w:color w:val="auto"/>
                <w:kern w:val="2"/>
                <w:sz w:val="21"/>
                <w:szCs w:val="21"/>
                <w:highlight w:val="none"/>
                <w:lang w:eastAsia="zh-CN"/>
              </w:rPr>
              <w:t>或缴纳发票</w:t>
            </w:r>
            <w:r>
              <w:rPr>
                <w:rFonts w:hint="eastAsia" w:ascii="宋体" w:hAnsi="宋体" w:eastAsia="宋体" w:cs="宋体"/>
                <w:b/>
                <w:bCs w:val="0"/>
                <w:color w:val="auto"/>
                <w:kern w:val="2"/>
                <w:sz w:val="21"/>
                <w:szCs w:val="21"/>
                <w:highlight w:val="none"/>
              </w:rPr>
              <w:t>复印件。否则不得分。</w:t>
            </w:r>
          </w:p>
        </w:tc>
      </w:tr>
      <w:tr w14:paraId="5939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13439AB7">
            <w:pPr>
              <w:widowControl/>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278" w:type="dxa"/>
            <w:noWrap w:val="0"/>
            <w:vAlign w:val="center"/>
          </w:tcPr>
          <w:p w14:paraId="49F8886B">
            <w:pPr>
              <w:widowControl/>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rPr>
              <w:t>商务分</w:t>
            </w:r>
          </w:p>
        </w:tc>
        <w:tc>
          <w:tcPr>
            <w:tcW w:w="6612" w:type="dxa"/>
            <w:noWrap w:val="0"/>
            <w:vAlign w:val="center"/>
          </w:tcPr>
          <w:p w14:paraId="5B64821C">
            <w:pPr>
              <w:pStyle w:val="18"/>
              <w:spacing w:line="420" w:lineRule="exact"/>
              <w:ind w:firstLine="2520" w:firstLineChars="1200"/>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0"/>
                <w:sz w:val="21"/>
                <w:szCs w:val="21"/>
                <w:highlight w:val="none"/>
              </w:rPr>
              <w:t>评审因素</w:t>
            </w:r>
          </w:p>
        </w:tc>
      </w:tr>
      <w:tr w14:paraId="36E9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293C2A2D">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p>
        </w:tc>
        <w:tc>
          <w:tcPr>
            <w:tcW w:w="1278" w:type="dxa"/>
            <w:noWrap w:val="0"/>
            <w:vAlign w:val="center"/>
          </w:tcPr>
          <w:p w14:paraId="5FC439C8">
            <w:pPr>
              <w:widowControl/>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设备方案分</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6612" w:type="dxa"/>
            <w:noWrap w:val="0"/>
            <w:vAlign w:val="center"/>
          </w:tcPr>
          <w:p w14:paraId="43504836">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一档（</w:t>
            </w:r>
            <w:r>
              <w:rPr>
                <w:rFonts w:hint="eastAsia"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设备配置基本满足</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文件要求：超低容量喷雾器不少于4台；热烟雾机不少于4台；消杀作业车辆不少于3辆；手推式机动喷雾机不少于4台，手压式喷雾器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4台。</w:t>
            </w:r>
          </w:p>
          <w:p w14:paraId="7FD16A02">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二档（</w:t>
            </w:r>
            <w:r>
              <w:rPr>
                <w:rFonts w:hint="eastAsia"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部分设备配置优于</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文件要求：超低容量喷雾器不少于5台；热烟雾机不少于5台；消杀作业车辆不少于4辆；手推式机动喷雾机不少于5台，手压式喷雾器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5台，车载大功率喷雾机不少于1台。</w:t>
            </w:r>
          </w:p>
          <w:p w14:paraId="5A917D1E">
            <w:pPr>
              <w:pStyle w:val="18"/>
              <w:spacing w:line="42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三档（</w:t>
            </w:r>
            <w:r>
              <w:rPr>
                <w:rFonts w:hint="eastAsia" w:hAnsi="宋体" w:cs="宋体"/>
                <w:bCs/>
                <w:color w:val="auto"/>
                <w:kern w:val="2"/>
                <w:sz w:val="21"/>
                <w:szCs w:val="21"/>
                <w:highlight w:val="none"/>
                <w:lang w:val="en-US" w:eastAsia="zh-CN"/>
              </w:rPr>
              <w:t>12</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2"/>
                <w:sz w:val="21"/>
                <w:szCs w:val="21"/>
                <w:highlight w:val="none"/>
              </w:rPr>
              <w:t>所有设备配置优于</w:t>
            </w:r>
            <w:r>
              <w:rPr>
                <w:rFonts w:hint="eastAsia" w:ascii="宋体" w:hAnsi="宋体" w:eastAsia="宋体" w:cs="宋体"/>
                <w:bCs/>
                <w:color w:val="auto"/>
                <w:kern w:val="2"/>
                <w:sz w:val="21"/>
                <w:szCs w:val="21"/>
                <w:highlight w:val="none"/>
                <w:lang w:val="en-US" w:eastAsia="zh-CN"/>
              </w:rPr>
              <w:t>采购</w:t>
            </w:r>
            <w:r>
              <w:rPr>
                <w:rFonts w:hint="eastAsia" w:ascii="宋体" w:hAnsi="宋体" w:eastAsia="宋体" w:cs="宋体"/>
                <w:bCs/>
                <w:color w:val="auto"/>
                <w:kern w:val="2"/>
                <w:sz w:val="21"/>
                <w:szCs w:val="21"/>
                <w:highlight w:val="none"/>
              </w:rPr>
              <w:t>文件要求：超低容量喷雾器不少于6台；热烟雾机不少于6台；消杀作业车辆不少于5辆；手推式机动喷雾机不少于6台，手压式喷雾器</w:t>
            </w:r>
            <w:r>
              <w:rPr>
                <w:rFonts w:hint="eastAsia" w:ascii="宋体" w:hAnsi="宋体" w:eastAsia="宋体" w:cs="宋体"/>
                <w:bCs/>
                <w:color w:val="auto"/>
                <w:kern w:val="2"/>
                <w:sz w:val="21"/>
                <w:szCs w:val="21"/>
                <w:highlight w:val="none"/>
                <w:lang w:val="en-US" w:eastAsia="zh-CN"/>
              </w:rPr>
              <w:t>不少于</w:t>
            </w:r>
            <w:r>
              <w:rPr>
                <w:rFonts w:hint="eastAsia" w:ascii="宋体" w:hAnsi="宋体" w:eastAsia="宋体" w:cs="宋体"/>
                <w:bCs/>
                <w:color w:val="auto"/>
                <w:kern w:val="2"/>
                <w:sz w:val="21"/>
                <w:szCs w:val="21"/>
                <w:highlight w:val="none"/>
              </w:rPr>
              <w:t>6台，车载大功率喷雾机不少于2台。</w:t>
            </w:r>
          </w:p>
          <w:p w14:paraId="1910DE5E">
            <w:pPr>
              <w:pStyle w:val="18"/>
              <w:spacing w:line="420" w:lineRule="exact"/>
              <w:ind w:firstLine="422" w:firstLineChars="200"/>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注：响应文件中提供各项设备、车辆均以</w:t>
            </w:r>
            <w:r>
              <w:rPr>
                <w:rFonts w:hint="eastAsia" w:ascii="宋体" w:hAnsi="宋体" w:eastAsia="宋体" w:cs="宋体"/>
                <w:b/>
                <w:bCs w:val="0"/>
                <w:color w:val="auto"/>
                <w:kern w:val="2"/>
                <w:sz w:val="21"/>
                <w:szCs w:val="21"/>
                <w:highlight w:val="none"/>
                <w:lang w:val="en-US" w:eastAsia="zh-CN"/>
              </w:rPr>
              <w:t>供应商</w:t>
            </w:r>
            <w:r>
              <w:rPr>
                <w:rFonts w:hint="eastAsia" w:ascii="宋体" w:hAnsi="宋体" w:eastAsia="宋体" w:cs="宋体"/>
                <w:b/>
                <w:bCs w:val="0"/>
                <w:color w:val="auto"/>
                <w:kern w:val="2"/>
                <w:sz w:val="21"/>
                <w:szCs w:val="21"/>
                <w:highlight w:val="none"/>
              </w:rPr>
              <w:t>单位全称采购，提供购买发票、行驶证复印件</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如有</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加盖供应商公章</w:t>
            </w:r>
            <w:r>
              <w:rPr>
                <w:rFonts w:hint="eastAsia" w:ascii="宋体" w:hAnsi="宋体" w:eastAsia="宋体" w:cs="宋体"/>
                <w:b/>
                <w:bCs w:val="0"/>
                <w:color w:val="auto"/>
                <w:kern w:val="2"/>
                <w:sz w:val="21"/>
                <w:szCs w:val="21"/>
                <w:highlight w:val="none"/>
              </w:rPr>
              <w:t>；</w:t>
            </w:r>
          </w:p>
        </w:tc>
      </w:tr>
      <w:tr w14:paraId="1730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09066124">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2</w:t>
            </w:r>
          </w:p>
        </w:tc>
        <w:tc>
          <w:tcPr>
            <w:tcW w:w="1278" w:type="dxa"/>
            <w:noWrap w:val="0"/>
            <w:vAlign w:val="center"/>
          </w:tcPr>
          <w:p w14:paraId="2F3BF433">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资质实力分（</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tc>
        <w:tc>
          <w:tcPr>
            <w:tcW w:w="6612" w:type="dxa"/>
            <w:noWrap w:val="0"/>
            <w:vAlign w:val="center"/>
          </w:tcPr>
          <w:p w14:paraId="0D9768B2">
            <w:pPr>
              <w:pStyle w:val="18"/>
              <w:spacing w:line="420" w:lineRule="exact"/>
              <w:ind w:firstLine="420" w:firstLineChars="200"/>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（1）供应商获得ISO9000系列国际质量体系、ISO14000环境管理体系认证、通过职业健康管理体系认证证书，每提供一个得1分，满分</w:t>
            </w:r>
            <w:r>
              <w:rPr>
                <w:rFonts w:hint="eastAsia"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14:paraId="44C51B61">
            <w:pPr>
              <w:rPr>
                <w:rFonts w:hint="eastAsia"/>
                <w:color w:val="auto"/>
                <w:highlight w:val="none"/>
              </w:rPr>
            </w:pPr>
          </w:p>
          <w:p w14:paraId="77CA3D20">
            <w:pPr>
              <w:pStyle w:val="18"/>
              <w:shd w:val="clear" w:color="auto" w:fill="FFFFFF"/>
              <w:spacing w:line="500" w:lineRule="exact"/>
              <w:ind w:firstLine="422" w:firstLineChars="200"/>
              <w:rPr>
                <w:rFonts w:hint="eastAsia" w:ascii="宋体" w:hAnsi="宋体" w:eastAsia="宋体" w:cs="宋体"/>
                <w:b/>
                <w:bCs w:val="0"/>
                <w:color w:val="auto"/>
                <w:kern w:val="2"/>
                <w:sz w:val="21"/>
                <w:szCs w:val="21"/>
                <w:highlight w:val="none"/>
              </w:rPr>
            </w:pPr>
            <w:r>
              <w:rPr>
                <w:rFonts w:hint="eastAsia" w:ascii="Times New Roman" w:hAnsi="Times New Roman"/>
                <w:b/>
                <w:bCs/>
                <w:color w:val="auto"/>
                <w:kern w:val="2"/>
                <w:sz w:val="21"/>
                <w:szCs w:val="22"/>
                <w:highlight w:val="none"/>
                <w:lang w:val="en-US" w:eastAsia="zh-CN"/>
              </w:rPr>
              <w:t>注：须</w:t>
            </w:r>
            <w:r>
              <w:rPr>
                <w:rFonts w:hint="eastAsia" w:ascii="Times New Roman" w:hAnsi="Times New Roman"/>
                <w:b/>
                <w:bCs/>
                <w:color w:val="auto"/>
                <w:kern w:val="2"/>
                <w:sz w:val="21"/>
                <w:szCs w:val="22"/>
                <w:highlight w:val="none"/>
              </w:rPr>
              <w:t>提供</w:t>
            </w:r>
            <w:r>
              <w:rPr>
                <w:rFonts w:hint="eastAsia" w:ascii="Times New Roman" w:hAnsi="Times New Roman"/>
                <w:b/>
                <w:bCs/>
                <w:color w:val="auto"/>
                <w:kern w:val="2"/>
                <w:sz w:val="21"/>
                <w:szCs w:val="22"/>
                <w:highlight w:val="none"/>
                <w:lang w:val="en-US" w:eastAsia="zh-CN"/>
              </w:rPr>
              <w:t>以上证书复印件及在中国国家认证认可监督管理委员会官网公示查询www.cnca.gov.cn的查询结果截图并加盖供应商公章，不提供不得分</w:t>
            </w:r>
            <w:r>
              <w:rPr>
                <w:rFonts w:hint="eastAsia" w:ascii="Times New Roman" w:hAnsi="Times New Roman"/>
                <w:b/>
                <w:bCs/>
                <w:color w:val="auto"/>
                <w:kern w:val="2"/>
                <w:sz w:val="21"/>
                <w:szCs w:val="22"/>
                <w:highlight w:val="none"/>
                <w:lang w:eastAsia="zh-CN"/>
              </w:rPr>
              <w:t>。</w:t>
            </w:r>
          </w:p>
        </w:tc>
      </w:tr>
      <w:tr w14:paraId="52B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3" w:type="dxa"/>
            <w:noWrap w:val="0"/>
            <w:vAlign w:val="center"/>
          </w:tcPr>
          <w:p w14:paraId="06C7ECB0">
            <w:pPr>
              <w:widowControl/>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278" w:type="dxa"/>
            <w:noWrap w:val="0"/>
            <w:vAlign w:val="center"/>
          </w:tcPr>
          <w:p w14:paraId="04B12CB1">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w:t>
            </w:r>
          </w:p>
          <w:p w14:paraId="34E566EF">
            <w:pPr>
              <w:widowControl/>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612" w:type="dxa"/>
            <w:noWrap w:val="0"/>
            <w:vAlign w:val="center"/>
          </w:tcPr>
          <w:p w14:paraId="1E4D708B">
            <w:pPr>
              <w:pStyle w:val="18"/>
              <w:spacing w:line="420" w:lineRule="exact"/>
              <w:ind w:firstLine="420" w:firstLineChars="200"/>
              <w:rPr>
                <w:rFonts w:hint="eastAsia" w:hAnsi="宋体" w:eastAsia="宋体" w:cs="宋体"/>
                <w:b w:val="0"/>
                <w:bCs/>
                <w:color w:val="auto"/>
                <w:kern w:val="2"/>
                <w:sz w:val="21"/>
                <w:szCs w:val="21"/>
                <w:highlight w:val="none"/>
                <w:lang w:eastAsia="zh-CN"/>
              </w:rPr>
            </w:pPr>
            <w:r>
              <w:rPr>
                <w:rFonts w:hint="eastAsia" w:hAnsi="宋体" w:eastAsia="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rPr>
              <w:t>自2020年以来取得过</w:t>
            </w:r>
            <w:r>
              <w:rPr>
                <w:rFonts w:hint="eastAsia" w:hAnsi="宋体" w:eastAsia="宋体" w:cs="宋体"/>
                <w:b w:val="0"/>
                <w:bCs/>
                <w:color w:val="auto"/>
                <w:kern w:val="2"/>
                <w:sz w:val="21"/>
                <w:szCs w:val="21"/>
                <w:highlight w:val="none"/>
                <w:lang w:val="en-US" w:eastAsia="zh-CN"/>
              </w:rPr>
              <w:t>行政部门</w:t>
            </w:r>
            <w:r>
              <w:rPr>
                <w:rFonts w:hint="eastAsia" w:ascii="宋体" w:hAnsi="宋体" w:eastAsia="宋体" w:cs="宋体"/>
                <w:b w:val="0"/>
                <w:bCs/>
                <w:color w:val="auto"/>
                <w:kern w:val="2"/>
                <w:sz w:val="21"/>
                <w:szCs w:val="21"/>
                <w:highlight w:val="none"/>
              </w:rPr>
              <w:t>组织的除“四害”同类服务项目，以签订的合同为准，每项得</w:t>
            </w:r>
            <w:r>
              <w:rPr>
                <w:rFonts w:hint="eastAsia"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分</w:t>
            </w:r>
            <w:r>
              <w:rPr>
                <w:rFonts w:hint="eastAsia"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rPr>
              <w:t>满分</w:t>
            </w:r>
            <w:r>
              <w:rPr>
                <w:rFonts w:hint="eastAsia"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分</w:t>
            </w:r>
            <w:r>
              <w:rPr>
                <w:rFonts w:hint="eastAsia" w:hAnsi="宋体" w:eastAsia="宋体" w:cs="宋体"/>
                <w:b w:val="0"/>
                <w:bCs/>
                <w:color w:val="auto"/>
                <w:kern w:val="2"/>
                <w:sz w:val="21"/>
                <w:szCs w:val="21"/>
                <w:highlight w:val="none"/>
                <w:lang w:eastAsia="zh-CN"/>
              </w:rPr>
              <w:t>。</w:t>
            </w:r>
          </w:p>
          <w:p w14:paraId="2BE523B6">
            <w:pPr>
              <w:pStyle w:val="18"/>
              <w:spacing w:line="420" w:lineRule="exact"/>
              <w:ind w:firstLine="422"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
                <w:bCs w:val="0"/>
                <w:color w:val="auto"/>
                <w:kern w:val="2"/>
                <w:sz w:val="21"/>
                <w:szCs w:val="21"/>
                <w:highlight w:val="none"/>
              </w:rPr>
              <w:t>注：须附合同</w:t>
            </w:r>
            <w:r>
              <w:rPr>
                <w:rFonts w:hint="eastAsia" w:hAnsi="宋体" w:eastAsia="宋体" w:cs="宋体"/>
                <w:b/>
                <w:bCs w:val="0"/>
                <w:color w:val="auto"/>
                <w:kern w:val="2"/>
                <w:sz w:val="21"/>
                <w:szCs w:val="21"/>
                <w:highlight w:val="none"/>
                <w:lang w:val="en-US" w:eastAsia="zh-CN"/>
              </w:rPr>
              <w:t>或中标通知书</w:t>
            </w:r>
            <w:r>
              <w:rPr>
                <w:rFonts w:hint="eastAsia" w:ascii="宋体" w:hAnsi="宋体" w:eastAsia="宋体" w:cs="宋体"/>
                <w:b/>
                <w:bCs w:val="0"/>
                <w:color w:val="auto"/>
                <w:kern w:val="2"/>
                <w:sz w:val="21"/>
                <w:szCs w:val="21"/>
                <w:highlight w:val="none"/>
              </w:rPr>
              <w:t>复印件</w:t>
            </w:r>
            <w:r>
              <w:rPr>
                <w:rFonts w:hint="eastAsia" w:hAnsi="宋体" w:eastAsia="宋体" w:cs="宋体"/>
                <w:b/>
                <w:bCs w:val="0"/>
                <w:color w:val="auto"/>
                <w:kern w:val="2"/>
                <w:sz w:val="21"/>
                <w:szCs w:val="21"/>
                <w:highlight w:val="none"/>
                <w:lang w:val="en-US" w:eastAsia="zh-CN"/>
              </w:rPr>
              <w:t>并</w:t>
            </w:r>
            <w:r>
              <w:rPr>
                <w:rFonts w:hint="eastAsia" w:ascii="宋体" w:hAnsi="宋体" w:eastAsia="宋体" w:cs="宋体"/>
                <w:b/>
                <w:bCs w:val="0"/>
                <w:color w:val="auto"/>
                <w:kern w:val="2"/>
                <w:sz w:val="21"/>
                <w:szCs w:val="21"/>
                <w:highlight w:val="none"/>
              </w:rPr>
              <w:t>加盖供应商公章，不提供不得分</w:t>
            </w:r>
            <w:r>
              <w:rPr>
                <w:rFonts w:hint="eastAsia" w:hAnsi="宋体" w:eastAsia="宋体" w:cs="宋体"/>
                <w:b/>
                <w:bCs w:val="0"/>
                <w:color w:val="auto"/>
                <w:kern w:val="2"/>
                <w:sz w:val="21"/>
                <w:szCs w:val="21"/>
                <w:highlight w:val="none"/>
                <w:lang w:eastAsia="zh-CN"/>
              </w:rPr>
              <w:t>。</w:t>
            </w:r>
          </w:p>
        </w:tc>
      </w:tr>
      <w:tr w14:paraId="06D8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3" w:type="dxa"/>
            <w:gridSpan w:val="3"/>
            <w:noWrap w:val="0"/>
            <w:vAlign w:val="top"/>
          </w:tcPr>
          <w:p w14:paraId="2C7614F1">
            <w:pPr>
              <w:pStyle w:val="18"/>
              <w:spacing w:line="40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总得分＝1＋2＋3</w:t>
            </w:r>
          </w:p>
        </w:tc>
      </w:tr>
    </w:tbl>
    <w:p w14:paraId="6CDAF8BB">
      <w:pPr>
        <w:pageBreakBefore w:val="0"/>
        <w:kinsoku/>
        <w:wordWrap/>
        <w:topLinePunct w:val="0"/>
        <w:bidi w:val="0"/>
        <w:spacing w:line="312" w:lineRule="auto"/>
        <w:ind w:firstLine="420" w:firstLineChars="200"/>
        <w:rPr>
          <w:rFonts w:hint="eastAsia" w:ascii="宋体" w:hAnsi="宋体"/>
          <w:bCs/>
          <w:color w:val="auto"/>
          <w:szCs w:val="21"/>
          <w:highlight w:val="none"/>
        </w:rPr>
      </w:pPr>
    </w:p>
    <w:p w14:paraId="2BFFE7B5">
      <w:pPr>
        <w:pageBreakBefore w:val="0"/>
        <w:kinsoku/>
        <w:wordWrap/>
        <w:topLinePunct w:val="0"/>
        <w:bidi w:val="0"/>
        <w:spacing w:line="312"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bCs/>
          <w:color w:val="auto"/>
          <w:szCs w:val="21"/>
          <w:highlight w:val="none"/>
          <w:lang w:val="en-US" w:eastAsia="zh-CN"/>
        </w:rPr>
        <w:t>技术</w:t>
      </w:r>
      <w:r>
        <w:rPr>
          <w:rFonts w:hint="eastAsia" w:ascii="宋体" w:hAnsi="宋体"/>
          <w:bCs/>
          <w:color w:val="auto"/>
          <w:szCs w:val="21"/>
          <w:highlight w:val="none"/>
        </w:rPr>
        <w:t>需求偏离分由高到低排序）。评审得分、最后报价（不计算价格折扣）、技术得分、</w:t>
      </w:r>
      <w:r>
        <w:rPr>
          <w:rFonts w:hint="eastAsia" w:ascii="宋体" w:hAnsi="宋体" w:eastAsia="宋体" w:cs="仿宋_GB2312"/>
          <w:color w:val="auto"/>
          <w:kern w:val="2"/>
          <w:sz w:val="24"/>
          <w:szCs w:val="24"/>
          <w:highlight w:val="none"/>
          <w:lang w:val="en-US" w:eastAsia="zh-CN"/>
        </w:rPr>
        <w:t>技术</w:t>
      </w:r>
      <w:r>
        <w:rPr>
          <w:rFonts w:hint="eastAsia" w:ascii="宋体" w:hAnsi="宋体"/>
          <w:bCs/>
          <w:color w:val="auto"/>
          <w:szCs w:val="21"/>
          <w:highlight w:val="none"/>
        </w:rPr>
        <w:t>需求偏离分均相同的，由磋商小组随机抽取推荐。</w:t>
      </w:r>
    </w:p>
    <w:p w14:paraId="5CF00764">
      <w:pPr>
        <w:pageBreakBefore w:val="0"/>
        <w:kinsoku/>
        <w:wordWrap/>
        <w:topLinePunct w:val="0"/>
        <w:bidi w:val="0"/>
        <w:spacing w:line="312" w:lineRule="auto"/>
        <w:ind w:firstLine="420" w:firstLineChars="200"/>
        <w:rPr>
          <w:rFonts w:hint="eastAsia" w:ascii="宋体" w:hAnsi="宋体" w:cs="宋体"/>
          <w:color w:val="auto"/>
          <w:highlight w:val="none"/>
        </w:rPr>
      </w:pPr>
    </w:p>
    <w:p w14:paraId="1F08C6EC">
      <w:pPr>
        <w:pStyle w:val="4"/>
        <w:pageBreakBefore w:val="0"/>
        <w:kinsoku/>
        <w:wordWrap/>
        <w:topLinePunct w:val="0"/>
        <w:bidi w:val="0"/>
        <w:spacing w:line="312" w:lineRule="auto"/>
        <w:jc w:val="center"/>
        <w:outlineLvl w:val="0"/>
        <w:rPr>
          <w:rFonts w:hint="eastAsia"/>
          <w:color w:val="auto"/>
          <w:highlight w:val="none"/>
        </w:rPr>
      </w:pPr>
      <w:r>
        <w:rPr>
          <w:color w:val="auto"/>
          <w:highlight w:val="none"/>
        </w:rPr>
        <w:br w:type="page"/>
      </w:r>
      <w:bookmarkStart w:id="93" w:name="_Toc23994"/>
      <w:bookmarkStart w:id="94" w:name="_Toc15054"/>
      <w:r>
        <w:rPr>
          <w:rFonts w:hint="eastAsia"/>
          <w:color w:val="auto"/>
          <w:highlight w:val="none"/>
        </w:rPr>
        <w:t>第</w:t>
      </w:r>
      <w:r>
        <w:rPr>
          <w:rFonts w:hint="eastAsia"/>
          <w:color w:val="auto"/>
          <w:highlight w:val="none"/>
          <w:lang w:val="en-US" w:eastAsia="zh-CN"/>
        </w:rPr>
        <w:t>五</w:t>
      </w:r>
      <w:r>
        <w:rPr>
          <w:rFonts w:hint="eastAsia"/>
          <w:color w:val="auto"/>
          <w:highlight w:val="none"/>
        </w:rPr>
        <w:t>章 响应文件格式</w:t>
      </w:r>
      <w:bookmarkEnd w:id="93"/>
      <w:bookmarkEnd w:id="94"/>
    </w:p>
    <w:p w14:paraId="553A6820">
      <w:pPr>
        <w:pageBreakBefore w:val="0"/>
        <w:kinsoku/>
        <w:wordWrap/>
        <w:topLinePunct w:val="0"/>
        <w:bidi w:val="0"/>
        <w:snapToGrid w:val="0"/>
        <w:spacing w:before="120" w:beforeLines="50" w:after="50" w:line="312" w:lineRule="auto"/>
        <w:outlineLvl w:val="0"/>
        <w:rPr>
          <w:rFonts w:hint="eastAsia" w:ascii="宋体" w:hAnsi="宋体"/>
          <w:b/>
          <w:bCs/>
          <w:color w:val="auto"/>
          <w:sz w:val="32"/>
          <w:szCs w:val="32"/>
          <w:highlight w:val="none"/>
        </w:rPr>
      </w:pPr>
      <w:bookmarkStart w:id="95" w:name="_Toc5378"/>
      <w:bookmarkStart w:id="96" w:name="_Toc31723070"/>
      <w:bookmarkStart w:id="97" w:name="_Toc31108"/>
      <w:bookmarkStart w:id="98" w:name="_Toc31728084"/>
      <w:bookmarkStart w:id="99" w:name="_Toc44229899"/>
      <w:bookmarkStart w:id="100" w:name="_Toc35611438"/>
      <w:bookmarkStart w:id="101" w:name="_Toc35611516"/>
      <w:r>
        <w:rPr>
          <w:rFonts w:hint="eastAsia" w:ascii="宋体" w:hAnsi="宋体"/>
          <w:b/>
          <w:bCs/>
          <w:color w:val="auto"/>
          <w:sz w:val="32"/>
          <w:szCs w:val="32"/>
          <w:highlight w:val="none"/>
        </w:rPr>
        <w:t>一、资格证明文件格式</w:t>
      </w:r>
      <w:bookmarkEnd w:id="95"/>
      <w:bookmarkEnd w:id="96"/>
      <w:bookmarkEnd w:id="97"/>
      <w:bookmarkEnd w:id="98"/>
      <w:bookmarkEnd w:id="99"/>
      <w:bookmarkEnd w:id="100"/>
      <w:bookmarkEnd w:id="101"/>
    </w:p>
    <w:p w14:paraId="7C1B7531">
      <w:pPr>
        <w:pageBreakBefore w:val="0"/>
        <w:kinsoku/>
        <w:wordWrap/>
        <w:topLinePunct w:val="0"/>
        <w:bidi w:val="0"/>
        <w:snapToGrid w:val="0"/>
        <w:spacing w:before="120" w:beforeLines="50" w:after="50" w:line="312" w:lineRule="auto"/>
        <w:jc w:val="left"/>
        <w:outlineLvl w:val="1"/>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53825F2B">
      <w:pPr>
        <w:pageBreakBefore w:val="0"/>
        <w:kinsoku/>
        <w:wordWrap/>
        <w:topLinePunct w:val="0"/>
        <w:bidi w:val="0"/>
        <w:snapToGrid w:val="0"/>
        <w:spacing w:before="120" w:beforeLines="5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46CA3339">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0188F0D7">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4204A2FA">
      <w:pPr>
        <w:pageBreakBefore w:val="0"/>
        <w:kinsoku/>
        <w:wordWrap/>
        <w:topLinePunct w:val="0"/>
        <w:bidi w:val="0"/>
        <w:snapToGrid w:val="0"/>
        <w:spacing w:before="120" w:beforeLines="50" w:after="5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38488F6">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57EB1E5A">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7A7F0A64">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274DA9B">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2F666DFF">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0E5D4EB0">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49DFE3F">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583C3D05">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402452C">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35566CC">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D41B883">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0361EA7B">
      <w:pPr>
        <w:pStyle w:val="8"/>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0F88B7">
      <w:pPr>
        <w:pStyle w:val="8"/>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7D3763D4">
      <w:pPr>
        <w:pStyle w:val="8"/>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4E7246D3">
      <w:pPr>
        <w:pageBreakBefore w:val="0"/>
        <w:kinsoku/>
        <w:wordWrap/>
        <w:topLinePunct w:val="0"/>
        <w:bidi w:val="0"/>
        <w:snapToGrid w:val="0"/>
        <w:spacing w:before="120" w:beforeLines="50" w:after="50" w:line="312" w:lineRule="auto"/>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F01825A">
      <w:pPr>
        <w:pageBreakBefore w:val="0"/>
        <w:kinsoku/>
        <w:wordWrap/>
        <w:topLinePunct w:val="0"/>
        <w:bidi w:val="0"/>
        <w:snapToGrid w:val="0"/>
        <w:spacing w:before="120" w:beforeLines="50" w:after="50" w:line="312" w:lineRule="auto"/>
        <w:ind w:left="142" w:leftChars="0"/>
        <w:jc w:val="left"/>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t>2.资格证明文件目录</w:t>
      </w:r>
    </w:p>
    <w:p w14:paraId="3758A0D6">
      <w:pPr>
        <w:pageBreakBefore w:val="0"/>
        <w:kinsoku/>
        <w:wordWrap/>
        <w:topLinePunct w:val="0"/>
        <w:bidi w:val="0"/>
        <w:snapToGrid w:val="0"/>
        <w:spacing w:before="120" w:beforeLines="50" w:after="50" w:line="312" w:lineRule="auto"/>
        <w:ind w:firstLine="645"/>
        <w:rPr>
          <w:rFonts w:hint="eastAsia" w:ascii="宋体" w:hAnsi="宋体"/>
          <w:color w:val="auto"/>
          <w:sz w:val="30"/>
          <w:szCs w:val="30"/>
          <w:highlight w:val="none"/>
        </w:rPr>
      </w:pPr>
      <w:r>
        <w:rPr>
          <w:rFonts w:hint="eastAsia" w:ascii="宋体" w:hAnsi="宋体"/>
          <w:color w:val="auto"/>
          <w:sz w:val="30"/>
          <w:szCs w:val="30"/>
          <w:highlight w:val="none"/>
        </w:rPr>
        <w:t>根据磋商文件规定及供应商提供的材料自行编写目录（部分格式后附）。</w:t>
      </w:r>
    </w:p>
    <w:p w14:paraId="1C1825A8">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651E6B43">
      <w:pPr>
        <w:pageBreakBefore w:val="0"/>
        <w:kinsoku/>
        <w:wordWrap/>
        <w:topLinePunct w:val="0"/>
        <w:bidi w:val="0"/>
        <w:spacing w:line="312" w:lineRule="auto"/>
        <w:rPr>
          <w:rFonts w:hint="eastAsia" w:ascii="宋体" w:hAnsi="宋体"/>
          <w:color w:val="auto"/>
          <w:sz w:val="32"/>
          <w:szCs w:val="32"/>
          <w:highlight w:val="none"/>
        </w:rPr>
      </w:pPr>
    </w:p>
    <w:p w14:paraId="77FF67FE">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77905B96">
      <w:pPr>
        <w:pageBreakBefore w:val="0"/>
        <w:kinsoku/>
        <w:wordWrap/>
        <w:topLinePunct w:val="0"/>
        <w:bidi w:val="0"/>
        <w:spacing w:line="312" w:lineRule="auto"/>
        <w:rPr>
          <w:rFonts w:hint="eastAsia" w:ascii="宋体" w:hAnsi="宋体"/>
          <w:color w:val="auto"/>
          <w:sz w:val="32"/>
          <w:szCs w:val="32"/>
          <w:highlight w:val="none"/>
        </w:rPr>
      </w:pPr>
    </w:p>
    <w:p w14:paraId="0E6DF0B6">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587011A2">
      <w:pPr>
        <w:pageBreakBefore w:val="0"/>
        <w:kinsoku/>
        <w:wordWrap/>
        <w:topLinePunct w:val="0"/>
        <w:bidi w:val="0"/>
        <w:spacing w:line="312" w:lineRule="auto"/>
        <w:rPr>
          <w:rFonts w:hint="eastAsia" w:ascii="宋体" w:hAnsi="宋体"/>
          <w:color w:val="auto"/>
          <w:sz w:val="32"/>
          <w:szCs w:val="32"/>
          <w:highlight w:val="none"/>
        </w:rPr>
      </w:pPr>
    </w:p>
    <w:p w14:paraId="2D474A6F">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37A3B689">
      <w:pPr>
        <w:rPr>
          <w:rFonts w:hint="eastAsia" w:ascii="宋体" w:hAnsi="宋体"/>
          <w:color w:val="auto"/>
          <w:sz w:val="32"/>
          <w:szCs w:val="32"/>
          <w:highlight w:val="none"/>
        </w:rPr>
      </w:pPr>
    </w:p>
    <w:p w14:paraId="0A62BC01">
      <w:pPr>
        <w:pStyle w:val="8"/>
        <w:rPr>
          <w:rFonts w:hint="eastAsia" w:ascii="宋体" w:hAnsi="宋体"/>
          <w:color w:val="auto"/>
          <w:sz w:val="32"/>
          <w:szCs w:val="32"/>
          <w:highlight w:val="none"/>
        </w:rPr>
      </w:pPr>
    </w:p>
    <w:p w14:paraId="013409B1">
      <w:pPr>
        <w:pStyle w:val="8"/>
        <w:rPr>
          <w:rFonts w:hint="eastAsia" w:ascii="宋体" w:hAnsi="宋体"/>
          <w:color w:val="auto"/>
          <w:sz w:val="32"/>
          <w:szCs w:val="32"/>
          <w:highlight w:val="none"/>
        </w:rPr>
      </w:pPr>
    </w:p>
    <w:p w14:paraId="3BFF927E">
      <w:pPr>
        <w:pStyle w:val="8"/>
        <w:rPr>
          <w:rFonts w:hint="eastAsia" w:ascii="宋体" w:hAnsi="宋体"/>
          <w:color w:val="auto"/>
          <w:sz w:val="32"/>
          <w:szCs w:val="32"/>
          <w:highlight w:val="none"/>
        </w:rPr>
      </w:pPr>
    </w:p>
    <w:p w14:paraId="62D4858E">
      <w:pPr>
        <w:pStyle w:val="8"/>
        <w:rPr>
          <w:rFonts w:hint="eastAsia" w:ascii="宋体" w:hAnsi="宋体"/>
          <w:color w:val="auto"/>
          <w:sz w:val="32"/>
          <w:szCs w:val="32"/>
          <w:highlight w:val="none"/>
        </w:rPr>
      </w:pPr>
    </w:p>
    <w:p w14:paraId="2AB077BB">
      <w:pPr>
        <w:pageBreakBefore w:val="0"/>
        <w:kinsoku/>
        <w:wordWrap/>
        <w:topLinePunct w:val="0"/>
        <w:bidi w:val="0"/>
        <w:spacing w:line="312" w:lineRule="auto"/>
        <w:rPr>
          <w:rFonts w:hint="eastAsia" w:ascii="宋体" w:hAnsi="宋体"/>
          <w:color w:val="auto"/>
          <w:sz w:val="32"/>
          <w:szCs w:val="32"/>
          <w:highlight w:val="none"/>
        </w:rPr>
      </w:pPr>
    </w:p>
    <w:p w14:paraId="18C0EC08">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4F3C59B7">
      <w:pPr>
        <w:pageBreakBefore w:val="0"/>
        <w:kinsoku/>
        <w:wordWrap/>
        <w:topLinePunct w:val="0"/>
        <w:bidi w:val="0"/>
        <w:spacing w:line="312" w:lineRule="auto"/>
        <w:rPr>
          <w:rFonts w:hint="eastAsia" w:ascii="宋体" w:hAnsi="宋体"/>
          <w:color w:val="auto"/>
          <w:sz w:val="32"/>
          <w:szCs w:val="32"/>
          <w:highlight w:val="none"/>
        </w:rPr>
      </w:pPr>
    </w:p>
    <w:p w14:paraId="5E5F89B7">
      <w:pPr>
        <w:pStyle w:val="3"/>
        <w:spacing w:before="156" w:beforeLines="50" w:line="360" w:lineRule="exact"/>
        <w:jc w:val="center"/>
        <w:outlineLvl w:val="2"/>
        <w:rPr>
          <w:rFonts w:hint="eastAsia" w:ascii="宋体" w:hAnsi="宋体" w:cs="宋体"/>
          <w:color w:val="auto"/>
          <w:sz w:val="30"/>
          <w:szCs w:val="30"/>
          <w:highlight w:val="none"/>
        </w:rPr>
      </w:pPr>
      <w:bookmarkStart w:id="102" w:name="_Toc4866"/>
      <w:bookmarkStart w:id="103" w:name="_Toc361842862"/>
      <w:bookmarkStart w:id="104" w:name="_Toc403396862"/>
      <w:bookmarkStart w:id="105" w:name="_Toc20210534"/>
      <w:bookmarkStart w:id="106" w:name="_Toc18624"/>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highlight w:val="none"/>
        </w:rPr>
        <w:t>）</w:t>
      </w:r>
      <w:r>
        <w:rPr>
          <w:rFonts w:hint="eastAsia" w:ascii="宋体" w:hAnsi="宋体" w:cs="宋体"/>
          <w:color w:val="auto"/>
          <w:kern w:val="0"/>
          <w:sz w:val="30"/>
          <w:szCs w:val="30"/>
          <w:highlight w:val="none"/>
        </w:rPr>
        <w:t>法定代表人身份证明或附有法定代表人身份证明的授权委托书</w:t>
      </w:r>
      <w:bookmarkEnd w:id="102"/>
      <w:bookmarkEnd w:id="103"/>
      <w:bookmarkEnd w:id="104"/>
      <w:bookmarkEnd w:id="105"/>
      <w:bookmarkEnd w:id="106"/>
    </w:p>
    <w:p w14:paraId="4D66BBAB">
      <w:pPr>
        <w:pStyle w:val="3"/>
        <w:spacing w:before="312" w:beforeLines="100" w:after="468" w:afterLines="150" w:line="360" w:lineRule="exact"/>
        <w:jc w:val="center"/>
        <w:outlineLvl w:val="3"/>
        <w:rPr>
          <w:rFonts w:hint="eastAsia" w:ascii="宋体" w:hAnsi="宋体" w:cs="宋体"/>
          <w:color w:val="auto"/>
          <w:sz w:val="28"/>
          <w:szCs w:val="28"/>
          <w:highlight w:val="none"/>
        </w:rPr>
      </w:pPr>
      <w:bookmarkStart w:id="107" w:name="_Toc361842863"/>
      <w:bookmarkStart w:id="108" w:name="_Toc20210535"/>
      <w:bookmarkStart w:id="109" w:name="_Toc234382962"/>
      <w:bookmarkStart w:id="110" w:name="_Toc403396863"/>
      <w:bookmarkStart w:id="111" w:name="_Toc27506"/>
      <w:r>
        <w:rPr>
          <w:rFonts w:hint="eastAsia" w:ascii="宋体" w:hAnsi="宋体" w:cs="宋体"/>
          <w:color w:val="auto"/>
          <w:sz w:val="28"/>
          <w:szCs w:val="28"/>
          <w:highlight w:val="none"/>
        </w:rPr>
        <w:t>1、法定代表人身份证明</w:t>
      </w:r>
      <w:bookmarkEnd w:id="107"/>
      <w:bookmarkEnd w:id="108"/>
      <w:bookmarkEnd w:id="109"/>
      <w:bookmarkEnd w:id="110"/>
      <w:bookmarkEnd w:id="111"/>
    </w:p>
    <w:p w14:paraId="1C25A368">
      <w:pPr>
        <w:rPr>
          <w:rFonts w:hint="eastAsia" w:ascii="宋体" w:hAnsi="宋体" w:cs="宋体"/>
          <w:color w:val="auto"/>
          <w:sz w:val="24"/>
          <w:highlight w:val="none"/>
        </w:rPr>
      </w:pPr>
    </w:p>
    <w:p w14:paraId="0F71465B">
      <w:pPr>
        <w:rPr>
          <w:rFonts w:hint="eastAsia" w:ascii="宋体" w:hAnsi="宋体" w:cs="宋体"/>
          <w:color w:val="auto"/>
          <w:sz w:val="24"/>
          <w:highlight w:val="none"/>
        </w:rPr>
      </w:pPr>
    </w:p>
    <w:p w14:paraId="7217E444">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 xml:space="preserve">                        </w:t>
      </w:r>
    </w:p>
    <w:p w14:paraId="42AD11F7">
      <w:pPr>
        <w:spacing w:line="500" w:lineRule="exact"/>
        <w:rPr>
          <w:rFonts w:hint="eastAsia" w:ascii="宋体" w:hAnsi="宋体" w:cs="宋体"/>
          <w:color w:val="auto"/>
          <w:sz w:val="21"/>
          <w:szCs w:val="21"/>
          <w:highlight w:val="none"/>
          <w:u w:val="single"/>
        </w:rPr>
      </w:pPr>
      <w:r>
        <w:rPr>
          <w:rFonts w:hint="eastAsia" w:ascii="宋体" w:hAnsi="宋体" w:cs="宋体"/>
          <w:color w:val="auto"/>
          <w:spacing w:val="40"/>
          <w:kern w:val="0"/>
          <w:sz w:val="21"/>
          <w:szCs w:val="21"/>
          <w:highlight w:val="none"/>
        </w:rPr>
        <w:t>单位性</w:t>
      </w:r>
      <w:r>
        <w:rPr>
          <w:rFonts w:hint="eastAsia" w:ascii="宋体" w:hAnsi="宋体" w:cs="宋体"/>
          <w:color w:val="auto"/>
          <w:kern w:val="0"/>
          <w:sz w:val="21"/>
          <w:szCs w:val="21"/>
          <w:highlight w:val="none"/>
        </w:rPr>
        <w:t>质</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64A8886C">
      <w:pPr>
        <w:spacing w:line="500" w:lineRule="exact"/>
        <w:rPr>
          <w:rFonts w:hint="eastAsia" w:ascii="宋体" w:hAnsi="宋体" w:cs="宋体"/>
          <w:color w:val="auto"/>
          <w:sz w:val="21"/>
          <w:szCs w:val="21"/>
          <w:highlight w:val="none"/>
        </w:rPr>
      </w:pPr>
      <w:r>
        <w:rPr>
          <w:rFonts w:hint="eastAsia" w:ascii="宋体" w:hAnsi="宋体" w:cs="宋体"/>
          <w:color w:val="auto"/>
          <w:spacing w:val="360"/>
          <w:kern w:val="0"/>
          <w:sz w:val="21"/>
          <w:szCs w:val="21"/>
          <w:highlight w:val="none"/>
        </w:rPr>
        <w:t>地</w:t>
      </w:r>
      <w:r>
        <w:rPr>
          <w:rFonts w:hint="eastAsia" w:ascii="宋体" w:hAnsi="宋体" w:cs="宋体"/>
          <w:color w:val="auto"/>
          <w:kern w:val="0"/>
          <w:sz w:val="21"/>
          <w:szCs w:val="21"/>
          <w:highlight w:val="none"/>
        </w:rPr>
        <w:t>址</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3AD0AAB">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E9418EA">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66F43B3E">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（法定代表人亲笔签名）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 xml:space="preserve">        </w:t>
      </w:r>
    </w:p>
    <w:p w14:paraId="405A9467">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名称）的法定代表人。</w:t>
      </w:r>
    </w:p>
    <w:p w14:paraId="39D0700F">
      <w:pPr>
        <w:spacing w:line="500" w:lineRule="exact"/>
        <w:ind w:firstLine="420" w:firstLineChars="200"/>
        <w:rPr>
          <w:rFonts w:hint="eastAsia" w:ascii="宋体" w:hAnsi="宋体" w:cs="宋体"/>
          <w:color w:val="auto"/>
          <w:sz w:val="21"/>
          <w:szCs w:val="21"/>
          <w:highlight w:val="none"/>
        </w:rPr>
      </w:pPr>
    </w:p>
    <w:p w14:paraId="6B3F1A76">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4267BAC5">
      <w:pPr>
        <w:spacing w:line="500" w:lineRule="exact"/>
        <w:rPr>
          <w:rFonts w:hint="eastAsia" w:ascii="宋体" w:hAnsi="宋体" w:cs="宋体"/>
          <w:color w:val="auto"/>
          <w:sz w:val="21"/>
          <w:szCs w:val="21"/>
          <w:highlight w:val="none"/>
        </w:rPr>
      </w:pPr>
    </w:p>
    <w:p w14:paraId="003CB23E">
      <w:pPr>
        <w:spacing w:line="500" w:lineRule="exact"/>
        <w:rPr>
          <w:rFonts w:hint="eastAsia" w:ascii="宋体" w:hAnsi="宋体" w:cs="宋体"/>
          <w:color w:val="auto"/>
          <w:sz w:val="21"/>
          <w:szCs w:val="21"/>
          <w:highlight w:val="none"/>
        </w:rPr>
      </w:pPr>
    </w:p>
    <w:p w14:paraId="75FEC458">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CA电子签章</w:t>
      </w:r>
      <w:r>
        <w:rPr>
          <w:rFonts w:hint="eastAsia" w:ascii="宋体" w:hAnsi="宋体" w:cs="宋体"/>
          <w:color w:val="auto"/>
          <w:sz w:val="21"/>
          <w:szCs w:val="21"/>
          <w:highlight w:val="none"/>
        </w:rPr>
        <w:t>）</w:t>
      </w:r>
    </w:p>
    <w:p w14:paraId="79FA565C">
      <w:pPr>
        <w:spacing w:line="500" w:lineRule="exact"/>
        <w:rPr>
          <w:rFonts w:hint="eastAsia" w:ascii="宋体" w:hAnsi="宋体" w:cs="宋体"/>
          <w:color w:val="auto"/>
          <w:sz w:val="21"/>
          <w:szCs w:val="21"/>
          <w:highlight w:val="none"/>
        </w:rPr>
      </w:pPr>
    </w:p>
    <w:p w14:paraId="2E90D9FA">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3A8F89B5">
      <w:pPr>
        <w:spacing w:line="400" w:lineRule="exact"/>
        <w:rPr>
          <w:rFonts w:hint="eastAsia" w:ascii="宋体" w:hAnsi="宋体" w:cs="宋体"/>
          <w:color w:val="auto"/>
          <w:sz w:val="24"/>
          <w:highlight w:val="none"/>
        </w:rPr>
      </w:pPr>
    </w:p>
    <w:p w14:paraId="477F2231">
      <w:pPr>
        <w:rPr>
          <w:rFonts w:hint="eastAsia" w:ascii="宋体" w:hAnsi="宋体" w:cs="宋体"/>
          <w:color w:val="auto"/>
          <w:sz w:val="24"/>
          <w:highlight w:val="none"/>
        </w:rPr>
      </w:pPr>
    </w:p>
    <w:p w14:paraId="61EC445B">
      <w:pPr>
        <w:rPr>
          <w:rFonts w:hint="eastAsia" w:ascii="宋体" w:hAnsi="宋体" w:cs="宋体"/>
          <w:color w:val="auto"/>
          <w:sz w:val="24"/>
          <w:highlight w:val="none"/>
        </w:rPr>
      </w:pPr>
    </w:p>
    <w:p w14:paraId="0BD7AF0A">
      <w:pPr>
        <w:rPr>
          <w:rFonts w:hint="eastAsia" w:ascii="宋体" w:hAnsi="宋体" w:cs="宋体"/>
          <w:color w:val="auto"/>
          <w:sz w:val="24"/>
          <w:highlight w:val="none"/>
        </w:rPr>
      </w:pPr>
    </w:p>
    <w:p w14:paraId="1F30CB8F">
      <w:pPr>
        <w:rPr>
          <w:rFonts w:hint="eastAsia" w:ascii="宋体" w:hAnsi="宋体" w:cs="宋体"/>
          <w:color w:val="auto"/>
          <w:sz w:val="24"/>
          <w:highlight w:val="none"/>
        </w:rPr>
      </w:pPr>
      <w:r>
        <w:rPr>
          <w:rFonts w:hint="eastAsia" w:ascii="宋体" w:hAnsi="宋体" w:cs="宋体"/>
          <w:color w:val="auto"/>
          <w:sz w:val="24"/>
          <w:highlight w:val="none"/>
        </w:rPr>
        <w:t>注：法定代表人的签字必须是亲笔签名，不得使用印章、签名章或其他电子制版签名，否则投标无效。</w:t>
      </w:r>
    </w:p>
    <w:p w14:paraId="278892DE">
      <w:pPr>
        <w:rPr>
          <w:rFonts w:hint="eastAsia" w:ascii="宋体" w:hAnsi="宋体" w:cs="宋体"/>
          <w:color w:val="auto"/>
          <w:sz w:val="24"/>
          <w:highlight w:val="none"/>
        </w:rPr>
      </w:pPr>
    </w:p>
    <w:p w14:paraId="24D2E936">
      <w:pPr>
        <w:jc w:val="center"/>
        <w:rPr>
          <w:rFonts w:hint="eastAsia" w:ascii="宋体" w:hAnsi="宋体" w:cs="宋体"/>
          <w:color w:val="auto"/>
          <w:sz w:val="24"/>
          <w:highlight w:val="none"/>
        </w:rPr>
      </w:pPr>
    </w:p>
    <w:p w14:paraId="6F6CB0E3">
      <w:pPr>
        <w:jc w:val="center"/>
        <w:rPr>
          <w:rFonts w:hint="eastAsia" w:ascii="宋体" w:hAnsi="宋体" w:cs="宋体"/>
          <w:color w:val="auto"/>
          <w:sz w:val="24"/>
          <w:highlight w:val="none"/>
        </w:rPr>
      </w:pPr>
    </w:p>
    <w:p w14:paraId="5FF468C9">
      <w:pPr>
        <w:jc w:val="center"/>
        <w:rPr>
          <w:rFonts w:hint="eastAsia" w:ascii="宋体" w:hAnsi="宋体" w:cs="宋体"/>
          <w:color w:val="auto"/>
          <w:sz w:val="24"/>
          <w:highlight w:val="none"/>
        </w:rPr>
      </w:pPr>
    </w:p>
    <w:p w14:paraId="4F3899EA">
      <w:pPr>
        <w:jc w:val="center"/>
        <w:rPr>
          <w:rFonts w:hint="eastAsia" w:ascii="宋体" w:hAnsi="宋体" w:cs="宋体"/>
          <w:color w:val="auto"/>
          <w:sz w:val="24"/>
          <w:highlight w:val="none"/>
        </w:rPr>
      </w:pPr>
    </w:p>
    <w:p w14:paraId="52775ED4">
      <w:pPr>
        <w:jc w:val="center"/>
        <w:rPr>
          <w:rFonts w:hint="eastAsia" w:ascii="宋体" w:hAnsi="宋体" w:cs="宋体"/>
          <w:color w:val="auto"/>
          <w:sz w:val="24"/>
          <w:highlight w:val="none"/>
        </w:rPr>
      </w:pPr>
    </w:p>
    <w:p w14:paraId="1DF58457">
      <w:pPr>
        <w:jc w:val="center"/>
        <w:rPr>
          <w:rFonts w:hint="eastAsia" w:ascii="宋体" w:hAnsi="宋体" w:cs="宋体"/>
          <w:color w:val="auto"/>
          <w:sz w:val="24"/>
          <w:highlight w:val="none"/>
        </w:rPr>
      </w:pPr>
    </w:p>
    <w:p w14:paraId="78DEF8DC">
      <w:pPr>
        <w:jc w:val="center"/>
        <w:rPr>
          <w:rFonts w:hint="eastAsia" w:ascii="宋体" w:hAnsi="宋体" w:cs="宋体"/>
          <w:color w:val="auto"/>
          <w:sz w:val="24"/>
          <w:highlight w:val="none"/>
        </w:rPr>
      </w:pPr>
    </w:p>
    <w:p w14:paraId="16EFDED2">
      <w:pPr>
        <w:rPr>
          <w:rFonts w:hint="eastAsia" w:ascii="宋体" w:hAnsi="宋体" w:cs="宋体"/>
          <w:color w:val="auto"/>
          <w:sz w:val="24"/>
          <w:highlight w:val="none"/>
        </w:rPr>
      </w:pPr>
    </w:p>
    <w:p w14:paraId="2B1C64C0">
      <w:pPr>
        <w:jc w:val="center"/>
        <w:outlineLvl w:val="3"/>
        <w:rPr>
          <w:rFonts w:hint="eastAsia" w:ascii="宋体" w:hAnsi="宋体" w:cs="宋体"/>
          <w:b/>
          <w:color w:val="auto"/>
          <w:sz w:val="32"/>
          <w:szCs w:val="32"/>
          <w:highlight w:val="none"/>
        </w:rPr>
      </w:pPr>
      <w:r>
        <w:rPr>
          <w:rFonts w:hint="eastAsia" w:ascii="宋体" w:hAnsi="宋体" w:cs="宋体"/>
          <w:b/>
          <w:bCs/>
          <w:color w:val="auto"/>
          <w:kern w:val="44"/>
          <w:sz w:val="28"/>
          <w:szCs w:val="28"/>
          <w:highlight w:val="none"/>
        </w:rPr>
        <w:t>2、授权委托书</w:t>
      </w:r>
    </w:p>
    <w:p w14:paraId="2DFC42CE">
      <w:pPr>
        <w:spacing w:line="500" w:lineRule="exact"/>
        <w:rPr>
          <w:rFonts w:hint="eastAsia" w:ascii="宋体" w:hAnsi="宋体" w:cs="宋体"/>
          <w:color w:val="auto"/>
          <w:sz w:val="24"/>
          <w:highlight w:val="none"/>
        </w:rPr>
      </w:pPr>
    </w:p>
    <w:p w14:paraId="3F6DC2DD">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名称）的法定代表人，现委托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（姓名）为我方代理人。代理人根据授权，以我方名义签署、澄清、递交、撤回、修改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、签订合同和处理有关事宜，其法律后果由我方承担。</w:t>
      </w:r>
    </w:p>
    <w:p w14:paraId="2CFB47DE">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委托期限：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1E46645">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代理人无转委托权。 </w:t>
      </w:r>
    </w:p>
    <w:p w14:paraId="523543F2">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附：法定代表人身份证明</w:t>
      </w:r>
    </w:p>
    <w:p w14:paraId="58CC2CB6">
      <w:pPr>
        <w:spacing w:line="500" w:lineRule="exact"/>
        <w:rPr>
          <w:rFonts w:hint="eastAsia" w:ascii="宋体" w:hAnsi="宋体" w:cs="宋体"/>
          <w:color w:val="auto"/>
          <w:sz w:val="21"/>
          <w:szCs w:val="21"/>
          <w:highlight w:val="none"/>
        </w:rPr>
      </w:pPr>
    </w:p>
    <w:p w14:paraId="0328DB61">
      <w:pPr>
        <w:spacing w:line="500" w:lineRule="exact"/>
        <w:rPr>
          <w:rFonts w:hint="eastAsia" w:ascii="宋体" w:hAnsi="宋体" w:cs="宋体"/>
          <w:color w:val="auto"/>
          <w:sz w:val="21"/>
          <w:szCs w:val="21"/>
          <w:highlight w:val="none"/>
        </w:rPr>
      </w:pPr>
    </w:p>
    <w:p w14:paraId="1432CCB1">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pacing w:val="121"/>
          <w:kern w:val="0"/>
          <w:sz w:val="21"/>
          <w:szCs w:val="21"/>
          <w:highlight w:val="none"/>
        </w:rPr>
        <w:t>申请</w:t>
      </w:r>
      <w:r>
        <w:rPr>
          <w:rFonts w:hint="eastAsia" w:ascii="宋体" w:hAnsi="宋体" w:cs="宋体"/>
          <w:color w:val="auto"/>
          <w:spacing w:val="-1"/>
          <w:kern w:val="0"/>
          <w:sz w:val="21"/>
          <w:szCs w:val="21"/>
          <w:highlight w:val="none"/>
        </w:rPr>
        <w:t>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CA电子签章</w:t>
      </w:r>
      <w:r>
        <w:rPr>
          <w:rFonts w:hint="eastAsia" w:ascii="宋体" w:hAnsi="宋体" w:cs="宋体"/>
          <w:color w:val="auto"/>
          <w:sz w:val="21"/>
          <w:szCs w:val="21"/>
          <w:highlight w:val="none"/>
        </w:rPr>
        <w:t>）</w:t>
      </w:r>
    </w:p>
    <w:p w14:paraId="601179E6">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val="en-US" w:eastAsia="zh-CN"/>
        </w:rPr>
        <w:t>或电子签名</w:t>
      </w:r>
      <w:r>
        <w:rPr>
          <w:rFonts w:hint="eastAsia" w:ascii="宋体" w:hAnsi="宋体" w:cs="宋体"/>
          <w:color w:val="auto"/>
          <w:sz w:val="21"/>
          <w:szCs w:val="21"/>
          <w:highlight w:val="none"/>
        </w:rPr>
        <w:t>）</w:t>
      </w:r>
    </w:p>
    <w:p w14:paraId="78F0FC5C">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身份证号码：</w:t>
      </w:r>
      <w:r>
        <w:rPr>
          <w:rFonts w:hint="eastAsia" w:ascii="宋体" w:hAnsi="宋体" w:cs="宋体"/>
          <w:color w:val="auto"/>
          <w:sz w:val="21"/>
          <w:szCs w:val="21"/>
          <w:highlight w:val="none"/>
          <w:u w:val="single"/>
        </w:rPr>
        <w:t xml:space="preserve">                           </w:t>
      </w:r>
    </w:p>
    <w:p w14:paraId="26B1CEDD">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val="en-US" w:eastAsia="zh-CN"/>
        </w:rPr>
        <w:t>或电子签名</w:t>
      </w:r>
      <w:r>
        <w:rPr>
          <w:rFonts w:hint="eastAsia" w:ascii="宋体" w:hAnsi="宋体" w:cs="宋体"/>
          <w:color w:val="auto"/>
          <w:sz w:val="21"/>
          <w:szCs w:val="21"/>
          <w:highlight w:val="none"/>
        </w:rPr>
        <w:t>）</w:t>
      </w:r>
    </w:p>
    <w:p w14:paraId="4DEF3834">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身份证号码：</w:t>
      </w:r>
      <w:r>
        <w:rPr>
          <w:rFonts w:hint="eastAsia" w:ascii="宋体" w:hAnsi="宋体" w:cs="宋体"/>
          <w:color w:val="auto"/>
          <w:sz w:val="21"/>
          <w:szCs w:val="21"/>
          <w:highlight w:val="none"/>
          <w:u w:val="single"/>
        </w:rPr>
        <w:t xml:space="preserve">                           </w:t>
      </w:r>
    </w:p>
    <w:p w14:paraId="61DCCC3B">
      <w:pPr>
        <w:spacing w:line="500" w:lineRule="exact"/>
        <w:rPr>
          <w:rFonts w:hint="eastAsia" w:ascii="宋体" w:hAnsi="宋体" w:cs="宋体"/>
          <w:color w:val="auto"/>
          <w:sz w:val="21"/>
          <w:szCs w:val="21"/>
          <w:highlight w:val="none"/>
        </w:rPr>
      </w:pPr>
    </w:p>
    <w:p w14:paraId="5BB2FAFF">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8585FAA">
      <w:pPr>
        <w:spacing w:line="500" w:lineRule="exact"/>
        <w:rPr>
          <w:rFonts w:hint="eastAsia" w:ascii="宋体" w:hAnsi="宋体" w:cs="宋体"/>
          <w:color w:val="auto"/>
          <w:sz w:val="21"/>
          <w:szCs w:val="21"/>
          <w:highlight w:val="none"/>
        </w:rPr>
      </w:pPr>
    </w:p>
    <w:p w14:paraId="373D3CC2">
      <w:pPr>
        <w:rPr>
          <w:rFonts w:hint="eastAsia" w:ascii="宋体" w:hAnsi="宋体" w:cs="宋体"/>
          <w:color w:val="auto"/>
          <w:sz w:val="21"/>
          <w:szCs w:val="21"/>
          <w:highlight w:val="none"/>
        </w:rPr>
      </w:pPr>
    </w:p>
    <w:p w14:paraId="742E4219">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注：法定代表人和委托代理人必须在授权书上亲笔签名，不得使用印章、签名章或其他电子制版签名，否则投标无效。</w:t>
      </w:r>
    </w:p>
    <w:p w14:paraId="60B50E11">
      <w:pPr>
        <w:spacing w:line="320" w:lineRule="exact"/>
        <w:jc w:val="center"/>
        <w:rPr>
          <w:rFonts w:hint="eastAsia" w:ascii="微软雅黑" w:hAnsi="微软雅黑" w:eastAsia="微软雅黑" w:cs="微软雅黑"/>
          <w:b/>
          <w:color w:val="auto"/>
          <w:sz w:val="28"/>
          <w:szCs w:val="28"/>
          <w:highlight w:val="none"/>
        </w:rPr>
      </w:pPr>
      <w:r>
        <w:rPr>
          <w:rFonts w:hint="eastAsia" w:ascii="宋体" w:hAnsi="宋体" w:cs="宋体"/>
          <w:color w:val="auto"/>
          <w:sz w:val="24"/>
          <w:highlight w:val="none"/>
        </w:rPr>
        <w:br w:type="page"/>
      </w:r>
      <w:r>
        <w:rPr>
          <w:rFonts w:hint="eastAsia" w:ascii="微软雅黑" w:hAnsi="微软雅黑" w:eastAsia="微软雅黑" w:cs="微软雅黑"/>
          <w:b/>
          <w:color w:val="auto"/>
          <w:sz w:val="28"/>
          <w:szCs w:val="28"/>
          <w:highlight w:val="none"/>
        </w:rPr>
        <w:t>供应商直接控股、管理关系信息表</w:t>
      </w:r>
    </w:p>
    <w:p w14:paraId="4FF0750D">
      <w:pPr>
        <w:snapToGrid w:val="0"/>
        <w:spacing w:before="120" w:beforeLines="50" w:after="50" w:line="360" w:lineRule="auto"/>
        <w:jc w:val="center"/>
        <w:rPr>
          <w:rFonts w:hint="eastAsia" w:ascii="微软雅黑" w:hAnsi="微软雅黑" w:eastAsia="微软雅黑" w:cs="微软雅黑"/>
          <w:b/>
          <w:color w:val="auto"/>
          <w:sz w:val="24"/>
          <w:highlight w:val="none"/>
        </w:rPr>
      </w:pPr>
    </w:p>
    <w:p w14:paraId="1337D158">
      <w:pPr>
        <w:spacing w:line="360" w:lineRule="auto"/>
        <w:contextualSpacing/>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供应商直接控股股东信息表</w:t>
      </w:r>
    </w:p>
    <w:p w14:paraId="05804F1D">
      <w:pPr>
        <w:spacing w:line="360" w:lineRule="auto"/>
        <w:contextualSpacing/>
        <w:jc w:val="center"/>
        <w:rPr>
          <w:rFonts w:hint="eastAsia" w:ascii="微软雅黑" w:hAnsi="微软雅黑" w:eastAsia="微软雅黑" w:cs="微软雅黑"/>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AB36D5C">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45D246">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75056">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5DFEF">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13F40C">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F2FE7F">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备注</w:t>
            </w:r>
          </w:p>
        </w:tc>
      </w:tr>
      <w:tr w14:paraId="08ABA2F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F77A2">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28A00F">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8E2B5">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E7FC0D">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1D84D9">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5DE6328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889F1">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CE7C9A">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B5E0F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09941C">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65FE3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225BE67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F8CD6D">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6C3BBD">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E40E6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0FAA4D">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A0592D">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76C7DB6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FE5C20">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E452A">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9AE5B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5CC83F">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24617C">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bl>
    <w:p w14:paraId="181679CA">
      <w:pPr>
        <w:spacing w:line="360" w:lineRule="auto"/>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16BE0659">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CCDFE0">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2.本表所指的控股关系仅限于直接控股关系，不包括间接的控股关系。公司实际控制人与公司之间的关系不属于本表所指的直接控股关系。</w:t>
      </w:r>
    </w:p>
    <w:p w14:paraId="2D6C72F4">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3.供应商不存在直接控股股东的，则在“直接控股股东名称”填“无”。</w:t>
      </w:r>
    </w:p>
    <w:p w14:paraId="70F90890">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p>
    <w:p w14:paraId="69F1E024">
      <w:pPr>
        <w:spacing w:line="360" w:lineRule="auto"/>
        <w:ind w:right="480"/>
        <w:contextualSpacing/>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法定代表人或者</w:t>
      </w:r>
      <w:r>
        <w:rPr>
          <w:rFonts w:hint="eastAsia" w:ascii="微软雅黑" w:hAnsi="微软雅黑" w:eastAsia="微软雅黑" w:cs="微软雅黑"/>
          <w:color w:val="auto"/>
          <w:sz w:val="21"/>
          <w:szCs w:val="21"/>
          <w:highlight w:val="none"/>
          <w:lang w:val="en-US" w:eastAsia="zh-CN"/>
        </w:rPr>
        <w:t>其</w:t>
      </w:r>
      <w:r>
        <w:rPr>
          <w:rFonts w:hint="eastAsia" w:ascii="微软雅黑" w:hAnsi="微软雅黑" w:eastAsia="微软雅黑" w:cs="微软雅黑"/>
          <w:color w:val="auto"/>
          <w:sz w:val="21"/>
          <w:szCs w:val="21"/>
          <w:highlight w:val="none"/>
        </w:rPr>
        <w:t>委托代理人（签字或者电子签名）：</w:t>
      </w:r>
      <w:r>
        <w:rPr>
          <w:rFonts w:hint="eastAsia" w:ascii="微软雅黑" w:hAnsi="微软雅黑" w:eastAsia="微软雅黑" w:cs="微软雅黑"/>
          <w:color w:val="auto"/>
          <w:sz w:val="21"/>
          <w:szCs w:val="21"/>
          <w:highlight w:val="none"/>
          <w:u w:val="single"/>
        </w:rPr>
        <w:t xml:space="preserve">                    </w:t>
      </w:r>
    </w:p>
    <w:p w14:paraId="34EBD861">
      <w:pPr>
        <w:spacing w:line="360" w:lineRule="auto"/>
        <w:ind w:right="480" w:firstLine="2625" w:firstLineChars="1250"/>
        <w:contextualSpacing/>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z w:val="21"/>
          <w:szCs w:val="21"/>
          <w:highlight w:val="none"/>
          <w:lang w:val="en-US" w:eastAsia="zh-CN"/>
        </w:rPr>
        <w:t>CA</w:t>
      </w:r>
      <w:r>
        <w:rPr>
          <w:rFonts w:hint="eastAsia" w:ascii="微软雅黑" w:hAnsi="微软雅黑" w:eastAsia="微软雅黑" w:cs="微软雅黑"/>
          <w:color w:val="auto"/>
          <w:sz w:val="21"/>
          <w:szCs w:val="21"/>
          <w:highlight w:val="none"/>
        </w:rPr>
        <w:t xml:space="preserve">电子签章）： </w:t>
      </w:r>
      <w:r>
        <w:rPr>
          <w:rFonts w:hint="eastAsia" w:ascii="微软雅黑" w:hAnsi="微软雅黑" w:eastAsia="微软雅黑" w:cs="微软雅黑"/>
          <w:color w:val="auto"/>
          <w:sz w:val="21"/>
          <w:szCs w:val="21"/>
          <w:highlight w:val="none"/>
          <w:u w:val="single"/>
        </w:rPr>
        <w:t xml:space="preserve">                              </w:t>
      </w:r>
    </w:p>
    <w:p w14:paraId="5708D85E">
      <w:pPr>
        <w:spacing w:line="360" w:lineRule="auto"/>
        <w:ind w:firstLine="420" w:firstLineChars="200"/>
        <w:contextualSpacing/>
        <w:jc w:val="right"/>
        <w:rPr>
          <w:rFonts w:hint="eastAsia" w:ascii="宋体" w:hAnsi="宋体" w:cs="宋体"/>
          <w:color w:val="auto"/>
          <w:sz w:val="21"/>
          <w:szCs w:val="21"/>
          <w:highlight w:val="none"/>
        </w:rPr>
      </w:pPr>
      <w:r>
        <w:rPr>
          <w:rFonts w:hint="eastAsia" w:ascii="微软雅黑" w:hAnsi="微软雅黑" w:eastAsia="微软雅黑" w:cs="微软雅黑"/>
          <w:color w:val="auto"/>
          <w:sz w:val="21"/>
          <w:szCs w:val="21"/>
          <w:highlight w:val="none"/>
        </w:rPr>
        <w:t>年    月    日</w:t>
      </w:r>
    </w:p>
    <w:p w14:paraId="67C50516">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0FB07BC">
      <w:pPr>
        <w:spacing w:line="360" w:lineRule="auto"/>
        <w:contextualSpacing/>
        <w:jc w:val="center"/>
        <w:outlineLvl w:val="4"/>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供应商直接管理关系信息表</w:t>
      </w:r>
    </w:p>
    <w:p w14:paraId="294D902B">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C171A0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C6121F">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062E86">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2C87E">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3F71FF">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相互关系</w:t>
            </w:r>
          </w:p>
        </w:tc>
      </w:tr>
      <w:tr w14:paraId="5AA34E1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4AB2C">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D6F3A2">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9A46A1">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75B53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0DC32EA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6925C5">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30644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4A813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F55B6">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3144FA3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CBBAF">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42D61">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2EA346">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C359F6">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77B2137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490AC7">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D50BD1">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3481BA">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B4CD96">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bl>
    <w:p w14:paraId="51BC9765">
      <w:pPr>
        <w:spacing w:line="360" w:lineRule="auto"/>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210299CD">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1.管理关系：是指不具有出资持股关系的其他单位之间存在的管理与被管理关系，如一些上下级关系的事业单位和团体组织。</w:t>
      </w:r>
    </w:p>
    <w:p w14:paraId="0F51BD71">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pacing w:val="-6"/>
          <w:sz w:val="21"/>
          <w:szCs w:val="21"/>
          <w:highlight w:val="none"/>
        </w:rPr>
        <w:t>本表所指的管理关系仅限于直接管理关系，不包括间接的管理关系。</w:t>
      </w:r>
    </w:p>
    <w:p w14:paraId="3E5CA1DE">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3.供应商不存在直接管理关系的，则在“直接管理关系单位名称”填“无”。</w:t>
      </w:r>
    </w:p>
    <w:p w14:paraId="44D1120B">
      <w:pPr>
        <w:spacing w:line="360" w:lineRule="auto"/>
        <w:contextualSpacing/>
        <w:jc w:val="left"/>
        <w:rPr>
          <w:rFonts w:hint="eastAsia" w:ascii="微软雅黑" w:hAnsi="微软雅黑" w:eastAsia="微软雅黑" w:cs="微软雅黑"/>
          <w:color w:val="auto"/>
          <w:sz w:val="21"/>
          <w:szCs w:val="21"/>
          <w:highlight w:val="none"/>
        </w:rPr>
      </w:pPr>
    </w:p>
    <w:p w14:paraId="43CD331A">
      <w:pPr>
        <w:spacing w:line="360" w:lineRule="auto"/>
        <w:contextualSpacing/>
        <w:jc w:val="left"/>
        <w:rPr>
          <w:rFonts w:hint="eastAsia" w:ascii="微软雅黑" w:hAnsi="微软雅黑" w:eastAsia="微软雅黑" w:cs="微软雅黑"/>
          <w:color w:val="auto"/>
          <w:sz w:val="21"/>
          <w:szCs w:val="21"/>
          <w:highlight w:val="none"/>
        </w:rPr>
      </w:pPr>
    </w:p>
    <w:p w14:paraId="1826B3ED">
      <w:pPr>
        <w:spacing w:line="360" w:lineRule="auto"/>
        <w:ind w:right="480"/>
        <w:contextualSpacing/>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法定代表人或者</w:t>
      </w:r>
      <w:r>
        <w:rPr>
          <w:rFonts w:hint="eastAsia" w:ascii="微软雅黑" w:hAnsi="微软雅黑" w:eastAsia="微软雅黑" w:cs="微软雅黑"/>
          <w:color w:val="auto"/>
          <w:sz w:val="21"/>
          <w:szCs w:val="21"/>
          <w:highlight w:val="none"/>
          <w:lang w:val="en-US" w:eastAsia="zh-CN"/>
        </w:rPr>
        <w:t>其</w:t>
      </w:r>
      <w:r>
        <w:rPr>
          <w:rFonts w:hint="eastAsia" w:ascii="微软雅黑" w:hAnsi="微软雅黑" w:eastAsia="微软雅黑" w:cs="微软雅黑"/>
          <w:color w:val="auto"/>
          <w:sz w:val="21"/>
          <w:szCs w:val="21"/>
          <w:highlight w:val="none"/>
        </w:rPr>
        <w:t>委托代理人（签字或者电子签名）：</w:t>
      </w:r>
      <w:r>
        <w:rPr>
          <w:rFonts w:hint="eastAsia" w:ascii="微软雅黑" w:hAnsi="微软雅黑" w:eastAsia="微软雅黑" w:cs="微软雅黑"/>
          <w:color w:val="auto"/>
          <w:sz w:val="21"/>
          <w:szCs w:val="21"/>
          <w:highlight w:val="none"/>
          <w:u w:val="single"/>
        </w:rPr>
        <w:t xml:space="preserve">                   </w:t>
      </w:r>
    </w:p>
    <w:p w14:paraId="05F850EA">
      <w:pPr>
        <w:spacing w:line="360" w:lineRule="auto"/>
        <w:ind w:right="480" w:firstLine="2940" w:firstLineChars="1400"/>
        <w:contextualSpacing/>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z w:val="21"/>
          <w:szCs w:val="21"/>
          <w:highlight w:val="none"/>
          <w:lang w:val="en-US" w:eastAsia="zh-CN"/>
        </w:rPr>
        <w:t>CA</w:t>
      </w:r>
      <w:r>
        <w:rPr>
          <w:rFonts w:hint="eastAsia" w:ascii="微软雅黑" w:hAnsi="微软雅黑" w:eastAsia="微软雅黑" w:cs="微软雅黑"/>
          <w:color w:val="auto"/>
          <w:sz w:val="21"/>
          <w:szCs w:val="21"/>
          <w:highlight w:val="none"/>
        </w:rPr>
        <w:t>电子签章）：</w:t>
      </w:r>
      <w:r>
        <w:rPr>
          <w:rFonts w:hint="eastAsia" w:ascii="微软雅黑" w:hAnsi="微软雅黑" w:eastAsia="微软雅黑" w:cs="微软雅黑"/>
          <w:color w:val="auto"/>
          <w:sz w:val="21"/>
          <w:szCs w:val="21"/>
          <w:highlight w:val="none"/>
          <w:u w:val="single"/>
        </w:rPr>
        <w:t xml:space="preserve">                </w:t>
      </w:r>
    </w:p>
    <w:p w14:paraId="065A3AF7">
      <w:pPr>
        <w:rPr>
          <w:rFonts w:hint="eastAsia" w:ascii="宋体" w:hAnsi="宋体" w:cs="宋体"/>
          <w:color w:val="auto"/>
          <w:sz w:val="24"/>
          <w:highlight w:val="none"/>
        </w:rPr>
      </w:pPr>
      <w:r>
        <w:rPr>
          <w:rFonts w:hint="eastAsia" w:ascii="微软雅黑" w:hAnsi="微软雅黑" w:eastAsia="微软雅黑" w:cs="微软雅黑"/>
          <w:color w:val="auto"/>
          <w:sz w:val="21"/>
          <w:szCs w:val="21"/>
          <w:highlight w:val="none"/>
        </w:rPr>
        <w:t xml:space="preserve">                                        年    月    日</w:t>
      </w:r>
    </w:p>
    <w:p w14:paraId="39383B66">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2BBA935">
      <w:pPr>
        <w:spacing w:line="320" w:lineRule="exact"/>
        <w:jc w:val="center"/>
        <w:outlineLvl w:val="4"/>
        <w:rPr>
          <w:rFonts w:hint="eastAsia" w:ascii="宋体" w:hAnsi="宋体"/>
          <w:b/>
          <w:color w:val="auto"/>
          <w:sz w:val="32"/>
          <w:szCs w:val="32"/>
          <w:highlight w:val="none"/>
        </w:rPr>
      </w:pPr>
      <w:r>
        <w:rPr>
          <w:rFonts w:hint="eastAsia" w:ascii="宋体" w:hAnsi="宋体"/>
          <w:b/>
          <w:color w:val="auto"/>
          <w:sz w:val="32"/>
          <w:szCs w:val="32"/>
          <w:highlight w:val="none"/>
        </w:rPr>
        <w:t>竞标声明</w:t>
      </w:r>
    </w:p>
    <w:p w14:paraId="745FDD57">
      <w:pPr>
        <w:spacing w:line="320" w:lineRule="exact"/>
        <w:jc w:val="center"/>
        <w:rPr>
          <w:rFonts w:hint="eastAsia" w:ascii="宋体" w:hAnsi="宋体"/>
          <w:color w:val="auto"/>
          <w:sz w:val="24"/>
          <w:szCs w:val="20"/>
          <w:highlight w:val="none"/>
        </w:rPr>
      </w:pPr>
    </w:p>
    <w:p w14:paraId="6F4AE605">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14:paraId="3FF718FF">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（供应商名称）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F531349">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我方愿意参加贵方组织的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项目的竞标，为便于贵方公正、择优地确定成交供应商及其竞标产品和服务，我方就本次竞标有关事项郑重声明如下：</w:t>
      </w:r>
    </w:p>
    <w:p w14:paraId="3D745F59">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1.我方向贵方提交的所有响应文件、资料都是准确的和真实的。</w:t>
      </w:r>
    </w:p>
    <w:p w14:paraId="0144834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83F8A82">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3.在此，我方宣布同意如下：</w:t>
      </w:r>
    </w:p>
    <w:p w14:paraId="46203D0B">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（1）将按磋商文件的约定履行合同责任和义务；</w:t>
      </w:r>
    </w:p>
    <w:p w14:paraId="74D82F0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（2）已详细审查全部磋商文件，包括澄清或者更正公告（如有）；</w:t>
      </w:r>
    </w:p>
    <w:p w14:paraId="581D2BDE">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（3）同意提供按照贵方可能要求的与磋商有关的一切数据或者资料；</w:t>
      </w:r>
    </w:p>
    <w:p w14:paraId="39E9692B">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（4）响应磋商文件规定的竞标有效期。</w:t>
      </w:r>
    </w:p>
    <w:p w14:paraId="13643F0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4.我方承诺符合《中华人民共和国政府采购法》第二十二条规定：</w:t>
      </w:r>
    </w:p>
    <w:p w14:paraId="6F76013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09B0CDB1">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14:paraId="65D7E39E">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6406685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35739DA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F5161BD">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6F34A2B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E0EFC8">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548991">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内容中</w:t>
      </w:r>
      <w:r>
        <w:rPr>
          <w:rFonts w:hint="eastAsia" w:ascii="宋体" w:hAnsi="宋体" w:cs="宋体"/>
          <w:color w:val="auto"/>
          <w:sz w:val="21"/>
          <w:szCs w:val="21"/>
          <w:highlight w:val="none"/>
        </w:rPr>
        <w:t>未</w:t>
      </w:r>
      <w:r>
        <w:rPr>
          <w:rFonts w:hint="eastAsia" w:ascii="宋体" w:hAnsi="宋体" w:cs="宋体"/>
          <w:color w:val="auto"/>
          <w:kern w:val="0"/>
          <w:sz w:val="21"/>
          <w:szCs w:val="21"/>
          <w:highlight w:val="none"/>
        </w:rPr>
        <w:t>涉及商业秘密；</w:t>
      </w:r>
    </w:p>
    <w:p w14:paraId="6A3B204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涉及商业秘密的内容有：</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34476FDE">
      <w:pPr>
        <w:pStyle w:val="18"/>
        <w:spacing w:line="360" w:lineRule="auto"/>
        <w:ind w:firstLine="420" w:firstLineChars="200"/>
        <w:contextualSpacing/>
        <w:rPr>
          <w:rFonts w:hint="eastAsia" w:hAnsi="宋体" w:cs="宋体"/>
          <w:color w:val="auto"/>
          <w:sz w:val="21"/>
          <w:szCs w:val="21"/>
          <w:highlight w:val="none"/>
          <w:u w:val="single"/>
        </w:rPr>
      </w:pPr>
      <w:r>
        <w:rPr>
          <w:rFonts w:hint="eastAsia" w:hAnsi="宋体" w:cs="宋体"/>
          <w:color w:val="auto"/>
          <w:sz w:val="21"/>
          <w:szCs w:val="21"/>
          <w:highlight w:val="none"/>
        </w:rPr>
        <w:t>7.与本磋商有关的一切正式往来信函请寄：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邮政编号：</w:t>
      </w:r>
      <w:r>
        <w:rPr>
          <w:rFonts w:hint="eastAsia" w:hAnsi="宋体" w:cs="宋体"/>
          <w:color w:val="auto"/>
          <w:sz w:val="21"/>
          <w:szCs w:val="21"/>
          <w:highlight w:val="none"/>
          <w:u w:val="single"/>
        </w:rPr>
        <w:t xml:space="preserve">        </w:t>
      </w:r>
    </w:p>
    <w:p w14:paraId="63D713E4">
      <w:pPr>
        <w:pStyle w:val="18"/>
        <w:spacing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电话/传真：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电子函件：</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0A1EF5E8">
      <w:pPr>
        <w:pStyle w:val="16"/>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63D1EC4B">
      <w:pPr>
        <w:pStyle w:val="16"/>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708D02AB">
      <w:pPr>
        <w:pStyle w:val="16"/>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1879AA1B">
      <w:pPr>
        <w:pStyle w:val="16"/>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注：如为联合体竞标，盖章处须加盖联合体各方公章并由联合体各方法定代表人签署，否则其响应文件按无效响应处理。</w:t>
      </w:r>
    </w:p>
    <w:p w14:paraId="26453534">
      <w:pPr>
        <w:pStyle w:val="16"/>
        <w:tabs>
          <w:tab w:val="left" w:pos="939"/>
        </w:tabs>
        <w:spacing w:line="360" w:lineRule="auto"/>
        <w:ind w:left="0" w:leftChars="0" w:firstLine="420" w:firstLineChars="200"/>
        <w:rPr>
          <w:rFonts w:hint="eastAsia" w:ascii="宋体" w:hAnsi="宋体" w:cs="宋体"/>
          <w:color w:val="auto"/>
          <w:sz w:val="21"/>
          <w:szCs w:val="21"/>
          <w:highlight w:val="none"/>
        </w:rPr>
      </w:pPr>
    </w:p>
    <w:p w14:paraId="1D61DAE0">
      <w:pPr>
        <w:spacing w:line="360" w:lineRule="auto"/>
        <w:ind w:firstLine="3780" w:firstLineChars="1800"/>
        <w:contextualSpacing/>
        <w:rPr>
          <w:rFonts w:hint="eastAsia"/>
          <w:color w:val="auto"/>
          <w:sz w:val="21"/>
          <w:szCs w:val="21"/>
          <w:highlight w:val="none"/>
        </w:rPr>
      </w:pPr>
      <w:r>
        <w:rPr>
          <w:rFonts w:hint="eastAsia"/>
          <w:color w:val="auto"/>
          <w:sz w:val="21"/>
          <w:szCs w:val="21"/>
          <w:highlight w:val="none"/>
        </w:rPr>
        <w:t>法定代表人（签字</w:t>
      </w:r>
      <w:r>
        <w:rPr>
          <w:rFonts w:hint="eastAsia"/>
          <w:color w:val="auto"/>
          <w:sz w:val="21"/>
          <w:szCs w:val="21"/>
          <w:highlight w:val="none"/>
          <w:lang w:val="en-US" w:eastAsia="zh-CN"/>
        </w:rPr>
        <w:t>或电子签名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 xml:space="preserve">                                     </w:t>
      </w:r>
    </w:p>
    <w:p w14:paraId="11A4ECE5">
      <w:pPr>
        <w:spacing w:line="360" w:lineRule="auto"/>
        <w:ind w:firstLine="3780" w:firstLineChars="1800"/>
        <w:contextualSpacing/>
        <w:rPr>
          <w:rFonts w:hint="eastAsia" w:ascii="宋体" w:hAnsi="宋体" w:cs="宋体"/>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val="en-US" w:eastAsia="zh-CN"/>
        </w:rPr>
        <w:t>CA</w:t>
      </w:r>
      <w:r>
        <w:rPr>
          <w:rFonts w:hint="eastAsia"/>
          <w:color w:val="auto"/>
          <w:sz w:val="21"/>
          <w:szCs w:val="21"/>
          <w:highlight w:val="none"/>
        </w:rPr>
        <w:t>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60B5002B">
      <w:pPr>
        <w:pageBreakBefore w:val="0"/>
        <w:kinsoku/>
        <w:wordWrap/>
        <w:topLinePunct w:val="0"/>
        <w:bidi w:val="0"/>
        <w:spacing w:line="312" w:lineRule="auto"/>
        <w:ind w:right="480" w:firstLine="210" w:firstLineChars="100"/>
        <w:contextualSpacing/>
        <w:jc w:val="center"/>
        <w:rPr>
          <w:rFonts w:ascii="宋体" w:hAnsi="宋体"/>
          <w:color w:val="auto"/>
          <w:sz w:val="28"/>
          <w:szCs w:val="28"/>
          <w:highlight w:val="none"/>
        </w:rPr>
      </w:pP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14:paraId="13D7D4BA">
      <w:pPr>
        <w:pStyle w:val="8"/>
        <w:pageBreakBefore w:val="0"/>
        <w:kinsoku/>
        <w:wordWrap/>
        <w:overflowPunct w:val="0"/>
        <w:topLinePunct w:val="0"/>
        <w:bidi w:val="0"/>
        <w:spacing w:line="312" w:lineRule="auto"/>
        <w:ind w:firstLine="0"/>
        <w:rPr>
          <w:rFonts w:ascii="宋体" w:hAnsi="宋体"/>
          <w:b/>
          <w:bCs/>
          <w:color w:val="auto"/>
          <w:sz w:val="32"/>
          <w:szCs w:val="32"/>
          <w:highlight w:val="none"/>
        </w:rPr>
      </w:pPr>
    </w:p>
    <w:p w14:paraId="55A5130A">
      <w:pPr>
        <w:pageBreakBefore w:val="0"/>
        <w:kinsoku/>
        <w:wordWrap/>
        <w:topLinePunct w:val="0"/>
        <w:bidi w:val="0"/>
        <w:snapToGrid w:val="0"/>
        <w:spacing w:before="120" w:beforeLines="50" w:after="50" w:line="312" w:lineRule="auto"/>
        <w:ind w:right="480" w:firstLine="321" w:firstLineChars="100"/>
        <w:jc w:val="center"/>
        <w:rPr>
          <w:rFonts w:ascii="宋体" w:hAnsi="宋体"/>
          <w:b/>
          <w:bCs/>
          <w:color w:val="auto"/>
          <w:sz w:val="32"/>
          <w:szCs w:val="32"/>
          <w:highlight w:val="none"/>
        </w:rPr>
        <w:sectPr>
          <w:footerReference r:id="rId8" w:type="default"/>
          <w:pgSz w:w="11907" w:h="16840"/>
          <w:pgMar w:top="1440" w:right="1440" w:bottom="1440" w:left="1797" w:header="567" w:footer="591" w:gutter="0"/>
          <w:pgNumType w:fmt="decimal"/>
          <w:cols w:space="720" w:num="1"/>
          <w:docGrid w:linePitch="312" w:charSpace="0"/>
        </w:sectPr>
      </w:pPr>
    </w:p>
    <w:p w14:paraId="436F14CC">
      <w:pPr>
        <w:pageBreakBefore w:val="0"/>
        <w:kinsoku/>
        <w:wordWrap/>
        <w:topLinePunct w:val="0"/>
        <w:bidi w:val="0"/>
        <w:snapToGrid w:val="0"/>
        <w:spacing w:before="120" w:beforeLines="50" w:after="50" w:line="312" w:lineRule="auto"/>
        <w:ind w:right="480" w:rightChars="0"/>
        <w:jc w:val="both"/>
        <w:outlineLvl w:val="0"/>
        <w:rPr>
          <w:rFonts w:hint="eastAsia" w:ascii="宋体" w:hAnsi="宋体"/>
          <w:b/>
          <w:color w:val="auto"/>
          <w:sz w:val="32"/>
          <w:szCs w:val="32"/>
          <w:highlight w:val="none"/>
        </w:rPr>
      </w:pPr>
      <w:bookmarkStart w:id="112" w:name="_Toc31060"/>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bookmarkEnd w:id="112"/>
    </w:p>
    <w:p w14:paraId="5B7E812D">
      <w:pPr>
        <w:pageBreakBefore w:val="0"/>
        <w:kinsoku/>
        <w:wordWrap/>
        <w:topLinePunct w:val="0"/>
        <w:bidi w:val="0"/>
        <w:snapToGrid w:val="0"/>
        <w:spacing w:before="120" w:beforeLines="50" w:after="50" w:line="312" w:lineRule="auto"/>
        <w:jc w:val="left"/>
        <w:outlineLvl w:val="1"/>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7260B807">
      <w:pPr>
        <w:pageBreakBefore w:val="0"/>
        <w:kinsoku/>
        <w:wordWrap/>
        <w:topLinePunct w:val="0"/>
        <w:bidi w:val="0"/>
        <w:snapToGrid w:val="0"/>
        <w:spacing w:before="120" w:beforeLines="5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0975D021">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4A4DF292">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75AA4EDF">
      <w:pPr>
        <w:pageBreakBefore w:val="0"/>
        <w:kinsoku/>
        <w:wordWrap/>
        <w:topLinePunct w:val="0"/>
        <w:bidi w:val="0"/>
        <w:snapToGrid w:val="0"/>
        <w:spacing w:before="120" w:beforeLines="50" w:after="0" w:afterLines="0" w:line="312" w:lineRule="auto"/>
        <w:rPr>
          <w:rFonts w:hint="eastAsia" w:ascii="宋体" w:hAnsi="宋体"/>
          <w:color w:val="auto"/>
          <w:sz w:val="24"/>
          <w:szCs w:val="20"/>
          <w:highlight w:val="none"/>
        </w:rPr>
      </w:pPr>
    </w:p>
    <w:p w14:paraId="4AA9E013">
      <w:pPr>
        <w:pageBreakBefore w:val="0"/>
        <w:kinsoku/>
        <w:wordWrap/>
        <w:topLinePunct w:val="0"/>
        <w:bidi w:val="0"/>
        <w:snapToGrid w:val="0"/>
        <w:spacing w:before="0" w:beforeLines="0" w:after="0" w:afterLines="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B69C6EC">
      <w:pPr>
        <w:pageBreakBefore w:val="0"/>
        <w:kinsoku/>
        <w:wordWrap/>
        <w:topLinePunct w:val="0"/>
        <w:bidi w:val="0"/>
        <w:snapToGrid w:val="0"/>
        <w:spacing w:before="0" w:beforeLines="0" w:after="50" w:line="312" w:lineRule="auto"/>
        <w:rPr>
          <w:rFonts w:hint="eastAsia" w:ascii="宋体" w:hAnsi="宋体"/>
          <w:bCs/>
          <w:color w:val="auto"/>
          <w:sz w:val="24"/>
          <w:szCs w:val="20"/>
          <w:highlight w:val="none"/>
        </w:rPr>
      </w:pPr>
    </w:p>
    <w:p w14:paraId="13231620">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FB3B3BA">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46628282">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6293DB4B">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2B8EA467">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453F8F5">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0B5376B3">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EA5B3EC">
      <w:pPr>
        <w:pageBreakBefore w:val="0"/>
        <w:kinsoku/>
        <w:wordWrap/>
        <w:topLinePunct w:val="0"/>
        <w:bidi w:val="0"/>
        <w:snapToGrid w:val="0"/>
        <w:spacing w:before="120" w:beforeLines="50" w:after="0" w:afterLines="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FA2B572">
      <w:pPr>
        <w:pageBreakBefore w:val="0"/>
        <w:kinsoku/>
        <w:wordWrap/>
        <w:topLinePunct w:val="0"/>
        <w:bidi w:val="0"/>
        <w:snapToGrid w:val="0"/>
        <w:spacing w:before="0" w:beforeLines="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BEC3568">
      <w:pPr>
        <w:pageBreakBefore w:val="0"/>
        <w:kinsoku/>
        <w:wordWrap/>
        <w:topLinePunct w:val="0"/>
        <w:bidi w:val="0"/>
        <w:snapToGrid w:val="0"/>
        <w:spacing w:before="0" w:beforeLines="0" w:after="0" w:afterLines="0" w:line="312" w:lineRule="auto"/>
        <w:ind w:firstLine="720" w:firstLineChars="225"/>
        <w:rPr>
          <w:rFonts w:hint="eastAsia" w:ascii="宋体" w:hAnsi="宋体" w:cs="仿宋_GB2312"/>
          <w:bCs/>
          <w:color w:val="auto"/>
          <w:sz w:val="32"/>
          <w:szCs w:val="32"/>
          <w:highlight w:val="none"/>
        </w:rPr>
      </w:pPr>
    </w:p>
    <w:p w14:paraId="59C0F34C">
      <w:pPr>
        <w:pStyle w:val="8"/>
        <w:pageBreakBefore w:val="0"/>
        <w:kinsoku/>
        <w:wordWrap/>
        <w:topLinePunct w:val="0"/>
        <w:bidi w:val="0"/>
        <w:snapToGrid w:val="0"/>
        <w:spacing w:before="159" w:beforeLines="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BC42CE5">
      <w:pPr>
        <w:pStyle w:val="8"/>
        <w:pageBreakBefore w:val="0"/>
        <w:kinsoku/>
        <w:wordWrap/>
        <w:topLinePunct w:val="0"/>
        <w:bidi w:val="0"/>
        <w:snapToGrid w:val="0"/>
        <w:spacing w:before="0" w:beforeLines="0" w:after="50" w:line="312" w:lineRule="auto"/>
        <w:ind w:firstLine="720" w:firstLineChars="225"/>
        <w:rPr>
          <w:rFonts w:hint="eastAsia" w:ascii="宋体" w:hAnsi="宋体" w:cs="仿宋_GB2312"/>
          <w:bCs/>
          <w:color w:val="auto"/>
          <w:sz w:val="32"/>
          <w:szCs w:val="32"/>
          <w:highlight w:val="none"/>
        </w:rPr>
      </w:pPr>
    </w:p>
    <w:p w14:paraId="4E4F204F">
      <w:pPr>
        <w:pStyle w:val="8"/>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4D68B7DD">
      <w:pPr>
        <w:pageBreakBefore w:val="0"/>
        <w:kinsoku/>
        <w:wordWrap/>
        <w:topLinePunct w:val="0"/>
        <w:bidi w:val="0"/>
        <w:snapToGrid w:val="0"/>
        <w:spacing w:before="120" w:beforeLines="50" w:after="50" w:line="312" w:lineRule="auto"/>
        <w:ind w:left="0" w:firstLine="3520" w:firstLineChars="1100"/>
        <w:jc w:val="left"/>
        <w:rPr>
          <w:rFonts w:hint="eastAsia" w:ascii="宋体" w:hAnsi="宋体"/>
          <w:b/>
          <w:bCs/>
          <w:color w:val="auto"/>
          <w:sz w:val="24"/>
          <w:highlight w:val="none"/>
        </w:rPr>
      </w:pPr>
      <w:r>
        <w:rPr>
          <w:rFonts w:hint="eastAsia" w:ascii="宋体" w:hAnsi="宋体" w:cs="仿宋_GB2312"/>
          <w:color w:val="auto"/>
          <w:sz w:val="32"/>
          <w:szCs w:val="32"/>
          <w:highlight w:val="none"/>
        </w:rPr>
        <w:t>年    月    日</w:t>
      </w:r>
      <w:r>
        <w:rPr>
          <w:rFonts w:ascii="宋体" w:hAnsi="宋体"/>
          <w:color w:val="auto"/>
          <w:sz w:val="24"/>
          <w:highlight w:val="none"/>
        </w:rPr>
        <w:br w:type="page"/>
      </w:r>
      <w:r>
        <w:rPr>
          <w:rFonts w:hint="eastAsia" w:ascii="宋体" w:hAnsi="宋体"/>
          <w:b/>
          <w:bCs/>
          <w:color w:val="auto"/>
          <w:sz w:val="32"/>
          <w:szCs w:val="32"/>
          <w:highlight w:val="none"/>
        </w:rPr>
        <w:t>2.报价文件目录</w:t>
      </w:r>
    </w:p>
    <w:p w14:paraId="5C2A5C00">
      <w:pPr>
        <w:pageBreakBefore w:val="0"/>
        <w:kinsoku/>
        <w:wordWrap/>
        <w:topLinePunct w:val="0"/>
        <w:bidi w:val="0"/>
        <w:snapToGrid w:val="0"/>
        <w:spacing w:before="120" w:beforeLines="50" w:after="50" w:line="312"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CE13772">
      <w:pPr>
        <w:pageBreakBefore w:val="0"/>
        <w:kinsoku/>
        <w:wordWrap/>
        <w:topLinePunct w:val="0"/>
        <w:bidi w:val="0"/>
        <w:spacing w:line="312" w:lineRule="auto"/>
        <w:rPr>
          <w:rFonts w:hint="eastAsia" w:ascii="仿宋_GB2312" w:hAnsi="仿宋_GB2312" w:eastAsia="仿宋_GB2312" w:cs="仿宋_GB2312"/>
          <w:color w:val="auto"/>
          <w:sz w:val="32"/>
          <w:szCs w:val="32"/>
          <w:highlight w:val="none"/>
        </w:rPr>
      </w:pPr>
    </w:p>
    <w:p w14:paraId="4CDC0A48">
      <w:pPr>
        <w:pageBreakBefore w:val="0"/>
        <w:kinsoku/>
        <w:wordWrap/>
        <w:topLinePunct w:val="0"/>
        <w:bidi w:val="0"/>
        <w:spacing w:line="312" w:lineRule="auto"/>
        <w:ind w:firstLine="880" w:firstLineChars="200"/>
        <w:contextualSpacing/>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p>
    <w:p w14:paraId="19E72B79">
      <w:pPr>
        <w:pageBreakBefore w:val="0"/>
        <w:kinsoku/>
        <w:wordWrap/>
        <w:topLinePunct w:val="0"/>
        <w:bidi w:val="0"/>
        <w:spacing w:line="312" w:lineRule="auto"/>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竞  标  报  价  表</w:t>
      </w:r>
    </w:p>
    <w:p w14:paraId="6065DF96">
      <w:pPr>
        <w:pageBreakBefore w:val="0"/>
        <w:kinsoku/>
        <w:wordWrap/>
        <w:topLinePunct w:val="0"/>
        <w:bidi w:val="0"/>
        <w:spacing w:line="312" w:lineRule="auto"/>
        <w:jc w:val="center"/>
        <w:rPr>
          <w:rFonts w:hint="eastAsia" w:ascii="方正小标宋简体" w:hAnsi="方正小标宋简体" w:eastAsia="方正小标宋简体" w:cs="方正小标宋简体"/>
          <w:bCs/>
          <w:color w:val="auto"/>
          <w:sz w:val="32"/>
          <w:szCs w:val="32"/>
          <w:highlight w:val="none"/>
        </w:rPr>
      </w:pPr>
    </w:p>
    <w:p w14:paraId="0B3849AC">
      <w:pPr>
        <w:pageBreakBefore w:val="0"/>
        <w:kinsoku/>
        <w:wordWrap/>
        <w:topLinePunct w:val="0"/>
        <w:bidi w:val="0"/>
        <w:spacing w:line="312"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D143A3E">
      <w:pPr>
        <w:pageBreakBefore w:val="0"/>
        <w:kinsoku/>
        <w:wordWrap/>
        <w:topLinePunct w:val="0"/>
        <w:bidi w:val="0"/>
        <w:spacing w:line="312"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BA95940">
      <w:pPr>
        <w:pageBreakBefore w:val="0"/>
        <w:kinsoku/>
        <w:wordWrap/>
        <w:topLinePunct w:val="0"/>
        <w:bidi w:val="0"/>
        <w:spacing w:line="312"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544"/>
        <w:gridCol w:w="1845"/>
        <w:gridCol w:w="1620"/>
        <w:gridCol w:w="1499"/>
      </w:tblGrid>
      <w:tr w14:paraId="57F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A48D8E6">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CD9D43C">
            <w:pPr>
              <w:pageBreakBefore w:val="0"/>
              <w:kinsoku/>
              <w:wordWrap/>
              <w:topLinePunct w:val="0"/>
              <w:bidi w:val="0"/>
              <w:spacing w:line="312"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标的名称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24A3C48">
            <w:pPr>
              <w:pageBreakBefore w:val="0"/>
              <w:kinsoku/>
              <w:wordWrap/>
              <w:topLinePunct w:val="0"/>
              <w:bidi w:val="0"/>
              <w:spacing w:line="312"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864B218">
            <w:pPr>
              <w:pageBreakBefore w:val="0"/>
              <w:kinsoku/>
              <w:wordWrap/>
              <w:topLinePunct w:val="0"/>
              <w:bidi w:val="0"/>
              <w:spacing w:line="312"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371B2E7B">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7FB4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45CDA7F">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3DBBEB6">
            <w:pPr>
              <w:pageBreakBefore w:val="0"/>
              <w:kinsoku/>
              <w:wordWrap/>
              <w:topLinePunct w:val="0"/>
              <w:bidi w:val="0"/>
              <w:spacing w:line="312" w:lineRule="auto"/>
              <w:contextualSpacing/>
              <w:jc w:val="center"/>
              <w:rPr>
                <w:rFonts w:ascii="宋体" w:hAnsi="宋体" w:cs="仿宋_GB2312"/>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10B8A52">
            <w:pPr>
              <w:pageBreakBefore w:val="0"/>
              <w:kinsoku/>
              <w:wordWrap/>
              <w:topLinePunct w:val="0"/>
              <w:bidi w:val="0"/>
              <w:spacing w:line="312" w:lineRule="auto"/>
              <w:contextualSpacing/>
              <w:jc w:val="center"/>
              <w:rPr>
                <w:rFonts w:ascii="宋体" w:hAnsi="宋体" w:cs="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672C5C">
            <w:pPr>
              <w:pageBreakBefore w:val="0"/>
              <w:kinsoku/>
              <w:wordWrap/>
              <w:topLinePunct w:val="0"/>
              <w:bidi w:val="0"/>
              <w:spacing w:line="312" w:lineRule="auto"/>
              <w:contextualSpacing/>
              <w:rPr>
                <w:rFonts w:ascii="宋体" w:hAnsi="宋体" w:cs="仿宋_GB2312"/>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0BEAEF72">
            <w:pPr>
              <w:pageBreakBefore w:val="0"/>
              <w:kinsoku/>
              <w:wordWrap/>
              <w:topLinePunct w:val="0"/>
              <w:bidi w:val="0"/>
              <w:spacing w:line="312" w:lineRule="auto"/>
              <w:contextualSpacing/>
              <w:rPr>
                <w:rFonts w:ascii="宋体" w:hAnsi="宋体" w:cs="仿宋_GB2312"/>
                <w:color w:val="auto"/>
                <w:sz w:val="24"/>
                <w:highlight w:val="none"/>
              </w:rPr>
            </w:pPr>
          </w:p>
        </w:tc>
      </w:tr>
      <w:tr w14:paraId="207E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4131" w:type="dxa"/>
            <w:gridSpan w:val="2"/>
            <w:tcBorders>
              <w:top w:val="single" w:color="auto" w:sz="4" w:space="0"/>
              <w:left w:val="single" w:color="auto" w:sz="4" w:space="0"/>
              <w:bottom w:val="single" w:color="auto" w:sz="4" w:space="0"/>
              <w:right w:val="single" w:color="auto" w:sz="4" w:space="0"/>
            </w:tcBorders>
            <w:noWrap w:val="0"/>
            <w:vAlign w:val="center"/>
          </w:tcPr>
          <w:p w14:paraId="1C36DA07">
            <w:pPr>
              <w:pageBreakBefore w:val="0"/>
              <w:kinsoku/>
              <w:wordWrap/>
              <w:topLinePunct w:val="0"/>
              <w:bidi w:val="0"/>
              <w:spacing w:line="312" w:lineRule="auto"/>
              <w:jc w:val="center"/>
              <w:rPr>
                <w:rFonts w:ascii="宋体" w:hAnsi="宋体" w:cs="仿宋_GB2312"/>
                <w:color w:val="auto"/>
                <w:sz w:val="24"/>
                <w:highlight w:val="none"/>
              </w:rPr>
            </w:pPr>
            <w:r>
              <w:rPr>
                <w:rFonts w:hint="eastAsia" w:ascii="宋体" w:hAnsi="宋体" w:cs="宋体"/>
                <w:b w:val="0"/>
                <w:bCs w:val="0"/>
                <w:color w:val="auto"/>
                <w:sz w:val="24"/>
                <w:szCs w:val="24"/>
                <w:highlight w:val="none"/>
                <w:lang w:val="en-US" w:eastAsia="zh-CN"/>
              </w:rPr>
              <w:t>竞标</w:t>
            </w:r>
            <w:r>
              <w:rPr>
                <w:rFonts w:hint="eastAsia" w:ascii="宋体" w:hAnsi="宋体" w:eastAsia="宋体" w:cs="宋体"/>
                <w:b w:val="0"/>
                <w:bCs w:val="0"/>
                <w:color w:val="auto"/>
                <w:sz w:val="24"/>
                <w:szCs w:val="24"/>
                <w:highlight w:val="none"/>
              </w:rPr>
              <w:t>总报价（元）</w:t>
            </w:r>
          </w:p>
        </w:tc>
        <w:tc>
          <w:tcPr>
            <w:tcW w:w="4964" w:type="dxa"/>
            <w:gridSpan w:val="3"/>
            <w:tcBorders>
              <w:top w:val="single" w:color="auto" w:sz="4" w:space="0"/>
              <w:left w:val="single" w:color="auto" w:sz="4" w:space="0"/>
              <w:bottom w:val="single" w:color="auto" w:sz="4" w:space="0"/>
              <w:right w:val="single" w:color="auto" w:sz="4" w:space="0"/>
            </w:tcBorders>
            <w:noWrap w:val="0"/>
            <w:vAlign w:val="center"/>
          </w:tcPr>
          <w:p w14:paraId="25C6EFF5">
            <w:pPr>
              <w:pageBreakBefore w:val="0"/>
              <w:kinsoku/>
              <w:wordWrap/>
              <w:topLinePunct w:val="0"/>
              <w:bidi w:val="0"/>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（大写）人民币</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14:paraId="7137FDD7">
            <w:pPr>
              <w:pageBreakBefore w:val="0"/>
              <w:kinsoku/>
              <w:wordWrap/>
              <w:topLinePunct w:val="0"/>
              <w:bidi w:val="0"/>
              <w:spacing w:line="312" w:lineRule="auto"/>
              <w:rPr>
                <w:rFonts w:hint="eastAsia" w:ascii="宋体" w:hAnsi="宋体" w:cs="仿宋_GB2312"/>
                <w:color w:val="auto"/>
                <w:sz w:val="24"/>
                <w:highlight w:val="none"/>
              </w:rPr>
            </w:pPr>
            <w:r>
              <w:rPr>
                <w:rFonts w:hint="eastAsia" w:ascii="宋体" w:hAnsi="宋体" w:eastAsia="宋体" w:cs="宋体"/>
                <w:b w:val="0"/>
                <w:bCs w:val="0"/>
                <w:color w:val="auto"/>
                <w:sz w:val="24"/>
                <w:szCs w:val="24"/>
                <w:highlight w:val="none"/>
              </w:rPr>
              <w:t xml:space="preserve">（小写）¥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p>
        </w:tc>
      </w:tr>
      <w:tr w14:paraId="4EAC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4131" w:type="dxa"/>
            <w:gridSpan w:val="2"/>
            <w:tcBorders>
              <w:top w:val="single" w:color="auto" w:sz="4" w:space="0"/>
              <w:left w:val="single" w:color="auto" w:sz="4" w:space="0"/>
              <w:bottom w:val="single" w:color="auto" w:sz="4" w:space="0"/>
              <w:right w:val="single" w:color="auto" w:sz="4" w:space="0"/>
            </w:tcBorders>
            <w:noWrap w:val="0"/>
            <w:vAlign w:val="center"/>
          </w:tcPr>
          <w:p w14:paraId="3A7A965C">
            <w:pPr>
              <w:pageBreakBefore w:val="0"/>
              <w:kinsoku/>
              <w:wordWrap/>
              <w:topLinePunct w:val="0"/>
              <w:bidi w:val="0"/>
              <w:spacing w:line="312" w:lineRule="auto"/>
              <w:jc w:val="center"/>
              <w:rPr>
                <w:rFonts w:hint="eastAsia" w:ascii="宋体" w:hAnsi="宋体" w:cs="仿宋_GB2312"/>
                <w:color w:val="auto"/>
                <w:sz w:val="24"/>
                <w:highlight w:val="none"/>
              </w:rPr>
            </w:pPr>
            <w:r>
              <w:rPr>
                <w:rFonts w:hint="eastAsia" w:ascii="宋体" w:hAnsi="宋体" w:eastAsia="宋体" w:cs="宋体"/>
                <w:color w:val="auto"/>
                <w:sz w:val="24"/>
                <w:szCs w:val="24"/>
                <w:highlight w:val="none"/>
              </w:rPr>
              <w:t>交付时间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服务期</w:t>
            </w:r>
            <w:r>
              <w:rPr>
                <w:rFonts w:hint="eastAsia" w:ascii="宋体" w:hAnsi="宋体" w:eastAsia="宋体" w:cs="宋体"/>
                <w:color w:val="auto"/>
                <w:sz w:val="24"/>
                <w:szCs w:val="24"/>
                <w:highlight w:val="none"/>
              </w:rPr>
              <w:t>及地点</w:t>
            </w:r>
          </w:p>
        </w:tc>
        <w:tc>
          <w:tcPr>
            <w:tcW w:w="4964" w:type="dxa"/>
            <w:gridSpan w:val="3"/>
            <w:tcBorders>
              <w:top w:val="single" w:color="auto" w:sz="4" w:space="0"/>
              <w:left w:val="single" w:color="auto" w:sz="4" w:space="0"/>
              <w:bottom w:val="single" w:color="auto" w:sz="4" w:space="0"/>
              <w:right w:val="single" w:color="auto" w:sz="4" w:space="0"/>
            </w:tcBorders>
            <w:noWrap w:val="0"/>
            <w:vAlign w:val="top"/>
          </w:tcPr>
          <w:p w14:paraId="3BF78A25">
            <w:pPr>
              <w:pageBreakBefore w:val="0"/>
              <w:numPr>
                <w:ilvl w:val="0"/>
                <w:numId w:val="6"/>
              </w:numPr>
              <w:kinsoku/>
              <w:wordWrap/>
              <w:topLinePunct w:val="0"/>
              <w:bidi w:val="0"/>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交付时间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服务期：</w:t>
            </w:r>
          </w:p>
          <w:p w14:paraId="46FF662E">
            <w:pPr>
              <w:pageBreakBefore w:val="0"/>
              <w:numPr>
                <w:ilvl w:val="0"/>
                <w:numId w:val="6"/>
              </w:numPr>
              <w:kinsoku/>
              <w:wordWrap/>
              <w:topLinePunct w:val="0"/>
              <w:bidi w:val="0"/>
              <w:spacing w:line="312" w:lineRule="auto"/>
              <w:rPr>
                <w:rFonts w:hint="eastAsia" w:ascii="宋体" w:hAnsi="宋体" w:cs="仿宋_GB2312"/>
                <w:color w:val="auto"/>
                <w:sz w:val="24"/>
                <w:highlight w:val="none"/>
              </w:rPr>
            </w:pPr>
            <w:r>
              <w:rPr>
                <w:rFonts w:hint="eastAsia" w:ascii="宋体" w:hAnsi="宋体" w:eastAsia="宋体" w:cs="宋体"/>
                <w:color w:val="auto"/>
                <w:sz w:val="24"/>
                <w:szCs w:val="24"/>
                <w:highlight w:val="none"/>
                <w:lang w:val="en-US" w:eastAsia="zh-CN"/>
              </w:rPr>
              <w:t>交付地点：</w:t>
            </w:r>
          </w:p>
        </w:tc>
      </w:tr>
    </w:tbl>
    <w:p w14:paraId="19A49014">
      <w:pPr>
        <w:pageBreakBefore w:val="0"/>
        <w:kinsoku/>
        <w:wordWrap/>
        <w:topLinePunct w:val="0"/>
        <w:bidi w:val="0"/>
        <w:spacing w:line="312" w:lineRule="auto"/>
        <w:contextualSpacing/>
        <w:jc w:val="left"/>
        <w:rPr>
          <w:rFonts w:hint="eastAsia" w:ascii="宋体" w:hAnsi="宋体" w:cs="仿宋_GB2312"/>
          <w:color w:val="auto"/>
          <w:sz w:val="24"/>
          <w:highlight w:val="none"/>
        </w:rPr>
      </w:pPr>
    </w:p>
    <w:p w14:paraId="584DB78E">
      <w:pPr>
        <w:pageBreakBefore w:val="0"/>
        <w:kinsoku/>
        <w:wordWrap/>
        <w:topLinePunct w:val="0"/>
        <w:bidi w:val="0"/>
        <w:spacing w:line="312"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0EB89779">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1.供应商的报价表必须加盖供应商公章并由法定代表人或者委托代理人签字，</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5F903DB6">
      <w:pPr>
        <w:pageBreakBefore w:val="0"/>
        <w:kinsoku/>
        <w:wordWrap/>
        <w:topLinePunct w:val="0"/>
        <w:bidi w:val="0"/>
        <w:spacing w:line="312"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报价一经涂改，应在涂改处加盖供应商公章或者由法定代表人或者委托代理人签字或者盖章</w:t>
      </w:r>
      <w:r>
        <w:rPr>
          <w:rFonts w:hint="eastAsia" w:ascii="宋体" w:hAnsi="宋体" w:cs="仿宋_GB2312"/>
          <w:b/>
          <w:color w:val="auto"/>
          <w:sz w:val="24"/>
          <w:highlight w:val="none"/>
        </w:rPr>
        <w:t>，否则其响应文件按无效响应处理。</w:t>
      </w:r>
    </w:p>
    <w:p w14:paraId="362C293E">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否则其响应文件按无效响应处理。（采购人可根据项目情况自行修改是否需要联合体各方签字盖章）。</w:t>
      </w:r>
    </w:p>
    <w:p w14:paraId="2E86AE6C">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.如为联合体竞标，盖章处须加盖联合体各方公章，</w:t>
      </w:r>
      <w:bookmarkStart w:id="113" w:name="_Hlk65851776"/>
      <w:r>
        <w:rPr>
          <w:rFonts w:hint="eastAsia" w:ascii="宋体" w:hAnsi="宋体" w:cs="仿宋_GB2312"/>
          <w:b/>
          <w:color w:val="auto"/>
          <w:sz w:val="24"/>
          <w:highlight w:val="none"/>
        </w:rPr>
        <w:t>否则其响应文件按无效响应处理。</w:t>
      </w:r>
      <w:bookmarkEnd w:id="113"/>
      <w:r>
        <w:rPr>
          <w:rFonts w:hint="eastAsia" w:ascii="宋体" w:hAnsi="宋体" w:cs="仿宋_GB2312"/>
          <w:b/>
          <w:color w:val="auto"/>
          <w:sz w:val="24"/>
          <w:highlight w:val="none"/>
        </w:rPr>
        <w:t>（采购人可根据项目情况自行修改是否需要联合体各方签字盖章）。</w:t>
      </w:r>
    </w:p>
    <w:p w14:paraId="68027694">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2EE505F6">
      <w:pPr>
        <w:pageBreakBefore w:val="0"/>
        <w:kinsoku/>
        <w:wordWrap/>
        <w:topLinePunct w:val="0"/>
        <w:bidi w:val="0"/>
        <w:spacing w:line="312" w:lineRule="auto"/>
        <w:ind w:right="-817" w:rightChars="-389" w:firstLine="1200" w:firstLineChars="5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E75CC1D">
      <w:pPr>
        <w:pageBreakBefore w:val="0"/>
        <w:kinsoku/>
        <w:wordWrap/>
        <w:topLinePunct w:val="0"/>
        <w:bidi w:val="0"/>
        <w:spacing w:line="312" w:lineRule="auto"/>
        <w:ind w:left="0" w:leftChars="0" w:right="-817" w:rightChars="-389" w:firstLine="4029" w:firstLineChars="1679"/>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14:paraId="78E0DED2">
      <w:pPr>
        <w:pageBreakBefore w:val="0"/>
        <w:kinsoku/>
        <w:wordWrap/>
        <w:topLinePunct w:val="0"/>
        <w:bidi w:val="0"/>
        <w:spacing w:line="312" w:lineRule="auto"/>
        <w:ind w:right="-817" w:rightChars="-389" w:firstLine="5760" w:firstLineChars="24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B284EEF">
      <w:pPr>
        <w:pageBreakBefore w:val="0"/>
        <w:kinsoku/>
        <w:wordWrap/>
        <w:topLinePunct w:val="0"/>
        <w:bidi w:val="0"/>
        <w:spacing w:line="312" w:lineRule="auto"/>
        <w:rPr>
          <w:rFonts w:hint="eastAsia" w:ascii="宋体" w:hAnsi="宋体"/>
          <w:b/>
          <w:bCs/>
          <w:color w:val="auto"/>
          <w:sz w:val="24"/>
          <w:highlight w:val="none"/>
        </w:rPr>
      </w:pPr>
    </w:p>
    <w:p w14:paraId="20240889">
      <w:pPr>
        <w:pageBreakBefore w:val="0"/>
        <w:kinsoku/>
        <w:wordWrap/>
        <w:topLinePunct w:val="0"/>
        <w:bidi w:val="0"/>
        <w:spacing w:before="240" w:beforeLines="100" w:after="120" w:afterLines="50" w:line="312" w:lineRule="auto"/>
        <w:ind w:left="540"/>
        <w:jc w:val="center"/>
        <w:rPr>
          <w:rFonts w:hint="eastAsia" w:ascii="宋体" w:hAnsi="Courier New"/>
          <w:b/>
          <w:color w:val="auto"/>
          <w:sz w:val="32"/>
          <w:szCs w:val="32"/>
          <w:highlight w:val="none"/>
        </w:rPr>
      </w:pPr>
    </w:p>
    <w:p w14:paraId="3BD0F2F9">
      <w:pPr>
        <w:pStyle w:val="8"/>
        <w:rPr>
          <w:rFonts w:hint="eastAsia"/>
          <w:color w:val="auto"/>
          <w:highlight w:val="none"/>
        </w:rPr>
      </w:pPr>
    </w:p>
    <w:p w14:paraId="35649752">
      <w:pPr>
        <w:pageBreakBefore w:val="0"/>
        <w:kinsoku/>
        <w:wordWrap/>
        <w:topLinePunct w:val="0"/>
        <w:bidi w:val="0"/>
        <w:snapToGrid w:val="0"/>
        <w:spacing w:before="120" w:beforeLines="50" w:after="50" w:line="312" w:lineRule="auto"/>
        <w:ind w:right="480" w:rightChars="0"/>
        <w:jc w:val="left"/>
        <w:outlineLvl w:val="0"/>
        <w:rPr>
          <w:rFonts w:hint="eastAsia" w:ascii="宋体" w:hAnsi="宋体"/>
          <w:b/>
          <w:color w:val="auto"/>
          <w:sz w:val="32"/>
          <w:szCs w:val="32"/>
          <w:highlight w:val="none"/>
        </w:rPr>
      </w:pPr>
      <w:bookmarkStart w:id="114" w:name="_Toc7614"/>
      <w:r>
        <w:rPr>
          <w:rFonts w:hint="eastAsia" w:ascii="宋体" w:hAnsi="宋体"/>
          <w:b/>
          <w:bCs/>
          <w:color w:val="auto"/>
          <w:sz w:val="32"/>
          <w:szCs w:val="32"/>
          <w:highlight w:val="none"/>
          <w:lang w:val="en-US" w:eastAsia="zh-CN"/>
        </w:rPr>
        <w:t>三</w:t>
      </w:r>
      <w:r>
        <w:rPr>
          <w:rFonts w:hint="eastAsia" w:ascii="宋体" w:hAnsi="宋体"/>
          <w:b/>
          <w:bCs/>
          <w:color w:val="auto"/>
          <w:sz w:val="32"/>
          <w:szCs w:val="32"/>
          <w:highlight w:val="none"/>
        </w:rPr>
        <w:t>、</w:t>
      </w:r>
      <w:r>
        <w:rPr>
          <w:rFonts w:hint="eastAsia" w:ascii="宋体" w:hAnsi="宋体"/>
          <w:b/>
          <w:color w:val="auto"/>
          <w:sz w:val="32"/>
          <w:szCs w:val="32"/>
          <w:highlight w:val="none"/>
        </w:rPr>
        <w:t>商务技术文件格式</w:t>
      </w:r>
      <w:bookmarkEnd w:id="114"/>
    </w:p>
    <w:p w14:paraId="2C527B6A">
      <w:pPr>
        <w:pageBreakBefore w:val="0"/>
        <w:kinsoku/>
        <w:wordWrap/>
        <w:topLinePunct w:val="0"/>
        <w:bidi w:val="0"/>
        <w:snapToGrid w:val="0"/>
        <w:spacing w:before="120" w:beforeLines="50" w:after="0" w:afterLines="0" w:line="312" w:lineRule="auto"/>
        <w:jc w:val="left"/>
        <w:outlineLvl w:val="1"/>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41908033">
      <w:pPr>
        <w:pageBreakBefore w:val="0"/>
        <w:kinsoku/>
        <w:wordWrap/>
        <w:topLinePunct w:val="0"/>
        <w:bidi w:val="0"/>
        <w:snapToGrid w:val="0"/>
        <w:spacing w:before="0" w:beforeLines="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335413CB">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07520DFE">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2128A30C">
      <w:pPr>
        <w:pageBreakBefore w:val="0"/>
        <w:kinsoku/>
        <w:wordWrap/>
        <w:topLinePunct w:val="0"/>
        <w:bidi w:val="0"/>
        <w:snapToGrid w:val="0"/>
        <w:spacing w:before="120" w:beforeLines="50" w:after="0" w:afterLines="0" w:line="312" w:lineRule="auto"/>
        <w:rPr>
          <w:rFonts w:hint="eastAsia" w:ascii="宋体" w:hAnsi="宋体"/>
          <w:color w:val="auto"/>
          <w:sz w:val="24"/>
          <w:szCs w:val="20"/>
          <w:highlight w:val="none"/>
        </w:rPr>
      </w:pPr>
    </w:p>
    <w:p w14:paraId="2A5DC026">
      <w:pPr>
        <w:pageBreakBefore w:val="0"/>
        <w:kinsoku/>
        <w:wordWrap/>
        <w:topLinePunct w:val="0"/>
        <w:bidi w:val="0"/>
        <w:snapToGrid w:val="0"/>
        <w:spacing w:before="0" w:beforeLines="0" w:after="0" w:afterLines="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4EBE9AA">
      <w:pPr>
        <w:pageBreakBefore w:val="0"/>
        <w:kinsoku/>
        <w:wordWrap/>
        <w:topLinePunct w:val="0"/>
        <w:bidi w:val="0"/>
        <w:snapToGrid w:val="0"/>
        <w:spacing w:before="0" w:beforeLines="0" w:after="50" w:line="312" w:lineRule="auto"/>
        <w:rPr>
          <w:rFonts w:hint="eastAsia" w:ascii="宋体" w:hAnsi="宋体"/>
          <w:bCs/>
          <w:color w:val="auto"/>
          <w:sz w:val="24"/>
          <w:szCs w:val="20"/>
          <w:highlight w:val="none"/>
        </w:rPr>
      </w:pPr>
    </w:p>
    <w:p w14:paraId="38A243B3">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4B554E9C">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495B0656">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7AD9038E">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8FFEF1C">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3B04BDF1">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2FD64A">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AD47B1B">
      <w:pPr>
        <w:pageBreakBefore w:val="0"/>
        <w:kinsoku/>
        <w:wordWrap/>
        <w:topLinePunct w:val="0"/>
        <w:bidi w:val="0"/>
        <w:snapToGrid w:val="0"/>
        <w:spacing w:before="120" w:beforeLines="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5EE5444">
      <w:pPr>
        <w:pageBreakBefore w:val="0"/>
        <w:kinsoku/>
        <w:wordWrap/>
        <w:topLinePunct w:val="0"/>
        <w:bidi w:val="0"/>
        <w:snapToGrid w:val="0"/>
        <w:spacing w:before="0" w:beforeLines="0" w:after="50" w:line="312" w:lineRule="auto"/>
        <w:ind w:firstLine="720" w:firstLineChars="225"/>
        <w:rPr>
          <w:rFonts w:hint="eastAsia" w:ascii="宋体" w:hAnsi="宋体" w:cs="仿宋_GB2312"/>
          <w:bCs/>
          <w:color w:val="auto"/>
          <w:sz w:val="32"/>
          <w:szCs w:val="32"/>
          <w:highlight w:val="none"/>
        </w:rPr>
      </w:pPr>
    </w:p>
    <w:p w14:paraId="3DEBF389">
      <w:pPr>
        <w:pStyle w:val="8"/>
        <w:pageBreakBefore w:val="0"/>
        <w:kinsoku/>
        <w:wordWrap/>
        <w:topLinePunct w:val="0"/>
        <w:bidi w:val="0"/>
        <w:snapToGrid w:val="0"/>
        <w:spacing w:before="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7045FEF">
      <w:pPr>
        <w:pStyle w:val="8"/>
        <w:pageBreakBefore w:val="0"/>
        <w:kinsoku/>
        <w:wordWrap/>
        <w:topLinePunct w:val="0"/>
        <w:bidi w:val="0"/>
        <w:snapToGrid w:val="0"/>
        <w:spacing w:before="0" w:beforeLines="0" w:after="0" w:afterLines="0" w:line="312" w:lineRule="auto"/>
        <w:ind w:firstLine="720" w:firstLineChars="225"/>
        <w:rPr>
          <w:rFonts w:hint="eastAsia" w:ascii="宋体" w:hAnsi="宋体" w:cs="仿宋_GB2312"/>
          <w:bCs/>
          <w:color w:val="auto"/>
          <w:sz w:val="32"/>
          <w:szCs w:val="32"/>
          <w:highlight w:val="none"/>
        </w:rPr>
      </w:pPr>
    </w:p>
    <w:p w14:paraId="77FBDF10">
      <w:pPr>
        <w:pStyle w:val="8"/>
        <w:pageBreakBefore w:val="0"/>
        <w:kinsoku/>
        <w:wordWrap/>
        <w:topLinePunct w:val="0"/>
        <w:bidi w:val="0"/>
        <w:snapToGrid w:val="0"/>
        <w:spacing w:before="0" w:beforeLines="0" w:after="0" w:afterLines="0" w:line="312" w:lineRule="auto"/>
        <w:ind w:firstLine="1280" w:firstLineChars="400"/>
        <w:rPr>
          <w:rFonts w:hint="eastAsia" w:ascii="宋体" w:hAnsi="宋体" w:cs="仿宋_GB2312"/>
          <w:bCs/>
          <w:color w:val="auto"/>
          <w:sz w:val="32"/>
          <w:szCs w:val="32"/>
          <w:highlight w:val="none"/>
        </w:rPr>
      </w:pPr>
    </w:p>
    <w:p w14:paraId="3B7A7017">
      <w:pPr>
        <w:pageBreakBefore w:val="0"/>
        <w:kinsoku/>
        <w:wordWrap/>
        <w:topLinePunct w:val="0"/>
        <w:bidi w:val="0"/>
        <w:snapToGrid/>
        <w:spacing w:before="240" w:beforeLines="100" w:after="120" w:afterLines="50" w:afterAutospacing="0" w:line="312" w:lineRule="auto"/>
        <w:ind w:left="540"/>
        <w:jc w:val="center"/>
        <w:rPr>
          <w:rFonts w:hint="eastAsia" w:ascii="宋体" w:hAnsi="宋体"/>
          <w:b/>
          <w:bCs/>
          <w:color w:val="auto"/>
          <w:sz w:val="32"/>
          <w:szCs w:val="32"/>
          <w:highlight w:val="none"/>
        </w:rPr>
      </w:pPr>
      <w:r>
        <w:rPr>
          <w:rFonts w:hint="eastAsia" w:ascii="宋体" w:hAnsi="宋体" w:cs="仿宋_GB2312"/>
          <w:color w:val="auto"/>
          <w:sz w:val="32"/>
          <w:szCs w:val="32"/>
          <w:highlight w:val="none"/>
        </w:rPr>
        <w:t>年    月    日</w:t>
      </w:r>
    </w:p>
    <w:p w14:paraId="16EB6F5C">
      <w:pPr>
        <w:pageBreakBefore w:val="0"/>
        <w:kinsoku/>
        <w:wordWrap/>
        <w:topLinePunct w:val="0"/>
        <w:bidi w:val="0"/>
        <w:snapToGrid w:val="0"/>
        <w:spacing w:before="120" w:beforeLines="50" w:afterAutospacing="0" w:line="312" w:lineRule="auto"/>
        <w:jc w:val="left"/>
        <w:rPr>
          <w:rFonts w:hint="eastAsia" w:ascii="宋体" w:hAnsi="宋体"/>
          <w:b/>
          <w:bCs/>
          <w:color w:val="auto"/>
          <w:sz w:val="32"/>
          <w:szCs w:val="32"/>
          <w:highlight w:val="none"/>
        </w:rPr>
      </w:pPr>
    </w:p>
    <w:p w14:paraId="7500A310">
      <w:pPr>
        <w:pageBreakBefore w:val="0"/>
        <w:kinsoku/>
        <w:wordWrap/>
        <w:topLinePunct w:val="0"/>
        <w:bidi w:val="0"/>
        <w:snapToGrid w:val="0"/>
        <w:spacing w:before="120" w:beforeLines="50" w:afterAutospacing="0" w:line="312" w:lineRule="auto"/>
        <w:jc w:val="left"/>
        <w:outlineLvl w:val="1"/>
        <w:rPr>
          <w:rFonts w:hint="eastAsia" w:ascii="宋体" w:hAnsi="宋体"/>
          <w:b/>
          <w:bCs/>
          <w:color w:val="auto"/>
          <w:sz w:val="24"/>
          <w:highlight w:val="none"/>
        </w:rPr>
      </w:pPr>
      <w:r>
        <w:rPr>
          <w:rFonts w:hint="eastAsia" w:ascii="宋体" w:hAnsi="宋体"/>
          <w:b/>
          <w:bCs/>
          <w:color w:val="auto"/>
          <w:sz w:val="32"/>
          <w:szCs w:val="32"/>
          <w:highlight w:val="none"/>
        </w:rPr>
        <w:t>2.商务技术文件目录</w:t>
      </w:r>
    </w:p>
    <w:p w14:paraId="31AE02DE">
      <w:pPr>
        <w:pageBreakBefore w:val="0"/>
        <w:kinsoku/>
        <w:wordWrap/>
        <w:topLinePunct w:val="0"/>
        <w:bidi w:val="0"/>
        <w:spacing w:line="312" w:lineRule="auto"/>
        <w:ind w:firstLine="640" w:firstLineChars="200"/>
        <w:contextualSpacing/>
        <w:jc w:val="left"/>
        <w:rPr>
          <w:rFonts w:hint="eastAsia" w:ascii="仿宋_GB2312" w:hAnsi="仿宋_GB2312" w:eastAsia="仿宋_GB2312" w:cs="仿宋_GB2312"/>
          <w:b/>
          <w:color w:val="auto"/>
          <w:sz w:val="32"/>
          <w:szCs w:val="32"/>
          <w:highlight w:val="none"/>
        </w:rPr>
      </w:pPr>
      <w:r>
        <w:rPr>
          <w:rFonts w:hint="eastAsia" w:ascii="宋体" w:hAnsi="宋体"/>
          <w:color w:val="auto"/>
          <w:sz w:val="32"/>
          <w:szCs w:val="32"/>
          <w:highlight w:val="none"/>
        </w:rPr>
        <w:t>根据磋商文件规定及供应商提供的材料自行编写目录（部分格式后</w:t>
      </w:r>
    </w:p>
    <w:p w14:paraId="47AA7B3C">
      <w:pPr>
        <w:pageBreakBefore w:val="0"/>
        <w:kinsoku/>
        <w:wordWrap/>
        <w:topLinePunct w:val="0"/>
        <w:bidi w:val="0"/>
        <w:adjustRightInd w:val="0"/>
        <w:snapToGrid w:val="0"/>
        <w:spacing w:line="312" w:lineRule="auto"/>
        <w:jc w:val="left"/>
        <w:rPr>
          <w:rFonts w:hint="eastAsia" w:ascii="宋体" w:hAnsi="宋体"/>
          <w:b/>
          <w:color w:val="auto"/>
          <w:szCs w:val="21"/>
          <w:highlight w:val="none"/>
        </w:rPr>
      </w:pPr>
    </w:p>
    <w:p w14:paraId="252EC2C6">
      <w:pPr>
        <w:pageBreakBefore w:val="0"/>
        <w:kinsoku/>
        <w:wordWrap/>
        <w:topLinePunct w:val="0"/>
        <w:bidi w:val="0"/>
        <w:spacing w:line="312" w:lineRule="auto"/>
        <w:jc w:val="center"/>
        <w:rPr>
          <w:rFonts w:hint="eastAsia" w:ascii="方正小标宋简体" w:hAnsi="方正小标宋简体" w:eastAsia="方正小标宋简体" w:cs="方正小标宋简体"/>
          <w:color w:val="auto"/>
          <w:sz w:val="44"/>
          <w:szCs w:val="44"/>
          <w:highlight w:val="none"/>
        </w:rPr>
        <w:sectPr>
          <w:footerReference r:id="rId10" w:type="first"/>
          <w:footerReference r:id="rId9" w:type="default"/>
          <w:pgSz w:w="11906" w:h="16838"/>
          <w:pgMar w:top="1440" w:right="1440" w:bottom="1440" w:left="1587" w:header="851" w:footer="992" w:gutter="0"/>
          <w:pgNumType w:fmt="decimal"/>
          <w:cols w:space="720" w:num="1"/>
          <w:titlePg/>
          <w:docGrid w:type="lines" w:linePitch="312" w:charSpace="0"/>
        </w:sectPr>
      </w:pPr>
      <w:r>
        <w:rPr>
          <w:rFonts w:hint="eastAsia" w:ascii="方正小标宋简体" w:hAnsi="方正小标宋简体" w:eastAsia="方正小标宋简体" w:cs="方正小标宋简体"/>
          <w:color w:val="auto"/>
          <w:sz w:val="44"/>
          <w:szCs w:val="44"/>
          <w:highlight w:val="none"/>
        </w:rPr>
        <w:br w:type="page"/>
      </w:r>
    </w:p>
    <w:p w14:paraId="1F716B2B">
      <w:pPr>
        <w:pageBreakBefore w:val="0"/>
        <w:kinsoku/>
        <w:wordWrap/>
        <w:topLinePunct w:val="0"/>
        <w:bidi w:val="0"/>
        <w:spacing w:line="312" w:lineRule="auto"/>
        <w:jc w:val="center"/>
        <w:outlineLvl w:val="2"/>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0954ADD2">
      <w:pPr>
        <w:pageBreakBefore w:val="0"/>
        <w:kinsoku/>
        <w:wordWrap/>
        <w:topLinePunct w:val="0"/>
        <w:bidi w:val="0"/>
        <w:spacing w:line="312" w:lineRule="auto"/>
        <w:ind w:firstLine="640" w:firstLineChars="200"/>
        <w:contextualSpacing/>
        <w:rPr>
          <w:rFonts w:hint="eastAsia" w:ascii="仿宋_GB2312" w:hAnsi="仿宋_GB2312" w:eastAsia="仿宋_GB2312" w:cs="仿宋_GB2312"/>
          <w:color w:val="auto"/>
          <w:sz w:val="32"/>
          <w:szCs w:val="32"/>
          <w:highlight w:val="none"/>
        </w:rPr>
      </w:pPr>
    </w:p>
    <w:p w14:paraId="3CFD355E">
      <w:pPr>
        <w:pageBreakBefore w:val="0"/>
        <w:kinsoku/>
        <w:wordWrap/>
        <w:topLinePunct w:val="0"/>
        <w:bidi w:val="0"/>
        <w:spacing w:line="312" w:lineRule="auto"/>
        <w:ind w:firstLine="482" w:firstLineChars="200"/>
        <w:contextualSpacing/>
        <w:outlineLvl w:val="2"/>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A389B85">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8EB09DC">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69D589D">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52CD29D3">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8EF791D">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4C4E82B">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ADFE3E3">
      <w:pPr>
        <w:pageBreakBefore w:val="0"/>
        <w:kinsoku/>
        <w:wordWrap/>
        <w:topLinePunct w:val="0"/>
        <w:bidi w:val="0"/>
        <w:spacing w:line="312" w:lineRule="auto"/>
        <w:ind w:firstLine="482" w:firstLineChars="200"/>
        <w:contextualSpacing/>
        <w:outlineLvl w:val="2"/>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8774C08">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237D8271">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D4AB2F0">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D321B9E">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5981E2E">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1E7770B0">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C3B0D9C">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423269D">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p>
    <w:p w14:paraId="73052D21">
      <w:pPr>
        <w:pageBreakBefore w:val="0"/>
        <w:kinsoku/>
        <w:wordWrap/>
        <w:topLinePunct w:val="0"/>
        <w:bidi w:val="0"/>
        <w:spacing w:line="312"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97B15A6">
      <w:pPr>
        <w:pageBreakBefore w:val="0"/>
        <w:kinsoku/>
        <w:wordWrap/>
        <w:topLinePunct w:val="0"/>
        <w:bidi w:val="0"/>
        <w:spacing w:line="312" w:lineRule="auto"/>
        <w:contextualSpacing/>
        <w:rPr>
          <w:rFonts w:hint="eastAsia" w:ascii="宋体" w:hAnsi="宋体" w:cs="仿宋_GB2312"/>
          <w:color w:val="auto"/>
          <w:sz w:val="24"/>
          <w:highlight w:val="none"/>
        </w:rPr>
      </w:pPr>
    </w:p>
    <w:p w14:paraId="60230461">
      <w:pPr>
        <w:pageBreakBefore w:val="0"/>
        <w:kinsoku/>
        <w:wordWrap/>
        <w:topLinePunct w:val="0"/>
        <w:bidi w:val="0"/>
        <w:spacing w:line="312"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w:t>
      </w:r>
    </w:p>
    <w:p w14:paraId="60164EFF">
      <w:pPr>
        <w:pageBreakBefore w:val="0"/>
        <w:kinsoku/>
        <w:wordWrap/>
        <w:topLinePunct w:val="0"/>
        <w:bidi w:val="0"/>
        <w:spacing w:line="312"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0B6A3777">
      <w:pPr>
        <w:pageBreakBefore w:val="0"/>
        <w:kinsoku/>
        <w:wordWrap/>
        <w:topLinePunct w:val="0"/>
        <w:bidi w:val="0"/>
        <w:spacing w:line="312" w:lineRule="auto"/>
        <w:jc w:val="center"/>
        <w:rPr>
          <w:rFonts w:ascii="方正小标宋简体" w:hAnsi="方正小标宋简体" w:eastAsia="方正小标宋简体" w:cs="方正小标宋简体"/>
          <w:color w:val="auto"/>
          <w:sz w:val="44"/>
          <w:szCs w:val="44"/>
          <w:highlight w:val="none"/>
        </w:rPr>
        <w:sectPr>
          <w:pgSz w:w="11906" w:h="16838"/>
          <w:pgMar w:top="1440" w:right="1440" w:bottom="1440" w:left="1587" w:header="851" w:footer="992" w:gutter="0"/>
          <w:pgNumType w:fmt="decimal"/>
          <w:cols w:space="720" w:num="1"/>
          <w:titlePg/>
          <w:docGrid w:type="lines" w:linePitch="312" w:charSpace="0"/>
        </w:sectPr>
      </w:pPr>
    </w:p>
    <w:p w14:paraId="457EE976">
      <w:pPr>
        <w:pageBreakBefore w:val="0"/>
        <w:kinsoku/>
        <w:wordWrap/>
        <w:topLinePunct w:val="0"/>
        <w:bidi w:val="0"/>
        <w:spacing w:line="312" w:lineRule="auto"/>
        <w:jc w:val="center"/>
        <w:outlineLvl w:val="2"/>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商务条款偏离表格式</w:t>
      </w:r>
    </w:p>
    <w:p w14:paraId="309DF33A">
      <w:pPr>
        <w:pageBreakBefore w:val="0"/>
        <w:kinsoku/>
        <w:wordWrap/>
        <w:topLinePunct w:val="0"/>
        <w:bidi w:val="0"/>
        <w:spacing w:line="312" w:lineRule="auto"/>
        <w:contextualSpacing/>
        <w:jc w:val="left"/>
        <w:rPr>
          <w:rFonts w:hint="eastAsia" w:ascii="宋体" w:hAnsi="宋体"/>
          <w:color w:val="auto"/>
          <w:sz w:val="24"/>
          <w:highlight w:val="none"/>
        </w:rPr>
      </w:pPr>
    </w:p>
    <w:p w14:paraId="6B8DBEE5">
      <w:pPr>
        <w:pStyle w:val="18"/>
        <w:pageBreakBefore w:val="0"/>
        <w:kinsoku/>
        <w:wordWrap/>
        <w:topLinePunct w:val="0"/>
        <w:bidi w:val="0"/>
        <w:spacing w:line="312" w:lineRule="auto"/>
        <w:contextualSpacing/>
        <w:rPr>
          <w:rFonts w:hint="eastAsia" w:hAnsi="宋体" w:cs="仿宋_GB2312"/>
          <w:color w:val="auto"/>
          <w:sz w:val="24"/>
          <w:szCs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p>
    <w:p w14:paraId="2AC9FB4E">
      <w:pPr>
        <w:pageBreakBefore w:val="0"/>
        <w:kinsoku/>
        <w:wordWrap/>
        <w:topLinePunct w:val="0"/>
        <w:bidi w:val="0"/>
        <w:spacing w:line="312" w:lineRule="auto"/>
        <w:contextualSpacing/>
        <w:jc w:val="left"/>
        <w:rPr>
          <w:rFonts w:hint="eastAsia" w:ascii="宋体" w:hAnsi="宋体" w:cs="仿宋_GB2312"/>
          <w:color w:val="auto"/>
          <w:sz w:val="24"/>
          <w:highlight w:val="none"/>
          <w:u w:val="single"/>
        </w:rPr>
      </w:pPr>
    </w:p>
    <w:tbl>
      <w:tblPr>
        <w:tblStyle w:val="30"/>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A624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D4744EC">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66C2895">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F873F02">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61B02D3">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22C68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4F52996">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服务期限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0972A9">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A843B6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8F2C486">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r w14:paraId="2B92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8978875">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05D81B">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9CF1E24">
            <w:pPr>
              <w:pageBreakBefore w:val="0"/>
              <w:kinsoku/>
              <w:wordWrap/>
              <w:topLinePunct w:val="0"/>
              <w:bidi w:val="0"/>
              <w:spacing w:line="312"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B5CC298">
            <w:pPr>
              <w:pageBreakBefore w:val="0"/>
              <w:kinsoku/>
              <w:wordWrap/>
              <w:topLinePunct w:val="0"/>
              <w:bidi w:val="0"/>
              <w:spacing w:line="312" w:lineRule="auto"/>
              <w:ind w:left="43"/>
              <w:contextualSpacing/>
              <w:jc w:val="center"/>
              <w:rPr>
                <w:rFonts w:hint="eastAsia" w:ascii="宋体" w:hAnsi="宋体" w:cs="仿宋_GB2312"/>
                <w:color w:val="auto"/>
                <w:sz w:val="24"/>
                <w:highlight w:val="none"/>
              </w:rPr>
            </w:pPr>
          </w:p>
        </w:tc>
      </w:tr>
      <w:tr w14:paraId="6A7CB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7FFAB18">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付款方式、时间和条件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638D0AC">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6843C0E">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4BCBC21">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r w14:paraId="7254B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C4C05BC">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C51CAAE">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BFE9E26">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6CF0AB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bl>
    <w:p w14:paraId="6AFF6880">
      <w:pPr>
        <w:pStyle w:val="12"/>
        <w:pageBreakBefore w:val="0"/>
        <w:kinsoku/>
        <w:wordWrap/>
        <w:topLinePunct w:val="0"/>
        <w:bidi w:val="0"/>
        <w:spacing w:after="0" w:line="312"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4BCC0F7D">
      <w:pPr>
        <w:pStyle w:val="12"/>
        <w:pageBreakBefore w:val="0"/>
        <w:kinsoku/>
        <w:wordWrap/>
        <w:topLinePunct w:val="0"/>
        <w:bidi w:val="0"/>
        <w:spacing w:after="0" w:line="312"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采购需求”中的商务条款逐条</w:t>
      </w:r>
      <w:r>
        <w:rPr>
          <w:rFonts w:hint="eastAsia" w:ascii="宋体" w:hAnsi="宋体"/>
          <w:color w:val="auto"/>
          <w:kern w:val="0"/>
          <w:sz w:val="24"/>
          <w:szCs w:val="24"/>
          <w:highlight w:val="none"/>
          <w:lang w:eastAsia="zh-CN"/>
        </w:rPr>
        <w:t>作出明确</w:t>
      </w:r>
      <w:r>
        <w:rPr>
          <w:rFonts w:hint="eastAsia" w:ascii="宋体" w:hAnsi="宋体"/>
          <w:color w:val="auto"/>
          <w:kern w:val="0"/>
          <w:sz w:val="24"/>
          <w:szCs w:val="24"/>
          <w:highlight w:val="none"/>
        </w:rPr>
        <w:t>响应，并作出偏离说明。</w:t>
      </w:r>
    </w:p>
    <w:p w14:paraId="6C3A92D0">
      <w:pPr>
        <w:pageBreakBefore w:val="0"/>
        <w:kinsoku/>
        <w:wordWrap/>
        <w:topLinePunct w:val="0"/>
        <w:bidi w:val="0"/>
        <w:spacing w:line="312"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28431EA">
      <w:pPr>
        <w:pageBreakBefore w:val="0"/>
        <w:kinsoku/>
        <w:wordWrap/>
        <w:topLinePunct w:val="0"/>
        <w:bidi w:val="0"/>
        <w:spacing w:line="312" w:lineRule="auto"/>
        <w:ind w:right="-817" w:rightChars="-389"/>
        <w:contextualSpacing/>
        <w:rPr>
          <w:rFonts w:hint="eastAsia" w:ascii="宋体" w:hAnsi="宋体" w:cs="仿宋_GB2312"/>
          <w:color w:val="auto"/>
          <w:sz w:val="24"/>
          <w:highlight w:val="none"/>
        </w:rPr>
      </w:pPr>
    </w:p>
    <w:p w14:paraId="6A1CE692">
      <w:pPr>
        <w:pageBreakBefore w:val="0"/>
        <w:kinsoku/>
        <w:wordWrap/>
        <w:topLinePunct w:val="0"/>
        <w:bidi w:val="0"/>
        <w:spacing w:line="312"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 xml:space="preserve">）：                    </w:t>
      </w:r>
    </w:p>
    <w:p w14:paraId="33EFEE9E">
      <w:pPr>
        <w:pageBreakBefore w:val="0"/>
        <w:kinsoku/>
        <w:wordWrap/>
        <w:topLinePunct w:val="0"/>
        <w:bidi w:val="0"/>
        <w:spacing w:line="312" w:lineRule="auto"/>
        <w:ind w:left="0" w:leftChars="0" w:right="-817" w:rightChars="-389" w:firstLine="3789" w:firstLineChars="1579"/>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 xml:space="preserve">）：      </w:t>
      </w:r>
    </w:p>
    <w:p w14:paraId="045ED7CD">
      <w:pPr>
        <w:pageBreakBefore w:val="0"/>
        <w:kinsoku/>
        <w:wordWrap/>
        <w:topLinePunct w:val="0"/>
        <w:bidi w:val="0"/>
        <w:spacing w:line="312" w:lineRule="auto"/>
        <w:ind w:left="0" w:leftChars="0" w:right="-817" w:rightChars="-389" w:firstLine="5520" w:firstLineChars="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500DC498">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7D54DB47">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160EDED">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BAAF903">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E1AA072">
      <w:pPr>
        <w:pageBreakBefore w:val="0"/>
        <w:kinsoku/>
        <w:wordWrap/>
        <w:topLinePunct w:val="0"/>
        <w:bidi w:val="0"/>
        <w:adjustRightInd w:val="0"/>
        <w:snapToGrid w:val="0"/>
        <w:spacing w:line="312" w:lineRule="auto"/>
        <w:rPr>
          <w:rFonts w:hint="eastAsia" w:ascii="宋体" w:hAnsi="宋体"/>
          <w:color w:val="auto"/>
          <w:szCs w:val="21"/>
          <w:highlight w:val="none"/>
          <w:u w:val="single"/>
        </w:rPr>
      </w:pPr>
    </w:p>
    <w:p w14:paraId="72E4C7B8">
      <w:pPr>
        <w:pageBreakBefore w:val="0"/>
        <w:kinsoku/>
        <w:wordWrap/>
        <w:topLinePunct w:val="0"/>
        <w:bidi w:val="0"/>
        <w:adjustRightInd w:val="0"/>
        <w:snapToGrid w:val="0"/>
        <w:spacing w:line="312" w:lineRule="auto"/>
        <w:jc w:val="center"/>
        <w:outlineLvl w:val="2"/>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技术</w:t>
      </w:r>
      <w:r>
        <w:rPr>
          <w:rFonts w:hint="eastAsia" w:ascii="方正小标宋简体" w:hAnsi="方正小标宋简体" w:eastAsia="方正小标宋简体" w:cs="方正小标宋简体"/>
          <w:bCs/>
          <w:color w:val="auto"/>
          <w:sz w:val="44"/>
          <w:szCs w:val="44"/>
          <w:highlight w:val="none"/>
        </w:rPr>
        <w:t>需求偏离表</w:t>
      </w:r>
    </w:p>
    <w:p w14:paraId="73E462F6">
      <w:pPr>
        <w:pageBreakBefore w:val="0"/>
        <w:kinsoku/>
        <w:wordWrap/>
        <w:topLinePunct w:val="0"/>
        <w:bidi w:val="0"/>
        <w:spacing w:line="312" w:lineRule="auto"/>
        <w:rPr>
          <w:rFonts w:hint="eastAsia" w:ascii="仿宋_GB2312" w:hAnsi="仿宋_GB2312" w:eastAsia="仿宋_GB2312" w:cs="仿宋_GB2312"/>
          <w:color w:val="auto"/>
          <w:sz w:val="32"/>
          <w:szCs w:val="32"/>
          <w:highlight w:val="none"/>
        </w:rPr>
      </w:pPr>
    </w:p>
    <w:p w14:paraId="5ED474D4">
      <w:pPr>
        <w:pageBreakBefore w:val="0"/>
        <w:kinsoku/>
        <w:wordWrap/>
        <w:topLinePunct w:val="0"/>
        <w:bidi w:val="0"/>
        <w:spacing w:line="312"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9D8B15C">
      <w:pPr>
        <w:pageBreakBefore w:val="0"/>
        <w:kinsoku/>
        <w:wordWrap/>
        <w:topLinePunct w:val="0"/>
        <w:bidi w:val="0"/>
        <w:spacing w:line="312"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3C6C22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5A402DF">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5" w:name="_Toc301781611"/>
            <w:bookmarkStart w:id="116" w:name="_Toc254970588"/>
            <w:bookmarkStart w:id="117" w:name="_Toc373333689"/>
            <w:bookmarkStart w:id="118" w:name="_Toc173066401"/>
            <w:bookmarkStart w:id="119" w:name="_Toc297193185"/>
            <w:bookmarkStart w:id="120" w:name="_Toc295404981"/>
            <w:bookmarkStart w:id="121" w:name="_Toc254970729"/>
            <w:bookmarkStart w:id="122" w:name="_Toc173211900"/>
            <w:bookmarkStart w:id="123" w:name="_Toc383699906"/>
            <w:r>
              <w:rPr>
                <w:rFonts w:hint="eastAsia" w:ascii="宋体" w:hAnsi="宋体" w:eastAsia="宋体" w:cs="仿宋_GB2312"/>
                <w:color w:val="auto"/>
                <w:kern w:val="2"/>
                <w:sz w:val="24"/>
                <w:szCs w:val="24"/>
                <w:highlight w:val="none"/>
                <w:lang w:val="en-US" w:eastAsia="zh-CN"/>
              </w:rPr>
              <w:t>序号</w:t>
            </w:r>
            <w:bookmarkEnd w:id="115"/>
            <w:bookmarkEnd w:id="116"/>
            <w:bookmarkEnd w:id="117"/>
            <w:bookmarkEnd w:id="118"/>
            <w:bookmarkEnd w:id="119"/>
            <w:bookmarkEnd w:id="120"/>
            <w:bookmarkEnd w:id="121"/>
            <w:bookmarkEnd w:id="122"/>
            <w:bookmarkEnd w:id="123"/>
          </w:p>
        </w:tc>
        <w:tc>
          <w:tcPr>
            <w:tcW w:w="900" w:type="dxa"/>
            <w:tcBorders>
              <w:right w:val="single" w:color="auto" w:sz="4" w:space="0"/>
            </w:tcBorders>
            <w:noWrap w:val="0"/>
            <w:vAlign w:val="center"/>
          </w:tcPr>
          <w:p w14:paraId="11B63F44">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9" w:type="dxa"/>
            <w:tcBorders>
              <w:left w:val="single" w:color="auto" w:sz="4" w:space="0"/>
            </w:tcBorders>
            <w:noWrap w:val="0"/>
            <w:vAlign w:val="center"/>
          </w:tcPr>
          <w:p w14:paraId="12EE695D">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磋商文件技术需求</w:t>
            </w:r>
          </w:p>
        </w:tc>
        <w:tc>
          <w:tcPr>
            <w:tcW w:w="2690" w:type="dxa"/>
            <w:noWrap w:val="0"/>
            <w:vAlign w:val="center"/>
          </w:tcPr>
          <w:p w14:paraId="0CB01FAA">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4" w:name="_Toc254970731"/>
            <w:bookmarkStart w:id="125" w:name="_Toc173066403"/>
            <w:bookmarkStart w:id="126" w:name="_Toc173211902"/>
            <w:bookmarkStart w:id="127" w:name="_Toc301781613"/>
            <w:bookmarkStart w:id="128" w:name="_Toc297193187"/>
            <w:bookmarkStart w:id="129" w:name="_Toc383699908"/>
            <w:bookmarkStart w:id="130" w:name="_Toc295404983"/>
            <w:bookmarkStart w:id="131" w:name="_Toc373333691"/>
            <w:bookmarkStart w:id="132" w:name="_Toc254970590"/>
            <w:r>
              <w:rPr>
                <w:rFonts w:hint="eastAsia" w:ascii="宋体" w:hAnsi="宋体" w:eastAsia="宋体" w:cs="仿宋_GB2312"/>
                <w:color w:val="auto"/>
                <w:kern w:val="2"/>
                <w:sz w:val="24"/>
                <w:szCs w:val="24"/>
                <w:highlight w:val="none"/>
                <w:lang w:val="en-US" w:eastAsia="zh-CN"/>
              </w:rPr>
              <w:t>竞标响应</w:t>
            </w:r>
            <w:bookmarkEnd w:id="124"/>
            <w:bookmarkEnd w:id="125"/>
            <w:bookmarkEnd w:id="126"/>
            <w:bookmarkEnd w:id="127"/>
            <w:bookmarkEnd w:id="128"/>
            <w:bookmarkEnd w:id="129"/>
            <w:bookmarkEnd w:id="130"/>
            <w:bookmarkEnd w:id="131"/>
            <w:bookmarkEnd w:id="132"/>
          </w:p>
        </w:tc>
        <w:tc>
          <w:tcPr>
            <w:tcW w:w="1467" w:type="dxa"/>
            <w:noWrap w:val="0"/>
            <w:vAlign w:val="center"/>
          </w:tcPr>
          <w:p w14:paraId="1DD4893D">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33" w:name="_Toc373333692"/>
            <w:bookmarkStart w:id="134" w:name="_Toc173066404"/>
            <w:bookmarkStart w:id="135" w:name="_Toc295404984"/>
            <w:bookmarkStart w:id="136" w:name="_Toc383699909"/>
            <w:bookmarkStart w:id="137" w:name="_Toc254970591"/>
            <w:bookmarkStart w:id="138" w:name="_Toc301781614"/>
            <w:bookmarkStart w:id="139" w:name="_Toc173211903"/>
            <w:bookmarkStart w:id="140" w:name="_Toc297193188"/>
            <w:bookmarkStart w:id="141" w:name="_Toc254970732"/>
            <w:r>
              <w:rPr>
                <w:rFonts w:hint="eastAsia" w:ascii="宋体" w:hAnsi="宋体" w:eastAsia="宋体" w:cs="仿宋_GB2312"/>
                <w:color w:val="auto"/>
                <w:kern w:val="2"/>
                <w:sz w:val="24"/>
                <w:szCs w:val="24"/>
                <w:highlight w:val="none"/>
                <w:lang w:val="en-US" w:eastAsia="zh-CN"/>
              </w:rPr>
              <w:t>偏离</w:t>
            </w:r>
            <w:bookmarkEnd w:id="133"/>
            <w:bookmarkEnd w:id="134"/>
            <w:bookmarkEnd w:id="135"/>
            <w:bookmarkEnd w:id="136"/>
            <w:bookmarkEnd w:id="137"/>
            <w:bookmarkEnd w:id="138"/>
            <w:bookmarkEnd w:id="139"/>
            <w:bookmarkEnd w:id="140"/>
            <w:bookmarkEnd w:id="141"/>
            <w:bookmarkStart w:id="142" w:name="_Toc254970733"/>
            <w:bookmarkStart w:id="143" w:name="_Toc297193189"/>
            <w:bookmarkStart w:id="144" w:name="_Toc173211904"/>
            <w:bookmarkStart w:id="145" w:name="_Toc373333693"/>
            <w:bookmarkStart w:id="146" w:name="_Toc295404985"/>
            <w:bookmarkStart w:id="147" w:name="_Toc301781615"/>
            <w:bookmarkStart w:id="148" w:name="_Toc383699910"/>
            <w:bookmarkStart w:id="149" w:name="_Toc254970592"/>
            <w:bookmarkStart w:id="150" w:name="_Toc173066405"/>
            <w:r>
              <w:rPr>
                <w:rFonts w:hint="eastAsia" w:ascii="宋体" w:hAnsi="宋体" w:eastAsia="宋体" w:cs="仿宋_GB2312"/>
                <w:color w:val="auto"/>
                <w:kern w:val="2"/>
                <w:sz w:val="24"/>
                <w:szCs w:val="24"/>
                <w:highlight w:val="none"/>
                <w:lang w:val="en-US" w:eastAsia="zh-CN"/>
              </w:rPr>
              <w:t>说明</w:t>
            </w:r>
            <w:bookmarkEnd w:id="142"/>
            <w:bookmarkEnd w:id="143"/>
            <w:bookmarkEnd w:id="144"/>
            <w:bookmarkEnd w:id="145"/>
            <w:bookmarkEnd w:id="146"/>
            <w:bookmarkEnd w:id="147"/>
            <w:bookmarkEnd w:id="148"/>
            <w:bookmarkEnd w:id="149"/>
            <w:bookmarkEnd w:id="150"/>
          </w:p>
        </w:tc>
      </w:tr>
      <w:tr w14:paraId="618592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3B03356">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51" w:name="_Toc173066406"/>
            <w:bookmarkStart w:id="152" w:name="_Toc373333694"/>
            <w:bookmarkStart w:id="153" w:name="_Toc254970734"/>
            <w:bookmarkStart w:id="154" w:name="_Toc297193190"/>
            <w:bookmarkStart w:id="155" w:name="_Toc254970593"/>
            <w:bookmarkStart w:id="156" w:name="_Toc295404986"/>
            <w:bookmarkStart w:id="157" w:name="_Toc173211905"/>
            <w:bookmarkStart w:id="158" w:name="_Toc301781616"/>
            <w:bookmarkStart w:id="159" w:name="_Toc383699911"/>
            <w:r>
              <w:rPr>
                <w:rFonts w:hint="eastAsia" w:ascii="宋体" w:hAnsi="宋体" w:eastAsia="宋体" w:cs="仿宋_GB2312"/>
                <w:color w:val="auto"/>
                <w:kern w:val="2"/>
                <w:sz w:val="24"/>
                <w:szCs w:val="24"/>
                <w:highlight w:val="none"/>
                <w:lang w:val="en-US" w:eastAsia="zh-CN"/>
              </w:rPr>
              <w:t>1</w:t>
            </w:r>
            <w:bookmarkEnd w:id="151"/>
            <w:bookmarkEnd w:id="152"/>
            <w:bookmarkEnd w:id="153"/>
            <w:bookmarkEnd w:id="154"/>
            <w:bookmarkEnd w:id="155"/>
            <w:bookmarkEnd w:id="156"/>
            <w:bookmarkEnd w:id="157"/>
            <w:bookmarkEnd w:id="158"/>
            <w:bookmarkEnd w:id="159"/>
          </w:p>
        </w:tc>
        <w:tc>
          <w:tcPr>
            <w:tcW w:w="900" w:type="dxa"/>
            <w:tcBorders>
              <w:right w:val="single" w:color="auto" w:sz="4" w:space="0"/>
            </w:tcBorders>
            <w:noWrap w:val="0"/>
            <w:vAlign w:val="center"/>
          </w:tcPr>
          <w:p w14:paraId="0CCC4F0E">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46D7D861">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28C75ECF">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04998210">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3E8AE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B4D4D2B">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60" w:name="_Toc254970735"/>
            <w:bookmarkStart w:id="161" w:name="_Toc173066407"/>
            <w:bookmarkStart w:id="162" w:name="_Toc373333695"/>
            <w:bookmarkStart w:id="163" w:name="_Toc297193191"/>
            <w:bookmarkStart w:id="164" w:name="_Toc173211906"/>
            <w:bookmarkStart w:id="165" w:name="_Toc295404987"/>
            <w:bookmarkStart w:id="166" w:name="_Toc301781617"/>
            <w:bookmarkStart w:id="167" w:name="_Toc254970594"/>
            <w:bookmarkStart w:id="168" w:name="_Toc383699912"/>
            <w:r>
              <w:rPr>
                <w:rFonts w:hint="eastAsia" w:ascii="宋体" w:hAnsi="宋体" w:eastAsia="宋体" w:cs="仿宋_GB2312"/>
                <w:color w:val="auto"/>
                <w:kern w:val="2"/>
                <w:sz w:val="24"/>
                <w:szCs w:val="24"/>
                <w:highlight w:val="none"/>
                <w:lang w:val="en-US" w:eastAsia="zh-CN"/>
              </w:rPr>
              <w:t>2</w:t>
            </w:r>
            <w:bookmarkEnd w:id="160"/>
            <w:bookmarkEnd w:id="161"/>
            <w:bookmarkEnd w:id="162"/>
            <w:bookmarkEnd w:id="163"/>
            <w:bookmarkEnd w:id="164"/>
            <w:bookmarkEnd w:id="165"/>
            <w:bookmarkEnd w:id="166"/>
            <w:bookmarkEnd w:id="167"/>
            <w:bookmarkEnd w:id="168"/>
          </w:p>
        </w:tc>
        <w:tc>
          <w:tcPr>
            <w:tcW w:w="900" w:type="dxa"/>
            <w:tcBorders>
              <w:right w:val="single" w:color="auto" w:sz="4" w:space="0"/>
            </w:tcBorders>
            <w:noWrap w:val="0"/>
            <w:vAlign w:val="center"/>
          </w:tcPr>
          <w:p w14:paraId="794D6CFD">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1D13A1E9">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98818C8">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0DDD3E92">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1EED0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28E07AF">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69" w:name="_Toc254970595"/>
            <w:bookmarkStart w:id="170" w:name="_Toc297193192"/>
            <w:bookmarkStart w:id="171" w:name="_Toc295404988"/>
            <w:bookmarkStart w:id="172" w:name="_Toc301781618"/>
            <w:bookmarkStart w:id="173" w:name="_Toc173211907"/>
            <w:bookmarkStart w:id="174" w:name="_Toc254970736"/>
            <w:bookmarkStart w:id="175" w:name="_Toc383699913"/>
            <w:bookmarkStart w:id="176" w:name="_Toc373333696"/>
            <w:bookmarkStart w:id="177" w:name="_Toc173066408"/>
            <w:r>
              <w:rPr>
                <w:rFonts w:hint="eastAsia" w:ascii="宋体" w:hAnsi="宋体" w:eastAsia="宋体" w:cs="仿宋_GB2312"/>
                <w:color w:val="auto"/>
                <w:kern w:val="2"/>
                <w:sz w:val="24"/>
                <w:szCs w:val="24"/>
                <w:highlight w:val="none"/>
                <w:lang w:val="en-US" w:eastAsia="zh-CN"/>
              </w:rPr>
              <w:t>3</w:t>
            </w:r>
            <w:bookmarkEnd w:id="169"/>
            <w:bookmarkEnd w:id="170"/>
            <w:bookmarkEnd w:id="171"/>
            <w:bookmarkEnd w:id="172"/>
            <w:bookmarkEnd w:id="173"/>
            <w:bookmarkEnd w:id="174"/>
            <w:bookmarkEnd w:id="175"/>
            <w:bookmarkEnd w:id="176"/>
            <w:bookmarkEnd w:id="177"/>
          </w:p>
        </w:tc>
        <w:tc>
          <w:tcPr>
            <w:tcW w:w="900" w:type="dxa"/>
            <w:tcBorders>
              <w:right w:val="single" w:color="auto" w:sz="4" w:space="0"/>
            </w:tcBorders>
            <w:noWrap w:val="0"/>
            <w:vAlign w:val="center"/>
          </w:tcPr>
          <w:p w14:paraId="635FD77E">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19F08009">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ECA04F9">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CC04D7C">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7897A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ABB435E">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78" w:name="_Toc383699914"/>
            <w:bookmarkStart w:id="179" w:name="_Toc295404989"/>
            <w:bookmarkStart w:id="180" w:name="_Toc297193193"/>
            <w:bookmarkStart w:id="181" w:name="_Toc254970737"/>
            <w:bookmarkStart w:id="182" w:name="_Toc254970596"/>
            <w:bookmarkStart w:id="183" w:name="_Toc301781619"/>
            <w:bookmarkStart w:id="184" w:name="_Toc173066409"/>
            <w:bookmarkStart w:id="185" w:name="_Toc173211908"/>
            <w:bookmarkStart w:id="186" w:name="_Toc373333697"/>
            <w:r>
              <w:rPr>
                <w:rFonts w:hint="eastAsia" w:ascii="宋体" w:hAnsi="宋体" w:eastAsia="宋体" w:cs="仿宋_GB2312"/>
                <w:color w:val="auto"/>
                <w:kern w:val="2"/>
                <w:sz w:val="24"/>
                <w:szCs w:val="24"/>
                <w:highlight w:val="none"/>
                <w:lang w:val="en-US" w:eastAsia="zh-CN"/>
              </w:rPr>
              <w:t>4</w:t>
            </w:r>
            <w:bookmarkEnd w:id="178"/>
            <w:bookmarkEnd w:id="179"/>
            <w:bookmarkEnd w:id="180"/>
            <w:bookmarkEnd w:id="181"/>
            <w:bookmarkEnd w:id="182"/>
            <w:bookmarkEnd w:id="183"/>
            <w:bookmarkEnd w:id="184"/>
            <w:bookmarkEnd w:id="185"/>
            <w:bookmarkEnd w:id="186"/>
          </w:p>
        </w:tc>
        <w:tc>
          <w:tcPr>
            <w:tcW w:w="900" w:type="dxa"/>
            <w:tcBorders>
              <w:right w:val="single" w:color="auto" w:sz="4" w:space="0"/>
            </w:tcBorders>
            <w:noWrap w:val="0"/>
            <w:vAlign w:val="center"/>
          </w:tcPr>
          <w:p w14:paraId="4FD08677">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6A97E62B">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5D5450F5">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27954446">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2D7581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2877E48">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87" w:name="_Toc297193194"/>
            <w:bookmarkStart w:id="188" w:name="_Toc254970597"/>
            <w:bookmarkStart w:id="189" w:name="_Toc373333698"/>
            <w:bookmarkStart w:id="190" w:name="_Toc295404990"/>
            <w:bookmarkStart w:id="191" w:name="_Toc383699915"/>
            <w:bookmarkStart w:id="192" w:name="_Toc301781620"/>
            <w:bookmarkStart w:id="193" w:name="_Toc173211909"/>
            <w:bookmarkStart w:id="194" w:name="_Toc254970738"/>
            <w:bookmarkStart w:id="195" w:name="_Toc173066410"/>
            <w:r>
              <w:rPr>
                <w:rFonts w:hint="eastAsia" w:ascii="宋体" w:hAnsi="宋体" w:eastAsia="宋体" w:cs="仿宋_GB2312"/>
                <w:color w:val="auto"/>
                <w:kern w:val="2"/>
                <w:sz w:val="24"/>
                <w:szCs w:val="24"/>
                <w:highlight w:val="none"/>
                <w:lang w:val="en-US" w:eastAsia="zh-CN"/>
              </w:rPr>
              <w:t>5</w:t>
            </w:r>
            <w:bookmarkEnd w:id="187"/>
            <w:bookmarkEnd w:id="188"/>
            <w:bookmarkEnd w:id="189"/>
            <w:bookmarkEnd w:id="190"/>
            <w:bookmarkEnd w:id="191"/>
            <w:bookmarkEnd w:id="192"/>
            <w:bookmarkEnd w:id="193"/>
            <w:bookmarkEnd w:id="194"/>
            <w:bookmarkEnd w:id="195"/>
          </w:p>
        </w:tc>
        <w:tc>
          <w:tcPr>
            <w:tcW w:w="900" w:type="dxa"/>
            <w:tcBorders>
              <w:right w:val="single" w:color="auto" w:sz="4" w:space="0"/>
            </w:tcBorders>
            <w:noWrap w:val="0"/>
            <w:vAlign w:val="center"/>
          </w:tcPr>
          <w:p w14:paraId="263764DF">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265ED415">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D49C575">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76D82C66">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6902A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322C567C">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96" w:name="_Toc301781621"/>
            <w:bookmarkStart w:id="197" w:name="_Toc173211914"/>
            <w:bookmarkStart w:id="198" w:name="_Toc254970743"/>
            <w:bookmarkStart w:id="199" w:name="_Toc373333699"/>
            <w:bookmarkStart w:id="200" w:name="_Toc297193195"/>
            <w:bookmarkStart w:id="201" w:name="_Toc383699916"/>
            <w:bookmarkStart w:id="202" w:name="_Toc295404991"/>
            <w:bookmarkStart w:id="203" w:name="_Toc254970602"/>
            <w:bookmarkStart w:id="204" w:name="_Toc173066415"/>
            <w:r>
              <w:rPr>
                <w:rFonts w:hint="eastAsia" w:ascii="宋体" w:hAnsi="宋体" w:eastAsia="宋体" w:cs="仿宋_GB2312"/>
                <w:color w:val="auto"/>
                <w:kern w:val="2"/>
                <w:sz w:val="24"/>
                <w:szCs w:val="24"/>
                <w:highlight w:val="none"/>
                <w:lang w:val="en-US" w:eastAsia="zh-CN"/>
              </w:rPr>
              <w:t>…</w:t>
            </w:r>
            <w:bookmarkEnd w:id="196"/>
            <w:bookmarkEnd w:id="197"/>
            <w:bookmarkEnd w:id="198"/>
            <w:bookmarkEnd w:id="199"/>
            <w:bookmarkEnd w:id="200"/>
            <w:bookmarkEnd w:id="201"/>
            <w:bookmarkEnd w:id="202"/>
            <w:bookmarkEnd w:id="203"/>
            <w:bookmarkEnd w:id="204"/>
          </w:p>
        </w:tc>
        <w:tc>
          <w:tcPr>
            <w:tcW w:w="900" w:type="dxa"/>
            <w:tcBorders>
              <w:right w:val="single" w:color="auto" w:sz="4" w:space="0"/>
            </w:tcBorders>
            <w:noWrap w:val="0"/>
            <w:vAlign w:val="center"/>
          </w:tcPr>
          <w:p w14:paraId="50C4C1D9">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2720A351">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52CDA2F">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0"/>
            <w:vAlign w:val="center"/>
          </w:tcPr>
          <w:p w14:paraId="61BB19A1">
            <w:pPr>
              <w:pStyle w:val="14"/>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2C8BF073">
      <w:pPr>
        <w:pageBreakBefore w:val="0"/>
        <w:kinsoku/>
        <w:wordWrap/>
        <w:topLinePunct w:val="0"/>
        <w:bidi w:val="0"/>
        <w:adjustRightInd w:val="0"/>
        <w:spacing w:line="312" w:lineRule="auto"/>
        <w:contextualSpacing/>
        <w:rPr>
          <w:rFonts w:hint="eastAsia" w:ascii="宋体" w:hAnsi="宋体" w:cs="仿宋_GB2312"/>
          <w:color w:val="auto"/>
          <w:sz w:val="24"/>
          <w:highlight w:val="none"/>
        </w:rPr>
      </w:pPr>
    </w:p>
    <w:p w14:paraId="47C44D60">
      <w:pPr>
        <w:pStyle w:val="14"/>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B566E5A">
      <w:pPr>
        <w:pStyle w:val="14"/>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w:t>
      </w:r>
      <w:r>
        <w:rPr>
          <w:rFonts w:hint="eastAsia" w:ascii="宋体" w:hAnsi="宋体" w:eastAsia="宋体" w:cs="仿宋_GB2312"/>
          <w:color w:val="auto"/>
          <w:kern w:val="2"/>
          <w:sz w:val="24"/>
          <w:szCs w:val="24"/>
          <w:highlight w:val="none"/>
          <w:lang w:val="en-US" w:eastAsia="zh-CN"/>
        </w:rPr>
        <w:t>技术</w:t>
      </w:r>
      <w:r>
        <w:rPr>
          <w:rFonts w:hint="eastAsia" w:ascii="宋体" w:hAnsi="宋体" w:eastAsia="宋体" w:cs="仿宋_GB2312"/>
          <w:color w:val="auto"/>
          <w:sz w:val="24"/>
          <w:szCs w:val="24"/>
          <w:highlight w:val="none"/>
        </w:rPr>
        <w:t>需求逐条作出明确响应，并作出偏离说明。</w:t>
      </w:r>
    </w:p>
    <w:p w14:paraId="55E1F5F0">
      <w:pPr>
        <w:pStyle w:val="14"/>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1FE95672">
      <w:pPr>
        <w:pStyle w:val="18"/>
        <w:pageBreakBefore w:val="0"/>
        <w:kinsoku/>
        <w:wordWrap/>
        <w:topLinePunct w:val="0"/>
        <w:bidi w:val="0"/>
        <w:spacing w:line="312" w:lineRule="auto"/>
        <w:contextualSpacing/>
        <w:rPr>
          <w:rFonts w:hint="eastAsia" w:hAnsi="宋体" w:cs="仿宋_GB2312"/>
          <w:color w:val="auto"/>
          <w:sz w:val="24"/>
          <w:szCs w:val="24"/>
          <w:highlight w:val="none"/>
        </w:rPr>
      </w:pPr>
    </w:p>
    <w:p w14:paraId="684630FD">
      <w:pPr>
        <w:pageBreakBefore w:val="0"/>
        <w:kinsoku/>
        <w:wordWrap/>
        <w:topLinePunct w:val="0"/>
        <w:bidi w:val="0"/>
        <w:spacing w:line="312" w:lineRule="auto"/>
        <w:ind w:right="-817" w:rightChars="-389"/>
        <w:contextualSpacing/>
        <w:rPr>
          <w:rFonts w:hint="eastAsia" w:ascii="宋体" w:hAnsi="宋体" w:cs="仿宋_GB2312"/>
          <w:color w:val="auto"/>
          <w:sz w:val="24"/>
          <w:highlight w:val="none"/>
        </w:rPr>
      </w:pPr>
    </w:p>
    <w:p w14:paraId="558E0CC8">
      <w:pPr>
        <w:pageBreakBefore w:val="0"/>
        <w:kinsoku/>
        <w:wordWrap/>
        <w:topLinePunct w:val="0"/>
        <w:bidi w:val="0"/>
        <w:spacing w:line="312"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 xml:space="preserve">）：                    </w:t>
      </w:r>
    </w:p>
    <w:p w14:paraId="5C7CCE4B">
      <w:pPr>
        <w:pageBreakBefore w:val="0"/>
        <w:kinsoku/>
        <w:wordWrap/>
        <w:topLinePunct w:val="0"/>
        <w:bidi w:val="0"/>
        <w:spacing w:line="312" w:lineRule="auto"/>
        <w:ind w:right="-817" w:rightChars="-389"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hAnsi="宋体"/>
          <w:color w:val="auto"/>
          <w:sz w:val="24"/>
          <w:highlight w:val="none"/>
          <w:lang w:val="en-US" w:eastAsia="zh-CN"/>
        </w:rPr>
        <w:t>电子签章</w:t>
      </w:r>
      <w:r>
        <w:rPr>
          <w:rFonts w:hint="eastAsia" w:ascii="宋体" w:hAnsi="宋体" w:cs="仿宋_GB2312"/>
          <w:color w:val="auto"/>
          <w:sz w:val="24"/>
          <w:highlight w:val="none"/>
        </w:rPr>
        <w:t xml:space="preserve">）：      </w:t>
      </w:r>
    </w:p>
    <w:p w14:paraId="685B62A8">
      <w:pPr>
        <w:pageBreakBefore w:val="0"/>
        <w:kinsoku/>
        <w:wordWrap/>
        <w:topLinePunct w:val="0"/>
        <w:bidi w:val="0"/>
        <w:spacing w:line="312" w:lineRule="auto"/>
        <w:ind w:right="-817" w:rightChars="-389" w:firstLine="5520" w:firstLineChars="23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8E9AC8C">
      <w:pPr>
        <w:pageBreakBefore w:val="0"/>
        <w:kinsoku/>
        <w:wordWrap/>
        <w:topLinePunct w:val="0"/>
        <w:bidi w:val="0"/>
        <w:snapToGrid w:val="0"/>
        <w:spacing w:before="120" w:beforeLines="50" w:after="50" w:line="312" w:lineRule="auto"/>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4C96652B">
      <w:pPr>
        <w:pageBreakBefore w:val="0"/>
        <w:kinsoku/>
        <w:wordWrap/>
        <w:topLinePunct w:val="0"/>
        <w:bidi w:val="0"/>
        <w:snapToGrid w:val="0"/>
        <w:spacing w:before="120" w:beforeLines="50" w:after="50" w:line="312" w:lineRule="auto"/>
        <w:ind w:left="142"/>
        <w:jc w:val="left"/>
        <w:rPr>
          <w:rFonts w:hint="eastAsia" w:ascii="宋体" w:hAnsi="宋体"/>
          <w:b/>
          <w:color w:val="auto"/>
          <w:sz w:val="24"/>
          <w:highlight w:val="none"/>
        </w:rPr>
      </w:pPr>
    </w:p>
    <w:p w14:paraId="2BE0B53F">
      <w:pPr>
        <w:pageBreakBefore w:val="0"/>
        <w:kinsoku/>
        <w:wordWrap/>
        <w:topLinePunct w:val="0"/>
        <w:bidi w:val="0"/>
        <w:spacing w:line="312"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41"/>
        <w:gridCol w:w="2100"/>
        <w:gridCol w:w="1485"/>
        <w:gridCol w:w="1695"/>
        <w:gridCol w:w="1845"/>
      </w:tblGrid>
      <w:tr w14:paraId="59F3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30D72E2">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1041" w:type="dxa"/>
            <w:noWrap w:val="0"/>
            <w:vAlign w:val="center"/>
          </w:tcPr>
          <w:p w14:paraId="2027642A">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2100" w:type="dxa"/>
            <w:noWrap w:val="0"/>
            <w:vAlign w:val="center"/>
          </w:tcPr>
          <w:p w14:paraId="6F4A20E8">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85" w:type="dxa"/>
            <w:noWrap w:val="0"/>
            <w:vAlign w:val="center"/>
          </w:tcPr>
          <w:p w14:paraId="6AFA0F3A">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5" w:type="dxa"/>
            <w:noWrap w:val="0"/>
            <w:vAlign w:val="center"/>
          </w:tcPr>
          <w:p w14:paraId="5D87C2CB">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7AC993AA">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5" w:type="dxa"/>
            <w:noWrap w:val="0"/>
            <w:vAlign w:val="center"/>
          </w:tcPr>
          <w:p w14:paraId="4D67421F">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71D0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F107282">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6E51BCB2">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项目负责人</w:t>
            </w:r>
          </w:p>
        </w:tc>
        <w:tc>
          <w:tcPr>
            <w:tcW w:w="2100" w:type="dxa"/>
            <w:noWrap w:val="0"/>
            <w:vAlign w:val="center"/>
          </w:tcPr>
          <w:p w14:paraId="7552F47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13260C07">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1354CED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129A42D2">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19F0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6C1091A">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241F2B83">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p>
        </w:tc>
        <w:tc>
          <w:tcPr>
            <w:tcW w:w="2100" w:type="dxa"/>
            <w:noWrap w:val="0"/>
            <w:vAlign w:val="center"/>
          </w:tcPr>
          <w:p w14:paraId="37F80CB9">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73998B69">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2C7936D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46F186FB">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6F5B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7F29C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25EC4A66">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p>
        </w:tc>
        <w:tc>
          <w:tcPr>
            <w:tcW w:w="2100" w:type="dxa"/>
            <w:noWrap w:val="0"/>
            <w:vAlign w:val="center"/>
          </w:tcPr>
          <w:p w14:paraId="4CE0A230">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4275F1D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2681EDD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55DC7A88">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671F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9673475">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05D6D289">
            <w:pPr>
              <w:pageBreakBefore w:val="0"/>
              <w:kinsoku/>
              <w:wordWrap/>
              <w:topLinePunct w:val="0"/>
              <w:bidi w:val="0"/>
              <w:spacing w:line="312" w:lineRule="auto"/>
              <w:contextualSpacing/>
              <w:jc w:val="center"/>
              <w:rPr>
                <w:rFonts w:hint="default" w:ascii="宋体" w:hAnsi="宋体" w:eastAsia="宋体" w:cs="Times New Roman"/>
                <w:color w:val="auto"/>
                <w:kern w:val="2"/>
                <w:sz w:val="24"/>
                <w:szCs w:val="20"/>
                <w:highlight w:val="none"/>
                <w:lang w:val="en-US" w:eastAsia="zh-CN" w:bidi="ar-SA"/>
              </w:rPr>
            </w:pPr>
          </w:p>
        </w:tc>
        <w:tc>
          <w:tcPr>
            <w:tcW w:w="2100" w:type="dxa"/>
            <w:noWrap w:val="0"/>
            <w:vAlign w:val="center"/>
          </w:tcPr>
          <w:p w14:paraId="2B2BF37C">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66CDF647">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61F259C3">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7BAAEDF2">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41FB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9D78AFB">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1B82742F">
            <w:pPr>
              <w:pageBreakBefore w:val="0"/>
              <w:kinsoku/>
              <w:wordWrap/>
              <w:topLinePunct w:val="0"/>
              <w:bidi w:val="0"/>
              <w:spacing w:line="312" w:lineRule="auto"/>
              <w:contextualSpacing/>
              <w:jc w:val="center"/>
              <w:rPr>
                <w:rFonts w:hint="eastAsia" w:ascii="宋体" w:hAnsi="宋体" w:eastAsia="宋体" w:cs="Times New Roman"/>
                <w:color w:val="auto"/>
                <w:kern w:val="2"/>
                <w:sz w:val="24"/>
                <w:szCs w:val="20"/>
                <w:highlight w:val="none"/>
                <w:lang w:val="en-US" w:eastAsia="zh-CN" w:bidi="ar-SA"/>
              </w:rPr>
            </w:pPr>
          </w:p>
        </w:tc>
        <w:tc>
          <w:tcPr>
            <w:tcW w:w="2100" w:type="dxa"/>
            <w:noWrap w:val="0"/>
            <w:vAlign w:val="center"/>
          </w:tcPr>
          <w:p w14:paraId="5A5E98F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10D96EC9">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65C9924B">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2B89C460">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3483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C12BFE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410EB23F">
            <w:pPr>
              <w:pageBreakBefore w:val="0"/>
              <w:kinsoku/>
              <w:wordWrap/>
              <w:topLinePunct w:val="0"/>
              <w:bidi w:val="0"/>
              <w:spacing w:line="312" w:lineRule="auto"/>
              <w:contextualSpacing/>
              <w:jc w:val="center"/>
              <w:rPr>
                <w:rFonts w:hint="eastAsia" w:ascii="宋体" w:hAnsi="宋体" w:eastAsia="宋体" w:cs="Times New Roman"/>
                <w:color w:val="auto"/>
                <w:kern w:val="2"/>
                <w:sz w:val="24"/>
                <w:szCs w:val="20"/>
                <w:highlight w:val="none"/>
                <w:lang w:val="en-US" w:eastAsia="zh-CN" w:bidi="ar-SA"/>
              </w:rPr>
            </w:pPr>
          </w:p>
        </w:tc>
        <w:tc>
          <w:tcPr>
            <w:tcW w:w="2100" w:type="dxa"/>
            <w:noWrap w:val="0"/>
            <w:vAlign w:val="center"/>
          </w:tcPr>
          <w:p w14:paraId="0DFFD4D6">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376769DD">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5078C7E4">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6D082731">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bl>
    <w:p w14:paraId="0129C85D">
      <w:pPr>
        <w:pageBreakBefore w:val="0"/>
        <w:kinsoku/>
        <w:wordWrap/>
        <w:topLinePunct w:val="0"/>
        <w:bidi w:val="0"/>
        <w:spacing w:line="312" w:lineRule="auto"/>
        <w:contextualSpacing/>
        <w:jc w:val="left"/>
        <w:rPr>
          <w:rFonts w:hint="eastAsia" w:ascii="宋体" w:hAnsi="宋体"/>
          <w:color w:val="auto"/>
          <w:sz w:val="24"/>
          <w:szCs w:val="20"/>
          <w:highlight w:val="none"/>
        </w:rPr>
      </w:pPr>
    </w:p>
    <w:p w14:paraId="13F30827">
      <w:pPr>
        <w:pageBreakBefore w:val="0"/>
        <w:kinsoku/>
        <w:wordWrap/>
        <w:topLinePunct w:val="0"/>
        <w:bidi w:val="0"/>
        <w:spacing w:line="312"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注：在填写时，如本表格不适合供应商的实际情况，可根据本表格式自行制表填写。</w:t>
      </w:r>
    </w:p>
    <w:p w14:paraId="05E1538B">
      <w:pPr>
        <w:pageBreakBefore w:val="0"/>
        <w:kinsoku/>
        <w:wordWrap/>
        <w:topLinePunct w:val="0"/>
        <w:bidi w:val="0"/>
        <w:spacing w:line="312" w:lineRule="auto"/>
        <w:contextualSpacing/>
        <w:rPr>
          <w:rFonts w:hint="eastAsia" w:ascii="宋体" w:hAnsi="宋体"/>
          <w:color w:val="auto"/>
          <w:sz w:val="24"/>
          <w:highlight w:val="none"/>
        </w:rPr>
      </w:pPr>
    </w:p>
    <w:p w14:paraId="0F880774">
      <w:pPr>
        <w:pageBreakBefore w:val="0"/>
        <w:kinsoku/>
        <w:wordWrap/>
        <w:topLinePunct w:val="0"/>
        <w:bidi w:val="0"/>
        <w:spacing w:line="312"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olor w:val="auto"/>
          <w:sz w:val="24"/>
          <w:highlight w:val="none"/>
        </w:rPr>
        <w:t>）</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490DEE03">
      <w:pPr>
        <w:pageBreakBefore w:val="0"/>
        <w:kinsoku/>
        <w:wordWrap/>
        <w:topLinePunct w:val="0"/>
        <w:bidi w:val="0"/>
        <w:spacing w:line="312"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EFB816A">
      <w:pPr>
        <w:pageBreakBefore w:val="0"/>
        <w:kinsoku/>
        <w:wordWrap/>
        <w:topLinePunct w:val="0"/>
        <w:bidi w:val="0"/>
        <w:spacing w:line="312"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FF2DD5D">
      <w:pPr>
        <w:pageBreakBefore w:val="0"/>
        <w:kinsoku/>
        <w:wordWrap/>
        <w:topLinePunct w:val="0"/>
        <w:bidi w:val="0"/>
        <w:snapToGrid w:val="0"/>
        <w:spacing w:before="50" w:after="120" w:afterLines="50" w:line="312" w:lineRule="auto"/>
        <w:jc w:val="left"/>
        <w:rPr>
          <w:rFonts w:hint="eastAsia" w:ascii="宋体" w:hAnsi="宋体"/>
          <w:color w:val="auto"/>
          <w:sz w:val="24"/>
          <w:szCs w:val="20"/>
          <w:highlight w:val="none"/>
        </w:rPr>
      </w:pPr>
    </w:p>
    <w:p w14:paraId="6C3243E7">
      <w:pPr>
        <w:pStyle w:val="39"/>
        <w:pageBreakBefore w:val="0"/>
        <w:kinsoku/>
        <w:wordWrap/>
        <w:topLinePunct w:val="0"/>
        <w:bidi w:val="0"/>
        <w:spacing w:line="312" w:lineRule="auto"/>
        <w:rPr>
          <w:rFonts w:hint="eastAsia" w:ascii="宋体" w:hAnsi="宋体"/>
          <w:color w:val="auto"/>
          <w:sz w:val="24"/>
          <w:szCs w:val="20"/>
          <w:highlight w:val="none"/>
        </w:rPr>
      </w:pPr>
    </w:p>
    <w:p w14:paraId="19305776">
      <w:pPr>
        <w:pStyle w:val="39"/>
        <w:pageBreakBefore w:val="0"/>
        <w:kinsoku/>
        <w:wordWrap/>
        <w:topLinePunct w:val="0"/>
        <w:bidi w:val="0"/>
        <w:spacing w:line="312" w:lineRule="auto"/>
        <w:rPr>
          <w:rFonts w:hint="eastAsia" w:ascii="宋体" w:hAnsi="宋体"/>
          <w:color w:val="auto"/>
          <w:sz w:val="24"/>
          <w:szCs w:val="20"/>
          <w:highlight w:val="none"/>
        </w:rPr>
      </w:pPr>
    </w:p>
    <w:p w14:paraId="3A0D1A5B">
      <w:pPr>
        <w:pStyle w:val="39"/>
        <w:pageBreakBefore w:val="0"/>
        <w:kinsoku/>
        <w:wordWrap/>
        <w:topLinePunct w:val="0"/>
        <w:bidi w:val="0"/>
        <w:spacing w:line="312" w:lineRule="auto"/>
        <w:rPr>
          <w:rFonts w:hint="eastAsia" w:ascii="宋体" w:hAnsi="宋体"/>
          <w:color w:val="auto"/>
          <w:sz w:val="24"/>
          <w:szCs w:val="20"/>
          <w:highlight w:val="none"/>
        </w:rPr>
      </w:pPr>
    </w:p>
    <w:p w14:paraId="37B0C0E9">
      <w:pPr>
        <w:pStyle w:val="39"/>
        <w:pageBreakBefore w:val="0"/>
        <w:kinsoku/>
        <w:wordWrap/>
        <w:topLinePunct w:val="0"/>
        <w:bidi w:val="0"/>
        <w:spacing w:line="312" w:lineRule="auto"/>
        <w:rPr>
          <w:rFonts w:hint="eastAsia" w:ascii="宋体" w:hAnsi="宋体"/>
          <w:color w:val="auto"/>
          <w:sz w:val="24"/>
          <w:szCs w:val="20"/>
          <w:highlight w:val="none"/>
        </w:rPr>
      </w:pPr>
    </w:p>
    <w:p w14:paraId="51DEDF60">
      <w:pPr>
        <w:pStyle w:val="39"/>
        <w:pageBreakBefore w:val="0"/>
        <w:kinsoku/>
        <w:wordWrap/>
        <w:topLinePunct w:val="0"/>
        <w:bidi w:val="0"/>
        <w:spacing w:line="312" w:lineRule="auto"/>
        <w:rPr>
          <w:rFonts w:hint="eastAsia" w:ascii="宋体" w:hAnsi="宋体"/>
          <w:color w:val="auto"/>
          <w:sz w:val="24"/>
          <w:szCs w:val="20"/>
          <w:highlight w:val="none"/>
        </w:rPr>
      </w:pPr>
    </w:p>
    <w:p w14:paraId="2CC46043">
      <w:pPr>
        <w:pStyle w:val="39"/>
        <w:pageBreakBefore w:val="0"/>
        <w:kinsoku/>
        <w:wordWrap/>
        <w:topLinePunct w:val="0"/>
        <w:bidi w:val="0"/>
        <w:spacing w:line="312" w:lineRule="auto"/>
        <w:rPr>
          <w:rFonts w:hint="eastAsia" w:ascii="宋体" w:hAnsi="宋体"/>
          <w:color w:val="auto"/>
          <w:sz w:val="24"/>
          <w:szCs w:val="20"/>
          <w:highlight w:val="none"/>
        </w:rPr>
      </w:pPr>
    </w:p>
    <w:p w14:paraId="6D7439EE">
      <w:pPr>
        <w:pStyle w:val="39"/>
        <w:pageBreakBefore w:val="0"/>
        <w:kinsoku/>
        <w:wordWrap/>
        <w:topLinePunct w:val="0"/>
        <w:bidi w:val="0"/>
        <w:spacing w:line="312" w:lineRule="auto"/>
        <w:rPr>
          <w:rFonts w:hint="eastAsia" w:ascii="宋体" w:hAnsi="宋体"/>
          <w:color w:val="auto"/>
          <w:sz w:val="24"/>
          <w:szCs w:val="20"/>
          <w:highlight w:val="none"/>
        </w:rPr>
      </w:pPr>
    </w:p>
    <w:p w14:paraId="27E9DE51">
      <w:pPr>
        <w:pStyle w:val="39"/>
        <w:pageBreakBefore w:val="0"/>
        <w:kinsoku/>
        <w:wordWrap/>
        <w:topLinePunct w:val="0"/>
        <w:bidi w:val="0"/>
        <w:spacing w:line="312" w:lineRule="auto"/>
        <w:rPr>
          <w:rFonts w:hint="eastAsia" w:ascii="宋体" w:hAnsi="宋体"/>
          <w:color w:val="auto"/>
          <w:sz w:val="24"/>
          <w:szCs w:val="20"/>
          <w:highlight w:val="none"/>
        </w:rPr>
      </w:pPr>
    </w:p>
    <w:p w14:paraId="12A033EB">
      <w:pPr>
        <w:pStyle w:val="39"/>
        <w:pageBreakBefore w:val="0"/>
        <w:kinsoku/>
        <w:wordWrap/>
        <w:topLinePunct w:val="0"/>
        <w:bidi w:val="0"/>
        <w:spacing w:line="312" w:lineRule="auto"/>
        <w:rPr>
          <w:rFonts w:hint="eastAsia" w:ascii="宋体" w:hAnsi="宋体"/>
          <w:color w:val="auto"/>
          <w:sz w:val="24"/>
          <w:szCs w:val="20"/>
          <w:highlight w:val="none"/>
        </w:rPr>
      </w:pPr>
    </w:p>
    <w:p w14:paraId="500E996B">
      <w:pPr>
        <w:pStyle w:val="39"/>
        <w:pageBreakBefore w:val="0"/>
        <w:kinsoku/>
        <w:wordWrap/>
        <w:topLinePunct w:val="0"/>
        <w:bidi w:val="0"/>
        <w:spacing w:line="312" w:lineRule="auto"/>
        <w:rPr>
          <w:rFonts w:hint="eastAsia" w:ascii="宋体" w:hAnsi="宋体"/>
          <w:color w:val="auto"/>
          <w:sz w:val="24"/>
          <w:szCs w:val="20"/>
          <w:highlight w:val="none"/>
        </w:rPr>
      </w:pPr>
    </w:p>
    <w:p w14:paraId="1F06B3C5">
      <w:pPr>
        <w:pStyle w:val="39"/>
        <w:pageBreakBefore w:val="0"/>
        <w:kinsoku/>
        <w:wordWrap/>
        <w:topLinePunct w:val="0"/>
        <w:bidi w:val="0"/>
        <w:spacing w:line="312" w:lineRule="auto"/>
        <w:rPr>
          <w:rFonts w:hint="eastAsia" w:ascii="宋体" w:hAnsi="宋体"/>
          <w:color w:val="auto"/>
          <w:sz w:val="24"/>
          <w:szCs w:val="20"/>
          <w:highlight w:val="none"/>
        </w:rPr>
      </w:pPr>
    </w:p>
    <w:p w14:paraId="21B9823D">
      <w:pPr>
        <w:pageBreakBefore w:val="0"/>
        <w:kinsoku/>
        <w:wordWrap/>
        <w:topLinePunct w:val="0"/>
        <w:bidi w:val="0"/>
        <w:spacing w:line="312"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397BA0A1">
      <w:pPr>
        <w:pStyle w:val="3"/>
        <w:pageBreakBefore w:val="0"/>
        <w:kinsoku/>
        <w:wordWrap/>
        <w:topLinePunct w:val="0"/>
        <w:bidi w:val="0"/>
        <w:spacing w:before="146" w:after="240" w:afterLines="76" w:afterAutospacing="0" w:line="360" w:lineRule="auto"/>
        <w:ind w:right="142" w:rightChars="0"/>
        <w:jc w:val="center"/>
        <w:outlineLvl w:val="2"/>
        <w:rPr>
          <w:rFonts w:ascii="宋体" w:hAnsi="宋体" w:cs="宋体"/>
          <w:b/>
          <w:bCs/>
          <w:color w:val="auto"/>
          <w:sz w:val="24"/>
          <w:highlight w:val="none"/>
        </w:rPr>
      </w:pPr>
      <w:r>
        <w:rPr>
          <w:color w:val="auto"/>
          <w:sz w:val="36"/>
          <w:szCs w:val="36"/>
          <w:highlight w:val="none"/>
        </w:rPr>
        <w:t>中小企业声明函（</w:t>
      </w:r>
      <w:r>
        <w:rPr>
          <w:rFonts w:hint="eastAsia" w:cs="宋体"/>
          <w:color w:val="auto"/>
          <w:sz w:val="36"/>
          <w:szCs w:val="36"/>
          <w:highlight w:val="none"/>
        </w:rPr>
        <w:t>服务</w:t>
      </w:r>
      <w:r>
        <w:rPr>
          <w:color w:val="auto"/>
          <w:sz w:val="36"/>
          <w:szCs w:val="36"/>
          <w:highlight w:val="none"/>
        </w:rPr>
        <w:t>）</w:t>
      </w:r>
    </w:p>
    <w:p w14:paraId="2746FD4E">
      <w:pPr>
        <w:pStyle w:val="13"/>
        <w:pageBreakBefore w:val="0"/>
        <w:kinsoku/>
        <w:wordWrap/>
        <w:topLinePunct w:val="0"/>
        <w:bidi w:val="0"/>
        <w:spacing w:beforeAutospacing="0" w:line="360" w:lineRule="auto"/>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6B1C2AF1">
      <w:pPr>
        <w:pageBreakBefore w:val="0"/>
        <w:tabs>
          <w:tab w:val="left" w:pos="1384"/>
          <w:tab w:val="left" w:pos="4562"/>
          <w:tab w:val="left" w:pos="6803"/>
        </w:tabs>
        <w:kinsoku/>
        <w:wordWrap/>
        <w:topLinePunct w:val="0"/>
        <w:bidi w:val="0"/>
        <w:spacing w:before="13" w:line="360" w:lineRule="auto"/>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29A0C4F">
      <w:pPr>
        <w:pageBreakBefore w:val="0"/>
        <w:tabs>
          <w:tab w:val="left" w:pos="1065"/>
          <w:tab w:val="left" w:pos="4262"/>
          <w:tab w:val="left" w:pos="6477"/>
        </w:tabs>
        <w:kinsoku/>
        <w:wordWrap/>
        <w:topLinePunct w:val="0"/>
        <w:bidi w:val="0"/>
        <w:spacing w:before="20" w:line="360" w:lineRule="auto"/>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058785E">
      <w:pPr>
        <w:pStyle w:val="13"/>
        <w:pageBreakBefore w:val="0"/>
        <w:kinsoku/>
        <w:wordWrap/>
        <w:topLinePunct w:val="0"/>
        <w:bidi w:val="0"/>
        <w:spacing w:before="34" w:after="0" w:afterAutospacing="0" w:line="360" w:lineRule="auto"/>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63C25FA8">
      <w:pPr>
        <w:pStyle w:val="13"/>
        <w:pageBreakBefore w:val="0"/>
        <w:kinsoku/>
        <w:wordWrap/>
        <w:topLinePunct w:val="0"/>
        <w:bidi w:val="0"/>
        <w:spacing w:beforeAutospacing="0" w:line="360" w:lineRule="auto"/>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3C9788B">
      <w:pPr>
        <w:pStyle w:val="13"/>
        <w:pageBreakBefore w:val="0"/>
        <w:kinsoku/>
        <w:wordWrap/>
        <w:topLinePunct w:val="0"/>
        <w:bidi w:val="0"/>
        <w:spacing w:before="25" w:after="0" w:afterAutospacing="0" w:line="360" w:lineRule="auto"/>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4EA98C1">
      <w:pPr>
        <w:pStyle w:val="13"/>
        <w:pageBreakBefore w:val="0"/>
        <w:kinsoku/>
        <w:wordWrap/>
        <w:topLinePunct w:val="0"/>
        <w:bidi w:val="0"/>
        <w:spacing w:beforeAutospacing="0" w:after="0" w:afterAutospacing="0" w:line="360" w:lineRule="auto"/>
        <w:ind w:right="1808" w:firstLine="705" w:firstLineChars="294"/>
        <w:rPr>
          <w:rFonts w:hint="eastAsia" w:ascii="宋体" w:hAnsi="宋体"/>
          <w:color w:val="auto"/>
          <w:sz w:val="24"/>
          <w:highlight w:val="none"/>
          <w:lang w:eastAsia="zh-CN"/>
        </w:rPr>
      </w:pPr>
    </w:p>
    <w:p w14:paraId="42E9C405">
      <w:pPr>
        <w:pStyle w:val="13"/>
        <w:pageBreakBefore w:val="0"/>
        <w:kinsoku/>
        <w:wordWrap/>
        <w:topLinePunct w:val="0"/>
        <w:bidi w:val="0"/>
        <w:spacing w:beforeAutospacing="0" w:line="360" w:lineRule="auto"/>
        <w:ind w:right="650" w:firstLine="3840" w:firstLineChars="1600"/>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pacing w:val="6"/>
          <w:sz w:val="24"/>
          <w:highlight w:val="none"/>
          <w:lang w:val="en-US" w:eastAsia="zh-CN"/>
        </w:rPr>
        <w:t>电子签章</w:t>
      </w:r>
      <w:r>
        <w:rPr>
          <w:rFonts w:ascii="宋体" w:hAnsi="宋体"/>
          <w:color w:val="auto"/>
          <w:sz w:val="24"/>
          <w:highlight w:val="none"/>
        </w:rPr>
        <w:t xml:space="preserve">）： </w:t>
      </w:r>
    </w:p>
    <w:p w14:paraId="27F8626C">
      <w:pPr>
        <w:pStyle w:val="13"/>
        <w:pageBreakBefore w:val="0"/>
        <w:kinsoku/>
        <w:wordWrap/>
        <w:topLinePunct w:val="0"/>
        <w:bidi w:val="0"/>
        <w:spacing w:before="56" w:line="360" w:lineRule="auto"/>
        <w:ind w:right="1808" w:firstLine="5625" w:firstLineChars="2344"/>
        <w:rPr>
          <w:rFonts w:ascii="宋体" w:hAnsi="宋体"/>
          <w:color w:val="auto"/>
          <w:sz w:val="24"/>
          <w:highlight w:val="none"/>
        </w:rPr>
      </w:pPr>
      <w:r>
        <w:rPr>
          <w:rFonts w:ascii="宋体" w:hAnsi="宋体"/>
          <w:color w:val="auto"/>
          <w:sz w:val="24"/>
          <w:highlight w:val="none"/>
        </w:rPr>
        <w:t>日 期：</w:t>
      </w:r>
    </w:p>
    <w:p w14:paraId="146A1A2B">
      <w:pPr>
        <w:pageBreakBefore w:val="0"/>
        <w:kinsoku/>
        <w:wordWrap/>
        <w:topLinePunct w:val="0"/>
        <w:bidi w:val="0"/>
        <w:spacing w:line="360" w:lineRule="auto"/>
        <w:rPr>
          <w:color w:val="auto"/>
          <w:highlight w:val="none"/>
        </w:rPr>
      </w:pPr>
    </w:p>
    <w:p w14:paraId="16085572">
      <w:pPr>
        <w:pStyle w:val="39"/>
        <w:pageBreakBefore w:val="0"/>
        <w:kinsoku/>
        <w:wordWrap/>
        <w:topLinePunct w:val="0"/>
        <w:bidi w:val="0"/>
        <w:spacing w:line="360" w:lineRule="auto"/>
        <w:rPr>
          <w:rFonts w:hint="eastAsia" w:ascii="宋体" w:hAnsi="宋体"/>
          <w:color w:val="auto"/>
          <w:sz w:val="24"/>
          <w:szCs w:val="20"/>
          <w:highlight w:val="none"/>
        </w:rPr>
      </w:pPr>
      <w:r>
        <w:rPr>
          <w:rFonts w:hint="eastAsia" w:ascii="宋体" w:hAnsi="宋体" w:cs="仿宋_GB2312"/>
          <w:b w:val="0"/>
          <w:bCs w:val="0"/>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A12C956">
      <w:pPr>
        <w:pageBreakBefore w:val="0"/>
        <w:kinsoku/>
        <w:wordWrap/>
        <w:topLinePunct w:val="0"/>
        <w:bidi w:val="0"/>
        <w:snapToGrid w:val="0"/>
        <w:spacing w:before="50" w:after="50" w:line="312" w:lineRule="auto"/>
        <w:ind w:right="-817" w:rightChars="-389" w:firstLine="5461" w:firstLineChars="1700"/>
        <w:rPr>
          <w:rFonts w:hint="eastAsia" w:ascii="仿宋_GB2312" w:hAnsi="仿宋_GB2312" w:eastAsia="仿宋_GB2312" w:cs="仿宋_GB2312"/>
          <w:b/>
          <w:color w:val="auto"/>
          <w:sz w:val="32"/>
          <w:szCs w:val="32"/>
          <w:highlight w:val="none"/>
        </w:rPr>
      </w:pPr>
    </w:p>
    <w:p w14:paraId="0D9F3DE0">
      <w:pPr>
        <w:pageBreakBefore w:val="0"/>
        <w:kinsoku/>
        <w:wordWrap/>
        <w:topLinePunct w:val="0"/>
        <w:bidi w:val="0"/>
        <w:spacing w:line="312" w:lineRule="auto"/>
        <w:jc w:val="center"/>
        <w:outlineLvl w:val="2"/>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17A59F8">
      <w:pPr>
        <w:pageBreakBefore w:val="0"/>
        <w:kinsoku/>
        <w:wordWrap/>
        <w:topLinePunct w:val="0"/>
        <w:bidi w:val="0"/>
        <w:spacing w:line="312" w:lineRule="auto"/>
        <w:contextualSpacing/>
        <w:rPr>
          <w:rFonts w:hint="eastAsia" w:ascii="仿宋_GB2312" w:hAnsi="仿宋_GB2312" w:eastAsia="仿宋_GB2312" w:cs="仿宋_GB2312"/>
          <w:color w:val="auto"/>
          <w:sz w:val="32"/>
          <w:szCs w:val="32"/>
          <w:highlight w:val="none"/>
        </w:rPr>
      </w:pPr>
    </w:p>
    <w:p w14:paraId="7333F2DD">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A6E6F6F">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1FA7512">
      <w:pPr>
        <w:pageBreakBefore w:val="0"/>
        <w:kinsoku/>
        <w:wordWrap/>
        <w:topLinePunct w:val="0"/>
        <w:bidi w:val="0"/>
        <w:spacing w:line="312" w:lineRule="auto"/>
        <w:contextualSpacing/>
        <w:rPr>
          <w:rFonts w:hint="eastAsia" w:ascii="宋体" w:hAnsi="宋体" w:cs="仿宋_GB2312"/>
          <w:color w:val="auto"/>
          <w:sz w:val="24"/>
          <w:highlight w:val="none"/>
        </w:rPr>
      </w:pPr>
    </w:p>
    <w:p w14:paraId="4ECA6C79">
      <w:pPr>
        <w:pageBreakBefore w:val="0"/>
        <w:kinsoku/>
        <w:wordWrap/>
        <w:topLinePunct w:val="0"/>
        <w:bidi w:val="0"/>
        <w:spacing w:line="312" w:lineRule="auto"/>
        <w:contextualSpacing/>
        <w:rPr>
          <w:rFonts w:hint="eastAsia" w:ascii="宋体" w:hAnsi="宋体" w:cs="仿宋_GB2312"/>
          <w:color w:val="auto"/>
          <w:sz w:val="24"/>
          <w:highlight w:val="none"/>
        </w:rPr>
      </w:pPr>
    </w:p>
    <w:p w14:paraId="74098FB4">
      <w:pPr>
        <w:pageBreakBefore w:val="0"/>
        <w:kinsoku/>
        <w:wordWrap/>
        <w:topLinePunct w:val="0"/>
        <w:bidi w:val="0"/>
        <w:spacing w:line="312" w:lineRule="auto"/>
        <w:contextualSpacing/>
        <w:rPr>
          <w:rFonts w:hint="eastAsia" w:ascii="宋体" w:hAnsi="宋体" w:cs="仿宋_GB2312"/>
          <w:color w:val="auto"/>
          <w:sz w:val="24"/>
          <w:highlight w:val="none"/>
        </w:rPr>
      </w:pPr>
    </w:p>
    <w:p w14:paraId="5E3AB1F7">
      <w:pPr>
        <w:pageBreakBefore w:val="0"/>
        <w:kinsoku/>
        <w:wordWrap/>
        <w:topLinePunct w:val="0"/>
        <w:bidi w:val="0"/>
        <w:spacing w:line="312"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hAnsi="宋体"/>
          <w:color w:val="auto"/>
          <w:sz w:val="24"/>
          <w:highlight w:val="none"/>
          <w:lang w:val="en-US" w:eastAsia="zh-CN"/>
        </w:rPr>
        <w:t>电子签章</w:t>
      </w:r>
      <w:r>
        <w:rPr>
          <w:rFonts w:hint="eastAsia" w:ascii="宋体" w:hAnsi="宋体" w:cs="仿宋_GB2312"/>
          <w:color w:val="auto"/>
          <w:sz w:val="24"/>
          <w:highlight w:val="none"/>
        </w:rPr>
        <w:t>）：</w:t>
      </w:r>
    </w:p>
    <w:p w14:paraId="5199F5FE">
      <w:pPr>
        <w:pageBreakBefore w:val="0"/>
        <w:kinsoku/>
        <w:wordWrap/>
        <w:topLinePunct w:val="0"/>
        <w:bidi w:val="0"/>
        <w:spacing w:line="312"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6B835114">
      <w:pPr>
        <w:pageBreakBefore w:val="0"/>
        <w:kinsoku/>
        <w:wordWrap/>
        <w:topLinePunct w:val="0"/>
        <w:bidi w:val="0"/>
        <w:spacing w:line="312" w:lineRule="auto"/>
        <w:contextualSpacing/>
        <w:rPr>
          <w:rFonts w:hint="eastAsia" w:ascii="宋体" w:hAnsi="宋体" w:cs="仿宋_GB2312"/>
          <w:color w:val="auto"/>
          <w:sz w:val="24"/>
          <w:highlight w:val="none"/>
        </w:rPr>
      </w:pPr>
    </w:p>
    <w:p w14:paraId="206DB96B">
      <w:pPr>
        <w:pageBreakBefore w:val="0"/>
        <w:kinsoku/>
        <w:wordWrap/>
        <w:topLinePunct w:val="0"/>
        <w:bidi w:val="0"/>
        <w:spacing w:line="312" w:lineRule="auto"/>
        <w:contextualSpacing/>
        <w:rPr>
          <w:rFonts w:hint="eastAsia" w:ascii="宋体" w:hAnsi="宋体" w:cs="仿宋_GB2312"/>
          <w:color w:val="auto"/>
          <w:sz w:val="24"/>
          <w:highlight w:val="none"/>
        </w:rPr>
      </w:pPr>
    </w:p>
    <w:p w14:paraId="7C1FF056">
      <w:pPr>
        <w:pageBreakBefore w:val="0"/>
        <w:kinsoku/>
        <w:wordWrap/>
        <w:topLinePunct w:val="0"/>
        <w:bidi w:val="0"/>
        <w:spacing w:line="312" w:lineRule="auto"/>
        <w:contextualSpacing/>
        <w:rPr>
          <w:rFonts w:hint="eastAsia" w:ascii="宋体" w:hAnsi="宋体" w:cs="仿宋_GB2312"/>
          <w:color w:val="auto"/>
          <w:sz w:val="24"/>
          <w:highlight w:val="none"/>
        </w:rPr>
      </w:pPr>
    </w:p>
    <w:p w14:paraId="5C6146D8">
      <w:pPr>
        <w:pageBreakBefore w:val="0"/>
        <w:kinsoku/>
        <w:wordWrap/>
        <w:topLinePunct w:val="0"/>
        <w:bidi w:val="0"/>
        <w:spacing w:line="312"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2FFAD98">
      <w:pPr>
        <w:pageBreakBefore w:val="0"/>
        <w:kinsoku/>
        <w:wordWrap/>
        <w:topLinePunct w:val="0"/>
        <w:bidi w:val="0"/>
        <w:spacing w:line="240" w:lineRule="auto"/>
        <w:jc w:val="center"/>
        <w:outlineLvl w:val="2"/>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宋体" w:hAnsi="宋体"/>
          <w:b/>
          <w:bCs/>
          <w:color w:val="auto"/>
          <w:sz w:val="32"/>
          <w:szCs w:val="32"/>
          <w:highlight w:val="none"/>
        </w:rPr>
        <w:t>质疑函（格式）</w:t>
      </w:r>
    </w:p>
    <w:p w14:paraId="47A7E0C4">
      <w:pPr>
        <w:pStyle w:val="18"/>
        <w:pageBreakBefore w:val="0"/>
        <w:kinsoku/>
        <w:wordWrap/>
        <w:topLinePunct w:val="0"/>
        <w:bidi w:val="0"/>
        <w:spacing w:line="240" w:lineRule="auto"/>
        <w:ind w:firstLine="482" w:firstLineChars="200"/>
        <w:contextualSpacing/>
        <w:outlineLvl w:val="2"/>
        <w:rPr>
          <w:rFonts w:hAnsi="宋体"/>
          <w:b/>
          <w:bCs/>
          <w:color w:val="auto"/>
          <w:sz w:val="24"/>
          <w:szCs w:val="24"/>
          <w:highlight w:val="none"/>
        </w:rPr>
      </w:pPr>
      <w:r>
        <w:rPr>
          <w:rFonts w:hint="eastAsia" w:hAnsi="宋体"/>
          <w:b/>
          <w:bCs/>
          <w:color w:val="auto"/>
          <w:sz w:val="24"/>
          <w:szCs w:val="24"/>
          <w:highlight w:val="none"/>
        </w:rPr>
        <w:t>一、质疑供应商基本信息：</w:t>
      </w:r>
    </w:p>
    <w:p w14:paraId="6085D034">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856BFD7">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3E18A8E">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526463A">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46DDCA9">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3319188">
      <w:pPr>
        <w:pStyle w:val="18"/>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92BA33">
      <w:pPr>
        <w:pStyle w:val="18"/>
        <w:pageBreakBefore w:val="0"/>
        <w:kinsoku/>
        <w:wordWrap/>
        <w:topLinePunct w:val="0"/>
        <w:bidi w:val="0"/>
        <w:spacing w:line="240" w:lineRule="auto"/>
        <w:ind w:firstLine="482" w:firstLineChars="200"/>
        <w:contextualSpacing/>
        <w:outlineLvl w:val="2"/>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C579E41">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83172F2">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B6B7970">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E31D6CA">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A41BF57">
      <w:pPr>
        <w:pStyle w:val="18"/>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01AA19DC">
      <w:pPr>
        <w:pStyle w:val="18"/>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5D8F7522">
      <w:pPr>
        <w:pStyle w:val="18"/>
        <w:pageBreakBefore w:val="0"/>
        <w:kinsoku/>
        <w:wordWrap/>
        <w:topLinePunct w:val="0"/>
        <w:bidi w:val="0"/>
        <w:spacing w:line="24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55E11836">
      <w:pPr>
        <w:pStyle w:val="18"/>
        <w:pageBreakBefore w:val="0"/>
        <w:kinsoku/>
        <w:wordWrap/>
        <w:topLinePunct w:val="0"/>
        <w:bidi w:val="0"/>
        <w:spacing w:line="240" w:lineRule="auto"/>
        <w:ind w:left="25" w:leftChars="12" w:firstLine="472" w:firstLineChars="196"/>
        <w:contextualSpacing/>
        <w:outlineLvl w:val="2"/>
        <w:rPr>
          <w:rFonts w:hint="eastAsia" w:hAnsi="宋体"/>
          <w:b/>
          <w:color w:val="auto"/>
          <w:sz w:val="24"/>
          <w:szCs w:val="24"/>
          <w:highlight w:val="none"/>
        </w:rPr>
      </w:pPr>
      <w:r>
        <w:rPr>
          <w:rFonts w:hint="eastAsia" w:hAnsi="宋体"/>
          <w:b/>
          <w:color w:val="auto"/>
          <w:sz w:val="24"/>
          <w:szCs w:val="24"/>
          <w:highlight w:val="none"/>
        </w:rPr>
        <w:t>三、质疑事项具体内容</w:t>
      </w:r>
    </w:p>
    <w:p w14:paraId="5885986A">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36AAB1F">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04CA29F7">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D029615">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2D5A7E51">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584D068C">
      <w:pPr>
        <w:pStyle w:val="18"/>
        <w:pageBreakBefore w:val="0"/>
        <w:kinsoku/>
        <w:wordWrap/>
        <w:topLinePunct w:val="0"/>
        <w:bidi w:val="0"/>
        <w:spacing w:line="240" w:lineRule="auto"/>
        <w:ind w:left="25" w:leftChars="12" w:firstLine="472" w:firstLineChars="197"/>
        <w:contextualSpacing/>
        <w:outlineLvl w:val="2"/>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4628BE2">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155CDED">
      <w:pPr>
        <w:pStyle w:val="18"/>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p>
    <w:p w14:paraId="1A271447">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46E65EF2">
      <w:pPr>
        <w:pStyle w:val="18"/>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p>
    <w:p w14:paraId="0D38BBF2">
      <w:pPr>
        <w:pStyle w:val="18"/>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2B8459FA">
      <w:pPr>
        <w:pStyle w:val="18"/>
        <w:pageBreakBefore w:val="0"/>
        <w:kinsoku/>
        <w:wordWrap/>
        <w:topLinePunct w:val="0"/>
        <w:bidi w:val="0"/>
        <w:spacing w:line="240" w:lineRule="auto"/>
        <w:contextualSpacing/>
        <w:rPr>
          <w:rFonts w:hint="eastAsia" w:hAnsi="宋体"/>
          <w:b/>
          <w:color w:val="auto"/>
          <w:sz w:val="24"/>
          <w:szCs w:val="24"/>
          <w:highlight w:val="none"/>
          <w:lang w:eastAsia="zh-CN"/>
        </w:rPr>
      </w:pPr>
    </w:p>
    <w:p w14:paraId="1C17AB9E">
      <w:pPr>
        <w:pStyle w:val="18"/>
        <w:pageBreakBefore w:val="0"/>
        <w:kinsoku/>
        <w:wordWrap/>
        <w:topLinePunct w:val="0"/>
        <w:bidi w:val="0"/>
        <w:spacing w:line="240" w:lineRule="auto"/>
        <w:contextualSpacing/>
        <w:rPr>
          <w:rFonts w:hint="eastAsia" w:hAnsi="宋体"/>
          <w:b/>
          <w:color w:val="auto"/>
          <w:sz w:val="24"/>
          <w:szCs w:val="24"/>
          <w:highlight w:val="none"/>
          <w:lang w:eastAsia="zh-CN"/>
        </w:rPr>
      </w:pPr>
    </w:p>
    <w:p w14:paraId="5DC4C44D">
      <w:pPr>
        <w:pStyle w:val="18"/>
        <w:pageBreakBefore w:val="0"/>
        <w:kinsoku/>
        <w:wordWrap/>
        <w:topLinePunct w:val="0"/>
        <w:bidi w:val="0"/>
        <w:spacing w:line="24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AADD6C6">
      <w:pPr>
        <w:pStyle w:val="18"/>
        <w:pageBreakBefore w:val="0"/>
        <w:kinsoku/>
        <w:wordWrap/>
        <w:topLinePunct w:val="0"/>
        <w:bidi w:val="0"/>
        <w:spacing w:line="24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2A41E99">
      <w:pPr>
        <w:pStyle w:val="18"/>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744D81">
      <w:pPr>
        <w:pStyle w:val="18"/>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C8F8BEB">
      <w:pPr>
        <w:pStyle w:val="18"/>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69DBBEC">
      <w:pPr>
        <w:pStyle w:val="18"/>
        <w:pageBreakBefore w:val="0"/>
        <w:kinsoku/>
        <w:wordWrap/>
        <w:topLinePunct w:val="0"/>
        <w:bidi w:val="0"/>
        <w:spacing w:line="24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5A76EC6">
      <w:pPr>
        <w:pStyle w:val="18"/>
        <w:pageBreakBefore w:val="0"/>
        <w:kinsoku/>
        <w:wordWrap/>
        <w:topLinePunct w:val="0"/>
        <w:bidi w:val="0"/>
        <w:snapToGrid w:val="0"/>
        <w:spacing w:line="312" w:lineRule="auto"/>
        <w:rPr>
          <w:rFonts w:hint="eastAsia"/>
          <w:b/>
          <w:color w:val="auto"/>
          <w:sz w:val="24"/>
          <w:szCs w:val="24"/>
          <w:highlight w:val="none"/>
        </w:rPr>
      </w:pPr>
    </w:p>
    <w:p w14:paraId="582E2A64">
      <w:pPr>
        <w:pageBreakBefore w:val="0"/>
        <w:kinsoku/>
        <w:wordWrap/>
        <w:topLinePunct w:val="0"/>
        <w:bidi w:val="0"/>
        <w:spacing w:line="312" w:lineRule="auto"/>
        <w:jc w:val="center"/>
        <w:outlineLvl w:val="2"/>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bCs/>
          <w:color w:val="auto"/>
          <w:sz w:val="32"/>
          <w:szCs w:val="32"/>
          <w:highlight w:val="none"/>
        </w:rPr>
        <w:t>投诉书（格式）</w:t>
      </w:r>
    </w:p>
    <w:p w14:paraId="68C858F1">
      <w:pPr>
        <w:pStyle w:val="18"/>
        <w:pageBreakBefore w:val="0"/>
        <w:kinsoku/>
        <w:wordWrap/>
        <w:topLinePunct w:val="0"/>
        <w:bidi w:val="0"/>
        <w:snapToGrid w:val="0"/>
        <w:spacing w:line="312" w:lineRule="auto"/>
        <w:ind w:firstLine="482" w:firstLineChars="200"/>
        <w:outlineLvl w:val="2"/>
        <w:rPr>
          <w:rFonts w:hAnsi="宋体"/>
          <w:b/>
          <w:bCs/>
          <w:color w:val="auto"/>
          <w:sz w:val="24"/>
          <w:szCs w:val="24"/>
          <w:highlight w:val="none"/>
        </w:rPr>
      </w:pPr>
      <w:r>
        <w:rPr>
          <w:rFonts w:hint="eastAsia" w:hAnsi="宋体"/>
          <w:b/>
          <w:bCs/>
          <w:color w:val="auto"/>
          <w:sz w:val="24"/>
          <w:szCs w:val="24"/>
          <w:highlight w:val="none"/>
        </w:rPr>
        <w:t>一、投诉相关主体基本情况：</w:t>
      </w:r>
    </w:p>
    <w:p w14:paraId="2E0570CF">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021B9B6">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9E47457">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76FBD87F">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0627E90">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79C86F2">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lang w:eastAsia="zh-CN"/>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18FE9F1">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675CF8">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40948B0A">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lang w:eastAsia="zh-CN"/>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103B9B6">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C8FDD6E">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5E595C">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62A197D7">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48365275">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B218DC4">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F5FBF7D">
      <w:pPr>
        <w:pStyle w:val="18"/>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4068618">
      <w:pPr>
        <w:pStyle w:val="18"/>
        <w:pageBreakBefore w:val="0"/>
        <w:kinsoku/>
        <w:wordWrap/>
        <w:topLinePunct w:val="0"/>
        <w:bidi w:val="0"/>
        <w:snapToGrid w:val="0"/>
        <w:spacing w:line="312" w:lineRule="auto"/>
        <w:ind w:firstLine="482" w:firstLineChars="200"/>
        <w:outlineLvl w:val="2"/>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54800B3">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775F3C6">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6F52553">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5225C81">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63548F9">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64A62A8">
      <w:pPr>
        <w:pStyle w:val="18"/>
        <w:pageBreakBefore w:val="0"/>
        <w:kinsoku/>
        <w:wordWrap/>
        <w:topLinePunct w:val="0"/>
        <w:bidi w:val="0"/>
        <w:spacing w:line="312"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A969829">
      <w:pPr>
        <w:pStyle w:val="18"/>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三、质疑基本情况</w:t>
      </w:r>
    </w:p>
    <w:p w14:paraId="3933B9E3">
      <w:pPr>
        <w:pStyle w:val="18"/>
        <w:pageBreakBefore w:val="0"/>
        <w:kinsoku/>
        <w:wordWrap/>
        <w:topLinePunct w:val="0"/>
        <w:bidi w:val="0"/>
        <w:spacing w:line="312"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6752EBA">
      <w:pPr>
        <w:pStyle w:val="18"/>
        <w:pageBreakBefore w:val="0"/>
        <w:kinsoku/>
        <w:wordWrap/>
        <w:topLinePunct w:val="0"/>
        <w:bidi w:val="0"/>
        <w:spacing w:line="312"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A9B9D7F">
      <w:pPr>
        <w:pStyle w:val="18"/>
        <w:pageBreakBefore w:val="0"/>
        <w:kinsoku/>
        <w:wordWrap/>
        <w:topLinePunct w:val="0"/>
        <w:bidi w:val="0"/>
        <w:spacing w:line="312"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1822959">
      <w:pPr>
        <w:pStyle w:val="18"/>
        <w:pageBreakBefore w:val="0"/>
        <w:kinsoku/>
        <w:wordWrap/>
        <w:topLinePunct w:val="0"/>
        <w:bidi w:val="0"/>
        <w:spacing w:line="312"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997F399">
      <w:pPr>
        <w:pStyle w:val="18"/>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四、投诉事项具体内容</w:t>
      </w:r>
    </w:p>
    <w:p w14:paraId="6F65C437">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37658A6">
      <w:pPr>
        <w:pStyle w:val="18"/>
        <w:pageBreakBefore w:val="0"/>
        <w:kinsoku/>
        <w:wordWrap/>
        <w:topLinePunct w:val="0"/>
        <w:bidi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C9000B8">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14612DB">
      <w:pPr>
        <w:pStyle w:val="18"/>
        <w:pageBreakBefore w:val="0"/>
        <w:kinsoku/>
        <w:wordWrap/>
        <w:topLinePunct w:val="0"/>
        <w:bidi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DB13B0F">
      <w:pPr>
        <w:pStyle w:val="18"/>
        <w:pageBreakBefore w:val="0"/>
        <w:kinsoku/>
        <w:wordWrap/>
        <w:topLinePunct w:val="0"/>
        <w:bidi w:val="0"/>
        <w:spacing w:line="312"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64D793E">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57677D4">
      <w:pPr>
        <w:pStyle w:val="18"/>
        <w:pageBreakBefore w:val="0"/>
        <w:kinsoku/>
        <w:wordWrap/>
        <w:topLinePunct w:val="0"/>
        <w:bidi w:val="0"/>
        <w:spacing w:line="312"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72F16B01">
      <w:pPr>
        <w:pStyle w:val="18"/>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392337C2">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A1DF467">
      <w:pPr>
        <w:pStyle w:val="18"/>
        <w:pageBreakBefore w:val="0"/>
        <w:kinsoku/>
        <w:wordWrap/>
        <w:topLinePunct w:val="0"/>
        <w:bidi w:val="0"/>
        <w:spacing w:line="312" w:lineRule="auto"/>
        <w:ind w:left="25" w:leftChars="12" w:firstLine="352" w:firstLineChars="147"/>
        <w:rPr>
          <w:rFonts w:hint="eastAsia" w:hAnsi="宋体"/>
          <w:color w:val="auto"/>
          <w:sz w:val="24"/>
          <w:szCs w:val="24"/>
          <w:highlight w:val="none"/>
        </w:rPr>
      </w:pPr>
    </w:p>
    <w:p w14:paraId="5475177F">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50B4022D">
      <w:pPr>
        <w:pStyle w:val="18"/>
        <w:pageBreakBefore w:val="0"/>
        <w:kinsoku/>
        <w:wordWrap/>
        <w:topLinePunct w:val="0"/>
        <w:bidi w:val="0"/>
        <w:spacing w:line="312" w:lineRule="auto"/>
        <w:ind w:left="25" w:leftChars="12" w:firstLine="352" w:firstLineChars="147"/>
        <w:rPr>
          <w:rFonts w:hint="eastAsia" w:hAnsi="宋体"/>
          <w:color w:val="auto"/>
          <w:sz w:val="24"/>
          <w:szCs w:val="24"/>
          <w:highlight w:val="none"/>
        </w:rPr>
      </w:pPr>
    </w:p>
    <w:p w14:paraId="45456CBD">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DB6F8DB">
      <w:pPr>
        <w:pStyle w:val="18"/>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49670D9">
      <w:pPr>
        <w:pStyle w:val="18"/>
        <w:pageBreakBefore w:val="0"/>
        <w:kinsoku/>
        <w:wordWrap/>
        <w:topLinePunct w:val="0"/>
        <w:bidi w:val="0"/>
        <w:snapToGrid w:val="0"/>
        <w:spacing w:line="312" w:lineRule="auto"/>
        <w:rPr>
          <w:rFonts w:hint="eastAsia" w:hAnsi="宋体"/>
          <w:b/>
          <w:color w:val="auto"/>
          <w:sz w:val="24"/>
          <w:szCs w:val="24"/>
          <w:highlight w:val="none"/>
        </w:rPr>
      </w:pPr>
      <w:r>
        <w:rPr>
          <w:rFonts w:hint="eastAsia" w:hAnsi="宋体"/>
          <w:b/>
          <w:color w:val="auto"/>
          <w:sz w:val="24"/>
          <w:szCs w:val="24"/>
          <w:highlight w:val="none"/>
        </w:rPr>
        <w:t>说明：</w:t>
      </w:r>
    </w:p>
    <w:p w14:paraId="68D77BE4">
      <w:pPr>
        <w:pStyle w:val="18"/>
        <w:pageBreakBefore w:val="0"/>
        <w:kinsoku/>
        <w:wordWrap/>
        <w:topLinePunct w:val="0"/>
        <w:bidi w:val="0"/>
        <w:spacing w:line="312"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D76FAB1">
      <w:pPr>
        <w:pStyle w:val="18"/>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6B13BEF">
      <w:pPr>
        <w:pStyle w:val="18"/>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A41CEFB">
      <w:pPr>
        <w:pStyle w:val="18"/>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7B86151">
      <w:pPr>
        <w:pStyle w:val="18"/>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2F24B40A">
      <w:pPr>
        <w:pStyle w:val="18"/>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1F583A99">
      <w:pPr>
        <w:widowControl w:val="0"/>
        <w:ind w:firstLine="680"/>
        <w:jc w:val="both"/>
        <w:outlineLvl w:val="9"/>
        <w:rPr>
          <w:rFonts w:hint="eastAsia" w:ascii="宋体" w:hAnsi="宋体" w:eastAsia="宋体" w:cs="Times New Roman"/>
          <w:b/>
          <w:color w:val="auto"/>
          <w:kern w:val="2"/>
          <w:sz w:val="24"/>
          <w:szCs w:val="24"/>
          <w:highlight w:val="none"/>
          <w:lang w:val="en-US" w:eastAsia="zh-CN" w:bidi="ar-SA"/>
        </w:rPr>
      </w:pPr>
    </w:p>
    <w:p w14:paraId="55C2E912">
      <w:pPr>
        <w:rPr>
          <w:rFonts w:hint="eastAsia" w:hAnsi="宋体"/>
          <w:b/>
          <w:color w:val="auto"/>
          <w:sz w:val="24"/>
          <w:szCs w:val="24"/>
          <w:highlight w:val="none"/>
        </w:rPr>
      </w:pPr>
    </w:p>
    <w:p w14:paraId="27ABB50C">
      <w:pPr>
        <w:pStyle w:val="8"/>
        <w:rPr>
          <w:rFonts w:hint="eastAsia" w:hAnsi="宋体"/>
          <w:b/>
          <w:color w:val="auto"/>
          <w:sz w:val="24"/>
          <w:szCs w:val="24"/>
          <w:highlight w:val="none"/>
        </w:rPr>
      </w:pPr>
    </w:p>
    <w:p w14:paraId="5C833FAE">
      <w:pPr>
        <w:pStyle w:val="8"/>
        <w:rPr>
          <w:rFonts w:hint="eastAsia" w:hAnsi="宋体"/>
          <w:b/>
          <w:color w:val="auto"/>
          <w:sz w:val="24"/>
          <w:szCs w:val="24"/>
          <w:highlight w:val="none"/>
        </w:rPr>
      </w:pPr>
    </w:p>
    <w:p w14:paraId="3F56B96A">
      <w:pPr>
        <w:pStyle w:val="8"/>
        <w:rPr>
          <w:rFonts w:hint="eastAsia" w:hAnsi="宋体"/>
          <w:b/>
          <w:color w:val="auto"/>
          <w:sz w:val="24"/>
          <w:szCs w:val="24"/>
          <w:highlight w:val="none"/>
        </w:rPr>
      </w:pPr>
    </w:p>
    <w:p w14:paraId="12A9DF6F">
      <w:pPr>
        <w:pStyle w:val="8"/>
        <w:rPr>
          <w:rFonts w:hint="eastAsia" w:hAnsi="宋体"/>
          <w:b/>
          <w:color w:val="auto"/>
          <w:sz w:val="24"/>
          <w:szCs w:val="24"/>
          <w:highlight w:val="none"/>
        </w:rPr>
      </w:pPr>
    </w:p>
    <w:p w14:paraId="5F6DBF1F">
      <w:pPr>
        <w:pStyle w:val="8"/>
        <w:rPr>
          <w:rFonts w:hint="eastAsia" w:hAnsi="宋体"/>
          <w:b/>
          <w:color w:val="auto"/>
          <w:sz w:val="24"/>
          <w:szCs w:val="24"/>
          <w:highlight w:val="none"/>
        </w:rPr>
      </w:pPr>
    </w:p>
    <w:p w14:paraId="39830A9B">
      <w:pPr>
        <w:pStyle w:val="8"/>
        <w:rPr>
          <w:rFonts w:hint="eastAsia" w:hAnsi="宋体"/>
          <w:b/>
          <w:color w:val="auto"/>
          <w:sz w:val="24"/>
          <w:szCs w:val="24"/>
          <w:highlight w:val="none"/>
        </w:rPr>
      </w:pPr>
    </w:p>
    <w:p w14:paraId="5401FBAB">
      <w:pPr>
        <w:pStyle w:val="8"/>
        <w:rPr>
          <w:rFonts w:hint="eastAsia" w:hAnsi="宋体"/>
          <w:b/>
          <w:color w:val="auto"/>
          <w:sz w:val="24"/>
          <w:szCs w:val="24"/>
          <w:highlight w:val="none"/>
        </w:rPr>
      </w:pPr>
    </w:p>
    <w:p w14:paraId="1E006E48">
      <w:pPr>
        <w:pStyle w:val="4"/>
        <w:pageBreakBefore w:val="0"/>
        <w:kinsoku/>
        <w:wordWrap/>
        <w:topLinePunct w:val="0"/>
        <w:bidi w:val="0"/>
        <w:spacing w:line="312" w:lineRule="auto"/>
        <w:jc w:val="center"/>
        <w:outlineLvl w:val="0"/>
        <w:rPr>
          <w:rFonts w:hint="eastAsia"/>
          <w:color w:val="auto"/>
          <w:highlight w:val="none"/>
        </w:rPr>
      </w:pPr>
      <w:bookmarkStart w:id="205" w:name="_Toc10382"/>
      <w:bookmarkStart w:id="206" w:name="_Toc32227"/>
      <w:r>
        <w:rPr>
          <w:rFonts w:hint="eastAsia"/>
          <w:color w:val="auto"/>
          <w:highlight w:val="none"/>
        </w:rPr>
        <w:t xml:space="preserve">第六章 </w:t>
      </w:r>
      <w:r>
        <w:rPr>
          <w:rFonts w:hint="eastAsia"/>
          <w:color w:val="auto"/>
          <w:highlight w:val="none"/>
          <w:lang w:val="en-US" w:eastAsia="zh-CN"/>
        </w:rPr>
        <w:t>拟签订的</w:t>
      </w:r>
      <w:r>
        <w:rPr>
          <w:rFonts w:hint="eastAsia"/>
          <w:color w:val="auto"/>
          <w:highlight w:val="none"/>
        </w:rPr>
        <w:t>合同文本</w:t>
      </w:r>
      <w:bookmarkEnd w:id="205"/>
      <w:bookmarkEnd w:id="206"/>
    </w:p>
    <w:p w14:paraId="709480E4">
      <w:pPr>
        <w:pageBreakBefore w:val="0"/>
        <w:kinsoku/>
        <w:wordWrap/>
        <w:topLinePunct w:val="0"/>
        <w:bidi w:val="0"/>
        <w:spacing w:line="312" w:lineRule="auto"/>
        <w:jc w:val="center"/>
        <w:rPr>
          <w:b/>
          <w:bCs/>
          <w:color w:val="auto"/>
          <w:sz w:val="48"/>
          <w:szCs w:val="48"/>
          <w:highlight w:val="none"/>
        </w:rPr>
      </w:pPr>
    </w:p>
    <w:p w14:paraId="1FA432A9">
      <w:pPr>
        <w:pageBreakBefore w:val="0"/>
        <w:kinsoku/>
        <w:wordWrap/>
        <w:topLinePunct w:val="0"/>
        <w:bidi w:val="0"/>
        <w:spacing w:line="312" w:lineRule="auto"/>
        <w:jc w:val="center"/>
        <w:rPr>
          <w:rFonts w:hint="eastAsia" w:ascii="宋体" w:cs="宋体"/>
          <w:b/>
          <w:color w:val="auto"/>
          <w:kern w:val="0"/>
          <w:sz w:val="72"/>
          <w:szCs w:val="52"/>
          <w:highlight w:val="none"/>
        </w:rPr>
      </w:pPr>
    </w:p>
    <w:p w14:paraId="0883DC6D">
      <w:pPr>
        <w:pStyle w:val="13"/>
        <w:pageBreakBefore w:val="0"/>
        <w:kinsoku/>
        <w:wordWrap/>
        <w:topLinePunct w:val="0"/>
        <w:bidi w:val="0"/>
        <w:spacing w:line="312" w:lineRule="auto"/>
        <w:rPr>
          <w:rFonts w:hint="eastAsia"/>
          <w:color w:val="auto"/>
          <w:highlight w:val="none"/>
        </w:rPr>
      </w:pPr>
    </w:p>
    <w:p w14:paraId="4058B4ED">
      <w:pPr>
        <w:pageBreakBefore w:val="0"/>
        <w:kinsoku/>
        <w:wordWrap/>
        <w:topLinePunct w:val="0"/>
        <w:bidi w:val="0"/>
        <w:spacing w:line="312" w:lineRule="auto"/>
        <w:jc w:val="center"/>
        <w:outlineLvl w:val="0"/>
        <w:rPr>
          <w:b/>
          <w:color w:val="auto"/>
          <w:sz w:val="32"/>
          <w:highlight w:val="none"/>
        </w:rPr>
      </w:pPr>
      <w:bookmarkStart w:id="207" w:name="_Toc2680"/>
      <w:r>
        <w:rPr>
          <w:rFonts w:hint="eastAsia" w:ascii="宋体" w:cs="宋体"/>
          <w:b/>
          <w:color w:val="auto"/>
          <w:kern w:val="0"/>
          <w:sz w:val="72"/>
          <w:szCs w:val="52"/>
          <w:highlight w:val="none"/>
        </w:rPr>
        <w:t>政府采购合同</w:t>
      </w:r>
      <w:bookmarkEnd w:id="207"/>
    </w:p>
    <w:p w14:paraId="7DFCD7F2">
      <w:pPr>
        <w:pageBreakBefore w:val="0"/>
        <w:kinsoku/>
        <w:wordWrap/>
        <w:topLinePunct w:val="0"/>
        <w:bidi w:val="0"/>
        <w:spacing w:line="312" w:lineRule="auto"/>
        <w:rPr>
          <w:color w:val="auto"/>
          <w:highlight w:val="none"/>
        </w:rPr>
      </w:pPr>
    </w:p>
    <w:p w14:paraId="0BE5F198">
      <w:pPr>
        <w:pageBreakBefore w:val="0"/>
        <w:kinsoku/>
        <w:wordWrap/>
        <w:topLinePunct w:val="0"/>
        <w:bidi w:val="0"/>
        <w:spacing w:line="312" w:lineRule="auto"/>
        <w:rPr>
          <w:rFonts w:ascii="宋体" w:cs="宋体"/>
          <w:color w:val="auto"/>
          <w:kern w:val="0"/>
          <w:sz w:val="36"/>
          <w:szCs w:val="36"/>
          <w:highlight w:val="none"/>
        </w:rPr>
      </w:pPr>
    </w:p>
    <w:p w14:paraId="66B5A772">
      <w:pPr>
        <w:pageBreakBefore w:val="0"/>
        <w:kinsoku/>
        <w:wordWrap/>
        <w:topLinePunct w:val="0"/>
        <w:bidi w:val="0"/>
        <w:spacing w:line="312" w:lineRule="auto"/>
        <w:rPr>
          <w:rFonts w:ascii="宋体" w:cs="宋体"/>
          <w:color w:val="auto"/>
          <w:kern w:val="0"/>
          <w:sz w:val="36"/>
          <w:szCs w:val="36"/>
          <w:highlight w:val="none"/>
        </w:rPr>
      </w:pPr>
    </w:p>
    <w:p w14:paraId="63C5348E">
      <w:pPr>
        <w:pageBreakBefore w:val="0"/>
        <w:kinsoku/>
        <w:wordWrap/>
        <w:topLinePunct w:val="0"/>
        <w:bidi w:val="0"/>
        <w:spacing w:line="312" w:lineRule="auto"/>
        <w:rPr>
          <w:rFonts w:ascii="宋体" w:cs="宋体"/>
          <w:color w:val="auto"/>
          <w:kern w:val="0"/>
          <w:sz w:val="32"/>
          <w:szCs w:val="32"/>
          <w:highlight w:val="none"/>
        </w:rPr>
      </w:pPr>
      <w:r>
        <w:rPr>
          <w:rFonts w:hint="eastAsia" w:ascii="宋体" w:cs="宋体"/>
          <w:color w:val="auto"/>
          <w:kern w:val="0"/>
          <w:sz w:val="32"/>
          <w:szCs w:val="32"/>
          <w:highlight w:val="none"/>
        </w:rPr>
        <w:t>项目名称：</w:t>
      </w:r>
    </w:p>
    <w:p w14:paraId="54BF0A5E">
      <w:pPr>
        <w:pageBreakBefore w:val="0"/>
        <w:kinsoku/>
        <w:wordWrap/>
        <w:topLinePunct w:val="0"/>
        <w:bidi w:val="0"/>
        <w:spacing w:line="312" w:lineRule="auto"/>
        <w:rPr>
          <w:rFonts w:ascii="宋体" w:cs="宋体"/>
          <w:color w:val="auto"/>
          <w:kern w:val="0"/>
          <w:sz w:val="32"/>
          <w:szCs w:val="32"/>
          <w:highlight w:val="none"/>
        </w:rPr>
      </w:pPr>
      <w:r>
        <w:rPr>
          <w:rFonts w:hint="eastAsia" w:ascii="宋体" w:cs="宋体"/>
          <w:color w:val="auto"/>
          <w:kern w:val="0"/>
          <w:sz w:val="32"/>
          <w:szCs w:val="32"/>
          <w:highlight w:val="none"/>
        </w:rPr>
        <w:t>项目编号：</w:t>
      </w:r>
    </w:p>
    <w:p w14:paraId="69AB7AFF">
      <w:pPr>
        <w:pageBreakBefore w:val="0"/>
        <w:kinsoku/>
        <w:wordWrap/>
        <w:topLinePunct w:val="0"/>
        <w:bidi w:val="0"/>
        <w:spacing w:line="312" w:lineRule="auto"/>
        <w:rPr>
          <w:color w:val="auto"/>
          <w:sz w:val="32"/>
          <w:szCs w:val="32"/>
          <w:highlight w:val="none"/>
        </w:rPr>
      </w:pPr>
    </w:p>
    <w:p w14:paraId="51207F23">
      <w:pPr>
        <w:pageBreakBefore w:val="0"/>
        <w:kinsoku/>
        <w:wordWrap/>
        <w:topLinePunct w:val="0"/>
        <w:bidi w:val="0"/>
        <w:spacing w:line="312" w:lineRule="auto"/>
        <w:rPr>
          <w:color w:val="auto"/>
          <w:sz w:val="32"/>
          <w:szCs w:val="32"/>
          <w:highlight w:val="none"/>
        </w:rPr>
      </w:pPr>
    </w:p>
    <w:p w14:paraId="297790F9">
      <w:pPr>
        <w:pageBreakBefore w:val="0"/>
        <w:kinsoku/>
        <w:wordWrap/>
        <w:topLinePunct w:val="0"/>
        <w:bidi w:val="0"/>
        <w:spacing w:line="312" w:lineRule="auto"/>
        <w:rPr>
          <w:color w:val="auto"/>
          <w:sz w:val="32"/>
          <w:szCs w:val="32"/>
          <w:highlight w:val="none"/>
        </w:rPr>
      </w:pPr>
    </w:p>
    <w:p w14:paraId="2B7050B8">
      <w:pPr>
        <w:pageBreakBefore w:val="0"/>
        <w:kinsoku/>
        <w:wordWrap/>
        <w:topLinePunct w:val="0"/>
        <w:bidi w:val="0"/>
        <w:spacing w:line="312" w:lineRule="auto"/>
        <w:rPr>
          <w:color w:val="auto"/>
          <w:sz w:val="32"/>
          <w:szCs w:val="32"/>
          <w:highlight w:val="none"/>
        </w:rPr>
      </w:pPr>
    </w:p>
    <w:p w14:paraId="71489A2F">
      <w:pPr>
        <w:pageBreakBefore w:val="0"/>
        <w:kinsoku/>
        <w:wordWrap/>
        <w:topLinePunct w:val="0"/>
        <w:bidi w:val="0"/>
        <w:spacing w:line="312" w:lineRule="auto"/>
        <w:rPr>
          <w:color w:val="auto"/>
          <w:sz w:val="32"/>
          <w:szCs w:val="32"/>
          <w:highlight w:val="none"/>
        </w:rPr>
      </w:pPr>
    </w:p>
    <w:p w14:paraId="6E61014E">
      <w:pPr>
        <w:pageBreakBefore w:val="0"/>
        <w:kinsoku/>
        <w:wordWrap/>
        <w:topLinePunct w:val="0"/>
        <w:autoSpaceDE w:val="0"/>
        <w:autoSpaceDN w:val="0"/>
        <w:bidi w:val="0"/>
        <w:adjustRightInd w:val="0"/>
        <w:spacing w:line="312" w:lineRule="auto"/>
        <w:jc w:val="left"/>
        <w:rPr>
          <w:rFonts w:ascii="宋体" w:cs="宋体"/>
          <w:color w:val="auto"/>
          <w:kern w:val="0"/>
          <w:sz w:val="32"/>
          <w:szCs w:val="32"/>
          <w:highlight w:val="none"/>
        </w:rPr>
      </w:pPr>
      <w:r>
        <w:rPr>
          <w:rFonts w:hint="eastAsia" w:ascii="宋体" w:cs="宋体"/>
          <w:color w:val="auto"/>
          <w:kern w:val="0"/>
          <w:sz w:val="32"/>
          <w:szCs w:val="32"/>
          <w:highlight w:val="none"/>
        </w:rPr>
        <w:t>甲方：</w:t>
      </w:r>
    </w:p>
    <w:p w14:paraId="7ED26530">
      <w:pPr>
        <w:pageBreakBefore w:val="0"/>
        <w:kinsoku/>
        <w:wordWrap/>
        <w:topLinePunct w:val="0"/>
        <w:bidi w:val="0"/>
        <w:spacing w:line="312" w:lineRule="auto"/>
        <w:rPr>
          <w:rFonts w:ascii="宋体" w:cs="宋体"/>
          <w:color w:val="auto"/>
          <w:kern w:val="0"/>
          <w:sz w:val="32"/>
          <w:szCs w:val="32"/>
          <w:highlight w:val="none"/>
        </w:rPr>
      </w:pPr>
      <w:r>
        <w:rPr>
          <w:rFonts w:hint="eastAsia" w:ascii="宋体" w:cs="宋体"/>
          <w:color w:val="auto"/>
          <w:kern w:val="0"/>
          <w:sz w:val="32"/>
          <w:szCs w:val="32"/>
          <w:highlight w:val="none"/>
        </w:rPr>
        <w:t>乙方：</w:t>
      </w:r>
    </w:p>
    <w:p w14:paraId="18F36A13">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rPr>
          <w:rFonts w:hint="eastAsia" w:ascii="宋体" w:hAnsi="宋体" w:eastAsia="宋体" w:cs="宋体"/>
          <w:color w:val="auto"/>
          <w:sz w:val="28"/>
          <w:szCs w:val="28"/>
          <w:highlight w:val="none"/>
        </w:rPr>
      </w:pPr>
      <w:r>
        <w:rPr>
          <w:rFonts w:ascii="宋体" w:cs="宋体"/>
          <w:color w:val="auto"/>
          <w:kern w:val="0"/>
          <w:sz w:val="36"/>
          <w:szCs w:val="36"/>
          <w:highlight w:val="none"/>
        </w:rPr>
        <w:br w:type="page"/>
      </w:r>
      <w:r>
        <w:rPr>
          <w:rFonts w:hint="eastAsia" w:ascii="宋体" w:hAnsi="宋体" w:eastAsia="宋体" w:cs="宋体"/>
          <w:color w:val="auto"/>
          <w:sz w:val="28"/>
          <w:szCs w:val="28"/>
          <w:highlight w:val="none"/>
          <w:lang w:eastAsia="zh-CN"/>
        </w:rPr>
        <w:t>梧州市卫生健康委员会202</w:t>
      </w:r>
      <w:r>
        <w:rPr>
          <w:rFonts w:hint="default" w:ascii="宋体" w:hAnsi="宋体" w:cs="宋体"/>
          <w:color w:val="auto"/>
          <w:sz w:val="28"/>
          <w:szCs w:val="28"/>
          <w:highlight w:val="none"/>
          <w:lang w:val="en" w:eastAsia="zh-CN"/>
        </w:rPr>
        <w:t>5</w:t>
      </w:r>
      <w:r>
        <w:rPr>
          <w:rFonts w:hint="eastAsia" w:ascii="宋体" w:hAnsi="宋体" w:eastAsia="宋体" w:cs="宋体"/>
          <w:color w:val="auto"/>
          <w:sz w:val="28"/>
          <w:szCs w:val="28"/>
          <w:highlight w:val="none"/>
          <w:lang w:eastAsia="zh-CN"/>
        </w:rPr>
        <w:t>年除“四害”服务采购</w:t>
      </w:r>
      <w:r>
        <w:rPr>
          <w:rFonts w:hint="eastAsia" w:ascii="宋体" w:hAnsi="宋体" w:eastAsia="宋体" w:cs="宋体"/>
          <w:color w:val="auto"/>
          <w:sz w:val="28"/>
          <w:szCs w:val="28"/>
          <w:highlight w:val="none"/>
        </w:rPr>
        <w:t>合同</w:t>
      </w:r>
    </w:p>
    <w:p w14:paraId="4209E57D">
      <w:pPr>
        <w:rPr>
          <w:rFonts w:hint="eastAsia" w:ascii="仿宋_GB2312" w:hAnsi="仿宋_GB2312" w:eastAsia="仿宋_GB2312" w:cs="仿宋_GB2312"/>
          <w:color w:val="auto"/>
          <w:sz w:val="28"/>
          <w:szCs w:val="28"/>
          <w:highlight w:val="none"/>
        </w:rPr>
      </w:pPr>
    </w:p>
    <w:p w14:paraId="0C71A45C">
      <w:pPr>
        <w:keepNext w:val="0"/>
        <w:keepLines w:val="0"/>
        <w:pageBreakBefore w:val="0"/>
        <w:widowControl w:val="0"/>
        <w:kinsoku/>
        <w:wordWrap w:val="0"/>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采购计划号：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Cs/>
          <w:color w:val="auto"/>
          <w:sz w:val="21"/>
          <w:szCs w:val="21"/>
          <w:highlight w:val="none"/>
        </w:rPr>
        <w:t>合同编号：</w:t>
      </w:r>
      <w:r>
        <w:rPr>
          <w:rFonts w:hint="eastAsia" w:asciiTheme="minorEastAsia" w:hAnsiTheme="minorEastAsia" w:eastAsiaTheme="minorEastAsia" w:cstheme="minorEastAsia"/>
          <w:color w:val="auto"/>
          <w:sz w:val="21"/>
          <w:szCs w:val="21"/>
          <w:highlight w:val="none"/>
          <w:u w:val="single"/>
        </w:rPr>
        <w:t xml:space="preserve">                </w:t>
      </w:r>
    </w:p>
    <w:p w14:paraId="400B5C12">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采购人（甲方）：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供应商（乙方）：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1FCAAF76">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项目编号：</w:t>
      </w:r>
      <w:r>
        <w:rPr>
          <w:rFonts w:hint="eastAsia" w:asciiTheme="minorEastAsia" w:hAnsiTheme="minorEastAsia" w:eastAsiaTheme="minorEastAsia" w:cstheme="minorEastAsia"/>
          <w:color w:val="auto"/>
          <w:sz w:val="21"/>
          <w:szCs w:val="21"/>
          <w:highlight w:val="none"/>
          <w:u w:val="single"/>
        </w:rPr>
        <w:t xml:space="preserve">                          </w:t>
      </w:r>
    </w:p>
    <w:p w14:paraId="65C0F387">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签订地点：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签订时间：</w:t>
      </w:r>
      <w:r>
        <w:rPr>
          <w:rFonts w:hint="eastAsia" w:asciiTheme="minorEastAsia" w:hAnsiTheme="minorEastAsia" w:eastAsiaTheme="minorEastAsia" w:cstheme="minorEastAsia"/>
          <w:color w:val="auto"/>
          <w:sz w:val="21"/>
          <w:szCs w:val="21"/>
          <w:highlight w:val="none"/>
          <w:u w:val="single"/>
        </w:rPr>
        <w:t xml:space="preserve">                </w:t>
      </w:r>
    </w:p>
    <w:p w14:paraId="16D45B13">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b/>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合同类型：</w:t>
      </w:r>
      <w:r>
        <w:rPr>
          <w:rFonts w:hint="eastAsia" w:asciiTheme="minorEastAsia" w:hAnsiTheme="minorEastAsia" w:eastAsiaTheme="minorEastAsia" w:cstheme="minorEastAsia"/>
          <w:color w:val="auto"/>
          <w:sz w:val="21"/>
          <w:szCs w:val="21"/>
          <w:highlight w:val="none"/>
          <w:u w:val="single"/>
          <w:lang w:val="en-US" w:eastAsia="zh-CN"/>
        </w:rPr>
        <w:t>服务合同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412E93E1">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根据《中华人民共和国民法典》《中华人民共和国政府采购法》等法律、法规规定，按照竞争性磋商文件规定条款和乙方响应文件及其承诺，甲乙双方签订本合同。</w:t>
      </w:r>
    </w:p>
    <w:p w14:paraId="4A2BD68E">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合同标的</w:t>
      </w:r>
    </w:p>
    <w:p w14:paraId="56CF5903">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1、项目一览表</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489"/>
        <w:gridCol w:w="1125"/>
        <w:gridCol w:w="1110"/>
        <w:gridCol w:w="1784"/>
      </w:tblGrid>
      <w:tr w14:paraId="797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97DEDB2">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4489" w:type="dxa"/>
            <w:tcBorders>
              <w:top w:val="single" w:color="auto" w:sz="4" w:space="0"/>
              <w:left w:val="single" w:color="auto" w:sz="4" w:space="0"/>
              <w:bottom w:val="single" w:color="auto" w:sz="4" w:space="0"/>
              <w:right w:val="single" w:color="auto" w:sz="4" w:space="0"/>
            </w:tcBorders>
            <w:noWrap w:val="0"/>
            <w:vAlign w:val="center"/>
          </w:tcPr>
          <w:p w14:paraId="793829BC">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543A3B7">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3BD17DA">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791C123B">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总价</w:t>
            </w:r>
          </w:p>
        </w:tc>
      </w:tr>
      <w:tr w14:paraId="6AA4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75842D0">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4489" w:type="dxa"/>
            <w:tcBorders>
              <w:top w:val="single" w:color="auto" w:sz="4" w:space="0"/>
              <w:left w:val="single" w:color="auto" w:sz="4" w:space="0"/>
              <w:bottom w:val="single" w:color="auto" w:sz="4" w:space="0"/>
              <w:right w:val="single" w:color="auto" w:sz="4" w:space="0"/>
            </w:tcBorders>
            <w:noWrap w:val="0"/>
            <w:vAlign w:val="center"/>
          </w:tcPr>
          <w:p w14:paraId="6FB32AC1">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54DAEC2">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CF43DF9">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2C38075B">
            <w:pPr>
              <w:keepNext w:val="0"/>
              <w:keepLines w:val="0"/>
              <w:pageBreakBefore w:val="0"/>
              <w:widowControl w:val="0"/>
              <w:kinsoku/>
              <w:overflowPunct/>
              <w:topLinePunct w:val="0"/>
              <w:autoSpaceDE/>
              <w:autoSpaceDN/>
              <w:bidi w:val="0"/>
              <w:adjustRightInd/>
              <w:spacing w:line="440" w:lineRule="exact"/>
              <w:jc w:val="center"/>
              <w:rPr>
                <w:rFonts w:hint="eastAsia" w:asciiTheme="minorEastAsia" w:hAnsiTheme="minorEastAsia" w:eastAsiaTheme="minorEastAsia" w:cstheme="minorEastAsia"/>
                <w:color w:val="auto"/>
                <w:sz w:val="21"/>
                <w:szCs w:val="21"/>
                <w:highlight w:val="none"/>
              </w:rPr>
            </w:pPr>
          </w:p>
        </w:tc>
      </w:tr>
      <w:tr w14:paraId="6D2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024A33E0">
            <w:pPr>
              <w:keepNext w:val="0"/>
              <w:keepLines w:val="0"/>
              <w:pageBreakBefore w:val="0"/>
              <w:widowControl w:val="0"/>
              <w:kinsoku/>
              <w:overflowPunct/>
              <w:topLinePunct w:val="0"/>
              <w:autoSpaceDE/>
              <w:autoSpaceDN/>
              <w:bidi w:val="0"/>
              <w:adjustRightInd/>
              <w:snapToGrid w:val="0"/>
              <w:spacing w:before="50" w:after="50" w:line="44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合计金额大写：人民币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tc>
      </w:tr>
    </w:tbl>
    <w:p w14:paraId="0401473A">
      <w:pPr>
        <w:snapToGrid w:val="0"/>
        <w:spacing w:line="48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2、合同合计金额包括但不限于满足本次竞标全部采购需求所应提供的服务，以及伴随的货物和工程（如有）的价格；包含竞标服务、货物的成本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检验、技术服务、税费等所有费用。如竞争性磋商文件对其另有规定的，从其规定。</w:t>
      </w:r>
    </w:p>
    <w:p w14:paraId="5AF6AA20">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第二条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质量保证</w:t>
      </w:r>
    </w:p>
    <w:p w14:paraId="6CDF0E61">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且必需满足甲方合同目的。如存在多种标准，按照“就高不就低”原则执行。</w:t>
      </w:r>
    </w:p>
    <w:p w14:paraId="32A1E077">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第三条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权利保证</w:t>
      </w:r>
    </w:p>
    <w:p w14:paraId="6B1535B9">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1、乙方应保证所提供服务及其伴随的货物</w:t>
      </w:r>
      <w:r>
        <w:rPr>
          <w:rFonts w:hint="eastAsia" w:asciiTheme="minorEastAsia" w:hAnsiTheme="minorEastAsia" w:eastAsiaTheme="minorEastAsia" w:cstheme="minorEastAsia"/>
          <w:strike w:val="0"/>
          <w:dstrike w:val="0"/>
          <w:color w:val="auto"/>
          <w:sz w:val="21"/>
          <w:szCs w:val="21"/>
          <w:highlight w:val="none"/>
        </w:rPr>
        <w:t>、系统、平台和工程</w:t>
      </w:r>
      <w:r>
        <w:rPr>
          <w:rFonts w:hint="eastAsia" w:asciiTheme="minorEastAsia" w:hAnsiTheme="minorEastAsia" w:eastAsiaTheme="minorEastAsia" w:cstheme="minorEastAsia"/>
          <w:color w:val="auto"/>
          <w:sz w:val="21"/>
          <w:szCs w:val="21"/>
          <w:highlight w:val="none"/>
        </w:rPr>
        <w:t>（如有）在使用时不会侵犯任何第三方的专利权、商标权、工业设计权等知识产权及其他合法权利，且所有权、处分权等没有受到任何限制。</w:t>
      </w:r>
    </w:p>
    <w:p w14:paraId="27E1F223">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没有甲方事先书面同意，乙方不得将本合同项下权利义务转包分包、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14:paraId="0960A30E">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第四条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交付和验收</w:t>
      </w:r>
    </w:p>
    <w:p w14:paraId="5088C5FF">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1、服务期</w:t>
      </w:r>
      <w:r>
        <w:rPr>
          <w:rFonts w:hint="eastAsia" w:asciiTheme="minorEastAsia" w:hAnsiTheme="minorEastAsia" w:eastAsiaTheme="minorEastAsia" w:cstheme="minorEastAsia"/>
          <w:color w:val="auto"/>
          <w:sz w:val="21"/>
          <w:szCs w:val="21"/>
          <w:highlight w:val="none"/>
          <w:lang w:val="en-US" w:eastAsia="zh-CN"/>
        </w:rPr>
        <w:t>限</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如招标文件无具体明确规定，则由甲方指定</w:t>
      </w:r>
      <w:r>
        <w:rPr>
          <w:rFonts w:hint="eastAsia" w:asciiTheme="minorEastAsia" w:hAnsiTheme="minorEastAsia" w:eastAsiaTheme="minorEastAsia" w:cstheme="minorEastAsia"/>
          <w:color w:val="auto"/>
          <w:sz w:val="21"/>
          <w:szCs w:val="21"/>
          <w:highlight w:val="none"/>
        </w:rPr>
        <w:t>。</w:t>
      </w:r>
    </w:p>
    <w:p w14:paraId="5BD0F804">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2、服务地点：</w:t>
      </w:r>
      <w:r>
        <w:rPr>
          <w:rFonts w:hint="eastAsia" w:asciiTheme="minorEastAsia" w:hAnsiTheme="minorEastAsia" w:eastAsiaTheme="minorEastAsia" w:cstheme="minorEastAsia"/>
          <w:color w:val="auto"/>
          <w:sz w:val="21"/>
          <w:szCs w:val="21"/>
          <w:highlight w:val="none"/>
          <w:u w:val="single"/>
        </w:rPr>
        <w:t>广西梧州市</w:t>
      </w:r>
      <w:r>
        <w:rPr>
          <w:rFonts w:hint="eastAsia" w:asciiTheme="minorEastAsia" w:hAnsiTheme="minorEastAsia" w:eastAsiaTheme="minorEastAsia" w:cstheme="minorEastAsia"/>
          <w:color w:val="auto"/>
          <w:sz w:val="21"/>
          <w:szCs w:val="21"/>
          <w:highlight w:val="none"/>
          <w:u w:val="single"/>
          <w:lang w:val="en-US" w:eastAsia="zh-CN"/>
        </w:rPr>
        <w:t>甲方</w:t>
      </w:r>
      <w:r>
        <w:rPr>
          <w:rFonts w:hint="eastAsia" w:asciiTheme="minorEastAsia" w:hAnsiTheme="minorEastAsia" w:eastAsiaTheme="minorEastAsia" w:cstheme="minorEastAsia"/>
          <w:color w:val="auto"/>
          <w:sz w:val="21"/>
          <w:szCs w:val="21"/>
          <w:highlight w:val="none"/>
          <w:u w:val="single"/>
        </w:rPr>
        <w:t>指定地点</w:t>
      </w:r>
      <w:r>
        <w:rPr>
          <w:rFonts w:hint="eastAsia" w:asciiTheme="minorEastAsia" w:hAnsiTheme="minorEastAsia" w:eastAsiaTheme="minorEastAsia" w:cstheme="minorEastAsia"/>
          <w:color w:val="auto"/>
          <w:sz w:val="21"/>
          <w:szCs w:val="21"/>
          <w:highlight w:val="none"/>
        </w:rPr>
        <w:t>。</w:t>
      </w:r>
    </w:p>
    <w:p w14:paraId="06EFB2EF">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3、乙方应按响应文件的承诺向甲方提供相应的服务，并提供所服务内容的相关技术资料。</w:t>
      </w:r>
    </w:p>
    <w:p w14:paraId="5AE1B4C8">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4、乙方提供不符合响应文件和本合同规定的服务成果，甲方有权拒绝接受。</w:t>
      </w:r>
    </w:p>
    <w:p w14:paraId="4E83328C">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5、乙方完成服务后应及时书面通知甲方进行验收，甲方应在收到通知后5个工作日内进行验收。验收合格后由甲乙双方签署验收单并加盖采购人公章，甲乙双方各执一份。</w:t>
      </w:r>
    </w:p>
    <w:p w14:paraId="0252571F">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6、甲乙双方应</w:t>
      </w:r>
      <w:r>
        <w:rPr>
          <w:rFonts w:hint="eastAsia" w:asciiTheme="minorEastAsia" w:hAnsiTheme="minorEastAsia" w:eastAsiaTheme="minorEastAsia" w:cstheme="minorEastAsia"/>
          <w:color w:val="auto"/>
          <w:sz w:val="21"/>
          <w:szCs w:val="21"/>
          <w:highlight w:val="none"/>
          <w:lang w:val="en-US" w:eastAsia="zh-CN"/>
        </w:rPr>
        <w:t>参</w:t>
      </w:r>
      <w:r>
        <w:rPr>
          <w:rFonts w:hint="eastAsia" w:asciiTheme="minorEastAsia" w:hAnsiTheme="minorEastAsia" w:eastAsiaTheme="minorEastAsia" w:cstheme="minorEastAsia"/>
          <w:color w:val="auto"/>
          <w:sz w:val="21"/>
          <w:szCs w:val="21"/>
          <w:highlight w:val="none"/>
        </w:rPr>
        <w:t>照《广西壮族自治区政府采购项目履约验收管理办法》、双方合同、响应文件验收。</w:t>
      </w:r>
    </w:p>
    <w:p w14:paraId="477F27E5">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甲方在初步验收或最终验收过程中，如发现乙方提供的服务成果不满足响应文件及本合同规定的甲方合同目的等，可暂缓向乙方付款，直到乙方及时完善并提交相应的服务成果且经甲方验收合格后，方可办理付款。</w:t>
      </w:r>
    </w:p>
    <w:p w14:paraId="009C307B">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8、甲方验收时以书面形式提出异议的，乙方应自收到甲方书面异议后</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个工作日内及时予以解决，否则甲方有权不出具服务验收合格单。</w:t>
      </w:r>
    </w:p>
    <w:p w14:paraId="77DA3B53">
      <w:pPr>
        <w:keepNext w:val="0"/>
        <w:keepLines w:val="0"/>
        <w:pageBreakBefore w:val="0"/>
        <w:widowControl w:val="0"/>
        <w:kinsoku/>
        <w:overflowPunct/>
        <w:topLinePunct w:val="0"/>
        <w:autoSpaceDE/>
        <w:autoSpaceDN/>
        <w:bidi w:val="0"/>
        <w:adjustRightInd/>
        <w:snapToGrid w:val="0"/>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第五条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售后服务及培训</w:t>
      </w:r>
    </w:p>
    <w:p w14:paraId="24C851A5">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1、乙方应按照国家有关法律法规和本合同所附的《售后服务承诺》要求为甲方提供相应的售后服务。</w:t>
      </w:r>
    </w:p>
    <w:p w14:paraId="26FA4FC3">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2、甲方应提供必要测试条件（如场地、电源、水源等）。</w:t>
      </w:r>
    </w:p>
    <w:p w14:paraId="2C966BA6">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3、乙方负责甲方有关人员的培训。培训时间、地点：</w:t>
      </w:r>
      <w:r>
        <w:rPr>
          <w:rFonts w:hint="eastAsia" w:asciiTheme="minorEastAsia" w:hAnsiTheme="minorEastAsia" w:eastAsiaTheme="minorEastAsia" w:cstheme="minorEastAsia"/>
          <w:color w:val="auto"/>
          <w:sz w:val="21"/>
          <w:szCs w:val="21"/>
          <w:highlight w:val="none"/>
          <w:u w:val="single"/>
          <w:lang w:val="en-US" w:eastAsia="zh-CN"/>
        </w:rPr>
        <w:t>甲方指定</w:t>
      </w:r>
      <w:r>
        <w:rPr>
          <w:rFonts w:hint="eastAsia" w:asciiTheme="minorEastAsia" w:hAnsiTheme="minorEastAsia" w:eastAsiaTheme="minorEastAsia" w:cstheme="minorEastAsia"/>
          <w:color w:val="auto"/>
          <w:sz w:val="21"/>
          <w:szCs w:val="21"/>
          <w:highlight w:val="none"/>
        </w:rPr>
        <w:t>。</w:t>
      </w:r>
    </w:p>
    <w:p w14:paraId="152D5A45">
      <w:pPr>
        <w:keepNext w:val="0"/>
        <w:keepLines w:val="0"/>
        <w:pageBreakBefore w:val="0"/>
        <w:widowControl w:val="0"/>
        <w:kinsoku/>
        <w:overflowPunct/>
        <w:topLinePunct w:val="0"/>
        <w:autoSpaceDE/>
        <w:autoSpaceDN/>
        <w:bidi w:val="0"/>
        <w:adjustRightInd/>
        <w:snapToGrid w:val="0"/>
        <w:spacing w:line="440" w:lineRule="exact"/>
        <w:ind w:right="0" w:firstLine="422"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第六条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付款方式</w:t>
      </w:r>
    </w:p>
    <w:p w14:paraId="1B68BC78">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在 2025 年7月开展第一次除四害，完成并验收通过后在对服务区域加强一次服务（具体时间以实际完成招标和开展除四害定），成交供应商向采购人开具税务全额发票，采购人收到发票后10个工作日内一次付清。</w:t>
      </w:r>
    </w:p>
    <w:p w14:paraId="1E0D90C3">
      <w:pPr>
        <w:keepNext w:val="0"/>
        <w:keepLines w:val="0"/>
        <w:pageBreakBefore w:val="0"/>
        <w:widowControl w:val="0"/>
        <w:kinsoku/>
        <w:overflowPunct/>
        <w:topLinePunct w:val="0"/>
        <w:autoSpaceDE/>
        <w:autoSpaceDN/>
        <w:bidi w:val="0"/>
        <w:adjustRightInd/>
        <w:snapToGrid w:val="0"/>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第七条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履约保证金：</w:t>
      </w:r>
      <w:r>
        <w:rPr>
          <w:rFonts w:hint="eastAsia" w:asciiTheme="minorEastAsia" w:hAnsiTheme="minorEastAsia" w:eastAsiaTheme="minorEastAsia" w:cstheme="minorEastAsia"/>
          <w:bCs/>
          <w:color w:val="auto"/>
          <w:sz w:val="21"/>
          <w:szCs w:val="21"/>
          <w:highlight w:val="none"/>
        </w:rPr>
        <w:t>无。</w:t>
      </w:r>
    </w:p>
    <w:p w14:paraId="00990DAB">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第八条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税费</w:t>
      </w:r>
    </w:p>
    <w:p w14:paraId="11029E5B">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3ECE8A5D">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第九条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违约责任</w:t>
      </w:r>
    </w:p>
    <w:p w14:paraId="4158AFDD">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1、除不可抗力原因外，乙方没有按照合同规定的时间提供</w:t>
      </w:r>
      <w:r>
        <w:rPr>
          <w:rFonts w:hint="eastAsia" w:asciiTheme="minorEastAsia" w:hAnsiTheme="minorEastAsia" w:eastAsiaTheme="minorEastAsia" w:cstheme="minorEastAsia"/>
          <w:color w:val="auto"/>
          <w:sz w:val="21"/>
          <w:szCs w:val="21"/>
          <w:highlight w:val="none"/>
          <w:lang w:val="en-US" w:eastAsia="zh-CN"/>
        </w:rPr>
        <w:t>任何一次</w:t>
      </w:r>
      <w:r>
        <w:rPr>
          <w:rFonts w:hint="eastAsia" w:asciiTheme="minorEastAsia" w:hAnsiTheme="minorEastAsia" w:eastAsiaTheme="minorEastAsia" w:cstheme="minorEastAsia"/>
          <w:color w:val="auto"/>
          <w:sz w:val="21"/>
          <w:szCs w:val="21"/>
          <w:highlight w:val="none"/>
        </w:rPr>
        <w:t>服务的，甲方可要求乙方支付违约金。每推迟一天按合同金额的3‰支付违约金，该违约金累计不超过合同金额的</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p>
    <w:p w14:paraId="635893B0">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2、乙方提供的</w:t>
      </w:r>
      <w:r>
        <w:rPr>
          <w:rFonts w:hint="eastAsia" w:asciiTheme="minorEastAsia" w:hAnsiTheme="minorEastAsia" w:eastAsiaTheme="minorEastAsia" w:cstheme="minorEastAsia"/>
          <w:color w:val="auto"/>
          <w:sz w:val="21"/>
          <w:szCs w:val="21"/>
          <w:highlight w:val="none"/>
          <w:lang w:val="en-US" w:eastAsia="zh-CN"/>
        </w:rPr>
        <w:t>任何一次</w:t>
      </w:r>
      <w:r>
        <w:rPr>
          <w:rFonts w:hint="eastAsia" w:asciiTheme="minorEastAsia" w:hAnsiTheme="minorEastAsia" w:eastAsiaTheme="minorEastAsia" w:cstheme="minorEastAsia"/>
          <w:color w:val="auto"/>
          <w:sz w:val="21"/>
          <w:szCs w:val="21"/>
          <w:highlight w:val="none"/>
        </w:rPr>
        <w:t>服务如侵犯了第三方合法权益而引发的任何纠纷或者诉讼，均由乙方负责交涉并承担全部责任。</w:t>
      </w:r>
    </w:p>
    <w:p w14:paraId="6FBAEC4A">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3、甲方延期付款的，每天向乙方偿付延期款额3‰滞纳金，但滞纳金累计不得超过延期款额5%。</w:t>
      </w:r>
    </w:p>
    <w:p w14:paraId="46204048">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4、如乙方拒绝履行本合同，经甲方催告后3日内仍然拒绝履行本合同的，或乙方没有按照合同约定提供符合标准的服务，甲方有权单方解除本合同并要求乙方承担合同款30%的违约责任。</w:t>
      </w:r>
    </w:p>
    <w:p w14:paraId="30F0052E">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不可抗力事件处理</w:t>
      </w:r>
    </w:p>
    <w:p w14:paraId="469808ED">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1、在合同有效期内，任何一方因不可抗力事件导致不能履行合同，则合同履行期可延长，其延长期与不可抗力影响期相同。</w:t>
      </w:r>
    </w:p>
    <w:p w14:paraId="06F62485">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14:paraId="1DE94942">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3、不可抗力事件延续30日历日以上，双方应通过友好协商，确定是否继续履行合同。</w:t>
      </w:r>
    </w:p>
    <w:p w14:paraId="3DC57319">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第十一条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合同争议解决</w:t>
      </w:r>
    </w:p>
    <w:p w14:paraId="5D6B3BBA">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1、因服务质量问题发生争议的，应邀请国家认可的质量检测机构进行鉴定。服务符合标准的，鉴定费由甲方承担；服务不符合标准的，鉴定费由乙方承担。</w:t>
      </w:r>
    </w:p>
    <w:p w14:paraId="630B361A">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2、因履行本合同引起的或与本合同有关的争议，甲乙双方应首先通过友好协商解决，如果协商不能解决，可向甲方所在地有管辖权人民法院提起诉讼。</w:t>
      </w:r>
    </w:p>
    <w:p w14:paraId="3AED91A9">
      <w:pPr>
        <w:keepNext w:val="0"/>
        <w:keepLines w:val="0"/>
        <w:pageBreakBefore w:val="0"/>
        <w:widowControl w:val="0"/>
        <w:kinsoku/>
        <w:overflowPunct/>
        <w:topLinePunct w:val="0"/>
        <w:autoSpaceDE/>
        <w:autoSpaceDN/>
        <w:bidi w:val="0"/>
        <w:adjustRightInd/>
        <w:snapToGrid w:val="0"/>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3、诉讼期间，本合同继续履行。</w:t>
      </w:r>
    </w:p>
    <w:p w14:paraId="7BC15241">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第十二条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合同生效及其它</w:t>
      </w:r>
    </w:p>
    <w:p w14:paraId="4005560C">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1、合同经双方法定代表人或授权代表签字并加盖单位公章后生效（委托代理人签字的需后附法定代表人授权委托书，格式自拟）。</w:t>
      </w:r>
    </w:p>
    <w:p w14:paraId="604E9FA1">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2、合同执行中涉及采购资金和采购内容修改或补充的，须经采购监管部门审批，并签订书面补充协议报采购监管部门备案，方可作为主合同不可分割的一部分。</w:t>
      </w:r>
    </w:p>
    <w:p w14:paraId="4767908B">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、本合同未尽事宜，遵照《中华人民共和国民法典》有关条文执行。</w:t>
      </w:r>
    </w:p>
    <w:p w14:paraId="25F56CEB">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第十三条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合同的变更、终止与转让</w:t>
      </w:r>
    </w:p>
    <w:p w14:paraId="18810708">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1、除《中华人民共和国政府采购法》第五十条规定的情形外，本合同一经签订，甲乙双方不得擅自变更、中止或终止。</w:t>
      </w:r>
    </w:p>
    <w:p w14:paraId="54A1EA0A">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2、乙方不得擅自转让其应履行的合同义务。</w:t>
      </w:r>
    </w:p>
    <w:p w14:paraId="482BB32B">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第十四条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签订本合同依据</w:t>
      </w:r>
    </w:p>
    <w:p w14:paraId="0EB05D7B">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1、成交通知书；</w:t>
      </w:r>
    </w:p>
    <w:p w14:paraId="0A0A0744">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w:t>
      </w:r>
    </w:p>
    <w:p w14:paraId="5DDE9BD9">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3、商务条款偏离表和</w:t>
      </w:r>
      <w:r>
        <w:rPr>
          <w:rFonts w:hint="eastAsia" w:asciiTheme="minorEastAsia" w:hAnsiTheme="minorEastAsia" w:eastAsiaTheme="minorEastAsia" w:cstheme="minorEastAsia"/>
          <w:color w:val="auto"/>
          <w:sz w:val="21"/>
          <w:szCs w:val="21"/>
          <w:highlight w:val="none"/>
          <w:lang w:eastAsia="zh-CN"/>
        </w:rPr>
        <w:t>技术要求</w:t>
      </w:r>
      <w:r>
        <w:rPr>
          <w:rFonts w:hint="eastAsia" w:asciiTheme="minorEastAsia" w:hAnsiTheme="minorEastAsia" w:eastAsiaTheme="minorEastAsia" w:cstheme="minorEastAsia"/>
          <w:color w:val="auto"/>
          <w:sz w:val="21"/>
          <w:szCs w:val="21"/>
          <w:highlight w:val="none"/>
        </w:rPr>
        <w:t>偏离表；</w:t>
      </w:r>
    </w:p>
    <w:p w14:paraId="7CC38F6D">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、响应文件中的其他相关文件。</w:t>
      </w:r>
    </w:p>
    <w:p w14:paraId="76025048">
      <w:pPr>
        <w:keepNext w:val="0"/>
        <w:keepLines w:val="0"/>
        <w:pageBreakBefore w:val="0"/>
        <w:widowControl w:val="0"/>
        <w:kinsoku/>
        <w:overflowPunct/>
        <w:topLinePunct w:val="0"/>
        <w:autoSpaceDE/>
        <w:autoSpaceDN/>
        <w:bidi w:val="0"/>
        <w:adjustRightInd/>
        <w:spacing w:line="440" w:lineRule="exact"/>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、上述合同文件互相补充和解释。如果合同文件之间存在矛盾或不一致之处，以上述文件的排列顺序在先者为准。</w:t>
      </w:r>
    </w:p>
    <w:p w14:paraId="3D784284">
      <w:pPr>
        <w:keepNext w:val="0"/>
        <w:keepLines w:val="0"/>
        <w:pageBreakBefore w:val="0"/>
        <w:widowControl w:val="0"/>
        <w:kinsoku/>
        <w:overflowPunct/>
        <w:topLinePunct w:val="0"/>
        <w:autoSpaceDE/>
        <w:autoSpaceDN/>
        <w:bidi w:val="0"/>
        <w:adjustRightInd/>
        <w:spacing w:line="440" w:lineRule="exact"/>
        <w:ind w:righ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第十五条</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本合同一式五份，具有同等法律效力，采购代理机构一份，甲乙双方各二份（可根据需要另增加）。</w:t>
      </w:r>
    </w:p>
    <w:p w14:paraId="1BE609BA">
      <w:pPr>
        <w:pStyle w:val="21"/>
        <w:keepNext w:val="0"/>
        <w:keepLines w:val="0"/>
        <w:pageBreakBefore w:val="0"/>
        <w:widowControl w:val="0"/>
        <w:kinsoku/>
        <w:overflowPunct/>
        <w:topLinePunct w:val="0"/>
        <w:autoSpaceDE/>
        <w:autoSpaceDN/>
        <w:bidi w:val="0"/>
        <w:adjustRightInd/>
        <w:spacing w:line="440" w:lineRule="exact"/>
        <w:rPr>
          <w:rFonts w:hint="eastAsia" w:asciiTheme="minorEastAsia" w:hAnsiTheme="minorEastAsia" w:eastAsiaTheme="minorEastAsia" w:cstheme="minorEastAsia"/>
          <w:color w:val="auto"/>
          <w:sz w:val="21"/>
          <w:szCs w:val="21"/>
          <w:highlight w:val="none"/>
        </w:rPr>
      </w:pPr>
    </w:p>
    <w:tbl>
      <w:tblPr>
        <w:tblStyle w:val="3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E00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05A689F">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甲方：（章）</w:t>
            </w:r>
          </w:p>
          <w:p w14:paraId="4B8DF546">
            <w:pPr>
              <w:keepNext w:val="0"/>
              <w:keepLines w:val="0"/>
              <w:pageBreakBefore w:val="0"/>
              <w:widowControl w:val="0"/>
              <w:kinsoku/>
              <w:wordWrap/>
              <w:overflowPunct/>
              <w:topLinePunct w:val="0"/>
              <w:autoSpaceDE/>
              <w:autoSpaceDN/>
              <w:bidi w:val="0"/>
              <w:adjustRightInd/>
              <w:snapToGrid w:val="0"/>
              <w:spacing w:line="440" w:lineRule="exact"/>
              <w:ind w:right="0" w:firstLine="2310" w:firstLineChars="1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2ED66BD">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乙方：（章）          </w:t>
            </w:r>
          </w:p>
          <w:p w14:paraId="18B5D77E">
            <w:pPr>
              <w:keepNext w:val="0"/>
              <w:keepLines w:val="0"/>
              <w:pageBreakBefore w:val="0"/>
              <w:widowControl w:val="0"/>
              <w:kinsoku/>
              <w:wordWrap/>
              <w:overflowPunct/>
              <w:topLinePunct w:val="0"/>
              <w:autoSpaceDE/>
              <w:autoSpaceDN/>
              <w:bidi w:val="0"/>
              <w:adjustRightInd/>
              <w:snapToGrid w:val="0"/>
              <w:spacing w:line="440" w:lineRule="exact"/>
              <w:ind w:right="0" w:firstLine="2520" w:firstLineChars="1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tc>
      </w:tr>
      <w:tr w14:paraId="7963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CB5F9F1">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3403EA6">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单位地址： </w:t>
            </w:r>
          </w:p>
        </w:tc>
      </w:tr>
      <w:tr w14:paraId="2EDD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726B239">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41485F4">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r>
      <w:tr w14:paraId="639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92EF732">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0752FD6">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p>
        </w:tc>
      </w:tr>
      <w:tr w14:paraId="1397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B05530B">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25022B1">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r>
      <w:tr w14:paraId="136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20FF9BA">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4F69335">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开户银行： </w:t>
            </w:r>
          </w:p>
        </w:tc>
      </w:tr>
      <w:tr w14:paraId="32A1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E293520">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3970D70">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r>
      <w:tr w14:paraId="53E5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746BCF6">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D946EE">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r>
      <w:tr w14:paraId="7AD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CBD3C53">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社会统一征信代码：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27C82DD">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社会统一征信代码：</w:t>
            </w:r>
          </w:p>
        </w:tc>
      </w:tr>
      <w:tr w14:paraId="604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8268E89">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签约时间： </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8F40FCD">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签约时间： </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年 月 日</w:t>
            </w:r>
          </w:p>
        </w:tc>
      </w:tr>
    </w:tbl>
    <w:p w14:paraId="3880C07E">
      <w:pPr>
        <w:pageBreakBefore w:val="0"/>
        <w:kinsoku/>
        <w:wordWrap/>
        <w:topLinePunct w:val="0"/>
        <w:bidi w:val="0"/>
        <w:spacing w:before="4" w:line="312" w:lineRule="auto"/>
        <w:jc w:val="center"/>
        <w:rPr>
          <w:rFonts w:hint="eastAsia" w:ascii="宋体" w:hAnsi="宋体" w:cs="宋体"/>
          <w:color w:val="auto"/>
          <w:sz w:val="6"/>
          <w:szCs w:val="6"/>
          <w:highlight w:val="none"/>
        </w:rPr>
      </w:pPr>
    </w:p>
    <w:p w14:paraId="38F2B8EB">
      <w:pPr>
        <w:keepNext/>
        <w:keepLines/>
        <w:widowControl w:val="0"/>
        <w:spacing w:before="340" w:after="330" w:line="578" w:lineRule="auto"/>
        <w:jc w:val="both"/>
        <w:outlineLvl w:val="9"/>
        <w:rPr>
          <w:rFonts w:hint="eastAsia" w:ascii="宋体" w:hAnsi="宋体" w:eastAsia="宋体" w:cs="宋体"/>
          <w:b/>
          <w:bCs/>
          <w:color w:val="auto"/>
          <w:kern w:val="44"/>
          <w:sz w:val="6"/>
          <w:szCs w:val="6"/>
          <w:highlight w:val="none"/>
          <w:lang w:val="en-US" w:eastAsia="zh-CN" w:bidi="ar-SA"/>
        </w:rPr>
      </w:pPr>
    </w:p>
    <w:p w14:paraId="112D3361">
      <w:pPr>
        <w:rPr>
          <w:rFonts w:hint="eastAsia" w:ascii="宋体" w:hAnsi="宋体" w:cs="宋体"/>
          <w:color w:val="auto"/>
          <w:sz w:val="6"/>
          <w:szCs w:val="6"/>
          <w:highlight w:val="none"/>
        </w:rPr>
      </w:pPr>
    </w:p>
    <w:p w14:paraId="6FCB80C0">
      <w:pPr>
        <w:pageBreakBefore w:val="0"/>
        <w:kinsoku/>
        <w:wordWrap/>
        <w:topLinePunct w:val="0"/>
        <w:bidi w:val="0"/>
        <w:spacing w:line="312" w:lineRule="auto"/>
        <w:ind w:firstLine="640" w:firstLineChars="200"/>
        <w:rPr>
          <w:rFonts w:hint="eastAsia" w:ascii="黑体" w:hAnsi="黑体" w:eastAsia="黑体" w:cs="黑体"/>
          <w:bCs/>
          <w:color w:val="auto"/>
          <w:sz w:val="32"/>
          <w:szCs w:val="32"/>
          <w:highlight w:val="none"/>
        </w:rPr>
      </w:pPr>
    </w:p>
    <w:sectPr>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Medium">
    <w:altName w:val="仿宋"/>
    <w:panose1 w:val="00000000000000000000"/>
    <w:charset w:val="86"/>
    <w:family w:val="auto"/>
    <w:pitch w:val="default"/>
    <w:sig w:usb0="00000000" w:usb1="00000000" w:usb2="00000000" w:usb3="00000000" w:csb0="203E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ans-serif">
    <w:altName w:val="思源黑体"/>
    <w:panose1 w:val="00000000000000000000"/>
    <w:charset w:val="00"/>
    <w:family w:val="auto"/>
    <w:pitch w:val="default"/>
    <w:sig w:usb0="00000000" w:usb1="00000000" w:usb2="00000000" w:usb3="00000000" w:csb0="00040001" w:csb1="00000000"/>
  </w:font>
  <w:font w:name="思源黑体">
    <w:panose1 w:val="020B0400000000000000"/>
    <w:charset w:val="86"/>
    <w:family w:val="auto"/>
    <w:pitch w:val="default"/>
    <w:sig w:usb0="20000003" w:usb1="2ADF3C10" w:usb2="00000016" w:usb3="00000000" w:csb0="60060107" w:csb1="0000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3708">
    <w:pPr>
      <w:pStyle w:val="21"/>
      <w:tabs>
        <w:tab w:val="center" w:pos="4439"/>
        <w:tab w:val="clear" w:pos="4153"/>
      </w:tabs>
      <w:jc w:val="both"/>
    </w:pPr>
  </w:p>
  <w:p w14:paraId="16E6D65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3AAE">
    <w:pPr>
      <w:pStyle w:val="21"/>
      <w:tabs>
        <w:tab w:val="center" w:pos="44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8D5CE"/>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qZzcsBAACcAwAADgAAAGRycy9lMm9Eb2MueG1srVNLbtswEN0XyB0I&#10;7mPKAhI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OSEssNDvz84/v55+/zr2/k&#10;ZlneJoV6DxUmPnpMjcM7N+DezH5AZyI+tMGkL1IiGEd9Txd95RCJSI9W5WpVYEhgbL4gPnt67gPE&#10;99IZkoyaBhxg1pUfP0AcU+eUVM26e6V1HqK2fzkQM3lY6n3sMVlx2A0ToZ1rTsinx9nX1OKqU6If&#10;LEqb1mQ2wmzsZuPgg9p3eY9SPfBvDx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Famc3LAQAAnAMAAA4AAAAAAAAAAQAgAAAAHgEAAGRycy9lMm9E&#10;b2MueG1sUEsFBgAAAAAGAAYAWQEAAFsFAAAAAA==&#10;">
              <v:fill on="f" focussize="0,0"/>
              <v:stroke on="f"/>
              <v:imagedata o:title=""/>
              <o:lock v:ext="edit" aspectratio="f"/>
              <v:textbox inset="0mm,0mm,0mm,0mm" style="mso-fit-shape-to-text:t;">
                <w:txbxContent>
                  <w:p w14:paraId="1578D5C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08F3">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5219E">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E5219E">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7CB6">
    <w:pPr>
      <w:pStyle w:val="21"/>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6772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26772D">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1294E888">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127E">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EA97">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51EA97">
                    <w:pPr>
                      <w:pStyle w:val="21"/>
                    </w:pPr>
                    <w:r>
                      <w:fldChar w:fldCharType="begin"/>
                    </w:r>
                    <w:r>
                      <w:instrText xml:space="preserve"> PAGE  \* MERGEFORMAT </w:instrText>
                    </w:r>
                    <w:r>
                      <w:fldChar w:fldCharType="separate"/>
                    </w:r>
                    <w:r>
                      <w:t>40</w:t>
                    </w:r>
                    <w:r>
                      <w:fldChar w:fldCharType="end"/>
                    </w:r>
                  </w:p>
                </w:txbxContent>
              </v:textbox>
            </v:shape>
          </w:pict>
        </mc:Fallback>
      </mc:AlternateContent>
    </w:r>
  </w:p>
  <w:p w14:paraId="6220764B">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AE76">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CEE81">
                          <w:pPr>
                            <w:pStyle w:val="2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5CEE81">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4D5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1272">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FFF66A74"/>
    <w:multiLevelType w:val="singleLevel"/>
    <w:tmpl w:val="FFF66A74"/>
    <w:lvl w:ilvl="0" w:tentative="0">
      <w:start w:val="1"/>
      <w:numFmt w:val="decimal"/>
      <w:suff w:val="nothing"/>
      <w:lvlText w:val="（%1）"/>
      <w:lvlJc w:val="left"/>
    </w:lvl>
  </w:abstractNum>
  <w:abstractNum w:abstractNumId="2">
    <w:nsid w:val="376F7A09"/>
    <w:multiLevelType w:val="singleLevel"/>
    <w:tmpl w:val="376F7A09"/>
    <w:lvl w:ilvl="0" w:tentative="0">
      <w:start w:val="1"/>
      <w:numFmt w:val="decimal"/>
      <w:lvlText w:val="%1."/>
      <w:lvlJc w:val="left"/>
      <w:pPr>
        <w:tabs>
          <w:tab w:val="left" w:pos="312"/>
        </w:tabs>
      </w:pPr>
    </w:lvl>
  </w:abstractNum>
  <w:abstractNum w:abstractNumId="3">
    <w:nsid w:val="3D6261DE"/>
    <w:multiLevelType w:val="singleLevel"/>
    <w:tmpl w:val="3D6261DE"/>
    <w:lvl w:ilvl="0" w:tentative="0">
      <w:start w:val="4"/>
      <w:numFmt w:val="chineseCounting"/>
      <w:suff w:val="nothing"/>
      <w:lvlText w:val="%1、"/>
      <w:lvlJc w:val="left"/>
      <w:rPr>
        <w:rFonts w:hint="eastAsia"/>
      </w:rPr>
    </w:lvl>
  </w:abstractNum>
  <w:abstractNum w:abstractNumId="4">
    <w:nsid w:val="61CE75DC"/>
    <w:multiLevelType w:val="multilevel"/>
    <w:tmpl w:val="61CE75D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420"/>
        </w:tabs>
        <w:ind w:left="0" w:firstLine="0"/>
      </w:pPr>
      <w:rPr>
        <w:rFonts w:hint="eastAsia" w:ascii="宋体" w:hAnsi="宋体" w:eastAsia="Heiti SC Medium" w:cs="Heiti SC Medium"/>
        <w:sz w:val="32"/>
      </w:rPr>
    </w:lvl>
    <w:lvl w:ilvl="2" w:tentative="0">
      <w:start w:val="1"/>
      <w:numFmt w:val="decimal"/>
      <w:pStyle w:val="5"/>
      <w:suff w:val="space"/>
      <w:lvlText w:val="%2.%3"/>
      <w:lvlJc w:val="left"/>
      <w:pPr>
        <w:tabs>
          <w:tab w:val="left" w:pos="420"/>
        </w:tabs>
        <w:ind w:left="0" w:firstLine="400"/>
      </w:pPr>
      <w:rPr>
        <w:rFonts w:hint="eastAsia" w:ascii="宋体" w:hAnsi="宋体" w:eastAsia="宋体" w:cs="宋体"/>
      </w:rPr>
    </w:lvl>
    <w:lvl w:ilvl="3" w:tentative="0">
      <w:start w:val="1"/>
      <w:numFmt w:val="decimal"/>
      <w:suff w:val="space"/>
      <w:lvlText w:val="%2.%3.%4"/>
      <w:lvlJc w:val="left"/>
      <w:pPr>
        <w:tabs>
          <w:tab w:val="left" w:pos="420"/>
        </w:tabs>
        <w:ind w:left="567" w:hanging="165"/>
      </w:pPr>
      <w:rPr>
        <w:rFonts w:hint="eastAsia" w:ascii="宋体" w:hAnsi="宋体" w:eastAsia="宋体" w:cs="宋体"/>
      </w:rPr>
    </w:lvl>
    <w:lvl w:ilvl="4" w:tentative="0">
      <w:start w:val="1"/>
      <w:numFmt w:val="decimal"/>
      <w:suff w:val="space"/>
      <w:lvlText w:val="%3.%4.%5"/>
      <w:lvlJc w:val="left"/>
      <w:pPr>
        <w:tabs>
          <w:tab w:val="left" w:pos="0"/>
        </w:tabs>
        <w:ind w:left="0" w:firstLine="402"/>
      </w:pPr>
      <w:rPr>
        <w:rFonts w:hint="eastAsia" w:ascii="宋体" w:hAnsi="宋体" w:eastAsia="宋体" w:cs="宋体"/>
      </w:rPr>
    </w:lvl>
    <w:lvl w:ilvl="5" w:tentative="0">
      <w:start w:val="1"/>
      <w:numFmt w:val="decimal"/>
      <w:suff w:val="space"/>
      <w:lvlText w:val="%3.%4.%5.%6"/>
      <w:lvlJc w:val="left"/>
      <w:pPr>
        <w:tabs>
          <w:tab w:val="left" w:pos="420"/>
        </w:tabs>
        <w:ind w:left="0" w:firstLine="402"/>
      </w:pPr>
      <w:rPr>
        <w:rFonts w:hint="eastAsia" w:ascii="宋体" w:hAnsi="宋体" w:eastAsia="宋体" w:cs="宋体"/>
      </w:rPr>
    </w:lvl>
    <w:lvl w:ilvl="6" w:tentative="0">
      <w:start w:val="1"/>
      <w:numFmt w:val="decimalFullWidth"/>
      <w:suff w:val="space"/>
      <w:lvlText w:val="%3.%4.%5.%6.%7"/>
      <w:lvlJc w:val="left"/>
      <w:pPr>
        <w:tabs>
          <w:tab w:val="left" w:pos="420"/>
        </w:tabs>
        <w:ind w:left="0" w:firstLine="402"/>
      </w:pPr>
      <w:rPr>
        <w:rFonts w:hint="eastAsia" w:ascii="宋体" w:hAnsi="宋体" w:eastAsia="宋体" w:cs="宋体"/>
      </w:rPr>
    </w:lvl>
    <w:lvl w:ilvl="7" w:tentative="0">
      <w:start w:val="1"/>
      <w:numFmt w:val="decimalFullWidth"/>
      <w:suff w:val="space"/>
      <w:lvlText w:val="%8）"/>
      <w:lvlJc w:val="left"/>
      <w:pPr>
        <w:tabs>
          <w:tab w:val="left" w:pos="420"/>
        </w:tabs>
        <w:ind w:left="0" w:firstLine="402"/>
      </w:pPr>
      <w:rPr>
        <w:rFonts w:hint="eastAsia" w:ascii="宋体" w:hAnsi="宋体" w:eastAsia="宋体" w:cs="宋体"/>
      </w:rPr>
    </w:lvl>
    <w:lvl w:ilvl="8" w:tentative="0">
      <w:start w:val="1"/>
      <w:numFmt w:val="decimalEnclosedCircleChinese"/>
      <w:suff w:val="space"/>
      <w:lvlText w:val="%9 "/>
      <w:lvlJc w:val="left"/>
      <w:pPr>
        <w:tabs>
          <w:tab w:val="left" w:pos="420"/>
        </w:tabs>
        <w:ind w:left="0" w:firstLine="402"/>
      </w:pPr>
      <w:rPr>
        <w:rFonts w:hint="eastAsia" w:ascii="宋体" w:hAnsi="宋体" w:eastAsia="宋体" w:cs="宋体"/>
      </w:rPr>
    </w:lvl>
  </w:abstractNum>
  <w:abstractNum w:abstractNumId="5">
    <w:nsid w:val="6F64EF9A"/>
    <w:multiLevelType w:val="singleLevel"/>
    <w:tmpl w:val="6F64EF9A"/>
    <w:lvl w:ilvl="0" w:tentative="0">
      <w:start w:val="2"/>
      <w:numFmt w:val="decimal"/>
      <w:suff w:val="nothing"/>
      <w:lvlText w:val="%1、"/>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RPm88NlFsF9FkXqvZsPruwDePjo=" w:salt="YOKstcBmMp3qdFeFiaQoa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TAzNDAwNmQ4NjNkMjZjMmUyYTE5Yjk5ZmI1OGY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560F"/>
    <w:rsid w:val="0009588E"/>
    <w:rsid w:val="000959EE"/>
    <w:rsid w:val="00097183"/>
    <w:rsid w:val="000972CB"/>
    <w:rsid w:val="00097608"/>
    <w:rsid w:val="000A13F3"/>
    <w:rsid w:val="000A23B1"/>
    <w:rsid w:val="000A2B0E"/>
    <w:rsid w:val="000A398F"/>
    <w:rsid w:val="000A448C"/>
    <w:rsid w:val="000A509C"/>
    <w:rsid w:val="000A54A7"/>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4321"/>
    <w:rsid w:val="000B5AF2"/>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2CA8"/>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8A7"/>
    <w:rsid w:val="002E6E6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182"/>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2CCA"/>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048A"/>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5D01"/>
    <w:rsid w:val="00C360B3"/>
    <w:rsid w:val="00C37027"/>
    <w:rsid w:val="00C37B19"/>
    <w:rsid w:val="00C413CB"/>
    <w:rsid w:val="00C42752"/>
    <w:rsid w:val="00C42973"/>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185"/>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A5C0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822782"/>
    <w:rsid w:val="01933707"/>
    <w:rsid w:val="01A717A7"/>
    <w:rsid w:val="01AF3D99"/>
    <w:rsid w:val="0218777D"/>
    <w:rsid w:val="021F6BC4"/>
    <w:rsid w:val="023F2212"/>
    <w:rsid w:val="02511F9D"/>
    <w:rsid w:val="025D014B"/>
    <w:rsid w:val="03336D85"/>
    <w:rsid w:val="03765E49"/>
    <w:rsid w:val="03907C79"/>
    <w:rsid w:val="03A314B8"/>
    <w:rsid w:val="03D82B98"/>
    <w:rsid w:val="03E63A70"/>
    <w:rsid w:val="03EC16A5"/>
    <w:rsid w:val="03F83E8B"/>
    <w:rsid w:val="049C1B9D"/>
    <w:rsid w:val="05A50F7C"/>
    <w:rsid w:val="05A54F7F"/>
    <w:rsid w:val="05C56868"/>
    <w:rsid w:val="05E45473"/>
    <w:rsid w:val="062A20E8"/>
    <w:rsid w:val="069114AA"/>
    <w:rsid w:val="06AB1A74"/>
    <w:rsid w:val="06CF7C57"/>
    <w:rsid w:val="070F3643"/>
    <w:rsid w:val="07B72767"/>
    <w:rsid w:val="07EA0493"/>
    <w:rsid w:val="08077E72"/>
    <w:rsid w:val="080E23F8"/>
    <w:rsid w:val="083D7E51"/>
    <w:rsid w:val="086A12BB"/>
    <w:rsid w:val="08882DD0"/>
    <w:rsid w:val="08907AC0"/>
    <w:rsid w:val="08915B89"/>
    <w:rsid w:val="08CC7B29"/>
    <w:rsid w:val="08D74823"/>
    <w:rsid w:val="09CC2AAC"/>
    <w:rsid w:val="09D26E76"/>
    <w:rsid w:val="09F34714"/>
    <w:rsid w:val="0A652D3E"/>
    <w:rsid w:val="0A6D6A3D"/>
    <w:rsid w:val="0AAA25AC"/>
    <w:rsid w:val="0AD805E2"/>
    <w:rsid w:val="0AFF72AA"/>
    <w:rsid w:val="0B013597"/>
    <w:rsid w:val="0B326F2A"/>
    <w:rsid w:val="0B5B3688"/>
    <w:rsid w:val="0C120997"/>
    <w:rsid w:val="0C1E2888"/>
    <w:rsid w:val="0C92213C"/>
    <w:rsid w:val="0CA84E57"/>
    <w:rsid w:val="0D84032B"/>
    <w:rsid w:val="0DBA7538"/>
    <w:rsid w:val="0E0B7D94"/>
    <w:rsid w:val="0E514724"/>
    <w:rsid w:val="0E614144"/>
    <w:rsid w:val="0F2A74C4"/>
    <w:rsid w:val="0F6F57D8"/>
    <w:rsid w:val="0F75786B"/>
    <w:rsid w:val="0F9C5147"/>
    <w:rsid w:val="0FF94348"/>
    <w:rsid w:val="1044067B"/>
    <w:rsid w:val="10525806"/>
    <w:rsid w:val="105E064F"/>
    <w:rsid w:val="10A27F31"/>
    <w:rsid w:val="11130EC6"/>
    <w:rsid w:val="11882F7D"/>
    <w:rsid w:val="11927058"/>
    <w:rsid w:val="119D450C"/>
    <w:rsid w:val="12313F9C"/>
    <w:rsid w:val="132C7D67"/>
    <w:rsid w:val="13886F20"/>
    <w:rsid w:val="13AF4F03"/>
    <w:rsid w:val="13CE16E3"/>
    <w:rsid w:val="13EB3EF3"/>
    <w:rsid w:val="141176C7"/>
    <w:rsid w:val="145B541B"/>
    <w:rsid w:val="14736E66"/>
    <w:rsid w:val="147F458F"/>
    <w:rsid w:val="14D958EC"/>
    <w:rsid w:val="15121B4E"/>
    <w:rsid w:val="1534169A"/>
    <w:rsid w:val="15463C75"/>
    <w:rsid w:val="15603936"/>
    <w:rsid w:val="15C03E03"/>
    <w:rsid w:val="15F731EB"/>
    <w:rsid w:val="162A25EB"/>
    <w:rsid w:val="1654498B"/>
    <w:rsid w:val="165F0B39"/>
    <w:rsid w:val="165F2903"/>
    <w:rsid w:val="16FD2A55"/>
    <w:rsid w:val="17067C1A"/>
    <w:rsid w:val="17366761"/>
    <w:rsid w:val="175616EA"/>
    <w:rsid w:val="177C01F0"/>
    <w:rsid w:val="17CE6630"/>
    <w:rsid w:val="17F11DA8"/>
    <w:rsid w:val="17FC49AA"/>
    <w:rsid w:val="17FD4202"/>
    <w:rsid w:val="18550589"/>
    <w:rsid w:val="189B6607"/>
    <w:rsid w:val="18FC36D9"/>
    <w:rsid w:val="19181366"/>
    <w:rsid w:val="19D42BC3"/>
    <w:rsid w:val="1A574F73"/>
    <w:rsid w:val="1A8D20B5"/>
    <w:rsid w:val="1AFF0AFE"/>
    <w:rsid w:val="1B0D35A9"/>
    <w:rsid w:val="1B254681"/>
    <w:rsid w:val="1B4F19F8"/>
    <w:rsid w:val="1BBE3B7A"/>
    <w:rsid w:val="1BF07BE4"/>
    <w:rsid w:val="1C226F03"/>
    <w:rsid w:val="1C7C56E6"/>
    <w:rsid w:val="1C833B33"/>
    <w:rsid w:val="1CD75A11"/>
    <w:rsid w:val="1CE555E9"/>
    <w:rsid w:val="1D7417D3"/>
    <w:rsid w:val="1DC11BA0"/>
    <w:rsid w:val="1E4946EC"/>
    <w:rsid w:val="1EB37DB8"/>
    <w:rsid w:val="1EB63404"/>
    <w:rsid w:val="1ECC44FA"/>
    <w:rsid w:val="1EDA01AA"/>
    <w:rsid w:val="1EEA367A"/>
    <w:rsid w:val="1F063325"/>
    <w:rsid w:val="1F7B1096"/>
    <w:rsid w:val="1FBC5DF5"/>
    <w:rsid w:val="1FF90588"/>
    <w:rsid w:val="20247B33"/>
    <w:rsid w:val="20C3623F"/>
    <w:rsid w:val="20CB3F48"/>
    <w:rsid w:val="21781212"/>
    <w:rsid w:val="21B83F86"/>
    <w:rsid w:val="22014AC0"/>
    <w:rsid w:val="221178A8"/>
    <w:rsid w:val="221213CF"/>
    <w:rsid w:val="221E7E31"/>
    <w:rsid w:val="22327A92"/>
    <w:rsid w:val="223707CE"/>
    <w:rsid w:val="226C56FE"/>
    <w:rsid w:val="231963AF"/>
    <w:rsid w:val="231D0BDB"/>
    <w:rsid w:val="231D53A2"/>
    <w:rsid w:val="236D5383"/>
    <w:rsid w:val="238125CA"/>
    <w:rsid w:val="238A7DBA"/>
    <w:rsid w:val="23B7504C"/>
    <w:rsid w:val="241D3F64"/>
    <w:rsid w:val="24571307"/>
    <w:rsid w:val="248649DE"/>
    <w:rsid w:val="25110A2A"/>
    <w:rsid w:val="256C0944"/>
    <w:rsid w:val="25DFF0A7"/>
    <w:rsid w:val="26446DE3"/>
    <w:rsid w:val="269669E7"/>
    <w:rsid w:val="26B67982"/>
    <w:rsid w:val="26BEA03F"/>
    <w:rsid w:val="26D7699F"/>
    <w:rsid w:val="26E95F63"/>
    <w:rsid w:val="275E2502"/>
    <w:rsid w:val="27856069"/>
    <w:rsid w:val="27C44DE4"/>
    <w:rsid w:val="280766F8"/>
    <w:rsid w:val="287A2567"/>
    <w:rsid w:val="28B36B23"/>
    <w:rsid w:val="28C17575"/>
    <w:rsid w:val="28D129F1"/>
    <w:rsid w:val="29AD5F95"/>
    <w:rsid w:val="29DE6C29"/>
    <w:rsid w:val="29DF4A25"/>
    <w:rsid w:val="2A3925BD"/>
    <w:rsid w:val="2A4F781B"/>
    <w:rsid w:val="2A6E6A55"/>
    <w:rsid w:val="2ABC600B"/>
    <w:rsid w:val="2AEE38DA"/>
    <w:rsid w:val="2B774624"/>
    <w:rsid w:val="2B797C70"/>
    <w:rsid w:val="2B9522A4"/>
    <w:rsid w:val="2B957A7B"/>
    <w:rsid w:val="2BC5453C"/>
    <w:rsid w:val="2C0A5198"/>
    <w:rsid w:val="2C7A72BE"/>
    <w:rsid w:val="2C9A7D75"/>
    <w:rsid w:val="2CC17412"/>
    <w:rsid w:val="2CC567B5"/>
    <w:rsid w:val="2D1C0B08"/>
    <w:rsid w:val="2D4D13D7"/>
    <w:rsid w:val="2D832210"/>
    <w:rsid w:val="2E9976CE"/>
    <w:rsid w:val="2EA80F9F"/>
    <w:rsid w:val="2F237FA6"/>
    <w:rsid w:val="2F401D3C"/>
    <w:rsid w:val="2F5B24E1"/>
    <w:rsid w:val="2FA95C88"/>
    <w:rsid w:val="2FB982FA"/>
    <w:rsid w:val="2FC82297"/>
    <w:rsid w:val="2FD9B55C"/>
    <w:rsid w:val="3014779E"/>
    <w:rsid w:val="3041370F"/>
    <w:rsid w:val="30527FC2"/>
    <w:rsid w:val="31140D75"/>
    <w:rsid w:val="312B50A3"/>
    <w:rsid w:val="32453A27"/>
    <w:rsid w:val="3263064A"/>
    <w:rsid w:val="326B181B"/>
    <w:rsid w:val="32A43132"/>
    <w:rsid w:val="32A86AE1"/>
    <w:rsid w:val="32AC0C06"/>
    <w:rsid w:val="32E84ADE"/>
    <w:rsid w:val="33344EF5"/>
    <w:rsid w:val="33C502AA"/>
    <w:rsid w:val="33EA56D5"/>
    <w:rsid w:val="34076784"/>
    <w:rsid w:val="3537750C"/>
    <w:rsid w:val="3537798C"/>
    <w:rsid w:val="355E4C1A"/>
    <w:rsid w:val="35A324DC"/>
    <w:rsid w:val="35C13FC9"/>
    <w:rsid w:val="364257B6"/>
    <w:rsid w:val="368F0563"/>
    <w:rsid w:val="36CA5847"/>
    <w:rsid w:val="37264059"/>
    <w:rsid w:val="374B3ADD"/>
    <w:rsid w:val="376F6B42"/>
    <w:rsid w:val="37EA5922"/>
    <w:rsid w:val="380F3595"/>
    <w:rsid w:val="38276B93"/>
    <w:rsid w:val="38AC3431"/>
    <w:rsid w:val="38CD7870"/>
    <w:rsid w:val="392F2E16"/>
    <w:rsid w:val="39784D33"/>
    <w:rsid w:val="39D826B2"/>
    <w:rsid w:val="39E00529"/>
    <w:rsid w:val="3A0B64A7"/>
    <w:rsid w:val="3A3C4354"/>
    <w:rsid w:val="3A41502E"/>
    <w:rsid w:val="3A574DDA"/>
    <w:rsid w:val="3A992100"/>
    <w:rsid w:val="3AD0506E"/>
    <w:rsid w:val="3AD3075A"/>
    <w:rsid w:val="3AF74C02"/>
    <w:rsid w:val="3B0E10B6"/>
    <w:rsid w:val="3B171E50"/>
    <w:rsid w:val="3B722D63"/>
    <w:rsid w:val="3BA97F64"/>
    <w:rsid w:val="3BF1544C"/>
    <w:rsid w:val="3C0059A5"/>
    <w:rsid w:val="3C134E78"/>
    <w:rsid w:val="3C471F69"/>
    <w:rsid w:val="3CA1529C"/>
    <w:rsid w:val="3CC20BA2"/>
    <w:rsid w:val="3CF71BBB"/>
    <w:rsid w:val="3DEC7285"/>
    <w:rsid w:val="3DF6345D"/>
    <w:rsid w:val="3E265A58"/>
    <w:rsid w:val="3E2B5515"/>
    <w:rsid w:val="3E410595"/>
    <w:rsid w:val="3E417D68"/>
    <w:rsid w:val="3E4D4F28"/>
    <w:rsid w:val="3E593FC8"/>
    <w:rsid w:val="3EAD3FF2"/>
    <w:rsid w:val="3EE13701"/>
    <w:rsid w:val="3F1A4BB3"/>
    <w:rsid w:val="3F7138D8"/>
    <w:rsid w:val="3F7363D6"/>
    <w:rsid w:val="3FB85D59"/>
    <w:rsid w:val="3FC829EB"/>
    <w:rsid w:val="3FD6525C"/>
    <w:rsid w:val="40192BA6"/>
    <w:rsid w:val="40445977"/>
    <w:rsid w:val="404D10DD"/>
    <w:rsid w:val="40784177"/>
    <w:rsid w:val="40B41A41"/>
    <w:rsid w:val="40C32167"/>
    <w:rsid w:val="41766EA9"/>
    <w:rsid w:val="41802257"/>
    <w:rsid w:val="420A743F"/>
    <w:rsid w:val="42550A18"/>
    <w:rsid w:val="425C1847"/>
    <w:rsid w:val="429D496A"/>
    <w:rsid w:val="42E20F27"/>
    <w:rsid w:val="42F473A1"/>
    <w:rsid w:val="431A3582"/>
    <w:rsid w:val="43285FDD"/>
    <w:rsid w:val="432A7D99"/>
    <w:rsid w:val="437E1E93"/>
    <w:rsid w:val="43D8198F"/>
    <w:rsid w:val="43E01A91"/>
    <w:rsid w:val="441E62C0"/>
    <w:rsid w:val="442C7B41"/>
    <w:rsid w:val="4462631A"/>
    <w:rsid w:val="446C56F1"/>
    <w:rsid w:val="44F07163"/>
    <w:rsid w:val="45325D14"/>
    <w:rsid w:val="45811C7C"/>
    <w:rsid w:val="45906116"/>
    <w:rsid w:val="45BE6EBE"/>
    <w:rsid w:val="45C142B9"/>
    <w:rsid w:val="464D72D0"/>
    <w:rsid w:val="46564FD1"/>
    <w:rsid w:val="468B3EFB"/>
    <w:rsid w:val="46BB1CEB"/>
    <w:rsid w:val="46DA47E3"/>
    <w:rsid w:val="470A6193"/>
    <w:rsid w:val="47156F84"/>
    <w:rsid w:val="47385210"/>
    <w:rsid w:val="474006A1"/>
    <w:rsid w:val="477A4C31"/>
    <w:rsid w:val="477E202B"/>
    <w:rsid w:val="47B13644"/>
    <w:rsid w:val="47C84024"/>
    <w:rsid w:val="47DC4F5C"/>
    <w:rsid w:val="4836049D"/>
    <w:rsid w:val="48B40671"/>
    <w:rsid w:val="48CA1E2D"/>
    <w:rsid w:val="48D65E0A"/>
    <w:rsid w:val="48F87254"/>
    <w:rsid w:val="49101AD8"/>
    <w:rsid w:val="49314E86"/>
    <w:rsid w:val="49392F4A"/>
    <w:rsid w:val="499B5738"/>
    <w:rsid w:val="499F244D"/>
    <w:rsid w:val="49B936D1"/>
    <w:rsid w:val="49D2118A"/>
    <w:rsid w:val="49D8310C"/>
    <w:rsid w:val="4A633B41"/>
    <w:rsid w:val="4A7A6547"/>
    <w:rsid w:val="4A973F3F"/>
    <w:rsid w:val="4AF96BC7"/>
    <w:rsid w:val="4B5A416B"/>
    <w:rsid w:val="4B862A85"/>
    <w:rsid w:val="4BC9211A"/>
    <w:rsid w:val="4C8226F4"/>
    <w:rsid w:val="4C8C3AB9"/>
    <w:rsid w:val="4CC76658"/>
    <w:rsid w:val="4CEF36E2"/>
    <w:rsid w:val="4CEF4DC5"/>
    <w:rsid w:val="4E257655"/>
    <w:rsid w:val="4E445393"/>
    <w:rsid w:val="4E8E7871"/>
    <w:rsid w:val="4ECF0358"/>
    <w:rsid w:val="4F372380"/>
    <w:rsid w:val="4F372FFB"/>
    <w:rsid w:val="4FAB6DF8"/>
    <w:rsid w:val="4FBDC354"/>
    <w:rsid w:val="4FFA1A87"/>
    <w:rsid w:val="500F4BCF"/>
    <w:rsid w:val="5025116D"/>
    <w:rsid w:val="51073309"/>
    <w:rsid w:val="520B136E"/>
    <w:rsid w:val="5233284E"/>
    <w:rsid w:val="52395ECD"/>
    <w:rsid w:val="52613EAD"/>
    <w:rsid w:val="528C1C65"/>
    <w:rsid w:val="52C10D75"/>
    <w:rsid w:val="52D370E0"/>
    <w:rsid w:val="5305613D"/>
    <w:rsid w:val="53C27FF8"/>
    <w:rsid w:val="541744D2"/>
    <w:rsid w:val="54611439"/>
    <w:rsid w:val="549E1A80"/>
    <w:rsid w:val="54C658F4"/>
    <w:rsid w:val="54F225CB"/>
    <w:rsid w:val="550C4BD7"/>
    <w:rsid w:val="5543596A"/>
    <w:rsid w:val="554C1D56"/>
    <w:rsid w:val="55572986"/>
    <w:rsid w:val="55680542"/>
    <w:rsid w:val="558530CC"/>
    <w:rsid w:val="55B57590"/>
    <w:rsid w:val="55C062DD"/>
    <w:rsid w:val="55F3310C"/>
    <w:rsid w:val="564A0361"/>
    <w:rsid w:val="565340FA"/>
    <w:rsid w:val="5723343E"/>
    <w:rsid w:val="573D7EAB"/>
    <w:rsid w:val="57546FBA"/>
    <w:rsid w:val="576E743F"/>
    <w:rsid w:val="57F329F7"/>
    <w:rsid w:val="582F6169"/>
    <w:rsid w:val="58AE691E"/>
    <w:rsid w:val="5907056A"/>
    <w:rsid w:val="593770A1"/>
    <w:rsid w:val="59411F9F"/>
    <w:rsid w:val="59785B8C"/>
    <w:rsid w:val="599D77C8"/>
    <w:rsid w:val="59B85AE9"/>
    <w:rsid w:val="59E87FD4"/>
    <w:rsid w:val="5A2F2CC8"/>
    <w:rsid w:val="5A3A2B60"/>
    <w:rsid w:val="5A7D2AEB"/>
    <w:rsid w:val="5AB610B2"/>
    <w:rsid w:val="5AC42429"/>
    <w:rsid w:val="5ACC2A0E"/>
    <w:rsid w:val="5B255422"/>
    <w:rsid w:val="5B265B08"/>
    <w:rsid w:val="5BA26962"/>
    <w:rsid w:val="5BA73E63"/>
    <w:rsid w:val="5BDC01A7"/>
    <w:rsid w:val="5C10702D"/>
    <w:rsid w:val="5C152601"/>
    <w:rsid w:val="5C3F1DA9"/>
    <w:rsid w:val="5C591F03"/>
    <w:rsid w:val="5C8A1B2F"/>
    <w:rsid w:val="5CD703DF"/>
    <w:rsid w:val="5CDA7EC9"/>
    <w:rsid w:val="5D267F6F"/>
    <w:rsid w:val="5D4058C1"/>
    <w:rsid w:val="5D914004"/>
    <w:rsid w:val="5E766D43"/>
    <w:rsid w:val="5F561B72"/>
    <w:rsid w:val="5F984D27"/>
    <w:rsid w:val="5FC00C6C"/>
    <w:rsid w:val="601E1B01"/>
    <w:rsid w:val="606007BB"/>
    <w:rsid w:val="60AC7F66"/>
    <w:rsid w:val="60B7546F"/>
    <w:rsid w:val="60DB77FA"/>
    <w:rsid w:val="61BF10D9"/>
    <w:rsid w:val="61C53F19"/>
    <w:rsid w:val="61DA3D4C"/>
    <w:rsid w:val="61EA496C"/>
    <w:rsid w:val="62AC22DC"/>
    <w:rsid w:val="62F80A1E"/>
    <w:rsid w:val="63394059"/>
    <w:rsid w:val="637D23AB"/>
    <w:rsid w:val="63B374DF"/>
    <w:rsid w:val="6410009D"/>
    <w:rsid w:val="646E335A"/>
    <w:rsid w:val="64A07C3E"/>
    <w:rsid w:val="64E45EF7"/>
    <w:rsid w:val="65155D05"/>
    <w:rsid w:val="65D04378"/>
    <w:rsid w:val="65D80364"/>
    <w:rsid w:val="663A7A43"/>
    <w:rsid w:val="663B7981"/>
    <w:rsid w:val="665F536C"/>
    <w:rsid w:val="6691014E"/>
    <w:rsid w:val="66961C35"/>
    <w:rsid w:val="66C87CCE"/>
    <w:rsid w:val="67144738"/>
    <w:rsid w:val="677435B2"/>
    <w:rsid w:val="67D50383"/>
    <w:rsid w:val="67EF75F1"/>
    <w:rsid w:val="67FB209D"/>
    <w:rsid w:val="68435A3D"/>
    <w:rsid w:val="68FD36D6"/>
    <w:rsid w:val="69124F16"/>
    <w:rsid w:val="694A5205"/>
    <w:rsid w:val="69CD5C14"/>
    <w:rsid w:val="69CF0D33"/>
    <w:rsid w:val="69EB3ACC"/>
    <w:rsid w:val="6AB208B2"/>
    <w:rsid w:val="6AF13BD6"/>
    <w:rsid w:val="6AF36B85"/>
    <w:rsid w:val="6B3D2788"/>
    <w:rsid w:val="6B963597"/>
    <w:rsid w:val="6B9946B3"/>
    <w:rsid w:val="6BDD3B28"/>
    <w:rsid w:val="6BDE8C11"/>
    <w:rsid w:val="6BF022C7"/>
    <w:rsid w:val="6C0224B2"/>
    <w:rsid w:val="6C7007C7"/>
    <w:rsid w:val="6D0E674B"/>
    <w:rsid w:val="6D1C3D4F"/>
    <w:rsid w:val="6DE76850"/>
    <w:rsid w:val="6EEB55FE"/>
    <w:rsid w:val="6F103A37"/>
    <w:rsid w:val="6F53759C"/>
    <w:rsid w:val="6FB20BD4"/>
    <w:rsid w:val="6FB650F7"/>
    <w:rsid w:val="6FBA59BE"/>
    <w:rsid w:val="6FC595FC"/>
    <w:rsid w:val="6FDB2297"/>
    <w:rsid w:val="6FFA1BBF"/>
    <w:rsid w:val="6FFD4F62"/>
    <w:rsid w:val="70296B3E"/>
    <w:rsid w:val="7050295F"/>
    <w:rsid w:val="70611204"/>
    <w:rsid w:val="717C673D"/>
    <w:rsid w:val="71EC078C"/>
    <w:rsid w:val="71F85B6D"/>
    <w:rsid w:val="72F86CBC"/>
    <w:rsid w:val="74B775BA"/>
    <w:rsid w:val="74B87FBF"/>
    <w:rsid w:val="74FA2C30"/>
    <w:rsid w:val="754D5C4B"/>
    <w:rsid w:val="756643B1"/>
    <w:rsid w:val="756C1AA4"/>
    <w:rsid w:val="75B754E0"/>
    <w:rsid w:val="75CB3D87"/>
    <w:rsid w:val="75D40971"/>
    <w:rsid w:val="75D80B91"/>
    <w:rsid w:val="761E1F9A"/>
    <w:rsid w:val="76787A16"/>
    <w:rsid w:val="76C240A7"/>
    <w:rsid w:val="76D733F1"/>
    <w:rsid w:val="76DB0DCF"/>
    <w:rsid w:val="76F51DA0"/>
    <w:rsid w:val="76F94C58"/>
    <w:rsid w:val="775246B7"/>
    <w:rsid w:val="775818AC"/>
    <w:rsid w:val="776E05AD"/>
    <w:rsid w:val="77F81A56"/>
    <w:rsid w:val="781E69D1"/>
    <w:rsid w:val="7831514A"/>
    <w:rsid w:val="789E6D94"/>
    <w:rsid w:val="78FB168A"/>
    <w:rsid w:val="79053481"/>
    <w:rsid w:val="790F08A5"/>
    <w:rsid w:val="792B7DEB"/>
    <w:rsid w:val="79956E9C"/>
    <w:rsid w:val="79A33E26"/>
    <w:rsid w:val="7A263B6B"/>
    <w:rsid w:val="7A3341CB"/>
    <w:rsid w:val="7A66770D"/>
    <w:rsid w:val="7AF46346"/>
    <w:rsid w:val="7B0F5EBF"/>
    <w:rsid w:val="7B130FB9"/>
    <w:rsid w:val="7B436EEC"/>
    <w:rsid w:val="7BDF41A2"/>
    <w:rsid w:val="7BED5B47"/>
    <w:rsid w:val="7BF64EDE"/>
    <w:rsid w:val="7BFD5161"/>
    <w:rsid w:val="7C386C1B"/>
    <w:rsid w:val="7C400C1E"/>
    <w:rsid w:val="7C522392"/>
    <w:rsid w:val="7CA26617"/>
    <w:rsid w:val="7CB63E70"/>
    <w:rsid w:val="7CFE6DE4"/>
    <w:rsid w:val="7D022E9F"/>
    <w:rsid w:val="7DA62054"/>
    <w:rsid w:val="7DD11708"/>
    <w:rsid w:val="7DD34BB2"/>
    <w:rsid w:val="7E5F4093"/>
    <w:rsid w:val="7EA11727"/>
    <w:rsid w:val="7EB72D23"/>
    <w:rsid w:val="7EBD579E"/>
    <w:rsid w:val="7EC167BD"/>
    <w:rsid w:val="7EF0681C"/>
    <w:rsid w:val="7F272D9E"/>
    <w:rsid w:val="7F2FAABF"/>
    <w:rsid w:val="7FD5216D"/>
    <w:rsid w:val="7FFC764F"/>
    <w:rsid w:val="ABBFCE06"/>
    <w:rsid w:val="CEFFD2C2"/>
    <w:rsid w:val="DF994D29"/>
    <w:rsid w:val="E734AA7E"/>
    <w:rsid w:val="ED3F8E5A"/>
    <w:rsid w:val="F5D305A9"/>
    <w:rsid w:val="F7EF3564"/>
    <w:rsid w:val="FCAF0180"/>
    <w:rsid w:val="FD3F3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numPr>
        <w:ilvl w:val="2"/>
        <w:numId w:val="1"/>
      </w:numPr>
      <w:tabs>
        <w:tab w:val="left" w:pos="0"/>
      </w:tabs>
      <w:spacing w:before="260" w:after="260" w:line="413" w:lineRule="auto"/>
      <w:outlineLvl w:val="2"/>
    </w:pPr>
    <w:rPr>
      <w:b/>
      <w:sz w:val="32"/>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8"/>
    <w:link w:val="42"/>
    <w:qFormat/>
    <w:uiPriority w:val="9"/>
    <w:pPr>
      <w:keepNext/>
      <w:keepLines/>
      <w:spacing w:before="280" w:after="290" w:line="376" w:lineRule="auto"/>
      <w:outlineLvl w:val="4"/>
    </w:pPr>
    <w:rPr>
      <w:b/>
      <w:bCs/>
      <w:sz w:val="28"/>
      <w:szCs w:val="28"/>
    </w:rPr>
  </w:style>
  <w:style w:type="paragraph" w:styleId="9">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customStyle="1" w:styleId="2">
    <w:name w:val="BodyTextIndent2"/>
    <w:basedOn w:val="1"/>
    <w:qFormat/>
    <w:uiPriority w:val="0"/>
    <w:pPr>
      <w:spacing w:line="240" w:lineRule="auto"/>
      <w:ind w:firstLine="412" w:firstLineChars="196"/>
      <w:jc w:val="both"/>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unhideWhenUsed/>
    <w:qFormat/>
    <w:uiPriority w:val="99"/>
    <w:pPr>
      <w:spacing w:after="120"/>
    </w:pPr>
    <w:rPr>
      <w:sz w:val="16"/>
      <w:szCs w:val="16"/>
    </w:rPr>
  </w:style>
  <w:style w:type="paragraph" w:styleId="13">
    <w:name w:val="Body Text"/>
    <w:basedOn w:val="1"/>
    <w:link w:val="46"/>
    <w:unhideWhenUsed/>
    <w:qFormat/>
    <w:uiPriority w:val="0"/>
    <w:pPr>
      <w:spacing w:after="120"/>
    </w:pPr>
  </w:style>
  <w:style w:type="paragraph" w:styleId="14">
    <w:name w:val="Body Text Indent"/>
    <w:basedOn w:val="1"/>
    <w:next w:val="15"/>
    <w:link w:val="47"/>
    <w:qFormat/>
    <w:uiPriority w:val="0"/>
    <w:pPr>
      <w:ind w:firstLine="830" w:firstLineChars="352"/>
    </w:pPr>
    <w:rPr>
      <w:rFonts w:ascii="仿宋_GB2312" w:eastAsia="仿宋_GB2312"/>
      <w:kern w:val="0"/>
      <w:sz w:val="32"/>
      <w:szCs w:val="20"/>
    </w:rPr>
  </w:style>
  <w:style w:type="paragraph" w:styleId="15">
    <w:name w:val="envelope return"/>
    <w:basedOn w:val="1"/>
    <w:qFormat/>
    <w:uiPriority w:val="0"/>
    <w:pPr>
      <w:snapToGrid w:val="0"/>
    </w:pPr>
    <w:rPr>
      <w:rFonts w:ascii="Arial" w:hAnsi="Arial" w:cs="Arial"/>
      <w:szCs w:val="24"/>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semiHidden/>
    <w:unhideWhenUsed/>
    <w:qFormat/>
    <w:uiPriority w:val="39"/>
    <w:pPr>
      <w:ind w:left="840" w:leftChars="400"/>
    </w:pPr>
  </w:style>
  <w:style w:type="paragraph" w:styleId="18">
    <w:name w:val="Plain Text"/>
    <w:basedOn w:val="1"/>
    <w:next w:val="1"/>
    <w:link w:val="48"/>
    <w:qFormat/>
    <w:uiPriority w:val="0"/>
    <w:rPr>
      <w:rFonts w:ascii="宋体" w:hAnsi="Courier New"/>
      <w:kern w:val="0"/>
      <w:sz w:val="20"/>
      <w:szCs w:val="21"/>
    </w:rPr>
  </w:style>
  <w:style w:type="paragraph" w:styleId="19">
    <w:name w:val="Date"/>
    <w:basedOn w:val="1"/>
    <w:next w:val="1"/>
    <w:link w:val="49"/>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0"/>
    <w:unhideWhenUsed/>
    <w:qFormat/>
    <w:uiPriority w:val="99"/>
    <w:pPr>
      <w:tabs>
        <w:tab w:val="center" w:pos="4153"/>
        <w:tab w:val="right" w:pos="8306"/>
      </w:tabs>
      <w:snapToGrid w:val="0"/>
      <w:jc w:val="left"/>
    </w:pPr>
    <w:rPr>
      <w:kern w:val="0"/>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2"/>
    <w:qFormat/>
    <w:uiPriority w:val="99"/>
    <w:rPr>
      <w:b/>
      <w:bCs/>
    </w:rPr>
  </w:style>
  <w:style w:type="paragraph" w:styleId="28">
    <w:name w:val="Body Text First Indent"/>
    <w:basedOn w:val="13"/>
    <w:qFormat/>
    <w:uiPriority w:val="0"/>
    <w:pPr>
      <w:spacing w:after="120" w:line="275" w:lineRule="atLeast"/>
      <w:ind w:firstLine="420"/>
      <w:textAlignment w:val="baseline"/>
    </w:pPr>
  </w:style>
  <w:style w:type="paragraph" w:styleId="29">
    <w:name w:val="Body Text First Indent 2"/>
    <w:basedOn w:val="14"/>
    <w:next w:val="1"/>
    <w:qFormat/>
    <w:uiPriority w:val="0"/>
    <w:pPr>
      <w:ind w:left="420" w:leftChars="200" w:firstLine="420" w:firstLineChars="20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endnote reference"/>
    <w:unhideWhenUsed/>
    <w:qFormat/>
    <w:uiPriority w:val="99"/>
    <w:rPr>
      <w:vertAlign w:val="superscript"/>
    </w:rPr>
  </w:style>
  <w:style w:type="character" w:styleId="35">
    <w:name w:val="FollowedHyperlink"/>
    <w:basedOn w:val="32"/>
    <w:unhideWhenUsed/>
    <w:qFormat/>
    <w:uiPriority w:val="99"/>
    <w:rPr>
      <w:color w:val="575656"/>
      <w:u w:val="none"/>
    </w:rPr>
  </w:style>
  <w:style w:type="character" w:styleId="36">
    <w:name w:val="Hyperlink"/>
    <w:basedOn w:val="32"/>
    <w:unhideWhenUsed/>
    <w:qFormat/>
    <w:uiPriority w:val="99"/>
    <w:rPr>
      <w:color w:val="575656"/>
      <w:u w:val="none"/>
    </w:rPr>
  </w:style>
  <w:style w:type="character" w:styleId="37">
    <w:name w:val="annotation reference"/>
    <w:basedOn w:val="32"/>
    <w:qFormat/>
    <w:uiPriority w:val="0"/>
    <w:rPr>
      <w:sz w:val="21"/>
      <w:szCs w:val="21"/>
    </w:rPr>
  </w:style>
  <w:style w:type="character" w:styleId="38">
    <w:name w:val="HTML Sample"/>
    <w:basedOn w:val="32"/>
    <w:unhideWhenUsed/>
    <w:qFormat/>
    <w:uiPriority w:val="99"/>
    <w:rPr>
      <w:rFonts w:ascii="Courier New" w:hAnsi="Courier New"/>
    </w:rPr>
  </w:style>
  <w:style w:type="paragraph" w:customStyle="1" w:styleId="39">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0">
    <w:name w:val="标题 1 字符1"/>
    <w:link w:val="3"/>
    <w:qFormat/>
    <w:uiPriority w:val="0"/>
    <w:rPr>
      <w:b/>
      <w:bCs/>
      <w:kern w:val="44"/>
      <w:sz w:val="44"/>
      <w:szCs w:val="44"/>
    </w:rPr>
  </w:style>
  <w:style w:type="character" w:customStyle="1" w:styleId="41">
    <w:name w:val="标题 2 Char1"/>
    <w:link w:val="4"/>
    <w:qFormat/>
    <w:uiPriority w:val="9"/>
    <w:rPr>
      <w:rFonts w:ascii="Cambria" w:hAnsi="Cambria" w:eastAsia="宋体" w:cs="Times New Roman"/>
      <w:b/>
      <w:bCs/>
      <w:kern w:val="2"/>
      <w:sz w:val="32"/>
      <w:szCs w:val="32"/>
    </w:rPr>
  </w:style>
  <w:style w:type="character" w:customStyle="1" w:styleId="42">
    <w:name w:val="标题 5 Char"/>
    <w:link w:val="7"/>
    <w:semiHidden/>
    <w:qFormat/>
    <w:uiPriority w:val="9"/>
    <w:rPr>
      <w:rFonts w:ascii="Times New Roman" w:hAnsi="Times New Roman"/>
      <w:b/>
      <w:bCs/>
      <w:kern w:val="2"/>
      <w:sz w:val="28"/>
      <w:szCs w:val="28"/>
    </w:rPr>
  </w:style>
  <w:style w:type="character" w:customStyle="1" w:styleId="43">
    <w:name w:val="标题 8 Char1"/>
    <w:link w:val="9"/>
    <w:semiHidden/>
    <w:qFormat/>
    <w:uiPriority w:val="9"/>
    <w:rPr>
      <w:rFonts w:ascii="等线 Light" w:hAnsi="等线 Light" w:eastAsia="等线 Light" w:cs="Times New Roman"/>
      <w:kern w:val="2"/>
      <w:sz w:val="24"/>
      <w:szCs w:val="24"/>
    </w:rPr>
  </w:style>
  <w:style w:type="character" w:customStyle="1" w:styleId="44">
    <w:name w:val="批注文字 Char1"/>
    <w:link w:val="11"/>
    <w:qFormat/>
    <w:uiPriority w:val="0"/>
    <w:rPr>
      <w:rFonts w:ascii="Times New Roman" w:hAnsi="Times New Roman"/>
      <w:kern w:val="2"/>
      <w:sz w:val="21"/>
      <w:szCs w:val="24"/>
    </w:rPr>
  </w:style>
  <w:style w:type="character" w:customStyle="1" w:styleId="45">
    <w:name w:val="正文文本 3 Char"/>
    <w:link w:val="12"/>
    <w:semiHidden/>
    <w:qFormat/>
    <w:uiPriority w:val="99"/>
    <w:rPr>
      <w:kern w:val="2"/>
      <w:sz w:val="16"/>
      <w:szCs w:val="16"/>
    </w:rPr>
  </w:style>
  <w:style w:type="character" w:customStyle="1" w:styleId="46">
    <w:name w:val="正文文本 Char1"/>
    <w:link w:val="13"/>
    <w:qFormat/>
    <w:uiPriority w:val="0"/>
    <w:rPr>
      <w:rFonts w:ascii="Times New Roman" w:hAnsi="Times New Roman"/>
      <w:kern w:val="2"/>
      <w:sz w:val="21"/>
      <w:szCs w:val="24"/>
    </w:rPr>
  </w:style>
  <w:style w:type="character" w:customStyle="1" w:styleId="47">
    <w:name w:val="正文文本缩进 Char"/>
    <w:link w:val="14"/>
    <w:qFormat/>
    <w:uiPriority w:val="0"/>
    <w:rPr>
      <w:rFonts w:ascii="仿宋_GB2312" w:hAnsi="Times New Roman" w:eastAsia="仿宋_GB2312" w:cs="Times New Roman"/>
      <w:sz w:val="32"/>
      <w:szCs w:val="20"/>
    </w:rPr>
  </w:style>
  <w:style w:type="character" w:customStyle="1" w:styleId="48">
    <w:name w:val="纯文本 Char1"/>
    <w:link w:val="18"/>
    <w:qFormat/>
    <w:uiPriority w:val="0"/>
    <w:rPr>
      <w:rFonts w:ascii="宋体" w:hAnsi="Courier New" w:eastAsia="宋体" w:cs="Courier New"/>
      <w:szCs w:val="21"/>
    </w:rPr>
  </w:style>
  <w:style w:type="character" w:customStyle="1" w:styleId="49">
    <w:name w:val="日期 Char"/>
    <w:link w:val="19"/>
    <w:semiHidden/>
    <w:qFormat/>
    <w:uiPriority w:val="99"/>
    <w:rPr>
      <w:rFonts w:ascii="Times New Roman" w:hAnsi="Times New Roman"/>
      <w:kern w:val="2"/>
      <w:sz w:val="21"/>
      <w:szCs w:val="24"/>
    </w:rPr>
  </w:style>
  <w:style w:type="character" w:customStyle="1" w:styleId="50">
    <w:name w:val="页脚 Char"/>
    <w:link w:val="21"/>
    <w:qFormat/>
    <w:uiPriority w:val="99"/>
    <w:rPr>
      <w:sz w:val="18"/>
      <w:szCs w:val="18"/>
    </w:rPr>
  </w:style>
  <w:style w:type="character" w:customStyle="1" w:styleId="51">
    <w:name w:val="页眉 Char"/>
    <w:link w:val="22"/>
    <w:qFormat/>
    <w:uiPriority w:val="99"/>
    <w:rPr>
      <w:sz w:val="18"/>
      <w:szCs w:val="18"/>
    </w:rPr>
  </w:style>
  <w:style w:type="character" w:customStyle="1" w:styleId="52">
    <w:name w:val="批注主题 Char"/>
    <w:link w:val="27"/>
    <w:qFormat/>
    <w:uiPriority w:val="99"/>
    <w:rPr>
      <w:rFonts w:ascii="Times New Roman" w:hAnsi="Times New Roman"/>
      <w:b/>
      <w:bCs/>
      <w:kern w:val="2"/>
      <w:sz w:val="21"/>
      <w:szCs w:val="24"/>
    </w:rPr>
  </w:style>
  <w:style w:type="character" w:customStyle="1" w:styleId="53">
    <w:name w:val="标题 1 Char"/>
    <w:basedOn w:val="32"/>
    <w:link w:val="3"/>
    <w:qFormat/>
    <w:uiPriority w:val="9"/>
    <w:rPr>
      <w:b/>
      <w:bCs/>
      <w:kern w:val="44"/>
      <w:sz w:val="44"/>
      <w:szCs w:val="44"/>
    </w:rPr>
  </w:style>
  <w:style w:type="character" w:customStyle="1" w:styleId="54">
    <w:name w:val="纯文本 字符2"/>
    <w:qFormat/>
    <w:uiPriority w:val="0"/>
    <w:rPr>
      <w:rFonts w:ascii="宋体" w:hAnsi="Courier New" w:eastAsia="宋体" w:cs="Courier New"/>
      <w:szCs w:val="21"/>
    </w:rPr>
  </w:style>
  <w:style w:type="character" w:customStyle="1" w:styleId="55">
    <w:name w:val="apple-style-span"/>
    <w:basedOn w:val="32"/>
    <w:qFormat/>
    <w:uiPriority w:val="0"/>
  </w:style>
  <w:style w:type="character" w:customStyle="1" w:styleId="56">
    <w:name w:val="标题 2 Char"/>
    <w:link w:val="4"/>
    <w:qFormat/>
    <w:uiPriority w:val="9"/>
    <w:rPr>
      <w:rFonts w:ascii="Cambria" w:hAnsi="Cambria" w:eastAsia="宋体" w:cs="Times New Roman"/>
      <w:b/>
      <w:bCs/>
      <w:kern w:val="2"/>
      <w:sz w:val="32"/>
      <w:szCs w:val="32"/>
    </w:rPr>
  </w:style>
  <w:style w:type="character" w:customStyle="1" w:styleId="57">
    <w:name w:val="纯文本 字符"/>
    <w:qFormat/>
    <w:uiPriority w:val="0"/>
    <w:rPr>
      <w:rFonts w:ascii="宋体" w:hAnsi="Courier New" w:eastAsia="宋体" w:cs="Courier New"/>
      <w:szCs w:val="21"/>
    </w:rPr>
  </w:style>
  <w:style w:type="character" w:customStyle="1" w:styleId="58">
    <w:name w:val="纯文本 字符1"/>
    <w:qFormat/>
    <w:uiPriority w:val="0"/>
    <w:rPr>
      <w:rFonts w:ascii="宋体" w:hAnsi="Courier New"/>
    </w:rPr>
  </w:style>
  <w:style w:type="character" w:customStyle="1" w:styleId="59">
    <w:name w:val="标题 8 Char"/>
    <w:qFormat/>
    <w:uiPriority w:val="0"/>
    <w:rPr>
      <w:rFonts w:ascii="Arial" w:hAnsi="Arial" w:eastAsia="黑体"/>
      <w:kern w:val="2"/>
      <w:sz w:val="24"/>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正文文本 Char"/>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正文文本 字符"/>
    <w:qFormat/>
    <w:uiPriority w:val="0"/>
    <w:rPr>
      <w:rFonts w:ascii="Times New Roman" w:hAnsi="Times New Roman"/>
      <w:kern w:val="2"/>
      <w:sz w:val="21"/>
      <w:szCs w:val="24"/>
    </w:rPr>
  </w:style>
  <w:style w:type="character" w:customStyle="1" w:styleId="65">
    <w:name w:val="批注文字 字符"/>
    <w:qFormat/>
    <w:uiPriority w:val="0"/>
    <w:rPr>
      <w:rFonts w:ascii="Times New Roman" w:hAnsi="Times New Roman"/>
      <w:kern w:val="2"/>
      <w:sz w:val="21"/>
      <w:szCs w:val="24"/>
    </w:rPr>
  </w:style>
  <w:style w:type="character" w:customStyle="1" w:styleId="66">
    <w:name w:val="textcontents"/>
    <w:basedOn w:val="32"/>
    <w:qFormat/>
    <w:uiPriority w:val="0"/>
  </w:style>
  <w:style w:type="character" w:customStyle="1" w:styleId="67">
    <w:name w:val="批注文字 Char"/>
    <w:qFormat/>
    <w:uiPriority w:val="0"/>
    <w:rPr>
      <w:rFonts w:ascii="Times New Roman" w:hAnsi="Times New Roman"/>
      <w:kern w:val="2"/>
      <w:sz w:val="21"/>
      <w:szCs w:val="24"/>
    </w:rPr>
  </w:style>
  <w:style w:type="paragraph" w:customStyle="1" w:styleId="6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qFormat/>
    <w:uiPriority w:val="34"/>
    <w:pPr>
      <w:ind w:firstLine="420" w:firstLineChars="200"/>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首行缩进"/>
    <w:basedOn w:val="1"/>
    <w:qFormat/>
    <w:uiPriority w:val="99"/>
    <w:pPr>
      <w:ind w:firstLine="480" w:firstLineChars="200"/>
    </w:pPr>
    <w:rPr>
      <w:lang w:val="zh-CN"/>
    </w:rPr>
  </w:style>
  <w:style w:type="paragraph" w:customStyle="1" w:styleId="73">
    <w:name w:val="p0"/>
    <w:basedOn w:val="1"/>
    <w:qFormat/>
    <w:uiPriority w:val="99"/>
    <w:pPr>
      <w:widowControl/>
    </w:pPr>
    <w:rPr>
      <w:kern w:val="0"/>
      <w:szCs w:val="21"/>
    </w:rPr>
  </w:style>
  <w:style w:type="paragraph" w:customStyle="1" w:styleId="74">
    <w:name w:val="*正文"/>
    <w:basedOn w:val="1"/>
    <w:qFormat/>
    <w:uiPriority w:val="0"/>
    <w:pPr>
      <w:spacing w:line="360" w:lineRule="auto"/>
      <w:ind w:firstLine="482"/>
      <w:jc w:val="left"/>
    </w:pPr>
    <w:rPr>
      <w:rFonts w:ascii="宋体" w:hAnsi="宋体" w:eastAsia="宋体" w:cs="Times New Roman"/>
      <w:sz w:val="24"/>
      <w:szCs w:val="22"/>
    </w:rPr>
  </w:style>
  <w:style w:type="paragraph" w:customStyle="1" w:styleId="75">
    <w:name w:val="列表段落2"/>
    <w:basedOn w:val="1"/>
    <w:qFormat/>
    <w:uiPriority w:val="99"/>
    <w:pPr>
      <w:ind w:firstLine="420" w:firstLineChars="200"/>
    </w:pPr>
  </w:style>
  <w:style w:type="paragraph" w:customStyle="1" w:styleId="76">
    <w:name w:val="表格文字"/>
    <w:basedOn w:val="1"/>
    <w:next w:val="13"/>
    <w:qFormat/>
    <w:uiPriority w:val="99"/>
    <w:pPr>
      <w:spacing w:before="25" w:after="25"/>
      <w:jc w:val="left"/>
    </w:pPr>
    <w:rPr>
      <w:bCs/>
      <w:spacing w:val="10"/>
      <w:kern w:val="0"/>
      <w:sz w:val="24"/>
    </w:rPr>
  </w:style>
  <w:style w:type="paragraph" w:customStyle="1" w:styleId="77">
    <w:name w:val="2"/>
    <w:basedOn w:val="1"/>
    <w:next w:val="18"/>
    <w:qFormat/>
    <w:uiPriority w:val="99"/>
    <w:rPr>
      <w:rFonts w:ascii="宋体" w:hAnsi="Courier New"/>
      <w:szCs w:val="20"/>
    </w:rPr>
  </w:style>
  <w:style w:type="paragraph" w:customStyle="1" w:styleId="78">
    <w:name w:val="UserStyle_36"/>
    <w:basedOn w:val="1"/>
    <w:qFormat/>
    <w:uiPriority w:val="0"/>
    <w:pPr>
      <w:spacing w:line="240" w:lineRule="auto"/>
      <w:ind w:firstLine="420" w:firstLineChars="200"/>
      <w:jc w:val="both"/>
    </w:pPr>
    <w:rPr>
      <w:rFonts w:ascii="Calibri" w:hAnsi="Calibri"/>
      <w:kern w:val="2"/>
      <w:sz w:val="21"/>
      <w:szCs w:val="22"/>
      <w:lang w:val="en-US" w:eastAsia="zh-CN" w:bidi="ar-SA"/>
    </w:rPr>
  </w:style>
  <w:style w:type="character" w:customStyle="1" w:styleId="7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75</Pages>
  <Words>16875</Words>
  <Characters>17820</Characters>
  <Lines>358</Lines>
  <Paragraphs>101</Paragraphs>
  <TotalTime>77</TotalTime>
  <ScaleCrop>false</ScaleCrop>
  <LinksUpToDate>false</LinksUpToDate>
  <CharactersWithSpaces>17971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2020-07-17T10:59:00Z</dcterms:created>
  <dc:creator>唐冰</dc:creator>
  <cp:lastModifiedBy>D_阁下</cp:lastModifiedBy>
  <cp:lastPrinted>2021-12-18T11:39:00Z</cp:lastPrinted>
  <dcterms:modified xsi:type="dcterms:W3CDTF">2025-06-23T08:26:20Z</dcterms:modified>
  <dc:title>竞争性谈判文件规范</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98350F57FA454286B8211D8C17FE8D87_13</vt:lpwstr>
  </property>
  <property fmtid="{D5CDD505-2E9C-101B-9397-08002B2CF9AE}" pid="4" name="KSOTemplateDocerSaveRecord">
    <vt:lpwstr>eyJoZGlkIjoiYTBiNDc5N2Q3ODQ0NjM3MTg5OWU0MWZjMjM0ZTM5MjIiLCJ1c2VySWQiOiIxMjA0MjAzNjAifQ==</vt:lpwstr>
  </property>
</Properties>
</file>