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175" w:name="_GoBack"/>
      <w:bookmarkEnd w:id="1175"/>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8" o:title=""/>
            <o:lock v:ext="edit" aspectratio="t"/>
            <w10:wrap type="none"/>
            <w10:anchorlock/>
          </v:shape>
          <o:OLEObject Type="Embed" ProgID="CorelDRAW.Graphic.9" ShapeID="_x0000_i1025" DrawAspect="Content" ObjectID="_1468075725" r:id="rId17">
            <o:LockedField>false</o:LockedField>
          </o:OLEObject>
        </w:object>
      </w:r>
      <w:bookmarkEnd w:id="0"/>
    </w:p>
    <w:p w14:paraId="652178A6">
      <w:pPr>
        <w:jc w:val="center"/>
        <w:outlineLvl w:val="0"/>
        <w:rPr>
          <w:rFonts w:hint="eastAsia" w:asciiTheme="majorEastAsia" w:hAnsiTheme="majorEastAsia" w:eastAsiaTheme="majorEastAsia" w:cstheme="majorEastAsia"/>
          <w:b/>
          <w:bCs/>
          <w:sz w:val="48"/>
          <w:szCs w:val="48"/>
          <w:lang w:eastAsia="zh-CN"/>
        </w:rPr>
      </w:pPr>
      <w:bookmarkStart w:id="1" w:name="_Toc27014"/>
      <w:r>
        <w:rPr>
          <w:rFonts w:hint="eastAsia" w:asciiTheme="majorEastAsia" w:hAnsiTheme="majorEastAsia" w:eastAsiaTheme="majorEastAsia" w:cstheme="majorEastAsia"/>
          <w:b/>
          <w:bCs/>
          <w:sz w:val="48"/>
          <w:szCs w:val="48"/>
          <w:lang w:eastAsia="zh-CN"/>
        </w:rPr>
        <w:t>广西桂春工程项目管理咨询有限公司</w:t>
      </w:r>
      <w:bookmarkEnd w:id="1"/>
    </w:p>
    <w:p w14:paraId="65D9E33C">
      <w:pPr>
        <w:pStyle w:val="11"/>
        <w:rPr>
          <w:rFonts w:hint="eastAsia"/>
        </w:rPr>
      </w:pPr>
    </w:p>
    <w:p w14:paraId="0B75D27B">
      <w:pPr>
        <w:pStyle w:val="21"/>
        <w:rPr>
          <w:rFonts w:hint="eastAsia"/>
        </w:rPr>
      </w:pPr>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63A574C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0D67C0E6">
      <w:pPr>
        <w:pStyle w:val="31"/>
        <w:rPr>
          <w:rFonts w:hint="eastAsia"/>
        </w:rPr>
      </w:pPr>
    </w:p>
    <w:p w14:paraId="393B5C1C">
      <w:pPr>
        <w:ind w:left="2876" w:leftChars="608" w:hanging="1600" w:hangingChars="5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陆川县人民医院大桥镇大垌村原农商行办公楼</w:t>
      </w:r>
    </w:p>
    <w:p w14:paraId="35EAA29C">
      <w:pPr>
        <w:ind w:left="2872" w:leftChars="1368" w:firstLine="0" w:firstLine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改造装修为职工宿舍工程</w:t>
      </w: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项目编号：YLZC2025-C2-220218-GXGC</w:t>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555AE86C">
      <w:pPr>
        <w:ind w:firstLine="1400" w:firstLineChars="500"/>
        <w:rPr>
          <w:rFonts w:hint="eastAsia" w:asciiTheme="majorEastAsia" w:hAnsiTheme="majorEastAsia" w:eastAsiaTheme="majorEastAsia" w:cstheme="majorEastAsia"/>
          <w:b/>
          <w:bCs/>
          <w:sz w:val="28"/>
          <w:szCs w:val="28"/>
          <w:lang w:val="en-US" w:eastAsia="zh-CN"/>
        </w:rPr>
      </w:pPr>
    </w:p>
    <w:p w14:paraId="7DF1F041">
      <w:pPr>
        <w:rPr>
          <w:rFonts w:hint="eastAsia"/>
          <w:lang w:val="en-US" w:eastAsia="zh-CN"/>
        </w:rPr>
      </w:pPr>
    </w:p>
    <w:p w14:paraId="5E6CB308">
      <w:pPr>
        <w:pStyle w:val="32"/>
        <w:rPr>
          <w:rFonts w:hint="eastAsia"/>
          <w:lang w:val="en-US" w:eastAsia="zh-CN"/>
        </w:rPr>
      </w:pPr>
    </w:p>
    <w:p w14:paraId="48D2F1DD">
      <w:pPr>
        <w:pStyle w:val="32"/>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陆川县人民医院</w:t>
      </w:r>
    </w:p>
    <w:p w14:paraId="0B262DE3">
      <w:pPr>
        <w:pStyle w:val="33"/>
        <w:rPr>
          <w:rFonts w:hint="eastAsia" w:asciiTheme="majorEastAsia" w:hAnsiTheme="majorEastAsia" w:eastAsiaTheme="majorEastAsia" w:cstheme="majorEastAsia"/>
          <w:b/>
          <w:bCs/>
          <w:kern w:val="0"/>
          <w:sz w:val="32"/>
          <w:szCs w:val="32"/>
          <w:lang w:val="en-US" w:eastAsia="zh-CN" w:bidi="ar-SA"/>
        </w:rPr>
      </w:pPr>
    </w:p>
    <w:p w14:paraId="779EC959">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采购代理机构：广西桂春工程项目管理咨询有限公司</w:t>
      </w:r>
    </w:p>
    <w:p w14:paraId="77E397FF">
      <w:pPr>
        <w:pStyle w:val="15"/>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2025年10月</w:t>
      </w:r>
    </w:p>
    <w:p w14:paraId="4DF4155C">
      <w:pPr>
        <w:pStyle w:val="15"/>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5"/>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0"/>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7</w:t>
          </w:r>
          <w:r>
            <w:fldChar w:fldCharType="end"/>
          </w:r>
          <w:r>
            <w:rPr>
              <w:rFonts w:hint="eastAsia"/>
              <w:szCs w:val="36"/>
              <w:lang w:val="en-US" w:eastAsia="zh-CN"/>
            </w:rPr>
            <w:fldChar w:fldCharType="end"/>
          </w:r>
        </w:p>
        <w:p w14:paraId="643E36F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23</w:t>
          </w:r>
          <w:r>
            <w:fldChar w:fldCharType="end"/>
          </w:r>
          <w:r>
            <w:rPr>
              <w:rFonts w:hint="eastAsia"/>
              <w:szCs w:val="36"/>
              <w:lang w:val="en-US" w:eastAsia="zh-CN"/>
            </w:rPr>
            <w:fldChar w:fldCharType="end"/>
          </w:r>
        </w:p>
        <w:p w14:paraId="41E502E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27</w:t>
          </w:r>
          <w:r>
            <w:fldChar w:fldCharType="end"/>
          </w:r>
          <w:r>
            <w:rPr>
              <w:rFonts w:hint="eastAsia"/>
              <w:szCs w:val="36"/>
              <w:lang w:val="en-US" w:eastAsia="zh-CN"/>
            </w:rPr>
            <w:fldChar w:fldCharType="end"/>
          </w:r>
        </w:p>
        <w:p w14:paraId="76C5F49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37</w:t>
          </w:r>
          <w:r>
            <w:fldChar w:fldCharType="end"/>
          </w:r>
          <w:r>
            <w:rPr>
              <w:rFonts w:hint="eastAsia"/>
              <w:szCs w:val="36"/>
              <w:lang w:val="en-US" w:eastAsia="zh-CN"/>
            </w:rPr>
            <w:fldChar w:fldCharType="end"/>
          </w:r>
        </w:p>
        <w:p w14:paraId="5268599D">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42</w:t>
          </w:r>
          <w:r>
            <w:fldChar w:fldCharType="end"/>
          </w:r>
          <w:r>
            <w:rPr>
              <w:rFonts w:hint="eastAsia"/>
              <w:szCs w:val="36"/>
              <w:lang w:val="en-US" w:eastAsia="zh-CN"/>
            </w:rPr>
            <w:fldChar w:fldCharType="end"/>
          </w:r>
        </w:p>
        <w:p w14:paraId="7D37B2C9">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74</w:t>
          </w:r>
          <w:r>
            <w:fldChar w:fldCharType="end"/>
          </w:r>
          <w:r>
            <w:rPr>
              <w:rFonts w:hint="eastAsia"/>
              <w:szCs w:val="36"/>
              <w:lang w:val="en-US" w:eastAsia="zh-CN"/>
            </w:rPr>
            <w:fldChar w:fldCharType="end"/>
          </w:r>
        </w:p>
        <w:p w14:paraId="6C32F2F0">
          <w:pPr>
            <w:pStyle w:val="32"/>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5"/>
        <w:ind w:left="411" w:leftChars="196"/>
        <w:rPr>
          <w:rFonts w:hint="eastAsia" w:asciiTheme="majorEastAsia" w:hAnsiTheme="majorEastAsia" w:eastAsiaTheme="majorEastAsia" w:cstheme="majorEastAsia"/>
          <w:color w:val="auto"/>
          <w:sz w:val="32"/>
          <w:highlight w:val="none"/>
        </w:rPr>
      </w:pPr>
    </w:p>
    <w:p w14:paraId="234238FE">
      <w:pPr>
        <w:pStyle w:val="15"/>
        <w:ind w:left="411" w:leftChars="196"/>
        <w:rPr>
          <w:rFonts w:hint="eastAsia" w:asciiTheme="majorEastAsia" w:hAnsiTheme="majorEastAsia" w:eastAsiaTheme="majorEastAsia" w:cstheme="majorEastAsia"/>
          <w:color w:val="auto"/>
          <w:sz w:val="32"/>
          <w:highlight w:val="none"/>
        </w:rPr>
      </w:pPr>
    </w:p>
    <w:p w14:paraId="570B58FD">
      <w:pPr>
        <w:pStyle w:val="15"/>
        <w:ind w:left="411" w:leftChars="196"/>
        <w:rPr>
          <w:rFonts w:hint="eastAsia" w:asciiTheme="majorEastAsia" w:hAnsiTheme="majorEastAsia" w:eastAsiaTheme="majorEastAsia" w:cstheme="majorEastAsia"/>
          <w:color w:val="auto"/>
          <w:sz w:val="32"/>
          <w:highlight w:val="none"/>
        </w:rPr>
      </w:pPr>
    </w:p>
    <w:p w14:paraId="46E63234">
      <w:pPr>
        <w:pStyle w:val="15"/>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5"/>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6"/>
        <w:rPr>
          <w:rFonts w:hint="eastAsia"/>
        </w:rPr>
      </w:pPr>
    </w:p>
    <w:p w14:paraId="0845C295">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2628"/>
      <w:bookmarkStart w:id="5" w:name="_Toc11271"/>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5"/>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广西桂春工程项目管理咨询有限公司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陆川县人民医院大桥镇大垌村原农商行办公楼改造装修为职工宿舍工程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陆川县人民医院大桥镇大垌村原农商行办公楼改造装修为职工宿舍工程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10</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20</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89"/>
      <w:bookmarkStart w:id="7" w:name="_Toc28359012"/>
      <w:bookmarkStart w:id="8" w:name="_Toc35393798"/>
      <w:bookmarkStart w:id="9" w:name="_Toc35393629"/>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03DA49A1">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1.项目编号：YLZC2025-C2-220218-GXGC</w:t>
      </w:r>
    </w:p>
    <w:p w14:paraId="20DC3C4E">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2.项目名称：陆川县人民医院大桥镇大垌村原农商行办公楼改造装修为职工宿舍工程</w:t>
      </w:r>
    </w:p>
    <w:p w14:paraId="1DAA91C7">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2168FB8">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4.预算金额：人民币捌拾玖万玖仟叁佰贰拾玖元伍角整（￥899329.50）</w:t>
      </w:r>
    </w:p>
    <w:p w14:paraId="50429F20">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tbl>
      <w:tblPr>
        <w:tblStyle w:val="24"/>
        <w:tblW w:w="9750"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385"/>
        <w:gridCol w:w="900"/>
        <w:gridCol w:w="5745"/>
      </w:tblGrid>
      <w:tr w14:paraId="13B02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14:paraId="628DA44C">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385" w:type="dxa"/>
            <w:tcBorders>
              <w:top w:val="single" w:color="auto" w:sz="4" w:space="0"/>
              <w:left w:val="single" w:color="auto" w:sz="4" w:space="0"/>
              <w:bottom w:val="single" w:color="auto" w:sz="4" w:space="0"/>
              <w:right w:val="single" w:color="auto" w:sz="4" w:space="0"/>
            </w:tcBorders>
            <w:vAlign w:val="center"/>
          </w:tcPr>
          <w:p w14:paraId="6194EEC3">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标的名称</w:t>
            </w:r>
          </w:p>
        </w:tc>
        <w:tc>
          <w:tcPr>
            <w:tcW w:w="900" w:type="dxa"/>
            <w:tcBorders>
              <w:top w:val="single" w:color="auto" w:sz="4" w:space="0"/>
              <w:left w:val="single" w:color="auto" w:sz="4" w:space="0"/>
              <w:bottom w:val="single" w:color="auto" w:sz="4" w:space="0"/>
              <w:right w:val="single" w:color="auto" w:sz="4" w:space="0"/>
            </w:tcBorders>
            <w:vAlign w:val="center"/>
          </w:tcPr>
          <w:p w14:paraId="758E7888">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数量及</w:t>
            </w:r>
          </w:p>
          <w:p w14:paraId="19EE58D3">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5745" w:type="dxa"/>
            <w:tcBorders>
              <w:top w:val="single" w:color="auto" w:sz="4" w:space="0"/>
              <w:left w:val="single" w:color="auto" w:sz="4" w:space="0"/>
              <w:bottom w:val="single" w:color="auto" w:sz="4" w:space="0"/>
              <w:right w:val="single" w:color="auto" w:sz="4" w:space="0"/>
            </w:tcBorders>
            <w:vAlign w:val="center"/>
          </w:tcPr>
          <w:p w14:paraId="7AFAF53B">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rPr>
              <w:t>简要技术需求或者服务要求</w:t>
            </w:r>
          </w:p>
        </w:tc>
      </w:tr>
      <w:tr w14:paraId="7BC1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720" w:type="dxa"/>
            <w:tcBorders>
              <w:top w:val="single" w:color="auto" w:sz="4" w:space="0"/>
              <w:left w:val="single" w:color="auto" w:sz="4" w:space="0"/>
              <w:bottom w:val="single" w:color="auto" w:sz="4" w:space="0"/>
              <w:right w:val="single" w:color="auto" w:sz="4" w:space="0"/>
            </w:tcBorders>
            <w:vAlign w:val="center"/>
          </w:tcPr>
          <w:p w14:paraId="66D6C94D">
            <w:pPr>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2385" w:type="dxa"/>
            <w:tcBorders>
              <w:top w:val="single" w:color="auto" w:sz="4" w:space="0"/>
              <w:left w:val="single" w:color="auto" w:sz="4" w:space="0"/>
              <w:bottom w:val="single" w:color="auto" w:sz="4" w:space="0"/>
              <w:right w:val="single" w:color="auto" w:sz="4" w:space="0"/>
            </w:tcBorders>
            <w:vAlign w:val="center"/>
          </w:tcPr>
          <w:p w14:paraId="73B7551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陆川县人民医院大桥镇大垌村原农商行办公楼改造装修为职工宿舍工程</w:t>
            </w:r>
          </w:p>
        </w:tc>
        <w:tc>
          <w:tcPr>
            <w:tcW w:w="900" w:type="dxa"/>
            <w:tcBorders>
              <w:top w:val="single" w:color="auto" w:sz="4" w:space="0"/>
              <w:left w:val="single" w:color="auto" w:sz="4" w:space="0"/>
              <w:bottom w:val="single" w:color="auto" w:sz="4" w:space="0"/>
              <w:right w:val="single" w:color="auto" w:sz="4" w:space="0"/>
            </w:tcBorders>
            <w:vAlign w:val="center"/>
          </w:tcPr>
          <w:p w14:paraId="7B299C45">
            <w:pPr>
              <w:pageBreakBefore w:val="0"/>
              <w:kinsoku/>
              <w:wordWrap/>
              <w:overflowPunct/>
              <w:topLinePunct w:val="0"/>
              <w:autoSpaceDE/>
              <w:autoSpaceDN/>
              <w:bidi w:val="0"/>
              <w:adjustRightInd/>
              <w:spacing w:line="520" w:lineRule="exact"/>
              <w:ind w:firstLine="210" w:firstLineChars="10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w:t>
            </w:r>
          </w:p>
        </w:tc>
        <w:tc>
          <w:tcPr>
            <w:tcW w:w="5745" w:type="dxa"/>
            <w:tcBorders>
              <w:top w:val="single" w:color="auto" w:sz="4" w:space="0"/>
              <w:left w:val="single" w:color="auto" w:sz="4" w:space="0"/>
              <w:right w:val="single" w:color="auto" w:sz="4" w:space="0"/>
            </w:tcBorders>
          </w:tcPr>
          <w:p w14:paraId="6FA643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eastAsia="zh-CN"/>
              </w:rPr>
              <w:t>陆川县人民医院大桥镇大垌村原农商行办公楼改造装修为职工宿舍工程，该建设项目改造工程，装修与水施工程为1-5层，电气为1-4层。主要内容：拆除部分墙体及原有室内装修地面、墙面、天棚面：拆除后按新图纸对地面进行贴砖、卫生间墙面贴砖，其余墙面重新抹灰后刮腻子乳胶漆</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水电安装工程及室外地面硬化、厨房钢结构棚等。</w:t>
            </w:r>
            <w:r>
              <w:rPr>
                <w:rFonts w:hint="eastAsia" w:ascii="宋体" w:hAnsi="宋体" w:eastAsia="宋体" w:cs="宋体"/>
                <w:b w:val="0"/>
                <w:bCs/>
                <w:color w:val="auto"/>
                <w:sz w:val="21"/>
                <w:szCs w:val="21"/>
                <w:lang w:val="en-US" w:eastAsia="zh-CN"/>
              </w:rPr>
              <w:t>详见竞争性磋商文件、工程量清单和工程建设相关资料。</w:t>
            </w:r>
          </w:p>
        </w:tc>
      </w:tr>
    </w:tbl>
    <w:p w14:paraId="0FC37982">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lang w:val="en-US" w:eastAsia="zh-CN"/>
        </w:rPr>
        <w:t>签合同之日起90日历天。</w:t>
      </w:r>
    </w:p>
    <w:p w14:paraId="55AC1DF5">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3C30E082">
      <w:pPr>
        <w:keepNext w:val="0"/>
        <w:keepLines w:val="0"/>
        <w:pageBreakBefore w:val="0"/>
        <w:widowControl w:val="0"/>
        <w:tabs>
          <w:tab w:val="left" w:pos="284"/>
        </w:tabs>
        <w:kinsoku/>
        <w:wordWrap/>
        <w:overflowPunct/>
        <w:topLinePunct w:val="0"/>
        <w:autoSpaceDE/>
        <w:autoSpaceDN/>
        <w:bidi w:val="0"/>
        <w:adjustRightInd/>
        <w:snapToGri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28359013"/>
      <w:bookmarkStart w:id="11" w:name="_Toc28359090"/>
      <w:bookmarkStart w:id="12" w:name="_Toc35393630"/>
      <w:bookmarkStart w:id="13" w:name="_Toc35393799"/>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14" w:name="_Toc35393631"/>
      <w:bookmarkStart w:id="15" w:name="_Toc35393800"/>
      <w:bookmarkStart w:id="16" w:name="_Toc28359014"/>
      <w:bookmarkStart w:id="17" w:name="_Toc2835909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专门面向</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残疾人福利</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供应商须具备建筑工程施工总承包叁级以上（含叁级）资质</w:t>
      </w:r>
      <w:r>
        <w:rPr>
          <w:rFonts w:hint="eastAsia" w:ascii="宋体" w:hAnsi="宋体" w:eastAsia="宋体" w:cs="宋体"/>
          <w:color w:val="auto"/>
          <w:sz w:val="21"/>
          <w:szCs w:val="21"/>
          <w:rtl w:val="0"/>
          <w:lang w:val="en-US" w:eastAsia="zh-CN"/>
        </w:rPr>
        <w:t>，并具备有效的安全生产许可证，</w:t>
      </w:r>
      <w:r>
        <w:rPr>
          <w:rFonts w:hint="eastAsia" w:ascii="宋体" w:hAnsi="宋体" w:eastAsia="宋体" w:cs="宋体"/>
          <w:color w:val="auto"/>
          <w:sz w:val="21"/>
          <w:szCs w:val="21"/>
          <w:lang w:val="en-US" w:eastAsia="zh-CN"/>
        </w:rPr>
        <w:t>并在人员、设备、资金等方面具备相应的施工能力</w:t>
      </w:r>
      <w:r>
        <w:rPr>
          <w:rFonts w:hint="eastAsia" w:ascii="宋体" w:hAnsi="宋体" w:cs="宋体"/>
          <w:color w:val="auto"/>
          <w:sz w:val="21"/>
          <w:szCs w:val="21"/>
          <w:lang w:val="en-US" w:eastAsia="zh-CN"/>
        </w:rPr>
        <w:t>；</w:t>
      </w:r>
    </w:p>
    <w:p w14:paraId="2B31458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拟派项目经理须具备建筑工程专业二级以上（含二级）注册建造师执业资格，具备有效的安全生产考核合格证书（B类）</w:t>
      </w:r>
      <w:r>
        <w:rPr>
          <w:rFonts w:hint="eastAsia" w:ascii="宋体" w:hAnsi="宋体" w:cs="宋体"/>
          <w:color w:val="auto"/>
          <w:sz w:val="21"/>
          <w:szCs w:val="21"/>
          <w:lang w:val="en-US" w:eastAsia="zh-CN"/>
        </w:rPr>
        <w:t xml:space="preserve">； </w:t>
      </w:r>
    </w:p>
    <w:p w14:paraId="596519F1">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52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52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632"/>
      <w:bookmarkStart w:id="19" w:name="_Toc28359015"/>
      <w:bookmarkStart w:id="20" w:name="_Toc35393801"/>
      <w:bookmarkStart w:id="21" w:name="_Toc2835909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 xml:space="preserve">2025年10月9日 </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10</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15</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52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52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52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5</w:t>
      </w:r>
      <w:r>
        <w:rPr>
          <w:rFonts w:hint="eastAsia" w:ascii="宋体" w:hAnsi="宋体"/>
          <w:bCs/>
          <w:color w:val="000000"/>
          <w:szCs w:val="21"/>
          <w:u w:val="single"/>
        </w:rPr>
        <w:t>年</w:t>
      </w:r>
      <w:r>
        <w:rPr>
          <w:rFonts w:hint="eastAsia" w:ascii="宋体" w:hAnsi="宋体"/>
          <w:bCs/>
          <w:color w:val="000000"/>
          <w:szCs w:val="21"/>
          <w:u w:val="single"/>
          <w:lang w:val="en-US" w:eastAsia="zh-CN"/>
        </w:rPr>
        <w:t xml:space="preserve"> 10 </w:t>
      </w:r>
      <w:r>
        <w:rPr>
          <w:rFonts w:hint="eastAsia" w:ascii="宋体" w:hAnsi="宋体"/>
          <w:bCs/>
          <w:color w:val="000000"/>
          <w:szCs w:val="21"/>
          <w:u w:val="single"/>
        </w:rPr>
        <w:t>月</w:t>
      </w:r>
      <w:r>
        <w:rPr>
          <w:rFonts w:hint="eastAsia" w:ascii="宋体" w:hAnsi="宋体"/>
          <w:bCs/>
          <w:color w:val="000000"/>
          <w:szCs w:val="21"/>
          <w:u w:val="single"/>
          <w:lang w:val="en-US" w:eastAsia="zh-CN"/>
        </w:rPr>
        <w:t xml:space="preserve"> 20 </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bCs/>
          <w:color w:val="000000"/>
          <w:szCs w:val="21"/>
          <w:u w:val="single"/>
        </w:rPr>
        <w:t>年</w:t>
      </w:r>
      <w:r>
        <w:rPr>
          <w:rFonts w:hint="eastAsia" w:ascii="宋体" w:hAnsi="宋体"/>
          <w:bCs/>
          <w:color w:val="000000"/>
          <w:szCs w:val="21"/>
          <w:u w:val="single"/>
          <w:lang w:val="en-US" w:eastAsia="zh-CN"/>
        </w:rPr>
        <w:t>10</w:t>
      </w:r>
      <w:r>
        <w:rPr>
          <w:rFonts w:hint="eastAsia" w:ascii="宋体" w:hAnsi="宋体"/>
          <w:bCs/>
          <w:color w:val="000000"/>
          <w:szCs w:val="21"/>
          <w:u w:val="single"/>
        </w:rPr>
        <w:t>月</w:t>
      </w:r>
      <w:r>
        <w:rPr>
          <w:rFonts w:hint="eastAsia" w:ascii="宋体" w:hAnsi="宋体"/>
          <w:bCs/>
          <w:color w:val="000000"/>
          <w:szCs w:val="21"/>
          <w:u w:val="single"/>
          <w:lang w:val="en-US" w:eastAsia="zh-CN"/>
        </w:rPr>
        <w:t xml:space="preserve">20 </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520" w:lineRule="exact"/>
        <w:ind w:left="0" w:leftChars="0" w:right="0" w:firstLine="482" w:firstLineChars="200"/>
        <w:textAlignment w:val="auto"/>
        <w:rPr>
          <w:rFonts w:ascii="宋体" w:hAnsi="宋体" w:cs="宋体"/>
          <w:bCs w:val="0"/>
          <w:color w:val="000000"/>
          <w:sz w:val="24"/>
          <w:szCs w:val="24"/>
        </w:rPr>
      </w:pPr>
      <w:bookmarkStart w:id="22" w:name="_Toc28359017"/>
      <w:bookmarkStart w:id="23" w:name="_Toc28359094"/>
      <w:bookmarkStart w:id="24" w:name="_Toc44229883"/>
      <w:bookmarkStart w:id="25" w:name="_Toc35393634"/>
      <w:bookmarkStart w:id="26" w:name="_Toc35393803"/>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520" w:lineRule="exact"/>
        <w:ind w:left="0" w:leftChars="0" w:right="0" w:firstLine="482" w:firstLineChars="200"/>
        <w:textAlignment w:val="auto"/>
        <w:rPr>
          <w:rFonts w:ascii="宋体" w:hAnsi="宋体" w:cs="宋体"/>
          <w:bCs w:val="0"/>
          <w:color w:val="000000"/>
          <w:sz w:val="24"/>
          <w:szCs w:val="24"/>
        </w:rPr>
      </w:pPr>
      <w:bookmarkStart w:id="27" w:name="_Toc35393804"/>
      <w:bookmarkStart w:id="28" w:name="_Toc35393635"/>
      <w:bookmarkStart w:id="29" w:name="_Toc4422988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28359095"/>
      <w:bookmarkStart w:id="31" w:name="_Toc35393636"/>
      <w:bookmarkStart w:id="32" w:name="_Toc44229885"/>
      <w:bookmarkStart w:id="33" w:name="_Toc35393805"/>
      <w:bookmarkStart w:id="34" w:name="_Toc28359018"/>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000000"/>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7CDBFED4">
      <w:pPr>
        <w:pStyle w:val="31"/>
        <w:keepNext w:val="0"/>
        <w:keepLines w:val="0"/>
        <w:pageBreakBefore w:val="0"/>
        <w:widowControl w:val="0"/>
        <w:kinsoku/>
        <w:wordWrap/>
        <w:overflowPunct/>
        <w:topLinePunct w:val="0"/>
        <w:autoSpaceDE/>
        <w:autoSpaceDN/>
        <w:bidi w:val="0"/>
        <w:adjustRightInd/>
        <w:snapToGrid/>
        <w:spacing w:line="50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1"/>
        <w:keepNext w:val="0"/>
        <w:keepLines w:val="0"/>
        <w:pageBreakBefore w:val="0"/>
        <w:widowControl w:val="0"/>
        <w:kinsoku/>
        <w:wordWrap/>
        <w:overflowPunct/>
        <w:topLinePunct w:val="0"/>
        <w:autoSpaceDE/>
        <w:autoSpaceDN/>
        <w:bidi w:val="0"/>
        <w:adjustRightInd/>
        <w:snapToGrid/>
        <w:spacing w:line="50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3"/>
        <w:pageBreakBefore w:val="0"/>
        <w:kinsoku/>
        <w:wordWrap/>
        <w:overflowPunct/>
        <w:topLinePunct w:val="0"/>
        <w:autoSpaceDE/>
        <w:autoSpaceDN/>
        <w:bidi w:val="0"/>
        <w:adjustRightInd/>
        <w:snapToGrid/>
        <w:spacing w:before="0" w:after="0" w:line="500" w:lineRule="exact"/>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8359019"/>
      <w:bookmarkStart w:id="38" w:name="_Toc35393806"/>
      <w:bookmarkStart w:id="39" w:name="_Toc24954"/>
      <w:bookmarkStart w:id="40" w:name="_Toc28359096"/>
      <w:bookmarkStart w:id="41" w:name="_Toc31414"/>
      <w:bookmarkStart w:id="42" w:name="_Toc24148"/>
      <w:bookmarkStart w:id="43" w:name="_Toc32224"/>
      <w:bookmarkStart w:id="44" w:name="_Toc35393637"/>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33B01D97">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陆川县人民医院</w:t>
      </w:r>
    </w:p>
    <w:p w14:paraId="65CA20BD">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olor w:val="auto"/>
          <w:szCs w:val="21"/>
          <w:lang w:eastAsia="zh-CN"/>
        </w:rPr>
        <w:t>陆川县新洲路146号</w:t>
      </w:r>
      <w:r>
        <w:rPr>
          <w:rFonts w:hint="eastAsia" w:ascii="宋体" w:hAnsi="宋体" w:eastAsia="宋体" w:cs="宋体"/>
          <w:color w:val="auto"/>
          <w:sz w:val="21"/>
          <w:szCs w:val="21"/>
          <w:highlight w:val="none"/>
          <w:u w:val="none"/>
        </w:rPr>
        <w:t>　</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olor w:val="auto"/>
          <w:szCs w:val="21"/>
          <w:lang w:val="en-US" w:eastAsia="zh-CN"/>
        </w:rPr>
        <w:t>吕盛斌</w:t>
      </w:r>
    </w:p>
    <w:p w14:paraId="587C7068">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olor w:val="auto"/>
          <w:szCs w:val="21"/>
          <w:lang w:eastAsia="zh-CN"/>
        </w:rPr>
        <w:t>0775-7339169</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3995"/>
      <w:bookmarkStart w:id="46" w:name="_Toc28359020"/>
      <w:bookmarkStart w:id="47" w:name="_Toc25561"/>
      <w:bookmarkStart w:id="48" w:name="_Toc35393807"/>
      <w:bookmarkStart w:id="49" w:name="_Toc17087"/>
      <w:bookmarkStart w:id="50" w:name="_Toc5007"/>
      <w:bookmarkStart w:id="51" w:name="_Toc35393638"/>
      <w:bookmarkStart w:id="52" w:name="_Toc28359097"/>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广西桂春工程项目管理咨询有限公司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1192"/>
      <w:bookmarkStart w:id="54" w:name="_Toc4404"/>
      <w:bookmarkStart w:id="55" w:name="_Toc30979"/>
      <w:bookmarkStart w:id="56" w:name="_Toc28359098"/>
      <w:bookmarkStart w:id="57" w:name="_Toc28359021"/>
      <w:bookmarkStart w:id="58" w:name="_Toc20744"/>
      <w:bookmarkStart w:id="59" w:name="_Toc35393639"/>
      <w:bookmarkStart w:id="60" w:name="_Toc35393808"/>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5"/>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牟普琴</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广西桂春工程项目管理咨询有限公司</w:t>
      </w:r>
    </w:p>
    <w:p w14:paraId="632149FE">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44229894"/>
      <w:bookmarkStart w:id="62" w:name="_Toc19097"/>
    </w:p>
    <w:p w14:paraId="7D0CBEE5">
      <w:pPr>
        <w:jc w:val="center"/>
        <w:outlineLvl w:val="0"/>
        <w:rPr>
          <w:rFonts w:hint="eastAsia" w:asciiTheme="majorEastAsia" w:hAnsiTheme="majorEastAsia" w:eastAsiaTheme="majorEastAsia" w:cstheme="majorEastAsia"/>
          <w:b/>
          <w:color w:val="auto"/>
          <w:sz w:val="32"/>
          <w:highlight w:val="none"/>
        </w:rPr>
      </w:pPr>
      <w:bookmarkStart w:id="63" w:name="_Toc2599"/>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9</w:t>
            </w:r>
            <w:r>
              <w:rPr>
                <w:rFonts w:hint="eastAsia" w:ascii="宋体" w:hAnsi="宋体" w:eastAsia="宋体" w:cs="宋体"/>
                <w:b/>
                <w:bCs/>
                <w:color w:val="000000"/>
                <w:kern w:val="0"/>
                <w:sz w:val="21"/>
                <w:szCs w:val="21"/>
                <w:lang w:val="en-US" w:eastAsia="zh-CN" w:bidi="ar"/>
              </w:rPr>
              <w:t>项必须提供）</w:t>
            </w:r>
          </w:p>
          <w:p w14:paraId="00F8C948">
            <w:pPr>
              <w:snapToGrid w:val="0"/>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供应商基本情况表</w:t>
            </w:r>
            <w:r>
              <w:rPr>
                <w:rFonts w:hint="eastAsia" w:ascii="宋体" w:hAnsi="宋体" w:cs="宋体"/>
                <w:color w:val="auto"/>
                <w:sz w:val="21"/>
                <w:szCs w:val="21"/>
                <w:lang w:val="en-US" w:eastAsia="zh-CN"/>
              </w:rPr>
              <w:t>（格式后附）</w:t>
            </w:r>
            <w:r>
              <w:rPr>
                <w:rFonts w:hint="eastAsia" w:ascii="宋体" w:hAnsi="宋体" w:eastAsia="宋体" w:cs="宋体"/>
                <w:color w:val="auto"/>
                <w:sz w:val="21"/>
                <w:szCs w:val="21"/>
                <w:lang w:val="en-US" w:eastAsia="zh-CN"/>
              </w:rPr>
              <w:t>（附有效的企业营业执照副本、企业资质证书副本和安全生产许可证副本</w:t>
            </w:r>
            <w:r>
              <w:rPr>
                <w:rFonts w:hint="eastAsia" w:ascii="宋体" w:hAnsi="宋体" w:cs="宋体"/>
                <w:color w:val="auto"/>
                <w:sz w:val="21"/>
                <w:szCs w:val="21"/>
                <w:lang w:val="en-US" w:eastAsia="zh-CN"/>
              </w:rPr>
              <w:t>复印件</w:t>
            </w:r>
            <w:r>
              <w:rPr>
                <w:rFonts w:hint="eastAsia" w:ascii="宋体" w:hAnsi="宋体" w:eastAsia="宋体" w:cs="宋体"/>
                <w:color w:val="auto"/>
                <w:sz w:val="21"/>
                <w:szCs w:val="21"/>
                <w:lang w:val="en-US" w:eastAsia="zh-CN"/>
              </w:rPr>
              <w:t>）；</w:t>
            </w:r>
          </w:p>
          <w:p w14:paraId="2CA23C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项目经理简历表；（附项目经理注册建造师执业资格证书和安全生产考核合格证书（B 类））；</w:t>
            </w:r>
          </w:p>
          <w:p w14:paraId="089E5A1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spacing w:val="0"/>
                <w:sz w:val="21"/>
                <w:szCs w:val="21"/>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专职安全员简历表（附专职安全员岗位证书及安全生产考核合格证书（C类））</w:t>
            </w:r>
            <w:r>
              <w:rPr>
                <w:rFonts w:hint="eastAsia" w:ascii="宋体" w:hAnsi="宋体" w:cs="宋体"/>
                <w:b w:val="0"/>
                <w:bCs w:val="0"/>
                <w:color w:val="auto"/>
                <w:kern w:val="2"/>
                <w:sz w:val="21"/>
                <w:szCs w:val="21"/>
                <w:lang w:val="en-US" w:eastAsia="zh-CN" w:bidi="ar-SA"/>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4.</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供应商财务状况报告[2024年年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7.</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r>
              <w:rPr>
                <w:rFonts w:hint="eastAsia" w:ascii="宋体" w:hAnsi="宋体" w:eastAsia="宋体" w:cs="宋体"/>
                <w:b w:val="0"/>
                <w:bCs w:val="0"/>
                <w:color w:val="auto"/>
                <w:kern w:val="2"/>
                <w:sz w:val="21"/>
                <w:szCs w:val="21"/>
                <w:lang w:val="en-US" w:eastAsia="zh-CN" w:bidi="ar-SA"/>
              </w:rPr>
              <w:t>竞标声明（格式后附）</w:t>
            </w:r>
            <w:r>
              <w:rPr>
                <w:rFonts w:hint="eastAsia" w:ascii="宋体" w:hAnsi="宋体" w:cs="宋体"/>
                <w:b w:val="0"/>
                <w:bCs w:val="0"/>
                <w:color w:val="auto"/>
                <w:kern w:val="2"/>
                <w:sz w:val="21"/>
                <w:szCs w:val="21"/>
                <w:lang w:val="en-US" w:eastAsia="zh-CN" w:bidi="ar-SA"/>
              </w:rPr>
              <w:t>；</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eastAsia="zh-CN"/>
              </w:rPr>
              <w:t>竞标</w:t>
            </w:r>
            <w:r>
              <w:rPr>
                <w:rFonts w:hint="eastAsia" w:ascii="宋体" w:hAnsi="宋体" w:eastAsia="宋体" w:cs="宋体"/>
              </w:rPr>
              <w:t>函；</w:t>
            </w:r>
          </w:p>
          <w:p w14:paraId="725C03BB">
            <w:pPr>
              <w:spacing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cs="宋体"/>
                <w:b w:val="0"/>
                <w:bCs w:val="0"/>
                <w:color w:val="auto"/>
                <w:kern w:val="2"/>
                <w:sz w:val="21"/>
                <w:szCs w:val="21"/>
                <w:lang w:val="en-US" w:eastAsia="zh-CN" w:bidi="ar-SA"/>
              </w:rPr>
              <w:t>.</w:t>
            </w:r>
            <w:r>
              <w:rPr>
                <w:rFonts w:hint="eastAsia" w:ascii="宋体" w:hAnsi="宋体" w:eastAsia="宋体" w:cs="宋体"/>
              </w:rPr>
              <w:t>己标价工程量清单</w:t>
            </w:r>
            <w:r>
              <w:rPr>
                <w:rFonts w:hint="eastAsia" w:ascii="宋体" w:hAnsi="宋体" w:eastAsia="宋体" w:cs="宋体"/>
                <w:lang w:eastAsia="zh-CN"/>
              </w:rPr>
              <w:t>；</w:t>
            </w:r>
          </w:p>
          <w:p w14:paraId="575CDD12">
            <w:pPr>
              <w:pStyle w:val="31"/>
              <w:rPr>
                <w:rFonts w:hint="eastAsia" w:eastAsia="宋体"/>
                <w:lang w:val="en-US" w:eastAsia="zh-CN"/>
              </w:rPr>
            </w:pPr>
            <w:r>
              <w:rPr>
                <w:rFonts w:hint="eastAsia" w:ascii="宋体" w:hAnsi="宋体" w:cs="宋体"/>
                <w:bCs w:val="0"/>
                <w:spacing w:val="0"/>
                <w:kern w:val="2"/>
                <w:sz w:val="21"/>
                <w:szCs w:val="24"/>
                <w:lang w:val="en-US" w:eastAsia="zh-CN" w:bidi="ar-SA"/>
              </w:rPr>
              <w:t>5.</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63F8D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5"/>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广西桂春工程项目管理咨询有限公司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highlight w:val="none"/>
                <w:u w:val="none"/>
              </w:rPr>
              <w:t>　</w:t>
            </w:r>
          </w:p>
          <w:p w14:paraId="72BF52C6">
            <w:pPr>
              <w:pStyle w:val="15"/>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5"/>
              <w:numPr>
                <w:ilvl w:val="0"/>
                <w:numId w:val="5"/>
              </w:numPr>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采购代理费收取标准：</w:t>
            </w:r>
            <w:r>
              <w:rPr>
                <w:rFonts w:hint="eastAsia" w:ascii="宋体" w:hAnsi="宋体" w:eastAsia="宋体" w:cs="宋体"/>
                <w:color w:val="auto"/>
                <w:sz w:val="21"/>
                <w:highlight w:val="none"/>
                <w:lang w:val="en-US" w:eastAsia="zh-CN"/>
              </w:rPr>
              <w:t>参照桂价费〔2011〕55号文件“工程类”收费标准采用差额定率累进法计算收取，</w:t>
            </w:r>
            <w:r>
              <w:rPr>
                <w:rFonts w:hint="eastAsia" w:ascii="宋体" w:hAnsi="宋体" w:eastAsia="宋体" w:cs="宋体"/>
                <w:color w:val="auto"/>
                <w:sz w:val="21"/>
                <w:lang w:val="en-US" w:eastAsia="zh-CN"/>
              </w:rPr>
              <w:t>其费率为：</w:t>
            </w:r>
            <w:r>
              <w:rPr>
                <w:rFonts w:hint="eastAsia" w:ascii="宋体" w:hAnsi="宋体" w:eastAsia="宋体" w:cs="宋体"/>
                <w:color w:val="auto"/>
                <w:sz w:val="21"/>
                <w:highlight w:val="none"/>
                <w:lang w:val="en-US" w:eastAsia="zh-CN"/>
              </w:rPr>
              <w:t>100万以下—1.0%，</w:t>
            </w:r>
            <w:r>
              <w:rPr>
                <w:rFonts w:hint="eastAsia" w:hAnsi="宋体" w:cs="宋体"/>
                <w:color w:val="auto"/>
                <w:sz w:val="21"/>
                <w:highlight w:val="none"/>
                <w:lang w:val="en-US" w:eastAsia="zh-CN"/>
              </w:rPr>
              <w:t>100万～500万</w:t>
            </w:r>
            <w:r>
              <w:rPr>
                <w:rFonts w:hint="eastAsia" w:ascii="宋体" w:hAnsi="宋体" w:eastAsia="宋体" w:cs="宋体"/>
                <w:color w:val="auto"/>
                <w:sz w:val="21"/>
                <w:highlight w:val="none"/>
                <w:lang w:val="en-US" w:eastAsia="zh-CN"/>
              </w:rPr>
              <w:t>元—0.7%，不足4000元人民币的按4000元人民币收取。</w:t>
            </w:r>
          </w:p>
          <w:p w14:paraId="02DE4A49">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广西桂春工程项目管理咨询有限公司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899329.50</w:t>
            </w:r>
            <w:r>
              <w:rPr>
                <w:rFonts w:hint="eastAsia" w:ascii="宋体" w:hAnsi="宋体" w:cs="宋体"/>
                <w:kern w:val="0"/>
                <w:szCs w:val="21"/>
                <w:highlight w:val="none"/>
              </w:rPr>
              <w:t>元；</w:t>
            </w:r>
            <w:bookmarkStart w:id="64" w:name="_Hlk193196347"/>
            <w:r>
              <w:rPr>
                <w:rFonts w:hint="eastAsia" w:ascii="宋体" w:hAnsi="宋体" w:cs="宋体"/>
                <w:kern w:val="0"/>
                <w:szCs w:val="21"/>
                <w:highlight w:val="none"/>
              </w:rPr>
              <w:t>中小企业预留份额：100%</w:t>
            </w:r>
            <w:bookmarkEnd w:id="64"/>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2.4“服务”是指除货物和工程以外的其他政府采购对象。</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5" w:name="_8.1提供相同品牌产品且通过资格审查、符合性审查的不同投标人参加同一合"/>
      <w:bookmarkEnd w:id="65"/>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5"/>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6" w:name="_Toc31759"/>
      <w:bookmarkStart w:id="67" w:name="_Toc207770846"/>
      <w:bookmarkStart w:id="68" w:name="_Toc206525693"/>
      <w:bookmarkStart w:id="69" w:name="_Toc185702560"/>
      <w:bookmarkStart w:id="70" w:name="_Toc486922967"/>
      <w:bookmarkStart w:id="71" w:name="_Toc486196150"/>
      <w:bookmarkStart w:id="72" w:name="_Toc239839874"/>
      <w:bookmarkStart w:id="73" w:name="_Toc230578068"/>
      <w:r>
        <w:rPr>
          <w:rFonts w:hint="eastAsia" w:ascii="宋体" w:hAnsi="宋体" w:eastAsia="宋体" w:cs="宋体"/>
          <w:b/>
          <w:bCs/>
          <w:color w:val="000000"/>
          <w:kern w:val="2"/>
          <w:sz w:val="21"/>
          <w:szCs w:val="20"/>
          <w:lang w:val="en-US" w:eastAsia="zh-CN" w:bidi="ar-SA"/>
        </w:rPr>
        <w:t>磋商报价</w:t>
      </w:r>
      <w:bookmarkEnd w:id="66"/>
      <w:bookmarkEnd w:id="67"/>
      <w:bookmarkEnd w:id="68"/>
      <w:bookmarkEnd w:id="69"/>
      <w:bookmarkEnd w:id="70"/>
      <w:bookmarkEnd w:id="71"/>
      <w:bookmarkEnd w:id="72"/>
      <w:bookmarkEnd w:id="73"/>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4" w:name="_Toc254970543"/>
      <w:bookmarkStart w:id="75" w:name="_Toc254970684"/>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4"/>
    <w:bookmarkEnd w:id="75"/>
    <w:p w14:paraId="379BC232">
      <w:pPr>
        <w:pStyle w:val="35"/>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6"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6"/>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5"/>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7"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7"/>
    </w:p>
    <w:p w14:paraId="079CEE48">
      <w:pPr>
        <w:pStyle w:val="21"/>
        <w:rPr>
          <w:rFonts w:hint="eastAsia"/>
        </w:rPr>
      </w:pPr>
      <w:r>
        <w:rPr>
          <w:rFonts w:hAnsi="宋体"/>
          <w:b/>
          <w:color w:val="000000"/>
        </w:rPr>
        <w:br w:type="page"/>
      </w:r>
      <w:bookmarkStart w:id="78" w:name="_Toc44229895"/>
      <w:bookmarkStart w:id="79"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2"/>
        <w:rPr>
          <w:rFonts w:hint="eastAsia"/>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1"/>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0" w:name="_Toc10843"/>
      <w:r>
        <w:rPr>
          <w:rFonts w:hint="eastAsia" w:ascii="宋体" w:hAnsi="宋体"/>
          <w:b/>
          <w:bCs/>
          <w:color w:val="000000"/>
          <w:sz w:val="32"/>
          <w:szCs w:val="32"/>
          <w:lang w:val="en-US" w:eastAsia="zh-CN"/>
        </w:rPr>
        <w:t>第三章采购需求</w:t>
      </w:r>
      <w:bookmarkEnd w:id="78"/>
      <w:bookmarkEnd w:id="79"/>
      <w:bookmarkEnd w:id="80"/>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p w14:paraId="575F55E5">
      <w:pPr>
        <w:pStyle w:val="31"/>
        <w:rPr>
          <w:rFonts w:hint="eastAsia"/>
          <w:lang w:val="en-US" w:eastAsia="zh-CN"/>
        </w:rPr>
      </w:pPr>
    </w:p>
    <w:tbl>
      <w:tblPr>
        <w:tblStyle w:val="24"/>
        <w:tblW w:w="9960" w:type="dxa"/>
        <w:tblInd w:w="108" w:type="dxa"/>
        <w:tblLayout w:type="fixed"/>
        <w:tblCellMar>
          <w:top w:w="0" w:type="dxa"/>
          <w:left w:w="108" w:type="dxa"/>
          <w:bottom w:w="0" w:type="dxa"/>
          <w:right w:w="108" w:type="dxa"/>
        </w:tblCellMar>
      </w:tblPr>
      <w:tblGrid>
        <w:gridCol w:w="1721"/>
        <w:gridCol w:w="1140"/>
        <w:gridCol w:w="7099"/>
      </w:tblGrid>
      <w:tr w14:paraId="538C0A1C">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64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标的名称</w:t>
            </w:r>
          </w:p>
        </w:tc>
        <w:tc>
          <w:tcPr>
            <w:tcW w:w="1140" w:type="dxa"/>
            <w:tcBorders>
              <w:top w:val="single" w:color="auto" w:sz="4" w:space="0"/>
              <w:left w:val="nil"/>
              <w:bottom w:val="single" w:color="auto" w:sz="4" w:space="0"/>
              <w:right w:val="single" w:color="auto" w:sz="4" w:space="0"/>
            </w:tcBorders>
            <w:shd w:val="clear" w:color="auto" w:fill="auto"/>
            <w:vAlign w:val="center"/>
          </w:tcPr>
          <w:p w14:paraId="596B0F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p w14:paraId="669BA2F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及单位</w:t>
            </w:r>
          </w:p>
        </w:tc>
        <w:tc>
          <w:tcPr>
            <w:tcW w:w="7099" w:type="dxa"/>
            <w:tcBorders>
              <w:top w:val="single" w:color="auto" w:sz="4" w:space="0"/>
              <w:left w:val="nil"/>
              <w:bottom w:val="single" w:color="auto" w:sz="4" w:space="0"/>
              <w:right w:val="single" w:color="auto" w:sz="4" w:space="0"/>
            </w:tcBorders>
            <w:shd w:val="clear" w:color="auto" w:fill="auto"/>
            <w:vAlign w:val="center"/>
          </w:tcPr>
          <w:p w14:paraId="5842CB67">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技术参数</w:t>
            </w:r>
            <w:r>
              <w:rPr>
                <w:rFonts w:hint="eastAsia" w:ascii="宋体" w:hAnsi="宋体" w:eastAsia="宋体" w:cs="宋体"/>
                <w:color w:val="000000"/>
                <w:kern w:val="0"/>
                <w:sz w:val="21"/>
                <w:szCs w:val="21"/>
                <w:lang w:val="en-US" w:eastAsia="zh-CN"/>
              </w:rPr>
              <w:t>及施工</w:t>
            </w:r>
          </w:p>
        </w:tc>
      </w:tr>
      <w:tr w14:paraId="1ED7097D">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5F3C3">
            <w:pPr>
              <w:jc w:val="center"/>
              <w:rPr>
                <w:rFonts w:hint="eastAsia" w:ascii="黑体" w:hAnsi="黑体" w:eastAsia="黑体" w:cs="黑体"/>
                <w:kern w:val="2"/>
                <w:sz w:val="40"/>
                <w:szCs w:val="40"/>
                <w:lang w:val="en-US" w:eastAsia="zh-CN" w:bidi="ar-SA"/>
              </w:rPr>
            </w:pPr>
            <w:r>
              <w:rPr>
                <w:rFonts w:hint="eastAsia" w:ascii="宋体" w:hAnsi="宋体" w:eastAsia="宋体" w:cs="宋体"/>
                <w:kern w:val="2"/>
                <w:sz w:val="21"/>
                <w:szCs w:val="21"/>
                <w:lang w:val="en-US" w:eastAsia="zh-CN" w:bidi="ar-SA"/>
              </w:rPr>
              <w:t>陆川县人民医院大桥镇大垌村原农商行办公楼改造装修为职工宿舍工程</w:t>
            </w:r>
          </w:p>
        </w:tc>
        <w:tc>
          <w:tcPr>
            <w:tcW w:w="1140" w:type="dxa"/>
            <w:tcBorders>
              <w:top w:val="single" w:color="auto" w:sz="4" w:space="0"/>
              <w:left w:val="nil"/>
              <w:bottom w:val="single" w:color="auto" w:sz="4" w:space="0"/>
              <w:right w:val="single" w:color="auto" w:sz="4" w:space="0"/>
            </w:tcBorders>
            <w:shd w:val="clear" w:color="auto" w:fill="auto"/>
            <w:vAlign w:val="center"/>
          </w:tcPr>
          <w:p w14:paraId="371BC021">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rPr>
              <w:t>　</w:t>
            </w:r>
          </w:p>
        </w:tc>
        <w:tc>
          <w:tcPr>
            <w:tcW w:w="7099" w:type="dxa"/>
            <w:tcBorders>
              <w:top w:val="single" w:color="auto" w:sz="4" w:space="0"/>
              <w:left w:val="nil"/>
              <w:bottom w:val="single" w:color="auto" w:sz="4" w:space="0"/>
              <w:right w:val="single" w:color="auto" w:sz="4" w:space="0"/>
            </w:tcBorders>
            <w:shd w:val="clear" w:color="auto" w:fill="auto"/>
            <w:vAlign w:val="center"/>
          </w:tcPr>
          <w:p w14:paraId="5B69A2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rPr>
            </w:pPr>
            <w:r>
              <w:rPr>
                <w:rFonts w:hint="eastAsia" w:asciiTheme="minorHAnsi" w:hAnsiTheme="minorHAnsi" w:eastAsiaTheme="minorEastAsia" w:cstheme="minorBidi"/>
                <w:kern w:val="2"/>
                <w:sz w:val="21"/>
                <w:szCs w:val="22"/>
                <w:lang w:val="en-US" w:eastAsia="zh-CN" w:bidi="ar-SA"/>
              </w:rPr>
              <w:t>一、功能与配置：</w:t>
            </w:r>
            <w:r>
              <w:rPr>
                <w:rFonts w:hint="eastAsia"/>
                <w:sz w:val="21"/>
              </w:rPr>
              <w:t xml:space="preserve">  本项目旨在对我院购置的位于陆川县大桥镇大垌村原农商行办公楼进行全面的改造与装修，将其改造为职工宿舍。此次改造工程主要聚焦于解决墙体开裂、屋顶漏水、管道老化以及线路陈旧等一系列问题，以营造一个安全、舒适的居住环境。</w:t>
            </w:r>
          </w:p>
          <w:p w14:paraId="313113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1"/>
              </w:rPr>
            </w:pPr>
            <w:r>
              <w:rPr>
                <w:rFonts w:hint="eastAsia"/>
                <w:sz w:val="21"/>
              </w:rPr>
              <w:t xml:space="preserve">  首先，对房屋的内墙进行全面重新粉刷，采用环保且耐用的涂料，以提升室内整体的视觉效果和居住品质。其次，将拆除室内陈旧、老化的装修部分，以此消除潜在的安全隐患，并为后续的改造工作创造良好的条件。再者，现有的破旧门窗将予以更换，采用密封性更好、更加美观的新型门窗，以增强房屋的保温与隔音效果。</w:t>
            </w:r>
          </w:p>
          <w:p w14:paraId="5799E2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1"/>
                <w:lang w:val="en-US" w:eastAsia="zh-CN"/>
              </w:rPr>
            </w:pPr>
            <w:r>
              <w:rPr>
                <w:rFonts w:hint="eastAsia"/>
                <w:sz w:val="21"/>
              </w:rPr>
              <w:t xml:space="preserve">  同时，针对室内空间布局进行重新规划，旨在打造一个更加符合现代居住和使用需求的空间。此外，本次改造工程还涵盖了给排水系统的优化、电气线路的全面更新、暖通设备的检修与更换，以及弱电系统的完善等全方位的装修工作。通过这些改造，不仅能解决现有的问题，还能提升宿舍的整体功能性与舒适度，为职工提供一个温馨、舒适的居住环境。</w:t>
            </w:r>
            <w:r>
              <w:rPr>
                <w:rFonts w:hint="eastAsia"/>
                <w:sz w:val="21"/>
                <w:lang w:val="en-US" w:eastAsia="zh-CN"/>
              </w:rPr>
              <w:t>（详见工程预算书及</w:t>
            </w:r>
            <w:r>
              <w:rPr>
                <w:rFonts w:hint="eastAsia"/>
                <w:sz w:val="21"/>
              </w:rPr>
              <w:t>工程建设相关资料</w:t>
            </w:r>
            <w:r>
              <w:rPr>
                <w:rFonts w:hint="eastAsia"/>
                <w:sz w:val="21"/>
                <w:lang w:eastAsia="zh-CN"/>
              </w:rPr>
              <w:t>）</w:t>
            </w:r>
          </w:p>
          <w:p w14:paraId="452444E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6" w:firstLineChars="203"/>
              <w:jc w:val="left"/>
              <w:textAlignment w:val="auto"/>
              <w:rPr>
                <w:rFonts w:hint="eastAsia"/>
                <w:lang w:eastAsia="zh-CN"/>
              </w:rPr>
            </w:pPr>
            <w:r>
              <w:rPr>
                <w:rFonts w:hint="eastAsia" w:cstheme="minorBidi"/>
                <w:kern w:val="2"/>
                <w:sz w:val="21"/>
                <w:szCs w:val="22"/>
                <w:lang w:val="en-US" w:eastAsia="zh-CN" w:bidi="ar-SA"/>
              </w:rPr>
              <w:t>二</w:t>
            </w:r>
            <w:r>
              <w:rPr>
                <w:rFonts w:hint="eastAsia" w:asciiTheme="minorHAnsi" w:hAnsiTheme="minorHAnsi" w:eastAsiaTheme="minorEastAsia" w:cstheme="minorBidi"/>
                <w:kern w:val="2"/>
                <w:sz w:val="21"/>
                <w:szCs w:val="22"/>
                <w:lang w:val="en-US" w:eastAsia="zh-CN" w:bidi="ar-SA"/>
              </w:rPr>
              <w:t>、</w:t>
            </w:r>
            <w:r>
              <w:rPr>
                <w:sz w:val="21"/>
              </w:rPr>
              <w:t>施工现场：</w:t>
            </w:r>
            <w:r>
              <w:rPr>
                <w:rFonts w:hint="eastAsia"/>
                <w:sz w:val="21"/>
                <w:lang w:eastAsia="zh-CN"/>
              </w:rPr>
              <w:t>建设方</w:t>
            </w:r>
            <w:r>
              <w:rPr>
                <w:sz w:val="21"/>
              </w:rPr>
              <w:t>按现状场地条件提供给</w:t>
            </w:r>
            <w:r>
              <w:rPr>
                <w:rFonts w:hint="eastAsia"/>
                <w:sz w:val="21"/>
                <w:lang w:eastAsia="zh-CN"/>
              </w:rPr>
              <w:t>施工方</w:t>
            </w:r>
            <w:r>
              <w:rPr>
                <w:sz w:val="21"/>
              </w:rPr>
              <w:t>，</w:t>
            </w:r>
            <w:r>
              <w:rPr>
                <w:rFonts w:hint="eastAsia"/>
                <w:sz w:val="21"/>
                <w:lang w:eastAsia="zh-CN"/>
              </w:rPr>
              <w:t>施工方</w:t>
            </w:r>
            <w:r>
              <w:rPr>
                <w:sz w:val="21"/>
              </w:rPr>
              <w:t>自行解决本工程临时用地（包括办公场所、生活场所、预制场地、加工场地、材料堆场、周转材堆场、机械设备存放场地等）。</w:t>
            </w:r>
          </w:p>
          <w:p w14:paraId="4EB4384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6" w:firstLineChars="203"/>
              <w:jc w:val="left"/>
              <w:textAlignment w:val="auto"/>
              <w:rPr>
                <w:rFonts w:hint="eastAsia"/>
                <w:lang w:eastAsia="zh-CN"/>
              </w:rPr>
            </w:pPr>
            <w:r>
              <w:rPr>
                <w:rFonts w:hint="eastAsia" w:cstheme="minorBidi"/>
                <w:kern w:val="2"/>
                <w:sz w:val="21"/>
                <w:szCs w:val="22"/>
                <w:lang w:val="en-US" w:eastAsia="zh-CN" w:bidi="ar-SA"/>
              </w:rPr>
              <w:t>三</w:t>
            </w:r>
            <w:r>
              <w:rPr>
                <w:rFonts w:hint="eastAsia" w:asciiTheme="minorHAnsi" w:hAnsiTheme="minorHAnsi" w:eastAsiaTheme="minorEastAsia" w:cstheme="minorBidi"/>
                <w:kern w:val="2"/>
                <w:sz w:val="21"/>
                <w:szCs w:val="22"/>
                <w:lang w:val="en-US" w:eastAsia="zh-CN" w:bidi="ar-SA"/>
              </w:rPr>
              <w:t>、</w:t>
            </w:r>
            <w:r>
              <w:rPr>
                <w:sz w:val="21"/>
              </w:rPr>
              <w:t>施工场内外道路及设施：</w:t>
            </w:r>
            <w:r>
              <w:rPr>
                <w:rFonts w:hint="eastAsia"/>
                <w:sz w:val="21"/>
                <w:lang w:eastAsia="zh-CN"/>
              </w:rPr>
              <w:t>建设方</w:t>
            </w:r>
            <w:r>
              <w:rPr>
                <w:sz w:val="21"/>
              </w:rPr>
              <w:t>按现状场地条件提供给</w:t>
            </w:r>
            <w:r>
              <w:rPr>
                <w:rFonts w:hint="eastAsia"/>
                <w:sz w:val="21"/>
                <w:lang w:eastAsia="zh-CN"/>
              </w:rPr>
              <w:t>施工方</w:t>
            </w:r>
            <w:r>
              <w:rPr>
                <w:sz w:val="21"/>
              </w:rPr>
              <w:t>，</w:t>
            </w:r>
            <w:r>
              <w:rPr>
                <w:rFonts w:hint="eastAsia"/>
                <w:sz w:val="21"/>
                <w:lang w:eastAsia="zh-CN"/>
              </w:rPr>
              <w:t>施工方</w:t>
            </w:r>
            <w:r>
              <w:rPr>
                <w:sz w:val="21"/>
              </w:rPr>
              <w:t>自行修建本工程施工所需的场内外道路及设施，并按要求办理出入施工场地的道路通行权</w:t>
            </w:r>
          </w:p>
          <w:p w14:paraId="278C416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6" w:firstLineChars="203"/>
              <w:jc w:val="left"/>
              <w:textAlignment w:val="auto"/>
              <w:rPr>
                <w:rFonts w:hint="eastAsia"/>
                <w:lang w:eastAsia="zh-CN"/>
              </w:rPr>
            </w:pPr>
            <w:r>
              <w:rPr>
                <w:rFonts w:hint="eastAsia" w:cstheme="minorBidi"/>
                <w:kern w:val="2"/>
                <w:sz w:val="21"/>
                <w:szCs w:val="22"/>
                <w:lang w:val="en-US" w:eastAsia="zh-CN" w:bidi="ar-SA"/>
              </w:rPr>
              <w:t>四</w:t>
            </w:r>
            <w:r>
              <w:rPr>
                <w:rFonts w:hint="eastAsia" w:asciiTheme="minorHAnsi" w:hAnsiTheme="minorHAnsi" w:eastAsiaTheme="minorEastAsia" w:cstheme="minorBidi"/>
                <w:kern w:val="2"/>
                <w:sz w:val="21"/>
                <w:szCs w:val="22"/>
                <w:lang w:val="en-US" w:eastAsia="zh-CN" w:bidi="ar-SA"/>
              </w:rPr>
              <w:t>、</w:t>
            </w:r>
            <w:r>
              <w:rPr>
                <w:sz w:val="21"/>
              </w:rPr>
              <w:t>施工场地水、电、通讯线路接驳及铺设：</w:t>
            </w:r>
            <w:r>
              <w:rPr>
                <w:rFonts w:hint="eastAsia"/>
                <w:sz w:val="21"/>
                <w:lang w:eastAsia="zh-CN"/>
              </w:rPr>
              <w:t>建设方</w:t>
            </w:r>
            <w:r>
              <w:rPr>
                <w:sz w:val="21"/>
              </w:rPr>
              <w:t>就近指定水、电、通讯线路的接驳地点，施工用水、用电、通讯设施及符合安全等相关管理规定的接驳线路由</w:t>
            </w:r>
            <w:r>
              <w:rPr>
                <w:rFonts w:hint="eastAsia"/>
                <w:sz w:val="21"/>
                <w:lang w:eastAsia="zh-CN"/>
              </w:rPr>
              <w:t>施工方</w:t>
            </w:r>
            <w:r>
              <w:rPr>
                <w:sz w:val="21"/>
              </w:rPr>
              <w:t>自行负责，并自行完成相关管线的铺设。</w:t>
            </w:r>
          </w:p>
          <w:p w14:paraId="291C921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6" w:firstLineChars="203"/>
              <w:jc w:val="left"/>
              <w:textAlignment w:val="auto"/>
              <w:rPr>
                <w:rFonts w:hint="eastAsia"/>
                <w:lang w:eastAsia="zh-CN"/>
              </w:rPr>
            </w:pPr>
            <w:r>
              <w:rPr>
                <w:rFonts w:hint="eastAsia" w:cstheme="minorBidi"/>
                <w:kern w:val="2"/>
                <w:sz w:val="21"/>
                <w:szCs w:val="22"/>
                <w:lang w:val="en-US" w:eastAsia="zh-CN" w:bidi="ar-SA"/>
              </w:rPr>
              <w:t>五</w:t>
            </w:r>
            <w:r>
              <w:rPr>
                <w:rFonts w:hint="eastAsia" w:asciiTheme="minorHAnsi" w:hAnsiTheme="minorHAnsi" w:eastAsiaTheme="minorEastAsia" w:cstheme="minorBidi"/>
                <w:kern w:val="2"/>
                <w:sz w:val="21"/>
                <w:szCs w:val="22"/>
                <w:lang w:val="en-US" w:eastAsia="zh-CN" w:bidi="ar-SA"/>
              </w:rPr>
              <w:t>、</w:t>
            </w:r>
            <w:r>
              <w:rPr>
                <w:sz w:val="21"/>
              </w:rPr>
              <w:t>施工要求：严格按照</w:t>
            </w:r>
            <w:r>
              <w:rPr>
                <w:rFonts w:hint="eastAsia"/>
                <w:sz w:val="21"/>
                <w:lang w:eastAsia="zh-CN"/>
              </w:rPr>
              <w:t>建设方</w:t>
            </w:r>
            <w:r>
              <w:rPr>
                <w:sz w:val="21"/>
              </w:rPr>
              <w:t>提供的工程资料、工程量清单及国家、地区、行业现行的施工标准，验收规范进行施工，工程竣工验收需达到国家有关施工质量验收规范的合格标准，且通过相关主管部门竣工验收合格</w:t>
            </w:r>
          </w:p>
          <w:p w14:paraId="0E2157D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安全文明施工：</w:t>
            </w:r>
          </w:p>
          <w:p w14:paraId="7F91690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（1）施工期间须按国家规范要求设置足够警示标志及防护标志，如因施工而引起的交通事故或安全事故责任和因此发生的费用，由</w:t>
            </w:r>
            <w:r>
              <w:rPr>
                <w:rFonts w:hint="eastAsia"/>
                <w:sz w:val="21"/>
                <w:lang w:eastAsia="zh-CN"/>
              </w:rPr>
              <w:t>施工方</w:t>
            </w:r>
            <w:r>
              <w:rPr>
                <w:sz w:val="21"/>
              </w:rPr>
              <w:t>负责。发生事故的风险费用，由</w:t>
            </w:r>
            <w:r>
              <w:rPr>
                <w:rFonts w:hint="eastAsia"/>
                <w:sz w:val="21"/>
                <w:lang w:eastAsia="zh-CN"/>
              </w:rPr>
              <w:t>施工方</w:t>
            </w:r>
            <w:r>
              <w:rPr>
                <w:sz w:val="21"/>
              </w:rPr>
              <w:t>在投标报价中予以考虑。</w:t>
            </w:r>
          </w:p>
          <w:p w14:paraId="7E96168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（2）安全文明施工要求：</w:t>
            </w:r>
          </w:p>
          <w:p w14:paraId="0D5BA1E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①施工期间须按国家规范要求设置足够警示标志及防护标志，如因施工而引起的交通事故或安全事故责任和因此发生的费用，由</w:t>
            </w:r>
            <w:r>
              <w:rPr>
                <w:rFonts w:hint="eastAsia"/>
                <w:sz w:val="21"/>
                <w:lang w:eastAsia="zh-CN"/>
              </w:rPr>
              <w:t>施工方</w:t>
            </w:r>
            <w:r>
              <w:rPr>
                <w:sz w:val="21"/>
              </w:rPr>
              <w:t>负责发生事故的风险费用。</w:t>
            </w:r>
          </w:p>
          <w:p w14:paraId="661541A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②应严格按照有关要求做好安全防护和文明施工措施，施工围蔽必须按照</w:t>
            </w:r>
            <w:r>
              <w:rPr>
                <w:rFonts w:hint="eastAsia"/>
                <w:sz w:val="21"/>
                <w:lang w:eastAsia="zh-CN"/>
              </w:rPr>
              <w:t>建设方</w:t>
            </w:r>
            <w:r>
              <w:rPr>
                <w:sz w:val="21"/>
              </w:rPr>
              <w:t>要求设置。</w:t>
            </w:r>
          </w:p>
          <w:p w14:paraId="7ED231D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③为加强落实“安全文明施工”，若</w:t>
            </w:r>
            <w:r>
              <w:rPr>
                <w:rFonts w:hint="eastAsia"/>
                <w:sz w:val="21"/>
                <w:lang w:eastAsia="zh-CN"/>
              </w:rPr>
              <w:t>施工方</w:t>
            </w:r>
            <w:r>
              <w:rPr>
                <w:sz w:val="21"/>
              </w:rPr>
              <w:t>所采取的措施不能满足“安全文明施工”的需要，</w:t>
            </w:r>
            <w:r>
              <w:rPr>
                <w:rFonts w:hint="eastAsia"/>
                <w:sz w:val="21"/>
                <w:lang w:eastAsia="zh-CN"/>
              </w:rPr>
              <w:t>建设方</w:t>
            </w:r>
            <w:r>
              <w:rPr>
                <w:sz w:val="21"/>
              </w:rPr>
              <w:t xml:space="preserve">有权指令其进一步采取补救或纠正措施，在规定时间内没有按要求完成， </w:t>
            </w:r>
            <w:r>
              <w:rPr>
                <w:rFonts w:hint="eastAsia"/>
                <w:sz w:val="21"/>
                <w:lang w:eastAsia="zh-CN"/>
              </w:rPr>
              <w:t>建设方</w:t>
            </w:r>
            <w:r>
              <w:rPr>
                <w:sz w:val="21"/>
              </w:rPr>
              <w:t>有权委托第三方实施，全部费用由</w:t>
            </w:r>
            <w:r>
              <w:rPr>
                <w:rFonts w:hint="eastAsia"/>
                <w:sz w:val="21"/>
                <w:lang w:eastAsia="zh-CN"/>
              </w:rPr>
              <w:t>施工方</w:t>
            </w:r>
            <w:r>
              <w:rPr>
                <w:sz w:val="21"/>
              </w:rPr>
              <w:t>承担并在进度款扣除。</w:t>
            </w:r>
          </w:p>
          <w:p w14:paraId="51DBD33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（3）安全文明施工责任：</w:t>
            </w:r>
          </w:p>
          <w:p w14:paraId="0CF8A30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①</w:t>
            </w:r>
            <w:r>
              <w:rPr>
                <w:rFonts w:hint="eastAsia"/>
                <w:sz w:val="21"/>
                <w:lang w:eastAsia="zh-CN"/>
              </w:rPr>
              <w:t>施工</w:t>
            </w:r>
            <w:r>
              <w:rPr>
                <w:sz w:val="21"/>
              </w:rPr>
              <w:t>方应按工程施工现场管理规定及</w:t>
            </w:r>
            <w:r>
              <w:rPr>
                <w:rFonts w:hint="eastAsia"/>
                <w:sz w:val="21"/>
                <w:lang w:eastAsia="zh-CN"/>
              </w:rPr>
              <w:t>建设方</w:t>
            </w:r>
            <w:r>
              <w:rPr>
                <w:sz w:val="21"/>
              </w:rPr>
              <w:t>统一管理制度的规定，精心组织、文明安全施工；</w:t>
            </w:r>
            <w:r>
              <w:rPr>
                <w:rFonts w:hint="eastAsia"/>
                <w:sz w:val="21"/>
                <w:lang w:eastAsia="zh-CN"/>
              </w:rPr>
              <w:t>建设方</w:t>
            </w:r>
            <w:r>
              <w:rPr>
                <w:sz w:val="21"/>
              </w:rPr>
              <w:t>对</w:t>
            </w:r>
            <w:r>
              <w:rPr>
                <w:rFonts w:hint="eastAsia"/>
                <w:sz w:val="21"/>
                <w:lang w:eastAsia="zh-CN"/>
              </w:rPr>
              <w:t>施工</w:t>
            </w:r>
            <w:r>
              <w:rPr>
                <w:sz w:val="21"/>
              </w:rPr>
              <w:t>方任何违反现场管理制度的行为均有权予以制止，直至罚款和解除合同。</w:t>
            </w:r>
          </w:p>
          <w:p w14:paraId="74BC870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②</w:t>
            </w:r>
            <w:r>
              <w:rPr>
                <w:rFonts w:hint="eastAsia"/>
                <w:sz w:val="21"/>
                <w:lang w:eastAsia="zh-CN"/>
              </w:rPr>
              <w:t>施工</w:t>
            </w:r>
            <w:r>
              <w:rPr>
                <w:sz w:val="21"/>
              </w:rPr>
              <w:t>方在施工过程中发生的一切安全事故、质量事故均由</w:t>
            </w:r>
            <w:r>
              <w:rPr>
                <w:rFonts w:hint="eastAsia"/>
                <w:sz w:val="21"/>
                <w:lang w:eastAsia="zh-CN"/>
              </w:rPr>
              <w:t>施工</w:t>
            </w:r>
            <w:r>
              <w:rPr>
                <w:sz w:val="21"/>
              </w:rPr>
              <w:t>方自行负责并承担相应的经济责任、法律责任及相应的一切经济赔偿。</w:t>
            </w:r>
          </w:p>
          <w:p w14:paraId="03D09F1D">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rPr>
                <w:rFonts w:hint="eastAsia"/>
                <w:lang w:eastAsia="zh-CN"/>
              </w:rPr>
            </w:pPr>
            <w:r>
              <w:rPr>
                <w:sz w:val="21"/>
              </w:rPr>
              <w:t>（4）为加强落实“安全文明施工”，若</w:t>
            </w:r>
            <w:r>
              <w:rPr>
                <w:rFonts w:hint="eastAsia"/>
                <w:sz w:val="21"/>
                <w:lang w:eastAsia="zh-CN"/>
              </w:rPr>
              <w:t>施工方</w:t>
            </w:r>
            <w:r>
              <w:rPr>
                <w:sz w:val="21"/>
              </w:rPr>
              <w:t>所采取的措施不能满足“安全文明施工”的需要，</w:t>
            </w:r>
            <w:r>
              <w:rPr>
                <w:rFonts w:hint="eastAsia"/>
                <w:sz w:val="21"/>
                <w:lang w:eastAsia="zh-CN"/>
              </w:rPr>
              <w:t>建设方</w:t>
            </w:r>
            <w:r>
              <w:rPr>
                <w:sz w:val="21"/>
              </w:rPr>
              <w:t>有权指令其进一步采取补救或纠正措施，在规定时间内没有按要求完成，</w:t>
            </w:r>
            <w:r>
              <w:rPr>
                <w:rFonts w:hint="eastAsia"/>
                <w:sz w:val="21"/>
                <w:lang w:eastAsia="zh-CN"/>
              </w:rPr>
              <w:t>建设方</w:t>
            </w:r>
            <w:r>
              <w:rPr>
                <w:sz w:val="21"/>
              </w:rPr>
              <w:t>有权委托第三方实施，全部费用由</w:t>
            </w:r>
            <w:r>
              <w:rPr>
                <w:rFonts w:hint="eastAsia"/>
                <w:sz w:val="21"/>
                <w:lang w:eastAsia="zh-CN"/>
              </w:rPr>
              <w:t>施工方</w:t>
            </w:r>
            <w:r>
              <w:rPr>
                <w:sz w:val="21"/>
              </w:rPr>
              <w:t>承担并在进度款扣除。</w:t>
            </w:r>
          </w:p>
          <w:p w14:paraId="400D3B1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材料和工程设备</w:t>
            </w:r>
          </w:p>
          <w:p w14:paraId="4AAB5F1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pPr>
            <w:r>
              <w:rPr>
                <w:sz w:val="21"/>
              </w:rPr>
              <w:t>（1）</w:t>
            </w:r>
            <w:r>
              <w:rPr>
                <w:rFonts w:hint="eastAsia"/>
                <w:sz w:val="21"/>
                <w:lang w:eastAsia="zh-CN"/>
              </w:rPr>
              <w:t>施工方</w:t>
            </w:r>
            <w:r>
              <w:rPr>
                <w:sz w:val="21"/>
              </w:rPr>
              <w:t>所投入本项目的施工材料及设备均需采用优等品且质量符合国家或行业标准。</w:t>
            </w:r>
          </w:p>
          <w:p w14:paraId="193DB2FE">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8" w:firstLineChars="204"/>
              <w:jc w:val="left"/>
              <w:textAlignment w:val="auto"/>
              <w:rPr>
                <w:rFonts w:hint="eastAsia" w:ascii="等线" w:hAnsi="等线" w:eastAsia="等线" w:cs="宋体"/>
                <w:color w:val="000000"/>
                <w:kern w:val="0"/>
                <w:sz w:val="22"/>
              </w:rPr>
            </w:pPr>
            <w:r>
              <w:rPr>
                <w:sz w:val="21"/>
              </w:rPr>
              <w:t>（2）</w:t>
            </w:r>
            <w:r>
              <w:rPr>
                <w:rFonts w:hint="eastAsia"/>
                <w:sz w:val="21"/>
                <w:lang w:eastAsia="zh-CN"/>
              </w:rPr>
              <w:t>施工方</w:t>
            </w:r>
            <w:r>
              <w:rPr>
                <w:sz w:val="21"/>
              </w:rPr>
              <w:t>采购设备材料前应会同</w:t>
            </w:r>
            <w:r>
              <w:rPr>
                <w:rFonts w:hint="eastAsia"/>
                <w:sz w:val="21"/>
                <w:lang w:eastAsia="zh-CN"/>
              </w:rPr>
              <w:t>建设方</w:t>
            </w:r>
            <w:r>
              <w:rPr>
                <w:sz w:val="21"/>
              </w:rPr>
              <w:t>、监理工程师对材料设备</w:t>
            </w:r>
            <w:r>
              <w:rPr>
                <w:rFonts w:hint="eastAsia"/>
                <w:sz w:val="21"/>
                <w:lang w:eastAsia="zh-CN"/>
              </w:rPr>
              <w:t>施工方</w:t>
            </w:r>
            <w:r>
              <w:rPr>
                <w:sz w:val="21"/>
              </w:rPr>
              <w:t>进行规模、质量、产能条件考察，在取得</w:t>
            </w:r>
            <w:r>
              <w:rPr>
                <w:rFonts w:hint="eastAsia"/>
                <w:sz w:val="21"/>
                <w:lang w:eastAsia="zh-CN"/>
              </w:rPr>
              <w:t>建设方</w:t>
            </w:r>
            <w:r>
              <w:rPr>
                <w:sz w:val="21"/>
              </w:rPr>
              <w:t>确认后，</w:t>
            </w:r>
            <w:r>
              <w:rPr>
                <w:rFonts w:hint="eastAsia"/>
                <w:sz w:val="21"/>
                <w:lang w:eastAsia="zh-CN"/>
              </w:rPr>
              <w:t>施工方</w:t>
            </w:r>
            <w:r>
              <w:rPr>
                <w:sz w:val="21"/>
              </w:rPr>
              <w:t>应在采购前向监理工程师提交包括营业执照或生产许可证书、产品合格证、检验报告进行</w:t>
            </w:r>
            <w:r>
              <w:rPr>
                <w:rFonts w:hint="eastAsia"/>
                <w:sz w:val="21"/>
                <w:lang w:eastAsia="zh-CN"/>
              </w:rPr>
              <w:t>施工方</w:t>
            </w:r>
            <w:r>
              <w:rPr>
                <w:sz w:val="21"/>
              </w:rPr>
              <w:t>资格审查，经批准后，</w:t>
            </w:r>
            <w:r>
              <w:rPr>
                <w:rFonts w:hint="eastAsia"/>
                <w:sz w:val="21"/>
                <w:lang w:eastAsia="zh-CN"/>
              </w:rPr>
              <w:t>施工方</w:t>
            </w:r>
            <w:r>
              <w:rPr>
                <w:sz w:val="21"/>
              </w:rPr>
              <w:t>并提交材料设备样板给</w:t>
            </w:r>
            <w:r>
              <w:rPr>
                <w:rFonts w:hint="eastAsia"/>
                <w:sz w:val="21"/>
                <w:lang w:eastAsia="zh-CN"/>
              </w:rPr>
              <w:t>建设方</w:t>
            </w:r>
            <w:r>
              <w:rPr>
                <w:sz w:val="21"/>
              </w:rPr>
              <w:t>封板。</w:t>
            </w:r>
            <w:r>
              <w:rPr>
                <w:rFonts w:hint="eastAsia"/>
                <w:sz w:val="21"/>
                <w:lang w:eastAsia="zh-CN"/>
              </w:rPr>
              <w:t>施工方</w:t>
            </w:r>
            <w:r>
              <w:rPr>
                <w:sz w:val="21"/>
              </w:rPr>
              <w:t>采购材料和设备由其自行负责运输和保管。</w:t>
            </w:r>
          </w:p>
        </w:tc>
      </w:tr>
      <w:tr w14:paraId="43A8D699">
        <w:tblPrEx>
          <w:tblCellMar>
            <w:top w:w="0" w:type="dxa"/>
            <w:left w:w="108" w:type="dxa"/>
            <w:bottom w:w="0" w:type="dxa"/>
            <w:right w:w="108" w:type="dxa"/>
          </w:tblCellMar>
        </w:tblPrEx>
        <w:trPr>
          <w:trHeight w:val="540" w:hRule="atLeast"/>
        </w:trPr>
        <w:tc>
          <w:tcPr>
            <w:tcW w:w="99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FF2B64">
            <w:pPr>
              <w:widowControl/>
              <w:jc w:val="left"/>
              <w:rPr>
                <w:rFonts w:hint="eastAsia" w:ascii="等线" w:hAnsi="等线" w:eastAsia="等线" w:cs="宋体"/>
                <w:color w:val="000000"/>
                <w:kern w:val="0"/>
                <w:sz w:val="22"/>
              </w:rPr>
            </w:pPr>
            <w:r>
              <w:rPr>
                <w:rFonts w:hint="eastAsia" w:ascii="宋体" w:hAnsi="宋体" w:eastAsia="宋体" w:cs="宋体"/>
                <w:color w:val="000000"/>
                <w:kern w:val="0"/>
                <w:sz w:val="21"/>
                <w:szCs w:val="21"/>
              </w:rPr>
              <w:t>商务条款</w:t>
            </w:r>
          </w:p>
        </w:tc>
      </w:tr>
      <w:tr w14:paraId="665DC0FF">
        <w:tblPrEx>
          <w:tblCellMar>
            <w:top w:w="0" w:type="dxa"/>
            <w:left w:w="108" w:type="dxa"/>
            <w:bottom w:w="0" w:type="dxa"/>
            <w:right w:w="108" w:type="dxa"/>
          </w:tblCellMar>
        </w:tblPrEx>
        <w:trPr>
          <w:trHeight w:val="8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DBA7D60">
            <w:pPr>
              <w:widowControl/>
              <w:jc w:val="center"/>
              <w:rPr>
                <w:rFonts w:hint="eastAsia" w:ascii="等线" w:hAnsi="等线" w:eastAsia="等线" w:cs="宋体"/>
                <w:color w:val="000000"/>
                <w:kern w:val="0"/>
                <w:sz w:val="22"/>
              </w:rPr>
            </w:pPr>
            <w:r>
              <w:rPr>
                <w:rFonts w:hint="eastAsia" w:ascii="宋体" w:hAnsi="宋体" w:eastAsia="宋体" w:cs="宋体"/>
                <w:color w:val="000000"/>
                <w:kern w:val="0"/>
                <w:sz w:val="21"/>
                <w:szCs w:val="21"/>
              </w:rPr>
              <w:t>报价要求</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14F53CA6">
            <w:pPr>
              <w:widowControl/>
              <w:jc w:val="left"/>
              <w:rPr>
                <w:rFonts w:hint="default" w:ascii="等线" w:hAnsi="等线" w:eastAsia="等线" w:cs="宋体"/>
                <w:color w:val="000000"/>
                <w:kern w:val="0"/>
                <w:sz w:val="22"/>
                <w:lang w:val="en-US" w:eastAsia="zh-CN"/>
              </w:rPr>
            </w:pPr>
            <w:r>
              <w:rPr>
                <w:rFonts w:hint="eastAsia" w:ascii="宋体" w:hAnsi="宋体" w:eastAsia="宋体" w:cs="宋体"/>
                <w:color w:val="auto"/>
                <w:kern w:val="0"/>
                <w:sz w:val="21"/>
                <w:szCs w:val="21"/>
                <w:lang w:val="en-US" w:eastAsia="zh-CN"/>
              </w:rPr>
              <w:t>项目工程所需的材料采购、设备租赁、施工搭建、工程包装（如必要的防护包装）、材料及设备运输、工程保险、各项税费、工程安装调试、施工人员培训、技术服务（包括完整的技术资料）、质保期内的维护保障、工程验收等所有相关服务的费用。若施工单位认为有其他开展项目工程必需的费用未在本文件中列出，也应包含在总报价内。合同执行期间，建设单位将不支付未列入总报价的任何项目费用，且视为这些费用已包含在施工单位的响应报价中。</w:t>
            </w:r>
          </w:p>
        </w:tc>
      </w:tr>
      <w:tr w14:paraId="4D5BC86D">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A8D17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工期</w:t>
            </w:r>
            <w:r>
              <w:rPr>
                <w:rFonts w:hint="eastAsia" w:ascii="宋体" w:hAnsi="宋体" w:eastAsia="宋体" w:cs="宋体"/>
                <w:color w:val="000000"/>
                <w:kern w:val="0"/>
                <w:sz w:val="21"/>
                <w:szCs w:val="21"/>
              </w:rPr>
              <w:t>时间</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6CA658E8">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签合同之日起90日历天</w:t>
            </w:r>
          </w:p>
        </w:tc>
      </w:tr>
      <w:tr w14:paraId="016533CD">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300796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施工</w:t>
            </w:r>
            <w:r>
              <w:rPr>
                <w:rFonts w:hint="eastAsia" w:ascii="宋体" w:hAnsi="宋体" w:eastAsia="宋体" w:cs="宋体"/>
                <w:color w:val="000000"/>
                <w:kern w:val="0"/>
                <w:sz w:val="21"/>
                <w:szCs w:val="21"/>
                <w:highlight w:val="none"/>
              </w:rPr>
              <w:t>地点</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1146A097">
            <w:pPr>
              <w:widowControl/>
              <w:jc w:val="left"/>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陆川县精神病专科医院内</w:t>
            </w:r>
          </w:p>
        </w:tc>
      </w:tr>
      <w:tr w14:paraId="56373828">
        <w:tblPrEx>
          <w:tblCellMar>
            <w:top w:w="0" w:type="dxa"/>
            <w:left w:w="108" w:type="dxa"/>
            <w:bottom w:w="0" w:type="dxa"/>
            <w:right w:w="108" w:type="dxa"/>
          </w:tblCellMar>
        </w:tblPrEx>
        <w:trPr>
          <w:trHeight w:val="9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5492497">
            <w:pPr>
              <w:widowControl/>
              <w:jc w:val="center"/>
              <w:rPr>
                <w:rFonts w:hint="eastAsia" w:ascii="等线" w:hAnsi="等线" w:eastAsia="等线" w:cs="宋体"/>
                <w:color w:val="000000"/>
                <w:kern w:val="0"/>
                <w:sz w:val="22"/>
                <w:highlight w:val="none"/>
              </w:rPr>
            </w:pPr>
            <w:r>
              <w:rPr>
                <w:rFonts w:hint="eastAsia" w:ascii="宋体" w:hAnsi="宋体" w:eastAsia="宋体" w:cs="宋体"/>
                <w:color w:val="000000"/>
                <w:kern w:val="0"/>
                <w:sz w:val="21"/>
                <w:szCs w:val="21"/>
                <w:highlight w:val="none"/>
              </w:rPr>
              <w:t>付款方式</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5E17928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等线" w:hAnsi="等线" w:eastAsia="等线" w:cs="宋体"/>
                <w:color w:val="000000"/>
                <w:kern w:val="0"/>
                <w:sz w:val="22"/>
                <w:highlight w:val="none"/>
              </w:rPr>
            </w:pPr>
            <w:r>
              <w:rPr>
                <w:rFonts w:hint="eastAsia" w:ascii="宋体" w:hAnsi="宋体" w:eastAsia="宋体" w:cs="宋体"/>
                <w:color w:val="auto"/>
                <w:szCs w:val="21"/>
                <w:highlight w:val="none"/>
                <w:lang w:eastAsia="zh-CN"/>
              </w:rPr>
              <w:t>在签订合同开工后15天内支付合同总额的30%，工程竣工验收合格通过后，支付至合同总金额的97%，剩余3%作为质保金，质保期满后，经</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人书面申请，在15个工作日内支付。</w:t>
            </w:r>
          </w:p>
        </w:tc>
      </w:tr>
      <w:tr w14:paraId="1BEAAB08">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C3C5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缺陷责任期</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16A9A03A">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12个月</w:t>
            </w:r>
          </w:p>
        </w:tc>
      </w:tr>
      <w:tr w14:paraId="2F6E3C75">
        <w:tblPrEx>
          <w:tblCellMar>
            <w:top w:w="0" w:type="dxa"/>
            <w:left w:w="108" w:type="dxa"/>
            <w:bottom w:w="0" w:type="dxa"/>
            <w:right w:w="108" w:type="dxa"/>
          </w:tblCellMar>
        </w:tblPrEx>
        <w:trPr>
          <w:trHeight w:val="893"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E792D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售后服务</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72D5F861">
            <w:pPr>
              <w:spacing w:line="380" w:lineRule="exact"/>
              <w:ind w:left="-1"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工程类质保是指在工程项目竣工验收后，承包商向业主提供的一定期限内的质量保证。这一期间内，承包商将负责修复或替换因设计、施工或材料等原因引起的缺陷或故障，以确保工程项目达到合同约定的技术要求和质量标准。以下是一般情况下的工程类质保标准：</w:t>
            </w:r>
          </w:p>
          <w:p w14:paraId="6320C4B9">
            <w:pPr>
              <w:spacing w:line="380" w:lineRule="exact"/>
              <w:ind w:left="-1"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 保修期限：通常工程类质保标准规定了一定的保修期限，例如12个月或24个月。在这段时间内，承包商对工程项目的质量负责，并承担相应的维修责任。</w:t>
            </w:r>
          </w:p>
          <w:p w14:paraId="5499042D">
            <w:pPr>
              <w:spacing w:line="380" w:lineRule="exact"/>
              <w:ind w:left="-1"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 维修责任：在保修期内，如果工程项目出现因承包商的设计、施工或材料等原因引起的缺陷或故障，承包商有责任及时进行维修、修补或更换，并承担相应的费用。</w:t>
            </w:r>
          </w:p>
          <w:p w14:paraId="3845C3C2">
            <w:pPr>
              <w:spacing w:line="380" w:lineRule="exact"/>
              <w:ind w:left="-1"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3. 质保范围：质保标准通常明确规定了质保范围，即需要承包商负责修复的具体问题和缺陷类型。这可能包括结构性问题、设备故障、材料质量问题等。</w:t>
            </w:r>
          </w:p>
          <w:p w14:paraId="1C6D650E">
            <w:pPr>
              <w:spacing w:line="380" w:lineRule="exact"/>
              <w:ind w:left="-1"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4. 协议约定：具体的质保标准和要求会在合同中明确约定，例如在施工合同、质量保证书或质保协议中列出。这些文件详细规定了双方之间的权利和义务，以确保工程项目的质量。</w:t>
            </w:r>
          </w:p>
          <w:p w14:paraId="386AD16F">
            <w:pPr>
              <w:spacing w:line="380" w:lineRule="exact"/>
              <w:ind w:left="-1"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rPr>
              <w:t>5. 异常情况：质保标准还可能涉及到在特殊情况下的责任范围和补偿安排，例如自然灾害、意外事故等。</w:t>
            </w:r>
          </w:p>
        </w:tc>
      </w:tr>
      <w:tr w14:paraId="5D0B7B1A">
        <w:tblPrEx>
          <w:tblCellMar>
            <w:top w:w="0" w:type="dxa"/>
            <w:left w:w="108" w:type="dxa"/>
            <w:bottom w:w="0" w:type="dxa"/>
            <w:right w:w="108" w:type="dxa"/>
          </w:tblCellMar>
        </w:tblPrEx>
        <w:trPr>
          <w:trHeight w:val="965"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1F877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验收标准及要求</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2D8633DB">
            <w:pPr>
              <w:spacing w:line="380" w:lineRule="exact"/>
              <w:ind w:left="0" w:leftChars="0" w:hanging="10" w:firstLineChars="0"/>
              <w:rPr>
                <w:rFonts w:hint="eastAsia" w:ascii="宋体" w:hAnsi="宋体" w:eastAsia="宋体" w:cs="宋体"/>
                <w:b w:val="0"/>
                <w:bCs/>
                <w:sz w:val="21"/>
                <w:szCs w:val="21"/>
              </w:rPr>
            </w:pPr>
            <w:r>
              <w:rPr>
                <w:rFonts w:hint="eastAsia" w:ascii="宋体" w:hAnsi="宋体" w:eastAsia="宋体" w:cs="宋体"/>
                <w:b w:val="0"/>
                <w:bCs/>
                <w:sz w:val="21"/>
                <w:szCs w:val="21"/>
              </w:rPr>
              <w:t>验收标准和要求的具体内容会根据不同的工程项目和合同约定而有所差异。在验收过程中，通常由业主或委托的第三方机构对工程项目进行评估和验收，并出具相应的验收报告。如果工程项目不符合验收标准和要求，需要进行整改或补救措施，直至满足要求为止。以下是常见的验收标准和要求：</w:t>
            </w:r>
          </w:p>
          <w:p w14:paraId="3331EE04">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eastAsia="zh-CN"/>
              </w:rPr>
              <w:t>1.</w:t>
            </w:r>
            <w:r>
              <w:rPr>
                <w:rFonts w:hint="eastAsia" w:ascii="宋体" w:hAnsi="宋体" w:eastAsia="宋体" w:cs="宋体"/>
                <w:b w:val="0"/>
                <w:bCs/>
                <w:sz w:val="21"/>
                <w:szCs w:val="21"/>
              </w:rPr>
              <w:t>技术要求：根据合同和设计文件确定的技术指标和要求，包括设备规格、工程设计参数、功能要求等。验收时需检查工程项目是否满足这些要求。</w:t>
            </w:r>
          </w:p>
          <w:p w14:paraId="0522A580">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eastAsia="zh-CN"/>
              </w:rPr>
              <w:t>2.</w:t>
            </w:r>
            <w:r>
              <w:rPr>
                <w:rFonts w:hint="eastAsia" w:ascii="宋体" w:hAnsi="宋体" w:eastAsia="宋体" w:cs="宋体"/>
                <w:b w:val="0"/>
                <w:bCs/>
                <w:sz w:val="21"/>
                <w:szCs w:val="21"/>
              </w:rPr>
              <w:t>质量标准：根据相关行业标准和规范，对工程项目的质量进行评估。包括施工质量、材料选用、工艺流程、安全防护等方面的要求。</w:t>
            </w:r>
          </w:p>
          <w:p w14:paraId="1A5B78F1">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eastAsia="zh-CN"/>
              </w:rPr>
              <w:t>3.</w:t>
            </w:r>
            <w:r>
              <w:rPr>
                <w:rFonts w:hint="eastAsia" w:ascii="宋体" w:hAnsi="宋体" w:eastAsia="宋体" w:cs="宋体"/>
                <w:b w:val="0"/>
                <w:bCs/>
                <w:sz w:val="21"/>
                <w:szCs w:val="21"/>
              </w:rPr>
              <w:t>安全要求：工程项目必须符合国家法律法规和相关的安全标准，确保施工过程和使用阶段的安全性。验收时需检查是否存在安全隐患，并采取相应的纠正措施。</w:t>
            </w:r>
          </w:p>
          <w:p w14:paraId="78862722">
            <w:pPr>
              <w:spacing w:line="380" w:lineRule="exact"/>
              <w:ind w:left="0" w:leftChars="0" w:hanging="10" w:firstLineChars="0"/>
              <w:rPr>
                <w:rFonts w:hint="eastAsia" w:ascii="宋体" w:hAnsi="宋体" w:eastAsia="宋体" w:cs="宋体"/>
                <w:b w:val="0"/>
                <w:bCs/>
                <w:sz w:val="21"/>
                <w:szCs w:val="21"/>
              </w:rPr>
            </w:pPr>
            <w:r>
              <w:rPr>
                <w:rFonts w:hint="eastAsia" w:ascii="宋体" w:hAnsi="宋体" w:eastAsia="宋体" w:cs="宋体"/>
                <w:b w:val="0"/>
                <w:bCs/>
                <w:sz w:val="21"/>
                <w:szCs w:val="21"/>
              </w:rPr>
              <w:t>4外观检查：对工程项目的外观进行检查，包括颜色、平整度、表面处理等方面的要求。确保工程项目的美观和整体效果。</w:t>
            </w:r>
          </w:p>
          <w:p w14:paraId="129F34DB">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eastAsia="zh-CN"/>
              </w:rPr>
              <w:t>5.</w:t>
            </w:r>
            <w:r>
              <w:rPr>
                <w:rFonts w:hint="eastAsia" w:ascii="宋体" w:hAnsi="宋体" w:eastAsia="宋体" w:cs="宋体"/>
                <w:b w:val="0"/>
                <w:bCs/>
                <w:sz w:val="21"/>
                <w:szCs w:val="21"/>
              </w:rPr>
              <w:t>功能测试：对设备或系统的功能进行测试，验证其是否满足设计要求和预期的使用效果。包括设备的启停运行、调节性能、传感器检测准确性等方面的测试。</w:t>
            </w:r>
          </w:p>
          <w:p w14:paraId="6E9ADE20">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eastAsia="zh-CN"/>
              </w:rPr>
              <w:t>6.</w:t>
            </w:r>
            <w:r>
              <w:rPr>
                <w:rFonts w:hint="eastAsia" w:ascii="宋体" w:hAnsi="宋体" w:eastAsia="宋体" w:cs="宋体"/>
                <w:b w:val="0"/>
                <w:bCs/>
                <w:sz w:val="21"/>
                <w:szCs w:val="21"/>
              </w:rPr>
              <w:t>文件资料审核：对工程项目相关文件进行审核，包括设计文件、施工记录、质量检测报告等。确保工程项目的相关文件完备、准确和规范。</w:t>
            </w:r>
          </w:p>
          <w:p w14:paraId="5FCFDEA5">
            <w:pPr>
              <w:spacing w:line="380" w:lineRule="exact"/>
              <w:ind w:left="10" w:leftChars="0" w:firstLine="409" w:firstLineChars="195"/>
              <w:rPr>
                <w:rFonts w:hint="eastAsia" w:ascii="宋体" w:hAnsi="宋体" w:eastAsia="宋体" w:cs="宋体"/>
                <w:sz w:val="21"/>
                <w:szCs w:val="21"/>
              </w:rPr>
            </w:pPr>
            <w:r>
              <w:rPr>
                <w:rFonts w:hint="eastAsia" w:ascii="宋体" w:hAnsi="宋体" w:eastAsia="宋体" w:cs="宋体"/>
                <w:b w:val="0"/>
                <w:bCs/>
                <w:sz w:val="21"/>
                <w:szCs w:val="21"/>
              </w:rPr>
              <w:t>要求工程竣工验收需达到国家有关施工质量验收规范的合格标准，且通过相关主管部门竣工验收合格。</w:t>
            </w:r>
          </w:p>
        </w:tc>
      </w:tr>
      <w:tr w14:paraId="0D646B71">
        <w:tblPrEx>
          <w:tblCellMar>
            <w:top w:w="0" w:type="dxa"/>
            <w:left w:w="108" w:type="dxa"/>
            <w:bottom w:w="0" w:type="dxa"/>
            <w:right w:w="108" w:type="dxa"/>
          </w:tblCellMar>
        </w:tblPrEx>
        <w:trPr>
          <w:trHeight w:val="468"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38951D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▲其他要求</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5A6CB49C">
            <w:pPr>
              <w:spacing w:line="380" w:lineRule="exact"/>
              <w:ind w:left="0" w:leftChars="0" w:hanging="10" w:firstLineChars="0"/>
              <w:rPr>
                <w:rFonts w:hint="eastAsia" w:ascii="宋体" w:hAnsi="宋体" w:eastAsia="宋体" w:cs="宋体"/>
                <w:b w:val="0"/>
                <w:bCs/>
                <w:sz w:val="21"/>
                <w:szCs w:val="21"/>
              </w:rPr>
            </w:pPr>
            <w:r>
              <w:rPr>
                <w:rFonts w:hint="eastAsia" w:ascii="宋体" w:hAnsi="宋体" w:cs="宋体"/>
                <w:b w:val="0"/>
                <w:bCs/>
                <w:sz w:val="21"/>
                <w:szCs w:val="21"/>
                <w:lang w:val="en-US" w:eastAsia="zh-CN"/>
              </w:rPr>
              <w:t>1.</w:t>
            </w:r>
            <w:r>
              <w:rPr>
                <w:rFonts w:hint="eastAsia" w:ascii="宋体" w:hAnsi="宋体" w:eastAsia="宋体" w:cs="宋体"/>
                <w:b w:val="0"/>
                <w:bCs/>
                <w:sz w:val="21"/>
                <w:szCs w:val="21"/>
              </w:rPr>
              <w:t>本合同价款采用综合单价固定，按实际工程量结算。</w:t>
            </w:r>
          </w:p>
          <w:p w14:paraId="6549991A">
            <w:pPr>
              <w:spacing w:line="380" w:lineRule="exact"/>
              <w:ind w:left="0" w:leftChars="0" w:hanging="10" w:firstLineChars="0"/>
              <w:rPr>
                <w:rFonts w:hint="default"/>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采购文件中的项目名称与招标工程量清单、招标控制价及图纸的工程名称不一致时，以采购文件的项目名称为准。</w:t>
            </w:r>
          </w:p>
        </w:tc>
      </w:tr>
    </w:tbl>
    <w:p w14:paraId="75E5B79B">
      <w:pPr>
        <w:pStyle w:val="33"/>
        <w:ind w:left="0" w:leftChars="0" w:firstLine="0" w:firstLineChars="0"/>
        <w:rPr>
          <w:rFonts w:hint="eastAsia"/>
        </w:rPr>
      </w:pPr>
    </w:p>
    <w:p w14:paraId="592B6CF2">
      <w:pPr>
        <w:pStyle w:val="32"/>
        <w:rPr>
          <w:rFonts w:hint="eastAsia" w:asciiTheme="majorEastAsia" w:hAnsiTheme="majorEastAsia" w:eastAsiaTheme="majorEastAsia" w:cstheme="majorEastAsia"/>
          <w:color w:val="auto"/>
          <w:szCs w:val="21"/>
          <w:highlight w:val="none"/>
        </w:rPr>
      </w:pPr>
    </w:p>
    <w:p w14:paraId="1A5CFA35">
      <w:pPr>
        <w:pStyle w:val="32"/>
        <w:rPr>
          <w:rFonts w:hint="eastAsia" w:asciiTheme="majorEastAsia" w:hAnsiTheme="majorEastAsia" w:eastAsiaTheme="majorEastAsia" w:cstheme="majorEastAsia"/>
          <w:color w:val="auto"/>
          <w:szCs w:val="21"/>
          <w:highlight w:val="none"/>
        </w:rPr>
      </w:pPr>
    </w:p>
    <w:p w14:paraId="1C3B3C2E">
      <w:pPr>
        <w:pStyle w:val="32"/>
        <w:rPr>
          <w:rFonts w:hint="eastAsia" w:asciiTheme="majorEastAsia" w:hAnsiTheme="majorEastAsia" w:eastAsiaTheme="majorEastAsia" w:cstheme="majorEastAsia"/>
          <w:color w:val="auto"/>
          <w:szCs w:val="21"/>
          <w:highlight w:val="none"/>
        </w:rPr>
      </w:pPr>
    </w:p>
    <w:p w14:paraId="2DADA85E">
      <w:pPr>
        <w:pStyle w:val="12"/>
        <w:rPr>
          <w:rFonts w:hint="eastAsia" w:asciiTheme="majorEastAsia" w:hAnsiTheme="majorEastAsia" w:eastAsiaTheme="majorEastAsia" w:cstheme="majorEastAsia"/>
          <w:color w:val="auto"/>
          <w:szCs w:val="21"/>
          <w:highlight w:val="none"/>
        </w:rPr>
      </w:pPr>
    </w:p>
    <w:p w14:paraId="542BB29C">
      <w:pPr>
        <w:pStyle w:val="12"/>
        <w:rPr>
          <w:rFonts w:hint="eastAsia" w:asciiTheme="majorEastAsia" w:hAnsiTheme="majorEastAsia" w:eastAsiaTheme="majorEastAsia" w:cstheme="majorEastAsia"/>
          <w:color w:val="auto"/>
          <w:szCs w:val="21"/>
          <w:highlight w:val="none"/>
        </w:rPr>
      </w:pPr>
    </w:p>
    <w:p w14:paraId="18354385">
      <w:pPr>
        <w:pStyle w:val="12"/>
        <w:rPr>
          <w:rFonts w:hint="eastAsia" w:asciiTheme="majorEastAsia" w:hAnsiTheme="majorEastAsia" w:eastAsiaTheme="majorEastAsia" w:cstheme="majorEastAsia"/>
          <w:color w:val="auto"/>
          <w:szCs w:val="21"/>
          <w:highlight w:val="none"/>
        </w:rPr>
      </w:pPr>
    </w:p>
    <w:p w14:paraId="1A7C8A8B">
      <w:pPr>
        <w:pStyle w:val="12"/>
        <w:rPr>
          <w:rFonts w:hint="eastAsia" w:asciiTheme="majorEastAsia" w:hAnsiTheme="majorEastAsia" w:eastAsiaTheme="majorEastAsia" w:cstheme="majorEastAsia"/>
          <w:color w:val="auto"/>
          <w:szCs w:val="21"/>
          <w:highlight w:val="none"/>
        </w:rPr>
      </w:pPr>
    </w:p>
    <w:p w14:paraId="549430AA">
      <w:pPr>
        <w:pStyle w:val="12"/>
        <w:rPr>
          <w:rFonts w:hint="eastAsia" w:asciiTheme="majorEastAsia" w:hAnsiTheme="majorEastAsia" w:eastAsiaTheme="majorEastAsia" w:cstheme="majorEastAsia"/>
          <w:color w:val="auto"/>
          <w:szCs w:val="21"/>
          <w:highlight w:val="none"/>
        </w:rPr>
      </w:pPr>
    </w:p>
    <w:p w14:paraId="78A3DFF3">
      <w:pPr>
        <w:pStyle w:val="12"/>
        <w:rPr>
          <w:rFonts w:hint="eastAsia" w:asciiTheme="majorEastAsia" w:hAnsiTheme="majorEastAsia" w:eastAsiaTheme="majorEastAsia" w:cstheme="majorEastAsia"/>
          <w:color w:val="auto"/>
          <w:szCs w:val="21"/>
          <w:highlight w:val="none"/>
        </w:rPr>
      </w:pPr>
    </w:p>
    <w:p w14:paraId="61198A71">
      <w:pPr>
        <w:pStyle w:val="12"/>
        <w:rPr>
          <w:rFonts w:hint="eastAsia" w:asciiTheme="majorEastAsia" w:hAnsiTheme="majorEastAsia" w:eastAsiaTheme="majorEastAsia" w:cstheme="majorEastAsia"/>
          <w:color w:val="auto"/>
          <w:szCs w:val="21"/>
          <w:highlight w:val="none"/>
        </w:rPr>
      </w:pPr>
    </w:p>
    <w:p w14:paraId="4048CD83">
      <w:pPr>
        <w:pStyle w:val="12"/>
        <w:rPr>
          <w:rFonts w:hint="eastAsia" w:asciiTheme="majorEastAsia" w:hAnsiTheme="majorEastAsia" w:eastAsiaTheme="majorEastAsia" w:cstheme="majorEastAsia"/>
          <w:color w:val="auto"/>
          <w:szCs w:val="21"/>
          <w:highlight w:val="none"/>
        </w:rPr>
      </w:pPr>
    </w:p>
    <w:p w14:paraId="603C08D9">
      <w:pPr>
        <w:pStyle w:val="12"/>
        <w:rPr>
          <w:rFonts w:hint="eastAsia" w:asciiTheme="majorEastAsia" w:hAnsiTheme="majorEastAsia" w:eastAsiaTheme="majorEastAsia" w:cstheme="majorEastAsia"/>
          <w:color w:val="auto"/>
          <w:szCs w:val="21"/>
          <w:highlight w:val="none"/>
        </w:rPr>
      </w:pPr>
    </w:p>
    <w:p w14:paraId="4D911D7B">
      <w:pPr>
        <w:pStyle w:val="32"/>
        <w:rPr>
          <w:rFonts w:hint="eastAsia" w:asciiTheme="majorEastAsia" w:hAnsiTheme="majorEastAsia" w:eastAsiaTheme="majorEastAsia" w:cstheme="majorEastAsia"/>
          <w:color w:val="auto"/>
          <w:szCs w:val="21"/>
          <w:highlight w:val="none"/>
        </w:rPr>
      </w:pPr>
    </w:p>
    <w:p w14:paraId="0BA7FB3C">
      <w:pPr>
        <w:jc w:val="center"/>
        <w:outlineLvl w:val="0"/>
        <w:rPr>
          <w:rFonts w:ascii="宋体" w:hAnsi="宋体"/>
          <w:b/>
          <w:bCs/>
          <w:color w:val="000000"/>
          <w:sz w:val="36"/>
          <w:szCs w:val="44"/>
        </w:rPr>
      </w:pPr>
      <w:bookmarkStart w:id="81" w:name="_Toc18051"/>
      <w:r>
        <w:rPr>
          <w:rFonts w:hint="eastAsia" w:ascii="宋体" w:hAnsi="宋体"/>
          <w:b/>
          <w:bCs/>
          <w:color w:val="000000"/>
          <w:sz w:val="36"/>
          <w:szCs w:val="44"/>
        </w:rPr>
        <w:t>第四章 评审程序、评审方法和评审标准</w:t>
      </w:r>
      <w:bookmarkEnd w:id="81"/>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www.creditchina.gov.cn)、中国政府采购网</w:t>
      </w:r>
      <w:r>
        <w:rPr>
          <w:rFonts w:hint="eastAsia" w:ascii="宋体" w:hAnsi="宋体" w:cs="宋体"/>
          <w:color w:val="000000"/>
          <w:szCs w:val="21"/>
          <w:lang w:eastAsia="zh-CN"/>
        </w:rPr>
        <w:t>（</w:t>
      </w:r>
      <w:r>
        <w:rPr>
          <w:rFonts w:hint="eastAsia" w:ascii="宋体" w:hAnsi="宋体" w:cs="宋体"/>
          <w:color w:val="000000"/>
          <w:szCs w:val="21"/>
        </w:rPr>
        <w:t>www.ccgp.gov.cn)链接入口。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2"/>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3"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3"/>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4" w:name="_Hlk42596405"/>
      <w:r>
        <w:rPr>
          <w:rFonts w:hint="eastAsia" w:ascii="宋体" w:hAnsi="宋体" w:cs="宋体"/>
          <w:color w:val="000000"/>
          <w:szCs w:val="21"/>
        </w:rPr>
        <w:t>竞标报价（包含首次报价、最后报价）</w:t>
      </w:r>
      <w:bookmarkEnd w:id="84"/>
      <w:bookmarkStart w:id="85" w:name="_Hlk42596276"/>
      <w:r>
        <w:rPr>
          <w:rFonts w:hint="eastAsia" w:ascii="宋体" w:hAnsi="宋体" w:cs="宋体"/>
          <w:color w:val="000000"/>
          <w:szCs w:val="21"/>
        </w:rPr>
        <w:t>超过磋商文件分项采购预算金额或者最高限价的</w:t>
      </w:r>
      <w:bookmarkEnd w:id="85"/>
      <w:r>
        <w:rPr>
          <w:rFonts w:hint="eastAsia" w:ascii="宋体" w:hAnsi="宋体" w:cs="宋体"/>
          <w:color w:val="000000"/>
          <w:szCs w:val="21"/>
        </w:rPr>
        <w:t>（如本项目公布了最高限价）；</w:t>
      </w:r>
    </w:p>
    <w:p w14:paraId="32B1BEDA">
      <w:pPr>
        <w:spacing w:line="360" w:lineRule="auto"/>
        <w:ind w:firstLine="420" w:firstLineChars="200"/>
        <w:rPr>
          <w:rFonts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6" w:name="_Hlk55814495"/>
      <w:r>
        <w:rPr>
          <w:rFonts w:hint="eastAsia" w:ascii="宋体" w:hAnsi="宋体" w:cs="宋体"/>
          <w:color w:val="000000"/>
          <w:szCs w:val="21"/>
        </w:rPr>
        <w:t>退出磋商</w:t>
      </w:r>
      <w:bookmarkEnd w:id="86"/>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5"/>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磋商小组收齐某一分标最后报价后统一开启，磋商小组对最后报价进行有效性、完整性和响应程度的审查。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6FDC2A71">
      <w:pPr>
        <w:spacing w:line="360" w:lineRule="auto"/>
        <w:ind w:firstLine="420" w:firstLineChars="200"/>
        <w:rPr>
          <w:rFonts w:ascii="宋体" w:hAnsi="宋体" w:cs="宋体"/>
          <w:color w:val="000000"/>
          <w:szCs w:val="21"/>
        </w:rPr>
      </w:pPr>
      <w:r>
        <w:rPr>
          <w:rFonts w:ascii="宋体" w:hAnsi="宋体" w:cs="宋体"/>
          <w:color w:val="000000"/>
          <w:szCs w:val="21"/>
        </w:rPr>
        <w:t>4.10</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30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5"/>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5"/>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5"/>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7"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分（满分30分）</w:t>
            </w:r>
            <w:bookmarkEnd w:id="87"/>
          </w:p>
          <w:p w14:paraId="0A0EF5B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某有效供应商的报价分=（评标基准价／某有效供应商评标价）×30分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40</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各主要分部施工方法基本符合项目实际，施工技术方案一般，施工工艺和方法基本可行，能指导一般施工。</w:t>
            </w:r>
          </w:p>
          <w:p w14:paraId="5BE65645">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商务分（30分）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5"/>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1.技术负责人（满分8分）</w:t>
            </w:r>
          </w:p>
          <w:p w14:paraId="36E8809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2E677C71">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拟投入本项目的技术负责人具有工程类高级及以上职称证的，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E8B6587">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技术负责人业绩：</w:t>
            </w:r>
          </w:p>
          <w:p w14:paraId="63854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年完成过质量合格的</w:t>
            </w:r>
            <w:r>
              <w:rPr>
                <w:rFonts w:hint="eastAsia" w:ascii="宋体" w:hAnsi="宋体" w:cs="宋体"/>
                <w:color w:val="auto"/>
                <w:sz w:val="21"/>
                <w:szCs w:val="21"/>
                <w:highlight w:val="none"/>
                <w:lang w:val="en-US" w:eastAsia="zh-CN"/>
              </w:rPr>
              <w:t>类似工程项目</w:t>
            </w:r>
            <w:r>
              <w:rPr>
                <w:rFonts w:hint="eastAsia" w:ascii="宋体" w:hAnsi="宋体" w:eastAsia="宋体" w:cs="宋体"/>
                <w:color w:val="auto"/>
                <w:sz w:val="21"/>
                <w:szCs w:val="21"/>
                <w:highlight w:val="none"/>
              </w:rPr>
              <w:t>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eastAsia="宋体" w:cs="宋体"/>
                <w:color w:val="auto"/>
                <w:sz w:val="21"/>
                <w:szCs w:val="21"/>
                <w:highlight w:val="none"/>
                <w:lang w:val="en-US" w:eastAsia="zh-CN"/>
              </w:rPr>
              <w:t>并加盖电子公章</w:t>
            </w:r>
            <w:r>
              <w:rPr>
                <w:rFonts w:hint="eastAsia" w:ascii="宋体" w:hAnsi="宋体" w:eastAsia="宋体" w:cs="宋体"/>
                <w:color w:val="auto"/>
                <w:sz w:val="21"/>
                <w:szCs w:val="21"/>
                <w:highlight w:val="none"/>
                <w:lang w:eastAsia="zh-CN"/>
              </w:rPr>
              <w:t>）</w:t>
            </w:r>
          </w:p>
          <w:p w14:paraId="4533E59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满分10</w:t>
            </w:r>
            <w:r>
              <w:rPr>
                <w:rFonts w:hint="eastAsia" w:ascii="宋体" w:hAnsi="宋体" w:eastAsia="宋体" w:cs="宋体"/>
                <w:b w:val="0"/>
                <w:bCs w:val="0"/>
                <w:color w:val="auto"/>
                <w:kern w:val="2"/>
                <w:sz w:val="21"/>
                <w:szCs w:val="21"/>
                <w:highlight w:val="none"/>
                <w:lang w:val="en-US" w:eastAsia="zh-CN"/>
              </w:rPr>
              <w:t>分）</w:t>
            </w:r>
          </w:p>
          <w:p w14:paraId="4DF9868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（1）拟投入本项目的安全员、施工员、质量员、材料员具有相应岗位资格证书的，每人得1分，满分4分。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（2）拟投入本项目的安全员、施工员、质量员、材料员具有工程类中级及以上职称证的，每人得1.5分，满分6分。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首次响应文件提交截止时间前半年内任意连续三个月在现任职单位依法缴纳社会保险证明材料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5"/>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5"/>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810" w:type="dxa"/>
            <w:noWrap w:val="0"/>
            <w:vAlign w:val="center"/>
          </w:tcPr>
          <w:p w14:paraId="40A0B74D">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 3 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eastAsia="宋体" w:cs="宋体"/>
                <w:color w:val="auto"/>
                <w:sz w:val="21"/>
                <w:szCs w:val="21"/>
                <w:highlight w:val="none"/>
                <w:lang w:val="en-US" w:eastAsia="zh-CN"/>
              </w:rPr>
              <w:t>复印件并加盖公章，否则不得分。</w:t>
            </w:r>
          </w:p>
        </w:tc>
      </w:tr>
      <w:tr w14:paraId="272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6D9161EA">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3.3</w:t>
            </w:r>
          </w:p>
        </w:tc>
        <w:tc>
          <w:tcPr>
            <w:tcW w:w="1816" w:type="dxa"/>
            <w:noWrap w:val="0"/>
            <w:vAlign w:val="center"/>
          </w:tcPr>
          <w:p w14:paraId="0889A32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信誉分</w:t>
            </w:r>
          </w:p>
          <w:p w14:paraId="083F8D60">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810" w:type="dxa"/>
            <w:noWrap w:val="0"/>
            <w:vAlign w:val="center"/>
          </w:tcPr>
          <w:p w14:paraId="24E82709">
            <w:pPr>
              <w:pStyle w:val="15"/>
              <w:keepNext w:val="0"/>
              <w:keepLines w:val="0"/>
              <w:pageBreakBefore w:val="0"/>
              <w:kinsoku/>
              <w:wordWrap/>
              <w:overflowPunct/>
              <w:topLinePunct w:val="0"/>
              <w:autoSpaceDE/>
              <w:autoSpaceDN/>
              <w:bidi w:val="0"/>
              <w:spacing w:line="360" w:lineRule="auto"/>
              <w:ind w:firstLine="200" w:firstLineChars="100"/>
              <w:rPr>
                <w:rFonts w:hint="eastAsia"/>
                <w:color w:val="auto"/>
                <w:spacing w:val="-3"/>
                <w:sz w:val="21"/>
                <w:highlight w:val="none"/>
                <w:lang w:val="en-US" w:eastAsia="zh-CN"/>
              </w:rPr>
            </w:pPr>
            <w:r>
              <w:rPr>
                <w:rFonts w:hint="eastAsia"/>
                <w:color w:val="auto"/>
                <w:spacing w:val="-5"/>
                <w:sz w:val="21"/>
                <w:highlight w:val="none"/>
                <w:lang w:val="en-US" w:eastAsia="zh-CN"/>
              </w:rPr>
              <w:t>供应商</w:t>
            </w:r>
            <w:r>
              <w:rPr>
                <w:color w:val="auto"/>
                <w:spacing w:val="-5"/>
                <w:sz w:val="21"/>
                <w:highlight w:val="none"/>
              </w:rPr>
              <w:t>获得质量管理体系认证证书、环</w:t>
            </w:r>
            <w:r>
              <w:rPr>
                <w:color w:val="auto"/>
                <w:spacing w:val="-4"/>
                <w:sz w:val="21"/>
                <w:highlight w:val="none"/>
              </w:rPr>
              <w:t>境管理体系认证证书</w:t>
            </w:r>
            <w:r>
              <w:rPr>
                <w:rFonts w:hint="eastAsia"/>
                <w:color w:val="auto"/>
                <w:spacing w:val="-3"/>
                <w:sz w:val="21"/>
                <w:highlight w:val="none"/>
                <w:lang w:eastAsia="zh-CN"/>
              </w:rPr>
              <w:t>，</w:t>
            </w:r>
            <w:r>
              <w:rPr>
                <w:color w:val="auto"/>
                <w:spacing w:val="-3"/>
                <w:sz w:val="21"/>
                <w:highlight w:val="none"/>
              </w:rPr>
              <w:t>证书并在有效期内</w:t>
            </w:r>
            <w:r>
              <w:rPr>
                <w:rFonts w:hint="eastAsia"/>
                <w:color w:val="auto"/>
                <w:spacing w:val="-3"/>
                <w:sz w:val="21"/>
                <w:highlight w:val="none"/>
                <w:lang w:val="en-US" w:eastAsia="zh-CN"/>
              </w:rPr>
              <w:t>的，每项得3分，满分6分</w:t>
            </w:r>
          </w:p>
          <w:p w14:paraId="02BFDE1C">
            <w:pPr>
              <w:rPr>
                <w:rFonts w:hint="default"/>
                <w:lang w:val="en-US" w:eastAsia="zh-CN"/>
              </w:rPr>
            </w:pPr>
            <w:r>
              <w:rPr>
                <w:rFonts w:hint="eastAsia"/>
                <w:color w:val="auto"/>
                <w:spacing w:val="-3"/>
                <w:sz w:val="21"/>
                <w:highlight w:val="none"/>
                <w:lang w:val="en-US" w:eastAsia="zh-CN"/>
              </w:rPr>
              <w:t>须提供以上证书扫描件，并加盖供应商电子公章，否则不得分。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2"/>
        <w:rPr>
          <w:rFonts w:hint="eastAsia" w:asciiTheme="majorEastAsia" w:hAnsiTheme="majorEastAsia" w:eastAsiaTheme="majorEastAsia" w:cstheme="majorEastAsia"/>
          <w:b/>
          <w:color w:val="auto"/>
          <w:sz w:val="32"/>
          <w:highlight w:val="none"/>
        </w:rPr>
      </w:pPr>
    </w:p>
    <w:p w14:paraId="08C1DD28">
      <w:pPr>
        <w:pStyle w:val="32"/>
        <w:rPr>
          <w:rFonts w:hint="eastAsia" w:asciiTheme="majorEastAsia" w:hAnsiTheme="majorEastAsia" w:eastAsiaTheme="majorEastAsia" w:cstheme="majorEastAsia"/>
          <w:b/>
          <w:color w:val="auto"/>
          <w:sz w:val="32"/>
          <w:highlight w:val="none"/>
        </w:rPr>
      </w:pPr>
    </w:p>
    <w:p w14:paraId="2B3F0578">
      <w:pPr>
        <w:pStyle w:val="32"/>
        <w:rPr>
          <w:rFonts w:hint="eastAsia" w:asciiTheme="majorEastAsia" w:hAnsiTheme="majorEastAsia" w:eastAsiaTheme="majorEastAsia" w:cstheme="majorEastAsia"/>
          <w:b/>
          <w:color w:val="auto"/>
          <w:sz w:val="32"/>
          <w:highlight w:val="none"/>
        </w:rPr>
      </w:pPr>
    </w:p>
    <w:p w14:paraId="46DF39E9">
      <w:pPr>
        <w:jc w:val="center"/>
        <w:rPr>
          <w:rFonts w:hint="eastAsia" w:asciiTheme="majorEastAsia" w:hAnsiTheme="majorEastAsia" w:eastAsiaTheme="majorEastAsia" w:cstheme="majorEastAsia"/>
          <w:b/>
          <w:color w:val="auto"/>
          <w:sz w:val="32"/>
          <w:highlight w:val="none"/>
        </w:rPr>
      </w:pPr>
    </w:p>
    <w:p w14:paraId="036D1DC8">
      <w:pPr>
        <w:jc w:val="center"/>
        <w:outlineLvl w:val="9"/>
        <w:rPr>
          <w:rFonts w:hint="eastAsia" w:ascii="宋体" w:hAnsi="宋体" w:eastAsia="宋体" w:cs="Times New Roman"/>
          <w:b/>
          <w:bCs/>
          <w:color w:val="000000"/>
          <w:sz w:val="36"/>
          <w:szCs w:val="44"/>
        </w:rPr>
      </w:pPr>
      <w:bookmarkStart w:id="88" w:name="_Toc44229897"/>
    </w:p>
    <w:p w14:paraId="2DCBCBC7">
      <w:pPr>
        <w:jc w:val="both"/>
        <w:outlineLvl w:val="9"/>
        <w:rPr>
          <w:rFonts w:hint="eastAsia" w:ascii="宋体" w:hAnsi="宋体" w:eastAsia="宋体" w:cs="Times New Roman"/>
          <w:b/>
          <w:bCs/>
          <w:color w:val="000000"/>
          <w:sz w:val="36"/>
          <w:szCs w:val="44"/>
        </w:rPr>
      </w:pPr>
    </w:p>
    <w:p w14:paraId="1C9ABBD5">
      <w:pPr>
        <w:pStyle w:val="31"/>
        <w:rPr>
          <w:rFonts w:hint="eastAsia" w:ascii="宋体" w:hAnsi="宋体" w:eastAsia="宋体" w:cs="Times New Roman"/>
          <w:b/>
          <w:bCs/>
          <w:color w:val="000000"/>
          <w:sz w:val="36"/>
          <w:szCs w:val="44"/>
        </w:rPr>
      </w:pPr>
    </w:p>
    <w:p w14:paraId="6B126399">
      <w:pPr>
        <w:pStyle w:val="11"/>
        <w:rPr>
          <w:rFonts w:hint="eastAsia" w:ascii="宋体" w:hAnsi="宋体" w:eastAsia="宋体" w:cs="Times New Roman"/>
          <w:b/>
          <w:bCs/>
          <w:color w:val="000000"/>
          <w:sz w:val="36"/>
          <w:szCs w:val="44"/>
        </w:rPr>
      </w:pPr>
    </w:p>
    <w:p w14:paraId="62E4F9F0">
      <w:pPr>
        <w:pStyle w:val="21"/>
        <w:rPr>
          <w:rFonts w:hint="eastAsia"/>
        </w:rPr>
      </w:pPr>
    </w:p>
    <w:p w14:paraId="49F697AE">
      <w:pPr>
        <w:jc w:val="center"/>
        <w:outlineLvl w:val="0"/>
        <w:rPr>
          <w:rFonts w:hint="eastAsia" w:ascii="宋体" w:hAnsi="宋体" w:cs="Times New Roman"/>
          <w:b/>
          <w:bCs/>
          <w:color w:val="000000"/>
          <w:sz w:val="36"/>
          <w:szCs w:val="44"/>
          <w:lang w:val="en-US" w:eastAsia="zh-CN"/>
        </w:rPr>
      </w:pPr>
    </w:p>
    <w:p w14:paraId="5A7A3E2A">
      <w:pPr>
        <w:jc w:val="center"/>
        <w:outlineLvl w:val="0"/>
        <w:rPr>
          <w:rFonts w:hint="eastAsia" w:ascii="宋体" w:hAnsi="宋体" w:cs="Times New Roman"/>
          <w:b/>
          <w:bCs/>
          <w:color w:val="000000"/>
          <w:sz w:val="36"/>
          <w:szCs w:val="44"/>
          <w:lang w:val="en-US" w:eastAsia="zh-CN"/>
        </w:rPr>
      </w:pPr>
    </w:p>
    <w:p w14:paraId="072A0F52">
      <w:pPr>
        <w:pStyle w:val="2"/>
        <w:keepNext/>
        <w:keepLines w:val="0"/>
        <w:pageBreakBefore w:val="0"/>
        <w:widowControl w:val="0"/>
        <w:numPr>
          <w:ilvl w:val="0"/>
          <w:numId w:val="8"/>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89" w:name="_Toc19821"/>
      <w:r>
        <w:rPr>
          <w:rFonts w:hint="eastAsia"/>
          <w:sz w:val="36"/>
          <w:szCs w:val="36"/>
          <w:lang w:val="en-US" w:eastAsia="zh-CN"/>
        </w:rPr>
        <w:t>工程量清单及图纸</w:t>
      </w:r>
      <w:bookmarkEnd w:id="89"/>
    </w:p>
    <w:p w14:paraId="7EF88DCC">
      <w:pPr>
        <w:rPr>
          <w:rFonts w:hint="eastAsia"/>
          <w:lang w:val="en-US" w:eastAsia="zh-CN"/>
        </w:rPr>
      </w:pPr>
    </w:p>
    <w:p w14:paraId="6D3E72DE">
      <w:pPr>
        <w:pStyle w:val="3"/>
        <w:spacing w:before="0" w:after="0" w:line="360" w:lineRule="auto"/>
        <w:rPr>
          <w:kern w:val="44"/>
        </w:rPr>
      </w:pPr>
      <w:bookmarkStart w:id="90" w:name="_Toc78449869"/>
      <w:bookmarkStart w:id="91" w:name="_Toc407135284"/>
      <w:bookmarkStart w:id="92" w:name="_Toc1392571603"/>
      <w:bookmarkStart w:id="93" w:name="_Toc1386396751"/>
      <w:bookmarkStart w:id="94" w:name="_Toc122424493"/>
      <w:r>
        <w:t>1</w:t>
      </w:r>
      <w:r>
        <w:rPr>
          <w:rFonts w:hint="eastAsia"/>
        </w:rPr>
        <w:t>.</w:t>
      </w:r>
      <w:r>
        <w:rPr>
          <w:rFonts w:hint="eastAsia" w:cs="黑体"/>
        </w:rPr>
        <w:t>工程量清单编制说明</w:t>
      </w:r>
      <w:bookmarkEnd w:id="90"/>
      <w:bookmarkEnd w:id="91"/>
      <w:bookmarkEnd w:id="92"/>
      <w:bookmarkEnd w:id="93"/>
      <w:bookmarkEnd w:id="94"/>
    </w:p>
    <w:p w14:paraId="6D727F17">
      <w:pPr>
        <w:spacing w:line="360" w:lineRule="auto"/>
        <w:ind w:firstLine="420" w:firstLineChars="200"/>
        <w:rPr>
          <w:highlight w:val="none"/>
        </w:rPr>
      </w:pPr>
      <w:r>
        <w:rPr>
          <w:highlight w:val="none"/>
        </w:rPr>
        <w:t>1.1工程量清单依据《建设工程工程量清单计价规范（GB50500-2013）广西实施细则》（以 下简称“《计价规范》”）、《工程量清单计算规范（GB50854~50862-2013）》及广西实施细则（修订本）（以下简称“《计算规范》”）、 《关于建筑业实施营业税改征增值税后广西壮族自治区建设工程计价依据调整的通知》（桂建标〔2016〕17号）、</w:t>
      </w:r>
      <w:r>
        <w:rPr>
          <w:rFonts w:hint="eastAsia"/>
          <w:highlight w:val="none"/>
          <w:lang w:val="en-US" w:eastAsia="zh-CN"/>
        </w:rPr>
        <w:t>磋商</w:t>
      </w:r>
      <w:r>
        <w:rPr>
          <w:highlight w:val="none"/>
        </w:rPr>
        <w:t>文件、施工图等编制。计算规范中没有的清单项目，应在本章第1.4款约定。</w:t>
      </w:r>
    </w:p>
    <w:p w14:paraId="6AFE6848">
      <w:pPr>
        <w:spacing w:line="360" w:lineRule="auto"/>
        <w:ind w:firstLine="420" w:firstLineChars="200"/>
      </w:pPr>
      <w:r>
        <w:t xml:space="preserve">1.2 </w:t>
      </w:r>
      <w:r>
        <w:rPr>
          <w:rFonts w:hint="eastAsia"/>
        </w:rPr>
        <w:t>工程量清单应与供应商须知、合同协议条款、合同的通用条款、合同专用条款、技术规范及图纸等文件一起结合使用。</w:t>
      </w:r>
    </w:p>
    <w:p w14:paraId="532F833F">
      <w:pPr>
        <w:spacing w:line="360" w:lineRule="auto"/>
        <w:ind w:firstLine="420" w:firstLineChars="200"/>
      </w:pPr>
      <w:r>
        <w:t xml:space="preserve">1.3 </w:t>
      </w:r>
      <w:r>
        <w:rPr>
          <w:rFonts w:hint="eastAsia" w:cs="宋体"/>
        </w:rPr>
        <w:t>工程量清单是</w:t>
      </w:r>
      <w:r>
        <w:rPr>
          <w:rFonts w:hint="eastAsia" w:cs="宋体"/>
          <w:lang w:val="en-US" w:eastAsia="zh-CN"/>
        </w:rPr>
        <w:t>磋商</w:t>
      </w:r>
      <w:r>
        <w:rPr>
          <w:rFonts w:hint="eastAsia" w:cs="宋体"/>
        </w:rPr>
        <w:t>文件的组成部分，是工程量清单计价的基础，作为编制招标控制价、竞标报价、计算或调整工程量、索赔等的依据之一。</w:t>
      </w:r>
    </w:p>
    <w:p w14:paraId="2BC2F797">
      <w:pPr>
        <w:spacing w:line="360" w:lineRule="auto"/>
        <w:ind w:firstLine="420" w:firstLineChars="200"/>
      </w:pPr>
      <w:r>
        <w:t xml:space="preserve">1.4 </w:t>
      </w:r>
      <w:r>
        <w:rPr>
          <w:rFonts w:hint="eastAsia" w:cs="宋体"/>
        </w:rPr>
        <w:t>补充清单项目的特征、计量单位、工程量计算规则及工作内容说明如下：/。</w:t>
      </w:r>
    </w:p>
    <w:p w14:paraId="352F2AE5">
      <w:pPr>
        <w:spacing w:line="360" w:lineRule="auto"/>
        <w:ind w:left="2"/>
      </w:pPr>
      <w:r>
        <w:t xml:space="preserve">  </w:t>
      </w:r>
      <w:r>
        <w:rPr>
          <w:rFonts w:hint="eastAsia"/>
        </w:rPr>
        <w:t xml:space="preserve"> </w:t>
      </w:r>
      <w:r>
        <w:rPr>
          <w:rFonts w:hint="eastAsia"/>
          <w:lang w:val="en-US" w:eastAsia="zh-CN"/>
        </w:rPr>
        <w:t xml:space="preserve"> </w:t>
      </w:r>
      <w:r>
        <w:t xml:space="preserve">1.5 </w:t>
      </w:r>
      <w:r>
        <w:rPr>
          <w:rFonts w:hint="eastAsia"/>
        </w:rPr>
        <w:t>《允许调整主要材料和工程设备一览表》（表</w:t>
      </w:r>
      <w:r>
        <w:t>-22</w:t>
      </w:r>
      <w:r>
        <w:rPr>
          <w:rFonts w:hint="eastAsia"/>
        </w:rPr>
        <w:t>，表格编号为计价规范相应表格编号，下同）作为项目实施过程中材料和设备价格风险调整依据。</w:t>
      </w:r>
    </w:p>
    <w:p w14:paraId="0B34A664">
      <w:pPr>
        <w:pStyle w:val="15"/>
        <w:spacing w:line="360" w:lineRule="auto"/>
        <w:ind w:firstLine="420" w:firstLineChars="200"/>
        <w:rPr>
          <w:rFonts w:ascii="Times New Roman" w:hAnsi="Times New Roman"/>
          <w:sz w:val="21"/>
        </w:rPr>
      </w:pPr>
      <w:r>
        <w:rPr>
          <w:rFonts w:ascii="Times New Roman" w:hAnsi="Times New Roman"/>
          <w:sz w:val="21"/>
        </w:rPr>
        <w:t xml:space="preserve">1.6 </w:t>
      </w:r>
      <w:r>
        <w:rPr>
          <w:rFonts w:hint="eastAsia" w:ascii="Times New Roman" w:hAnsi="Times New Roman"/>
          <w:sz w:val="21"/>
        </w:rPr>
        <w:t>本工程暂列金额（约按合同造价</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ascii="Times New Roman" w:hAnsi="Times New Roman"/>
          <w:sz w:val="21"/>
        </w:rPr>
        <w:t>%</w:t>
      </w:r>
      <w:r>
        <w:rPr>
          <w:rFonts w:hint="eastAsia" w:ascii="Times New Roman" w:hAnsi="Times New Roman"/>
          <w:sz w:val="21"/>
        </w:rPr>
        <w:t>计算），共</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hint="eastAsia" w:ascii="Times New Roman" w:hAnsi="Times New Roman"/>
          <w:sz w:val="21"/>
        </w:rPr>
        <w:t>元，作为合同签订时尚未确定或者不可预见但施工中可能发生的费用。</w:t>
      </w:r>
    </w:p>
    <w:p w14:paraId="33A71204">
      <w:pPr>
        <w:pStyle w:val="15"/>
        <w:spacing w:line="360" w:lineRule="auto"/>
        <w:ind w:firstLine="420" w:firstLineChars="200"/>
        <w:rPr>
          <w:rFonts w:ascii="Times New Roman" w:hAnsi="Times New Roman"/>
          <w:sz w:val="21"/>
        </w:rPr>
      </w:pPr>
      <w:r>
        <w:rPr>
          <w:rFonts w:ascii="Times New Roman" w:hAnsi="Times New Roman"/>
          <w:sz w:val="21"/>
        </w:rPr>
        <w:t xml:space="preserve">1.7 </w:t>
      </w:r>
      <w:r>
        <w:rPr>
          <w:rFonts w:hint="eastAsia" w:ascii="Times New Roman" w:hAnsi="Times New Roman"/>
          <w:sz w:val="21"/>
        </w:rPr>
        <w:t>本工程发包人提供的材料和设备详见《发包人提供的主要材料和工程设备一览表》（表</w:t>
      </w:r>
      <w:r>
        <w:rPr>
          <w:rFonts w:ascii="Times New Roman" w:hAnsi="Times New Roman"/>
          <w:sz w:val="21"/>
        </w:rPr>
        <w:t>-21</w:t>
      </w:r>
      <w:r>
        <w:rPr>
          <w:rFonts w:hint="eastAsia" w:ascii="Times New Roman" w:hAnsi="Times New Roman"/>
          <w:sz w:val="21"/>
        </w:rPr>
        <w:t>）。</w:t>
      </w:r>
    </w:p>
    <w:p w14:paraId="3559F7A1">
      <w:pPr>
        <w:spacing w:line="360" w:lineRule="auto"/>
        <w:ind w:firstLine="420" w:firstLineChars="200"/>
      </w:pPr>
      <w:r>
        <w:t xml:space="preserve">1.8 </w:t>
      </w:r>
      <w:r>
        <w:rPr>
          <w:rFonts w:hint="eastAsia" w:cs="宋体"/>
        </w:rPr>
        <w:t>本工程部分材料和设备在招标时作为暂估价计列，结算按实调整，具体内容详见《材料（工程设备）暂估单价及调整表》（表</w:t>
      </w:r>
      <w:r>
        <w:t>12-2</w:t>
      </w:r>
      <w:r>
        <w:rPr>
          <w:rFonts w:hint="eastAsia" w:cs="宋体"/>
        </w:rPr>
        <w:t>）。</w:t>
      </w:r>
    </w:p>
    <w:p w14:paraId="4D5E4B2C">
      <w:pPr>
        <w:spacing w:line="360" w:lineRule="auto"/>
        <w:ind w:firstLine="420" w:firstLineChars="200"/>
      </w:pPr>
      <w:r>
        <w:t xml:space="preserve">1.9 </w:t>
      </w:r>
      <w:r>
        <w:rPr>
          <w:rFonts w:hint="eastAsia" w:cs="宋体"/>
        </w:rPr>
        <w:t>招标时暂估专业工程的价款属于暂估价，结算按实调整，具体内容详见《专业工程暂估价及结算价表》（表</w:t>
      </w:r>
      <w:r>
        <w:t>12-3</w:t>
      </w:r>
      <w:r>
        <w:rPr>
          <w:rFonts w:hint="eastAsia" w:cs="宋体"/>
        </w:rPr>
        <w:t>）。</w:t>
      </w:r>
    </w:p>
    <w:p w14:paraId="6B3C076B">
      <w:pPr>
        <w:spacing w:line="360" w:lineRule="auto"/>
        <w:ind w:firstLine="420" w:firstLineChars="200"/>
      </w:pPr>
      <w:r>
        <w:t xml:space="preserve">1.10 </w:t>
      </w:r>
      <w:r>
        <w:rPr>
          <w:rFonts w:hint="eastAsia" w:cs="宋体"/>
        </w:rPr>
        <w:t>本工程量清单编码处标注</w:t>
      </w:r>
      <w:r>
        <w:t>“*”</w:t>
      </w:r>
      <w:r>
        <w:rPr>
          <w:rFonts w:hint="eastAsia" w:cs="宋体"/>
        </w:rPr>
        <w:t>号的清单项目作为主要清单项目，需要供应商提供</w:t>
      </w:r>
      <w:r>
        <w:rPr>
          <w:rFonts w:hint="eastAsia" w:hAnsi="宋体" w:cs="宋体"/>
        </w:rPr>
        <w:t>《主要清单项目工料机分析表》（表</w:t>
      </w:r>
      <w:r>
        <w:t>-10</w:t>
      </w:r>
      <w:r>
        <w:rPr>
          <w:rFonts w:hint="eastAsia" w:hAnsi="宋体" w:cs="宋体"/>
        </w:rPr>
        <w:t>）</w:t>
      </w:r>
      <w:r>
        <w:rPr>
          <w:rFonts w:hint="eastAsia" w:cs="宋体"/>
        </w:rPr>
        <w:t>。</w:t>
      </w:r>
    </w:p>
    <w:p w14:paraId="0F0894D3">
      <w:pPr>
        <w:spacing w:line="360" w:lineRule="auto"/>
        <w:ind w:firstLine="420" w:firstLineChars="200"/>
        <w:rPr>
          <w:u w:val="single"/>
        </w:rPr>
      </w:pPr>
      <w:r>
        <w:t xml:space="preserve">1.11 </w:t>
      </w:r>
      <w:r>
        <w:rPr>
          <w:rFonts w:hint="eastAsia" w:cs="宋体"/>
        </w:rPr>
        <w:t>其他需要说明的问题：</w:t>
      </w:r>
      <w:r>
        <w:rPr>
          <w:u w:val="single"/>
        </w:rPr>
        <w:t xml:space="preserve">   </w:t>
      </w:r>
      <w:r>
        <w:rPr>
          <w:rFonts w:hint="eastAsia"/>
          <w:u w:val="single"/>
        </w:rPr>
        <w:t>/</w:t>
      </w:r>
      <w:r>
        <w:rPr>
          <w:u w:val="single"/>
        </w:rPr>
        <w:t xml:space="preserve">                                              </w:t>
      </w:r>
    </w:p>
    <w:p w14:paraId="08FB040B">
      <w:pPr>
        <w:spacing w:line="360" w:lineRule="auto"/>
      </w:pPr>
      <w:r>
        <w:rPr>
          <w:u w:val="single"/>
        </w:rPr>
        <w:t xml:space="preserve">                                                                     </w:t>
      </w:r>
      <w:r>
        <w:rPr>
          <w:rFonts w:hint="eastAsia" w:cs="宋体"/>
        </w:rPr>
        <w:t>。</w:t>
      </w:r>
    </w:p>
    <w:p w14:paraId="7AA5C070">
      <w:pPr>
        <w:spacing w:line="360" w:lineRule="auto"/>
        <w:ind w:firstLine="420" w:firstLineChars="200"/>
        <w:jc w:val="left"/>
        <w:rPr>
          <w:rFonts w:hint="eastAsia" w:cs="宋体"/>
        </w:rPr>
      </w:pPr>
      <w:r>
        <w:t xml:space="preserve">1.12 </w:t>
      </w:r>
      <w:r>
        <w:rPr>
          <w:rFonts w:hint="eastAsia" w:cs="宋体"/>
        </w:rPr>
        <w:t>工程量清单与</w:t>
      </w:r>
      <w:r>
        <w:rPr>
          <w:rFonts w:hint="eastAsia" w:cs="宋体"/>
          <w:lang w:val="en-US" w:eastAsia="zh-CN"/>
        </w:rPr>
        <w:t>磋商</w:t>
      </w:r>
      <w:r>
        <w:rPr>
          <w:rFonts w:hint="eastAsia" w:cs="宋体"/>
        </w:rPr>
        <w:t>文件同时发布。</w:t>
      </w:r>
      <w:r>
        <w:t xml:space="preserve"> </w:t>
      </w:r>
      <w:r>
        <w:rPr>
          <w:rFonts w:hint="eastAsia" w:cs="宋体"/>
        </w:rPr>
        <w:t>一般计税法建设工程的工程量清单表格按</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w:t>
      </w:r>
      <w:r>
        <w:rPr>
          <w:rFonts w:hint="eastAsia" w:ascii="宋体" w:hAnsi="宋体" w:cs="宋体"/>
        </w:rPr>
        <w:t>附件“增值税一般计税方法工程计价表”要求提供；简易计税法建设工程按照《计价规范》要求的</w:t>
      </w:r>
      <w:r>
        <w:rPr>
          <w:rFonts w:hint="eastAsia" w:cs="宋体"/>
        </w:rPr>
        <w:t>表格提供，但规费和税费要按照《关于建筑业实施营业税改征增值税后广西壮族自治区建设工程计价依据调整的通知》（桂建标〔</w:t>
      </w:r>
      <w:r>
        <w:t>2016</w:t>
      </w:r>
      <w:r>
        <w:rPr>
          <w:rFonts w:hint="eastAsia" w:cs="宋体"/>
        </w:rPr>
        <w:t>〕</w:t>
      </w:r>
      <w:r>
        <w:t>17</w:t>
      </w:r>
      <w:r>
        <w:rPr>
          <w:rFonts w:hint="eastAsia" w:cs="宋体"/>
        </w:rPr>
        <w:t>号）</w:t>
      </w:r>
      <w:r>
        <w:rPr>
          <w:rFonts w:hint="eastAsia" w:ascii="宋体" w:hAnsi="宋体" w:cs="宋体"/>
        </w:rPr>
        <w:t>要求调整，具体</w:t>
      </w:r>
      <w:r>
        <w:rPr>
          <w:rFonts w:hint="eastAsia" w:cs="宋体"/>
        </w:rPr>
        <w:t>包括：</w:t>
      </w:r>
      <w:bookmarkStart w:id="95" w:name="_Toc122424494"/>
      <w:bookmarkStart w:id="96" w:name="_Toc407135285"/>
      <w:bookmarkStart w:id="97" w:name="_Toc990933621"/>
      <w:bookmarkStart w:id="98" w:name="_Toc347872619"/>
      <w:bookmarkStart w:id="99" w:name="_Toc78449870"/>
    </w:p>
    <w:p w14:paraId="371CD4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 招标工程量清单（封-1）</w:t>
      </w:r>
    </w:p>
    <w:p w14:paraId="7BBBCEB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 招标工程量清单（封扉-1）</w:t>
      </w:r>
    </w:p>
    <w:p w14:paraId="746215E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1.3 总说明（表-01）</w:t>
      </w:r>
    </w:p>
    <w:p w14:paraId="5DE6183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1.4 建设项目投标报价汇总表（表-02）</w:t>
      </w:r>
    </w:p>
    <w:p w14:paraId="1667B981">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1.5 单项工程投标报价汇总表（表-03）</w:t>
      </w:r>
    </w:p>
    <w:p w14:paraId="2ACC6A64">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1.6 单位工程投标报价汇总表（表-04） </w:t>
      </w:r>
    </w:p>
    <w:p w14:paraId="58898EE7">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1.7 分部分项工程和单价措施项目清单与计价表（表-08）</w:t>
      </w:r>
    </w:p>
    <w:p w14:paraId="0E2273F0">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1.8 总价措施项目清单与计价表（表-11）</w:t>
      </w:r>
    </w:p>
    <w:p w14:paraId="2FDFBF0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1.9 其他项目清单与计价汇总表（表-12）</w:t>
      </w:r>
    </w:p>
    <w:p w14:paraId="0202C2E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1.10 暂列金额明细表（表12-1）</w:t>
      </w:r>
    </w:p>
    <w:p w14:paraId="3E244E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1.11 材料（工程设备）暂估单价及调整表（表12-2）</w:t>
      </w:r>
    </w:p>
    <w:p w14:paraId="78A8C67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1.12 专业工程暂估价及结算价表（表12-3）</w:t>
      </w:r>
    </w:p>
    <w:p w14:paraId="0C816DA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1.13 计日工表（表12-4）</w:t>
      </w:r>
    </w:p>
    <w:p w14:paraId="2F7B689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1.14 总承包服务费计价表（表12-5） </w:t>
      </w:r>
    </w:p>
    <w:p w14:paraId="57F7F5A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1.15 税前项目清单与计价表（表-14）</w:t>
      </w:r>
    </w:p>
    <w:p w14:paraId="7C482F1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1.16 规费、增值税计价表（表-15）</w:t>
      </w:r>
    </w:p>
    <w:p w14:paraId="0959070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1.17 发包人提供主要材料和工程设备一览表（表-21）</w:t>
      </w:r>
    </w:p>
    <w:p w14:paraId="7BA7020A">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1.18 允许调整主要材料和工程设备一览表（适用于造价信息差额调整法）（表-22） </w:t>
      </w:r>
    </w:p>
    <w:p w14:paraId="042DD14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1.19 允许调整主要材料和工程设备一览表（适用于价格指数差额调整法）（表-23）</w:t>
      </w:r>
    </w:p>
    <w:p w14:paraId="198EEBB6">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1.20 本工程材料和工程设备一览表（表-24）</w:t>
      </w:r>
    </w:p>
    <w:p w14:paraId="670417F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注：如本工程在合同中约定采用造价信息价差调整法，1.18 允许调整主要材料和工程设备一览 表（适用于造价信息差额调整法）（表-22）载明的主要材料和工程设备为本工程允许调整材料 和工程设备，招标工程量清单必须提供该表格，并应载明允许调整材料和工程设备名称型号规 格、单位、风险系数、基准单价等内容，且不能提供空白表。</w:t>
      </w:r>
    </w:p>
    <w:p w14:paraId="5413338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以下表格视工程实际需要选用，如该工程不发生如下表格相关项目和费用，所编制招标工程量 清单则不需列入相应表格： </w:t>
      </w:r>
    </w:p>
    <w:p w14:paraId="6B1316E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①建设项目投标报价汇总表（表-02）</w:t>
      </w:r>
    </w:p>
    <w:p w14:paraId="622EFE3C">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②暂列金额明细表（表12-1）</w:t>
      </w:r>
    </w:p>
    <w:p w14:paraId="0CC59AD6">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③材料（工程设备）暂估单价及调整表（表12-2）</w:t>
      </w:r>
    </w:p>
    <w:p w14:paraId="368D3721">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ascii="宋体" w:hAnsi="宋体" w:eastAsia="宋体" w:cs="宋体"/>
          <w:b w:val="0"/>
          <w:bCs w:val="0"/>
          <w:sz w:val="21"/>
          <w:szCs w:val="21"/>
        </w:rPr>
        <w:t>④专业工程暂估价表（表12-3）</w:t>
      </w:r>
    </w:p>
    <w:p w14:paraId="3C85B72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⑤计日工表（表12-4） </w:t>
      </w:r>
    </w:p>
    <w:p w14:paraId="554A0959">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⑥总承包服务费计价表（表12-5）</w:t>
      </w:r>
    </w:p>
    <w:p w14:paraId="1D956A17">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⑦税前项目清单与计价表（表-14）</w:t>
      </w:r>
    </w:p>
    <w:p w14:paraId="0004F820">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⑧ 允许调整主要材料和工程设备一览表（适用于价格指数差额调整法）（表-23）</w:t>
      </w:r>
    </w:p>
    <w:p w14:paraId="403C0FFD">
      <w:pPr>
        <w:pStyle w:val="3"/>
        <w:spacing w:before="0" w:after="0" w:line="360" w:lineRule="auto"/>
      </w:pPr>
      <w:r>
        <w:t>2</w:t>
      </w:r>
      <w:r>
        <w:rPr>
          <w:rFonts w:hint="eastAsia"/>
        </w:rPr>
        <w:t>.</w:t>
      </w:r>
      <w:r>
        <w:rPr>
          <w:rFonts w:hint="eastAsia" w:cs="黑体"/>
        </w:rPr>
        <w:t>招标控制价编制说明</w:t>
      </w:r>
      <w:bookmarkEnd w:id="95"/>
      <w:bookmarkEnd w:id="96"/>
      <w:bookmarkEnd w:id="97"/>
      <w:bookmarkEnd w:id="98"/>
      <w:bookmarkEnd w:id="99"/>
    </w:p>
    <w:p w14:paraId="575B4029">
      <w:pPr>
        <w:spacing w:line="360" w:lineRule="auto"/>
        <w:ind w:firstLine="420" w:firstLineChars="200"/>
      </w:pPr>
      <w:r>
        <w:t xml:space="preserve">2.1 </w:t>
      </w:r>
      <w:r>
        <w:rPr>
          <w:rFonts w:hint="eastAsia" w:hAnsi="宋体" w:cs="宋体"/>
        </w:rPr>
        <w:t>招标控制价编制依据：</w:t>
      </w:r>
    </w:p>
    <w:p w14:paraId="7F65A514">
      <w:pPr>
        <w:spacing w:line="360" w:lineRule="auto"/>
        <w:ind w:firstLine="420" w:firstLineChars="200"/>
        <w:rPr>
          <w:rFonts w:hint="eastAsia" w:cs="宋体"/>
          <w:highlight w:val="none"/>
        </w:rPr>
      </w:pPr>
      <w:r>
        <w:rPr>
          <w:rFonts w:hint="eastAsia" w:cs="宋体"/>
          <w:highlight w:val="none"/>
          <w:lang w:eastAsia="zh-CN"/>
        </w:rPr>
        <w:t>（</w:t>
      </w:r>
      <w:r>
        <w:rPr>
          <w:rFonts w:hint="eastAsia" w:cs="宋体"/>
          <w:highlight w:val="none"/>
          <w:lang w:val="en-US" w:eastAsia="zh-CN"/>
        </w:rPr>
        <w:t>1）</w:t>
      </w:r>
      <w:r>
        <w:rPr>
          <w:rFonts w:hint="eastAsia" w:cs="宋体"/>
          <w:highlight w:val="none"/>
        </w:rPr>
        <w:t>送审的施工图纸、预算书等</w:t>
      </w:r>
      <w:r>
        <w:rPr>
          <w:rFonts w:hint="eastAsia" w:cs="宋体"/>
          <w:highlight w:val="none"/>
          <w:lang w:eastAsia="zh-CN"/>
        </w:rPr>
        <w:t>；</w:t>
      </w:r>
    </w:p>
    <w:p w14:paraId="7E20DA89">
      <w:pPr>
        <w:spacing w:line="360" w:lineRule="auto"/>
        <w:ind w:firstLine="420" w:firstLineChars="200"/>
        <w:rPr>
          <w:rFonts w:hint="eastAsia" w:eastAsia="宋体" w:cs="宋体"/>
          <w:highlight w:val="none"/>
          <w:lang w:val="en-US" w:eastAsia="zh-CN"/>
        </w:rPr>
      </w:pPr>
      <w:r>
        <w:rPr>
          <w:rFonts w:hint="eastAsia" w:cs="宋体"/>
          <w:highlight w:val="none"/>
          <w:lang w:eastAsia="zh-CN"/>
        </w:rPr>
        <w:t>（</w:t>
      </w:r>
      <w:r>
        <w:rPr>
          <w:rFonts w:hint="eastAsia" w:cs="宋体"/>
          <w:highlight w:val="none"/>
          <w:lang w:val="en-US" w:eastAsia="zh-CN"/>
        </w:rPr>
        <w:t>2）</w:t>
      </w:r>
      <w:r>
        <w:rPr>
          <w:rFonts w:hint="eastAsia" w:cs="宋体"/>
          <w:highlight w:val="none"/>
        </w:rPr>
        <w:t>《建设工程工程量清单计价规范》</w:t>
      </w:r>
      <w:r>
        <w:rPr>
          <w:rFonts w:hint="eastAsia" w:cs="宋体"/>
          <w:highlight w:val="none"/>
          <w:lang w:eastAsia="zh-CN"/>
        </w:rPr>
        <w:t>（</w:t>
      </w:r>
      <w:r>
        <w:rPr>
          <w:rFonts w:hint="eastAsia" w:cs="宋体"/>
          <w:highlight w:val="none"/>
        </w:rPr>
        <w:t>GB50500-2013</w:t>
      </w:r>
      <w:r>
        <w:rPr>
          <w:rFonts w:hint="eastAsia" w:cs="宋体"/>
          <w:highlight w:val="none"/>
          <w:lang w:eastAsia="zh-CN"/>
        </w:rPr>
        <w:t>）</w:t>
      </w:r>
      <w:r>
        <w:rPr>
          <w:rFonts w:hint="eastAsia" w:cs="宋体"/>
          <w:highlight w:val="none"/>
        </w:rPr>
        <w:t>、《建设工程工程量清单计价规范》</w:t>
      </w:r>
      <w:r>
        <w:rPr>
          <w:rFonts w:hint="eastAsia" w:cs="宋体"/>
          <w:highlight w:val="none"/>
          <w:lang w:eastAsia="zh-CN"/>
        </w:rPr>
        <w:t>（</w:t>
      </w:r>
      <w:r>
        <w:rPr>
          <w:rFonts w:hint="eastAsia" w:cs="宋体"/>
          <w:highlight w:val="none"/>
        </w:rPr>
        <w:t>GB50500-2013</w:t>
      </w:r>
      <w:r>
        <w:rPr>
          <w:rFonts w:hint="eastAsia" w:cs="宋体"/>
          <w:highlight w:val="none"/>
          <w:lang w:eastAsia="zh-CN"/>
        </w:rPr>
        <w:t>）</w:t>
      </w:r>
      <w:r>
        <w:rPr>
          <w:rFonts w:hint="eastAsia" w:cs="宋体"/>
          <w:highlight w:val="none"/>
        </w:rPr>
        <w:t>《广西壮族自治区实施细则》《房屋建筑与装饰工程工程量计算规范》</w:t>
      </w:r>
      <w:r>
        <w:rPr>
          <w:rFonts w:hint="eastAsia" w:cs="宋体"/>
          <w:highlight w:val="none"/>
          <w:lang w:eastAsia="zh-CN"/>
        </w:rPr>
        <w:t>（</w:t>
      </w:r>
      <w:r>
        <w:rPr>
          <w:rFonts w:hint="eastAsia" w:cs="宋体"/>
          <w:highlight w:val="none"/>
        </w:rPr>
        <w:t>GB50854-2013</w:t>
      </w:r>
      <w:r>
        <w:rPr>
          <w:rFonts w:hint="eastAsia" w:cs="宋体"/>
          <w:highlight w:val="none"/>
          <w:lang w:eastAsia="zh-CN"/>
        </w:rPr>
        <w:t>）</w:t>
      </w:r>
      <w:r>
        <w:rPr>
          <w:rFonts w:hint="eastAsia" w:cs="宋体"/>
          <w:highlight w:val="none"/>
          <w:lang w:val="en-US" w:eastAsia="zh-CN"/>
        </w:rPr>
        <w:t>；</w:t>
      </w:r>
    </w:p>
    <w:p w14:paraId="0B36BC82">
      <w:pPr>
        <w:spacing w:line="360" w:lineRule="auto"/>
        <w:ind w:firstLine="420" w:firstLineChars="200"/>
        <w:rPr>
          <w:rFonts w:hint="default" w:eastAsia="宋体" w:cs="宋体"/>
          <w:highlight w:val="none"/>
          <w:lang w:val="en-US" w:eastAsia="zh-CN"/>
        </w:rPr>
      </w:pPr>
      <w:r>
        <w:rPr>
          <w:rFonts w:hint="eastAsia" w:cs="宋体"/>
          <w:highlight w:val="none"/>
          <w:lang w:eastAsia="zh-CN"/>
        </w:rPr>
        <w:t>（</w:t>
      </w:r>
      <w:r>
        <w:rPr>
          <w:rFonts w:hint="eastAsia" w:cs="宋体"/>
          <w:highlight w:val="none"/>
          <w:lang w:val="en-US" w:eastAsia="zh-CN"/>
        </w:rPr>
        <w:t>3）</w:t>
      </w:r>
      <w:r>
        <w:rPr>
          <w:rFonts w:hint="eastAsia" w:cs="宋体"/>
          <w:highlight w:val="none"/>
        </w:rPr>
        <w:t>2024年《广西壮族自治区建筑装饰装修工程消耗量定额》、2023年《广西壮族自治区安装工程消耗量定额》、2022年《广西壮族自治区市政工程消耗量定额》及2016年《广西壮族自治区建设工程费用定额》和计价相关规定广西区建设厅、建设工程造价管理站颁布的有关文件及定额解</w:t>
      </w:r>
      <w:r>
        <w:rPr>
          <w:rFonts w:hint="eastAsia" w:cs="宋体"/>
          <w:highlight w:val="none"/>
          <w:lang w:val="en-US" w:eastAsia="zh-CN"/>
        </w:rPr>
        <w:t>答；</w:t>
      </w:r>
    </w:p>
    <w:p w14:paraId="6ABF658A">
      <w:pPr>
        <w:numPr>
          <w:ilvl w:val="0"/>
          <w:numId w:val="0"/>
        </w:numPr>
        <w:spacing w:line="360" w:lineRule="auto"/>
        <w:ind w:firstLine="420" w:firstLineChars="200"/>
        <w:rPr>
          <w:rFonts w:hint="eastAsia" w:cs="宋体"/>
          <w:highlight w:val="none"/>
        </w:rPr>
      </w:pPr>
      <w:r>
        <w:rPr>
          <w:rFonts w:hint="eastAsia" w:cs="宋体"/>
          <w:highlight w:val="none"/>
          <w:lang w:eastAsia="zh-CN"/>
        </w:rPr>
        <w:t>（</w:t>
      </w:r>
      <w:r>
        <w:rPr>
          <w:rFonts w:hint="eastAsia" w:cs="宋体"/>
          <w:highlight w:val="none"/>
          <w:lang w:val="en-US" w:eastAsia="zh-CN"/>
        </w:rPr>
        <w:t>4）</w:t>
      </w:r>
      <w:r>
        <w:rPr>
          <w:rFonts w:hint="eastAsia" w:cs="宋体"/>
          <w:highlight w:val="none"/>
        </w:rPr>
        <w:t>《自治区住房和城乡建设厅关于调整建设工程定额人工费及有关费率的通知》</w:t>
      </w:r>
      <w:r>
        <w:rPr>
          <w:rFonts w:hint="eastAsia" w:cs="宋体"/>
          <w:highlight w:val="none"/>
          <w:lang w:eastAsia="zh-CN"/>
        </w:rPr>
        <w:t>（</w:t>
      </w:r>
      <w:r>
        <w:rPr>
          <w:rFonts w:hint="eastAsia" w:cs="宋体"/>
          <w:highlight w:val="none"/>
        </w:rPr>
        <w:t>桂建标【2023】</w:t>
      </w:r>
    </w:p>
    <w:p w14:paraId="34B74CED">
      <w:pPr>
        <w:numPr>
          <w:ilvl w:val="0"/>
          <w:numId w:val="0"/>
        </w:numPr>
        <w:spacing w:line="360" w:lineRule="auto"/>
        <w:rPr>
          <w:rFonts w:hint="eastAsia" w:cs="宋体"/>
          <w:highlight w:val="none"/>
        </w:rPr>
      </w:pPr>
      <w:r>
        <w:rPr>
          <w:rFonts w:hint="eastAsia" w:cs="宋体"/>
          <w:highlight w:val="none"/>
        </w:rPr>
        <w:t>7号</w:t>
      </w:r>
      <w:r>
        <w:rPr>
          <w:rFonts w:hint="eastAsia" w:cs="宋体"/>
          <w:highlight w:val="none"/>
          <w:lang w:eastAsia="zh-CN"/>
        </w:rPr>
        <w:t>）</w:t>
      </w:r>
      <w:r>
        <w:rPr>
          <w:rFonts w:hint="eastAsia" w:cs="宋体"/>
          <w:highlight w:val="none"/>
        </w:rPr>
        <w:t>。</w:t>
      </w:r>
    </w:p>
    <w:p w14:paraId="5DAF0BAA">
      <w:pPr>
        <w:numPr>
          <w:ilvl w:val="0"/>
          <w:numId w:val="9"/>
        </w:numPr>
        <w:spacing w:line="360" w:lineRule="auto"/>
        <w:ind w:firstLine="420" w:firstLineChars="200"/>
        <w:rPr>
          <w:rFonts w:hint="eastAsia" w:cs="宋体"/>
          <w:highlight w:val="none"/>
        </w:rPr>
      </w:pPr>
      <w:r>
        <w:rPr>
          <w:rFonts w:hint="eastAsia" w:cs="宋体"/>
          <w:highlight w:val="none"/>
        </w:rPr>
        <w:t>桂建标</w:t>
      </w:r>
      <w:r>
        <w:rPr>
          <w:rFonts w:hint="eastAsia" w:cs="宋体"/>
          <w:highlight w:val="none"/>
          <w:lang w:eastAsia="zh-CN"/>
        </w:rPr>
        <w:t>〔2019〕12号</w:t>
      </w:r>
      <w:r>
        <w:rPr>
          <w:rFonts w:hint="eastAsia" w:cs="宋体"/>
          <w:highlight w:val="none"/>
        </w:rPr>
        <w:t>文《自治区住房城乡建设厅关于调整建设工程计价增值税税率的通知》</w:t>
      </w:r>
      <w:r>
        <w:rPr>
          <w:rFonts w:hint="eastAsia" w:cs="宋体"/>
          <w:highlight w:val="none"/>
          <w:lang w:val="en-US" w:eastAsia="zh-CN"/>
        </w:rPr>
        <w:t>；</w:t>
      </w:r>
    </w:p>
    <w:p w14:paraId="27E27540">
      <w:pPr>
        <w:numPr>
          <w:ilvl w:val="0"/>
          <w:numId w:val="9"/>
        </w:numPr>
        <w:spacing w:line="360" w:lineRule="auto"/>
        <w:ind w:firstLine="420" w:firstLineChars="200"/>
        <w:rPr>
          <w:rFonts w:hint="eastAsia" w:cs="宋体"/>
          <w:highlight w:val="none"/>
        </w:rPr>
      </w:pPr>
      <w:r>
        <w:rPr>
          <w:rFonts w:hint="eastAsia" w:cs="宋体"/>
          <w:highlight w:val="none"/>
        </w:rPr>
        <w:t>《自治区住房城乡建设厅关于印发广西壮族自治区房屋建筑和市政基础设施工程安全生产责任保险计价规定的通知》</w:t>
      </w:r>
      <w:r>
        <w:rPr>
          <w:rFonts w:hint="eastAsia" w:cs="宋体"/>
          <w:highlight w:val="none"/>
          <w:lang w:eastAsia="zh-CN"/>
        </w:rPr>
        <w:t>（</w:t>
      </w:r>
      <w:r>
        <w:rPr>
          <w:rFonts w:hint="eastAsia" w:cs="宋体"/>
          <w:highlight w:val="none"/>
        </w:rPr>
        <w:t>桂建发</w:t>
      </w:r>
      <w:r>
        <w:rPr>
          <w:rFonts w:hint="eastAsia" w:cs="宋体"/>
          <w:highlight w:val="none"/>
          <w:lang w:eastAsia="zh-CN"/>
        </w:rPr>
        <w:t>〔2023〕6号）</w:t>
      </w:r>
      <w:r>
        <w:rPr>
          <w:rFonts w:hint="eastAsia" w:cs="宋体"/>
          <w:highlight w:val="none"/>
          <w:lang w:val="en-US" w:eastAsia="zh-CN"/>
        </w:rPr>
        <w:t>；</w:t>
      </w:r>
    </w:p>
    <w:p w14:paraId="66C62300">
      <w:pPr>
        <w:spacing w:line="360" w:lineRule="auto"/>
        <w:ind w:firstLine="420" w:firstLineChars="200"/>
        <w:rPr>
          <w:rFonts w:hint="eastAsia" w:cs="宋体"/>
          <w:highlight w:val="none"/>
        </w:rPr>
      </w:pPr>
      <w:r>
        <w:rPr>
          <w:rFonts w:hint="eastAsia" w:cs="宋体"/>
          <w:highlight w:val="none"/>
          <w:lang w:eastAsia="zh-CN"/>
        </w:rPr>
        <w:t>（</w:t>
      </w:r>
      <w:r>
        <w:rPr>
          <w:rFonts w:hint="eastAsia" w:cs="宋体"/>
          <w:highlight w:val="none"/>
          <w:lang w:val="en-US" w:eastAsia="zh-CN"/>
        </w:rPr>
        <w:t>7）</w:t>
      </w:r>
      <w:r>
        <w:rPr>
          <w:rFonts w:hint="eastAsia" w:cs="宋体"/>
          <w:highlight w:val="none"/>
        </w:rPr>
        <w:t>材料价格按《玉林建设工程造价信息》最新公布的2025年第5期陆川县信息价计算，这造价信息未刊登的材料按南宁信息价或调查市场价综合价计算。</w:t>
      </w:r>
    </w:p>
    <w:p w14:paraId="7ABBADB1">
      <w:pPr>
        <w:spacing w:line="360" w:lineRule="auto"/>
        <w:ind w:firstLine="420" w:firstLineChars="200"/>
        <w:rPr>
          <w:rFonts w:hint="eastAsia" w:cs="宋体"/>
          <w:highlight w:val="none"/>
        </w:rPr>
      </w:pPr>
      <w:r>
        <w:rPr>
          <w:rFonts w:hint="eastAsia" w:cs="宋体"/>
          <w:highlight w:val="none"/>
          <w:lang w:eastAsia="zh-CN"/>
        </w:rPr>
        <w:t>（</w:t>
      </w:r>
      <w:r>
        <w:rPr>
          <w:rFonts w:hint="eastAsia" w:cs="宋体"/>
          <w:highlight w:val="none"/>
          <w:lang w:val="en-US" w:eastAsia="zh-CN"/>
        </w:rPr>
        <w:t>8）</w:t>
      </w:r>
      <w:r>
        <w:rPr>
          <w:rFonts w:hint="eastAsia" w:cs="宋体"/>
          <w:highlight w:val="none"/>
        </w:rPr>
        <w:t>本工程的工程量清单所列的工程量只能作为各投标人投标时的共同基础，不能作为最终的结算依据，结算时以竣工图纸或实际验收的工程量为准。</w:t>
      </w:r>
    </w:p>
    <w:p w14:paraId="11D50E05">
      <w:pPr>
        <w:spacing w:line="360" w:lineRule="auto"/>
        <w:ind w:firstLine="420" w:firstLineChars="200"/>
      </w:pPr>
      <w:r>
        <w:t xml:space="preserve">2.2 </w:t>
      </w:r>
      <w:r>
        <w:rPr>
          <w:rFonts w:hint="eastAsia" w:hAnsi="宋体" w:cs="宋体"/>
        </w:rPr>
        <w:t>分部分项及单价措施项目综合单价应包括</w:t>
      </w:r>
      <w:r>
        <w:rPr>
          <w:rFonts w:hint="eastAsia" w:hAnsi="宋体" w:cs="宋体"/>
          <w:lang w:val="en-US" w:eastAsia="zh-CN"/>
        </w:rPr>
        <w:t>磋商</w:t>
      </w:r>
      <w:r>
        <w:rPr>
          <w:rFonts w:hint="eastAsia" w:hAnsi="宋体" w:cs="宋体"/>
        </w:rPr>
        <w:t>文件中采购人要求供应商所承担的风险内容及其范围（幅度）产生的风险费用。</w:t>
      </w:r>
    </w:p>
    <w:p w14:paraId="35FCD715">
      <w:pPr>
        <w:spacing w:line="360" w:lineRule="auto"/>
        <w:ind w:firstLine="420"/>
      </w:pPr>
      <w:r>
        <w:t xml:space="preserve">2.3 </w:t>
      </w:r>
      <w:r>
        <w:rPr>
          <w:rFonts w:hint="eastAsia" w:hAnsi="宋体" w:cs="宋体"/>
        </w:rPr>
        <w:t>总价措施项目应根据拟定的</w:t>
      </w:r>
      <w:r>
        <w:rPr>
          <w:rFonts w:hint="eastAsia" w:hAnsi="宋体" w:cs="宋体"/>
          <w:lang w:val="en-US" w:eastAsia="zh-CN"/>
        </w:rPr>
        <w:t>磋商</w:t>
      </w:r>
      <w:r>
        <w:rPr>
          <w:rFonts w:hint="eastAsia" w:hAnsi="宋体" w:cs="宋体"/>
        </w:rPr>
        <w:t>文件和常规施工方案按《计价规范》和《计算规范》规定编制。</w:t>
      </w:r>
    </w:p>
    <w:p w14:paraId="5D44A37C">
      <w:pPr>
        <w:spacing w:line="360" w:lineRule="auto"/>
        <w:ind w:firstLine="420" w:firstLineChars="200"/>
      </w:pPr>
      <w:r>
        <w:t xml:space="preserve">2.4 </w:t>
      </w:r>
      <w:r>
        <w:rPr>
          <w:rFonts w:hint="eastAsia" w:cs="宋体"/>
        </w:rPr>
        <w:t>其他项目费应按下列规定报价：</w:t>
      </w:r>
    </w:p>
    <w:p w14:paraId="71833829">
      <w:pPr>
        <w:spacing w:line="360" w:lineRule="auto"/>
        <w:ind w:firstLine="420" w:firstLineChars="200"/>
      </w:pPr>
      <w:r>
        <w:rPr>
          <w:rFonts w:hint="eastAsia" w:cs="宋体"/>
        </w:rPr>
        <w:t>（</w:t>
      </w:r>
      <w:r>
        <w:t>1</w:t>
      </w:r>
      <w:r>
        <w:rPr>
          <w:rFonts w:hint="eastAsia" w:cs="宋体"/>
        </w:rPr>
        <w:t>）暂列金额应按工程量清单中列出的金额填写；</w:t>
      </w:r>
    </w:p>
    <w:p w14:paraId="270AF2A1">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0B04E6FF">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4152AE30">
      <w:pPr>
        <w:spacing w:line="360" w:lineRule="auto"/>
        <w:ind w:firstLine="420" w:firstLineChars="200"/>
      </w:pPr>
      <w:r>
        <w:rPr>
          <w:rFonts w:hint="eastAsia" w:cs="宋体"/>
        </w:rPr>
        <w:t>（</w:t>
      </w:r>
      <w:r>
        <w:t>4</w:t>
      </w:r>
      <w:r>
        <w:rPr>
          <w:rFonts w:hint="eastAsia" w:cs="宋体"/>
        </w:rPr>
        <w:t>）计日工应按工程量清单中列出的项目和数量，根据工程特点和有关计价依据确定的综合单价计算；</w:t>
      </w:r>
    </w:p>
    <w:p w14:paraId="6D7A61D8">
      <w:pPr>
        <w:spacing w:line="360" w:lineRule="auto"/>
        <w:ind w:firstLine="420" w:firstLineChars="200"/>
        <w:rPr>
          <w:rFonts w:cs="宋体"/>
        </w:rPr>
      </w:pPr>
      <w:r>
        <w:rPr>
          <w:rFonts w:hint="eastAsia" w:cs="宋体"/>
        </w:rPr>
        <w:t>（</w:t>
      </w:r>
      <w:r>
        <w:t>5</w:t>
      </w:r>
      <w:r>
        <w:rPr>
          <w:rFonts w:hint="eastAsia" w:cs="宋体"/>
        </w:rPr>
        <w:t>）总承包服务费应根据工程量清单列出的内容</w:t>
      </w:r>
      <w:r>
        <w:rPr>
          <w:rFonts w:hint="eastAsia" w:hAnsi="宋体" w:cs="宋体"/>
        </w:rPr>
        <w:t>和要求，按自治区住房城乡建设行政主管部门颁发的计价定额及有关规定计算</w:t>
      </w:r>
      <w:r>
        <w:rPr>
          <w:rFonts w:hint="eastAsia" w:cs="宋体"/>
        </w:rPr>
        <w:t>。</w:t>
      </w:r>
    </w:p>
    <w:p w14:paraId="2DAB70F5">
      <w:pPr>
        <w:spacing w:line="360" w:lineRule="auto"/>
        <w:ind w:firstLine="420" w:firstLineChars="200"/>
        <w:rPr>
          <w:rFonts w:hint="eastAsia"/>
        </w:rPr>
      </w:pPr>
      <w:r>
        <w:rPr>
          <w:rFonts w:hint="eastAsia"/>
        </w:rPr>
        <w:t>（6）对建设单位创建优质工程的，鼓励在招标控制价和预算中按广西区工程建设定额规定计列工程优质费，并明确工程优质费不可竞争。</w:t>
      </w:r>
    </w:p>
    <w:p w14:paraId="2AEE36F8">
      <w:pPr>
        <w:spacing w:line="360" w:lineRule="auto"/>
        <w:ind w:firstLine="420" w:firstLineChars="200"/>
      </w:pPr>
      <w:r>
        <w:t xml:space="preserve">2.5 </w:t>
      </w:r>
      <w:r>
        <w:rPr>
          <w:rFonts w:hint="eastAsia" w:cs="宋体"/>
        </w:rPr>
        <w:t>规费和增值税应按规定确定，作为不可竞争费用。</w:t>
      </w:r>
    </w:p>
    <w:p w14:paraId="3D5E0414">
      <w:pPr>
        <w:spacing w:line="360" w:lineRule="auto"/>
        <w:ind w:firstLine="420"/>
        <w:rPr>
          <w:rFonts w:hAnsi="宋体"/>
        </w:rPr>
      </w:pPr>
      <w:r>
        <w:t xml:space="preserve">2.6 </w:t>
      </w:r>
      <w:r>
        <w:rPr>
          <w:rFonts w:hint="eastAsia" w:hAnsi="宋体" w:cs="宋体"/>
        </w:rPr>
        <w:t>其他需要说明的问题：</w:t>
      </w:r>
      <w:r>
        <w:rPr>
          <w:u w:val="single"/>
        </w:rPr>
        <w:t xml:space="preserve">   </w:t>
      </w:r>
      <w:r>
        <w:rPr>
          <w:rFonts w:hint="eastAsia"/>
          <w:u w:val="single"/>
        </w:rPr>
        <w:t>/</w:t>
      </w:r>
      <w:r>
        <w:rPr>
          <w:u w:val="single"/>
        </w:rPr>
        <w:t xml:space="preserve">                                   </w:t>
      </w:r>
      <w:r>
        <w:rPr>
          <w:rFonts w:hint="eastAsia" w:hAnsi="宋体" w:cs="宋体"/>
        </w:rPr>
        <w:t>。</w:t>
      </w:r>
    </w:p>
    <w:p w14:paraId="3B697DCE">
      <w:pPr>
        <w:pStyle w:val="3"/>
        <w:spacing w:before="0" w:after="0" w:line="360" w:lineRule="auto"/>
      </w:pPr>
      <w:bookmarkStart w:id="100" w:name="_Toc78449871"/>
      <w:bookmarkStart w:id="101" w:name="_Toc122424495"/>
      <w:bookmarkStart w:id="102" w:name="_Toc378483916"/>
      <w:bookmarkStart w:id="103" w:name="_Toc879821176"/>
      <w:bookmarkStart w:id="104" w:name="_Toc407135286"/>
      <w:r>
        <w:t>3</w:t>
      </w:r>
      <w:r>
        <w:rPr>
          <w:rFonts w:hint="eastAsia"/>
        </w:rPr>
        <w:t>.</w:t>
      </w:r>
      <w:r>
        <w:rPr>
          <w:rFonts w:hint="eastAsia" w:cs="黑体"/>
        </w:rPr>
        <w:t>竞标报价（已标价工程量清单）编制说明</w:t>
      </w:r>
      <w:bookmarkEnd w:id="100"/>
      <w:bookmarkEnd w:id="101"/>
      <w:bookmarkEnd w:id="102"/>
      <w:bookmarkEnd w:id="103"/>
      <w:bookmarkEnd w:id="104"/>
    </w:p>
    <w:p w14:paraId="4C902F33">
      <w:pPr>
        <w:spacing w:line="360" w:lineRule="auto"/>
        <w:ind w:firstLine="420" w:firstLineChars="200"/>
      </w:pPr>
      <w:r>
        <w:t xml:space="preserve">3.1 </w:t>
      </w:r>
      <w:r>
        <w:rPr>
          <w:rFonts w:hint="eastAsia" w:cs="宋体"/>
        </w:rPr>
        <w:t>供应商应依据</w:t>
      </w:r>
      <w:r>
        <w:rPr>
          <w:rFonts w:hint="eastAsia" w:cs="宋体"/>
          <w:lang w:val="en-US" w:eastAsia="zh-CN"/>
        </w:rPr>
        <w:t>磋商</w:t>
      </w:r>
      <w:r>
        <w:rPr>
          <w:rFonts w:hint="eastAsia" w:cs="宋体"/>
        </w:rPr>
        <w:t>文件、工程量清单以及《计价规范》、《计算规范》自主报价，自主报价</w:t>
      </w:r>
      <w:r>
        <w:rPr>
          <w:rFonts w:hint="eastAsia" w:hAnsi="宋体" w:cs="宋体"/>
        </w:rPr>
        <w:t>不得违反计价规范强制性条文规定。</w:t>
      </w:r>
      <w:r>
        <w:rPr>
          <w:rFonts w:hint="eastAsia" w:cs="宋体"/>
        </w:rPr>
        <w:t>供应商不得采用总价让利或以百分比让利等形式进行报价，任何优惠（或降价、让利）均应反映在相应清单项目的综合单价中。同时，不得出现任意一项单价重大让利，</w:t>
      </w:r>
      <w:r>
        <w:rPr>
          <w:rFonts w:hint="eastAsia" w:hAnsi="宋体" w:cs="宋体"/>
        </w:rPr>
        <w:t>不得以自有机械闲置、自有材料等不计成本为由</w:t>
      </w:r>
      <w:r>
        <w:rPr>
          <w:rFonts w:hint="eastAsia" w:cs="宋体"/>
        </w:rPr>
        <w:t>低于工程成本报价。</w:t>
      </w:r>
    </w:p>
    <w:p w14:paraId="581584A9">
      <w:pPr>
        <w:spacing w:line="360" w:lineRule="auto"/>
        <w:ind w:firstLine="420" w:firstLineChars="200"/>
        <w:rPr>
          <w:rFonts w:hAnsi="宋体"/>
        </w:rPr>
      </w:pPr>
      <w:r>
        <w:t xml:space="preserve">3.2 </w:t>
      </w:r>
      <w:r>
        <w:rPr>
          <w:rFonts w:hint="eastAsia" w:cs="宋体"/>
        </w:rPr>
        <w:t>供应商应按工程量清单填报价格。项目编码、项目名称、项目特征、计量单位、工程量必须与工程量清单一致，</w:t>
      </w:r>
      <w:r>
        <w:rPr>
          <w:rFonts w:hint="eastAsia" w:hAnsi="宋体" w:cs="宋体"/>
        </w:rPr>
        <w:t>供应商不得对工程量清单项目进行增减调整。</w:t>
      </w:r>
    </w:p>
    <w:p w14:paraId="291A306C">
      <w:pPr>
        <w:spacing w:line="360" w:lineRule="auto"/>
        <w:ind w:firstLine="420" w:firstLineChars="200"/>
      </w:pPr>
      <w:r>
        <w:t xml:space="preserve">3.3 </w:t>
      </w:r>
      <w:r>
        <w:rPr>
          <w:rFonts w:hint="eastAsia" w:cs="宋体"/>
        </w:rPr>
        <w:t>综合单价中应包含</w:t>
      </w:r>
      <w:r>
        <w:rPr>
          <w:rFonts w:hint="eastAsia" w:cs="宋体"/>
          <w:lang w:val="en-US" w:eastAsia="zh-CN"/>
        </w:rPr>
        <w:t>磋商</w:t>
      </w:r>
      <w:r>
        <w:rPr>
          <w:rFonts w:hint="eastAsia" w:cs="宋体"/>
        </w:rPr>
        <w:t>文件中划分的应由供应商承担的风险范围及其费用。</w:t>
      </w:r>
    </w:p>
    <w:p w14:paraId="0A6FBC26">
      <w:pPr>
        <w:spacing w:line="360" w:lineRule="auto"/>
        <w:ind w:firstLine="420" w:firstLineChars="200"/>
        <w:rPr>
          <w:rFonts w:hAnsi="宋体"/>
        </w:rPr>
      </w:pPr>
      <w:r>
        <w:t xml:space="preserve">3.4 </w:t>
      </w:r>
      <w:r>
        <w:rPr>
          <w:rFonts w:hint="eastAsia" w:hAnsi="宋体" w:cs="宋体"/>
        </w:rPr>
        <w:t>分部分项工程项目和单价措施项目，应根据</w:t>
      </w:r>
      <w:r>
        <w:rPr>
          <w:rFonts w:hint="eastAsia" w:hAnsi="宋体" w:cs="宋体"/>
          <w:lang w:val="en-US" w:eastAsia="zh-CN"/>
        </w:rPr>
        <w:t>磋商</w:t>
      </w:r>
      <w:r>
        <w:rPr>
          <w:rFonts w:hint="eastAsia" w:hAnsi="宋体" w:cs="宋体"/>
        </w:rPr>
        <w:t>文件和工程量清单项目中的特征描述确定综合单价计算。如出现工程量清单特征描述与设计图纸不符时，供应商应以工程量清单的项目特征描述为准，确定竞标报价的综合单价。</w:t>
      </w:r>
    </w:p>
    <w:p w14:paraId="5F012B56">
      <w:pPr>
        <w:spacing w:line="360" w:lineRule="auto"/>
        <w:ind w:firstLine="420" w:firstLineChars="200"/>
      </w:pPr>
      <w:r>
        <w:t xml:space="preserve">3.5 </w:t>
      </w:r>
      <w:r>
        <w:rPr>
          <w:rFonts w:hint="eastAsia" w:hAnsi="宋体" w:cs="宋体"/>
        </w:rPr>
        <w:t>总价措施项目的金额应根据</w:t>
      </w:r>
      <w:r>
        <w:rPr>
          <w:rFonts w:hint="eastAsia" w:hAnsi="宋体" w:cs="宋体"/>
          <w:lang w:val="en-US" w:eastAsia="zh-CN"/>
        </w:rPr>
        <w:t>磋商</w:t>
      </w:r>
      <w:r>
        <w:rPr>
          <w:rFonts w:hint="eastAsia" w:hAnsi="宋体" w:cs="宋体"/>
        </w:rPr>
        <w:t>文件及竞标时拟定的施工组织设计或施工方案，按计价规范的规定自主确定。但</w:t>
      </w:r>
      <w:r>
        <w:rPr>
          <w:rFonts w:hint="eastAsia" w:cs="宋体"/>
        </w:rPr>
        <w:t>安全文明施工费按国家、省级或行业建设主管部门的有关规定执行，作为不竞争费用单列。</w:t>
      </w:r>
    </w:p>
    <w:p w14:paraId="6B6EA57D">
      <w:pPr>
        <w:spacing w:line="360" w:lineRule="auto"/>
        <w:ind w:firstLine="420" w:firstLineChars="200"/>
      </w:pPr>
      <w:r>
        <w:t xml:space="preserve">3.6 </w:t>
      </w:r>
      <w:r>
        <w:rPr>
          <w:rFonts w:hint="eastAsia" w:cs="宋体"/>
        </w:rPr>
        <w:t>其他项目费应按下列规定报价：</w:t>
      </w:r>
    </w:p>
    <w:p w14:paraId="34F99BCD">
      <w:pPr>
        <w:spacing w:line="360" w:lineRule="auto"/>
        <w:ind w:firstLine="420" w:firstLineChars="200"/>
      </w:pPr>
      <w:r>
        <w:rPr>
          <w:rFonts w:hint="eastAsia" w:cs="宋体"/>
        </w:rPr>
        <w:t>（</w:t>
      </w:r>
      <w:r>
        <w:t>1</w:t>
      </w:r>
      <w:r>
        <w:rPr>
          <w:rFonts w:hint="eastAsia" w:cs="宋体"/>
        </w:rPr>
        <w:t>）暂列金额应按工程量清单中列出的金额填写；</w:t>
      </w:r>
    </w:p>
    <w:p w14:paraId="311BA09F">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6426B38C">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0DB2D1F0">
      <w:pPr>
        <w:spacing w:line="360" w:lineRule="auto"/>
        <w:ind w:firstLine="420" w:firstLineChars="200"/>
      </w:pPr>
      <w:r>
        <w:rPr>
          <w:rFonts w:hint="eastAsia" w:cs="宋体"/>
        </w:rPr>
        <w:t>（</w:t>
      </w:r>
      <w:r>
        <w:t>4</w:t>
      </w:r>
      <w:r>
        <w:rPr>
          <w:rFonts w:hint="eastAsia" w:cs="宋体"/>
        </w:rPr>
        <w:t>）计日工应按工程量清单中列出的项目和估算数量，自主确定综合单价并计算计日工总额；计日工单价均不含规费和税金；</w:t>
      </w:r>
    </w:p>
    <w:p w14:paraId="72FB9DD3">
      <w:pPr>
        <w:spacing w:line="360" w:lineRule="auto"/>
        <w:ind w:firstLine="420" w:firstLineChars="200"/>
        <w:rPr>
          <w:rFonts w:cs="宋体"/>
        </w:rPr>
      </w:pPr>
      <w:r>
        <w:rPr>
          <w:rFonts w:hint="eastAsia" w:cs="宋体"/>
        </w:rPr>
        <w:t>（</w:t>
      </w:r>
      <w:r>
        <w:t>5</w:t>
      </w:r>
      <w:r>
        <w:rPr>
          <w:rFonts w:hint="eastAsia" w:cs="宋体"/>
        </w:rPr>
        <w:t>）总承包服务费应根据工程量清单中列出的内容</w:t>
      </w:r>
      <w:r>
        <w:rPr>
          <w:rFonts w:hint="eastAsia" w:hAnsi="宋体" w:cs="宋体"/>
        </w:rPr>
        <w:t>和供应材料、设备情况，按照采购人提出的协调、配合与服务要求和施工现场管理需要</w:t>
      </w:r>
      <w:r>
        <w:rPr>
          <w:rFonts w:hint="eastAsia" w:cs="宋体"/>
        </w:rPr>
        <w:t>自主确定。</w:t>
      </w:r>
    </w:p>
    <w:p w14:paraId="607CC7CA">
      <w:pPr>
        <w:spacing w:line="360" w:lineRule="auto"/>
        <w:ind w:firstLine="420" w:firstLineChars="200"/>
        <w:rPr>
          <w:rFonts w:hint="eastAsia"/>
        </w:rPr>
      </w:pPr>
      <w:r>
        <w:rPr>
          <w:rFonts w:hint="eastAsia"/>
        </w:rPr>
        <w:t>（6）对建设单位创建优质工程的，鼓励在招标控制价和预算中按我区工程建设定额规定计列工程优质费，并明确工程优质费不可竞争。</w:t>
      </w:r>
    </w:p>
    <w:p w14:paraId="468AF7F2">
      <w:pPr>
        <w:spacing w:line="360" w:lineRule="auto"/>
        <w:ind w:firstLine="420" w:firstLineChars="200"/>
      </w:pPr>
      <w:r>
        <w:t xml:space="preserve">3.7 </w:t>
      </w:r>
      <w:r>
        <w:rPr>
          <w:rFonts w:hint="eastAsia" w:cs="宋体"/>
        </w:rPr>
        <w:t>规费和增值税应按规定确定，作为不可竞争费用。</w:t>
      </w:r>
    </w:p>
    <w:p w14:paraId="0D3DC993">
      <w:pPr>
        <w:spacing w:line="360" w:lineRule="auto"/>
        <w:ind w:firstLine="420" w:firstLineChars="200"/>
      </w:pPr>
      <w:r>
        <w:t xml:space="preserve">3.8 </w:t>
      </w:r>
      <w:r>
        <w:rPr>
          <w:rFonts w:hint="eastAsia" w:cs="宋体"/>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61D0E0B">
      <w:pPr>
        <w:spacing w:line="360" w:lineRule="auto"/>
        <w:ind w:firstLine="420" w:firstLineChars="200"/>
      </w:pPr>
      <w:r>
        <w:t xml:space="preserve">3.9 </w:t>
      </w:r>
      <w:r>
        <w:rPr>
          <w:rFonts w:hint="eastAsia" w:cs="宋体"/>
        </w:rPr>
        <w:t>投标总价应当与分部分项工程费、措施项目费、其他项目费和规费、增值税的合计金额一致。</w:t>
      </w:r>
    </w:p>
    <w:p w14:paraId="6F9966A0">
      <w:pPr>
        <w:spacing w:line="360" w:lineRule="auto"/>
        <w:ind w:firstLine="420" w:firstLineChars="200"/>
      </w:pPr>
      <w:r>
        <w:t>3.1</w:t>
      </w:r>
      <w:r>
        <w:rPr>
          <w:rFonts w:hint="eastAsia"/>
        </w:rPr>
        <w:t>0</w:t>
      </w:r>
      <w:r>
        <w:t xml:space="preserve"> </w:t>
      </w:r>
      <w:r>
        <w:rPr>
          <w:rFonts w:hint="eastAsia" w:cs="宋体"/>
        </w:rPr>
        <w:t>供应商应按《允许调整主要材料和工程设备一览表》的内容填报，不得擅自调整材料和设备名称型号规格、单位、风险系数、基准单价。</w:t>
      </w:r>
    </w:p>
    <w:p w14:paraId="45D0602E">
      <w:pPr>
        <w:spacing w:line="360" w:lineRule="auto"/>
        <w:ind w:firstLine="420" w:firstLineChars="200"/>
        <w:rPr>
          <w:rFonts w:hAnsi="宋体"/>
        </w:rPr>
      </w:pPr>
      <w:r>
        <w:t>3.1</w:t>
      </w:r>
      <w:r>
        <w:rPr>
          <w:rFonts w:hint="eastAsia"/>
        </w:rPr>
        <w:t>1</w:t>
      </w:r>
      <w:r>
        <w:rPr>
          <w:rFonts w:hint="eastAsia" w:hAnsi="宋体" w:cs="宋体"/>
        </w:rPr>
        <w:t>竞标报价</w:t>
      </w:r>
      <w:r>
        <w:rPr>
          <w:rFonts w:hint="eastAsia" w:cs="宋体"/>
        </w:rPr>
        <w:t>表格按本工程工程量清单表格要求填写，并</w:t>
      </w:r>
      <w:r>
        <w:rPr>
          <w:rFonts w:hint="eastAsia" w:hAnsi="宋体" w:cs="宋体"/>
        </w:rPr>
        <w:t>应按</w:t>
      </w:r>
      <w:r>
        <w:rPr>
          <w:rFonts w:hint="eastAsia" w:hAnsi="宋体" w:cs="宋体"/>
          <w:lang w:val="en-US" w:eastAsia="zh-CN"/>
        </w:rPr>
        <w:t>磋商</w:t>
      </w:r>
      <w:r>
        <w:rPr>
          <w:rFonts w:hint="eastAsia" w:hAnsi="宋体" w:cs="宋体"/>
        </w:rPr>
        <w:t>文件的要求，附上《工程量清单综合单价分析表》（表</w:t>
      </w:r>
      <w:r>
        <w:t>-09</w:t>
      </w:r>
      <w:r>
        <w:rPr>
          <w:rFonts w:hint="eastAsia" w:hAnsi="宋体" w:cs="宋体"/>
        </w:rPr>
        <w:t>）和《主要清单项目工料机分析表》（表</w:t>
      </w:r>
      <w:r>
        <w:t>-10</w:t>
      </w:r>
      <w:r>
        <w:rPr>
          <w:rFonts w:hint="eastAsia" w:hAnsi="宋体" w:cs="宋体"/>
        </w:rPr>
        <w:t>）。</w:t>
      </w:r>
    </w:p>
    <w:p w14:paraId="39BDD251">
      <w:pPr>
        <w:spacing w:line="360" w:lineRule="auto"/>
        <w:ind w:firstLine="420" w:firstLineChars="200"/>
        <w:rPr>
          <w:rFonts w:hint="eastAsia" w:cs="宋体"/>
        </w:rPr>
      </w:pPr>
      <w:r>
        <w:rPr>
          <w:rFonts w:hint="eastAsia" w:cs="宋体"/>
        </w:rPr>
        <w:t>未尽事宜详见本工程工程量清单、招标控制价编制说明以及现行《计价规范》等有关规定执行。</w:t>
      </w:r>
    </w:p>
    <w:p w14:paraId="0F8F586F">
      <w:pPr>
        <w:spacing w:line="360" w:lineRule="auto"/>
        <w:ind w:firstLine="420" w:firstLineChars="200"/>
        <w:rPr>
          <w:rFonts w:hint="eastAsia" w:cs="宋体"/>
        </w:rPr>
      </w:pPr>
      <w:r>
        <w:rPr>
          <w:rFonts w:hint="eastAsia" w:cs="宋体"/>
          <w:lang w:val="en-US" w:eastAsia="zh-CN"/>
        </w:rPr>
        <w:t xml:space="preserve">注：因 </w:t>
      </w:r>
      <w:r>
        <w:rPr>
          <w:rFonts w:hint="default" w:cs="宋体"/>
          <w:lang w:val="en-US" w:eastAsia="zh-CN"/>
        </w:rPr>
        <w:t xml:space="preserve">2021 </w:t>
      </w:r>
      <w:r>
        <w:rPr>
          <w:rFonts w:hint="eastAsia" w:cs="宋体"/>
          <w:lang w:val="en-US" w:eastAsia="zh-CN"/>
        </w:rPr>
        <w:t>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w:t>
      </w:r>
      <w:r>
        <w:rPr>
          <w:rFonts w:hint="default" w:cs="宋体"/>
          <w:lang w:val="en-US" w:eastAsia="zh-CN"/>
        </w:rPr>
        <w:t>2021</w:t>
      </w:r>
      <w:r>
        <w:rPr>
          <w:rFonts w:hint="eastAsia" w:cs="宋体"/>
          <w:lang w:val="en-US" w:eastAsia="zh-CN"/>
        </w:rPr>
        <w:t>〕</w:t>
      </w:r>
      <w:r>
        <w:rPr>
          <w:rFonts w:hint="default" w:cs="宋体"/>
          <w:lang w:val="en-US" w:eastAsia="zh-CN"/>
        </w:rPr>
        <w:t xml:space="preserve">6 </w:t>
      </w:r>
      <w:r>
        <w:rPr>
          <w:rFonts w:hint="eastAsia" w:cs="宋体"/>
          <w:lang w:val="en-US" w:eastAsia="zh-CN"/>
        </w:rPr>
        <w:t xml:space="preserve">号）中附件 </w:t>
      </w:r>
      <w:r>
        <w:rPr>
          <w:rFonts w:hint="default" w:cs="宋体"/>
          <w:lang w:val="en-US" w:eastAsia="zh-CN"/>
        </w:rPr>
        <w:t>1</w:t>
      </w:r>
      <w:r>
        <w:rPr>
          <w:rFonts w:hint="eastAsia" w:cs="宋体"/>
          <w:lang w:val="en-US" w:eastAsia="zh-CN"/>
        </w:rPr>
        <w:t>《建设工程工程量清单计价规范（</w:t>
      </w:r>
      <w:r>
        <w:rPr>
          <w:rFonts w:hint="default" w:cs="宋体"/>
          <w:lang w:val="en-US" w:eastAsia="zh-CN"/>
        </w:rPr>
        <w:t>GB50500-2013</w:t>
      </w:r>
      <w:r>
        <w:rPr>
          <w:rFonts w:hint="eastAsia" w:cs="宋体"/>
          <w:lang w:val="en-US" w:eastAsia="zh-CN"/>
        </w:rPr>
        <w:t>）广西壮族自治区实施细则》（适用于工程造价改革试点项目）相关表格，具体以采购人另册发放的工程量清单及相关说明为准。</w:t>
      </w:r>
    </w:p>
    <w:p w14:paraId="250042C4">
      <w:pPr>
        <w:pStyle w:val="31"/>
      </w:pPr>
    </w:p>
    <w:p w14:paraId="5CA4AD7F">
      <w:pPr>
        <w:pStyle w:val="3"/>
        <w:spacing w:before="0" w:after="0" w:line="360" w:lineRule="auto"/>
        <w:rPr>
          <w:rFonts w:hint="eastAsia" w:cs="黑体"/>
        </w:rPr>
      </w:pPr>
      <w:bookmarkStart w:id="105" w:name="_Toc122424496"/>
      <w:r>
        <w:rPr>
          <w:rFonts w:hint="eastAsia" w:cs="黑体"/>
        </w:rPr>
        <w:t>4.图纸（另册）</w:t>
      </w:r>
      <w:bookmarkEnd w:id="105"/>
    </w:p>
    <w:p w14:paraId="632607B5">
      <w:pPr>
        <w:pStyle w:val="3"/>
        <w:spacing w:before="0" w:after="0" w:line="360" w:lineRule="auto"/>
        <w:jc w:val="both"/>
        <w:rPr>
          <w:rFonts w:hint="eastAsia"/>
        </w:rPr>
      </w:pPr>
    </w:p>
    <w:p w14:paraId="1142FC8E">
      <w:pPr>
        <w:rPr>
          <w:rFonts w:hint="eastAsia"/>
        </w:rPr>
      </w:pPr>
    </w:p>
    <w:p w14:paraId="18523E41">
      <w:pPr>
        <w:pStyle w:val="31"/>
        <w:rPr>
          <w:rFonts w:hint="eastAsia"/>
        </w:rPr>
      </w:pPr>
    </w:p>
    <w:p w14:paraId="74D191E1">
      <w:pPr>
        <w:pStyle w:val="11"/>
        <w:rPr>
          <w:rFonts w:hint="eastAsia"/>
        </w:rPr>
      </w:pPr>
    </w:p>
    <w:p w14:paraId="23822530">
      <w:pPr>
        <w:rPr>
          <w:rFonts w:hint="eastAsia"/>
        </w:rPr>
      </w:pPr>
    </w:p>
    <w:p w14:paraId="37488622">
      <w:pPr>
        <w:pStyle w:val="31"/>
        <w:rPr>
          <w:rFonts w:hint="eastAsia"/>
        </w:rPr>
      </w:pPr>
    </w:p>
    <w:p w14:paraId="0A64CD65">
      <w:pPr>
        <w:pStyle w:val="11"/>
        <w:rPr>
          <w:rFonts w:hint="eastAsia"/>
        </w:rPr>
      </w:pPr>
    </w:p>
    <w:p w14:paraId="6DE1E459">
      <w:pPr>
        <w:rPr>
          <w:rFonts w:hint="eastAsia"/>
        </w:rPr>
      </w:pPr>
    </w:p>
    <w:p w14:paraId="39E4B096">
      <w:pPr>
        <w:pStyle w:val="31"/>
        <w:rPr>
          <w:rFonts w:hint="eastAsia"/>
        </w:rPr>
      </w:pPr>
    </w:p>
    <w:p w14:paraId="2FD4BCDF">
      <w:pPr>
        <w:numPr>
          <w:ilvl w:val="0"/>
          <w:numId w:val="0"/>
        </w:numPr>
        <w:rPr>
          <w:rFonts w:hint="default"/>
          <w:lang w:val="en-US" w:eastAsia="zh-CN"/>
        </w:rPr>
      </w:pPr>
    </w:p>
    <w:p w14:paraId="38E8984C">
      <w:pPr>
        <w:pStyle w:val="31"/>
        <w:rPr>
          <w:rFonts w:hint="eastAsia"/>
          <w:lang w:val="en-US" w:eastAsia="zh-CN"/>
        </w:rPr>
      </w:pPr>
    </w:p>
    <w:p w14:paraId="6E24BCDB">
      <w:pPr>
        <w:pStyle w:val="11"/>
        <w:rPr>
          <w:rFonts w:hint="eastAsia"/>
          <w:lang w:val="en-US" w:eastAsia="zh-CN"/>
        </w:rPr>
      </w:pPr>
    </w:p>
    <w:p w14:paraId="1DC82587">
      <w:pPr>
        <w:rPr>
          <w:rFonts w:hint="eastAsia"/>
          <w:lang w:val="en-US" w:eastAsia="zh-CN"/>
        </w:rPr>
      </w:pPr>
    </w:p>
    <w:p w14:paraId="2E45F70F">
      <w:pPr>
        <w:pStyle w:val="31"/>
        <w:rPr>
          <w:rFonts w:hint="eastAsia"/>
          <w:lang w:val="en-US" w:eastAsia="zh-CN"/>
        </w:rPr>
      </w:pPr>
    </w:p>
    <w:p w14:paraId="6B97008B">
      <w:pPr>
        <w:jc w:val="both"/>
        <w:outlineLvl w:val="0"/>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06" w:name="_Toc26975"/>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88"/>
      <w:bookmarkEnd w:id="106"/>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07"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4E58AE82">
      <w:pPr>
        <w:snapToGrid w:val="0"/>
        <w:spacing w:before="156"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首次响应文件提交截止时间前不得启封</w:t>
      </w: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8" w:name="_Toc35611438"/>
      <w:bookmarkStart w:id="109" w:name="_Toc71366186"/>
      <w:bookmarkStart w:id="110" w:name="_Toc31723070"/>
      <w:bookmarkStart w:id="111" w:name="_Toc44229899"/>
      <w:bookmarkStart w:id="112" w:name="_Toc35611516"/>
      <w:bookmarkStart w:id="113" w:name="_Toc31728084"/>
      <w:r>
        <w:rPr>
          <w:rFonts w:hint="eastAsia"/>
          <w:b/>
          <w:color w:val="000000"/>
          <w:sz w:val="28"/>
          <w:szCs w:val="28"/>
          <w:highlight w:val="none"/>
        </w:rPr>
        <w:t>一、资格证明文件格式</w:t>
      </w:r>
      <w:bookmarkEnd w:id="108"/>
      <w:bookmarkEnd w:id="109"/>
      <w:bookmarkEnd w:id="110"/>
      <w:bookmarkEnd w:id="111"/>
      <w:bookmarkEnd w:id="112"/>
      <w:bookmarkEnd w:id="113"/>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2"/>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2B601D71">
      <w:pPr>
        <w:wordWrap w:val="0"/>
        <w:spacing w:before="156" w:beforeLines="50" w:after="50" w:line="320" w:lineRule="exact"/>
        <w:ind w:right="482" w:firstLine="200" w:firstLineChars="100"/>
        <w:contextualSpacing/>
        <w:jc w:val="center"/>
        <w:rPr>
          <w:rFonts w:hint="eastAsia" w:ascii="宋体" w:hAnsi="宋体"/>
          <w:color w:val="000000"/>
          <w:sz w:val="20"/>
          <w:szCs w:val="20"/>
          <w:highlight w:val="none"/>
        </w:rPr>
      </w:pPr>
    </w:p>
    <w:p w14:paraId="538A35EB">
      <w:pPr>
        <w:pStyle w:val="40"/>
        <w:spacing w:line="400" w:lineRule="atLeast"/>
        <w:jc w:val="center"/>
        <w:outlineLvl w:val="1"/>
        <w:rPr>
          <w:rStyle w:val="41"/>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基本情况表</w:t>
      </w:r>
      <w:r>
        <w:rPr>
          <w:rFonts w:hint="eastAsia" w:ascii="宋体" w:hAnsi="宋体" w:eastAsia="宋体" w:cs="宋体"/>
          <w:b/>
          <w:bCs/>
          <w:color w:val="auto"/>
          <w:sz w:val="28"/>
          <w:szCs w:val="28"/>
          <w:lang w:eastAsia="zh-CN"/>
        </w:rPr>
        <w:t>（格式）</w:t>
      </w:r>
    </w:p>
    <w:tbl>
      <w:tblPr>
        <w:tblStyle w:val="2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961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7C5D1D9">
            <w:pPr>
              <w:jc w:val="center"/>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名称</w:t>
            </w:r>
          </w:p>
        </w:tc>
        <w:tc>
          <w:tcPr>
            <w:tcW w:w="7341" w:type="dxa"/>
            <w:gridSpan w:val="8"/>
            <w:noWrap w:val="0"/>
            <w:vAlign w:val="center"/>
          </w:tcPr>
          <w:p w14:paraId="19BE9A24">
            <w:pPr>
              <w:jc w:val="center"/>
              <w:rPr>
                <w:rFonts w:hint="eastAsia" w:ascii="宋体" w:hAnsi="宋体" w:eastAsia="宋体" w:cs="宋体"/>
                <w:color w:val="auto"/>
              </w:rPr>
            </w:pPr>
          </w:p>
        </w:tc>
      </w:tr>
      <w:tr w14:paraId="133B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EFFF277">
            <w:pPr>
              <w:jc w:val="center"/>
              <w:rPr>
                <w:rFonts w:hint="eastAsia" w:ascii="宋体" w:hAnsi="宋体" w:eastAsia="宋体" w:cs="宋体"/>
                <w:color w:val="auto"/>
              </w:rPr>
            </w:pPr>
            <w:r>
              <w:rPr>
                <w:rFonts w:hint="eastAsia" w:ascii="宋体" w:hAnsi="宋体" w:eastAsia="宋体" w:cs="宋体"/>
                <w:color w:val="auto"/>
              </w:rPr>
              <w:t>注册地址</w:t>
            </w:r>
          </w:p>
        </w:tc>
        <w:tc>
          <w:tcPr>
            <w:tcW w:w="3389" w:type="dxa"/>
            <w:gridSpan w:val="4"/>
            <w:noWrap w:val="0"/>
            <w:vAlign w:val="center"/>
          </w:tcPr>
          <w:p w14:paraId="5B72F411">
            <w:pPr>
              <w:jc w:val="center"/>
              <w:rPr>
                <w:rFonts w:hint="eastAsia" w:ascii="宋体" w:hAnsi="宋体" w:eastAsia="宋体" w:cs="宋体"/>
                <w:color w:val="auto"/>
              </w:rPr>
            </w:pPr>
          </w:p>
        </w:tc>
        <w:tc>
          <w:tcPr>
            <w:tcW w:w="1246" w:type="dxa"/>
            <w:noWrap w:val="0"/>
            <w:vAlign w:val="center"/>
          </w:tcPr>
          <w:p w14:paraId="5959BF08">
            <w:pPr>
              <w:jc w:val="center"/>
              <w:rPr>
                <w:rFonts w:hint="eastAsia" w:ascii="宋体" w:hAnsi="宋体" w:eastAsia="宋体" w:cs="宋体"/>
                <w:color w:val="auto"/>
              </w:rPr>
            </w:pPr>
            <w:r>
              <w:rPr>
                <w:rFonts w:hint="eastAsia" w:ascii="宋体" w:hAnsi="宋体" w:eastAsia="宋体" w:cs="宋体"/>
                <w:color w:val="auto"/>
              </w:rPr>
              <w:t>邮政编码</w:t>
            </w:r>
          </w:p>
        </w:tc>
        <w:tc>
          <w:tcPr>
            <w:tcW w:w="2706" w:type="dxa"/>
            <w:gridSpan w:val="3"/>
            <w:noWrap w:val="0"/>
            <w:vAlign w:val="center"/>
          </w:tcPr>
          <w:p w14:paraId="1255F4D6">
            <w:pPr>
              <w:jc w:val="center"/>
              <w:rPr>
                <w:rFonts w:hint="eastAsia" w:ascii="宋体" w:hAnsi="宋体" w:eastAsia="宋体" w:cs="宋体"/>
                <w:color w:val="auto"/>
              </w:rPr>
            </w:pPr>
          </w:p>
        </w:tc>
      </w:tr>
      <w:tr w14:paraId="58E0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42B7E65F">
            <w:pPr>
              <w:jc w:val="center"/>
              <w:rPr>
                <w:rFonts w:hint="eastAsia" w:ascii="宋体" w:hAnsi="宋体" w:eastAsia="宋体" w:cs="宋体"/>
                <w:color w:val="auto"/>
              </w:rPr>
            </w:pPr>
            <w:r>
              <w:rPr>
                <w:rFonts w:hint="eastAsia" w:ascii="宋体" w:hAnsi="宋体" w:eastAsia="宋体" w:cs="宋体"/>
                <w:color w:val="auto"/>
              </w:rPr>
              <w:t>联系方式</w:t>
            </w:r>
          </w:p>
        </w:tc>
        <w:tc>
          <w:tcPr>
            <w:tcW w:w="897" w:type="dxa"/>
            <w:noWrap w:val="0"/>
            <w:vAlign w:val="center"/>
          </w:tcPr>
          <w:p w14:paraId="157A3006">
            <w:pPr>
              <w:jc w:val="center"/>
              <w:rPr>
                <w:rFonts w:hint="eastAsia" w:ascii="宋体" w:hAnsi="宋体" w:eastAsia="宋体" w:cs="宋体"/>
                <w:color w:val="auto"/>
              </w:rPr>
            </w:pPr>
            <w:r>
              <w:rPr>
                <w:rFonts w:hint="eastAsia" w:ascii="宋体" w:hAnsi="宋体" w:eastAsia="宋体" w:cs="宋体"/>
                <w:color w:val="auto"/>
              </w:rPr>
              <w:t>联系人</w:t>
            </w:r>
          </w:p>
        </w:tc>
        <w:tc>
          <w:tcPr>
            <w:tcW w:w="2492" w:type="dxa"/>
            <w:gridSpan w:val="3"/>
            <w:noWrap w:val="0"/>
            <w:vAlign w:val="center"/>
          </w:tcPr>
          <w:p w14:paraId="3BC0B4E1">
            <w:pPr>
              <w:jc w:val="center"/>
              <w:rPr>
                <w:rFonts w:hint="eastAsia" w:ascii="宋体" w:hAnsi="宋体" w:eastAsia="宋体" w:cs="宋体"/>
                <w:color w:val="auto"/>
              </w:rPr>
            </w:pPr>
          </w:p>
        </w:tc>
        <w:tc>
          <w:tcPr>
            <w:tcW w:w="1246" w:type="dxa"/>
            <w:noWrap w:val="0"/>
            <w:vAlign w:val="center"/>
          </w:tcPr>
          <w:p w14:paraId="11BFC89B">
            <w:pPr>
              <w:jc w:val="center"/>
              <w:rPr>
                <w:rFonts w:hint="eastAsia" w:ascii="宋体" w:hAnsi="宋体" w:eastAsia="宋体" w:cs="宋体"/>
                <w:color w:val="auto"/>
              </w:rPr>
            </w:pPr>
            <w:r>
              <w:rPr>
                <w:rFonts w:hint="eastAsia" w:ascii="宋体" w:hAnsi="宋体" w:eastAsia="宋体" w:cs="宋体"/>
                <w:color w:val="auto"/>
              </w:rPr>
              <w:t>电  话</w:t>
            </w:r>
          </w:p>
        </w:tc>
        <w:tc>
          <w:tcPr>
            <w:tcW w:w="2706" w:type="dxa"/>
            <w:gridSpan w:val="3"/>
            <w:noWrap w:val="0"/>
            <w:vAlign w:val="center"/>
          </w:tcPr>
          <w:p w14:paraId="3741075B">
            <w:pPr>
              <w:jc w:val="center"/>
              <w:rPr>
                <w:rFonts w:hint="eastAsia" w:ascii="宋体" w:hAnsi="宋体" w:eastAsia="宋体" w:cs="宋体"/>
                <w:color w:val="auto"/>
              </w:rPr>
            </w:pPr>
          </w:p>
        </w:tc>
      </w:tr>
      <w:tr w14:paraId="273D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177BDBB8">
            <w:pPr>
              <w:jc w:val="center"/>
              <w:rPr>
                <w:rFonts w:hint="eastAsia" w:ascii="宋体" w:hAnsi="宋体" w:eastAsia="宋体" w:cs="宋体"/>
                <w:color w:val="auto"/>
              </w:rPr>
            </w:pPr>
          </w:p>
        </w:tc>
        <w:tc>
          <w:tcPr>
            <w:tcW w:w="897" w:type="dxa"/>
            <w:noWrap w:val="0"/>
            <w:vAlign w:val="center"/>
          </w:tcPr>
          <w:p w14:paraId="461C2B68">
            <w:pPr>
              <w:jc w:val="center"/>
              <w:rPr>
                <w:rFonts w:hint="eastAsia" w:ascii="宋体" w:hAnsi="宋体" w:eastAsia="宋体" w:cs="宋体"/>
                <w:color w:val="auto"/>
              </w:rPr>
            </w:pPr>
            <w:r>
              <w:rPr>
                <w:rFonts w:hint="eastAsia" w:ascii="宋体" w:hAnsi="宋体" w:eastAsia="宋体" w:cs="宋体"/>
                <w:color w:val="auto"/>
              </w:rPr>
              <w:t>传  真</w:t>
            </w:r>
          </w:p>
        </w:tc>
        <w:tc>
          <w:tcPr>
            <w:tcW w:w="2492" w:type="dxa"/>
            <w:gridSpan w:val="3"/>
            <w:noWrap w:val="0"/>
            <w:vAlign w:val="center"/>
          </w:tcPr>
          <w:p w14:paraId="37D324A0">
            <w:pPr>
              <w:jc w:val="center"/>
              <w:rPr>
                <w:rFonts w:hint="eastAsia" w:ascii="宋体" w:hAnsi="宋体" w:eastAsia="宋体" w:cs="宋体"/>
                <w:color w:val="auto"/>
              </w:rPr>
            </w:pPr>
          </w:p>
        </w:tc>
        <w:tc>
          <w:tcPr>
            <w:tcW w:w="1246" w:type="dxa"/>
            <w:noWrap w:val="0"/>
            <w:vAlign w:val="center"/>
          </w:tcPr>
          <w:p w14:paraId="477FB42A">
            <w:pPr>
              <w:jc w:val="center"/>
              <w:rPr>
                <w:rFonts w:hint="eastAsia" w:ascii="宋体" w:hAnsi="宋体" w:eastAsia="宋体" w:cs="宋体"/>
                <w:color w:val="auto"/>
              </w:rPr>
            </w:pPr>
            <w:r>
              <w:rPr>
                <w:rFonts w:hint="eastAsia" w:ascii="宋体" w:hAnsi="宋体" w:eastAsia="宋体" w:cs="宋体"/>
                <w:color w:val="auto"/>
              </w:rPr>
              <w:t>网  址</w:t>
            </w:r>
          </w:p>
        </w:tc>
        <w:tc>
          <w:tcPr>
            <w:tcW w:w="2706" w:type="dxa"/>
            <w:gridSpan w:val="3"/>
            <w:noWrap w:val="0"/>
            <w:vAlign w:val="center"/>
          </w:tcPr>
          <w:p w14:paraId="0F1A16EE">
            <w:pPr>
              <w:jc w:val="center"/>
              <w:rPr>
                <w:rFonts w:hint="eastAsia" w:ascii="宋体" w:hAnsi="宋体" w:eastAsia="宋体" w:cs="宋体"/>
                <w:color w:val="auto"/>
              </w:rPr>
            </w:pPr>
          </w:p>
        </w:tc>
      </w:tr>
      <w:tr w14:paraId="0491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1500FB7">
            <w:pPr>
              <w:jc w:val="center"/>
              <w:rPr>
                <w:rFonts w:hint="eastAsia" w:ascii="宋体" w:hAnsi="宋体" w:eastAsia="宋体" w:cs="宋体"/>
                <w:color w:val="auto"/>
              </w:rPr>
            </w:pPr>
            <w:r>
              <w:rPr>
                <w:rFonts w:hint="eastAsia" w:ascii="宋体" w:hAnsi="宋体" w:eastAsia="宋体" w:cs="宋体"/>
                <w:color w:val="auto"/>
              </w:rPr>
              <w:t>统一社会信用代码</w:t>
            </w:r>
          </w:p>
        </w:tc>
        <w:tc>
          <w:tcPr>
            <w:tcW w:w="7341" w:type="dxa"/>
            <w:gridSpan w:val="8"/>
            <w:noWrap w:val="0"/>
            <w:vAlign w:val="center"/>
          </w:tcPr>
          <w:p w14:paraId="63BC0602">
            <w:pPr>
              <w:jc w:val="center"/>
              <w:rPr>
                <w:rFonts w:hint="eastAsia" w:ascii="宋体" w:hAnsi="宋体" w:eastAsia="宋体" w:cs="宋体"/>
                <w:color w:val="auto"/>
              </w:rPr>
            </w:pPr>
          </w:p>
        </w:tc>
      </w:tr>
      <w:tr w14:paraId="20C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CE23EC">
            <w:pPr>
              <w:jc w:val="center"/>
              <w:rPr>
                <w:rFonts w:hint="eastAsia" w:ascii="宋体" w:hAnsi="宋体" w:eastAsia="宋体" w:cs="宋体"/>
                <w:color w:val="auto"/>
              </w:rPr>
            </w:pPr>
            <w:r>
              <w:rPr>
                <w:rFonts w:hint="eastAsia" w:ascii="宋体" w:hAnsi="宋体" w:eastAsia="宋体" w:cs="宋体"/>
                <w:color w:val="auto"/>
              </w:rPr>
              <w:t>法定代表人</w:t>
            </w:r>
          </w:p>
        </w:tc>
        <w:tc>
          <w:tcPr>
            <w:tcW w:w="897" w:type="dxa"/>
            <w:noWrap w:val="0"/>
            <w:vAlign w:val="center"/>
          </w:tcPr>
          <w:p w14:paraId="56B88B31">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7B184B50">
            <w:pPr>
              <w:jc w:val="center"/>
              <w:rPr>
                <w:rFonts w:hint="eastAsia" w:ascii="宋体" w:hAnsi="宋体" w:eastAsia="宋体" w:cs="宋体"/>
                <w:color w:val="auto"/>
              </w:rPr>
            </w:pPr>
          </w:p>
        </w:tc>
        <w:tc>
          <w:tcPr>
            <w:tcW w:w="1160" w:type="dxa"/>
            <w:noWrap w:val="0"/>
            <w:vAlign w:val="center"/>
          </w:tcPr>
          <w:p w14:paraId="7CF06E97">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6978FAA4">
            <w:pPr>
              <w:jc w:val="center"/>
              <w:rPr>
                <w:rFonts w:hint="eastAsia" w:ascii="宋体" w:hAnsi="宋体" w:eastAsia="宋体" w:cs="宋体"/>
                <w:color w:val="auto"/>
              </w:rPr>
            </w:pPr>
          </w:p>
        </w:tc>
        <w:tc>
          <w:tcPr>
            <w:tcW w:w="720" w:type="dxa"/>
            <w:noWrap w:val="0"/>
            <w:vAlign w:val="center"/>
          </w:tcPr>
          <w:p w14:paraId="56BB3862">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6F7CCCFD">
            <w:pPr>
              <w:jc w:val="center"/>
              <w:rPr>
                <w:rFonts w:hint="eastAsia" w:ascii="宋体" w:hAnsi="宋体" w:eastAsia="宋体" w:cs="宋体"/>
                <w:color w:val="auto"/>
              </w:rPr>
            </w:pPr>
          </w:p>
        </w:tc>
      </w:tr>
      <w:tr w14:paraId="519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FE7DD2A">
            <w:pPr>
              <w:jc w:val="center"/>
              <w:rPr>
                <w:rFonts w:hint="eastAsia" w:ascii="宋体" w:hAnsi="宋体" w:eastAsia="宋体" w:cs="宋体"/>
                <w:color w:val="auto"/>
                <w:lang w:eastAsia="zh-CN"/>
              </w:rPr>
            </w:pPr>
            <w:r>
              <w:rPr>
                <w:rFonts w:hint="eastAsia" w:ascii="宋体" w:hAnsi="宋体" w:cs="宋体"/>
                <w:color w:val="auto"/>
                <w:lang w:eastAsia="zh-CN"/>
              </w:rPr>
              <w:t>技术负责人</w:t>
            </w:r>
          </w:p>
        </w:tc>
        <w:tc>
          <w:tcPr>
            <w:tcW w:w="897" w:type="dxa"/>
            <w:noWrap w:val="0"/>
            <w:vAlign w:val="center"/>
          </w:tcPr>
          <w:p w14:paraId="489FCC94">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2B017F16">
            <w:pPr>
              <w:jc w:val="center"/>
              <w:rPr>
                <w:rFonts w:hint="eastAsia" w:ascii="宋体" w:hAnsi="宋体" w:eastAsia="宋体" w:cs="宋体"/>
                <w:color w:val="auto"/>
              </w:rPr>
            </w:pPr>
          </w:p>
        </w:tc>
        <w:tc>
          <w:tcPr>
            <w:tcW w:w="1160" w:type="dxa"/>
            <w:noWrap w:val="0"/>
            <w:vAlign w:val="center"/>
          </w:tcPr>
          <w:p w14:paraId="2DB8AD7F">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521ECB74">
            <w:pPr>
              <w:jc w:val="center"/>
              <w:rPr>
                <w:rFonts w:hint="eastAsia" w:ascii="宋体" w:hAnsi="宋体" w:eastAsia="宋体" w:cs="宋体"/>
                <w:color w:val="auto"/>
              </w:rPr>
            </w:pPr>
          </w:p>
        </w:tc>
        <w:tc>
          <w:tcPr>
            <w:tcW w:w="720" w:type="dxa"/>
            <w:noWrap w:val="0"/>
            <w:vAlign w:val="center"/>
          </w:tcPr>
          <w:p w14:paraId="7E110C13">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1BD1AAB3">
            <w:pPr>
              <w:jc w:val="center"/>
              <w:rPr>
                <w:rFonts w:hint="eastAsia" w:ascii="宋体" w:hAnsi="宋体" w:eastAsia="宋体" w:cs="宋体"/>
                <w:color w:val="auto"/>
              </w:rPr>
            </w:pPr>
          </w:p>
        </w:tc>
      </w:tr>
      <w:tr w14:paraId="223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7950DAA">
            <w:pPr>
              <w:jc w:val="center"/>
              <w:rPr>
                <w:rFonts w:hint="eastAsia" w:ascii="宋体" w:hAnsi="宋体" w:eastAsia="宋体" w:cs="宋体"/>
                <w:color w:val="auto"/>
              </w:rPr>
            </w:pPr>
            <w:r>
              <w:rPr>
                <w:rFonts w:hint="eastAsia" w:ascii="宋体" w:hAnsi="宋体" w:eastAsia="宋体" w:cs="宋体"/>
                <w:color w:val="auto"/>
              </w:rPr>
              <w:t>成立时间</w:t>
            </w:r>
          </w:p>
        </w:tc>
        <w:tc>
          <w:tcPr>
            <w:tcW w:w="1918" w:type="dxa"/>
            <w:gridSpan w:val="2"/>
            <w:noWrap w:val="0"/>
            <w:vAlign w:val="center"/>
          </w:tcPr>
          <w:p w14:paraId="0E48F54F">
            <w:pPr>
              <w:jc w:val="center"/>
              <w:rPr>
                <w:rFonts w:hint="eastAsia" w:ascii="宋体" w:hAnsi="宋体" w:eastAsia="宋体" w:cs="宋体"/>
                <w:color w:val="auto"/>
              </w:rPr>
            </w:pPr>
          </w:p>
        </w:tc>
        <w:tc>
          <w:tcPr>
            <w:tcW w:w="5423" w:type="dxa"/>
            <w:gridSpan w:val="6"/>
            <w:noWrap w:val="0"/>
            <w:vAlign w:val="center"/>
          </w:tcPr>
          <w:p w14:paraId="01BA0AE5">
            <w:pPr>
              <w:jc w:val="center"/>
              <w:rPr>
                <w:rFonts w:hint="eastAsia" w:ascii="宋体" w:hAnsi="宋体" w:eastAsia="宋体" w:cs="宋体"/>
                <w:color w:val="auto"/>
              </w:rPr>
            </w:pPr>
            <w:r>
              <w:rPr>
                <w:rFonts w:hint="eastAsia" w:ascii="宋体" w:hAnsi="宋体" w:eastAsia="宋体" w:cs="宋体"/>
                <w:color w:val="auto"/>
              </w:rPr>
              <w:t>员工总人数：</w:t>
            </w:r>
          </w:p>
        </w:tc>
      </w:tr>
      <w:tr w14:paraId="074E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6BF3CC">
            <w:pPr>
              <w:jc w:val="center"/>
              <w:rPr>
                <w:rFonts w:hint="eastAsia" w:ascii="宋体" w:hAnsi="宋体" w:eastAsia="宋体" w:cs="宋体"/>
                <w:color w:val="auto"/>
              </w:rPr>
            </w:pPr>
            <w:r>
              <w:rPr>
                <w:rFonts w:hint="eastAsia" w:ascii="宋体" w:hAnsi="宋体" w:eastAsia="宋体" w:cs="宋体"/>
                <w:color w:val="auto"/>
              </w:rPr>
              <w:t>资质等级</w:t>
            </w:r>
          </w:p>
        </w:tc>
        <w:tc>
          <w:tcPr>
            <w:tcW w:w="1918" w:type="dxa"/>
            <w:gridSpan w:val="2"/>
            <w:noWrap w:val="0"/>
            <w:vAlign w:val="center"/>
          </w:tcPr>
          <w:p w14:paraId="15974EB6">
            <w:pPr>
              <w:jc w:val="center"/>
              <w:rPr>
                <w:rFonts w:hint="eastAsia" w:ascii="宋体" w:hAnsi="宋体" w:eastAsia="宋体" w:cs="宋体"/>
                <w:color w:val="auto"/>
              </w:rPr>
            </w:pPr>
          </w:p>
        </w:tc>
        <w:tc>
          <w:tcPr>
            <w:tcW w:w="1160" w:type="dxa"/>
            <w:vMerge w:val="restart"/>
            <w:noWrap w:val="0"/>
            <w:vAlign w:val="center"/>
          </w:tcPr>
          <w:p w14:paraId="359FD747">
            <w:pPr>
              <w:jc w:val="center"/>
              <w:rPr>
                <w:rFonts w:hint="eastAsia" w:ascii="宋体" w:hAnsi="宋体" w:eastAsia="宋体" w:cs="宋体"/>
                <w:color w:val="auto"/>
              </w:rPr>
            </w:pPr>
            <w:r>
              <w:rPr>
                <w:rFonts w:hint="eastAsia" w:ascii="宋体" w:hAnsi="宋体" w:eastAsia="宋体" w:cs="宋体"/>
                <w:color w:val="auto"/>
              </w:rPr>
              <w:t>其中</w:t>
            </w:r>
          </w:p>
        </w:tc>
        <w:tc>
          <w:tcPr>
            <w:tcW w:w="1620" w:type="dxa"/>
            <w:gridSpan w:val="3"/>
            <w:noWrap w:val="0"/>
            <w:vAlign w:val="center"/>
          </w:tcPr>
          <w:p w14:paraId="540F99D0">
            <w:pPr>
              <w:jc w:val="center"/>
              <w:rPr>
                <w:rFonts w:hint="eastAsia" w:ascii="宋体" w:hAnsi="宋体" w:eastAsia="宋体" w:cs="宋体"/>
                <w:color w:val="auto"/>
              </w:rPr>
            </w:pPr>
            <w:r>
              <w:rPr>
                <w:rFonts w:hint="eastAsia" w:ascii="宋体" w:hAnsi="宋体" w:eastAsia="宋体" w:cs="宋体"/>
                <w:color w:val="auto"/>
              </w:rPr>
              <w:t>项目经理</w:t>
            </w:r>
          </w:p>
        </w:tc>
        <w:tc>
          <w:tcPr>
            <w:tcW w:w="2643" w:type="dxa"/>
            <w:gridSpan w:val="2"/>
            <w:noWrap w:val="0"/>
            <w:vAlign w:val="center"/>
          </w:tcPr>
          <w:p w14:paraId="2D960334">
            <w:pPr>
              <w:jc w:val="center"/>
              <w:rPr>
                <w:rFonts w:hint="eastAsia" w:ascii="宋体" w:hAnsi="宋体" w:eastAsia="宋体" w:cs="宋体"/>
                <w:color w:val="auto"/>
              </w:rPr>
            </w:pPr>
          </w:p>
        </w:tc>
      </w:tr>
      <w:tr w14:paraId="608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3EF5EB9">
            <w:pPr>
              <w:jc w:val="center"/>
              <w:rPr>
                <w:rFonts w:hint="eastAsia" w:ascii="宋体" w:hAnsi="宋体" w:eastAsia="宋体" w:cs="宋体"/>
                <w:color w:val="auto"/>
              </w:rPr>
            </w:pPr>
            <w:r>
              <w:rPr>
                <w:rFonts w:hint="eastAsia" w:ascii="宋体" w:hAnsi="宋体" w:eastAsia="宋体" w:cs="宋体"/>
                <w:color w:val="auto"/>
              </w:rPr>
              <w:t>安全生产许可证号</w:t>
            </w:r>
          </w:p>
        </w:tc>
        <w:tc>
          <w:tcPr>
            <w:tcW w:w="1918" w:type="dxa"/>
            <w:gridSpan w:val="2"/>
            <w:noWrap w:val="0"/>
            <w:vAlign w:val="center"/>
          </w:tcPr>
          <w:p w14:paraId="5CF7BF7F">
            <w:pPr>
              <w:jc w:val="center"/>
              <w:rPr>
                <w:rFonts w:hint="eastAsia" w:ascii="宋体" w:hAnsi="宋体" w:eastAsia="宋体" w:cs="宋体"/>
                <w:color w:val="auto"/>
              </w:rPr>
            </w:pPr>
          </w:p>
        </w:tc>
        <w:tc>
          <w:tcPr>
            <w:tcW w:w="1160" w:type="dxa"/>
            <w:vMerge w:val="continue"/>
            <w:noWrap w:val="0"/>
            <w:vAlign w:val="center"/>
          </w:tcPr>
          <w:p w14:paraId="387D7335">
            <w:pPr>
              <w:jc w:val="center"/>
              <w:rPr>
                <w:rFonts w:hint="eastAsia" w:ascii="宋体" w:hAnsi="宋体" w:eastAsia="宋体" w:cs="宋体"/>
                <w:color w:val="auto"/>
              </w:rPr>
            </w:pPr>
          </w:p>
        </w:tc>
        <w:tc>
          <w:tcPr>
            <w:tcW w:w="1620" w:type="dxa"/>
            <w:gridSpan w:val="3"/>
            <w:noWrap w:val="0"/>
            <w:vAlign w:val="center"/>
          </w:tcPr>
          <w:p w14:paraId="64048786">
            <w:pPr>
              <w:jc w:val="center"/>
              <w:rPr>
                <w:rFonts w:hint="eastAsia" w:ascii="宋体" w:hAnsi="宋体" w:eastAsia="宋体" w:cs="宋体"/>
                <w:color w:val="auto"/>
              </w:rPr>
            </w:pPr>
            <w:r>
              <w:rPr>
                <w:rFonts w:hint="eastAsia" w:ascii="宋体" w:hAnsi="宋体" w:eastAsia="宋体" w:cs="宋体"/>
                <w:color w:val="auto"/>
              </w:rPr>
              <w:t>高级职称人员</w:t>
            </w:r>
          </w:p>
        </w:tc>
        <w:tc>
          <w:tcPr>
            <w:tcW w:w="2643" w:type="dxa"/>
            <w:gridSpan w:val="2"/>
            <w:noWrap w:val="0"/>
            <w:vAlign w:val="center"/>
          </w:tcPr>
          <w:p w14:paraId="5C3C4A14">
            <w:pPr>
              <w:jc w:val="center"/>
              <w:rPr>
                <w:rFonts w:hint="eastAsia" w:ascii="宋体" w:hAnsi="宋体" w:eastAsia="宋体" w:cs="宋体"/>
                <w:color w:val="auto"/>
              </w:rPr>
            </w:pPr>
          </w:p>
        </w:tc>
      </w:tr>
      <w:tr w14:paraId="2118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FDDE3C6">
            <w:pPr>
              <w:jc w:val="center"/>
              <w:rPr>
                <w:rFonts w:hint="eastAsia" w:ascii="宋体" w:hAnsi="宋体" w:eastAsia="宋体" w:cs="宋体"/>
                <w:color w:val="auto"/>
              </w:rPr>
            </w:pPr>
            <w:r>
              <w:rPr>
                <w:rFonts w:hint="eastAsia" w:ascii="宋体" w:hAnsi="宋体" w:eastAsia="宋体" w:cs="宋体"/>
                <w:color w:val="auto"/>
              </w:rPr>
              <w:t>注册资金</w:t>
            </w:r>
          </w:p>
        </w:tc>
        <w:tc>
          <w:tcPr>
            <w:tcW w:w="1918" w:type="dxa"/>
            <w:gridSpan w:val="2"/>
            <w:noWrap w:val="0"/>
            <w:vAlign w:val="center"/>
          </w:tcPr>
          <w:p w14:paraId="4692B9EC">
            <w:pPr>
              <w:jc w:val="center"/>
              <w:rPr>
                <w:rFonts w:hint="eastAsia" w:ascii="宋体" w:hAnsi="宋体" w:eastAsia="宋体" w:cs="宋体"/>
                <w:color w:val="auto"/>
              </w:rPr>
            </w:pPr>
          </w:p>
        </w:tc>
        <w:tc>
          <w:tcPr>
            <w:tcW w:w="1160" w:type="dxa"/>
            <w:vMerge w:val="continue"/>
            <w:noWrap w:val="0"/>
            <w:vAlign w:val="center"/>
          </w:tcPr>
          <w:p w14:paraId="509CDBE3">
            <w:pPr>
              <w:jc w:val="center"/>
              <w:rPr>
                <w:rFonts w:hint="eastAsia" w:ascii="宋体" w:hAnsi="宋体" w:eastAsia="宋体" w:cs="宋体"/>
                <w:color w:val="auto"/>
              </w:rPr>
            </w:pPr>
          </w:p>
        </w:tc>
        <w:tc>
          <w:tcPr>
            <w:tcW w:w="1620" w:type="dxa"/>
            <w:gridSpan w:val="3"/>
            <w:noWrap w:val="0"/>
            <w:vAlign w:val="center"/>
          </w:tcPr>
          <w:p w14:paraId="655BCAD0">
            <w:pPr>
              <w:jc w:val="center"/>
              <w:rPr>
                <w:rFonts w:hint="eastAsia" w:ascii="宋体" w:hAnsi="宋体" w:eastAsia="宋体" w:cs="宋体"/>
                <w:color w:val="auto"/>
              </w:rPr>
            </w:pPr>
            <w:r>
              <w:rPr>
                <w:rFonts w:hint="eastAsia" w:ascii="宋体" w:hAnsi="宋体" w:eastAsia="宋体" w:cs="宋体"/>
                <w:color w:val="auto"/>
              </w:rPr>
              <w:t>中级职称人员</w:t>
            </w:r>
          </w:p>
        </w:tc>
        <w:tc>
          <w:tcPr>
            <w:tcW w:w="2643" w:type="dxa"/>
            <w:gridSpan w:val="2"/>
            <w:noWrap w:val="0"/>
            <w:vAlign w:val="center"/>
          </w:tcPr>
          <w:p w14:paraId="480F1F23">
            <w:pPr>
              <w:jc w:val="center"/>
              <w:rPr>
                <w:rFonts w:hint="eastAsia" w:ascii="宋体" w:hAnsi="宋体" w:eastAsia="宋体" w:cs="宋体"/>
                <w:color w:val="auto"/>
              </w:rPr>
            </w:pPr>
          </w:p>
        </w:tc>
      </w:tr>
      <w:tr w14:paraId="636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964C95A">
            <w:pPr>
              <w:jc w:val="center"/>
              <w:rPr>
                <w:rFonts w:hint="eastAsia" w:ascii="宋体" w:hAnsi="宋体" w:eastAsia="宋体" w:cs="宋体"/>
                <w:color w:val="auto"/>
              </w:rPr>
            </w:pPr>
            <w:r>
              <w:rPr>
                <w:rFonts w:hint="eastAsia" w:ascii="宋体" w:hAnsi="宋体" w:eastAsia="宋体" w:cs="宋体"/>
                <w:color w:val="auto"/>
              </w:rPr>
              <w:t>开户银行</w:t>
            </w:r>
          </w:p>
        </w:tc>
        <w:tc>
          <w:tcPr>
            <w:tcW w:w="1918" w:type="dxa"/>
            <w:gridSpan w:val="2"/>
            <w:noWrap w:val="0"/>
            <w:vAlign w:val="center"/>
          </w:tcPr>
          <w:p w14:paraId="237924C3">
            <w:pPr>
              <w:jc w:val="center"/>
              <w:rPr>
                <w:rFonts w:hint="eastAsia" w:ascii="宋体" w:hAnsi="宋体" w:eastAsia="宋体" w:cs="宋体"/>
                <w:color w:val="auto"/>
              </w:rPr>
            </w:pPr>
          </w:p>
        </w:tc>
        <w:tc>
          <w:tcPr>
            <w:tcW w:w="1160" w:type="dxa"/>
            <w:vMerge w:val="continue"/>
            <w:noWrap w:val="0"/>
            <w:vAlign w:val="center"/>
          </w:tcPr>
          <w:p w14:paraId="2F16A347">
            <w:pPr>
              <w:jc w:val="center"/>
              <w:rPr>
                <w:rFonts w:hint="eastAsia" w:ascii="宋体" w:hAnsi="宋体" w:eastAsia="宋体" w:cs="宋体"/>
                <w:color w:val="auto"/>
              </w:rPr>
            </w:pPr>
          </w:p>
        </w:tc>
        <w:tc>
          <w:tcPr>
            <w:tcW w:w="1620" w:type="dxa"/>
            <w:gridSpan w:val="3"/>
            <w:noWrap w:val="0"/>
            <w:vAlign w:val="center"/>
          </w:tcPr>
          <w:p w14:paraId="47AFD7DA">
            <w:pPr>
              <w:jc w:val="center"/>
              <w:rPr>
                <w:rFonts w:hint="eastAsia" w:ascii="宋体" w:hAnsi="宋体" w:eastAsia="宋体" w:cs="宋体"/>
                <w:color w:val="auto"/>
              </w:rPr>
            </w:pPr>
            <w:r>
              <w:rPr>
                <w:rFonts w:hint="eastAsia" w:ascii="宋体" w:hAnsi="宋体" w:eastAsia="宋体" w:cs="宋体"/>
                <w:color w:val="auto"/>
              </w:rPr>
              <w:t>初级职称人员</w:t>
            </w:r>
          </w:p>
        </w:tc>
        <w:tc>
          <w:tcPr>
            <w:tcW w:w="2643" w:type="dxa"/>
            <w:gridSpan w:val="2"/>
            <w:noWrap w:val="0"/>
            <w:vAlign w:val="center"/>
          </w:tcPr>
          <w:p w14:paraId="5ED5B246">
            <w:pPr>
              <w:jc w:val="center"/>
              <w:rPr>
                <w:rFonts w:hint="eastAsia" w:ascii="宋体" w:hAnsi="宋体" w:eastAsia="宋体" w:cs="宋体"/>
                <w:color w:val="auto"/>
              </w:rPr>
            </w:pPr>
          </w:p>
        </w:tc>
      </w:tr>
      <w:tr w14:paraId="76C5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45BD83F">
            <w:pPr>
              <w:jc w:val="center"/>
              <w:rPr>
                <w:rFonts w:hint="eastAsia" w:ascii="宋体" w:hAnsi="宋体" w:eastAsia="宋体" w:cs="宋体"/>
                <w:color w:val="auto"/>
              </w:rPr>
            </w:pPr>
            <w:r>
              <w:rPr>
                <w:rFonts w:hint="eastAsia" w:ascii="宋体" w:hAnsi="宋体" w:eastAsia="宋体" w:cs="宋体"/>
                <w:color w:val="auto"/>
              </w:rPr>
              <w:t>账号</w:t>
            </w:r>
          </w:p>
        </w:tc>
        <w:tc>
          <w:tcPr>
            <w:tcW w:w="1918" w:type="dxa"/>
            <w:gridSpan w:val="2"/>
            <w:noWrap w:val="0"/>
            <w:vAlign w:val="center"/>
          </w:tcPr>
          <w:p w14:paraId="51DD2545">
            <w:pPr>
              <w:jc w:val="center"/>
              <w:rPr>
                <w:rFonts w:hint="eastAsia" w:ascii="宋体" w:hAnsi="宋体" w:eastAsia="宋体" w:cs="宋体"/>
                <w:color w:val="auto"/>
              </w:rPr>
            </w:pPr>
          </w:p>
        </w:tc>
        <w:tc>
          <w:tcPr>
            <w:tcW w:w="1160" w:type="dxa"/>
            <w:vMerge w:val="continue"/>
            <w:noWrap w:val="0"/>
            <w:vAlign w:val="center"/>
          </w:tcPr>
          <w:p w14:paraId="716741B9">
            <w:pPr>
              <w:jc w:val="center"/>
              <w:rPr>
                <w:rFonts w:hint="eastAsia" w:ascii="宋体" w:hAnsi="宋体" w:eastAsia="宋体" w:cs="宋体"/>
                <w:color w:val="auto"/>
              </w:rPr>
            </w:pPr>
          </w:p>
        </w:tc>
        <w:tc>
          <w:tcPr>
            <w:tcW w:w="1620" w:type="dxa"/>
            <w:gridSpan w:val="3"/>
            <w:noWrap w:val="0"/>
            <w:vAlign w:val="center"/>
          </w:tcPr>
          <w:p w14:paraId="3929C29D">
            <w:pPr>
              <w:jc w:val="center"/>
              <w:rPr>
                <w:rFonts w:hint="eastAsia" w:ascii="宋体" w:hAnsi="宋体" w:eastAsia="宋体" w:cs="宋体"/>
                <w:color w:val="auto"/>
              </w:rPr>
            </w:pPr>
            <w:r>
              <w:rPr>
                <w:rFonts w:hint="eastAsia" w:ascii="宋体" w:hAnsi="宋体" w:eastAsia="宋体" w:cs="宋体"/>
                <w:color w:val="auto"/>
              </w:rPr>
              <w:t>技  工</w:t>
            </w:r>
          </w:p>
        </w:tc>
        <w:tc>
          <w:tcPr>
            <w:tcW w:w="2643" w:type="dxa"/>
            <w:gridSpan w:val="2"/>
            <w:noWrap w:val="0"/>
            <w:vAlign w:val="center"/>
          </w:tcPr>
          <w:p w14:paraId="45B829C2">
            <w:pPr>
              <w:jc w:val="center"/>
              <w:rPr>
                <w:rFonts w:hint="eastAsia" w:ascii="宋体" w:hAnsi="宋体" w:eastAsia="宋体" w:cs="宋体"/>
                <w:color w:val="auto"/>
              </w:rPr>
            </w:pPr>
          </w:p>
        </w:tc>
      </w:tr>
      <w:tr w14:paraId="67B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0"/>
            <w:vAlign w:val="center"/>
          </w:tcPr>
          <w:p w14:paraId="6F97867B">
            <w:pPr>
              <w:jc w:val="center"/>
              <w:rPr>
                <w:rFonts w:hint="eastAsia" w:ascii="宋体" w:hAnsi="宋体" w:eastAsia="宋体" w:cs="宋体"/>
                <w:color w:val="auto"/>
              </w:rPr>
            </w:pPr>
            <w:r>
              <w:rPr>
                <w:rFonts w:hint="eastAsia" w:ascii="宋体" w:hAnsi="宋体" w:eastAsia="宋体" w:cs="宋体"/>
                <w:color w:val="auto"/>
              </w:rPr>
              <w:t>经营范围</w:t>
            </w:r>
          </w:p>
        </w:tc>
        <w:tc>
          <w:tcPr>
            <w:tcW w:w="7341" w:type="dxa"/>
            <w:gridSpan w:val="8"/>
            <w:noWrap w:val="0"/>
            <w:vAlign w:val="center"/>
          </w:tcPr>
          <w:p w14:paraId="6D90076B">
            <w:pPr>
              <w:jc w:val="center"/>
              <w:rPr>
                <w:rFonts w:hint="eastAsia" w:ascii="宋体" w:hAnsi="宋体" w:eastAsia="宋体" w:cs="宋体"/>
                <w:color w:val="auto"/>
              </w:rPr>
            </w:pPr>
          </w:p>
        </w:tc>
      </w:tr>
      <w:tr w14:paraId="1B7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08F33F6">
            <w:pPr>
              <w:jc w:val="center"/>
              <w:rPr>
                <w:rFonts w:hint="eastAsia" w:ascii="宋体" w:hAnsi="宋体" w:eastAsia="宋体" w:cs="宋体"/>
                <w:color w:val="auto"/>
              </w:rPr>
            </w:pPr>
            <w:r>
              <w:rPr>
                <w:rFonts w:hint="eastAsia" w:ascii="宋体" w:hAnsi="宋体" w:eastAsia="宋体" w:cs="宋体"/>
                <w:color w:val="auto"/>
              </w:rPr>
              <w:t>备注</w:t>
            </w:r>
          </w:p>
        </w:tc>
        <w:tc>
          <w:tcPr>
            <w:tcW w:w="7341" w:type="dxa"/>
            <w:gridSpan w:val="8"/>
            <w:noWrap w:val="0"/>
            <w:vAlign w:val="center"/>
          </w:tcPr>
          <w:p w14:paraId="16CCD909">
            <w:pPr>
              <w:jc w:val="center"/>
              <w:rPr>
                <w:rFonts w:hint="eastAsia" w:ascii="宋体" w:hAnsi="宋体" w:eastAsia="宋体" w:cs="宋体"/>
                <w:color w:val="auto"/>
              </w:rPr>
            </w:pPr>
          </w:p>
        </w:tc>
      </w:tr>
    </w:tbl>
    <w:p w14:paraId="46A763C8">
      <w:pPr>
        <w:pStyle w:val="40"/>
        <w:spacing w:line="400" w:lineRule="atLeast"/>
        <w:jc w:val="center"/>
        <w:outlineLvl w:val="9"/>
        <w:rPr>
          <w:rStyle w:val="41"/>
          <w:rFonts w:hint="eastAsia" w:ascii="宋体" w:hAnsi="宋体" w:eastAsia="宋体" w:cs="宋体"/>
          <w:b/>
          <w:bCs/>
          <w:color w:val="auto"/>
          <w:sz w:val="28"/>
          <w:szCs w:val="28"/>
        </w:rPr>
      </w:pPr>
    </w:p>
    <w:p w14:paraId="4CB936D2">
      <w:pPr>
        <w:spacing w:line="440" w:lineRule="exact"/>
        <w:rPr>
          <w:rFonts w:hint="eastAsia" w:ascii="宋体" w:hAnsi="宋体" w:eastAsia="宋体" w:cs="宋体"/>
          <w:b/>
          <w:color w:val="auto"/>
          <w:sz w:val="32"/>
          <w:szCs w:val="32"/>
          <w:highlight w:val="none"/>
        </w:rPr>
      </w:pPr>
      <w:r>
        <w:rPr>
          <w:rFonts w:hint="eastAsia" w:ascii="宋体" w:hAnsi="宋体" w:eastAsia="宋体" w:cs="宋体"/>
          <w:color w:val="auto"/>
        </w:rPr>
        <w:t>【备注：附有效的</w:t>
      </w:r>
      <w:bookmarkStart w:id="114" w:name="OLE_LINK14"/>
      <w:r>
        <w:rPr>
          <w:rFonts w:hint="eastAsia" w:ascii="宋体" w:hAnsi="宋体" w:eastAsia="宋体" w:cs="宋体"/>
          <w:color w:val="auto"/>
        </w:rPr>
        <w:t>企业营业执照</w:t>
      </w:r>
      <w:r>
        <w:rPr>
          <w:rFonts w:hint="eastAsia" w:ascii="宋体" w:hAnsi="宋体" w:eastAsia="宋体" w:cs="宋体"/>
          <w:color w:val="auto"/>
          <w:lang w:eastAsia="zh-CN"/>
        </w:rPr>
        <w:t>副本</w:t>
      </w:r>
      <w:r>
        <w:rPr>
          <w:rFonts w:hint="eastAsia" w:ascii="宋体" w:hAnsi="宋体" w:eastAsia="宋体" w:cs="宋体"/>
          <w:color w:val="auto"/>
        </w:rPr>
        <w:t>、企业资质证书副本和安全生产许可证副本</w:t>
      </w:r>
      <w:bookmarkEnd w:id="114"/>
      <w:bookmarkStart w:id="115" w:name="OLE_LINK15"/>
      <w:r>
        <w:rPr>
          <w:rFonts w:hint="eastAsia" w:ascii="宋体" w:hAnsi="宋体" w:cs="宋体"/>
          <w:color w:val="auto"/>
          <w:lang w:val="en-US" w:eastAsia="zh-CN"/>
        </w:rPr>
        <w:t>复印</w:t>
      </w:r>
      <w:r>
        <w:rPr>
          <w:rFonts w:hint="eastAsia" w:ascii="宋体" w:hAnsi="宋体" w:eastAsia="宋体" w:cs="宋体"/>
          <w:color w:val="auto"/>
        </w:rPr>
        <w:t>件</w:t>
      </w:r>
      <w:bookmarkEnd w:id="115"/>
      <w:r>
        <w:rPr>
          <w:rFonts w:hint="eastAsia" w:ascii="宋体" w:hAnsi="宋体" w:eastAsia="宋体" w:cs="宋体"/>
          <w:color w:val="auto"/>
        </w:rPr>
        <w:t>。以上</w:t>
      </w:r>
      <w:r>
        <w:rPr>
          <w:rFonts w:hint="eastAsia" w:ascii="宋体" w:hAnsi="宋体" w:cs="宋体"/>
          <w:color w:val="auto"/>
          <w:lang w:val="en-US" w:eastAsia="zh-CN"/>
        </w:rPr>
        <w:t>复印</w:t>
      </w:r>
      <w:r>
        <w:rPr>
          <w:rFonts w:hint="eastAsia" w:ascii="宋体" w:hAnsi="宋体" w:eastAsia="宋体" w:cs="宋体"/>
          <w:color w:val="auto"/>
        </w:rPr>
        <w:t>件均须加盖</w:t>
      </w:r>
      <w:r>
        <w:rPr>
          <w:rFonts w:hint="eastAsia" w:ascii="宋体" w:hAnsi="宋体" w:eastAsia="宋体" w:cs="宋体"/>
          <w:color w:val="auto"/>
          <w:lang w:eastAsia="zh-CN"/>
        </w:rPr>
        <w:t>磋商供应商</w:t>
      </w:r>
      <w:r>
        <w:rPr>
          <w:rFonts w:hint="eastAsia" w:ascii="宋体" w:hAnsi="宋体" w:eastAsia="宋体" w:cs="宋体"/>
          <w:color w:val="auto"/>
        </w:rPr>
        <w:t>单位</w:t>
      </w:r>
      <w:r>
        <w:rPr>
          <w:rFonts w:hint="eastAsia" w:ascii="宋体" w:hAnsi="宋体" w:cs="宋体"/>
          <w:color w:val="auto"/>
          <w:lang w:val="en-US" w:eastAsia="zh-CN"/>
        </w:rPr>
        <w:t>电子</w:t>
      </w:r>
      <w:r>
        <w:rPr>
          <w:rFonts w:hint="eastAsia" w:ascii="宋体" w:hAnsi="宋体" w:eastAsia="宋体" w:cs="宋体"/>
          <w:color w:val="auto"/>
        </w:rPr>
        <w:t>公章】</w:t>
      </w:r>
    </w:p>
    <w:p w14:paraId="019964B0">
      <w:pPr>
        <w:spacing w:line="360" w:lineRule="auto"/>
        <w:ind w:firstLine="4830" w:firstLineChars="23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5F66C222">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val="en-US"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cs="宋体"/>
          <w:color w:val="auto"/>
          <w:sz w:val="21"/>
          <w:szCs w:val="21"/>
          <w:u w:val="none"/>
          <w:lang w:val="en-US" w:eastAsia="zh-CN"/>
        </w:rPr>
        <w:t>日</w:t>
      </w:r>
    </w:p>
    <w:p w14:paraId="273D6752">
      <w:pPr>
        <w:pStyle w:val="31"/>
        <w:rPr>
          <w:rFonts w:hint="eastAsia"/>
        </w:rPr>
      </w:pPr>
    </w:p>
    <w:p w14:paraId="033E1A54">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目经理简历表</w:t>
      </w:r>
    </w:p>
    <w:p w14:paraId="4E0F9E46">
      <w:pPr>
        <w:pStyle w:val="42"/>
        <w:rPr>
          <w:rFonts w:hint="eastAsia" w:ascii="宋体" w:hAnsi="宋体" w:eastAsia="宋体" w:cs="宋体"/>
          <w:color w:val="auto"/>
          <w:u w:val="single"/>
        </w:rPr>
      </w:pPr>
    </w:p>
    <w:p w14:paraId="794E53F9">
      <w:pPr>
        <w:pStyle w:val="42"/>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1CA3A159">
      <w:pPr>
        <w:pStyle w:val="42"/>
        <w:rPr>
          <w:rFonts w:hint="eastAsia" w:ascii="宋体" w:hAnsi="宋体" w:eastAsia="宋体" w:cs="宋体"/>
          <w:color w:val="auto"/>
          <w:u w:val="single"/>
        </w:rPr>
      </w:pP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2A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9732DEB">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6BCCB3F7">
            <w:pPr>
              <w:jc w:val="center"/>
              <w:rPr>
                <w:rFonts w:hint="eastAsia" w:ascii="宋体" w:hAnsi="宋体" w:eastAsia="宋体" w:cs="宋体"/>
                <w:color w:val="auto"/>
              </w:rPr>
            </w:pPr>
          </w:p>
        </w:tc>
        <w:tc>
          <w:tcPr>
            <w:tcW w:w="1893" w:type="dxa"/>
            <w:gridSpan w:val="2"/>
            <w:noWrap w:val="0"/>
            <w:vAlign w:val="center"/>
          </w:tcPr>
          <w:p w14:paraId="21F3EBD1">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67337071">
            <w:pPr>
              <w:jc w:val="center"/>
              <w:rPr>
                <w:rFonts w:hint="eastAsia" w:ascii="宋体" w:hAnsi="宋体" w:eastAsia="宋体" w:cs="宋体"/>
                <w:color w:val="auto"/>
              </w:rPr>
            </w:pPr>
          </w:p>
        </w:tc>
        <w:tc>
          <w:tcPr>
            <w:tcW w:w="1108" w:type="dxa"/>
            <w:gridSpan w:val="2"/>
            <w:noWrap w:val="0"/>
            <w:vAlign w:val="center"/>
          </w:tcPr>
          <w:p w14:paraId="1187F5A3">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ED2D3EE">
            <w:pPr>
              <w:jc w:val="center"/>
              <w:rPr>
                <w:rFonts w:hint="eastAsia" w:ascii="宋体" w:hAnsi="宋体" w:eastAsia="宋体" w:cs="宋体"/>
                <w:color w:val="auto"/>
              </w:rPr>
            </w:pPr>
          </w:p>
        </w:tc>
      </w:tr>
      <w:tr w14:paraId="1E9E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2C125830">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36723019">
            <w:pPr>
              <w:jc w:val="center"/>
              <w:rPr>
                <w:rFonts w:hint="eastAsia" w:ascii="宋体" w:hAnsi="宋体" w:eastAsia="宋体" w:cs="宋体"/>
                <w:color w:val="auto"/>
              </w:rPr>
            </w:pPr>
          </w:p>
        </w:tc>
        <w:tc>
          <w:tcPr>
            <w:tcW w:w="1893" w:type="dxa"/>
            <w:gridSpan w:val="2"/>
            <w:noWrap w:val="0"/>
            <w:vAlign w:val="center"/>
          </w:tcPr>
          <w:p w14:paraId="28DA99CA">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72955A1B">
            <w:pPr>
              <w:jc w:val="center"/>
              <w:rPr>
                <w:rFonts w:hint="eastAsia" w:ascii="宋体" w:hAnsi="宋体" w:eastAsia="宋体" w:cs="宋体"/>
                <w:color w:val="auto"/>
              </w:rPr>
            </w:pPr>
          </w:p>
        </w:tc>
        <w:tc>
          <w:tcPr>
            <w:tcW w:w="1108" w:type="dxa"/>
            <w:gridSpan w:val="2"/>
            <w:noWrap w:val="0"/>
            <w:vAlign w:val="center"/>
          </w:tcPr>
          <w:p w14:paraId="126F08C1">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7D813CCA">
            <w:pPr>
              <w:jc w:val="center"/>
              <w:rPr>
                <w:rFonts w:hint="eastAsia" w:ascii="宋体" w:hAnsi="宋体" w:eastAsia="宋体" w:cs="宋体"/>
                <w:color w:val="auto"/>
              </w:rPr>
            </w:pPr>
          </w:p>
        </w:tc>
      </w:tr>
      <w:tr w14:paraId="16CF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3FFEE548">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2D16ED07">
            <w:pPr>
              <w:jc w:val="center"/>
              <w:rPr>
                <w:rFonts w:hint="eastAsia" w:ascii="宋体" w:hAnsi="宋体" w:eastAsia="宋体" w:cs="宋体"/>
                <w:color w:val="auto"/>
              </w:rPr>
            </w:pPr>
          </w:p>
        </w:tc>
        <w:tc>
          <w:tcPr>
            <w:tcW w:w="2693" w:type="dxa"/>
            <w:gridSpan w:val="4"/>
            <w:noWrap w:val="0"/>
            <w:vAlign w:val="center"/>
          </w:tcPr>
          <w:p w14:paraId="381BF611">
            <w:pPr>
              <w:jc w:val="center"/>
              <w:rPr>
                <w:rFonts w:hint="eastAsia" w:ascii="宋体" w:hAnsi="宋体" w:eastAsia="宋体" w:cs="宋体"/>
                <w:color w:val="auto"/>
              </w:rPr>
            </w:pPr>
            <w:r>
              <w:rPr>
                <w:rFonts w:hint="eastAsia" w:ascii="宋体" w:hAnsi="宋体" w:eastAsia="宋体" w:cs="宋体"/>
                <w:color w:val="auto"/>
              </w:rPr>
              <w:t>担任项目经理年限</w:t>
            </w:r>
          </w:p>
        </w:tc>
        <w:tc>
          <w:tcPr>
            <w:tcW w:w="1276" w:type="dxa"/>
            <w:noWrap w:val="0"/>
            <w:vAlign w:val="center"/>
          </w:tcPr>
          <w:p w14:paraId="21D4822D">
            <w:pPr>
              <w:jc w:val="center"/>
              <w:rPr>
                <w:rFonts w:hint="eastAsia" w:ascii="宋体" w:hAnsi="宋体" w:eastAsia="宋体" w:cs="宋体"/>
                <w:color w:val="auto"/>
              </w:rPr>
            </w:pPr>
          </w:p>
        </w:tc>
      </w:tr>
      <w:tr w14:paraId="639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E5C4763">
            <w:pPr>
              <w:jc w:val="center"/>
              <w:rPr>
                <w:rFonts w:hint="eastAsia" w:ascii="宋体" w:hAnsi="宋体" w:eastAsia="宋体" w:cs="宋体"/>
                <w:color w:val="auto"/>
              </w:rPr>
            </w:pPr>
            <w:r>
              <w:rPr>
                <w:rFonts w:hint="eastAsia" w:ascii="宋体" w:hAnsi="宋体" w:eastAsia="宋体" w:cs="宋体"/>
                <w:color w:val="auto"/>
              </w:rPr>
              <w:t>项目经理注册证书编号</w:t>
            </w:r>
          </w:p>
        </w:tc>
        <w:tc>
          <w:tcPr>
            <w:tcW w:w="5862" w:type="dxa"/>
            <w:gridSpan w:val="7"/>
            <w:noWrap w:val="0"/>
            <w:vAlign w:val="center"/>
          </w:tcPr>
          <w:p w14:paraId="21F49C9B">
            <w:pPr>
              <w:jc w:val="center"/>
              <w:rPr>
                <w:rFonts w:hint="eastAsia" w:ascii="宋体" w:hAnsi="宋体" w:eastAsia="宋体" w:cs="宋体"/>
                <w:color w:val="auto"/>
              </w:rPr>
            </w:pPr>
          </w:p>
        </w:tc>
      </w:tr>
      <w:tr w14:paraId="2E6E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4BF2E54D">
            <w:pPr>
              <w:jc w:val="center"/>
              <w:rPr>
                <w:rFonts w:hint="eastAsia" w:ascii="宋体" w:hAnsi="宋体" w:eastAsia="宋体" w:cs="宋体"/>
                <w:color w:val="auto"/>
              </w:rPr>
            </w:pPr>
            <w:r>
              <w:rPr>
                <w:rFonts w:hint="eastAsia" w:ascii="宋体" w:hAnsi="宋体" w:eastAsia="宋体" w:cs="宋体"/>
                <w:color w:val="auto"/>
              </w:rPr>
              <w:t>已完工程项目情况</w:t>
            </w:r>
          </w:p>
        </w:tc>
      </w:tr>
      <w:tr w14:paraId="7C6A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BD6D5B">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06E25264">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33D131E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7EF8DA68">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434BB9EA">
            <w:pPr>
              <w:jc w:val="center"/>
              <w:rPr>
                <w:rFonts w:hint="eastAsia" w:ascii="宋体" w:hAnsi="宋体" w:eastAsia="宋体" w:cs="宋体"/>
                <w:color w:val="auto"/>
              </w:rPr>
            </w:pPr>
            <w:r>
              <w:rPr>
                <w:rFonts w:hint="eastAsia" w:ascii="宋体" w:hAnsi="宋体" w:eastAsia="宋体" w:cs="宋体"/>
                <w:color w:val="auto"/>
              </w:rPr>
              <w:t>已完工</w:t>
            </w:r>
          </w:p>
        </w:tc>
        <w:tc>
          <w:tcPr>
            <w:tcW w:w="1548" w:type="dxa"/>
            <w:gridSpan w:val="2"/>
            <w:noWrap w:val="0"/>
            <w:vAlign w:val="center"/>
          </w:tcPr>
          <w:p w14:paraId="69B59C5D">
            <w:pPr>
              <w:jc w:val="center"/>
              <w:rPr>
                <w:rFonts w:hint="eastAsia" w:ascii="宋体" w:hAnsi="宋体" w:eastAsia="宋体" w:cs="宋体"/>
                <w:color w:val="auto"/>
              </w:rPr>
            </w:pPr>
            <w:r>
              <w:rPr>
                <w:rFonts w:hint="eastAsia" w:ascii="宋体" w:hAnsi="宋体" w:eastAsia="宋体" w:cs="宋体"/>
                <w:color w:val="auto"/>
              </w:rPr>
              <w:t>工程质量</w:t>
            </w:r>
          </w:p>
        </w:tc>
      </w:tr>
      <w:tr w14:paraId="0A60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650049F">
            <w:pPr>
              <w:jc w:val="center"/>
              <w:rPr>
                <w:rFonts w:hint="eastAsia" w:ascii="宋体" w:hAnsi="宋体" w:eastAsia="宋体" w:cs="宋体"/>
                <w:color w:val="auto"/>
              </w:rPr>
            </w:pPr>
          </w:p>
        </w:tc>
        <w:tc>
          <w:tcPr>
            <w:tcW w:w="1548" w:type="dxa"/>
            <w:noWrap w:val="0"/>
            <w:vAlign w:val="center"/>
          </w:tcPr>
          <w:p w14:paraId="6F823AAA">
            <w:pPr>
              <w:jc w:val="center"/>
              <w:rPr>
                <w:rFonts w:hint="eastAsia" w:ascii="宋体" w:hAnsi="宋体" w:eastAsia="宋体" w:cs="宋体"/>
                <w:color w:val="auto"/>
              </w:rPr>
            </w:pPr>
          </w:p>
        </w:tc>
        <w:tc>
          <w:tcPr>
            <w:tcW w:w="1547" w:type="dxa"/>
            <w:gridSpan w:val="2"/>
            <w:noWrap w:val="0"/>
            <w:vAlign w:val="center"/>
          </w:tcPr>
          <w:p w14:paraId="68A21892">
            <w:pPr>
              <w:jc w:val="center"/>
              <w:rPr>
                <w:rFonts w:hint="eastAsia" w:ascii="宋体" w:hAnsi="宋体" w:eastAsia="宋体" w:cs="宋体"/>
                <w:color w:val="auto"/>
              </w:rPr>
            </w:pPr>
          </w:p>
        </w:tc>
        <w:tc>
          <w:tcPr>
            <w:tcW w:w="1548" w:type="dxa"/>
            <w:gridSpan w:val="2"/>
            <w:noWrap w:val="0"/>
            <w:vAlign w:val="center"/>
          </w:tcPr>
          <w:p w14:paraId="1A0F9981">
            <w:pPr>
              <w:jc w:val="center"/>
              <w:rPr>
                <w:rFonts w:hint="eastAsia" w:ascii="宋体" w:hAnsi="宋体" w:eastAsia="宋体" w:cs="宋体"/>
                <w:color w:val="auto"/>
              </w:rPr>
            </w:pPr>
          </w:p>
        </w:tc>
        <w:tc>
          <w:tcPr>
            <w:tcW w:w="1547" w:type="dxa"/>
            <w:gridSpan w:val="2"/>
            <w:noWrap w:val="0"/>
            <w:vAlign w:val="center"/>
          </w:tcPr>
          <w:p w14:paraId="4CD7EDB3">
            <w:pPr>
              <w:jc w:val="center"/>
              <w:rPr>
                <w:rFonts w:hint="eastAsia" w:ascii="宋体" w:hAnsi="宋体" w:eastAsia="宋体" w:cs="宋体"/>
                <w:color w:val="auto"/>
              </w:rPr>
            </w:pPr>
          </w:p>
        </w:tc>
        <w:tc>
          <w:tcPr>
            <w:tcW w:w="1548" w:type="dxa"/>
            <w:gridSpan w:val="2"/>
            <w:noWrap w:val="0"/>
            <w:vAlign w:val="center"/>
          </w:tcPr>
          <w:p w14:paraId="1D57EFC5">
            <w:pPr>
              <w:jc w:val="center"/>
              <w:rPr>
                <w:rFonts w:hint="eastAsia" w:ascii="宋体" w:hAnsi="宋体" w:eastAsia="宋体" w:cs="宋体"/>
                <w:color w:val="auto"/>
              </w:rPr>
            </w:pPr>
          </w:p>
        </w:tc>
      </w:tr>
      <w:tr w14:paraId="5E3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3992EC">
            <w:pPr>
              <w:jc w:val="center"/>
              <w:rPr>
                <w:rFonts w:hint="eastAsia" w:ascii="宋体" w:hAnsi="宋体" w:eastAsia="宋体" w:cs="宋体"/>
                <w:color w:val="auto"/>
              </w:rPr>
            </w:pPr>
          </w:p>
        </w:tc>
        <w:tc>
          <w:tcPr>
            <w:tcW w:w="1548" w:type="dxa"/>
            <w:noWrap w:val="0"/>
            <w:vAlign w:val="center"/>
          </w:tcPr>
          <w:p w14:paraId="6BB451C6">
            <w:pPr>
              <w:jc w:val="center"/>
              <w:rPr>
                <w:rFonts w:hint="eastAsia" w:ascii="宋体" w:hAnsi="宋体" w:eastAsia="宋体" w:cs="宋体"/>
                <w:color w:val="auto"/>
              </w:rPr>
            </w:pPr>
          </w:p>
        </w:tc>
        <w:tc>
          <w:tcPr>
            <w:tcW w:w="1547" w:type="dxa"/>
            <w:gridSpan w:val="2"/>
            <w:noWrap w:val="0"/>
            <w:vAlign w:val="center"/>
          </w:tcPr>
          <w:p w14:paraId="217DA92A">
            <w:pPr>
              <w:jc w:val="center"/>
              <w:rPr>
                <w:rFonts w:hint="eastAsia" w:ascii="宋体" w:hAnsi="宋体" w:eastAsia="宋体" w:cs="宋体"/>
                <w:color w:val="auto"/>
              </w:rPr>
            </w:pPr>
          </w:p>
        </w:tc>
        <w:tc>
          <w:tcPr>
            <w:tcW w:w="1548" w:type="dxa"/>
            <w:gridSpan w:val="2"/>
            <w:noWrap w:val="0"/>
            <w:vAlign w:val="center"/>
          </w:tcPr>
          <w:p w14:paraId="596F5F8F">
            <w:pPr>
              <w:jc w:val="center"/>
              <w:rPr>
                <w:rFonts w:hint="eastAsia" w:ascii="宋体" w:hAnsi="宋体" w:eastAsia="宋体" w:cs="宋体"/>
                <w:color w:val="auto"/>
              </w:rPr>
            </w:pPr>
          </w:p>
        </w:tc>
        <w:tc>
          <w:tcPr>
            <w:tcW w:w="1547" w:type="dxa"/>
            <w:gridSpan w:val="2"/>
            <w:noWrap w:val="0"/>
            <w:vAlign w:val="center"/>
          </w:tcPr>
          <w:p w14:paraId="3AD94341">
            <w:pPr>
              <w:jc w:val="center"/>
              <w:rPr>
                <w:rFonts w:hint="eastAsia" w:ascii="宋体" w:hAnsi="宋体" w:eastAsia="宋体" w:cs="宋体"/>
                <w:color w:val="auto"/>
              </w:rPr>
            </w:pPr>
          </w:p>
        </w:tc>
        <w:tc>
          <w:tcPr>
            <w:tcW w:w="1548" w:type="dxa"/>
            <w:gridSpan w:val="2"/>
            <w:noWrap w:val="0"/>
            <w:vAlign w:val="center"/>
          </w:tcPr>
          <w:p w14:paraId="49512BAB">
            <w:pPr>
              <w:jc w:val="center"/>
              <w:rPr>
                <w:rFonts w:hint="eastAsia" w:ascii="宋体" w:hAnsi="宋体" w:eastAsia="宋体" w:cs="宋体"/>
                <w:color w:val="auto"/>
              </w:rPr>
            </w:pPr>
          </w:p>
        </w:tc>
      </w:tr>
      <w:tr w14:paraId="15A7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703D84B">
            <w:pPr>
              <w:jc w:val="center"/>
              <w:rPr>
                <w:rFonts w:hint="eastAsia" w:ascii="宋体" w:hAnsi="宋体" w:eastAsia="宋体" w:cs="宋体"/>
                <w:color w:val="auto"/>
              </w:rPr>
            </w:pPr>
          </w:p>
        </w:tc>
        <w:tc>
          <w:tcPr>
            <w:tcW w:w="1548" w:type="dxa"/>
            <w:noWrap w:val="0"/>
            <w:vAlign w:val="center"/>
          </w:tcPr>
          <w:p w14:paraId="221C1844">
            <w:pPr>
              <w:jc w:val="center"/>
              <w:rPr>
                <w:rFonts w:hint="eastAsia" w:ascii="宋体" w:hAnsi="宋体" w:eastAsia="宋体" w:cs="宋体"/>
                <w:color w:val="auto"/>
              </w:rPr>
            </w:pPr>
          </w:p>
        </w:tc>
        <w:tc>
          <w:tcPr>
            <w:tcW w:w="1547" w:type="dxa"/>
            <w:gridSpan w:val="2"/>
            <w:noWrap w:val="0"/>
            <w:vAlign w:val="center"/>
          </w:tcPr>
          <w:p w14:paraId="6D29B1B8">
            <w:pPr>
              <w:jc w:val="center"/>
              <w:rPr>
                <w:rFonts w:hint="eastAsia" w:ascii="宋体" w:hAnsi="宋体" w:eastAsia="宋体" w:cs="宋体"/>
                <w:color w:val="auto"/>
              </w:rPr>
            </w:pPr>
          </w:p>
        </w:tc>
        <w:tc>
          <w:tcPr>
            <w:tcW w:w="1548" w:type="dxa"/>
            <w:gridSpan w:val="2"/>
            <w:noWrap w:val="0"/>
            <w:vAlign w:val="center"/>
          </w:tcPr>
          <w:p w14:paraId="1600659E">
            <w:pPr>
              <w:jc w:val="center"/>
              <w:rPr>
                <w:rFonts w:hint="eastAsia" w:ascii="宋体" w:hAnsi="宋体" w:eastAsia="宋体" w:cs="宋体"/>
                <w:color w:val="auto"/>
              </w:rPr>
            </w:pPr>
          </w:p>
        </w:tc>
        <w:tc>
          <w:tcPr>
            <w:tcW w:w="1547" w:type="dxa"/>
            <w:gridSpan w:val="2"/>
            <w:noWrap w:val="0"/>
            <w:vAlign w:val="center"/>
          </w:tcPr>
          <w:p w14:paraId="428CA9F3">
            <w:pPr>
              <w:jc w:val="center"/>
              <w:rPr>
                <w:rFonts w:hint="eastAsia" w:ascii="宋体" w:hAnsi="宋体" w:eastAsia="宋体" w:cs="宋体"/>
                <w:color w:val="auto"/>
              </w:rPr>
            </w:pPr>
          </w:p>
        </w:tc>
        <w:tc>
          <w:tcPr>
            <w:tcW w:w="1548" w:type="dxa"/>
            <w:gridSpan w:val="2"/>
            <w:noWrap w:val="0"/>
            <w:vAlign w:val="center"/>
          </w:tcPr>
          <w:p w14:paraId="440FB926">
            <w:pPr>
              <w:jc w:val="center"/>
              <w:rPr>
                <w:rFonts w:hint="eastAsia" w:ascii="宋体" w:hAnsi="宋体" w:eastAsia="宋体" w:cs="宋体"/>
                <w:color w:val="auto"/>
              </w:rPr>
            </w:pPr>
          </w:p>
        </w:tc>
      </w:tr>
      <w:tr w14:paraId="632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2435141D">
            <w:pPr>
              <w:jc w:val="center"/>
              <w:rPr>
                <w:rFonts w:hint="eastAsia" w:ascii="宋体" w:hAnsi="宋体" w:eastAsia="宋体" w:cs="宋体"/>
                <w:color w:val="auto"/>
              </w:rPr>
            </w:pPr>
          </w:p>
        </w:tc>
        <w:tc>
          <w:tcPr>
            <w:tcW w:w="1548" w:type="dxa"/>
            <w:noWrap w:val="0"/>
            <w:vAlign w:val="center"/>
          </w:tcPr>
          <w:p w14:paraId="720D1BAD">
            <w:pPr>
              <w:jc w:val="center"/>
              <w:rPr>
                <w:rFonts w:hint="eastAsia" w:ascii="宋体" w:hAnsi="宋体" w:eastAsia="宋体" w:cs="宋体"/>
                <w:color w:val="auto"/>
              </w:rPr>
            </w:pPr>
          </w:p>
        </w:tc>
        <w:tc>
          <w:tcPr>
            <w:tcW w:w="1547" w:type="dxa"/>
            <w:gridSpan w:val="2"/>
            <w:noWrap w:val="0"/>
            <w:vAlign w:val="center"/>
          </w:tcPr>
          <w:p w14:paraId="5F9C8F62">
            <w:pPr>
              <w:jc w:val="center"/>
              <w:rPr>
                <w:rFonts w:hint="eastAsia" w:ascii="宋体" w:hAnsi="宋体" w:eastAsia="宋体" w:cs="宋体"/>
                <w:color w:val="auto"/>
              </w:rPr>
            </w:pPr>
          </w:p>
        </w:tc>
        <w:tc>
          <w:tcPr>
            <w:tcW w:w="1548" w:type="dxa"/>
            <w:gridSpan w:val="2"/>
            <w:noWrap w:val="0"/>
            <w:vAlign w:val="center"/>
          </w:tcPr>
          <w:p w14:paraId="653F6FD1">
            <w:pPr>
              <w:jc w:val="center"/>
              <w:rPr>
                <w:rFonts w:hint="eastAsia" w:ascii="宋体" w:hAnsi="宋体" w:eastAsia="宋体" w:cs="宋体"/>
                <w:color w:val="auto"/>
              </w:rPr>
            </w:pPr>
          </w:p>
        </w:tc>
        <w:tc>
          <w:tcPr>
            <w:tcW w:w="1547" w:type="dxa"/>
            <w:gridSpan w:val="2"/>
            <w:noWrap w:val="0"/>
            <w:vAlign w:val="center"/>
          </w:tcPr>
          <w:p w14:paraId="1075FEB8">
            <w:pPr>
              <w:jc w:val="center"/>
              <w:rPr>
                <w:rFonts w:hint="eastAsia" w:ascii="宋体" w:hAnsi="宋体" w:eastAsia="宋体" w:cs="宋体"/>
                <w:color w:val="auto"/>
              </w:rPr>
            </w:pPr>
          </w:p>
        </w:tc>
        <w:tc>
          <w:tcPr>
            <w:tcW w:w="1548" w:type="dxa"/>
            <w:gridSpan w:val="2"/>
            <w:noWrap w:val="0"/>
            <w:vAlign w:val="center"/>
          </w:tcPr>
          <w:p w14:paraId="605E011A">
            <w:pPr>
              <w:jc w:val="center"/>
              <w:rPr>
                <w:rFonts w:hint="eastAsia" w:ascii="宋体" w:hAnsi="宋体" w:eastAsia="宋体" w:cs="宋体"/>
                <w:color w:val="auto"/>
              </w:rPr>
            </w:pPr>
          </w:p>
        </w:tc>
      </w:tr>
      <w:tr w14:paraId="1267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8BB1CF9">
            <w:pPr>
              <w:jc w:val="center"/>
              <w:rPr>
                <w:rFonts w:hint="eastAsia" w:ascii="宋体" w:hAnsi="宋体" w:eastAsia="宋体" w:cs="宋体"/>
                <w:color w:val="auto"/>
              </w:rPr>
            </w:pPr>
            <w:r>
              <w:rPr>
                <w:rFonts w:hint="eastAsia" w:ascii="宋体" w:hAnsi="宋体" w:eastAsia="宋体" w:cs="宋体"/>
                <w:color w:val="auto"/>
              </w:rPr>
              <w:t>项目经理是否</w:t>
            </w:r>
            <w:r>
              <w:rPr>
                <w:rFonts w:hint="eastAsia" w:ascii="宋体" w:hAnsi="宋体" w:eastAsia="宋体" w:cs="宋体"/>
                <w:color w:val="auto"/>
                <w:szCs w:val="21"/>
              </w:rPr>
              <w:t>有在建、已中标未开工或已列为其他项目中标候选人第一名的</w:t>
            </w:r>
            <w:r>
              <w:rPr>
                <w:rFonts w:hint="eastAsia" w:ascii="宋体" w:hAnsi="宋体" w:eastAsia="宋体" w:cs="宋体"/>
                <w:color w:val="auto"/>
              </w:rPr>
              <w:t>项目情况</w:t>
            </w:r>
          </w:p>
        </w:tc>
      </w:tr>
      <w:tr w14:paraId="2CB4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07DA014B">
            <w:pPr>
              <w:jc w:val="center"/>
              <w:rPr>
                <w:rFonts w:hint="eastAsia" w:ascii="宋体" w:hAnsi="宋体" w:eastAsia="宋体" w:cs="宋体"/>
                <w:color w:val="auto"/>
              </w:rPr>
            </w:pPr>
          </w:p>
        </w:tc>
        <w:tc>
          <w:tcPr>
            <w:tcW w:w="1548" w:type="dxa"/>
            <w:noWrap w:val="0"/>
            <w:vAlign w:val="center"/>
          </w:tcPr>
          <w:p w14:paraId="2A360859">
            <w:pPr>
              <w:jc w:val="center"/>
              <w:rPr>
                <w:rFonts w:hint="eastAsia" w:ascii="宋体" w:hAnsi="宋体" w:eastAsia="宋体" w:cs="宋体"/>
                <w:color w:val="auto"/>
              </w:rPr>
            </w:pPr>
          </w:p>
        </w:tc>
        <w:tc>
          <w:tcPr>
            <w:tcW w:w="1547" w:type="dxa"/>
            <w:gridSpan w:val="2"/>
            <w:noWrap w:val="0"/>
            <w:vAlign w:val="center"/>
          </w:tcPr>
          <w:p w14:paraId="2A3D43FF">
            <w:pPr>
              <w:jc w:val="center"/>
              <w:rPr>
                <w:rFonts w:hint="eastAsia" w:ascii="宋体" w:hAnsi="宋体" w:eastAsia="宋体" w:cs="宋体"/>
                <w:color w:val="auto"/>
              </w:rPr>
            </w:pPr>
          </w:p>
        </w:tc>
        <w:tc>
          <w:tcPr>
            <w:tcW w:w="1548" w:type="dxa"/>
            <w:gridSpan w:val="2"/>
            <w:noWrap w:val="0"/>
            <w:vAlign w:val="center"/>
          </w:tcPr>
          <w:p w14:paraId="1E89CE29">
            <w:pPr>
              <w:jc w:val="center"/>
              <w:rPr>
                <w:rFonts w:hint="eastAsia" w:ascii="宋体" w:hAnsi="宋体" w:eastAsia="宋体" w:cs="宋体"/>
                <w:color w:val="auto"/>
              </w:rPr>
            </w:pPr>
          </w:p>
        </w:tc>
        <w:tc>
          <w:tcPr>
            <w:tcW w:w="1547" w:type="dxa"/>
            <w:gridSpan w:val="2"/>
            <w:noWrap w:val="0"/>
            <w:vAlign w:val="center"/>
          </w:tcPr>
          <w:p w14:paraId="7EFDB93E">
            <w:pPr>
              <w:jc w:val="center"/>
              <w:rPr>
                <w:rFonts w:hint="eastAsia" w:ascii="宋体" w:hAnsi="宋体" w:eastAsia="宋体" w:cs="宋体"/>
                <w:color w:val="auto"/>
              </w:rPr>
            </w:pPr>
          </w:p>
        </w:tc>
        <w:tc>
          <w:tcPr>
            <w:tcW w:w="1548" w:type="dxa"/>
            <w:gridSpan w:val="2"/>
            <w:noWrap w:val="0"/>
            <w:vAlign w:val="center"/>
          </w:tcPr>
          <w:p w14:paraId="361049E6">
            <w:pPr>
              <w:jc w:val="center"/>
              <w:rPr>
                <w:rFonts w:hint="eastAsia" w:ascii="宋体" w:hAnsi="宋体" w:eastAsia="宋体" w:cs="宋体"/>
                <w:color w:val="auto"/>
              </w:rPr>
            </w:pPr>
          </w:p>
        </w:tc>
      </w:tr>
      <w:tr w14:paraId="5B52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1F4E6A2">
            <w:pPr>
              <w:jc w:val="center"/>
              <w:rPr>
                <w:rFonts w:hint="eastAsia" w:ascii="宋体" w:hAnsi="宋体" w:eastAsia="宋体" w:cs="宋体"/>
                <w:color w:val="auto"/>
              </w:rPr>
            </w:pPr>
          </w:p>
        </w:tc>
        <w:tc>
          <w:tcPr>
            <w:tcW w:w="1548" w:type="dxa"/>
            <w:noWrap w:val="0"/>
            <w:vAlign w:val="center"/>
          </w:tcPr>
          <w:p w14:paraId="30583360">
            <w:pPr>
              <w:jc w:val="center"/>
              <w:rPr>
                <w:rFonts w:hint="eastAsia" w:ascii="宋体" w:hAnsi="宋体" w:eastAsia="宋体" w:cs="宋体"/>
                <w:color w:val="auto"/>
              </w:rPr>
            </w:pPr>
          </w:p>
        </w:tc>
        <w:tc>
          <w:tcPr>
            <w:tcW w:w="1547" w:type="dxa"/>
            <w:gridSpan w:val="2"/>
            <w:noWrap w:val="0"/>
            <w:vAlign w:val="center"/>
          </w:tcPr>
          <w:p w14:paraId="7F722FDF">
            <w:pPr>
              <w:jc w:val="center"/>
              <w:rPr>
                <w:rFonts w:hint="eastAsia" w:ascii="宋体" w:hAnsi="宋体" w:eastAsia="宋体" w:cs="宋体"/>
                <w:color w:val="auto"/>
              </w:rPr>
            </w:pPr>
          </w:p>
        </w:tc>
        <w:tc>
          <w:tcPr>
            <w:tcW w:w="1548" w:type="dxa"/>
            <w:gridSpan w:val="2"/>
            <w:noWrap w:val="0"/>
            <w:vAlign w:val="center"/>
          </w:tcPr>
          <w:p w14:paraId="4B6B80F8">
            <w:pPr>
              <w:jc w:val="center"/>
              <w:rPr>
                <w:rFonts w:hint="eastAsia" w:ascii="宋体" w:hAnsi="宋体" w:eastAsia="宋体" w:cs="宋体"/>
                <w:color w:val="auto"/>
              </w:rPr>
            </w:pPr>
          </w:p>
        </w:tc>
        <w:tc>
          <w:tcPr>
            <w:tcW w:w="1547" w:type="dxa"/>
            <w:gridSpan w:val="2"/>
            <w:noWrap w:val="0"/>
            <w:vAlign w:val="center"/>
          </w:tcPr>
          <w:p w14:paraId="62E028F3">
            <w:pPr>
              <w:jc w:val="center"/>
              <w:rPr>
                <w:rFonts w:hint="eastAsia" w:ascii="宋体" w:hAnsi="宋体" w:eastAsia="宋体" w:cs="宋体"/>
                <w:color w:val="auto"/>
              </w:rPr>
            </w:pPr>
          </w:p>
        </w:tc>
        <w:tc>
          <w:tcPr>
            <w:tcW w:w="1548" w:type="dxa"/>
            <w:gridSpan w:val="2"/>
            <w:noWrap w:val="0"/>
            <w:vAlign w:val="center"/>
          </w:tcPr>
          <w:p w14:paraId="00D304FB">
            <w:pPr>
              <w:jc w:val="center"/>
              <w:rPr>
                <w:rFonts w:hint="eastAsia" w:ascii="宋体" w:hAnsi="宋体" w:eastAsia="宋体" w:cs="宋体"/>
                <w:color w:val="auto"/>
              </w:rPr>
            </w:pPr>
          </w:p>
        </w:tc>
      </w:tr>
    </w:tbl>
    <w:p w14:paraId="72756045">
      <w:pPr>
        <w:spacing w:line="360" w:lineRule="auto"/>
        <w:rPr>
          <w:rFonts w:hint="eastAsia" w:ascii="宋体" w:hAnsi="宋体" w:eastAsia="宋体" w:cs="宋体"/>
          <w:color w:val="auto"/>
        </w:rPr>
      </w:pPr>
    </w:p>
    <w:p w14:paraId="1B39006E">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b w:val="0"/>
          <w:bCs w:val="0"/>
          <w:color w:val="auto"/>
          <w:spacing w:val="0"/>
          <w:w w:val="100"/>
          <w:position w:val="0"/>
          <w:sz w:val="21"/>
          <w:szCs w:val="21"/>
        </w:rPr>
      </w:pPr>
      <w:r>
        <w:rPr>
          <w:rFonts w:hint="eastAsia" w:ascii="宋体" w:hAnsi="宋体" w:eastAsia="宋体" w:cs="宋体"/>
          <w:b w:val="0"/>
          <w:bCs w:val="0"/>
          <w:color w:val="auto"/>
          <w:sz w:val="21"/>
          <w:szCs w:val="21"/>
          <w:lang w:eastAsia="zh-CN"/>
        </w:rPr>
        <w:t>注：</w:t>
      </w:r>
      <w:r>
        <w:rPr>
          <w:rFonts w:hint="eastAsia" w:cs="宋体"/>
          <w:b w:val="0"/>
          <w:bCs w:val="0"/>
          <w:color w:val="auto"/>
          <w:sz w:val="21"/>
          <w:szCs w:val="21"/>
        </w:rPr>
        <w:t>附项目经理注册建造师执业资格证书</w:t>
      </w:r>
      <w:r>
        <w:rPr>
          <w:rFonts w:hint="eastAsia" w:ascii="宋体" w:hAnsi="宋体" w:eastAsia="宋体" w:cs="宋体"/>
          <w:b w:val="0"/>
          <w:bCs w:val="0"/>
          <w:color w:val="auto"/>
          <w:sz w:val="21"/>
          <w:szCs w:val="21"/>
        </w:rPr>
        <w:t>和安全生产考核合格证书（B类）。</w:t>
      </w:r>
    </w:p>
    <w:p w14:paraId="43DD5630">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2AA0E80">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F02FD71">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557CB68">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9B66AB9">
      <w:pPr>
        <w:spacing w:before="120" w:before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专职安全员简历表</w:t>
      </w:r>
    </w:p>
    <w:p w14:paraId="15CFCFDA">
      <w:pPr>
        <w:pStyle w:val="42"/>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4459F4DD">
      <w:pPr>
        <w:pStyle w:val="42"/>
        <w:rPr>
          <w:rFonts w:hint="eastAsia" w:ascii="宋体" w:hAnsi="宋体" w:eastAsia="宋体" w:cs="宋体"/>
          <w:color w:val="auto"/>
        </w:rPr>
      </w:pP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378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3" w:type="dxa"/>
            <w:noWrap w:val="0"/>
            <w:vAlign w:val="center"/>
          </w:tcPr>
          <w:p w14:paraId="2D9EB50F">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4434B3CF">
            <w:pPr>
              <w:jc w:val="center"/>
              <w:rPr>
                <w:rFonts w:hint="eastAsia" w:ascii="宋体" w:hAnsi="宋体" w:eastAsia="宋体" w:cs="宋体"/>
                <w:color w:val="auto"/>
              </w:rPr>
            </w:pPr>
          </w:p>
        </w:tc>
        <w:tc>
          <w:tcPr>
            <w:tcW w:w="1893" w:type="dxa"/>
            <w:gridSpan w:val="2"/>
            <w:noWrap w:val="0"/>
            <w:vAlign w:val="center"/>
          </w:tcPr>
          <w:p w14:paraId="54701C54">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0FDBADD3">
            <w:pPr>
              <w:jc w:val="center"/>
              <w:rPr>
                <w:rFonts w:hint="eastAsia" w:ascii="宋体" w:hAnsi="宋体" w:eastAsia="宋体" w:cs="宋体"/>
                <w:color w:val="auto"/>
              </w:rPr>
            </w:pPr>
          </w:p>
        </w:tc>
        <w:tc>
          <w:tcPr>
            <w:tcW w:w="1108" w:type="dxa"/>
            <w:gridSpan w:val="2"/>
            <w:noWrap w:val="0"/>
            <w:vAlign w:val="center"/>
          </w:tcPr>
          <w:p w14:paraId="71542A15">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DF91A0D">
            <w:pPr>
              <w:jc w:val="center"/>
              <w:rPr>
                <w:rFonts w:hint="eastAsia" w:ascii="宋体" w:hAnsi="宋体" w:eastAsia="宋体" w:cs="宋体"/>
                <w:color w:val="auto"/>
              </w:rPr>
            </w:pPr>
          </w:p>
        </w:tc>
      </w:tr>
      <w:tr w14:paraId="50B9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83" w:type="dxa"/>
            <w:noWrap w:val="0"/>
            <w:vAlign w:val="center"/>
          </w:tcPr>
          <w:p w14:paraId="30B91259">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4FC7DDA5">
            <w:pPr>
              <w:jc w:val="center"/>
              <w:rPr>
                <w:rFonts w:hint="eastAsia" w:ascii="宋体" w:hAnsi="宋体" w:eastAsia="宋体" w:cs="宋体"/>
                <w:color w:val="auto"/>
              </w:rPr>
            </w:pPr>
          </w:p>
        </w:tc>
        <w:tc>
          <w:tcPr>
            <w:tcW w:w="1893" w:type="dxa"/>
            <w:gridSpan w:val="2"/>
            <w:noWrap w:val="0"/>
            <w:vAlign w:val="center"/>
          </w:tcPr>
          <w:p w14:paraId="14BEE996">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0875B15E">
            <w:pPr>
              <w:jc w:val="center"/>
              <w:rPr>
                <w:rFonts w:hint="eastAsia" w:ascii="宋体" w:hAnsi="宋体" w:eastAsia="宋体" w:cs="宋体"/>
                <w:color w:val="auto"/>
              </w:rPr>
            </w:pPr>
          </w:p>
        </w:tc>
        <w:tc>
          <w:tcPr>
            <w:tcW w:w="1108" w:type="dxa"/>
            <w:gridSpan w:val="2"/>
            <w:noWrap w:val="0"/>
            <w:vAlign w:val="center"/>
          </w:tcPr>
          <w:p w14:paraId="7262B249">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076D680B">
            <w:pPr>
              <w:jc w:val="center"/>
              <w:rPr>
                <w:rFonts w:hint="eastAsia" w:ascii="宋体" w:hAnsi="宋体" w:eastAsia="宋体" w:cs="宋体"/>
                <w:color w:val="auto"/>
              </w:rPr>
            </w:pPr>
          </w:p>
        </w:tc>
      </w:tr>
      <w:tr w14:paraId="7E93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23" w:type="dxa"/>
            <w:gridSpan w:val="4"/>
            <w:noWrap w:val="0"/>
            <w:vAlign w:val="center"/>
          </w:tcPr>
          <w:p w14:paraId="184691D1">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132657B1">
            <w:pPr>
              <w:jc w:val="center"/>
              <w:rPr>
                <w:rFonts w:hint="eastAsia" w:ascii="宋体" w:hAnsi="宋体" w:eastAsia="宋体" w:cs="宋体"/>
                <w:color w:val="auto"/>
              </w:rPr>
            </w:pPr>
          </w:p>
        </w:tc>
        <w:tc>
          <w:tcPr>
            <w:tcW w:w="2693" w:type="dxa"/>
            <w:gridSpan w:val="4"/>
            <w:noWrap w:val="0"/>
            <w:vAlign w:val="center"/>
          </w:tcPr>
          <w:p w14:paraId="2374EB7D">
            <w:pPr>
              <w:jc w:val="center"/>
              <w:rPr>
                <w:rFonts w:hint="eastAsia" w:ascii="宋体" w:hAnsi="宋体" w:eastAsia="宋体" w:cs="宋体"/>
                <w:color w:val="auto"/>
              </w:rPr>
            </w:pPr>
            <w:r>
              <w:rPr>
                <w:rFonts w:hint="eastAsia" w:ascii="宋体" w:hAnsi="宋体" w:eastAsia="宋体" w:cs="宋体"/>
                <w:color w:val="auto"/>
              </w:rPr>
              <w:t>担任安全员年限</w:t>
            </w:r>
          </w:p>
        </w:tc>
        <w:tc>
          <w:tcPr>
            <w:tcW w:w="1276" w:type="dxa"/>
            <w:noWrap w:val="0"/>
            <w:vAlign w:val="center"/>
          </w:tcPr>
          <w:p w14:paraId="6F322046">
            <w:pPr>
              <w:jc w:val="center"/>
              <w:rPr>
                <w:rFonts w:hint="eastAsia" w:ascii="宋体" w:hAnsi="宋体" w:eastAsia="宋体" w:cs="宋体"/>
                <w:color w:val="auto"/>
              </w:rPr>
            </w:pPr>
          </w:p>
        </w:tc>
      </w:tr>
      <w:tr w14:paraId="313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285" w:type="dxa"/>
            <w:gridSpan w:val="11"/>
            <w:noWrap w:val="0"/>
            <w:vAlign w:val="center"/>
          </w:tcPr>
          <w:p w14:paraId="1EAEF028">
            <w:pPr>
              <w:jc w:val="center"/>
              <w:rPr>
                <w:rFonts w:hint="eastAsia" w:ascii="宋体" w:hAnsi="宋体" w:eastAsia="宋体" w:cs="宋体"/>
                <w:color w:val="auto"/>
              </w:rPr>
            </w:pPr>
            <w:r>
              <w:rPr>
                <w:rFonts w:hint="eastAsia" w:ascii="宋体" w:hAnsi="宋体" w:eastAsia="宋体" w:cs="宋体"/>
                <w:color w:val="auto"/>
              </w:rPr>
              <w:t>在建和已完工程项目情况</w:t>
            </w:r>
          </w:p>
        </w:tc>
      </w:tr>
      <w:tr w14:paraId="159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1A7263F0">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7BFA7A2A">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2141FE2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5008EBEA">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73BC933B">
            <w:pPr>
              <w:jc w:val="center"/>
              <w:rPr>
                <w:rFonts w:hint="eastAsia" w:ascii="宋体" w:hAnsi="宋体" w:eastAsia="宋体" w:cs="宋体"/>
                <w:color w:val="auto"/>
              </w:rPr>
            </w:pPr>
            <w:r>
              <w:rPr>
                <w:rFonts w:hint="eastAsia" w:ascii="宋体" w:hAnsi="宋体" w:eastAsia="宋体" w:cs="宋体"/>
                <w:color w:val="auto"/>
              </w:rPr>
              <w:t>在建或已完</w:t>
            </w:r>
          </w:p>
        </w:tc>
        <w:tc>
          <w:tcPr>
            <w:tcW w:w="1548" w:type="dxa"/>
            <w:gridSpan w:val="2"/>
            <w:noWrap w:val="0"/>
            <w:vAlign w:val="center"/>
          </w:tcPr>
          <w:p w14:paraId="4B36167B">
            <w:pPr>
              <w:jc w:val="center"/>
              <w:rPr>
                <w:rFonts w:hint="eastAsia" w:ascii="宋体" w:hAnsi="宋体" w:eastAsia="宋体" w:cs="宋体"/>
                <w:color w:val="auto"/>
              </w:rPr>
            </w:pPr>
            <w:r>
              <w:rPr>
                <w:rFonts w:hint="eastAsia" w:ascii="宋体" w:hAnsi="宋体" w:eastAsia="宋体" w:cs="宋体"/>
                <w:color w:val="auto"/>
              </w:rPr>
              <w:t>工程质量</w:t>
            </w:r>
          </w:p>
        </w:tc>
      </w:tr>
      <w:tr w14:paraId="0A92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47" w:type="dxa"/>
            <w:gridSpan w:val="2"/>
            <w:noWrap w:val="0"/>
            <w:vAlign w:val="center"/>
          </w:tcPr>
          <w:p w14:paraId="634DF064">
            <w:pPr>
              <w:jc w:val="center"/>
              <w:rPr>
                <w:rFonts w:hint="eastAsia" w:ascii="宋体" w:hAnsi="宋体" w:eastAsia="宋体" w:cs="宋体"/>
                <w:color w:val="auto"/>
              </w:rPr>
            </w:pPr>
          </w:p>
        </w:tc>
        <w:tc>
          <w:tcPr>
            <w:tcW w:w="1548" w:type="dxa"/>
            <w:noWrap w:val="0"/>
            <w:vAlign w:val="center"/>
          </w:tcPr>
          <w:p w14:paraId="3BA77FB5">
            <w:pPr>
              <w:jc w:val="center"/>
              <w:rPr>
                <w:rFonts w:hint="eastAsia" w:ascii="宋体" w:hAnsi="宋体" w:eastAsia="宋体" w:cs="宋体"/>
                <w:color w:val="auto"/>
              </w:rPr>
            </w:pPr>
          </w:p>
        </w:tc>
        <w:tc>
          <w:tcPr>
            <w:tcW w:w="1547" w:type="dxa"/>
            <w:gridSpan w:val="2"/>
            <w:noWrap w:val="0"/>
            <w:vAlign w:val="center"/>
          </w:tcPr>
          <w:p w14:paraId="5BAFD261">
            <w:pPr>
              <w:jc w:val="center"/>
              <w:rPr>
                <w:rFonts w:hint="eastAsia" w:ascii="宋体" w:hAnsi="宋体" w:eastAsia="宋体" w:cs="宋体"/>
                <w:color w:val="auto"/>
              </w:rPr>
            </w:pPr>
          </w:p>
        </w:tc>
        <w:tc>
          <w:tcPr>
            <w:tcW w:w="1548" w:type="dxa"/>
            <w:gridSpan w:val="2"/>
            <w:noWrap w:val="0"/>
            <w:vAlign w:val="center"/>
          </w:tcPr>
          <w:p w14:paraId="7B3324B6">
            <w:pPr>
              <w:jc w:val="center"/>
              <w:rPr>
                <w:rFonts w:hint="eastAsia" w:ascii="宋体" w:hAnsi="宋体" w:eastAsia="宋体" w:cs="宋体"/>
                <w:color w:val="auto"/>
              </w:rPr>
            </w:pPr>
          </w:p>
        </w:tc>
        <w:tc>
          <w:tcPr>
            <w:tcW w:w="1547" w:type="dxa"/>
            <w:gridSpan w:val="2"/>
            <w:noWrap w:val="0"/>
            <w:vAlign w:val="center"/>
          </w:tcPr>
          <w:p w14:paraId="472652B9">
            <w:pPr>
              <w:jc w:val="center"/>
              <w:rPr>
                <w:rFonts w:hint="eastAsia" w:ascii="宋体" w:hAnsi="宋体" w:eastAsia="宋体" w:cs="宋体"/>
                <w:color w:val="auto"/>
              </w:rPr>
            </w:pPr>
          </w:p>
        </w:tc>
        <w:tc>
          <w:tcPr>
            <w:tcW w:w="1548" w:type="dxa"/>
            <w:gridSpan w:val="2"/>
            <w:noWrap w:val="0"/>
            <w:vAlign w:val="center"/>
          </w:tcPr>
          <w:p w14:paraId="10FD38B6">
            <w:pPr>
              <w:jc w:val="center"/>
              <w:rPr>
                <w:rFonts w:hint="eastAsia" w:ascii="宋体" w:hAnsi="宋体" w:eastAsia="宋体" w:cs="宋体"/>
                <w:color w:val="auto"/>
              </w:rPr>
            </w:pPr>
          </w:p>
        </w:tc>
      </w:tr>
      <w:tr w14:paraId="7462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47" w:type="dxa"/>
            <w:gridSpan w:val="2"/>
            <w:noWrap w:val="0"/>
            <w:vAlign w:val="center"/>
          </w:tcPr>
          <w:p w14:paraId="2BCD00D4">
            <w:pPr>
              <w:jc w:val="center"/>
              <w:rPr>
                <w:rFonts w:hint="eastAsia" w:ascii="宋体" w:hAnsi="宋体" w:eastAsia="宋体" w:cs="宋体"/>
                <w:color w:val="auto"/>
              </w:rPr>
            </w:pPr>
          </w:p>
        </w:tc>
        <w:tc>
          <w:tcPr>
            <w:tcW w:w="1548" w:type="dxa"/>
            <w:noWrap w:val="0"/>
            <w:vAlign w:val="center"/>
          </w:tcPr>
          <w:p w14:paraId="2DC1EEF2">
            <w:pPr>
              <w:jc w:val="center"/>
              <w:rPr>
                <w:rFonts w:hint="eastAsia" w:ascii="宋体" w:hAnsi="宋体" w:eastAsia="宋体" w:cs="宋体"/>
                <w:color w:val="auto"/>
              </w:rPr>
            </w:pPr>
          </w:p>
        </w:tc>
        <w:tc>
          <w:tcPr>
            <w:tcW w:w="1547" w:type="dxa"/>
            <w:gridSpan w:val="2"/>
            <w:noWrap w:val="0"/>
            <w:vAlign w:val="center"/>
          </w:tcPr>
          <w:p w14:paraId="27EAFA70">
            <w:pPr>
              <w:jc w:val="center"/>
              <w:rPr>
                <w:rFonts w:hint="eastAsia" w:ascii="宋体" w:hAnsi="宋体" w:eastAsia="宋体" w:cs="宋体"/>
                <w:color w:val="auto"/>
              </w:rPr>
            </w:pPr>
          </w:p>
        </w:tc>
        <w:tc>
          <w:tcPr>
            <w:tcW w:w="1548" w:type="dxa"/>
            <w:gridSpan w:val="2"/>
            <w:noWrap w:val="0"/>
            <w:vAlign w:val="center"/>
          </w:tcPr>
          <w:p w14:paraId="58911CD7">
            <w:pPr>
              <w:jc w:val="center"/>
              <w:rPr>
                <w:rFonts w:hint="eastAsia" w:ascii="宋体" w:hAnsi="宋体" w:eastAsia="宋体" w:cs="宋体"/>
                <w:color w:val="auto"/>
              </w:rPr>
            </w:pPr>
          </w:p>
        </w:tc>
        <w:tc>
          <w:tcPr>
            <w:tcW w:w="1547" w:type="dxa"/>
            <w:gridSpan w:val="2"/>
            <w:noWrap w:val="0"/>
            <w:vAlign w:val="center"/>
          </w:tcPr>
          <w:p w14:paraId="4BD0C974">
            <w:pPr>
              <w:jc w:val="center"/>
              <w:rPr>
                <w:rFonts w:hint="eastAsia" w:ascii="宋体" w:hAnsi="宋体" w:eastAsia="宋体" w:cs="宋体"/>
                <w:color w:val="auto"/>
              </w:rPr>
            </w:pPr>
          </w:p>
        </w:tc>
        <w:tc>
          <w:tcPr>
            <w:tcW w:w="1548" w:type="dxa"/>
            <w:gridSpan w:val="2"/>
            <w:noWrap w:val="0"/>
            <w:vAlign w:val="center"/>
          </w:tcPr>
          <w:p w14:paraId="7B42F009">
            <w:pPr>
              <w:jc w:val="center"/>
              <w:rPr>
                <w:rFonts w:hint="eastAsia" w:ascii="宋体" w:hAnsi="宋体" w:eastAsia="宋体" w:cs="宋体"/>
                <w:color w:val="auto"/>
              </w:rPr>
            </w:pPr>
          </w:p>
        </w:tc>
      </w:tr>
      <w:tr w14:paraId="33BA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47" w:type="dxa"/>
            <w:gridSpan w:val="2"/>
            <w:noWrap w:val="0"/>
            <w:vAlign w:val="center"/>
          </w:tcPr>
          <w:p w14:paraId="68016C94">
            <w:pPr>
              <w:jc w:val="center"/>
              <w:rPr>
                <w:rFonts w:hint="eastAsia" w:ascii="宋体" w:hAnsi="宋体" w:eastAsia="宋体" w:cs="宋体"/>
                <w:color w:val="auto"/>
              </w:rPr>
            </w:pPr>
          </w:p>
        </w:tc>
        <w:tc>
          <w:tcPr>
            <w:tcW w:w="1548" w:type="dxa"/>
            <w:noWrap w:val="0"/>
            <w:vAlign w:val="center"/>
          </w:tcPr>
          <w:p w14:paraId="2F519E6D">
            <w:pPr>
              <w:jc w:val="center"/>
              <w:rPr>
                <w:rFonts w:hint="eastAsia" w:ascii="宋体" w:hAnsi="宋体" w:eastAsia="宋体" w:cs="宋体"/>
                <w:color w:val="auto"/>
              </w:rPr>
            </w:pPr>
          </w:p>
        </w:tc>
        <w:tc>
          <w:tcPr>
            <w:tcW w:w="1547" w:type="dxa"/>
            <w:gridSpan w:val="2"/>
            <w:noWrap w:val="0"/>
            <w:vAlign w:val="center"/>
          </w:tcPr>
          <w:p w14:paraId="5903D0B6">
            <w:pPr>
              <w:jc w:val="center"/>
              <w:rPr>
                <w:rFonts w:hint="eastAsia" w:ascii="宋体" w:hAnsi="宋体" w:eastAsia="宋体" w:cs="宋体"/>
                <w:color w:val="auto"/>
              </w:rPr>
            </w:pPr>
          </w:p>
        </w:tc>
        <w:tc>
          <w:tcPr>
            <w:tcW w:w="1548" w:type="dxa"/>
            <w:gridSpan w:val="2"/>
            <w:noWrap w:val="0"/>
            <w:vAlign w:val="center"/>
          </w:tcPr>
          <w:p w14:paraId="2ACFBABE">
            <w:pPr>
              <w:jc w:val="center"/>
              <w:rPr>
                <w:rFonts w:hint="eastAsia" w:ascii="宋体" w:hAnsi="宋体" w:eastAsia="宋体" w:cs="宋体"/>
                <w:color w:val="auto"/>
              </w:rPr>
            </w:pPr>
          </w:p>
        </w:tc>
        <w:tc>
          <w:tcPr>
            <w:tcW w:w="1547" w:type="dxa"/>
            <w:gridSpan w:val="2"/>
            <w:noWrap w:val="0"/>
            <w:vAlign w:val="center"/>
          </w:tcPr>
          <w:p w14:paraId="40B8F7AD">
            <w:pPr>
              <w:jc w:val="center"/>
              <w:rPr>
                <w:rFonts w:hint="eastAsia" w:ascii="宋体" w:hAnsi="宋体" w:eastAsia="宋体" w:cs="宋体"/>
                <w:color w:val="auto"/>
              </w:rPr>
            </w:pPr>
          </w:p>
        </w:tc>
        <w:tc>
          <w:tcPr>
            <w:tcW w:w="1548" w:type="dxa"/>
            <w:gridSpan w:val="2"/>
            <w:noWrap w:val="0"/>
            <w:vAlign w:val="center"/>
          </w:tcPr>
          <w:p w14:paraId="54B811D3">
            <w:pPr>
              <w:jc w:val="center"/>
              <w:rPr>
                <w:rFonts w:hint="eastAsia" w:ascii="宋体" w:hAnsi="宋体" w:eastAsia="宋体" w:cs="宋体"/>
                <w:color w:val="auto"/>
              </w:rPr>
            </w:pPr>
          </w:p>
        </w:tc>
      </w:tr>
      <w:tr w14:paraId="68D9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47" w:type="dxa"/>
            <w:gridSpan w:val="2"/>
            <w:noWrap w:val="0"/>
            <w:vAlign w:val="center"/>
          </w:tcPr>
          <w:p w14:paraId="73F52888">
            <w:pPr>
              <w:jc w:val="center"/>
              <w:rPr>
                <w:rFonts w:hint="eastAsia" w:ascii="宋体" w:hAnsi="宋体" w:eastAsia="宋体" w:cs="宋体"/>
                <w:color w:val="auto"/>
              </w:rPr>
            </w:pPr>
          </w:p>
        </w:tc>
        <w:tc>
          <w:tcPr>
            <w:tcW w:w="1548" w:type="dxa"/>
            <w:noWrap w:val="0"/>
            <w:vAlign w:val="center"/>
          </w:tcPr>
          <w:p w14:paraId="63EFE67D">
            <w:pPr>
              <w:jc w:val="center"/>
              <w:rPr>
                <w:rFonts w:hint="eastAsia" w:ascii="宋体" w:hAnsi="宋体" w:eastAsia="宋体" w:cs="宋体"/>
                <w:color w:val="auto"/>
              </w:rPr>
            </w:pPr>
          </w:p>
        </w:tc>
        <w:tc>
          <w:tcPr>
            <w:tcW w:w="1547" w:type="dxa"/>
            <w:gridSpan w:val="2"/>
            <w:noWrap w:val="0"/>
            <w:vAlign w:val="center"/>
          </w:tcPr>
          <w:p w14:paraId="6785044F">
            <w:pPr>
              <w:jc w:val="center"/>
              <w:rPr>
                <w:rFonts w:hint="eastAsia" w:ascii="宋体" w:hAnsi="宋体" w:eastAsia="宋体" w:cs="宋体"/>
                <w:color w:val="auto"/>
              </w:rPr>
            </w:pPr>
          </w:p>
        </w:tc>
        <w:tc>
          <w:tcPr>
            <w:tcW w:w="1548" w:type="dxa"/>
            <w:gridSpan w:val="2"/>
            <w:noWrap w:val="0"/>
            <w:vAlign w:val="center"/>
          </w:tcPr>
          <w:p w14:paraId="39C7C7E1">
            <w:pPr>
              <w:jc w:val="center"/>
              <w:rPr>
                <w:rFonts w:hint="eastAsia" w:ascii="宋体" w:hAnsi="宋体" w:eastAsia="宋体" w:cs="宋体"/>
                <w:color w:val="auto"/>
              </w:rPr>
            </w:pPr>
          </w:p>
        </w:tc>
        <w:tc>
          <w:tcPr>
            <w:tcW w:w="1547" w:type="dxa"/>
            <w:gridSpan w:val="2"/>
            <w:noWrap w:val="0"/>
            <w:vAlign w:val="center"/>
          </w:tcPr>
          <w:p w14:paraId="15A7ADF2">
            <w:pPr>
              <w:jc w:val="center"/>
              <w:rPr>
                <w:rFonts w:hint="eastAsia" w:ascii="宋体" w:hAnsi="宋体" w:eastAsia="宋体" w:cs="宋体"/>
                <w:color w:val="auto"/>
              </w:rPr>
            </w:pPr>
          </w:p>
        </w:tc>
        <w:tc>
          <w:tcPr>
            <w:tcW w:w="1548" w:type="dxa"/>
            <w:gridSpan w:val="2"/>
            <w:noWrap w:val="0"/>
            <w:vAlign w:val="center"/>
          </w:tcPr>
          <w:p w14:paraId="6ACAB9F6">
            <w:pPr>
              <w:jc w:val="center"/>
              <w:rPr>
                <w:rFonts w:hint="eastAsia" w:ascii="宋体" w:hAnsi="宋体" w:eastAsia="宋体" w:cs="宋体"/>
                <w:color w:val="auto"/>
              </w:rPr>
            </w:pPr>
          </w:p>
        </w:tc>
      </w:tr>
    </w:tbl>
    <w:p w14:paraId="16FC4120">
      <w:pPr>
        <w:pStyle w:val="21"/>
        <w:jc w:val="both"/>
        <w:outlineLvl w:val="9"/>
        <w:rPr>
          <w:rStyle w:val="26"/>
          <w:rFonts w:hint="eastAsia" w:ascii="Times New Roman" w:hAnsi="Times New Roman" w:eastAsia="楷体_GB2312" w:cs="楷体_GB2312"/>
          <w:b w:val="0"/>
          <w:bCs w:val="0"/>
          <w:color w:val="auto"/>
          <w:sz w:val="21"/>
          <w:szCs w:val="21"/>
          <w:highlight w:val="none"/>
          <w:lang w:eastAsia="zh-CN"/>
        </w:rPr>
      </w:pPr>
    </w:p>
    <w:p w14:paraId="3A7001B6">
      <w:pPr>
        <w:pStyle w:val="21"/>
        <w:jc w:val="both"/>
        <w:rPr>
          <w:rFonts w:hint="eastAsia" w:ascii="宋体" w:hAnsi="宋体" w:eastAsia="宋体" w:cs="宋体"/>
          <w:b w:val="0"/>
          <w:bCs w:val="0"/>
          <w:color w:val="auto"/>
          <w:kern w:val="2"/>
          <w:sz w:val="21"/>
          <w:szCs w:val="21"/>
          <w:u w:val="none"/>
          <w:shd w:val="clear" w:color="auto" w:fill="auto"/>
          <w:lang w:val="zh-TW" w:eastAsia="zh-CN" w:bidi="zh-TW"/>
        </w:rPr>
      </w:pPr>
      <w:r>
        <w:rPr>
          <w:rFonts w:hint="eastAsia" w:ascii="宋体" w:hAnsi="宋体" w:eastAsia="宋体" w:cs="宋体"/>
          <w:b w:val="0"/>
          <w:bCs w:val="0"/>
          <w:color w:val="auto"/>
          <w:kern w:val="2"/>
          <w:sz w:val="21"/>
          <w:szCs w:val="21"/>
          <w:u w:val="none"/>
          <w:shd w:val="clear" w:color="auto" w:fill="auto"/>
          <w:lang w:val="zh-TW" w:eastAsia="zh-CN" w:bidi="zh-TW"/>
        </w:rPr>
        <w:t>注：</w:t>
      </w:r>
      <w:r>
        <w:rPr>
          <w:rFonts w:hint="eastAsia" w:ascii="宋体" w:hAnsi="宋体" w:eastAsia="宋体" w:cs="宋体"/>
          <w:b w:val="0"/>
          <w:bCs w:val="0"/>
          <w:color w:val="auto"/>
          <w:kern w:val="2"/>
          <w:sz w:val="21"/>
          <w:szCs w:val="21"/>
          <w:u w:val="none"/>
          <w:shd w:val="clear" w:color="auto" w:fill="auto"/>
          <w:lang w:val="zh-TW" w:eastAsia="zh-TW" w:bidi="zh-TW"/>
        </w:rPr>
        <w:t>附专职安全员岗位证书及安全生产考核合格证书</w:t>
      </w:r>
      <w:r>
        <w:rPr>
          <w:rFonts w:hint="eastAsia" w:ascii="宋体" w:hAnsi="宋体" w:eastAsia="宋体" w:cs="宋体"/>
          <w:b w:val="0"/>
          <w:bCs w:val="0"/>
          <w:color w:val="auto"/>
          <w:kern w:val="2"/>
          <w:sz w:val="21"/>
          <w:szCs w:val="21"/>
          <w:u w:val="none"/>
          <w:shd w:val="clear" w:color="auto" w:fill="auto"/>
          <w:lang w:val="en-US" w:eastAsia="en-US" w:bidi="zh-TW"/>
        </w:rPr>
        <w:t>（C</w:t>
      </w:r>
      <w:r>
        <w:rPr>
          <w:rFonts w:hint="eastAsia" w:ascii="宋体" w:hAnsi="宋体" w:eastAsia="宋体" w:cs="宋体"/>
          <w:b w:val="0"/>
          <w:bCs w:val="0"/>
          <w:color w:val="auto"/>
          <w:kern w:val="2"/>
          <w:sz w:val="21"/>
          <w:szCs w:val="21"/>
          <w:u w:val="none"/>
          <w:shd w:val="clear" w:color="auto" w:fill="auto"/>
          <w:lang w:val="zh-TW" w:eastAsia="zh-TW" w:bidi="zh-TW"/>
        </w:rPr>
        <w:t>类）</w:t>
      </w:r>
      <w:r>
        <w:rPr>
          <w:rFonts w:hint="eastAsia" w:ascii="宋体" w:hAnsi="宋体" w:eastAsia="宋体" w:cs="宋体"/>
          <w:b w:val="0"/>
          <w:bCs w:val="0"/>
          <w:color w:val="auto"/>
          <w:kern w:val="2"/>
          <w:sz w:val="21"/>
          <w:szCs w:val="21"/>
          <w:u w:val="none"/>
          <w:shd w:val="clear" w:color="auto" w:fill="auto"/>
          <w:lang w:val="zh-TW" w:eastAsia="zh-CN" w:bidi="zh-TW"/>
        </w:rPr>
        <w:t>。</w:t>
      </w:r>
    </w:p>
    <w:p w14:paraId="449868D6">
      <w:pPr>
        <w:pStyle w:val="31"/>
        <w:jc w:val="both"/>
        <w:rPr>
          <w:rFonts w:hint="eastAsia" w:ascii="宋体" w:hAnsi="宋体" w:eastAsia="宋体" w:cs="宋体"/>
          <w:b/>
          <w:bCs/>
          <w:color w:val="auto"/>
          <w:sz w:val="32"/>
          <w:szCs w:val="32"/>
          <w:highlight w:val="none"/>
        </w:rPr>
      </w:pPr>
    </w:p>
    <w:p w14:paraId="3113140D">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3C71A77E">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5DE655">
      <w:pPr>
        <w:pStyle w:val="31"/>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4180" w:firstLineChars="19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4"/>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2"/>
        <w:rPr>
          <w:rFonts w:hint="eastAsia" w:ascii="宋体" w:hAnsi="宋体" w:eastAsia="宋体" w:cs="宋体"/>
          <w:b/>
          <w:bCs/>
          <w:color w:val="000000"/>
          <w:sz w:val="28"/>
          <w:szCs w:val="28"/>
          <w:highlight w:val="none"/>
        </w:rPr>
      </w:pPr>
    </w:p>
    <w:p w14:paraId="1C8D3778">
      <w:pPr>
        <w:pStyle w:val="33"/>
        <w:rPr>
          <w:rFonts w:hint="eastAsia" w:ascii="宋体" w:hAnsi="宋体" w:eastAsia="宋体" w:cs="宋体"/>
          <w:b/>
          <w:bCs/>
          <w:color w:val="000000"/>
          <w:sz w:val="28"/>
          <w:szCs w:val="28"/>
          <w:highlight w:val="none"/>
        </w:rPr>
      </w:pPr>
    </w:p>
    <w:p w14:paraId="50A87772">
      <w:pPr>
        <w:rPr>
          <w:rFonts w:hint="eastAsia"/>
        </w:rPr>
      </w:pPr>
    </w:p>
    <w:p w14:paraId="5168B2E6">
      <w:pPr>
        <w:pStyle w:val="32"/>
        <w:rPr>
          <w:rFonts w:hint="eastAsia"/>
        </w:rPr>
      </w:pPr>
    </w:p>
    <w:p w14:paraId="516C2E09">
      <w:pPr>
        <w:pStyle w:val="33"/>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1"/>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1"/>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3"/>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12"/>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2"/>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1"/>
        <w:jc w:val="both"/>
        <w:rPr>
          <w:rFonts w:hint="eastAsia"/>
        </w:rPr>
      </w:pPr>
    </w:p>
    <w:p w14:paraId="7D4C8600">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2F418D01">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竞 标 函</w:t>
      </w:r>
    </w:p>
    <w:p w14:paraId="053A0F1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1"/>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1"/>
        <w:rPr>
          <w:rFonts w:hint="eastAsia" w:ascii="宋体" w:hAnsi="宋体" w:eastAsia="宋体" w:cs="宋体"/>
          <w:b/>
          <w:bCs/>
          <w:color w:val="auto"/>
          <w:sz w:val="21"/>
          <w:szCs w:val="21"/>
          <w:highlight w:val="none"/>
        </w:rPr>
      </w:pPr>
    </w:p>
    <w:p w14:paraId="7CB4C93A">
      <w:pPr>
        <w:pStyle w:val="31"/>
        <w:rPr>
          <w:rFonts w:hint="eastAsia" w:ascii="宋体" w:hAnsi="宋体" w:eastAsia="宋体" w:cs="宋体"/>
          <w:b/>
          <w:bCs/>
          <w:color w:val="auto"/>
          <w:sz w:val="21"/>
          <w:szCs w:val="21"/>
          <w:highlight w:val="none"/>
        </w:rPr>
      </w:pPr>
    </w:p>
    <w:p w14:paraId="19B731DD">
      <w:pPr>
        <w:pStyle w:val="11"/>
        <w:rPr>
          <w:rFonts w:hint="eastAsia"/>
        </w:rPr>
      </w:pPr>
    </w:p>
    <w:p w14:paraId="12C4EE96">
      <w:pPr>
        <w:pStyle w:val="31"/>
        <w:rPr>
          <w:rFonts w:hint="eastAsia" w:ascii="宋体" w:hAnsi="宋体" w:eastAsia="宋体" w:cs="宋体"/>
          <w:b/>
          <w:bCs/>
          <w:color w:val="auto"/>
          <w:sz w:val="21"/>
          <w:szCs w:val="21"/>
          <w:highlight w:val="none"/>
        </w:rPr>
      </w:pPr>
    </w:p>
    <w:p w14:paraId="6FAD65AA">
      <w:pPr>
        <w:pStyle w:val="44"/>
        <w:jc w:val="center"/>
        <w:outlineLvl w:val="0"/>
        <w:rPr>
          <w:b/>
          <w:bCs/>
          <w:sz w:val="30"/>
          <w:szCs w:val="30"/>
        </w:rPr>
      </w:pPr>
      <w:bookmarkStart w:id="116" w:name="_Toc28896"/>
      <w:bookmarkStart w:id="117" w:name="_Toc29501"/>
      <w:r>
        <w:rPr>
          <w:rFonts w:hint="eastAsia" w:cs="宋体"/>
          <w:b/>
          <w:bCs/>
          <w:sz w:val="30"/>
          <w:szCs w:val="30"/>
          <w:lang w:val="en-US" w:eastAsia="zh-CN"/>
        </w:rPr>
        <w:t>磋商</w:t>
      </w:r>
      <w:r>
        <w:rPr>
          <w:rFonts w:hint="eastAsia" w:cs="宋体"/>
          <w:b/>
          <w:bCs/>
          <w:sz w:val="30"/>
          <w:szCs w:val="30"/>
        </w:rPr>
        <w:t>函附录</w:t>
      </w:r>
      <w:bookmarkEnd w:id="116"/>
      <w:bookmarkEnd w:id="117"/>
    </w:p>
    <w:p w14:paraId="37DFC01D">
      <w:pPr>
        <w:pStyle w:val="44"/>
        <w:jc w:val="center"/>
        <w:rPr>
          <w:sz w:val="28"/>
          <w:szCs w:val="28"/>
        </w:rPr>
      </w:pPr>
    </w:p>
    <w:p w14:paraId="11BE36CB">
      <w:pPr>
        <w:ind w:firstLine="514" w:firstLineChars="245"/>
      </w:pPr>
      <w:r>
        <w:rPr>
          <w:rFonts w:hint="eastAsia" w:cs="宋体"/>
        </w:rPr>
        <w:t>项目名称：</w:t>
      </w:r>
      <w:r>
        <w:rPr>
          <w:u w:val="single"/>
        </w:rPr>
        <w:t xml:space="preserve">                                </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1C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6488E48">
            <w:pPr>
              <w:jc w:val="center"/>
            </w:pPr>
            <w:r>
              <w:rPr>
                <w:rFonts w:hint="eastAsia" w:cs="宋体"/>
              </w:rPr>
              <w:t>序</w:t>
            </w:r>
            <w:r>
              <w:t xml:space="preserve"> </w:t>
            </w:r>
            <w:r>
              <w:rPr>
                <w:rFonts w:hint="eastAsia" w:cs="宋体"/>
              </w:rPr>
              <w:t>号</w:t>
            </w:r>
          </w:p>
        </w:tc>
        <w:tc>
          <w:tcPr>
            <w:tcW w:w="1985" w:type="dxa"/>
            <w:noWrap w:val="0"/>
            <w:vAlign w:val="center"/>
          </w:tcPr>
          <w:p w14:paraId="142EFE5F">
            <w:pPr>
              <w:jc w:val="center"/>
            </w:pPr>
            <w:r>
              <w:rPr>
                <w:rFonts w:hint="eastAsia" w:cs="宋体"/>
              </w:rPr>
              <w:t>条款内容</w:t>
            </w:r>
          </w:p>
        </w:tc>
        <w:tc>
          <w:tcPr>
            <w:tcW w:w="2126" w:type="dxa"/>
            <w:noWrap w:val="0"/>
            <w:vAlign w:val="center"/>
          </w:tcPr>
          <w:p w14:paraId="204700C5">
            <w:pPr>
              <w:jc w:val="center"/>
            </w:pPr>
            <w:r>
              <w:rPr>
                <w:rFonts w:hint="eastAsia" w:cs="宋体"/>
              </w:rPr>
              <w:t>合同条款号</w:t>
            </w:r>
          </w:p>
        </w:tc>
        <w:tc>
          <w:tcPr>
            <w:tcW w:w="1984" w:type="dxa"/>
            <w:noWrap w:val="0"/>
            <w:vAlign w:val="center"/>
          </w:tcPr>
          <w:p w14:paraId="2951182D">
            <w:pPr>
              <w:jc w:val="center"/>
            </w:pPr>
            <w:r>
              <w:rPr>
                <w:rFonts w:hint="eastAsia" w:cs="宋体"/>
              </w:rPr>
              <w:t>约定内容</w:t>
            </w:r>
          </w:p>
        </w:tc>
        <w:tc>
          <w:tcPr>
            <w:tcW w:w="1843" w:type="dxa"/>
            <w:noWrap w:val="0"/>
            <w:vAlign w:val="center"/>
          </w:tcPr>
          <w:p w14:paraId="49B5B315">
            <w:pPr>
              <w:jc w:val="center"/>
            </w:pPr>
            <w:r>
              <w:rPr>
                <w:rFonts w:hint="eastAsia" w:cs="宋体"/>
                <w:lang w:val="en-US" w:eastAsia="zh-CN"/>
              </w:rPr>
              <w:t>供应商</w:t>
            </w:r>
            <w:r>
              <w:rPr>
                <w:rFonts w:hint="eastAsia" w:cs="宋体"/>
              </w:rPr>
              <w:t>响应情况</w:t>
            </w:r>
          </w:p>
        </w:tc>
      </w:tr>
      <w:tr w14:paraId="74E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859FB4A">
            <w:pPr>
              <w:jc w:val="center"/>
            </w:pPr>
            <w:r>
              <w:t>1</w:t>
            </w:r>
          </w:p>
        </w:tc>
        <w:tc>
          <w:tcPr>
            <w:tcW w:w="1985" w:type="dxa"/>
            <w:noWrap w:val="0"/>
            <w:vAlign w:val="center"/>
          </w:tcPr>
          <w:p w14:paraId="1DDBB2BF">
            <w:r>
              <w:rPr>
                <w:rFonts w:hint="eastAsia" w:cs="宋体"/>
              </w:rPr>
              <w:t>项目经理</w:t>
            </w:r>
          </w:p>
        </w:tc>
        <w:tc>
          <w:tcPr>
            <w:tcW w:w="2126" w:type="dxa"/>
            <w:noWrap w:val="0"/>
            <w:tcMar>
              <w:left w:w="170" w:type="dxa"/>
            </w:tcMar>
            <w:vAlign w:val="center"/>
          </w:tcPr>
          <w:p w14:paraId="776E5D8B">
            <w:pPr>
              <w:jc w:val="center"/>
            </w:pPr>
            <w:r>
              <w:rPr>
                <w:rFonts w:hint="eastAsia" w:cs="宋体"/>
              </w:rPr>
              <w:t>专用条款</w:t>
            </w:r>
          </w:p>
        </w:tc>
        <w:tc>
          <w:tcPr>
            <w:tcW w:w="1984" w:type="dxa"/>
            <w:noWrap w:val="0"/>
            <w:vAlign w:val="center"/>
          </w:tcPr>
          <w:p w14:paraId="270BAC95">
            <w:r>
              <w:rPr>
                <w:rFonts w:hint="eastAsia" w:cs="宋体"/>
              </w:rPr>
              <w:t>姓名：</w:t>
            </w:r>
            <w:r>
              <w:rPr>
                <w:u w:val="single"/>
              </w:rPr>
              <w:t xml:space="preserve">          </w:t>
            </w:r>
          </w:p>
        </w:tc>
        <w:tc>
          <w:tcPr>
            <w:tcW w:w="1843" w:type="dxa"/>
            <w:noWrap w:val="0"/>
            <w:vAlign w:val="center"/>
          </w:tcPr>
          <w:p w14:paraId="7A23CDEB">
            <w:pPr>
              <w:jc w:val="center"/>
            </w:pPr>
          </w:p>
        </w:tc>
      </w:tr>
      <w:tr w14:paraId="1FB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8419BAF">
            <w:pPr>
              <w:jc w:val="center"/>
            </w:pPr>
            <w:r>
              <w:t>2</w:t>
            </w:r>
          </w:p>
        </w:tc>
        <w:tc>
          <w:tcPr>
            <w:tcW w:w="1985" w:type="dxa"/>
            <w:noWrap w:val="0"/>
            <w:vAlign w:val="center"/>
          </w:tcPr>
          <w:p w14:paraId="5B95F76C">
            <w:r>
              <w:rPr>
                <w:rFonts w:hint="eastAsia" w:cs="宋体"/>
                <w:lang w:val="en-US" w:eastAsia="zh-CN"/>
              </w:rPr>
              <w:t>竞标</w:t>
            </w:r>
            <w:r>
              <w:rPr>
                <w:rFonts w:hint="eastAsia" w:cs="宋体"/>
              </w:rPr>
              <w:t>有效期</w:t>
            </w:r>
          </w:p>
        </w:tc>
        <w:tc>
          <w:tcPr>
            <w:tcW w:w="2126" w:type="dxa"/>
            <w:noWrap w:val="0"/>
            <w:tcMar>
              <w:left w:w="170" w:type="dxa"/>
            </w:tcMar>
            <w:vAlign w:val="center"/>
          </w:tcPr>
          <w:p w14:paraId="1938D4F7"/>
        </w:tc>
        <w:tc>
          <w:tcPr>
            <w:tcW w:w="1984" w:type="dxa"/>
            <w:noWrap w:val="0"/>
            <w:vAlign w:val="center"/>
          </w:tcPr>
          <w:p w14:paraId="7379F4E9">
            <w:pPr>
              <w:jc w:val="center"/>
              <w:rPr>
                <w:u w:val="single"/>
              </w:rPr>
            </w:pPr>
            <w:r>
              <w:rPr>
                <w:u w:val="single"/>
              </w:rPr>
              <w:t xml:space="preserve">          </w:t>
            </w:r>
            <w:r>
              <w:rPr>
                <w:rFonts w:hint="eastAsia" w:cs="宋体"/>
              </w:rPr>
              <w:t>日历天</w:t>
            </w:r>
          </w:p>
        </w:tc>
        <w:tc>
          <w:tcPr>
            <w:tcW w:w="1843" w:type="dxa"/>
            <w:noWrap w:val="0"/>
            <w:vAlign w:val="center"/>
          </w:tcPr>
          <w:p w14:paraId="2DE4949A">
            <w:pPr>
              <w:jc w:val="center"/>
            </w:pPr>
          </w:p>
        </w:tc>
      </w:tr>
      <w:tr w14:paraId="4DC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B294E9F">
            <w:pPr>
              <w:jc w:val="center"/>
            </w:pPr>
            <w:r>
              <w:t>3</w:t>
            </w:r>
          </w:p>
        </w:tc>
        <w:tc>
          <w:tcPr>
            <w:tcW w:w="1985" w:type="dxa"/>
            <w:noWrap w:val="0"/>
            <w:vAlign w:val="center"/>
          </w:tcPr>
          <w:p w14:paraId="239974F7">
            <w:r>
              <w:rPr>
                <w:rFonts w:hint="eastAsia" w:cs="宋体"/>
              </w:rPr>
              <w:t>工期</w:t>
            </w:r>
          </w:p>
        </w:tc>
        <w:tc>
          <w:tcPr>
            <w:tcW w:w="2126" w:type="dxa"/>
            <w:noWrap w:val="0"/>
            <w:tcMar>
              <w:left w:w="170" w:type="dxa"/>
            </w:tcMar>
            <w:vAlign w:val="center"/>
          </w:tcPr>
          <w:p w14:paraId="6E6AEF8A">
            <w:pPr>
              <w:jc w:val="center"/>
            </w:pPr>
            <w:r>
              <w:rPr>
                <w:rFonts w:hint="eastAsia" w:cs="宋体"/>
              </w:rPr>
              <w:t>专用条款</w:t>
            </w:r>
          </w:p>
        </w:tc>
        <w:tc>
          <w:tcPr>
            <w:tcW w:w="1984" w:type="dxa"/>
            <w:noWrap w:val="0"/>
            <w:vAlign w:val="center"/>
          </w:tcPr>
          <w:p w14:paraId="7600C10B">
            <w:pPr>
              <w:jc w:val="center"/>
            </w:pPr>
            <w:r>
              <w:rPr>
                <w:u w:val="single"/>
              </w:rPr>
              <w:t xml:space="preserve">          </w:t>
            </w:r>
            <w:r>
              <w:rPr>
                <w:rFonts w:hint="eastAsia" w:cs="宋体"/>
              </w:rPr>
              <w:t>日历天</w:t>
            </w:r>
          </w:p>
        </w:tc>
        <w:tc>
          <w:tcPr>
            <w:tcW w:w="1843" w:type="dxa"/>
            <w:noWrap w:val="0"/>
            <w:vAlign w:val="center"/>
          </w:tcPr>
          <w:p w14:paraId="4FEF199B">
            <w:pPr>
              <w:jc w:val="center"/>
            </w:pPr>
          </w:p>
        </w:tc>
      </w:tr>
      <w:tr w14:paraId="69D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7FBCC2">
            <w:pPr>
              <w:jc w:val="center"/>
            </w:pPr>
            <w:r>
              <w:t>4</w:t>
            </w:r>
          </w:p>
        </w:tc>
        <w:tc>
          <w:tcPr>
            <w:tcW w:w="1985" w:type="dxa"/>
            <w:noWrap w:val="0"/>
            <w:vAlign w:val="center"/>
          </w:tcPr>
          <w:p w14:paraId="60B6FC4F">
            <w:r>
              <w:rPr>
                <w:rFonts w:hint="eastAsia" w:cs="宋体"/>
              </w:rPr>
              <w:t>缺陷责任期</w:t>
            </w:r>
          </w:p>
        </w:tc>
        <w:tc>
          <w:tcPr>
            <w:tcW w:w="2126" w:type="dxa"/>
            <w:noWrap w:val="0"/>
            <w:tcMar>
              <w:left w:w="170" w:type="dxa"/>
            </w:tcMar>
            <w:vAlign w:val="center"/>
          </w:tcPr>
          <w:p w14:paraId="4D462544">
            <w:pPr>
              <w:jc w:val="center"/>
            </w:pPr>
            <w:r>
              <w:rPr>
                <w:rFonts w:hint="eastAsia" w:cs="宋体"/>
              </w:rPr>
              <w:t>专用条款</w:t>
            </w:r>
          </w:p>
        </w:tc>
        <w:tc>
          <w:tcPr>
            <w:tcW w:w="1984" w:type="dxa"/>
            <w:noWrap w:val="0"/>
            <w:vAlign w:val="center"/>
          </w:tcPr>
          <w:p w14:paraId="0FAD41D8">
            <w:pPr>
              <w:jc w:val="center"/>
            </w:pPr>
          </w:p>
        </w:tc>
        <w:tc>
          <w:tcPr>
            <w:tcW w:w="1843" w:type="dxa"/>
            <w:noWrap w:val="0"/>
            <w:vAlign w:val="center"/>
          </w:tcPr>
          <w:p w14:paraId="79844D50">
            <w:pPr>
              <w:jc w:val="center"/>
            </w:pPr>
          </w:p>
        </w:tc>
      </w:tr>
      <w:tr w14:paraId="191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5EFD8E">
            <w:pPr>
              <w:jc w:val="center"/>
            </w:pPr>
            <w:r>
              <w:t>5</w:t>
            </w:r>
          </w:p>
        </w:tc>
        <w:tc>
          <w:tcPr>
            <w:tcW w:w="1985" w:type="dxa"/>
            <w:noWrap w:val="0"/>
            <w:vAlign w:val="center"/>
          </w:tcPr>
          <w:p w14:paraId="0C81A82C">
            <w:r>
              <w:rPr>
                <w:rFonts w:hint="eastAsia" w:cs="宋体"/>
              </w:rPr>
              <w:t>发包人支付担保</w:t>
            </w:r>
          </w:p>
        </w:tc>
        <w:tc>
          <w:tcPr>
            <w:tcW w:w="2126" w:type="dxa"/>
            <w:noWrap w:val="0"/>
            <w:tcMar>
              <w:left w:w="170" w:type="dxa"/>
            </w:tcMar>
            <w:vAlign w:val="center"/>
          </w:tcPr>
          <w:p w14:paraId="53DEF48E">
            <w:pPr>
              <w:jc w:val="center"/>
            </w:pPr>
            <w:r>
              <w:rPr>
                <w:rFonts w:hint="eastAsia" w:cs="宋体"/>
              </w:rPr>
              <w:t>专用条款</w:t>
            </w:r>
          </w:p>
        </w:tc>
        <w:tc>
          <w:tcPr>
            <w:tcW w:w="1984" w:type="dxa"/>
            <w:noWrap w:val="0"/>
            <w:vAlign w:val="center"/>
          </w:tcPr>
          <w:p w14:paraId="417E5562">
            <w:pPr>
              <w:jc w:val="center"/>
            </w:pPr>
          </w:p>
        </w:tc>
        <w:tc>
          <w:tcPr>
            <w:tcW w:w="1843" w:type="dxa"/>
            <w:noWrap w:val="0"/>
            <w:vAlign w:val="center"/>
          </w:tcPr>
          <w:p w14:paraId="608C5E37">
            <w:pPr>
              <w:jc w:val="center"/>
            </w:pPr>
          </w:p>
        </w:tc>
      </w:tr>
      <w:tr w14:paraId="4466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302C81">
            <w:pPr>
              <w:jc w:val="center"/>
            </w:pPr>
            <w:r>
              <w:t>6</w:t>
            </w:r>
          </w:p>
        </w:tc>
        <w:tc>
          <w:tcPr>
            <w:tcW w:w="1985" w:type="dxa"/>
            <w:noWrap w:val="0"/>
            <w:vAlign w:val="center"/>
          </w:tcPr>
          <w:p w14:paraId="59041F11">
            <w:r>
              <w:rPr>
                <w:rFonts w:hint="eastAsia" w:cs="宋体"/>
              </w:rPr>
              <w:t>承包人履约担保金额</w:t>
            </w:r>
          </w:p>
        </w:tc>
        <w:tc>
          <w:tcPr>
            <w:tcW w:w="2126" w:type="dxa"/>
            <w:noWrap w:val="0"/>
            <w:tcMar>
              <w:left w:w="170" w:type="dxa"/>
            </w:tcMar>
            <w:vAlign w:val="center"/>
          </w:tcPr>
          <w:p w14:paraId="0F4588ED">
            <w:pPr>
              <w:jc w:val="center"/>
            </w:pPr>
            <w:r>
              <w:rPr>
                <w:rFonts w:hint="eastAsia" w:cs="宋体"/>
              </w:rPr>
              <w:t>专用条款</w:t>
            </w:r>
          </w:p>
        </w:tc>
        <w:tc>
          <w:tcPr>
            <w:tcW w:w="1984" w:type="dxa"/>
            <w:noWrap w:val="0"/>
            <w:vAlign w:val="center"/>
          </w:tcPr>
          <w:p w14:paraId="26E4C0CC">
            <w:pPr>
              <w:jc w:val="center"/>
            </w:pPr>
          </w:p>
        </w:tc>
        <w:tc>
          <w:tcPr>
            <w:tcW w:w="1843" w:type="dxa"/>
            <w:noWrap w:val="0"/>
            <w:vAlign w:val="center"/>
          </w:tcPr>
          <w:p w14:paraId="40BFEBC7">
            <w:pPr>
              <w:jc w:val="center"/>
            </w:pPr>
          </w:p>
        </w:tc>
      </w:tr>
      <w:tr w14:paraId="187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96A066">
            <w:pPr>
              <w:jc w:val="center"/>
            </w:pPr>
            <w:r>
              <w:t>7</w:t>
            </w:r>
          </w:p>
        </w:tc>
        <w:tc>
          <w:tcPr>
            <w:tcW w:w="1985" w:type="dxa"/>
            <w:noWrap w:val="0"/>
            <w:vAlign w:val="center"/>
          </w:tcPr>
          <w:p w14:paraId="03C70284">
            <w:r>
              <w:rPr>
                <w:rFonts w:hint="eastAsia" w:cs="宋体"/>
              </w:rPr>
              <w:t>分包</w:t>
            </w:r>
          </w:p>
        </w:tc>
        <w:tc>
          <w:tcPr>
            <w:tcW w:w="2126" w:type="dxa"/>
            <w:noWrap w:val="0"/>
            <w:tcMar>
              <w:left w:w="170" w:type="dxa"/>
            </w:tcMar>
            <w:vAlign w:val="center"/>
          </w:tcPr>
          <w:p w14:paraId="0A5080AB">
            <w:pPr>
              <w:jc w:val="center"/>
            </w:pPr>
            <w:r>
              <w:rPr>
                <w:rFonts w:hint="eastAsia" w:cs="宋体"/>
              </w:rPr>
              <w:t>专用条款</w:t>
            </w:r>
          </w:p>
        </w:tc>
        <w:tc>
          <w:tcPr>
            <w:tcW w:w="1984" w:type="dxa"/>
            <w:noWrap w:val="0"/>
            <w:vAlign w:val="center"/>
          </w:tcPr>
          <w:p w14:paraId="3B1CA196">
            <w:pPr>
              <w:jc w:val="center"/>
            </w:pPr>
            <w:r>
              <w:rPr>
                <w:rFonts w:hint="eastAsia" w:cs="宋体"/>
              </w:rPr>
              <w:t>见分包项目情况表</w:t>
            </w:r>
          </w:p>
        </w:tc>
        <w:tc>
          <w:tcPr>
            <w:tcW w:w="1843" w:type="dxa"/>
            <w:noWrap w:val="0"/>
            <w:vAlign w:val="center"/>
          </w:tcPr>
          <w:p w14:paraId="7CFD2CBB">
            <w:pPr>
              <w:jc w:val="center"/>
            </w:pPr>
          </w:p>
        </w:tc>
      </w:tr>
      <w:tr w14:paraId="48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4585474">
            <w:pPr>
              <w:jc w:val="center"/>
            </w:pPr>
            <w:r>
              <w:t>8</w:t>
            </w:r>
          </w:p>
        </w:tc>
        <w:tc>
          <w:tcPr>
            <w:tcW w:w="1985" w:type="dxa"/>
            <w:noWrap w:val="0"/>
            <w:vAlign w:val="center"/>
          </w:tcPr>
          <w:p w14:paraId="56A17797">
            <w:r>
              <w:rPr>
                <w:rFonts w:hint="eastAsia" w:cs="宋体"/>
              </w:rPr>
              <w:t>逾期竣工违约金</w:t>
            </w:r>
          </w:p>
        </w:tc>
        <w:tc>
          <w:tcPr>
            <w:tcW w:w="2126" w:type="dxa"/>
            <w:noWrap w:val="0"/>
            <w:tcMar>
              <w:left w:w="170" w:type="dxa"/>
            </w:tcMar>
            <w:vAlign w:val="center"/>
          </w:tcPr>
          <w:p w14:paraId="67770C5F">
            <w:pPr>
              <w:jc w:val="center"/>
            </w:pPr>
            <w:r>
              <w:rPr>
                <w:rFonts w:hint="eastAsia" w:cs="宋体"/>
              </w:rPr>
              <w:t>专用条款</w:t>
            </w:r>
          </w:p>
        </w:tc>
        <w:tc>
          <w:tcPr>
            <w:tcW w:w="1984" w:type="dxa"/>
            <w:noWrap w:val="0"/>
            <w:vAlign w:val="center"/>
          </w:tcPr>
          <w:p w14:paraId="589C6C44"/>
        </w:tc>
        <w:tc>
          <w:tcPr>
            <w:tcW w:w="1843" w:type="dxa"/>
            <w:noWrap w:val="0"/>
            <w:vAlign w:val="center"/>
          </w:tcPr>
          <w:p w14:paraId="7689317F">
            <w:pPr>
              <w:jc w:val="center"/>
            </w:pPr>
          </w:p>
        </w:tc>
      </w:tr>
      <w:tr w14:paraId="3A43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C13E52">
            <w:pPr>
              <w:jc w:val="center"/>
            </w:pPr>
            <w:r>
              <w:t>9</w:t>
            </w:r>
          </w:p>
        </w:tc>
        <w:tc>
          <w:tcPr>
            <w:tcW w:w="1985" w:type="dxa"/>
            <w:noWrap w:val="0"/>
            <w:vAlign w:val="center"/>
          </w:tcPr>
          <w:p w14:paraId="39345825">
            <w:r>
              <w:rPr>
                <w:rFonts w:hint="eastAsia" w:cs="宋体"/>
              </w:rPr>
              <w:t>逾期竣工违约金最高限额</w:t>
            </w:r>
          </w:p>
        </w:tc>
        <w:tc>
          <w:tcPr>
            <w:tcW w:w="2126" w:type="dxa"/>
            <w:noWrap w:val="0"/>
            <w:tcMar>
              <w:left w:w="170" w:type="dxa"/>
            </w:tcMar>
            <w:vAlign w:val="center"/>
          </w:tcPr>
          <w:p w14:paraId="257112CC">
            <w:pPr>
              <w:jc w:val="center"/>
            </w:pPr>
            <w:r>
              <w:rPr>
                <w:rFonts w:hint="eastAsia" w:cs="宋体"/>
              </w:rPr>
              <w:t>专用条款</w:t>
            </w:r>
          </w:p>
        </w:tc>
        <w:tc>
          <w:tcPr>
            <w:tcW w:w="1984" w:type="dxa"/>
            <w:noWrap w:val="0"/>
            <w:vAlign w:val="center"/>
          </w:tcPr>
          <w:p w14:paraId="5EE1B977"/>
        </w:tc>
        <w:tc>
          <w:tcPr>
            <w:tcW w:w="1843" w:type="dxa"/>
            <w:noWrap w:val="0"/>
            <w:vAlign w:val="center"/>
          </w:tcPr>
          <w:p w14:paraId="13D96670">
            <w:pPr>
              <w:jc w:val="center"/>
            </w:pPr>
          </w:p>
        </w:tc>
      </w:tr>
      <w:tr w14:paraId="5D4C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0D64723">
            <w:pPr>
              <w:jc w:val="center"/>
            </w:pPr>
            <w:r>
              <w:t>10</w:t>
            </w:r>
          </w:p>
        </w:tc>
        <w:tc>
          <w:tcPr>
            <w:tcW w:w="1985" w:type="dxa"/>
            <w:noWrap w:val="0"/>
            <w:vAlign w:val="center"/>
          </w:tcPr>
          <w:p w14:paraId="25A04F03">
            <w:r>
              <w:rPr>
                <w:rFonts w:hint="eastAsia" w:cs="宋体"/>
              </w:rPr>
              <w:t>质量标准</w:t>
            </w:r>
          </w:p>
        </w:tc>
        <w:tc>
          <w:tcPr>
            <w:tcW w:w="2126" w:type="dxa"/>
            <w:noWrap w:val="0"/>
            <w:tcMar>
              <w:left w:w="170" w:type="dxa"/>
            </w:tcMar>
            <w:vAlign w:val="center"/>
          </w:tcPr>
          <w:p w14:paraId="397436EC">
            <w:pPr>
              <w:jc w:val="center"/>
            </w:pPr>
            <w:r>
              <w:rPr>
                <w:rFonts w:hint="eastAsia" w:cs="宋体"/>
              </w:rPr>
              <w:t>专用条款</w:t>
            </w:r>
          </w:p>
        </w:tc>
        <w:tc>
          <w:tcPr>
            <w:tcW w:w="1984" w:type="dxa"/>
            <w:noWrap w:val="0"/>
            <w:vAlign w:val="center"/>
          </w:tcPr>
          <w:p w14:paraId="5CFC65D9">
            <w:pPr>
              <w:jc w:val="center"/>
            </w:pPr>
          </w:p>
        </w:tc>
        <w:tc>
          <w:tcPr>
            <w:tcW w:w="1843" w:type="dxa"/>
            <w:noWrap w:val="0"/>
            <w:vAlign w:val="center"/>
          </w:tcPr>
          <w:p w14:paraId="084F2EBB">
            <w:pPr>
              <w:jc w:val="center"/>
            </w:pPr>
          </w:p>
        </w:tc>
      </w:tr>
      <w:tr w14:paraId="1A41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378C64D">
            <w:pPr>
              <w:jc w:val="center"/>
            </w:pPr>
            <w:r>
              <w:t>11</w:t>
            </w:r>
          </w:p>
        </w:tc>
        <w:tc>
          <w:tcPr>
            <w:tcW w:w="1985" w:type="dxa"/>
            <w:noWrap w:val="0"/>
            <w:vAlign w:val="center"/>
          </w:tcPr>
          <w:p w14:paraId="4880CF3A">
            <w:r>
              <w:rPr>
                <w:rFonts w:hint="eastAsia" w:cs="宋体"/>
              </w:rPr>
              <w:t>预付款额度</w:t>
            </w:r>
          </w:p>
        </w:tc>
        <w:tc>
          <w:tcPr>
            <w:tcW w:w="2126" w:type="dxa"/>
            <w:noWrap w:val="0"/>
            <w:tcMar>
              <w:left w:w="170" w:type="dxa"/>
            </w:tcMar>
            <w:vAlign w:val="center"/>
          </w:tcPr>
          <w:p w14:paraId="2ECBFC1F">
            <w:pPr>
              <w:jc w:val="center"/>
            </w:pPr>
            <w:r>
              <w:rPr>
                <w:rFonts w:hint="eastAsia" w:cs="宋体"/>
              </w:rPr>
              <w:t>专用条款</w:t>
            </w:r>
          </w:p>
        </w:tc>
        <w:tc>
          <w:tcPr>
            <w:tcW w:w="1984" w:type="dxa"/>
            <w:noWrap w:val="0"/>
            <w:vAlign w:val="center"/>
          </w:tcPr>
          <w:p w14:paraId="2A972DF6">
            <w:pPr>
              <w:jc w:val="center"/>
            </w:pPr>
          </w:p>
        </w:tc>
        <w:tc>
          <w:tcPr>
            <w:tcW w:w="1843" w:type="dxa"/>
            <w:noWrap w:val="0"/>
            <w:vAlign w:val="center"/>
          </w:tcPr>
          <w:p w14:paraId="639FF75F">
            <w:pPr>
              <w:jc w:val="center"/>
            </w:pPr>
          </w:p>
        </w:tc>
      </w:tr>
      <w:tr w14:paraId="0E1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C1457B6">
            <w:pPr>
              <w:jc w:val="center"/>
            </w:pPr>
            <w:r>
              <w:t>12</w:t>
            </w:r>
          </w:p>
        </w:tc>
        <w:tc>
          <w:tcPr>
            <w:tcW w:w="1985" w:type="dxa"/>
            <w:noWrap w:val="0"/>
            <w:vAlign w:val="center"/>
          </w:tcPr>
          <w:p w14:paraId="4EBAB2ED">
            <w:r>
              <w:rPr>
                <w:rFonts w:hint="eastAsia" w:cs="宋体"/>
              </w:rPr>
              <w:t>预付款保函金额</w:t>
            </w:r>
          </w:p>
        </w:tc>
        <w:tc>
          <w:tcPr>
            <w:tcW w:w="2126" w:type="dxa"/>
            <w:noWrap w:val="0"/>
            <w:tcMar>
              <w:left w:w="170" w:type="dxa"/>
            </w:tcMar>
            <w:vAlign w:val="center"/>
          </w:tcPr>
          <w:p w14:paraId="365AE7B6">
            <w:pPr>
              <w:jc w:val="center"/>
            </w:pPr>
            <w:r>
              <w:rPr>
                <w:rFonts w:hint="eastAsia" w:cs="宋体"/>
              </w:rPr>
              <w:t>专用条款</w:t>
            </w:r>
          </w:p>
        </w:tc>
        <w:tc>
          <w:tcPr>
            <w:tcW w:w="1984" w:type="dxa"/>
            <w:noWrap w:val="0"/>
            <w:vAlign w:val="center"/>
          </w:tcPr>
          <w:p w14:paraId="28777558">
            <w:pPr>
              <w:jc w:val="center"/>
            </w:pPr>
          </w:p>
        </w:tc>
        <w:tc>
          <w:tcPr>
            <w:tcW w:w="1843" w:type="dxa"/>
            <w:noWrap w:val="0"/>
            <w:vAlign w:val="center"/>
          </w:tcPr>
          <w:p w14:paraId="05B8098D">
            <w:pPr>
              <w:jc w:val="center"/>
            </w:pPr>
          </w:p>
        </w:tc>
      </w:tr>
      <w:tr w14:paraId="1D94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424D735">
            <w:pPr>
              <w:jc w:val="center"/>
            </w:pPr>
            <w:r>
              <w:t>13</w:t>
            </w:r>
          </w:p>
        </w:tc>
        <w:tc>
          <w:tcPr>
            <w:tcW w:w="1985" w:type="dxa"/>
            <w:noWrap w:val="0"/>
            <w:vAlign w:val="center"/>
          </w:tcPr>
          <w:p w14:paraId="141B0F10">
            <w:r>
              <w:rPr>
                <w:rFonts w:hint="eastAsia" w:cs="宋体"/>
              </w:rPr>
              <w:t>质量保证金额度</w:t>
            </w:r>
          </w:p>
        </w:tc>
        <w:tc>
          <w:tcPr>
            <w:tcW w:w="2126" w:type="dxa"/>
            <w:noWrap w:val="0"/>
            <w:tcMar>
              <w:left w:w="170" w:type="dxa"/>
            </w:tcMar>
            <w:vAlign w:val="center"/>
          </w:tcPr>
          <w:p w14:paraId="2FEC2AB9">
            <w:pPr>
              <w:jc w:val="center"/>
            </w:pPr>
            <w:r>
              <w:rPr>
                <w:rFonts w:hint="eastAsia" w:cs="宋体"/>
              </w:rPr>
              <w:t>专用条款</w:t>
            </w:r>
          </w:p>
        </w:tc>
        <w:tc>
          <w:tcPr>
            <w:tcW w:w="1984" w:type="dxa"/>
            <w:noWrap w:val="0"/>
            <w:vAlign w:val="center"/>
          </w:tcPr>
          <w:p w14:paraId="2F977AF0">
            <w:pPr>
              <w:jc w:val="center"/>
            </w:pPr>
            <w:r>
              <w:rPr>
                <w:rFonts w:hint="eastAsia" w:cs="宋体"/>
              </w:rPr>
              <w:t>结算价的</w:t>
            </w:r>
            <w:r>
              <w:rPr>
                <w:u w:val="single"/>
              </w:rPr>
              <w:t xml:space="preserve">     </w:t>
            </w:r>
            <w:r>
              <w:t xml:space="preserve">% </w:t>
            </w:r>
            <w:r>
              <w:rPr>
                <w:u w:val="single"/>
              </w:rPr>
              <w:t xml:space="preserve"> </w:t>
            </w:r>
          </w:p>
        </w:tc>
        <w:tc>
          <w:tcPr>
            <w:tcW w:w="1843" w:type="dxa"/>
            <w:noWrap w:val="0"/>
            <w:vAlign w:val="center"/>
          </w:tcPr>
          <w:p w14:paraId="0AD9EDB0">
            <w:pPr>
              <w:jc w:val="center"/>
            </w:pPr>
          </w:p>
        </w:tc>
      </w:tr>
      <w:tr w14:paraId="446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C54A85C">
            <w:pPr>
              <w:jc w:val="center"/>
            </w:pPr>
            <w:r>
              <w:t>……</w:t>
            </w:r>
          </w:p>
        </w:tc>
        <w:tc>
          <w:tcPr>
            <w:tcW w:w="1985" w:type="dxa"/>
            <w:noWrap w:val="0"/>
            <w:vAlign w:val="center"/>
          </w:tcPr>
          <w:p w14:paraId="365B02DF">
            <w:pPr>
              <w:jc w:val="center"/>
            </w:pPr>
            <w:r>
              <w:t>……</w:t>
            </w:r>
          </w:p>
        </w:tc>
        <w:tc>
          <w:tcPr>
            <w:tcW w:w="2126" w:type="dxa"/>
            <w:noWrap w:val="0"/>
            <w:tcMar>
              <w:left w:w="170" w:type="dxa"/>
            </w:tcMar>
            <w:vAlign w:val="center"/>
          </w:tcPr>
          <w:p w14:paraId="3E8F6C50"/>
        </w:tc>
        <w:tc>
          <w:tcPr>
            <w:tcW w:w="1984" w:type="dxa"/>
            <w:noWrap w:val="0"/>
            <w:vAlign w:val="center"/>
          </w:tcPr>
          <w:p w14:paraId="32ABFD48">
            <w:pPr>
              <w:jc w:val="center"/>
            </w:pPr>
          </w:p>
        </w:tc>
        <w:tc>
          <w:tcPr>
            <w:tcW w:w="1843" w:type="dxa"/>
            <w:noWrap w:val="0"/>
            <w:vAlign w:val="center"/>
          </w:tcPr>
          <w:p w14:paraId="0F4C6CFF">
            <w:pPr>
              <w:jc w:val="center"/>
            </w:pPr>
          </w:p>
        </w:tc>
      </w:tr>
      <w:tr w14:paraId="22B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5ECA1F8">
            <w:pPr>
              <w:spacing w:line="360" w:lineRule="auto"/>
            </w:pPr>
            <w:r>
              <w:rPr>
                <w:rFonts w:hint="eastAsia" w:cs="宋体"/>
              </w:rPr>
              <w:t>说明：</w:t>
            </w:r>
            <w:r>
              <w:rPr>
                <w:rFonts w:hint="eastAsia" w:cs="宋体"/>
                <w:lang w:val="en-US" w:eastAsia="zh-CN"/>
              </w:rPr>
              <w:t>供应商</w:t>
            </w:r>
            <w:r>
              <w:rPr>
                <w:rFonts w:hint="eastAsia" w:cs="宋体"/>
              </w:rPr>
              <w:t>在响应</w:t>
            </w:r>
            <w:r>
              <w:rPr>
                <w:rFonts w:hint="eastAsia" w:cs="宋体"/>
                <w:lang w:val="en-US" w:eastAsia="zh-CN"/>
              </w:rPr>
              <w:t>文件</w:t>
            </w:r>
            <w:r>
              <w:rPr>
                <w:rFonts w:hint="eastAsia" w:cs="宋体"/>
              </w:rPr>
              <w:t>中规定的实质性要求和条件的基础上，可做出其他有利于</w:t>
            </w:r>
            <w:r>
              <w:rPr>
                <w:rFonts w:hint="eastAsia" w:cs="宋体"/>
                <w:lang w:val="en-US" w:eastAsia="zh-CN"/>
              </w:rPr>
              <w:t>采购人</w:t>
            </w:r>
            <w:r>
              <w:rPr>
                <w:rFonts w:hint="eastAsia" w:cs="宋体"/>
              </w:rPr>
              <w:t>的承诺。此类承诺可在本表中予以补充填写。</w:t>
            </w: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60DFA7D0">
      <w:pPr>
        <w:spacing w:line="520" w:lineRule="exact"/>
        <w:jc w:val="center"/>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5FF63EB1">
      <w:pPr>
        <w:ind w:left="-178" w:leftChars="-85" w:right="-512" w:rightChars="-244" w:firstLine="630" w:firstLineChars="300"/>
        <w:jc w:val="left"/>
        <w:rPr>
          <w:rFonts w:hint="eastAsia" w:cs="宋体"/>
          <w:color w:val="auto"/>
        </w:rPr>
      </w:pPr>
      <w:r>
        <w:rPr>
          <w:rFonts w:hint="eastAsia" w:cs="宋体"/>
          <w:color w:val="auto"/>
        </w:rPr>
        <w:t>项目名称：</w:t>
      </w:r>
      <w:r>
        <w:rPr>
          <w:color w:val="auto"/>
        </w:rPr>
        <w:t xml:space="preserve">                                                  </w:t>
      </w:r>
      <w:r>
        <w:rPr>
          <w:rFonts w:hint="eastAsia" w:cs="宋体"/>
          <w:color w:val="auto"/>
        </w:rPr>
        <w:t>币种：人民币</w:t>
      </w:r>
    </w:p>
    <w:p w14:paraId="47508F67">
      <w:pPr>
        <w:pStyle w:val="31"/>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196"/>
        <w:gridCol w:w="3946"/>
        <w:gridCol w:w="2416"/>
      </w:tblGrid>
      <w:tr w14:paraId="1232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04" w:type="dxa"/>
            <w:noWrap w:val="0"/>
            <w:vAlign w:val="center"/>
          </w:tcPr>
          <w:p w14:paraId="05FC66C7">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序号</w:t>
            </w:r>
          </w:p>
        </w:tc>
        <w:tc>
          <w:tcPr>
            <w:tcW w:w="2196" w:type="dxa"/>
            <w:noWrap w:val="0"/>
            <w:vAlign w:val="center"/>
          </w:tcPr>
          <w:p w14:paraId="5A03824C">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项目</w:t>
            </w:r>
          </w:p>
        </w:tc>
        <w:tc>
          <w:tcPr>
            <w:tcW w:w="6362" w:type="dxa"/>
            <w:gridSpan w:val="2"/>
            <w:noWrap w:val="0"/>
            <w:vAlign w:val="center"/>
          </w:tcPr>
          <w:p w14:paraId="7AE24F9F">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内容</w:t>
            </w:r>
          </w:p>
        </w:tc>
      </w:tr>
      <w:tr w14:paraId="744E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4" w:type="dxa"/>
            <w:noWrap w:val="0"/>
            <w:vAlign w:val="center"/>
          </w:tcPr>
          <w:p w14:paraId="60FD478F">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2196" w:type="dxa"/>
            <w:noWrap w:val="0"/>
            <w:vAlign w:val="center"/>
          </w:tcPr>
          <w:p w14:paraId="736C024C">
            <w:pPr>
              <w:jc w:val="center"/>
              <w:rPr>
                <w:rFonts w:hint="eastAsia"/>
                <w:color w:val="auto"/>
                <w:sz w:val="21"/>
                <w:szCs w:val="21"/>
                <w:highlight w:val="none"/>
                <w:vertAlign w:val="baseline"/>
              </w:rPr>
            </w:pPr>
            <w:r>
              <w:rPr>
                <w:rFonts w:hint="eastAsia" w:ascii="宋体" w:hAnsi="宋体"/>
                <w:color w:val="auto"/>
                <w:sz w:val="21"/>
                <w:szCs w:val="21"/>
                <w:highlight w:val="none"/>
              </w:rPr>
              <w:t>项目名称</w:t>
            </w:r>
          </w:p>
        </w:tc>
        <w:tc>
          <w:tcPr>
            <w:tcW w:w="6362" w:type="dxa"/>
            <w:gridSpan w:val="2"/>
            <w:noWrap w:val="0"/>
            <w:vAlign w:val="center"/>
          </w:tcPr>
          <w:p w14:paraId="240402DB">
            <w:pPr>
              <w:jc w:val="center"/>
              <w:rPr>
                <w:rFonts w:hint="eastAsia"/>
                <w:color w:val="auto"/>
                <w:sz w:val="21"/>
                <w:szCs w:val="21"/>
                <w:highlight w:val="none"/>
                <w:vertAlign w:val="baseline"/>
              </w:rPr>
            </w:pPr>
          </w:p>
        </w:tc>
      </w:tr>
      <w:tr w14:paraId="28DD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4" w:type="dxa"/>
            <w:noWrap w:val="0"/>
            <w:vAlign w:val="center"/>
          </w:tcPr>
          <w:p w14:paraId="36658B67">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2196" w:type="dxa"/>
            <w:noWrap w:val="0"/>
            <w:vAlign w:val="center"/>
          </w:tcPr>
          <w:p w14:paraId="0E1EBB3E">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项目编号</w:t>
            </w:r>
          </w:p>
        </w:tc>
        <w:tc>
          <w:tcPr>
            <w:tcW w:w="6362" w:type="dxa"/>
            <w:gridSpan w:val="2"/>
            <w:noWrap w:val="0"/>
            <w:vAlign w:val="center"/>
          </w:tcPr>
          <w:p w14:paraId="665CF069">
            <w:pPr>
              <w:jc w:val="center"/>
              <w:rPr>
                <w:rFonts w:hint="eastAsia"/>
                <w:color w:val="auto"/>
                <w:sz w:val="21"/>
                <w:szCs w:val="21"/>
                <w:highlight w:val="none"/>
                <w:vertAlign w:val="baseline"/>
              </w:rPr>
            </w:pPr>
          </w:p>
        </w:tc>
      </w:tr>
      <w:tr w14:paraId="7D4F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104" w:type="dxa"/>
            <w:noWrap w:val="0"/>
            <w:vAlign w:val="center"/>
          </w:tcPr>
          <w:p w14:paraId="40E66BB6">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2196" w:type="dxa"/>
            <w:noWrap w:val="0"/>
            <w:vAlign w:val="center"/>
          </w:tcPr>
          <w:p w14:paraId="5C123F84">
            <w:pPr>
              <w:jc w:val="center"/>
              <w:rPr>
                <w:rFonts w:hint="eastAsia"/>
                <w:color w:val="auto"/>
                <w:sz w:val="21"/>
                <w:szCs w:val="21"/>
                <w:highlight w:val="none"/>
                <w:vertAlign w:val="baseline"/>
              </w:rPr>
            </w:pPr>
            <w:r>
              <w:rPr>
                <w:rFonts w:hint="eastAsia" w:ascii="宋体" w:hAnsi="宋体"/>
                <w:color w:val="auto"/>
                <w:sz w:val="21"/>
                <w:szCs w:val="21"/>
                <w:highlight w:val="none"/>
              </w:rPr>
              <w:t>总报价</w:t>
            </w:r>
          </w:p>
        </w:tc>
        <w:tc>
          <w:tcPr>
            <w:tcW w:w="6362" w:type="dxa"/>
            <w:gridSpan w:val="2"/>
            <w:noWrap w:val="0"/>
            <w:vAlign w:val="center"/>
          </w:tcPr>
          <w:p w14:paraId="03089A4D">
            <w:pPr>
              <w:jc w:val="both"/>
              <w:rPr>
                <w:rFonts w:hint="default" w:eastAsia="宋体"/>
                <w:color w:val="auto"/>
                <w:sz w:val="21"/>
                <w:szCs w:val="21"/>
                <w:highlight w:val="none"/>
                <w:u w:val="single"/>
                <w:lang w:val="en-US" w:eastAsia="zh-CN"/>
              </w:rPr>
            </w:pPr>
            <w:r>
              <w:rPr>
                <w:rFonts w:hint="eastAsia"/>
                <w:color w:val="auto"/>
                <w:sz w:val="21"/>
                <w:szCs w:val="21"/>
                <w:highlight w:val="none"/>
              </w:rPr>
              <w:t>大写（人民币）：</w:t>
            </w:r>
            <w:r>
              <w:rPr>
                <w:rFonts w:hint="eastAsia"/>
                <w:color w:val="auto"/>
                <w:sz w:val="21"/>
                <w:szCs w:val="21"/>
                <w:highlight w:val="none"/>
                <w:u w:val="single"/>
                <w:lang w:val="en-US" w:eastAsia="zh-CN"/>
              </w:rPr>
              <w:t xml:space="preserve">                </w:t>
            </w:r>
          </w:p>
          <w:p w14:paraId="0CDBF88C">
            <w:pPr>
              <w:jc w:val="both"/>
              <w:rPr>
                <w:rFonts w:hint="eastAsia" w:eastAsia="宋体"/>
                <w:color w:val="auto"/>
                <w:sz w:val="21"/>
                <w:szCs w:val="21"/>
                <w:highlight w:val="none"/>
                <w:vertAlign w:val="baseline"/>
                <w:lang w:eastAsia="zh-CN"/>
              </w:rPr>
            </w:pPr>
            <w:r>
              <w:rPr>
                <w:rFonts w:hint="eastAsia" w:ascii="宋体" w:hAnsi="宋体"/>
                <w:color w:val="auto"/>
                <w:sz w:val="21"/>
                <w:szCs w:val="21"/>
                <w:highlight w:val="none"/>
              </w:rPr>
              <w:t>小写（人民币）：</w:t>
            </w:r>
            <w:r>
              <w:rPr>
                <w:rFonts w:ascii="宋体" w:hAnsi="宋体"/>
                <w:color w:val="auto"/>
                <w:sz w:val="21"/>
                <w:szCs w:val="21"/>
                <w:highlight w:val="none"/>
                <w:u w:val="single"/>
              </w:rPr>
              <w:t xml:space="preserve">           </w:t>
            </w:r>
            <w:r>
              <w:rPr>
                <w:rFonts w:hint="eastAsia" w:ascii="宋体" w:hAnsi="宋体"/>
                <w:color w:val="auto"/>
                <w:sz w:val="21"/>
                <w:szCs w:val="21"/>
                <w:highlight w:val="none"/>
              </w:rPr>
              <w:t>元</w:t>
            </w:r>
          </w:p>
        </w:tc>
      </w:tr>
      <w:tr w14:paraId="735A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4" w:type="dxa"/>
            <w:noWrap w:val="0"/>
            <w:vAlign w:val="center"/>
          </w:tcPr>
          <w:p w14:paraId="059E305A">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2196" w:type="dxa"/>
            <w:noWrap w:val="0"/>
            <w:vAlign w:val="center"/>
          </w:tcPr>
          <w:p w14:paraId="2F38A752">
            <w:pPr>
              <w:jc w:val="center"/>
              <w:rPr>
                <w:rFonts w:hint="eastAsia"/>
                <w:color w:val="auto"/>
                <w:sz w:val="21"/>
                <w:szCs w:val="21"/>
                <w:highlight w:val="none"/>
                <w:vertAlign w:val="baseline"/>
              </w:rPr>
            </w:pPr>
            <w:r>
              <w:rPr>
                <w:rFonts w:hint="eastAsia" w:ascii="宋体" w:hAnsi="宋体"/>
                <w:color w:val="auto"/>
                <w:sz w:val="21"/>
                <w:szCs w:val="21"/>
                <w:highlight w:val="none"/>
              </w:rPr>
              <w:t>工</w:t>
            </w:r>
            <w:r>
              <w:rPr>
                <w:rFonts w:ascii="宋体" w:hAnsi="宋体"/>
                <w:color w:val="auto"/>
                <w:sz w:val="21"/>
                <w:szCs w:val="21"/>
                <w:highlight w:val="none"/>
              </w:rPr>
              <w:t xml:space="preserve"> </w:t>
            </w:r>
            <w:r>
              <w:rPr>
                <w:rFonts w:hint="eastAsia" w:ascii="宋体" w:hAnsi="宋体"/>
                <w:color w:val="auto"/>
                <w:sz w:val="21"/>
                <w:szCs w:val="21"/>
                <w:highlight w:val="none"/>
              </w:rPr>
              <w:t>期</w:t>
            </w:r>
          </w:p>
        </w:tc>
        <w:tc>
          <w:tcPr>
            <w:tcW w:w="3946" w:type="dxa"/>
            <w:noWrap w:val="0"/>
            <w:vAlign w:val="center"/>
          </w:tcPr>
          <w:p w14:paraId="4E450630">
            <w:pPr>
              <w:jc w:val="center"/>
              <w:rPr>
                <w:rFonts w:hint="eastAsia"/>
                <w:color w:val="auto"/>
                <w:sz w:val="21"/>
                <w:szCs w:val="21"/>
                <w:highlight w:val="none"/>
                <w:vertAlign w:val="baseline"/>
              </w:rPr>
            </w:pPr>
          </w:p>
        </w:tc>
        <w:tc>
          <w:tcPr>
            <w:tcW w:w="2416" w:type="dxa"/>
            <w:noWrap w:val="0"/>
            <w:vAlign w:val="center"/>
          </w:tcPr>
          <w:p w14:paraId="31B82583">
            <w:pPr>
              <w:jc w:val="center"/>
              <w:rPr>
                <w:rFonts w:hint="eastAsia"/>
                <w:color w:val="auto"/>
                <w:sz w:val="21"/>
                <w:szCs w:val="21"/>
                <w:highlight w:val="none"/>
                <w:vertAlign w:val="baseline"/>
              </w:rPr>
            </w:pPr>
            <w:r>
              <w:rPr>
                <w:rFonts w:hint="eastAsia" w:ascii="宋体" w:hAnsi="宋体"/>
                <w:color w:val="auto"/>
                <w:sz w:val="21"/>
                <w:szCs w:val="21"/>
                <w:highlight w:val="none"/>
              </w:rPr>
              <w:t>（日历天）</w:t>
            </w:r>
          </w:p>
        </w:tc>
      </w:tr>
      <w:tr w14:paraId="731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4" w:type="dxa"/>
            <w:noWrap w:val="0"/>
            <w:vAlign w:val="center"/>
          </w:tcPr>
          <w:p w14:paraId="1BC0C248">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2196" w:type="dxa"/>
            <w:noWrap w:val="0"/>
            <w:vAlign w:val="center"/>
          </w:tcPr>
          <w:p w14:paraId="6CC6C9EE">
            <w:pPr>
              <w:jc w:val="center"/>
              <w:rPr>
                <w:rFonts w:hint="eastAsia"/>
                <w:color w:val="auto"/>
                <w:sz w:val="21"/>
                <w:szCs w:val="21"/>
                <w:highlight w:val="none"/>
                <w:vertAlign w:val="baseline"/>
              </w:rPr>
            </w:pPr>
            <w:r>
              <w:rPr>
                <w:rFonts w:hint="eastAsia" w:ascii="宋体" w:hAnsi="宋体"/>
                <w:color w:val="auto"/>
                <w:sz w:val="21"/>
                <w:szCs w:val="21"/>
                <w:highlight w:val="none"/>
              </w:rPr>
              <w:t>质量等级</w:t>
            </w:r>
          </w:p>
        </w:tc>
        <w:tc>
          <w:tcPr>
            <w:tcW w:w="3946" w:type="dxa"/>
            <w:noWrap w:val="0"/>
            <w:vAlign w:val="center"/>
          </w:tcPr>
          <w:p w14:paraId="154B9CFC">
            <w:pPr>
              <w:jc w:val="center"/>
              <w:rPr>
                <w:rFonts w:hint="eastAsia"/>
                <w:color w:val="auto"/>
                <w:sz w:val="21"/>
                <w:szCs w:val="21"/>
                <w:highlight w:val="none"/>
                <w:vertAlign w:val="baseline"/>
              </w:rPr>
            </w:pPr>
          </w:p>
        </w:tc>
        <w:tc>
          <w:tcPr>
            <w:tcW w:w="2416" w:type="dxa"/>
            <w:noWrap w:val="0"/>
            <w:vAlign w:val="center"/>
          </w:tcPr>
          <w:p w14:paraId="2260D14B">
            <w:pPr>
              <w:jc w:val="center"/>
              <w:rPr>
                <w:rFonts w:hint="eastAsia"/>
                <w:color w:val="auto"/>
                <w:sz w:val="21"/>
                <w:szCs w:val="21"/>
                <w:highlight w:val="none"/>
                <w:vertAlign w:val="baseline"/>
              </w:rPr>
            </w:pPr>
          </w:p>
        </w:tc>
      </w:tr>
    </w:tbl>
    <w:p w14:paraId="0E436F51">
      <w:pPr>
        <w:pStyle w:val="31"/>
        <w:spacing w:before="0" w:after="0" w:line="560" w:lineRule="exact"/>
        <w:jc w:val="both"/>
        <w:rPr>
          <w:rFonts w:hint="eastAsia" w:ascii="宋体" w:hAnsi="宋体" w:eastAsia="宋体" w:cs="宋体"/>
          <w:color w:val="auto"/>
          <w:spacing w:val="0"/>
          <w:sz w:val="21"/>
          <w:szCs w:val="21"/>
        </w:rPr>
      </w:pPr>
    </w:p>
    <w:p w14:paraId="30AF7848">
      <w:pPr>
        <w:pStyle w:val="31"/>
        <w:spacing w:before="0" w:after="0" w:line="560" w:lineRule="exact"/>
        <w:rPr>
          <w:rFonts w:hint="eastAsia" w:ascii="宋体" w:hAnsi="宋体" w:eastAsia="宋体" w:cs="宋体"/>
          <w:color w:val="auto"/>
          <w:spacing w:val="0"/>
          <w:sz w:val="21"/>
          <w:szCs w:val="21"/>
        </w:rPr>
      </w:pPr>
    </w:p>
    <w:p w14:paraId="4F251526">
      <w:pPr>
        <w:pStyle w:val="31"/>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eastAsia="zh-CN"/>
        </w:rPr>
        <w:t>电子签章</w:t>
      </w:r>
      <w:r>
        <w:rPr>
          <w:rFonts w:hint="eastAsia" w:ascii="宋体" w:hAnsi="宋体" w:eastAsia="宋体" w:cs="宋体"/>
          <w:color w:val="000000"/>
          <w:sz w:val="22"/>
          <w:szCs w:val="22"/>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1"/>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1"/>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94E1967">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4E18830">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3800B91">
      <w:pPr>
        <w:pStyle w:val="31"/>
        <w:rPr>
          <w:rFonts w:hint="eastAsia" w:ascii="宋体" w:hAnsi="宋体" w:eastAsia="宋体" w:cs="宋体"/>
          <w:bCs/>
          <w:color w:val="auto"/>
          <w:sz w:val="44"/>
          <w:szCs w:val="44"/>
          <w:highlight w:val="none"/>
        </w:rPr>
      </w:pPr>
    </w:p>
    <w:p w14:paraId="0423D672">
      <w:pPr>
        <w:pStyle w:val="11"/>
        <w:rPr>
          <w:rFonts w:hint="eastAsia"/>
        </w:rPr>
      </w:pPr>
    </w:p>
    <w:p w14:paraId="002A6CC3">
      <w:pPr>
        <w:pStyle w:val="31"/>
        <w:jc w:val="both"/>
        <w:rPr>
          <w:rFonts w:hint="eastAsia" w:ascii="宋体" w:hAnsi="宋体" w:eastAsia="宋体" w:cs="宋体"/>
          <w:color w:val="auto"/>
          <w:sz w:val="21"/>
          <w:szCs w:val="21"/>
        </w:rPr>
      </w:pPr>
    </w:p>
    <w:p w14:paraId="0BDB3669">
      <w:pPr>
        <w:pStyle w:val="31"/>
        <w:jc w:val="both"/>
        <w:rPr>
          <w:rFonts w:hint="eastAsia" w:ascii="宋体" w:hAnsi="宋体" w:eastAsia="宋体" w:cs="宋体"/>
          <w:color w:val="auto"/>
          <w:sz w:val="21"/>
          <w:szCs w:val="21"/>
        </w:rPr>
      </w:pPr>
    </w:p>
    <w:p w14:paraId="707AE461">
      <w:pPr>
        <w:pStyle w:val="31"/>
        <w:jc w:val="both"/>
        <w:rPr>
          <w:rFonts w:hint="eastAsia" w:ascii="宋体" w:hAnsi="宋体" w:eastAsia="宋体" w:cs="宋体"/>
          <w:color w:val="auto"/>
          <w:sz w:val="21"/>
          <w:szCs w:val="21"/>
        </w:rPr>
      </w:pPr>
    </w:p>
    <w:p w14:paraId="40157742">
      <w:pPr>
        <w:pStyle w:val="44"/>
        <w:ind w:firstLine="422"/>
        <w:jc w:val="center"/>
        <w:outlineLvl w:val="0"/>
        <w:rPr>
          <w:b/>
          <w:bCs/>
          <w:sz w:val="24"/>
          <w:szCs w:val="24"/>
        </w:rPr>
      </w:pPr>
      <w:bookmarkStart w:id="118" w:name="_Toc2086"/>
      <w:bookmarkStart w:id="119" w:name="_Toc4536"/>
      <w:r>
        <w:rPr>
          <w:rFonts w:hint="eastAsia" w:cs="宋体"/>
          <w:b/>
          <w:bCs/>
          <w:sz w:val="24"/>
          <w:szCs w:val="24"/>
        </w:rPr>
        <w:t>已标价工程量清单</w:t>
      </w:r>
      <w:bookmarkEnd w:id="118"/>
      <w:bookmarkEnd w:id="119"/>
    </w:p>
    <w:p w14:paraId="445541A2">
      <w:pPr>
        <w:pStyle w:val="44"/>
        <w:jc w:val="center"/>
        <w:rPr>
          <w:b/>
          <w:bCs/>
          <w:sz w:val="28"/>
          <w:szCs w:val="28"/>
        </w:rPr>
      </w:pPr>
    </w:p>
    <w:p w14:paraId="5E5E55C4">
      <w:pPr>
        <w:numPr>
          <w:ilvl w:val="0"/>
          <w:numId w:val="10"/>
        </w:numPr>
        <w:spacing w:line="520" w:lineRule="exact"/>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已标价工程量清单应按第五章“工程量清单”中的相关表格及投标报价说明填写。构成合同文件的已标价工程量清单包括第五章“工程量清单”有关工程量清单、投标报价以及其他说明的内容。</w:t>
      </w:r>
    </w:p>
    <w:p w14:paraId="50CDD149">
      <w:pPr>
        <w:numPr>
          <w:ilvl w:val="0"/>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一般计税法建设工程已标价工程量清单表格按《关于建筑业实施营业税改征增值税后广西壮族自治区建设工程计价依据调整的通知》（桂建标〔2016〕17号）附件“增值税一般计税 方法工程计价表”要求提供，简易计税法表格按《</w:t>
      </w:r>
      <w:r>
        <w:rPr>
          <w:rFonts w:hint="eastAsia" w:ascii="宋体" w:hAnsi="宋体" w:cs="宋体"/>
          <w:sz w:val="21"/>
          <w:szCs w:val="21"/>
          <w:lang w:eastAsia="zh-CN"/>
        </w:rPr>
        <w:t>〈</w:t>
      </w:r>
      <w:r>
        <w:rPr>
          <w:rFonts w:ascii="宋体" w:hAnsi="宋体" w:eastAsia="宋体" w:cs="宋体"/>
          <w:sz w:val="21"/>
          <w:szCs w:val="21"/>
        </w:rPr>
        <w:t>建设工程工程量清单计价规范</w:t>
      </w:r>
      <w:r>
        <w:rPr>
          <w:rFonts w:hint="eastAsia" w:ascii="宋体" w:hAnsi="宋体" w:cs="宋体"/>
          <w:sz w:val="21"/>
          <w:szCs w:val="21"/>
          <w:lang w:eastAsia="zh-CN"/>
        </w:rPr>
        <w:t>〉</w:t>
      </w:r>
      <w:r>
        <w:rPr>
          <w:rFonts w:ascii="宋体" w:hAnsi="宋体" w:eastAsia="宋体" w:cs="宋体"/>
          <w:sz w:val="21"/>
          <w:szCs w:val="21"/>
        </w:rPr>
        <w:t xml:space="preserve"> （GB5050-2013）广西壮族自治区实施细则》要求的表格提供，但规费和税费按照《关于建筑业 实施营业税改征增值税后广西壮族自治区建设工程计价依据调整的通知》（桂建标〔2016〕17 号）、《自治区住房城乡建设厅关于调整建设工程计价增值税税率的通知》（桂建标〔2018〕 242 14 号）、《自治区住房城乡建设厅关于调整建设工程计价增值税税率的通知》（桂建标〔2019〕 12 号）调整，具体内容包括：</w:t>
      </w:r>
    </w:p>
    <w:p w14:paraId="1BB284B3">
      <w:pPr>
        <w:numPr>
          <w:ilvl w:val="1"/>
          <w:numId w:val="11"/>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投标总价（封-3） </w:t>
      </w:r>
    </w:p>
    <w:p w14:paraId="47977071">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投标总价（扉-3） </w:t>
      </w:r>
    </w:p>
    <w:p w14:paraId="0C768899">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总说明（表-01） </w:t>
      </w:r>
    </w:p>
    <w:p w14:paraId="75B47AF3">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建设项目投标报价汇总表（表-02）</w:t>
      </w:r>
    </w:p>
    <w:p w14:paraId="17EA9B63">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单项工程投标报价汇总表（表-03） </w:t>
      </w:r>
    </w:p>
    <w:p w14:paraId="3BAB3348">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单位工程投标报价汇总表（表-04） </w:t>
      </w:r>
    </w:p>
    <w:p w14:paraId="7702BE65">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分部分项工程和单价措施项目清单与计价表（表-08） </w:t>
      </w:r>
    </w:p>
    <w:p w14:paraId="4AF7E5A8">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工程量清单综合单价分析表（表-09） </w:t>
      </w:r>
    </w:p>
    <w:p w14:paraId="32414198">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主要清单项目工料机分析表（表-10）【备注：可按要求有选择的提供】 </w:t>
      </w:r>
    </w:p>
    <w:p w14:paraId="3F6CEDF3">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总价措施项目清单与计价表（表-11） </w:t>
      </w:r>
    </w:p>
    <w:p w14:paraId="2A46C8B3">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其他项目清单与计价汇总表（表-12） </w:t>
      </w:r>
    </w:p>
    <w:p w14:paraId="056DF4D3">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暂列金额明细表（表12-1） </w:t>
      </w:r>
    </w:p>
    <w:p w14:paraId="15355949">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材料（工程设备）暂估单价及调整表（表12-2） </w:t>
      </w:r>
    </w:p>
    <w:p w14:paraId="08B04D2D">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专业工程暂估价及结算价表（表12-3） </w:t>
      </w:r>
    </w:p>
    <w:p w14:paraId="7DE02250">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计日工表（表12-4） </w:t>
      </w:r>
    </w:p>
    <w:p w14:paraId="7B6A6786">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总承包服务费计价表（表12-5） </w:t>
      </w:r>
    </w:p>
    <w:p w14:paraId="39D6448C">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税前项目清单与计价表（表-14） </w:t>
      </w:r>
    </w:p>
    <w:p w14:paraId="21D77BEF">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规费、增值税计价表（表-15） </w:t>
      </w:r>
    </w:p>
    <w:p w14:paraId="5FC5841E">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发包人提供主要材料和工程设备一览表（表-21）</w:t>
      </w:r>
    </w:p>
    <w:p w14:paraId="62ACC53C">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允许调整主要材料和工程设备一览表（适用于造价信息差额调整法）（表-22） </w:t>
      </w:r>
    </w:p>
    <w:p w14:paraId="63564415">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允许调整主要材料和工程设备一览表（适用于价格指数差额调整法）（表-23） </w:t>
      </w:r>
    </w:p>
    <w:p w14:paraId="56AB5276">
      <w:pPr>
        <w:numPr>
          <w:ilvl w:val="1"/>
          <w:numId w:val="11"/>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本工程材料和工程设备一览表（表-24） </w:t>
      </w:r>
    </w:p>
    <w:p w14:paraId="3C3CAE0B">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备注： </w:t>
      </w:r>
    </w:p>
    <w:p w14:paraId="759E10D4">
      <w:pPr>
        <w:numPr>
          <w:ilvl w:val="0"/>
          <w:numId w:val="12"/>
        </w:numPr>
        <w:spacing w:line="520" w:lineRule="exact"/>
        <w:ind w:leftChars="0"/>
        <w:jc w:val="both"/>
        <w:rPr>
          <w:rFonts w:ascii="宋体" w:hAnsi="宋体" w:eastAsia="宋体" w:cs="宋体"/>
          <w:sz w:val="21"/>
          <w:szCs w:val="21"/>
        </w:rPr>
      </w:pPr>
      <w:r>
        <w:rPr>
          <w:rFonts w:hint="eastAsia" w:ascii="宋体" w:hAnsi="宋体" w:cs="宋体"/>
          <w:sz w:val="21"/>
          <w:szCs w:val="21"/>
          <w:lang w:val="en-US" w:eastAsia="zh-CN"/>
        </w:rPr>
        <w:t>供应商</w:t>
      </w:r>
      <w:r>
        <w:rPr>
          <w:rFonts w:ascii="宋体" w:hAnsi="宋体" w:eastAsia="宋体" w:cs="宋体"/>
          <w:sz w:val="21"/>
          <w:szCs w:val="21"/>
        </w:rPr>
        <w:t>在上传投标报价文件时应上传纸质投标总价封面的原件扫描件。报标总价封面必须经</w:t>
      </w:r>
      <w:r>
        <w:rPr>
          <w:rFonts w:hint="eastAsia" w:ascii="宋体" w:hAnsi="宋体" w:cs="宋体"/>
          <w:sz w:val="21"/>
          <w:szCs w:val="21"/>
          <w:lang w:val="en-US" w:eastAsia="zh-CN"/>
        </w:rPr>
        <w:t>供应商</w:t>
      </w:r>
      <w:r>
        <w:rPr>
          <w:rFonts w:ascii="宋体" w:hAnsi="宋体" w:eastAsia="宋体" w:cs="宋体"/>
          <w:sz w:val="21"/>
          <w:szCs w:val="21"/>
        </w:rPr>
        <w:t xml:space="preserve">盖章，并由法定代表人（或其授权人）签字（或盖章），同时由编制人签字盖专用章。 </w:t>
      </w:r>
    </w:p>
    <w:p w14:paraId="77A570D2">
      <w:pPr>
        <w:numPr>
          <w:ilvl w:val="0"/>
          <w:numId w:val="0"/>
        </w:numPr>
        <w:spacing w:line="520" w:lineRule="exact"/>
        <w:jc w:val="both"/>
        <w:rPr>
          <w:rFonts w:ascii="宋体" w:hAnsi="宋体" w:eastAsia="宋体" w:cs="宋体"/>
          <w:sz w:val="21"/>
          <w:szCs w:val="21"/>
        </w:rPr>
      </w:pPr>
      <w:r>
        <w:rPr>
          <w:rFonts w:ascii="宋体" w:hAnsi="宋体" w:eastAsia="宋体" w:cs="宋体"/>
          <w:sz w:val="21"/>
          <w:szCs w:val="21"/>
        </w:rPr>
        <w:t>（2）1.8 工程量清单综合单价分析表和1.9主要清单项目工料机分析表要求附上。</w:t>
      </w:r>
    </w:p>
    <w:p w14:paraId="60A1F2A3">
      <w:pPr>
        <w:numPr>
          <w:ilvl w:val="0"/>
          <w:numId w:val="0"/>
        </w:numPr>
        <w:spacing w:line="520" w:lineRule="exact"/>
        <w:ind w:leftChars="0"/>
        <w:jc w:val="both"/>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ascii="宋体" w:hAnsi="宋体" w:eastAsia="宋体" w:cs="宋体"/>
          <w:sz w:val="21"/>
          <w:szCs w:val="21"/>
        </w:rPr>
        <w:t xml:space="preserve">已标价工程量清单表格要严格按照招标工程量清单给出的表格要求和内容填报。如本工程在合同中约定采用造价信息价差调整法，1.18 允许调整主要材料和工程设备一览表（适用 于造价信息差额调整法）（表-22）载明的主要材料和工程设备为本工程允许调整的材料和工程 设备，招标工程量清单必须提供该表格，且不能提供空白表。以下表格视工程实际需要选用， 如该工程不发生如下表格相关项目和费用，招标工程量清单不应列入该部分表格，已标价工程量清单亦不包括这部分表格。 </w:t>
      </w:r>
    </w:p>
    <w:p w14:paraId="0F2EF6B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①建设项目投标报价汇总表（表-02） </w:t>
      </w:r>
    </w:p>
    <w:p w14:paraId="6D49FCD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②暂列金额明细表（表12-1） </w:t>
      </w:r>
    </w:p>
    <w:p w14:paraId="545CC4C2">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③材料（工程设备）暂估单位及调整表（表12-2）</w:t>
      </w:r>
    </w:p>
    <w:p w14:paraId="7EE08A87">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④专业工程暂估价及结算价表（表12-3） </w:t>
      </w:r>
    </w:p>
    <w:p w14:paraId="3C34EE3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⑤计日工表表12-4）</w:t>
      </w:r>
    </w:p>
    <w:p w14:paraId="10793F1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⑥总承包服务费计价表（表12-5） </w:t>
      </w:r>
    </w:p>
    <w:p w14:paraId="2DA5BE1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⑦税前项目清单与计价表（表-14） </w:t>
      </w:r>
    </w:p>
    <w:p w14:paraId="542FE475">
      <w:pPr>
        <w:numPr>
          <w:ilvl w:val="0"/>
          <w:numId w:val="0"/>
        </w:numPr>
        <w:spacing w:line="520" w:lineRule="exact"/>
        <w:ind w:leftChars="0"/>
        <w:jc w:val="both"/>
        <w:rPr>
          <w:rFonts w:ascii="宋体" w:hAnsi="宋体" w:eastAsia="宋体" w:cs="宋体"/>
          <w:sz w:val="21"/>
          <w:szCs w:val="21"/>
        </w:rPr>
      </w:pPr>
      <w:r>
        <w:rPr>
          <w:rFonts w:hint="eastAsia" w:ascii="宋体" w:hAnsi="宋体" w:eastAsia="宋体" w:cs="宋体"/>
          <w:sz w:val="21"/>
          <w:szCs w:val="21"/>
        </w:rPr>
        <w:t>⑧</w:t>
      </w:r>
      <w:r>
        <w:rPr>
          <w:rFonts w:ascii="宋体" w:hAnsi="宋体" w:eastAsia="宋体" w:cs="宋体"/>
          <w:sz w:val="21"/>
          <w:szCs w:val="21"/>
        </w:rPr>
        <w:t>允许调整主要材料和工程设备一览表（适用于价格指数差额调整法）（表-23）</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2"/>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1"/>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1"/>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20" w:name="_Hlk65853109"/>
      <w:bookmarkStart w:id="121" w:name="_Hlk65853542"/>
      <w:r>
        <w:rPr>
          <w:rFonts w:hint="eastAsia" w:ascii="宋体" w:hAnsi="宋体" w:cs="仿宋_GB2312"/>
          <w:color w:val="000000"/>
          <w:sz w:val="22"/>
          <w:szCs w:val="22"/>
          <w:highlight w:val="none"/>
        </w:rPr>
        <w:t>法人、其他组织竞标时“我方”是指“我单位”，自然人竞标时“我方”是指“本人”。</w:t>
      </w:r>
      <w:bookmarkEnd w:id="120"/>
    </w:p>
    <w:bookmarkEnd w:id="121"/>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2"/>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22" w:name="_Toc18571"/>
      <w:bookmarkStart w:id="123" w:name="_Toc15743"/>
      <w:bookmarkStart w:id="124" w:name="_Toc238633530"/>
      <w:bookmarkStart w:id="125" w:name="_Toc244494707"/>
      <w:bookmarkStart w:id="126" w:name="_Toc23152656"/>
      <w:bookmarkStart w:id="127" w:name="_Toc5384"/>
      <w:bookmarkStart w:id="128" w:name="_Toc17013"/>
      <w:bookmarkStart w:id="129" w:name="_Toc243584385"/>
      <w:bookmarkStart w:id="130" w:name="_Toc514238701"/>
      <w:bookmarkStart w:id="131" w:name="_Toc23046764"/>
      <w:bookmarkStart w:id="132" w:name="_Toc74156290"/>
      <w:bookmarkStart w:id="133" w:name="_Toc10902"/>
      <w:bookmarkStart w:id="134" w:name="_Toc130893539"/>
      <w:bookmarkStart w:id="135" w:name="_Toc24313"/>
      <w:r>
        <w:rPr>
          <w:rFonts w:hint="eastAsia" w:ascii="宋体" w:hAnsi="宋体" w:eastAsia="宋体" w:cs="宋体"/>
          <w:b/>
          <w:bCs/>
          <w:color w:val="auto"/>
          <w:kern w:val="0"/>
          <w:sz w:val="32"/>
          <w:szCs w:val="32"/>
        </w:rPr>
        <w:t>施工组织设计</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5FA63BD">
      <w:pPr>
        <w:pStyle w:val="45"/>
        <w:bidi w:val="0"/>
        <w:spacing w:line="360" w:lineRule="auto"/>
        <w:ind w:firstLine="420" w:firstLineChars="200"/>
        <w:rPr>
          <w:rStyle w:val="26"/>
          <w:rFonts w:hint="eastAsia" w:ascii="宋体" w:hAnsi="宋体"/>
          <w:color w:val="auto"/>
          <w:highlight w:val="none"/>
        </w:rPr>
      </w:pPr>
      <w:bookmarkStart w:id="136" w:name="_Toc15158"/>
      <w:r>
        <w:rPr>
          <w:rStyle w:val="26"/>
          <w:rFonts w:hint="eastAsia"/>
          <w:color w:val="auto"/>
          <w:highlight w:val="none"/>
        </w:rPr>
        <w:t>一、</w:t>
      </w:r>
      <w:r>
        <w:rPr>
          <w:rStyle w:val="26"/>
          <w:rFonts w:hint="eastAsia" w:ascii="宋体" w:hAnsi="宋体"/>
          <w:color w:val="auto"/>
          <w:highlight w:val="none"/>
        </w:rPr>
        <w:t>技术标的</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编制要求：</w:t>
      </w:r>
    </w:p>
    <w:p w14:paraId="162DC666">
      <w:pPr>
        <w:pStyle w:val="45"/>
        <w:bidi w:val="0"/>
        <w:spacing w:line="360" w:lineRule="auto"/>
        <w:ind w:firstLine="567" w:firstLineChars="270"/>
        <w:rPr>
          <w:rStyle w:val="26"/>
          <w:rFonts w:hint="eastAsia"/>
          <w:color w:val="auto"/>
          <w:highlight w:val="none"/>
          <w:lang w:val="en-US" w:eastAsia="zh-CN"/>
        </w:rPr>
      </w:pPr>
      <w:r>
        <w:rPr>
          <w:rStyle w:val="26"/>
          <w:rFonts w:hint="eastAsia" w:ascii="宋体" w:hAnsi="宋体"/>
          <w:color w:val="auto"/>
          <w:highlight w:val="none"/>
        </w:rPr>
        <w:t>1、技术标</w:t>
      </w:r>
      <w:r>
        <w:rPr>
          <w:rStyle w:val="26"/>
          <w:color w:val="auto"/>
          <w:highlight w:val="none"/>
        </w:rPr>
        <w:t>施工组织</w:t>
      </w:r>
      <w:r>
        <w:rPr>
          <w:rStyle w:val="26"/>
          <w:rFonts w:hint="eastAsia"/>
          <w:color w:val="auto"/>
          <w:highlight w:val="none"/>
        </w:rPr>
        <w:t>设计可</w:t>
      </w:r>
      <w:r>
        <w:rPr>
          <w:rStyle w:val="26"/>
          <w:rFonts w:hint="eastAsia" w:ascii="宋体" w:hAnsi="宋体"/>
          <w:color w:val="auto"/>
          <w:highlight w:val="none"/>
        </w:rPr>
        <w:t>采用文字并结合图表形式说明施工方法</w:t>
      </w:r>
      <w:r>
        <w:rPr>
          <w:rStyle w:val="26"/>
          <w:rFonts w:hint="eastAsia"/>
          <w:color w:val="auto"/>
          <w:highlight w:val="none"/>
          <w:lang w:eastAsia="zh-CN"/>
        </w:rPr>
        <w:t>，</w:t>
      </w:r>
      <w:r>
        <w:rPr>
          <w:rStyle w:val="26"/>
          <w:rFonts w:hint="eastAsia"/>
          <w:color w:val="auto"/>
          <w:highlight w:val="none"/>
          <w:lang w:val="en-US" w:eastAsia="zh-CN"/>
        </w:rPr>
        <w:t>编制顺序如下：</w:t>
      </w:r>
    </w:p>
    <w:p w14:paraId="5149CCFE">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（1）概述</w:t>
      </w:r>
    </w:p>
    <w:p w14:paraId="16144B0D">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（2）主要施工方法；</w:t>
      </w:r>
    </w:p>
    <w:p w14:paraId="40D716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（3）拟投入的主要物资计划</w:t>
      </w:r>
      <w:r>
        <w:rPr>
          <w:rStyle w:val="26"/>
          <w:rFonts w:hint="eastAsia" w:ascii="宋体" w:hAnsi="宋体" w:cs="宋体"/>
          <w:color w:val="auto"/>
          <w:highlight w:val="none"/>
          <w:lang w:val="en-US" w:eastAsia="zh-CN"/>
        </w:rPr>
        <w:t>；</w:t>
      </w:r>
    </w:p>
    <w:p w14:paraId="105044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（4）拟投入的主要施工机械、设备计划</w:t>
      </w:r>
      <w:r>
        <w:rPr>
          <w:rStyle w:val="26"/>
          <w:rFonts w:hint="eastAsia" w:ascii="宋体" w:hAnsi="宋体" w:cs="宋体"/>
          <w:color w:val="auto"/>
          <w:highlight w:val="none"/>
          <w:lang w:val="en-US" w:eastAsia="zh-CN"/>
        </w:rPr>
        <w:t>；</w:t>
      </w:r>
    </w:p>
    <w:p w14:paraId="2079ADE5">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（5）劳动力安排计划；</w:t>
      </w:r>
    </w:p>
    <w:p w14:paraId="15F9052A">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（6）确保工程质量的技术组织措施；</w:t>
      </w:r>
    </w:p>
    <w:p w14:paraId="0D552BD2">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（7）确保安全生产的技术组织措施；</w:t>
      </w:r>
    </w:p>
    <w:p w14:paraId="397D842B">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（8）确保工期的技术组织措施；</w:t>
      </w:r>
    </w:p>
    <w:p w14:paraId="5F5A7EE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（9）确保文明施工的技术组织措施；</w:t>
      </w:r>
    </w:p>
    <w:p w14:paraId="19037EC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（10）工程施工的重点和难点及保证措施；</w:t>
      </w:r>
    </w:p>
    <w:p w14:paraId="1CBC8A49">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default" w:ascii="宋体" w:hAnsi="宋体" w:eastAsia="宋体" w:cs="宋体"/>
          <w:color w:val="auto"/>
          <w:highlight w:val="none"/>
          <w:lang w:val="en-US" w:eastAsia="zh-CN"/>
        </w:rPr>
      </w:pPr>
    </w:p>
    <w:p w14:paraId="52A73BD3">
      <w:pPr>
        <w:pStyle w:val="45"/>
        <w:bidi w:val="0"/>
        <w:spacing w:line="360" w:lineRule="auto"/>
        <w:ind w:firstLine="210" w:firstLineChars="100"/>
        <w:rPr>
          <w:rStyle w:val="26"/>
          <w:rFonts w:hint="eastAsia" w:cs="宋体"/>
          <w:color w:val="auto"/>
          <w:highlight w:val="none"/>
        </w:rPr>
      </w:pPr>
      <w:r>
        <w:rPr>
          <w:rStyle w:val="26"/>
          <w:rFonts w:hint="eastAsia" w:ascii="宋体" w:hAnsi="宋体"/>
          <w:color w:val="auto"/>
          <w:highlight w:val="none"/>
        </w:rPr>
        <w:t>2、技术标</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除采用文字表述外可附下列图表，图表及格式要求附后。</w:t>
      </w:r>
    </w:p>
    <w:p w14:paraId="4830F098">
      <w:pPr>
        <w:pStyle w:val="45"/>
        <w:bidi w:val="0"/>
        <w:ind w:firstLine="210" w:firstLineChars="100"/>
        <w:rPr>
          <w:rStyle w:val="26"/>
          <w:color w:val="auto"/>
          <w:highlight w:val="none"/>
        </w:rPr>
      </w:pPr>
      <w:r>
        <w:rPr>
          <w:rStyle w:val="26"/>
          <w:rFonts w:hint="eastAsia" w:cs="宋体"/>
          <w:color w:val="auto"/>
          <w:highlight w:val="none"/>
        </w:rPr>
        <w:t>附表一：拟投入本工程的主要施工设备表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82EB7F8">
            <w:pPr>
              <w:pStyle w:val="45"/>
              <w:jc w:val="center"/>
              <w:rPr>
                <w:rStyle w:val="26"/>
                <w:color w:val="auto"/>
                <w:highlight w:val="none"/>
              </w:rPr>
            </w:pPr>
            <w:r>
              <w:rPr>
                <w:rStyle w:val="26"/>
                <w:rFonts w:hint="eastAsia" w:cs="宋体"/>
                <w:color w:val="auto"/>
                <w:highlight w:val="none"/>
              </w:rPr>
              <w:t>设备名称</w:t>
            </w:r>
          </w:p>
        </w:tc>
        <w:tc>
          <w:tcPr>
            <w:tcW w:w="851" w:type="dxa"/>
            <w:noWrap w:val="0"/>
            <w:vAlign w:val="center"/>
          </w:tcPr>
          <w:p w14:paraId="1E6A77AA">
            <w:pPr>
              <w:pStyle w:val="45"/>
              <w:jc w:val="center"/>
              <w:rPr>
                <w:rStyle w:val="26"/>
                <w:color w:val="auto"/>
                <w:highlight w:val="none"/>
              </w:rPr>
            </w:pPr>
            <w:r>
              <w:rPr>
                <w:rStyle w:val="26"/>
                <w:rFonts w:hint="eastAsia" w:cs="宋体"/>
                <w:color w:val="auto"/>
                <w:highlight w:val="none"/>
              </w:rPr>
              <w:t>型号</w:t>
            </w:r>
          </w:p>
          <w:p w14:paraId="101F69F7">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1B1DF119">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2EFA027">
            <w:pPr>
              <w:pStyle w:val="45"/>
              <w:jc w:val="center"/>
              <w:rPr>
                <w:rStyle w:val="26"/>
                <w:color w:val="auto"/>
                <w:highlight w:val="none"/>
              </w:rPr>
            </w:pPr>
            <w:r>
              <w:rPr>
                <w:rStyle w:val="26"/>
                <w:rFonts w:hint="eastAsia" w:cs="宋体"/>
                <w:color w:val="auto"/>
                <w:highlight w:val="none"/>
              </w:rPr>
              <w:t>国别</w:t>
            </w:r>
          </w:p>
          <w:p w14:paraId="526C59B0">
            <w:pPr>
              <w:pStyle w:val="45"/>
              <w:jc w:val="center"/>
              <w:rPr>
                <w:rStyle w:val="26"/>
                <w:color w:val="auto"/>
                <w:highlight w:val="none"/>
              </w:rPr>
            </w:pPr>
            <w:r>
              <w:rPr>
                <w:rStyle w:val="26"/>
                <w:rFonts w:hint="eastAsia" w:cs="宋体"/>
                <w:color w:val="auto"/>
                <w:highlight w:val="none"/>
              </w:rPr>
              <w:t>产地</w:t>
            </w:r>
          </w:p>
        </w:tc>
        <w:tc>
          <w:tcPr>
            <w:tcW w:w="851" w:type="dxa"/>
            <w:noWrap w:val="0"/>
            <w:vAlign w:val="center"/>
          </w:tcPr>
          <w:p w14:paraId="57BC97C8">
            <w:pPr>
              <w:pStyle w:val="45"/>
              <w:jc w:val="center"/>
              <w:rPr>
                <w:rStyle w:val="26"/>
                <w:color w:val="auto"/>
                <w:highlight w:val="none"/>
              </w:rPr>
            </w:pPr>
            <w:r>
              <w:rPr>
                <w:rStyle w:val="26"/>
                <w:rFonts w:hint="eastAsia" w:cs="宋体"/>
                <w:color w:val="auto"/>
                <w:highlight w:val="none"/>
              </w:rPr>
              <w:t>制造</w:t>
            </w:r>
          </w:p>
          <w:p w14:paraId="167B8776">
            <w:pPr>
              <w:pStyle w:val="45"/>
              <w:jc w:val="center"/>
              <w:rPr>
                <w:rStyle w:val="26"/>
                <w:color w:val="auto"/>
                <w:highlight w:val="none"/>
              </w:rPr>
            </w:pPr>
            <w:r>
              <w:rPr>
                <w:rStyle w:val="26"/>
                <w:rFonts w:hint="eastAsia" w:cs="宋体"/>
                <w:color w:val="auto"/>
                <w:highlight w:val="none"/>
              </w:rPr>
              <w:t>年份</w:t>
            </w:r>
          </w:p>
        </w:tc>
        <w:tc>
          <w:tcPr>
            <w:tcW w:w="1134" w:type="dxa"/>
            <w:noWrap w:val="0"/>
            <w:vAlign w:val="center"/>
          </w:tcPr>
          <w:p w14:paraId="03A16022">
            <w:pPr>
              <w:pStyle w:val="45"/>
              <w:jc w:val="center"/>
              <w:rPr>
                <w:rStyle w:val="26"/>
                <w:color w:val="auto"/>
                <w:highlight w:val="none"/>
              </w:rPr>
            </w:pPr>
            <w:r>
              <w:rPr>
                <w:rStyle w:val="26"/>
                <w:rFonts w:hint="eastAsia" w:cs="宋体"/>
                <w:color w:val="auto"/>
                <w:highlight w:val="none"/>
              </w:rPr>
              <w:t>额定功率</w:t>
            </w:r>
          </w:p>
          <w:p w14:paraId="5C140F36">
            <w:pPr>
              <w:pStyle w:val="45"/>
              <w:jc w:val="center"/>
              <w:rPr>
                <w:rStyle w:val="26"/>
                <w:color w:val="auto"/>
                <w:highlight w:val="none"/>
              </w:rPr>
            </w:pPr>
            <w:r>
              <w:rPr>
                <w:rStyle w:val="26"/>
                <w:rFonts w:hint="eastAsia" w:cs="宋体"/>
                <w:color w:val="auto"/>
                <w:highlight w:val="none"/>
                <w:lang w:eastAsia="zh-CN"/>
              </w:rPr>
              <w:t>(</w:t>
            </w:r>
            <w:r>
              <w:rPr>
                <w:rStyle w:val="26"/>
                <w:color w:val="auto"/>
                <w:highlight w:val="none"/>
              </w:rPr>
              <w:t>KW</w:t>
            </w:r>
            <w:r>
              <w:rPr>
                <w:rStyle w:val="26"/>
                <w:rFonts w:hint="eastAsia"/>
                <w:color w:val="auto"/>
                <w:highlight w:val="none"/>
                <w:lang w:eastAsia="zh-CN"/>
              </w:rPr>
              <w:t>)</w:t>
            </w:r>
          </w:p>
        </w:tc>
        <w:tc>
          <w:tcPr>
            <w:tcW w:w="992" w:type="dxa"/>
            <w:noWrap w:val="0"/>
            <w:vAlign w:val="center"/>
          </w:tcPr>
          <w:p w14:paraId="2137B95B">
            <w:pPr>
              <w:pStyle w:val="45"/>
              <w:jc w:val="center"/>
              <w:rPr>
                <w:rStyle w:val="26"/>
                <w:color w:val="auto"/>
                <w:highlight w:val="none"/>
              </w:rPr>
            </w:pPr>
            <w:r>
              <w:rPr>
                <w:rStyle w:val="26"/>
                <w:rFonts w:hint="eastAsia" w:cs="宋体"/>
                <w:color w:val="auto"/>
                <w:highlight w:val="none"/>
              </w:rPr>
              <w:t>生产</w:t>
            </w:r>
          </w:p>
          <w:p w14:paraId="5DD3E69F">
            <w:pPr>
              <w:pStyle w:val="45"/>
              <w:jc w:val="center"/>
              <w:rPr>
                <w:rStyle w:val="26"/>
                <w:color w:val="auto"/>
                <w:highlight w:val="none"/>
              </w:rPr>
            </w:pPr>
            <w:r>
              <w:rPr>
                <w:rStyle w:val="26"/>
                <w:rFonts w:hint="eastAsia" w:cs="宋体"/>
                <w:color w:val="auto"/>
                <w:highlight w:val="none"/>
              </w:rPr>
              <w:t>能力</w:t>
            </w:r>
          </w:p>
        </w:tc>
        <w:tc>
          <w:tcPr>
            <w:tcW w:w="1134" w:type="dxa"/>
            <w:noWrap w:val="0"/>
            <w:vAlign w:val="center"/>
          </w:tcPr>
          <w:p w14:paraId="614DCC38">
            <w:pPr>
              <w:pStyle w:val="45"/>
              <w:jc w:val="center"/>
              <w:rPr>
                <w:rStyle w:val="26"/>
                <w:color w:val="auto"/>
                <w:highlight w:val="none"/>
              </w:rPr>
            </w:pPr>
            <w:r>
              <w:rPr>
                <w:rStyle w:val="26"/>
                <w:rFonts w:hint="eastAsia" w:cs="宋体"/>
                <w:color w:val="auto"/>
                <w:highlight w:val="none"/>
              </w:rPr>
              <w:t>用于施</w:t>
            </w:r>
          </w:p>
          <w:p w14:paraId="4C66CAC4">
            <w:pPr>
              <w:pStyle w:val="45"/>
              <w:jc w:val="center"/>
              <w:rPr>
                <w:rStyle w:val="26"/>
                <w:color w:val="auto"/>
                <w:highlight w:val="none"/>
              </w:rPr>
            </w:pPr>
            <w:r>
              <w:rPr>
                <w:rStyle w:val="26"/>
                <w:rFonts w:hint="eastAsia" w:cs="宋体"/>
                <w:color w:val="auto"/>
                <w:highlight w:val="none"/>
              </w:rPr>
              <w:t>工部位</w:t>
            </w:r>
          </w:p>
        </w:tc>
        <w:tc>
          <w:tcPr>
            <w:tcW w:w="992" w:type="dxa"/>
            <w:noWrap w:val="0"/>
            <w:vAlign w:val="center"/>
          </w:tcPr>
          <w:p w14:paraId="7AC1D6AB">
            <w:pPr>
              <w:pStyle w:val="45"/>
              <w:jc w:val="center"/>
              <w:rPr>
                <w:rStyle w:val="26"/>
                <w:color w:val="auto"/>
                <w:highlight w:val="none"/>
              </w:rPr>
            </w:pPr>
            <w:r>
              <w:rPr>
                <w:rStyle w:val="26"/>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5"/>
              <w:spacing w:line="360" w:lineRule="auto"/>
              <w:rPr>
                <w:rStyle w:val="26"/>
                <w:color w:val="auto"/>
                <w:highlight w:val="none"/>
              </w:rPr>
            </w:pPr>
          </w:p>
        </w:tc>
        <w:tc>
          <w:tcPr>
            <w:tcW w:w="1226" w:type="dxa"/>
            <w:noWrap w:val="0"/>
            <w:vAlign w:val="top"/>
          </w:tcPr>
          <w:p w14:paraId="11B0CE15">
            <w:pPr>
              <w:pStyle w:val="45"/>
              <w:spacing w:line="360" w:lineRule="auto"/>
              <w:ind w:firstLine="420" w:firstLineChars="200"/>
              <w:rPr>
                <w:rStyle w:val="26"/>
                <w:color w:val="auto"/>
                <w:highlight w:val="none"/>
              </w:rPr>
            </w:pPr>
          </w:p>
        </w:tc>
        <w:tc>
          <w:tcPr>
            <w:tcW w:w="851" w:type="dxa"/>
            <w:noWrap w:val="0"/>
            <w:vAlign w:val="top"/>
          </w:tcPr>
          <w:p w14:paraId="042137AB">
            <w:pPr>
              <w:pStyle w:val="45"/>
              <w:spacing w:line="360" w:lineRule="auto"/>
              <w:rPr>
                <w:rStyle w:val="26"/>
                <w:color w:val="auto"/>
                <w:highlight w:val="none"/>
              </w:rPr>
            </w:pPr>
          </w:p>
        </w:tc>
        <w:tc>
          <w:tcPr>
            <w:tcW w:w="708" w:type="dxa"/>
            <w:noWrap w:val="0"/>
            <w:vAlign w:val="top"/>
          </w:tcPr>
          <w:p w14:paraId="4E436DFE">
            <w:pPr>
              <w:pStyle w:val="45"/>
              <w:spacing w:line="360" w:lineRule="auto"/>
              <w:rPr>
                <w:rStyle w:val="26"/>
                <w:color w:val="auto"/>
                <w:highlight w:val="none"/>
              </w:rPr>
            </w:pPr>
          </w:p>
        </w:tc>
        <w:tc>
          <w:tcPr>
            <w:tcW w:w="709" w:type="dxa"/>
            <w:noWrap w:val="0"/>
            <w:vAlign w:val="top"/>
          </w:tcPr>
          <w:p w14:paraId="34A28578">
            <w:pPr>
              <w:pStyle w:val="45"/>
              <w:spacing w:line="360" w:lineRule="auto"/>
              <w:rPr>
                <w:rStyle w:val="26"/>
                <w:color w:val="auto"/>
                <w:highlight w:val="none"/>
              </w:rPr>
            </w:pPr>
          </w:p>
        </w:tc>
        <w:tc>
          <w:tcPr>
            <w:tcW w:w="851" w:type="dxa"/>
            <w:noWrap w:val="0"/>
            <w:vAlign w:val="top"/>
          </w:tcPr>
          <w:p w14:paraId="471BB200">
            <w:pPr>
              <w:pStyle w:val="45"/>
              <w:spacing w:line="360" w:lineRule="auto"/>
              <w:rPr>
                <w:rStyle w:val="26"/>
                <w:color w:val="auto"/>
                <w:highlight w:val="none"/>
              </w:rPr>
            </w:pPr>
          </w:p>
        </w:tc>
        <w:tc>
          <w:tcPr>
            <w:tcW w:w="1134" w:type="dxa"/>
            <w:noWrap w:val="0"/>
            <w:vAlign w:val="top"/>
          </w:tcPr>
          <w:p w14:paraId="44552306">
            <w:pPr>
              <w:pStyle w:val="45"/>
              <w:spacing w:line="360" w:lineRule="auto"/>
              <w:rPr>
                <w:rStyle w:val="26"/>
                <w:color w:val="auto"/>
                <w:highlight w:val="none"/>
              </w:rPr>
            </w:pPr>
          </w:p>
        </w:tc>
        <w:tc>
          <w:tcPr>
            <w:tcW w:w="992" w:type="dxa"/>
            <w:noWrap w:val="0"/>
            <w:vAlign w:val="top"/>
          </w:tcPr>
          <w:p w14:paraId="1A53E9ED">
            <w:pPr>
              <w:pStyle w:val="45"/>
              <w:spacing w:line="360" w:lineRule="auto"/>
              <w:rPr>
                <w:rStyle w:val="26"/>
                <w:color w:val="auto"/>
                <w:highlight w:val="none"/>
              </w:rPr>
            </w:pPr>
          </w:p>
        </w:tc>
        <w:tc>
          <w:tcPr>
            <w:tcW w:w="1134" w:type="dxa"/>
            <w:noWrap w:val="0"/>
            <w:vAlign w:val="top"/>
          </w:tcPr>
          <w:p w14:paraId="68AFA8CF">
            <w:pPr>
              <w:pStyle w:val="45"/>
              <w:spacing w:line="360" w:lineRule="auto"/>
              <w:rPr>
                <w:rStyle w:val="26"/>
                <w:color w:val="auto"/>
                <w:highlight w:val="none"/>
              </w:rPr>
            </w:pPr>
          </w:p>
        </w:tc>
        <w:tc>
          <w:tcPr>
            <w:tcW w:w="992" w:type="dxa"/>
            <w:noWrap w:val="0"/>
            <w:vAlign w:val="top"/>
          </w:tcPr>
          <w:p w14:paraId="272120A4">
            <w:pPr>
              <w:pStyle w:val="45"/>
              <w:spacing w:line="360" w:lineRule="auto"/>
              <w:rPr>
                <w:rStyle w:val="26"/>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5"/>
              <w:spacing w:line="360" w:lineRule="auto"/>
              <w:rPr>
                <w:rStyle w:val="26"/>
                <w:color w:val="auto"/>
                <w:highlight w:val="none"/>
              </w:rPr>
            </w:pPr>
          </w:p>
        </w:tc>
        <w:tc>
          <w:tcPr>
            <w:tcW w:w="1226" w:type="dxa"/>
            <w:noWrap w:val="0"/>
            <w:vAlign w:val="top"/>
          </w:tcPr>
          <w:p w14:paraId="1F58E331">
            <w:pPr>
              <w:pStyle w:val="45"/>
              <w:spacing w:line="360" w:lineRule="auto"/>
              <w:rPr>
                <w:rStyle w:val="26"/>
                <w:color w:val="auto"/>
                <w:highlight w:val="none"/>
              </w:rPr>
            </w:pPr>
          </w:p>
        </w:tc>
        <w:tc>
          <w:tcPr>
            <w:tcW w:w="851" w:type="dxa"/>
            <w:noWrap w:val="0"/>
            <w:vAlign w:val="top"/>
          </w:tcPr>
          <w:p w14:paraId="599D412E">
            <w:pPr>
              <w:pStyle w:val="45"/>
              <w:spacing w:line="360" w:lineRule="auto"/>
              <w:rPr>
                <w:rStyle w:val="26"/>
                <w:color w:val="auto"/>
                <w:highlight w:val="none"/>
              </w:rPr>
            </w:pPr>
          </w:p>
        </w:tc>
        <w:tc>
          <w:tcPr>
            <w:tcW w:w="708" w:type="dxa"/>
            <w:noWrap w:val="0"/>
            <w:vAlign w:val="top"/>
          </w:tcPr>
          <w:p w14:paraId="0A9A5DD6">
            <w:pPr>
              <w:pStyle w:val="45"/>
              <w:spacing w:line="360" w:lineRule="auto"/>
              <w:rPr>
                <w:rStyle w:val="26"/>
                <w:color w:val="auto"/>
                <w:highlight w:val="none"/>
              </w:rPr>
            </w:pPr>
          </w:p>
        </w:tc>
        <w:tc>
          <w:tcPr>
            <w:tcW w:w="709" w:type="dxa"/>
            <w:noWrap w:val="0"/>
            <w:vAlign w:val="top"/>
          </w:tcPr>
          <w:p w14:paraId="0E51969C">
            <w:pPr>
              <w:pStyle w:val="45"/>
              <w:spacing w:line="360" w:lineRule="auto"/>
              <w:rPr>
                <w:rStyle w:val="26"/>
                <w:color w:val="auto"/>
                <w:highlight w:val="none"/>
              </w:rPr>
            </w:pPr>
          </w:p>
        </w:tc>
        <w:tc>
          <w:tcPr>
            <w:tcW w:w="851" w:type="dxa"/>
            <w:noWrap w:val="0"/>
            <w:vAlign w:val="top"/>
          </w:tcPr>
          <w:p w14:paraId="552E74FA">
            <w:pPr>
              <w:pStyle w:val="45"/>
              <w:spacing w:line="360" w:lineRule="auto"/>
              <w:rPr>
                <w:rStyle w:val="26"/>
                <w:color w:val="auto"/>
                <w:highlight w:val="none"/>
              </w:rPr>
            </w:pPr>
          </w:p>
        </w:tc>
        <w:tc>
          <w:tcPr>
            <w:tcW w:w="1134" w:type="dxa"/>
            <w:noWrap w:val="0"/>
            <w:vAlign w:val="top"/>
          </w:tcPr>
          <w:p w14:paraId="49AAC1D3">
            <w:pPr>
              <w:pStyle w:val="45"/>
              <w:spacing w:line="360" w:lineRule="auto"/>
              <w:rPr>
                <w:rStyle w:val="26"/>
                <w:color w:val="auto"/>
                <w:highlight w:val="none"/>
              </w:rPr>
            </w:pPr>
          </w:p>
        </w:tc>
        <w:tc>
          <w:tcPr>
            <w:tcW w:w="992" w:type="dxa"/>
            <w:noWrap w:val="0"/>
            <w:vAlign w:val="top"/>
          </w:tcPr>
          <w:p w14:paraId="01157CB9">
            <w:pPr>
              <w:pStyle w:val="45"/>
              <w:spacing w:line="360" w:lineRule="auto"/>
              <w:rPr>
                <w:rStyle w:val="26"/>
                <w:color w:val="auto"/>
                <w:highlight w:val="none"/>
              </w:rPr>
            </w:pPr>
          </w:p>
        </w:tc>
        <w:tc>
          <w:tcPr>
            <w:tcW w:w="1134" w:type="dxa"/>
            <w:noWrap w:val="0"/>
            <w:vAlign w:val="top"/>
          </w:tcPr>
          <w:p w14:paraId="05A49CEA">
            <w:pPr>
              <w:pStyle w:val="45"/>
              <w:spacing w:line="360" w:lineRule="auto"/>
              <w:rPr>
                <w:rStyle w:val="26"/>
                <w:color w:val="auto"/>
                <w:highlight w:val="none"/>
              </w:rPr>
            </w:pPr>
          </w:p>
        </w:tc>
        <w:tc>
          <w:tcPr>
            <w:tcW w:w="992" w:type="dxa"/>
            <w:noWrap w:val="0"/>
            <w:vAlign w:val="top"/>
          </w:tcPr>
          <w:p w14:paraId="1CDCC19C">
            <w:pPr>
              <w:pStyle w:val="45"/>
              <w:spacing w:line="360" w:lineRule="auto"/>
              <w:rPr>
                <w:rStyle w:val="26"/>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5"/>
              <w:spacing w:line="360" w:lineRule="auto"/>
              <w:rPr>
                <w:rStyle w:val="26"/>
                <w:color w:val="auto"/>
                <w:highlight w:val="none"/>
              </w:rPr>
            </w:pPr>
          </w:p>
        </w:tc>
        <w:tc>
          <w:tcPr>
            <w:tcW w:w="1226" w:type="dxa"/>
            <w:noWrap w:val="0"/>
            <w:vAlign w:val="top"/>
          </w:tcPr>
          <w:p w14:paraId="135316E1">
            <w:pPr>
              <w:pStyle w:val="45"/>
              <w:spacing w:line="360" w:lineRule="auto"/>
              <w:rPr>
                <w:rStyle w:val="26"/>
                <w:color w:val="auto"/>
                <w:highlight w:val="none"/>
              </w:rPr>
            </w:pPr>
          </w:p>
        </w:tc>
        <w:tc>
          <w:tcPr>
            <w:tcW w:w="851" w:type="dxa"/>
            <w:noWrap w:val="0"/>
            <w:vAlign w:val="top"/>
          </w:tcPr>
          <w:p w14:paraId="3F5A0B6B">
            <w:pPr>
              <w:pStyle w:val="45"/>
              <w:spacing w:line="360" w:lineRule="auto"/>
              <w:rPr>
                <w:rStyle w:val="26"/>
                <w:color w:val="auto"/>
                <w:highlight w:val="none"/>
              </w:rPr>
            </w:pPr>
          </w:p>
        </w:tc>
        <w:tc>
          <w:tcPr>
            <w:tcW w:w="708" w:type="dxa"/>
            <w:noWrap w:val="0"/>
            <w:vAlign w:val="top"/>
          </w:tcPr>
          <w:p w14:paraId="7BDDC102">
            <w:pPr>
              <w:pStyle w:val="45"/>
              <w:spacing w:line="360" w:lineRule="auto"/>
              <w:rPr>
                <w:rStyle w:val="26"/>
                <w:color w:val="auto"/>
                <w:highlight w:val="none"/>
              </w:rPr>
            </w:pPr>
          </w:p>
        </w:tc>
        <w:tc>
          <w:tcPr>
            <w:tcW w:w="709" w:type="dxa"/>
            <w:noWrap w:val="0"/>
            <w:vAlign w:val="top"/>
          </w:tcPr>
          <w:p w14:paraId="05794984">
            <w:pPr>
              <w:pStyle w:val="45"/>
              <w:spacing w:line="360" w:lineRule="auto"/>
              <w:rPr>
                <w:rStyle w:val="26"/>
                <w:color w:val="auto"/>
                <w:highlight w:val="none"/>
              </w:rPr>
            </w:pPr>
          </w:p>
        </w:tc>
        <w:tc>
          <w:tcPr>
            <w:tcW w:w="851" w:type="dxa"/>
            <w:noWrap w:val="0"/>
            <w:vAlign w:val="top"/>
          </w:tcPr>
          <w:p w14:paraId="5443CBCC">
            <w:pPr>
              <w:pStyle w:val="45"/>
              <w:spacing w:line="360" w:lineRule="auto"/>
              <w:rPr>
                <w:rStyle w:val="26"/>
                <w:color w:val="auto"/>
                <w:highlight w:val="none"/>
              </w:rPr>
            </w:pPr>
          </w:p>
        </w:tc>
        <w:tc>
          <w:tcPr>
            <w:tcW w:w="1134" w:type="dxa"/>
            <w:noWrap w:val="0"/>
            <w:vAlign w:val="top"/>
          </w:tcPr>
          <w:p w14:paraId="62CBF2E2">
            <w:pPr>
              <w:pStyle w:val="45"/>
              <w:spacing w:line="360" w:lineRule="auto"/>
              <w:rPr>
                <w:rStyle w:val="26"/>
                <w:color w:val="auto"/>
                <w:highlight w:val="none"/>
              </w:rPr>
            </w:pPr>
          </w:p>
        </w:tc>
        <w:tc>
          <w:tcPr>
            <w:tcW w:w="992" w:type="dxa"/>
            <w:noWrap w:val="0"/>
            <w:vAlign w:val="top"/>
          </w:tcPr>
          <w:p w14:paraId="1A68D359">
            <w:pPr>
              <w:pStyle w:val="45"/>
              <w:spacing w:line="360" w:lineRule="auto"/>
              <w:rPr>
                <w:rStyle w:val="26"/>
                <w:color w:val="auto"/>
                <w:highlight w:val="none"/>
              </w:rPr>
            </w:pPr>
          </w:p>
        </w:tc>
        <w:tc>
          <w:tcPr>
            <w:tcW w:w="1134" w:type="dxa"/>
            <w:noWrap w:val="0"/>
            <w:vAlign w:val="top"/>
          </w:tcPr>
          <w:p w14:paraId="1E5C73CA">
            <w:pPr>
              <w:pStyle w:val="45"/>
              <w:spacing w:line="360" w:lineRule="auto"/>
              <w:rPr>
                <w:rStyle w:val="26"/>
                <w:color w:val="auto"/>
                <w:highlight w:val="none"/>
              </w:rPr>
            </w:pPr>
          </w:p>
        </w:tc>
        <w:tc>
          <w:tcPr>
            <w:tcW w:w="992" w:type="dxa"/>
            <w:noWrap w:val="0"/>
            <w:vAlign w:val="top"/>
          </w:tcPr>
          <w:p w14:paraId="1052AFD4">
            <w:pPr>
              <w:pStyle w:val="45"/>
              <w:spacing w:line="360" w:lineRule="auto"/>
              <w:rPr>
                <w:rStyle w:val="26"/>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5"/>
              <w:spacing w:line="360" w:lineRule="auto"/>
              <w:rPr>
                <w:rStyle w:val="26"/>
                <w:color w:val="auto"/>
                <w:highlight w:val="none"/>
              </w:rPr>
            </w:pPr>
          </w:p>
        </w:tc>
        <w:tc>
          <w:tcPr>
            <w:tcW w:w="1226" w:type="dxa"/>
            <w:noWrap w:val="0"/>
            <w:vAlign w:val="top"/>
          </w:tcPr>
          <w:p w14:paraId="163EF2F6">
            <w:pPr>
              <w:pStyle w:val="45"/>
              <w:spacing w:line="360" w:lineRule="auto"/>
              <w:rPr>
                <w:rStyle w:val="26"/>
                <w:color w:val="auto"/>
                <w:highlight w:val="none"/>
              </w:rPr>
            </w:pPr>
          </w:p>
        </w:tc>
        <w:tc>
          <w:tcPr>
            <w:tcW w:w="851" w:type="dxa"/>
            <w:noWrap w:val="0"/>
            <w:vAlign w:val="top"/>
          </w:tcPr>
          <w:p w14:paraId="4A377EF1">
            <w:pPr>
              <w:pStyle w:val="45"/>
              <w:spacing w:line="360" w:lineRule="auto"/>
              <w:rPr>
                <w:rStyle w:val="26"/>
                <w:color w:val="auto"/>
                <w:highlight w:val="none"/>
              </w:rPr>
            </w:pPr>
          </w:p>
        </w:tc>
        <w:tc>
          <w:tcPr>
            <w:tcW w:w="708" w:type="dxa"/>
            <w:noWrap w:val="0"/>
            <w:vAlign w:val="top"/>
          </w:tcPr>
          <w:p w14:paraId="34A31CBD">
            <w:pPr>
              <w:pStyle w:val="45"/>
              <w:spacing w:line="360" w:lineRule="auto"/>
              <w:rPr>
                <w:rStyle w:val="26"/>
                <w:color w:val="auto"/>
                <w:highlight w:val="none"/>
              </w:rPr>
            </w:pPr>
          </w:p>
        </w:tc>
        <w:tc>
          <w:tcPr>
            <w:tcW w:w="709" w:type="dxa"/>
            <w:noWrap w:val="0"/>
            <w:vAlign w:val="top"/>
          </w:tcPr>
          <w:p w14:paraId="51947288">
            <w:pPr>
              <w:pStyle w:val="45"/>
              <w:spacing w:line="360" w:lineRule="auto"/>
              <w:rPr>
                <w:rStyle w:val="26"/>
                <w:color w:val="auto"/>
                <w:highlight w:val="none"/>
              </w:rPr>
            </w:pPr>
          </w:p>
        </w:tc>
        <w:tc>
          <w:tcPr>
            <w:tcW w:w="851" w:type="dxa"/>
            <w:noWrap w:val="0"/>
            <w:vAlign w:val="top"/>
          </w:tcPr>
          <w:p w14:paraId="31028887">
            <w:pPr>
              <w:pStyle w:val="45"/>
              <w:spacing w:line="360" w:lineRule="auto"/>
              <w:rPr>
                <w:rStyle w:val="26"/>
                <w:color w:val="auto"/>
                <w:highlight w:val="none"/>
              </w:rPr>
            </w:pPr>
          </w:p>
        </w:tc>
        <w:tc>
          <w:tcPr>
            <w:tcW w:w="1134" w:type="dxa"/>
            <w:noWrap w:val="0"/>
            <w:vAlign w:val="top"/>
          </w:tcPr>
          <w:p w14:paraId="2B036469">
            <w:pPr>
              <w:pStyle w:val="45"/>
              <w:spacing w:line="360" w:lineRule="auto"/>
              <w:rPr>
                <w:rStyle w:val="26"/>
                <w:color w:val="auto"/>
                <w:highlight w:val="none"/>
              </w:rPr>
            </w:pPr>
          </w:p>
        </w:tc>
        <w:tc>
          <w:tcPr>
            <w:tcW w:w="992" w:type="dxa"/>
            <w:noWrap w:val="0"/>
            <w:vAlign w:val="top"/>
          </w:tcPr>
          <w:p w14:paraId="7606C90F">
            <w:pPr>
              <w:pStyle w:val="45"/>
              <w:spacing w:line="360" w:lineRule="auto"/>
              <w:rPr>
                <w:rStyle w:val="26"/>
                <w:color w:val="auto"/>
                <w:highlight w:val="none"/>
              </w:rPr>
            </w:pPr>
          </w:p>
        </w:tc>
        <w:tc>
          <w:tcPr>
            <w:tcW w:w="1134" w:type="dxa"/>
            <w:noWrap w:val="0"/>
            <w:vAlign w:val="top"/>
          </w:tcPr>
          <w:p w14:paraId="06F99A7C">
            <w:pPr>
              <w:pStyle w:val="45"/>
              <w:spacing w:line="360" w:lineRule="auto"/>
              <w:rPr>
                <w:rStyle w:val="26"/>
                <w:color w:val="auto"/>
                <w:highlight w:val="none"/>
              </w:rPr>
            </w:pPr>
          </w:p>
        </w:tc>
        <w:tc>
          <w:tcPr>
            <w:tcW w:w="992" w:type="dxa"/>
            <w:noWrap w:val="0"/>
            <w:vAlign w:val="top"/>
          </w:tcPr>
          <w:p w14:paraId="6A4EF14F">
            <w:pPr>
              <w:pStyle w:val="45"/>
              <w:spacing w:line="360" w:lineRule="auto"/>
              <w:rPr>
                <w:rStyle w:val="26"/>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5"/>
              <w:spacing w:line="360" w:lineRule="auto"/>
              <w:rPr>
                <w:rStyle w:val="26"/>
                <w:color w:val="auto"/>
                <w:highlight w:val="none"/>
              </w:rPr>
            </w:pPr>
          </w:p>
        </w:tc>
        <w:tc>
          <w:tcPr>
            <w:tcW w:w="1226" w:type="dxa"/>
            <w:noWrap w:val="0"/>
            <w:vAlign w:val="top"/>
          </w:tcPr>
          <w:p w14:paraId="1E7F595C">
            <w:pPr>
              <w:pStyle w:val="45"/>
              <w:spacing w:line="360" w:lineRule="auto"/>
              <w:rPr>
                <w:rStyle w:val="26"/>
                <w:color w:val="auto"/>
                <w:highlight w:val="none"/>
              </w:rPr>
            </w:pPr>
          </w:p>
        </w:tc>
        <w:tc>
          <w:tcPr>
            <w:tcW w:w="851" w:type="dxa"/>
            <w:noWrap w:val="0"/>
            <w:vAlign w:val="top"/>
          </w:tcPr>
          <w:p w14:paraId="5C148CFD">
            <w:pPr>
              <w:pStyle w:val="45"/>
              <w:spacing w:line="360" w:lineRule="auto"/>
              <w:rPr>
                <w:rStyle w:val="26"/>
                <w:color w:val="auto"/>
                <w:highlight w:val="none"/>
              </w:rPr>
            </w:pPr>
          </w:p>
        </w:tc>
        <w:tc>
          <w:tcPr>
            <w:tcW w:w="708" w:type="dxa"/>
            <w:noWrap w:val="0"/>
            <w:vAlign w:val="top"/>
          </w:tcPr>
          <w:p w14:paraId="2C989BCB">
            <w:pPr>
              <w:pStyle w:val="45"/>
              <w:spacing w:line="360" w:lineRule="auto"/>
              <w:rPr>
                <w:rStyle w:val="26"/>
                <w:color w:val="auto"/>
                <w:highlight w:val="none"/>
              </w:rPr>
            </w:pPr>
          </w:p>
        </w:tc>
        <w:tc>
          <w:tcPr>
            <w:tcW w:w="709" w:type="dxa"/>
            <w:noWrap w:val="0"/>
            <w:vAlign w:val="top"/>
          </w:tcPr>
          <w:p w14:paraId="07001040">
            <w:pPr>
              <w:pStyle w:val="45"/>
              <w:spacing w:line="360" w:lineRule="auto"/>
              <w:rPr>
                <w:rStyle w:val="26"/>
                <w:color w:val="auto"/>
                <w:highlight w:val="none"/>
              </w:rPr>
            </w:pPr>
          </w:p>
        </w:tc>
        <w:tc>
          <w:tcPr>
            <w:tcW w:w="851" w:type="dxa"/>
            <w:noWrap w:val="0"/>
            <w:vAlign w:val="top"/>
          </w:tcPr>
          <w:p w14:paraId="1A58F783">
            <w:pPr>
              <w:pStyle w:val="45"/>
              <w:spacing w:line="360" w:lineRule="auto"/>
              <w:rPr>
                <w:rStyle w:val="26"/>
                <w:color w:val="auto"/>
                <w:highlight w:val="none"/>
              </w:rPr>
            </w:pPr>
          </w:p>
        </w:tc>
        <w:tc>
          <w:tcPr>
            <w:tcW w:w="1134" w:type="dxa"/>
            <w:noWrap w:val="0"/>
            <w:vAlign w:val="top"/>
          </w:tcPr>
          <w:p w14:paraId="1F180D6C">
            <w:pPr>
              <w:pStyle w:val="45"/>
              <w:spacing w:line="360" w:lineRule="auto"/>
              <w:rPr>
                <w:rStyle w:val="26"/>
                <w:color w:val="auto"/>
                <w:highlight w:val="none"/>
              </w:rPr>
            </w:pPr>
          </w:p>
        </w:tc>
        <w:tc>
          <w:tcPr>
            <w:tcW w:w="992" w:type="dxa"/>
            <w:noWrap w:val="0"/>
            <w:vAlign w:val="top"/>
          </w:tcPr>
          <w:p w14:paraId="2C36FF80">
            <w:pPr>
              <w:pStyle w:val="45"/>
              <w:spacing w:line="360" w:lineRule="auto"/>
              <w:rPr>
                <w:rStyle w:val="26"/>
                <w:color w:val="auto"/>
                <w:highlight w:val="none"/>
              </w:rPr>
            </w:pPr>
          </w:p>
        </w:tc>
        <w:tc>
          <w:tcPr>
            <w:tcW w:w="1134" w:type="dxa"/>
            <w:noWrap w:val="0"/>
            <w:vAlign w:val="top"/>
          </w:tcPr>
          <w:p w14:paraId="63B0D876">
            <w:pPr>
              <w:pStyle w:val="45"/>
              <w:spacing w:line="360" w:lineRule="auto"/>
              <w:rPr>
                <w:rStyle w:val="26"/>
                <w:color w:val="auto"/>
                <w:highlight w:val="none"/>
              </w:rPr>
            </w:pPr>
          </w:p>
        </w:tc>
        <w:tc>
          <w:tcPr>
            <w:tcW w:w="992" w:type="dxa"/>
            <w:noWrap w:val="0"/>
            <w:vAlign w:val="top"/>
          </w:tcPr>
          <w:p w14:paraId="4FC5F3F1">
            <w:pPr>
              <w:pStyle w:val="45"/>
              <w:spacing w:line="360" w:lineRule="auto"/>
              <w:rPr>
                <w:rStyle w:val="26"/>
                <w:color w:val="auto"/>
                <w:highlight w:val="none"/>
              </w:rPr>
            </w:pPr>
          </w:p>
        </w:tc>
      </w:tr>
    </w:tbl>
    <w:p w14:paraId="1FACB0A2">
      <w:pPr>
        <w:pStyle w:val="45"/>
        <w:bidi w:val="0"/>
        <w:rPr>
          <w:rStyle w:val="26"/>
          <w:color w:val="auto"/>
          <w:highlight w:val="none"/>
        </w:rPr>
      </w:pPr>
    </w:p>
    <w:p w14:paraId="78B66ADA">
      <w:pPr>
        <w:pStyle w:val="45"/>
        <w:bidi w:val="0"/>
        <w:rPr>
          <w:rStyle w:val="26"/>
          <w:color w:val="auto"/>
          <w:highlight w:val="none"/>
        </w:rPr>
      </w:pPr>
    </w:p>
    <w:p w14:paraId="693EFD9E">
      <w:pPr>
        <w:pStyle w:val="45"/>
        <w:bidi w:val="0"/>
        <w:ind w:firstLine="210" w:firstLineChars="100"/>
        <w:rPr>
          <w:rStyle w:val="26"/>
          <w:color w:val="auto"/>
          <w:highlight w:val="none"/>
        </w:rPr>
      </w:pPr>
      <w:r>
        <w:rPr>
          <w:rStyle w:val="26"/>
          <w:rFonts w:hint="eastAsia" w:cs="宋体"/>
          <w:color w:val="auto"/>
          <w:highlight w:val="none"/>
        </w:rPr>
        <w:t>附表二：拟配备本工程的试验和检测仪器设备表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0384345">
            <w:pPr>
              <w:pStyle w:val="45"/>
              <w:jc w:val="center"/>
              <w:rPr>
                <w:rStyle w:val="26"/>
                <w:color w:val="auto"/>
                <w:highlight w:val="none"/>
              </w:rPr>
            </w:pPr>
            <w:r>
              <w:rPr>
                <w:rStyle w:val="26"/>
                <w:rFonts w:hint="eastAsia" w:cs="宋体"/>
                <w:color w:val="auto"/>
                <w:highlight w:val="none"/>
              </w:rPr>
              <w:t>仪器设备名称</w:t>
            </w:r>
          </w:p>
        </w:tc>
        <w:tc>
          <w:tcPr>
            <w:tcW w:w="851" w:type="dxa"/>
            <w:noWrap w:val="0"/>
            <w:vAlign w:val="center"/>
          </w:tcPr>
          <w:p w14:paraId="60AB779C">
            <w:pPr>
              <w:pStyle w:val="45"/>
              <w:jc w:val="center"/>
              <w:rPr>
                <w:rStyle w:val="26"/>
                <w:color w:val="auto"/>
                <w:highlight w:val="none"/>
              </w:rPr>
            </w:pPr>
            <w:r>
              <w:rPr>
                <w:rStyle w:val="26"/>
                <w:rFonts w:hint="eastAsia" w:cs="宋体"/>
                <w:color w:val="auto"/>
                <w:highlight w:val="none"/>
              </w:rPr>
              <w:t>型号</w:t>
            </w:r>
          </w:p>
          <w:p w14:paraId="3A9B9024">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086E67C4">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9721F90">
            <w:pPr>
              <w:pStyle w:val="45"/>
              <w:jc w:val="center"/>
              <w:rPr>
                <w:rStyle w:val="26"/>
                <w:color w:val="auto"/>
                <w:highlight w:val="none"/>
              </w:rPr>
            </w:pPr>
            <w:r>
              <w:rPr>
                <w:rStyle w:val="26"/>
                <w:rFonts w:hint="eastAsia" w:cs="宋体"/>
                <w:color w:val="auto"/>
                <w:highlight w:val="none"/>
              </w:rPr>
              <w:t>国别</w:t>
            </w:r>
          </w:p>
          <w:p w14:paraId="20966800">
            <w:pPr>
              <w:pStyle w:val="45"/>
              <w:jc w:val="center"/>
              <w:rPr>
                <w:rStyle w:val="26"/>
                <w:color w:val="auto"/>
                <w:highlight w:val="none"/>
              </w:rPr>
            </w:pPr>
            <w:r>
              <w:rPr>
                <w:rStyle w:val="26"/>
                <w:rFonts w:hint="eastAsia" w:cs="宋体"/>
                <w:color w:val="auto"/>
                <w:highlight w:val="none"/>
              </w:rPr>
              <w:t>产地</w:t>
            </w:r>
          </w:p>
        </w:tc>
        <w:tc>
          <w:tcPr>
            <w:tcW w:w="1134" w:type="dxa"/>
            <w:noWrap w:val="0"/>
            <w:vAlign w:val="center"/>
          </w:tcPr>
          <w:p w14:paraId="09E2FC67">
            <w:pPr>
              <w:pStyle w:val="45"/>
              <w:jc w:val="center"/>
              <w:rPr>
                <w:rStyle w:val="26"/>
                <w:color w:val="auto"/>
                <w:highlight w:val="none"/>
              </w:rPr>
            </w:pPr>
            <w:r>
              <w:rPr>
                <w:rStyle w:val="26"/>
                <w:rFonts w:hint="eastAsia" w:cs="宋体"/>
                <w:color w:val="auto"/>
                <w:highlight w:val="none"/>
              </w:rPr>
              <w:t>制造年份</w:t>
            </w:r>
          </w:p>
        </w:tc>
        <w:tc>
          <w:tcPr>
            <w:tcW w:w="1276" w:type="dxa"/>
            <w:noWrap w:val="0"/>
            <w:vAlign w:val="center"/>
          </w:tcPr>
          <w:p w14:paraId="01E846D4">
            <w:pPr>
              <w:pStyle w:val="45"/>
              <w:jc w:val="center"/>
              <w:rPr>
                <w:rStyle w:val="26"/>
                <w:color w:val="auto"/>
                <w:highlight w:val="none"/>
              </w:rPr>
            </w:pPr>
            <w:r>
              <w:rPr>
                <w:rStyle w:val="26"/>
                <w:rFonts w:hint="eastAsia" w:cs="宋体"/>
                <w:color w:val="auto"/>
                <w:highlight w:val="none"/>
              </w:rPr>
              <w:t>已使用</w:t>
            </w:r>
          </w:p>
          <w:p w14:paraId="427DB64A">
            <w:pPr>
              <w:pStyle w:val="45"/>
              <w:jc w:val="center"/>
              <w:rPr>
                <w:rStyle w:val="26"/>
                <w:color w:val="auto"/>
                <w:highlight w:val="none"/>
              </w:rPr>
            </w:pPr>
            <w:r>
              <w:rPr>
                <w:rStyle w:val="26"/>
                <w:rFonts w:hint="eastAsia" w:cs="宋体"/>
                <w:color w:val="auto"/>
                <w:highlight w:val="none"/>
              </w:rPr>
              <w:t>台时数</w:t>
            </w:r>
          </w:p>
        </w:tc>
        <w:tc>
          <w:tcPr>
            <w:tcW w:w="1134" w:type="dxa"/>
            <w:noWrap w:val="0"/>
            <w:vAlign w:val="center"/>
          </w:tcPr>
          <w:p w14:paraId="564F9FF4">
            <w:pPr>
              <w:pStyle w:val="45"/>
              <w:jc w:val="center"/>
              <w:rPr>
                <w:rStyle w:val="26"/>
                <w:color w:val="auto"/>
                <w:highlight w:val="none"/>
              </w:rPr>
            </w:pPr>
            <w:r>
              <w:rPr>
                <w:rStyle w:val="26"/>
                <w:rFonts w:hint="eastAsia" w:cs="宋体"/>
                <w:color w:val="auto"/>
                <w:highlight w:val="none"/>
              </w:rPr>
              <w:t>用途</w:t>
            </w:r>
          </w:p>
        </w:tc>
        <w:tc>
          <w:tcPr>
            <w:tcW w:w="1559" w:type="dxa"/>
            <w:noWrap w:val="0"/>
            <w:vAlign w:val="center"/>
          </w:tcPr>
          <w:p w14:paraId="6D38A220">
            <w:pPr>
              <w:pStyle w:val="45"/>
              <w:jc w:val="center"/>
              <w:rPr>
                <w:rStyle w:val="26"/>
                <w:color w:val="auto"/>
                <w:highlight w:val="none"/>
              </w:rPr>
            </w:pPr>
            <w:r>
              <w:rPr>
                <w:rStyle w:val="26"/>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5"/>
              <w:spacing w:line="360" w:lineRule="auto"/>
              <w:ind w:firstLine="420" w:firstLineChars="200"/>
              <w:rPr>
                <w:rStyle w:val="26"/>
                <w:color w:val="auto"/>
                <w:highlight w:val="none"/>
              </w:rPr>
            </w:pPr>
          </w:p>
        </w:tc>
        <w:tc>
          <w:tcPr>
            <w:tcW w:w="1226" w:type="dxa"/>
            <w:noWrap w:val="0"/>
            <w:vAlign w:val="center"/>
          </w:tcPr>
          <w:p w14:paraId="112A36A7">
            <w:pPr>
              <w:pStyle w:val="45"/>
              <w:spacing w:line="360" w:lineRule="auto"/>
              <w:ind w:firstLine="420" w:firstLineChars="200"/>
              <w:rPr>
                <w:rStyle w:val="26"/>
                <w:color w:val="auto"/>
                <w:highlight w:val="none"/>
              </w:rPr>
            </w:pPr>
          </w:p>
        </w:tc>
        <w:tc>
          <w:tcPr>
            <w:tcW w:w="851" w:type="dxa"/>
            <w:noWrap w:val="0"/>
            <w:vAlign w:val="center"/>
          </w:tcPr>
          <w:p w14:paraId="22F57F1F">
            <w:pPr>
              <w:pStyle w:val="45"/>
              <w:spacing w:line="360" w:lineRule="auto"/>
              <w:ind w:firstLine="420" w:firstLineChars="200"/>
              <w:rPr>
                <w:rStyle w:val="26"/>
                <w:color w:val="auto"/>
                <w:highlight w:val="none"/>
              </w:rPr>
            </w:pPr>
          </w:p>
        </w:tc>
        <w:tc>
          <w:tcPr>
            <w:tcW w:w="708" w:type="dxa"/>
            <w:noWrap w:val="0"/>
            <w:vAlign w:val="center"/>
          </w:tcPr>
          <w:p w14:paraId="03C1CF69">
            <w:pPr>
              <w:pStyle w:val="45"/>
              <w:spacing w:line="360" w:lineRule="auto"/>
              <w:ind w:firstLine="420" w:firstLineChars="200"/>
              <w:rPr>
                <w:rStyle w:val="26"/>
                <w:color w:val="auto"/>
                <w:highlight w:val="none"/>
              </w:rPr>
            </w:pPr>
          </w:p>
        </w:tc>
        <w:tc>
          <w:tcPr>
            <w:tcW w:w="709" w:type="dxa"/>
            <w:noWrap w:val="0"/>
            <w:vAlign w:val="center"/>
          </w:tcPr>
          <w:p w14:paraId="4C9045D8">
            <w:pPr>
              <w:pStyle w:val="45"/>
              <w:spacing w:line="360" w:lineRule="auto"/>
              <w:ind w:firstLine="420" w:firstLineChars="200"/>
              <w:rPr>
                <w:rStyle w:val="26"/>
                <w:color w:val="auto"/>
                <w:highlight w:val="none"/>
              </w:rPr>
            </w:pPr>
          </w:p>
        </w:tc>
        <w:tc>
          <w:tcPr>
            <w:tcW w:w="1134" w:type="dxa"/>
            <w:noWrap w:val="0"/>
            <w:vAlign w:val="center"/>
          </w:tcPr>
          <w:p w14:paraId="05F2026A">
            <w:pPr>
              <w:pStyle w:val="45"/>
              <w:spacing w:line="360" w:lineRule="auto"/>
              <w:ind w:firstLine="420" w:firstLineChars="200"/>
              <w:rPr>
                <w:rStyle w:val="26"/>
                <w:color w:val="auto"/>
                <w:highlight w:val="none"/>
              </w:rPr>
            </w:pPr>
          </w:p>
        </w:tc>
        <w:tc>
          <w:tcPr>
            <w:tcW w:w="1276" w:type="dxa"/>
            <w:noWrap w:val="0"/>
            <w:vAlign w:val="center"/>
          </w:tcPr>
          <w:p w14:paraId="55D40C09">
            <w:pPr>
              <w:pStyle w:val="45"/>
              <w:spacing w:line="360" w:lineRule="auto"/>
              <w:ind w:firstLine="420" w:firstLineChars="200"/>
              <w:rPr>
                <w:rStyle w:val="26"/>
                <w:color w:val="auto"/>
                <w:highlight w:val="none"/>
              </w:rPr>
            </w:pPr>
          </w:p>
        </w:tc>
        <w:tc>
          <w:tcPr>
            <w:tcW w:w="1134" w:type="dxa"/>
            <w:noWrap w:val="0"/>
            <w:vAlign w:val="center"/>
          </w:tcPr>
          <w:p w14:paraId="2EC0104C">
            <w:pPr>
              <w:pStyle w:val="45"/>
              <w:spacing w:line="360" w:lineRule="auto"/>
              <w:ind w:firstLine="420" w:firstLineChars="200"/>
              <w:rPr>
                <w:rStyle w:val="26"/>
                <w:color w:val="auto"/>
                <w:highlight w:val="none"/>
              </w:rPr>
            </w:pPr>
          </w:p>
        </w:tc>
        <w:tc>
          <w:tcPr>
            <w:tcW w:w="1559" w:type="dxa"/>
            <w:noWrap w:val="0"/>
            <w:vAlign w:val="center"/>
          </w:tcPr>
          <w:p w14:paraId="4FB824DD">
            <w:pPr>
              <w:pStyle w:val="45"/>
              <w:spacing w:line="360" w:lineRule="auto"/>
              <w:ind w:firstLine="420" w:firstLineChars="200"/>
              <w:rPr>
                <w:rStyle w:val="26"/>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5"/>
              <w:spacing w:line="360" w:lineRule="auto"/>
              <w:ind w:firstLine="420" w:firstLineChars="200"/>
              <w:rPr>
                <w:rStyle w:val="26"/>
                <w:color w:val="auto"/>
                <w:highlight w:val="none"/>
              </w:rPr>
            </w:pPr>
          </w:p>
        </w:tc>
        <w:tc>
          <w:tcPr>
            <w:tcW w:w="1226" w:type="dxa"/>
            <w:noWrap w:val="0"/>
            <w:vAlign w:val="center"/>
          </w:tcPr>
          <w:p w14:paraId="6F1A610F">
            <w:pPr>
              <w:pStyle w:val="45"/>
              <w:spacing w:line="360" w:lineRule="auto"/>
              <w:ind w:firstLine="420" w:firstLineChars="200"/>
              <w:rPr>
                <w:rStyle w:val="26"/>
                <w:color w:val="auto"/>
                <w:highlight w:val="none"/>
              </w:rPr>
            </w:pPr>
          </w:p>
        </w:tc>
        <w:tc>
          <w:tcPr>
            <w:tcW w:w="851" w:type="dxa"/>
            <w:noWrap w:val="0"/>
            <w:vAlign w:val="center"/>
          </w:tcPr>
          <w:p w14:paraId="2FDFEDF4">
            <w:pPr>
              <w:pStyle w:val="45"/>
              <w:spacing w:line="360" w:lineRule="auto"/>
              <w:ind w:firstLine="420" w:firstLineChars="200"/>
              <w:rPr>
                <w:rStyle w:val="26"/>
                <w:color w:val="auto"/>
                <w:highlight w:val="none"/>
              </w:rPr>
            </w:pPr>
          </w:p>
        </w:tc>
        <w:tc>
          <w:tcPr>
            <w:tcW w:w="708" w:type="dxa"/>
            <w:noWrap w:val="0"/>
            <w:vAlign w:val="center"/>
          </w:tcPr>
          <w:p w14:paraId="603283B7">
            <w:pPr>
              <w:pStyle w:val="45"/>
              <w:spacing w:line="360" w:lineRule="auto"/>
              <w:ind w:firstLine="420" w:firstLineChars="200"/>
              <w:rPr>
                <w:rStyle w:val="26"/>
                <w:color w:val="auto"/>
                <w:highlight w:val="none"/>
              </w:rPr>
            </w:pPr>
          </w:p>
        </w:tc>
        <w:tc>
          <w:tcPr>
            <w:tcW w:w="709" w:type="dxa"/>
            <w:noWrap w:val="0"/>
            <w:vAlign w:val="center"/>
          </w:tcPr>
          <w:p w14:paraId="19C9BD2E">
            <w:pPr>
              <w:pStyle w:val="45"/>
              <w:spacing w:line="360" w:lineRule="auto"/>
              <w:ind w:firstLine="420" w:firstLineChars="200"/>
              <w:rPr>
                <w:rStyle w:val="26"/>
                <w:color w:val="auto"/>
                <w:highlight w:val="none"/>
              </w:rPr>
            </w:pPr>
          </w:p>
        </w:tc>
        <w:tc>
          <w:tcPr>
            <w:tcW w:w="1134" w:type="dxa"/>
            <w:noWrap w:val="0"/>
            <w:vAlign w:val="center"/>
          </w:tcPr>
          <w:p w14:paraId="651B1CCD">
            <w:pPr>
              <w:pStyle w:val="45"/>
              <w:spacing w:line="360" w:lineRule="auto"/>
              <w:ind w:firstLine="420" w:firstLineChars="200"/>
              <w:rPr>
                <w:rStyle w:val="26"/>
                <w:color w:val="auto"/>
                <w:highlight w:val="none"/>
              </w:rPr>
            </w:pPr>
          </w:p>
        </w:tc>
        <w:tc>
          <w:tcPr>
            <w:tcW w:w="1276" w:type="dxa"/>
            <w:noWrap w:val="0"/>
            <w:vAlign w:val="center"/>
          </w:tcPr>
          <w:p w14:paraId="7F505F74">
            <w:pPr>
              <w:pStyle w:val="45"/>
              <w:spacing w:line="360" w:lineRule="auto"/>
              <w:ind w:firstLine="420" w:firstLineChars="200"/>
              <w:rPr>
                <w:rStyle w:val="26"/>
                <w:color w:val="auto"/>
                <w:highlight w:val="none"/>
              </w:rPr>
            </w:pPr>
          </w:p>
        </w:tc>
        <w:tc>
          <w:tcPr>
            <w:tcW w:w="1134" w:type="dxa"/>
            <w:noWrap w:val="0"/>
            <w:vAlign w:val="center"/>
          </w:tcPr>
          <w:p w14:paraId="1DFEC175">
            <w:pPr>
              <w:pStyle w:val="45"/>
              <w:spacing w:line="360" w:lineRule="auto"/>
              <w:ind w:firstLine="420" w:firstLineChars="200"/>
              <w:rPr>
                <w:rStyle w:val="26"/>
                <w:color w:val="auto"/>
                <w:highlight w:val="none"/>
              </w:rPr>
            </w:pPr>
          </w:p>
        </w:tc>
        <w:tc>
          <w:tcPr>
            <w:tcW w:w="1559" w:type="dxa"/>
            <w:noWrap w:val="0"/>
            <w:vAlign w:val="center"/>
          </w:tcPr>
          <w:p w14:paraId="151236E1">
            <w:pPr>
              <w:pStyle w:val="45"/>
              <w:spacing w:line="360" w:lineRule="auto"/>
              <w:ind w:firstLine="420" w:firstLineChars="200"/>
              <w:rPr>
                <w:rStyle w:val="26"/>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5"/>
              <w:spacing w:line="360" w:lineRule="auto"/>
              <w:ind w:firstLine="420" w:firstLineChars="200"/>
              <w:rPr>
                <w:rStyle w:val="26"/>
                <w:color w:val="auto"/>
                <w:highlight w:val="none"/>
              </w:rPr>
            </w:pPr>
          </w:p>
        </w:tc>
        <w:tc>
          <w:tcPr>
            <w:tcW w:w="1226" w:type="dxa"/>
            <w:noWrap w:val="0"/>
            <w:vAlign w:val="center"/>
          </w:tcPr>
          <w:p w14:paraId="552838B8">
            <w:pPr>
              <w:pStyle w:val="45"/>
              <w:spacing w:line="360" w:lineRule="auto"/>
              <w:ind w:firstLine="420" w:firstLineChars="200"/>
              <w:rPr>
                <w:rStyle w:val="26"/>
                <w:color w:val="auto"/>
                <w:highlight w:val="none"/>
              </w:rPr>
            </w:pPr>
          </w:p>
        </w:tc>
        <w:tc>
          <w:tcPr>
            <w:tcW w:w="851" w:type="dxa"/>
            <w:noWrap w:val="0"/>
            <w:vAlign w:val="center"/>
          </w:tcPr>
          <w:p w14:paraId="764DE007">
            <w:pPr>
              <w:pStyle w:val="45"/>
              <w:spacing w:line="360" w:lineRule="auto"/>
              <w:ind w:firstLine="420" w:firstLineChars="200"/>
              <w:rPr>
                <w:rStyle w:val="26"/>
                <w:color w:val="auto"/>
                <w:highlight w:val="none"/>
              </w:rPr>
            </w:pPr>
          </w:p>
        </w:tc>
        <w:tc>
          <w:tcPr>
            <w:tcW w:w="708" w:type="dxa"/>
            <w:noWrap w:val="0"/>
            <w:vAlign w:val="center"/>
          </w:tcPr>
          <w:p w14:paraId="4C441BDC">
            <w:pPr>
              <w:pStyle w:val="45"/>
              <w:spacing w:line="360" w:lineRule="auto"/>
              <w:ind w:firstLine="420" w:firstLineChars="200"/>
              <w:rPr>
                <w:rStyle w:val="26"/>
                <w:color w:val="auto"/>
                <w:highlight w:val="none"/>
              </w:rPr>
            </w:pPr>
          </w:p>
        </w:tc>
        <w:tc>
          <w:tcPr>
            <w:tcW w:w="709" w:type="dxa"/>
            <w:noWrap w:val="0"/>
            <w:vAlign w:val="center"/>
          </w:tcPr>
          <w:p w14:paraId="72C6D696">
            <w:pPr>
              <w:pStyle w:val="45"/>
              <w:spacing w:line="360" w:lineRule="auto"/>
              <w:ind w:firstLine="420" w:firstLineChars="200"/>
              <w:rPr>
                <w:rStyle w:val="26"/>
                <w:color w:val="auto"/>
                <w:highlight w:val="none"/>
              </w:rPr>
            </w:pPr>
          </w:p>
        </w:tc>
        <w:tc>
          <w:tcPr>
            <w:tcW w:w="1134" w:type="dxa"/>
            <w:noWrap w:val="0"/>
            <w:vAlign w:val="center"/>
          </w:tcPr>
          <w:p w14:paraId="1F6A78DB">
            <w:pPr>
              <w:pStyle w:val="45"/>
              <w:spacing w:line="360" w:lineRule="auto"/>
              <w:ind w:firstLine="420" w:firstLineChars="200"/>
              <w:rPr>
                <w:rStyle w:val="26"/>
                <w:color w:val="auto"/>
                <w:highlight w:val="none"/>
              </w:rPr>
            </w:pPr>
          </w:p>
        </w:tc>
        <w:tc>
          <w:tcPr>
            <w:tcW w:w="1276" w:type="dxa"/>
            <w:noWrap w:val="0"/>
            <w:vAlign w:val="center"/>
          </w:tcPr>
          <w:p w14:paraId="0B1672ED">
            <w:pPr>
              <w:pStyle w:val="45"/>
              <w:spacing w:line="360" w:lineRule="auto"/>
              <w:ind w:firstLine="420" w:firstLineChars="200"/>
              <w:rPr>
                <w:rStyle w:val="26"/>
                <w:color w:val="auto"/>
                <w:highlight w:val="none"/>
              </w:rPr>
            </w:pPr>
          </w:p>
        </w:tc>
        <w:tc>
          <w:tcPr>
            <w:tcW w:w="1134" w:type="dxa"/>
            <w:noWrap w:val="0"/>
            <w:vAlign w:val="center"/>
          </w:tcPr>
          <w:p w14:paraId="50F24A87">
            <w:pPr>
              <w:pStyle w:val="45"/>
              <w:spacing w:line="360" w:lineRule="auto"/>
              <w:ind w:firstLine="420" w:firstLineChars="200"/>
              <w:rPr>
                <w:rStyle w:val="26"/>
                <w:color w:val="auto"/>
                <w:highlight w:val="none"/>
              </w:rPr>
            </w:pPr>
          </w:p>
        </w:tc>
        <w:tc>
          <w:tcPr>
            <w:tcW w:w="1559" w:type="dxa"/>
            <w:noWrap w:val="0"/>
            <w:vAlign w:val="center"/>
          </w:tcPr>
          <w:p w14:paraId="3F64F001">
            <w:pPr>
              <w:pStyle w:val="45"/>
              <w:spacing w:line="360" w:lineRule="auto"/>
              <w:ind w:firstLine="420" w:firstLineChars="200"/>
              <w:rPr>
                <w:rStyle w:val="26"/>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5"/>
              <w:spacing w:line="360" w:lineRule="auto"/>
              <w:ind w:firstLine="420" w:firstLineChars="200"/>
              <w:rPr>
                <w:rStyle w:val="26"/>
                <w:color w:val="auto"/>
                <w:highlight w:val="none"/>
              </w:rPr>
            </w:pPr>
          </w:p>
        </w:tc>
        <w:tc>
          <w:tcPr>
            <w:tcW w:w="1226" w:type="dxa"/>
            <w:noWrap w:val="0"/>
            <w:vAlign w:val="center"/>
          </w:tcPr>
          <w:p w14:paraId="53EF0F1E">
            <w:pPr>
              <w:pStyle w:val="45"/>
              <w:spacing w:line="360" w:lineRule="auto"/>
              <w:ind w:firstLine="420" w:firstLineChars="200"/>
              <w:rPr>
                <w:rStyle w:val="26"/>
                <w:color w:val="auto"/>
                <w:highlight w:val="none"/>
              </w:rPr>
            </w:pPr>
          </w:p>
        </w:tc>
        <w:tc>
          <w:tcPr>
            <w:tcW w:w="851" w:type="dxa"/>
            <w:noWrap w:val="0"/>
            <w:vAlign w:val="center"/>
          </w:tcPr>
          <w:p w14:paraId="3B8BB17F">
            <w:pPr>
              <w:pStyle w:val="45"/>
              <w:spacing w:line="360" w:lineRule="auto"/>
              <w:ind w:firstLine="420" w:firstLineChars="200"/>
              <w:rPr>
                <w:rStyle w:val="26"/>
                <w:color w:val="auto"/>
                <w:highlight w:val="none"/>
              </w:rPr>
            </w:pPr>
          </w:p>
        </w:tc>
        <w:tc>
          <w:tcPr>
            <w:tcW w:w="708" w:type="dxa"/>
            <w:noWrap w:val="0"/>
            <w:vAlign w:val="center"/>
          </w:tcPr>
          <w:p w14:paraId="226E95FA">
            <w:pPr>
              <w:pStyle w:val="45"/>
              <w:spacing w:line="360" w:lineRule="auto"/>
              <w:ind w:firstLine="420" w:firstLineChars="200"/>
              <w:rPr>
                <w:rStyle w:val="26"/>
                <w:color w:val="auto"/>
                <w:highlight w:val="none"/>
              </w:rPr>
            </w:pPr>
          </w:p>
        </w:tc>
        <w:tc>
          <w:tcPr>
            <w:tcW w:w="709" w:type="dxa"/>
            <w:noWrap w:val="0"/>
            <w:vAlign w:val="center"/>
          </w:tcPr>
          <w:p w14:paraId="23C34B14">
            <w:pPr>
              <w:pStyle w:val="45"/>
              <w:spacing w:line="360" w:lineRule="auto"/>
              <w:ind w:firstLine="420" w:firstLineChars="200"/>
              <w:rPr>
                <w:rStyle w:val="26"/>
                <w:color w:val="auto"/>
                <w:highlight w:val="none"/>
              </w:rPr>
            </w:pPr>
          </w:p>
        </w:tc>
        <w:tc>
          <w:tcPr>
            <w:tcW w:w="1134" w:type="dxa"/>
            <w:noWrap w:val="0"/>
            <w:vAlign w:val="center"/>
          </w:tcPr>
          <w:p w14:paraId="462B4BE5">
            <w:pPr>
              <w:pStyle w:val="45"/>
              <w:spacing w:line="360" w:lineRule="auto"/>
              <w:ind w:firstLine="420" w:firstLineChars="200"/>
              <w:rPr>
                <w:rStyle w:val="26"/>
                <w:color w:val="auto"/>
                <w:highlight w:val="none"/>
              </w:rPr>
            </w:pPr>
          </w:p>
        </w:tc>
        <w:tc>
          <w:tcPr>
            <w:tcW w:w="1276" w:type="dxa"/>
            <w:noWrap w:val="0"/>
            <w:vAlign w:val="center"/>
          </w:tcPr>
          <w:p w14:paraId="3247A229">
            <w:pPr>
              <w:pStyle w:val="45"/>
              <w:spacing w:line="360" w:lineRule="auto"/>
              <w:ind w:firstLine="420" w:firstLineChars="200"/>
              <w:rPr>
                <w:rStyle w:val="26"/>
                <w:color w:val="auto"/>
                <w:highlight w:val="none"/>
              </w:rPr>
            </w:pPr>
          </w:p>
        </w:tc>
        <w:tc>
          <w:tcPr>
            <w:tcW w:w="1134" w:type="dxa"/>
            <w:noWrap w:val="0"/>
            <w:vAlign w:val="center"/>
          </w:tcPr>
          <w:p w14:paraId="7BF4B29C">
            <w:pPr>
              <w:pStyle w:val="45"/>
              <w:spacing w:line="360" w:lineRule="auto"/>
              <w:ind w:firstLine="420" w:firstLineChars="200"/>
              <w:rPr>
                <w:rStyle w:val="26"/>
                <w:color w:val="auto"/>
                <w:highlight w:val="none"/>
              </w:rPr>
            </w:pPr>
          </w:p>
        </w:tc>
        <w:tc>
          <w:tcPr>
            <w:tcW w:w="1559" w:type="dxa"/>
            <w:noWrap w:val="0"/>
            <w:vAlign w:val="center"/>
          </w:tcPr>
          <w:p w14:paraId="3FAA10AC">
            <w:pPr>
              <w:pStyle w:val="45"/>
              <w:spacing w:line="360" w:lineRule="auto"/>
              <w:ind w:firstLine="420" w:firstLineChars="200"/>
              <w:rPr>
                <w:rStyle w:val="26"/>
                <w:color w:val="auto"/>
                <w:highlight w:val="none"/>
              </w:rPr>
            </w:pPr>
          </w:p>
        </w:tc>
      </w:tr>
    </w:tbl>
    <w:p w14:paraId="274665A7">
      <w:pPr>
        <w:pStyle w:val="45"/>
        <w:bidi w:val="0"/>
        <w:ind w:firstLine="210" w:firstLineChars="100"/>
        <w:rPr>
          <w:rStyle w:val="26"/>
          <w:rFonts w:hint="eastAsia" w:cs="宋体"/>
          <w:color w:val="auto"/>
          <w:highlight w:val="none"/>
        </w:rPr>
      </w:pPr>
    </w:p>
    <w:p w14:paraId="4140B749">
      <w:pPr>
        <w:pStyle w:val="45"/>
        <w:bidi w:val="0"/>
        <w:ind w:firstLine="210" w:firstLineChars="100"/>
        <w:rPr>
          <w:rStyle w:val="26"/>
          <w:rFonts w:hint="eastAsia" w:cs="宋体"/>
          <w:color w:val="auto"/>
          <w:highlight w:val="none"/>
        </w:rPr>
      </w:pPr>
    </w:p>
    <w:p w14:paraId="4B3B2CFF">
      <w:pPr>
        <w:pStyle w:val="45"/>
        <w:bidi w:val="0"/>
        <w:ind w:firstLine="210" w:firstLineChars="100"/>
        <w:rPr>
          <w:rStyle w:val="26"/>
          <w:rFonts w:hint="eastAsia" w:cs="宋体"/>
          <w:color w:val="auto"/>
          <w:highlight w:val="none"/>
        </w:rPr>
      </w:pPr>
    </w:p>
    <w:p w14:paraId="36466F02">
      <w:pPr>
        <w:pStyle w:val="45"/>
        <w:bidi w:val="0"/>
        <w:ind w:firstLine="210" w:firstLineChars="100"/>
        <w:rPr>
          <w:rStyle w:val="26"/>
          <w:rFonts w:hint="eastAsia" w:cs="宋体"/>
          <w:color w:val="auto"/>
          <w:highlight w:val="none"/>
        </w:rPr>
      </w:pPr>
    </w:p>
    <w:p w14:paraId="092B510D">
      <w:pPr>
        <w:pStyle w:val="45"/>
        <w:bidi w:val="0"/>
        <w:ind w:firstLine="210" w:firstLineChars="100"/>
        <w:rPr>
          <w:rStyle w:val="26"/>
          <w:rFonts w:hint="eastAsia" w:cs="宋体"/>
          <w:color w:val="auto"/>
          <w:highlight w:val="none"/>
        </w:rPr>
      </w:pPr>
    </w:p>
    <w:p w14:paraId="741D3034">
      <w:pPr>
        <w:pStyle w:val="45"/>
        <w:bidi w:val="0"/>
        <w:ind w:firstLine="210" w:firstLineChars="100"/>
        <w:rPr>
          <w:rStyle w:val="26"/>
          <w:rFonts w:hint="eastAsia" w:cs="宋体"/>
          <w:color w:val="auto"/>
          <w:highlight w:val="none"/>
        </w:rPr>
      </w:pPr>
    </w:p>
    <w:p w14:paraId="07AF69E6">
      <w:pPr>
        <w:pStyle w:val="45"/>
        <w:bidi w:val="0"/>
        <w:ind w:firstLine="210" w:firstLineChars="100"/>
        <w:rPr>
          <w:rStyle w:val="26"/>
          <w:color w:val="auto"/>
          <w:highlight w:val="none"/>
        </w:rPr>
      </w:pPr>
      <w:r>
        <w:rPr>
          <w:rStyle w:val="26"/>
          <w:rFonts w:hint="eastAsia" w:cs="宋体"/>
          <w:color w:val="auto"/>
          <w:highlight w:val="none"/>
        </w:rPr>
        <w:t>附表三：劳动力计划表</w:t>
      </w:r>
    </w:p>
    <w:p w14:paraId="44187033">
      <w:pPr>
        <w:pStyle w:val="45"/>
        <w:bidi w:val="0"/>
        <w:ind w:firstLine="7245" w:firstLineChars="3450"/>
        <w:rPr>
          <w:rStyle w:val="26"/>
          <w:color w:val="auto"/>
          <w:highlight w:val="none"/>
        </w:rPr>
      </w:pPr>
      <w:r>
        <w:rPr>
          <w:rStyle w:val="26"/>
          <w:color w:val="auto"/>
          <w:highlight w:val="none"/>
        </w:rPr>
        <w:t xml:space="preserve">    </w:t>
      </w:r>
      <w:r>
        <w:rPr>
          <w:rStyle w:val="26"/>
          <w:rFonts w:hint="eastAsia" w:cs="宋体"/>
          <w:color w:val="auto"/>
          <w:highlight w:val="none"/>
        </w:rPr>
        <w:t>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5"/>
              <w:spacing w:line="360" w:lineRule="auto"/>
              <w:jc w:val="center"/>
              <w:rPr>
                <w:rStyle w:val="26"/>
                <w:color w:val="auto"/>
                <w:highlight w:val="none"/>
              </w:rPr>
            </w:pPr>
            <w:r>
              <w:rPr>
                <w:rStyle w:val="26"/>
                <w:rFonts w:hint="eastAsia" w:cs="宋体"/>
                <w:color w:val="auto"/>
                <w:highlight w:val="none"/>
              </w:rPr>
              <w:t>工种</w:t>
            </w:r>
          </w:p>
        </w:tc>
        <w:tc>
          <w:tcPr>
            <w:tcW w:w="8506" w:type="dxa"/>
            <w:gridSpan w:val="7"/>
            <w:noWrap w:val="0"/>
            <w:vAlign w:val="center"/>
          </w:tcPr>
          <w:p w14:paraId="738163D6">
            <w:pPr>
              <w:pStyle w:val="45"/>
              <w:spacing w:line="360" w:lineRule="auto"/>
              <w:jc w:val="center"/>
              <w:rPr>
                <w:rStyle w:val="26"/>
                <w:color w:val="auto"/>
                <w:highlight w:val="none"/>
              </w:rPr>
            </w:pPr>
            <w:r>
              <w:rPr>
                <w:rStyle w:val="26"/>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5"/>
              <w:spacing w:line="360" w:lineRule="auto"/>
              <w:jc w:val="center"/>
              <w:rPr>
                <w:rStyle w:val="26"/>
                <w:color w:val="auto"/>
                <w:highlight w:val="none"/>
              </w:rPr>
            </w:pPr>
          </w:p>
        </w:tc>
        <w:tc>
          <w:tcPr>
            <w:tcW w:w="961" w:type="dxa"/>
            <w:noWrap w:val="0"/>
            <w:vAlign w:val="center"/>
          </w:tcPr>
          <w:p w14:paraId="0BD99F8B">
            <w:pPr>
              <w:pStyle w:val="45"/>
              <w:spacing w:line="360" w:lineRule="auto"/>
              <w:jc w:val="center"/>
              <w:rPr>
                <w:rStyle w:val="26"/>
                <w:color w:val="auto"/>
                <w:highlight w:val="none"/>
              </w:rPr>
            </w:pPr>
          </w:p>
        </w:tc>
        <w:tc>
          <w:tcPr>
            <w:tcW w:w="1257" w:type="dxa"/>
            <w:noWrap w:val="0"/>
            <w:vAlign w:val="center"/>
          </w:tcPr>
          <w:p w14:paraId="4802D2D7">
            <w:pPr>
              <w:pStyle w:val="45"/>
              <w:spacing w:line="360" w:lineRule="auto"/>
              <w:jc w:val="center"/>
              <w:rPr>
                <w:rStyle w:val="26"/>
                <w:color w:val="auto"/>
                <w:highlight w:val="none"/>
              </w:rPr>
            </w:pPr>
          </w:p>
        </w:tc>
        <w:tc>
          <w:tcPr>
            <w:tcW w:w="1258" w:type="dxa"/>
            <w:noWrap w:val="0"/>
            <w:vAlign w:val="center"/>
          </w:tcPr>
          <w:p w14:paraId="7A16E6B1">
            <w:pPr>
              <w:pStyle w:val="45"/>
              <w:spacing w:line="360" w:lineRule="auto"/>
              <w:jc w:val="center"/>
              <w:rPr>
                <w:rStyle w:val="26"/>
                <w:color w:val="auto"/>
                <w:highlight w:val="none"/>
              </w:rPr>
            </w:pPr>
          </w:p>
        </w:tc>
        <w:tc>
          <w:tcPr>
            <w:tcW w:w="1257" w:type="dxa"/>
            <w:noWrap w:val="0"/>
            <w:vAlign w:val="center"/>
          </w:tcPr>
          <w:p w14:paraId="4B97B263">
            <w:pPr>
              <w:pStyle w:val="45"/>
              <w:spacing w:line="360" w:lineRule="auto"/>
              <w:jc w:val="center"/>
              <w:rPr>
                <w:rStyle w:val="26"/>
                <w:color w:val="auto"/>
                <w:highlight w:val="none"/>
              </w:rPr>
            </w:pPr>
          </w:p>
        </w:tc>
        <w:tc>
          <w:tcPr>
            <w:tcW w:w="1258" w:type="dxa"/>
            <w:noWrap w:val="0"/>
            <w:vAlign w:val="center"/>
          </w:tcPr>
          <w:p w14:paraId="36E1F79F">
            <w:pPr>
              <w:pStyle w:val="45"/>
              <w:spacing w:line="360" w:lineRule="auto"/>
              <w:jc w:val="center"/>
              <w:rPr>
                <w:rStyle w:val="26"/>
                <w:color w:val="auto"/>
                <w:highlight w:val="none"/>
              </w:rPr>
            </w:pPr>
          </w:p>
        </w:tc>
        <w:tc>
          <w:tcPr>
            <w:tcW w:w="1257" w:type="dxa"/>
            <w:noWrap w:val="0"/>
            <w:vAlign w:val="center"/>
          </w:tcPr>
          <w:p w14:paraId="5C1789B8">
            <w:pPr>
              <w:pStyle w:val="45"/>
              <w:spacing w:line="360" w:lineRule="auto"/>
              <w:jc w:val="center"/>
              <w:rPr>
                <w:rStyle w:val="26"/>
                <w:color w:val="auto"/>
                <w:highlight w:val="none"/>
              </w:rPr>
            </w:pPr>
          </w:p>
        </w:tc>
        <w:tc>
          <w:tcPr>
            <w:tcW w:w="1258" w:type="dxa"/>
            <w:noWrap w:val="0"/>
            <w:vAlign w:val="center"/>
          </w:tcPr>
          <w:p w14:paraId="6629BB14">
            <w:pPr>
              <w:pStyle w:val="45"/>
              <w:spacing w:line="360" w:lineRule="auto"/>
              <w:jc w:val="center"/>
              <w:rPr>
                <w:rStyle w:val="26"/>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5"/>
              <w:spacing w:line="360" w:lineRule="auto"/>
              <w:jc w:val="center"/>
              <w:rPr>
                <w:rStyle w:val="26"/>
                <w:color w:val="auto"/>
                <w:highlight w:val="none"/>
              </w:rPr>
            </w:pPr>
          </w:p>
        </w:tc>
        <w:tc>
          <w:tcPr>
            <w:tcW w:w="961" w:type="dxa"/>
            <w:noWrap w:val="0"/>
            <w:vAlign w:val="center"/>
          </w:tcPr>
          <w:p w14:paraId="5DC285C3">
            <w:pPr>
              <w:pStyle w:val="45"/>
              <w:spacing w:line="360" w:lineRule="auto"/>
              <w:jc w:val="center"/>
              <w:rPr>
                <w:rStyle w:val="26"/>
                <w:color w:val="auto"/>
                <w:highlight w:val="none"/>
              </w:rPr>
            </w:pPr>
          </w:p>
        </w:tc>
        <w:tc>
          <w:tcPr>
            <w:tcW w:w="1257" w:type="dxa"/>
            <w:noWrap w:val="0"/>
            <w:vAlign w:val="center"/>
          </w:tcPr>
          <w:p w14:paraId="164D5B8F">
            <w:pPr>
              <w:pStyle w:val="45"/>
              <w:spacing w:line="360" w:lineRule="auto"/>
              <w:jc w:val="center"/>
              <w:rPr>
                <w:rStyle w:val="26"/>
                <w:color w:val="auto"/>
                <w:highlight w:val="none"/>
              </w:rPr>
            </w:pPr>
          </w:p>
        </w:tc>
        <w:tc>
          <w:tcPr>
            <w:tcW w:w="1258" w:type="dxa"/>
            <w:noWrap w:val="0"/>
            <w:vAlign w:val="center"/>
          </w:tcPr>
          <w:p w14:paraId="57369424">
            <w:pPr>
              <w:pStyle w:val="45"/>
              <w:spacing w:line="360" w:lineRule="auto"/>
              <w:jc w:val="center"/>
              <w:rPr>
                <w:rStyle w:val="26"/>
                <w:color w:val="auto"/>
                <w:highlight w:val="none"/>
              </w:rPr>
            </w:pPr>
          </w:p>
        </w:tc>
        <w:tc>
          <w:tcPr>
            <w:tcW w:w="1257" w:type="dxa"/>
            <w:noWrap w:val="0"/>
            <w:vAlign w:val="center"/>
          </w:tcPr>
          <w:p w14:paraId="60907D0A">
            <w:pPr>
              <w:pStyle w:val="45"/>
              <w:spacing w:line="360" w:lineRule="auto"/>
              <w:jc w:val="center"/>
              <w:rPr>
                <w:rStyle w:val="26"/>
                <w:color w:val="auto"/>
                <w:highlight w:val="none"/>
              </w:rPr>
            </w:pPr>
          </w:p>
        </w:tc>
        <w:tc>
          <w:tcPr>
            <w:tcW w:w="1258" w:type="dxa"/>
            <w:noWrap w:val="0"/>
            <w:vAlign w:val="center"/>
          </w:tcPr>
          <w:p w14:paraId="1EB3C54C">
            <w:pPr>
              <w:pStyle w:val="45"/>
              <w:spacing w:line="360" w:lineRule="auto"/>
              <w:jc w:val="center"/>
              <w:rPr>
                <w:rStyle w:val="26"/>
                <w:color w:val="auto"/>
                <w:highlight w:val="none"/>
              </w:rPr>
            </w:pPr>
          </w:p>
        </w:tc>
        <w:tc>
          <w:tcPr>
            <w:tcW w:w="1257" w:type="dxa"/>
            <w:noWrap w:val="0"/>
            <w:vAlign w:val="center"/>
          </w:tcPr>
          <w:p w14:paraId="63492844">
            <w:pPr>
              <w:pStyle w:val="45"/>
              <w:spacing w:line="360" w:lineRule="auto"/>
              <w:jc w:val="center"/>
              <w:rPr>
                <w:rStyle w:val="26"/>
                <w:color w:val="auto"/>
                <w:highlight w:val="none"/>
              </w:rPr>
            </w:pPr>
          </w:p>
        </w:tc>
        <w:tc>
          <w:tcPr>
            <w:tcW w:w="1258" w:type="dxa"/>
            <w:noWrap w:val="0"/>
            <w:vAlign w:val="center"/>
          </w:tcPr>
          <w:p w14:paraId="56962B38">
            <w:pPr>
              <w:pStyle w:val="45"/>
              <w:spacing w:line="360" w:lineRule="auto"/>
              <w:jc w:val="center"/>
              <w:rPr>
                <w:rStyle w:val="26"/>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5"/>
              <w:spacing w:line="360" w:lineRule="auto"/>
              <w:jc w:val="center"/>
              <w:rPr>
                <w:rStyle w:val="26"/>
                <w:color w:val="auto"/>
                <w:highlight w:val="none"/>
              </w:rPr>
            </w:pPr>
          </w:p>
        </w:tc>
        <w:tc>
          <w:tcPr>
            <w:tcW w:w="961" w:type="dxa"/>
            <w:noWrap w:val="0"/>
            <w:vAlign w:val="center"/>
          </w:tcPr>
          <w:p w14:paraId="023B5332">
            <w:pPr>
              <w:pStyle w:val="45"/>
              <w:spacing w:line="360" w:lineRule="auto"/>
              <w:jc w:val="center"/>
              <w:rPr>
                <w:rStyle w:val="26"/>
                <w:color w:val="auto"/>
                <w:highlight w:val="none"/>
              </w:rPr>
            </w:pPr>
          </w:p>
        </w:tc>
        <w:tc>
          <w:tcPr>
            <w:tcW w:w="1257" w:type="dxa"/>
            <w:noWrap w:val="0"/>
            <w:vAlign w:val="center"/>
          </w:tcPr>
          <w:p w14:paraId="79F0FAC4">
            <w:pPr>
              <w:pStyle w:val="45"/>
              <w:spacing w:line="360" w:lineRule="auto"/>
              <w:jc w:val="center"/>
              <w:rPr>
                <w:rStyle w:val="26"/>
                <w:color w:val="auto"/>
                <w:highlight w:val="none"/>
              </w:rPr>
            </w:pPr>
          </w:p>
        </w:tc>
        <w:tc>
          <w:tcPr>
            <w:tcW w:w="1258" w:type="dxa"/>
            <w:noWrap w:val="0"/>
            <w:vAlign w:val="center"/>
          </w:tcPr>
          <w:p w14:paraId="0470603D">
            <w:pPr>
              <w:pStyle w:val="45"/>
              <w:spacing w:line="360" w:lineRule="auto"/>
              <w:jc w:val="center"/>
              <w:rPr>
                <w:rStyle w:val="26"/>
                <w:color w:val="auto"/>
                <w:highlight w:val="none"/>
              </w:rPr>
            </w:pPr>
          </w:p>
        </w:tc>
        <w:tc>
          <w:tcPr>
            <w:tcW w:w="1257" w:type="dxa"/>
            <w:noWrap w:val="0"/>
            <w:vAlign w:val="center"/>
          </w:tcPr>
          <w:p w14:paraId="4485FA12">
            <w:pPr>
              <w:pStyle w:val="45"/>
              <w:spacing w:line="360" w:lineRule="auto"/>
              <w:jc w:val="center"/>
              <w:rPr>
                <w:rStyle w:val="26"/>
                <w:color w:val="auto"/>
                <w:highlight w:val="none"/>
              </w:rPr>
            </w:pPr>
          </w:p>
        </w:tc>
        <w:tc>
          <w:tcPr>
            <w:tcW w:w="1258" w:type="dxa"/>
            <w:noWrap w:val="0"/>
            <w:vAlign w:val="center"/>
          </w:tcPr>
          <w:p w14:paraId="5E953F67">
            <w:pPr>
              <w:pStyle w:val="45"/>
              <w:spacing w:line="360" w:lineRule="auto"/>
              <w:jc w:val="center"/>
              <w:rPr>
                <w:rStyle w:val="26"/>
                <w:color w:val="auto"/>
                <w:highlight w:val="none"/>
              </w:rPr>
            </w:pPr>
          </w:p>
        </w:tc>
        <w:tc>
          <w:tcPr>
            <w:tcW w:w="1257" w:type="dxa"/>
            <w:noWrap w:val="0"/>
            <w:vAlign w:val="center"/>
          </w:tcPr>
          <w:p w14:paraId="35C3DC70">
            <w:pPr>
              <w:pStyle w:val="45"/>
              <w:spacing w:line="360" w:lineRule="auto"/>
              <w:jc w:val="center"/>
              <w:rPr>
                <w:rStyle w:val="26"/>
                <w:color w:val="auto"/>
                <w:highlight w:val="none"/>
              </w:rPr>
            </w:pPr>
          </w:p>
        </w:tc>
        <w:tc>
          <w:tcPr>
            <w:tcW w:w="1258" w:type="dxa"/>
            <w:noWrap w:val="0"/>
            <w:vAlign w:val="center"/>
          </w:tcPr>
          <w:p w14:paraId="303A7069">
            <w:pPr>
              <w:pStyle w:val="45"/>
              <w:spacing w:line="360" w:lineRule="auto"/>
              <w:jc w:val="center"/>
              <w:rPr>
                <w:rStyle w:val="26"/>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5"/>
              <w:spacing w:line="360" w:lineRule="auto"/>
              <w:jc w:val="center"/>
              <w:rPr>
                <w:rStyle w:val="26"/>
                <w:color w:val="auto"/>
                <w:highlight w:val="none"/>
              </w:rPr>
            </w:pPr>
          </w:p>
        </w:tc>
        <w:tc>
          <w:tcPr>
            <w:tcW w:w="961" w:type="dxa"/>
            <w:noWrap w:val="0"/>
            <w:vAlign w:val="center"/>
          </w:tcPr>
          <w:p w14:paraId="41F07D3C">
            <w:pPr>
              <w:pStyle w:val="45"/>
              <w:spacing w:line="360" w:lineRule="auto"/>
              <w:jc w:val="center"/>
              <w:rPr>
                <w:rStyle w:val="26"/>
                <w:color w:val="auto"/>
                <w:highlight w:val="none"/>
              </w:rPr>
            </w:pPr>
          </w:p>
        </w:tc>
        <w:tc>
          <w:tcPr>
            <w:tcW w:w="1257" w:type="dxa"/>
            <w:noWrap w:val="0"/>
            <w:vAlign w:val="center"/>
          </w:tcPr>
          <w:p w14:paraId="7516DB45">
            <w:pPr>
              <w:pStyle w:val="45"/>
              <w:spacing w:line="360" w:lineRule="auto"/>
              <w:jc w:val="center"/>
              <w:rPr>
                <w:rStyle w:val="26"/>
                <w:color w:val="auto"/>
                <w:highlight w:val="none"/>
              </w:rPr>
            </w:pPr>
          </w:p>
        </w:tc>
        <w:tc>
          <w:tcPr>
            <w:tcW w:w="1258" w:type="dxa"/>
            <w:noWrap w:val="0"/>
            <w:vAlign w:val="center"/>
          </w:tcPr>
          <w:p w14:paraId="3309BEEC">
            <w:pPr>
              <w:pStyle w:val="45"/>
              <w:spacing w:line="360" w:lineRule="auto"/>
              <w:jc w:val="center"/>
              <w:rPr>
                <w:rStyle w:val="26"/>
                <w:color w:val="auto"/>
                <w:highlight w:val="none"/>
              </w:rPr>
            </w:pPr>
          </w:p>
        </w:tc>
        <w:tc>
          <w:tcPr>
            <w:tcW w:w="1257" w:type="dxa"/>
            <w:noWrap w:val="0"/>
            <w:vAlign w:val="center"/>
          </w:tcPr>
          <w:p w14:paraId="642C7634">
            <w:pPr>
              <w:pStyle w:val="45"/>
              <w:spacing w:line="360" w:lineRule="auto"/>
              <w:jc w:val="center"/>
              <w:rPr>
                <w:rStyle w:val="26"/>
                <w:color w:val="auto"/>
                <w:highlight w:val="none"/>
              </w:rPr>
            </w:pPr>
          </w:p>
        </w:tc>
        <w:tc>
          <w:tcPr>
            <w:tcW w:w="1258" w:type="dxa"/>
            <w:noWrap w:val="0"/>
            <w:vAlign w:val="center"/>
          </w:tcPr>
          <w:p w14:paraId="3C37CB87">
            <w:pPr>
              <w:pStyle w:val="45"/>
              <w:spacing w:line="360" w:lineRule="auto"/>
              <w:jc w:val="center"/>
              <w:rPr>
                <w:rStyle w:val="26"/>
                <w:color w:val="auto"/>
                <w:highlight w:val="none"/>
              </w:rPr>
            </w:pPr>
          </w:p>
        </w:tc>
        <w:tc>
          <w:tcPr>
            <w:tcW w:w="1257" w:type="dxa"/>
            <w:noWrap w:val="0"/>
            <w:vAlign w:val="center"/>
          </w:tcPr>
          <w:p w14:paraId="5B50FF37">
            <w:pPr>
              <w:pStyle w:val="45"/>
              <w:spacing w:line="360" w:lineRule="auto"/>
              <w:jc w:val="center"/>
              <w:rPr>
                <w:rStyle w:val="26"/>
                <w:color w:val="auto"/>
                <w:highlight w:val="none"/>
              </w:rPr>
            </w:pPr>
          </w:p>
        </w:tc>
        <w:tc>
          <w:tcPr>
            <w:tcW w:w="1258" w:type="dxa"/>
            <w:noWrap w:val="0"/>
            <w:vAlign w:val="center"/>
          </w:tcPr>
          <w:p w14:paraId="0267BC4E">
            <w:pPr>
              <w:pStyle w:val="45"/>
              <w:spacing w:line="360" w:lineRule="auto"/>
              <w:jc w:val="center"/>
              <w:rPr>
                <w:rStyle w:val="26"/>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5"/>
              <w:spacing w:line="360" w:lineRule="auto"/>
              <w:jc w:val="center"/>
              <w:rPr>
                <w:rStyle w:val="26"/>
                <w:color w:val="auto"/>
                <w:highlight w:val="none"/>
              </w:rPr>
            </w:pPr>
          </w:p>
        </w:tc>
        <w:tc>
          <w:tcPr>
            <w:tcW w:w="961" w:type="dxa"/>
            <w:noWrap w:val="0"/>
            <w:vAlign w:val="center"/>
          </w:tcPr>
          <w:p w14:paraId="57AC47FB">
            <w:pPr>
              <w:pStyle w:val="45"/>
              <w:spacing w:line="360" w:lineRule="auto"/>
              <w:jc w:val="center"/>
              <w:rPr>
                <w:rStyle w:val="26"/>
                <w:color w:val="auto"/>
                <w:highlight w:val="none"/>
              </w:rPr>
            </w:pPr>
          </w:p>
        </w:tc>
        <w:tc>
          <w:tcPr>
            <w:tcW w:w="1257" w:type="dxa"/>
            <w:noWrap w:val="0"/>
            <w:vAlign w:val="center"/>
          </w:tcPr>
          <w:p w14:paraId="11176134">
            <w:pPr>
              <w:pStyle w:val="45"/>
              <w:spacing w:line="360" w:lineRule="auto"/>
              <w:jc w:val="center"/>
              <w:rPr>
                <w:rStyle w:val="26"/>
                <w:color w:val="auto"/>
                <w:highlight w:val="none"/>
              </w:rPr>
            </w:pPr>
          </w:p>
        </w:tc>
        <w:tc>
          <w:tcPr>
            <w:tcW w:w="1258" w:type="dxa"/>
            <w:noWrap w:val="0"/>
            <w:vAlign w:val="center"/>
          </w:tcPr>
          <w:p w14:paraId="7D3C0E6E">
            <w:pPr>
              <w:pStyle w:val="45"/>
              <w:spacing w:line="360" w:lineRule="auto"/>
              <w:jc w:val="center"/>
              <w:rPr>
                <w:rStyle w:val="26"/>
                <w:color w:val="auto"/>
                <w:highlight w:val="none"/>
              </w:rPr>
            </w:pPr>
          </w:p>
        </w:tc>
        <w:tc>
          <w:tcPr>
            <w:tcW w:w="1257" w:type="dxa"/>
            <w:noWrap w:val="0"/>
            <w:vAlign w:val="center"/>
          </w:tcPr>
          <w:p w14:paraId="61093394">
            <w:pPr>
              <w:pStyle w:val="45"/>
              <w:spacing w:line="360" w:lineRule="auto"/>
              <w:jc w:val="center"/>
              <w:rPr>
                <w:rStyle w:val="26"/>
                <w:color w:val="auto"/>
                <w:highlight w:val="none"/>
              </w:rPr>
            </w:pPr>
          </w:p>
        </w:tc>
        <w:tc>
          <w:tcPr>
            <w:tcW w:w="1258" w:type="dxa"/>
            <w:noWrap w:val="0"/>
            <w:vAlign w:val="center"/>
          </w:tcPr>
          <w:p w14:paraId="50A43B0B">
            <w:pPr>
              <w:pStyle w:val="45"/>
              <w:spacing w:line="360" w:lineRule="auto"/>
              <w:jc w:val="center"/>
              <w:rPr>
                <w:rStyle w:val="26"/>
                <w:color w:val="auto"/>
                <w:highlight w:val="none"/>
              </w:rPr>
            </w:pPr>
          </w:p>
        </w:tc>
        <w:tc>
          <w:tcPr>
            <w:tcW w:w="1257" w:type="dxa"/>
            <w:noWrap w:val="0"/>
            <w:vAlign w:val="center"/>
          </w:tcPr>
          <w:p w14:paraId="426D725B">
            <w:pPr>
              <w:pStyle w:val="45"/>
              <w:spacing w:line="360" w:lineRule="auto"/>
              <w:jc w:val="center"/>
              <w:rPr>
                <w:rStyle w:val="26"/>
                <w:color w:val="auto"/>
                <w:highlight w:val="none"/>
              </w:rPr>
            </w:pPr>
          </w:p>
        </w:tc>
        <w:tc>
          <w:tcPr>
            <w:tcW w:w="1258" w:type="dxa"/>
            <w:noWrap w:val="0"/>
            <w:vAlign w:val="center"/>
          </w:tcPr>
          <w:p w14:paraId="2EF27895">
            <w:pPr>
              <w:pStyle w:val="45"/>
              <w:spacing w:line="360" w:lineRule="auto"/>
              <w:jc w:val="center"/>
              <w:rPr>
                <w:rStyle w:val="26"/>
                <w:color w:val="auto"/>
                <w:highlight w:val="none"/>
              </w:rPr>
            </w:pPr>
          </w:p>
        </w:tc>
      </w:tr>
    </w:tbl>
    <w:p w14:paraId="03DF2663">
      <w:pPr>
        <w:pStyle w:val="45"/>
        <w:bidi w:val="0"/>
        <w:rPr>
          <w:rStyle w:val="26"/>
          <w:color w:val="auto"/>
          <w:highlight w:val="none"/>
        </w:rPr>
      </w:pPr>
    </w:p>
    <w:p w14:paraId="3453A0FC">
      <w:pPr>
        <w:pStyle w:val="45"/>
        <w:bidi w:val="0"/>
        <w:rPr>
          <w:rStyle w:val="26"/>
          <w:b/>
          <w:bCs/>
          <w:color w:val="auto"/>
          <w:highlight w:val="none"/>
        </w:rPr>
      </w:pPr>
    </w:p>
    <w:p w14:paraId="16CCB728">
      <w:pPr>
        <w:pStyle w:val="45"/>
        <w:bidi w:val="0"/>
        <w:rPr>
          <w:rStyle w:val="26"/>
          <w:color w:val="auto"/>
          <w:highlight w:val="none"/>
        </w:rPr>
      </w:pPr>
      <w:r>
        <w:rPr>
          <w:rStyle w:val="26"/>
          <w:rFonts w:hint="eastAsia" w:cs="宋体"/>
          <w:color w:val="auto"/>
          <w:highlight w:val="none"/>
        </w:rPr>
        <w:t>附表四：计划开、竣工日期和施工进度计划（网络图或横道图）</w:t>
      </w:r>
    </w:p>
    <w:p w14:paraId="6811774C">
      <w:pPr>
        <w:pStyle w:val="45"/>
        <w:bidi w:val="0"/>
        <w:spacing w:line="460" w:lineRule="exact"/>
        <w:ind w:left="-6" w:firstLine="420"/>
        <w:rPr>
          <w:rStyle w:val="26"/>
          <w:color w:val="auto"/>
          <w:highlight w:val="none"/>
        </w:rPr>
      </w:pPr>
      <w:r>
        <w:rPr>
          <w:rStyle w:val="26"/>
          <w:color w:val="auto"/>
          <w:highlight w:val="none"/>
        </w:rPr>
        <w:t xml:space="preserve">1. </w:t>
      </w:r>
      <w:r>
        <w:rPr>
          <w:rStyle w:val="26"/>
          <w:rFonts w:hint="eastAsia" w:cs="宋体"/>
          <w:color w:val="auto"/>
          <w:highlight w:val="none"/>
          <w:lang w:val="en-US" w:eastAsia="zh-CN"/>
        </w:rPr>
        <w:t>供应商</w:t>
      </w:r>
      <w:r>
        <w:rPr>
          <w:rStyle w:val="26"/>
          <w:rFonts w:hint="eastAsia" w:cs="宋体"/>
          <w:color w:val="auto"/>
          <w:highlight w:val="none"/>
        </w:rPr>
        <w:t>应提交施工进度计划，说明按</w:t>
      </w:r>
      <w:r>
        <w:rPr>
          <w:rStyle w:val="26"/>
          <w:rFonts w:hint="eastAsia" w:cs="宋体"/>
          <w:color w:val="auto"/>
          <w:highlight w:val="none"/>
          <w:lang w:val="en-US" w:eastAsia="zh-CN"/>
        </w:rPr>
        <w:t>采购</w:t>
      </w:r>
      <w:r>
        <w:rPr>
          <w:rStyle w:val="26"/>
          <w:rFonts w:hint="eastAsia" w:cs="宋体"/>
          <w:color w:val="auto"/>
          <w:highlight w:val="none"/>
        </w:rPr>
        <w:t>要求的工期进行施工的各个关键日期。</w:t>
      </w:r>
      <w:r>
        <w:rPr>
          <w:rStyle w:val="26"/>
          <w:rFonts w:hint="eastAsia" w:cs="宋体"/>
          <w:color w:val="auto"/>
          <w:highlight w:val="none"/>
          <w:lang w:val="en-US" w:eastAsia="zh-CN"/>
        </w:rPr>
        <w:t>成效</w:t>
      </w:r>
      <w:r>
        <w:rPr>
          <w:rStyle w:val="26"/>
          <w:rFonts w:hint="eastAsia" w:cs="宋体"/>
          <w:color w:val="auto"/>
          <w:highlight w:val="none"/>
        </w:rPr>
        <w:t>的</w:t>
      </w:r>
      <w:r>
        <w:rPr>
          <w:rStyle w:val="26"/>
          <w:rFonts w:hint="eastAsia" w:cs="宋体"/>
          <w:color w:val="auto"/>
          <w:highlight w:val="none"/>
          <w:lang w:val="en-US" w:eastAsia="zh-CN"/>
        </w:rPr>
        <w:t>供应商</w:t>
      </w:r>
      <w:r>
        <w:rPr>
          <w:rStyle w:val="26"/>
          <w:rFonts w:hint="eastAsia" w:cs="宋体"/>
          <w:color w:val="auto"/>
          <w:highlight w:val="none"/>
        </w:rPr>
        <w:t>还应按合同条件有关条款的要求提交详细的施工进度计划。</w:t>
      </w:r>
    </w:p>
    <w:p w14:paraId="49E1BB6A">
      <w:pPr>
        <w:pStyle w:val="45"/>
        <w:bidi w:val="0"/>
        <w:spacing w:line="460" w:lineRule="exact"/>
        <w:ind w:left="-6" w:firstLine="420"/>
        <w:rPr>
          <w:rStyle w:val="26"/>
          <w:color w:val="auto"/>
          <w:highlight w:val="none"/>
        </w:rPr>
      </w:pPr>
      <w:r>
        <w:rPr>
          <w:rStyle w:val="26"/>
          <w:color w:val="auto"/>
          <w:highlight w:val="none"/>
        </w:rPr>
        <w:t xml:space="preserve">2. </w:t>
      </w:r>
      <w:r>
        <w:rPr>
          <w:rStyle w:val="26"/>
          <w:rFonts w:hint="eastAsia" w:cs="宋体"/>
          <w:color w:val="auto"/>
          <w:highlight w:val="none"/>
        </w:rPr>
        <w:t>施工进度计划可采用网络图（或横道图）表示，说明计划开工日期和各分项工程各阶段的完工日期和分包合同签订的日期。</w:t>
      </w:r>
    </w:p>
    <w:p w14:paraId="76BCC0BD">
      <w:pPr>
        <w:pStyle w:val="45"/>
        <w:bidi w:val="0"/>
        <w:spacing w:line="460" w:lineRule="exact"/>
        <w:ind w:left="-6" w:firstLine="420"/>
        <w:rPr>
          <w:rStyle w:val="26"/>
          <w:color w:val="auto"/>
          <w:highlight w:val="none"/>
        </w:rPr>
      </w:pPr>
      <w:r>
        <w:rPr>
          <w:rStyle w:val="26"/>
          <w:color w:val="auto"/>
          <w:highlight w:val="none"/>
        </w:rPr>
        <w:t xml:space="preserve">3. </w:t>
      </w:r>
      <w:r>
        <w:rPr>
          <w:rStyle w:val="26"/>
          <w:rFonts w:hint="eastAsia" w:cs="宋体"/>
          <w:color w:val="auto"/>
          <w:highlight w:val="none"/>
        </w:rPr>
        <w:t>施工进度计划应与施工组织设计相适应。</w:t>
      </w:r>
    </w:p>
    <w:p w14:paraId="44BD3939">
      <w:pPr>
        <w:pStyle w:val="45"/>
        <w:bidi w:val="0"/>
        <w:rPr>
          <w:rStyle w:val="26"/>
          <w:color w:val="auto"/>
          <w:highlight w:val="none"/>
        </w:rPr>
      </w:pPr>
    </w:p>
    <w:p w14:paraId="1B7E9EC2">
      <w:pPr>
        <w:pStyle w:val="45"/>
        <w:bidi w:val="0"/>
        <w:rPr>
          <w:rStyle w:val="26"/>
          <w:color w:val="auto"/>
          <w:highlight w:val="none"/>
        </w:rPr>
      </w:pPr>
    </w:p>
    <w:p w14:paraId="2C593CE9">
      <w:pPr>
        <w:pStyle w:val="45"/>
        <w:bidi w:val="0"/>
        <w:rPr>
          <w:rStyle w:val="26"/>
          <w:color w:val="auto"/>
          <w:highlight w:val="none"/>
        </w:rPr>
      </w:pPr>
      <w:r>
        <w:rPr>
          <w:rStyle w:val="26"/>
          <w:rFonts w:hint="eastAsia" w:cs="宋体"/>
          <w:color w:val="auto"/>
          <w:highlight w:val="none"/>
        </w:rPr>
        <w:t>附表</w:t>
      </w:r>
      <w:r>
        <w:rPr>
          <w:rStyle w:val="26"/>
          <w:rFonts w:hint="eastAsia" w:cs="宋体"/>
          <w:color w:val="auto"/>
          <w:highlight w:val="none"/>
          <w:lang w:val="en-US" w:eastAsia="zh-CN"/>
        </w:rPr>
        <w:t>五</w:t>
      </w:r>
      <w:r>
        <w:rPr>
          <w:rStyle w:val="26"/>
          <w:rFonts w:hint="eastAsia" w:cs="宋体"/>
          <w:color w:val="auto"/>
          <w:highlight w:val="none"/>
        </w:rPr>
        <w:t>：临时用地表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5"/>
              <w:jc w:val="center"/>
              <w:rPr>
                <w:rStyle w:val="26"/>
                <w:color w:val="auto"/>
                <w:highlight w:val="none"/>
              </w:rPr>
            </w:pPr>
            <w:r>
              <w:rPr>
                <w:rStyle w:val="26"/>
                <w:rFonts w:hint="eastAsia" w:cs="宋体"/>
                <w:color w:val="auto"/>
                <w:highlight w:val="none"/>
              </w:rPr>
              <w:t>用途</w:t>
            </w:r>
          </w:p>
        </w:tc>
        <w:tc>
          <w:tcPr>
            <w:tcW w:w="2357" w:type="dxa"/>
            <w:noWrap w:val="0"/>
            <w:vAlign w:val="center"/>
          </w:tcPr>
          <w:p w14:paraId="27D349EF">
            <w:pPr>
              <w:pStyle w:val="45"/>
              <w:jc w:val="center"/>
              <w:rPr>
                <w:rStyle w:val="26"/>
                <w:color w:val="auto"/>
                <w:highlight w:val="none"/>
              </w:rPr>
            </w:pPr>
            <w:r>
              <w:rPr>
                <w:rStyle w:val="26"/>
                <w:rFonts w:hint="eastAsia" w:cs="宋体"/>
                <w:color w:val="auto"/>
                <w:highlight w:val="none"/>
              </w:rPr>
              <w:t>面积（平方米）</w:t>
            </w:r>
          </w:p>
        </w:tc>
        <w:tc>
          <w:tcPr>
            <w:tcW w:w="2356" w:type="dxa"/>
            <w:noWrap w:val="0"/>
            <w:vAlign w:val="center"/>
          </w:tcPr>
          <w:p w14:paraId="152F7AB2">
            <w:pPr>
              <w:pStyle w:val="45"/>
              <w:jc w:val="center"/>
              <w:rPr>
                <w:rStyle w:val="26"/>
                <w:color w:val="auto"/>
                <w:highlight w:val="none"/>
              </w:rPr>
            </w:pPr>
            <w:r>
              <w:rPr>
                <w:rStyle w:val="26"/>
                <w:rFonts w:hint="eastAsia" w:cs="宋体"/>
                <w:color w:val="auto"/>
                <w:highlight w:val="none"/>
              </w:rPr>
              <w:t>位置</w:t>
            </w:r>
          </w:p>
        </w:tc>
        <w:tc>
          <w:tcPr>
            <w:tcW w:w="2357" w:type="dxa"/>
            <w:noWrap w:val="0"/>
            <w:vAlign w:val="center"/>
          </w:tcPr>
          <w:p w14:paraId="4FB2BA8E">
            <w:pPr>
              <w:pStyle w:val="45"/>
              <w:jc w:val="center"/>
              <w:rPr>
                <w:rStyle w:val="26"/>
                <w:color w:val="auto"/>
                <w:highlight w:val="none"/>
              </w:rPr>
            </w:pPr>
            <w:r>
              <w:rPr>
                <w:rStyle w:val="26"/>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5"/>
              <w:rPr>
                <w:rStyle w:val="26"/>
                <w:color w:val="auto"/>
                <w:highlight w:val="none"/>
              </w:rPr>
            </w:pPr>
          </w:p>
        </w:tc>
        <w:tc>
          <w:tcPr>
            <w:tcW w:w="2357" w:type="dxa"/>
            <w:noWrap w:val="0"/>
            <w:vAlign w:val="top"/>
          </w:tcPr>
          <w:p w14:paraId="3E110494">
            <w:pPr>
              <w:pStyle w:val="45"/>
              <w:rPr>
                <w:rStyle w:val="26"/>
                <w:color w:val="auto"/>
                <w:highlight w:val="none"/>
              </w:rPr>
            </w:pPr>
          </w:p>
        </w:tc>
        <w:tc>
          <w:tcPr>
            <w:tcW w:w="2356" w:type="dxa"/>
            <w:noWrap w:val="0"/>
            <w:vAlign w:val="top"/>
          </w:tcPr>
          <w:p w14:paraId="6DBF0616">
            <w:pPr>
              <w:pStyle w:val="45"/>
              <w:rPr>
                <w:rStyle w:val="26"/>
                <w:color w:val="auto"/>
                <w:highlight w:val="none"/>
              </w:rPr>
            </w:pPr>
          </w:p>
        </w:tc>
        <w:tc>
          <w:tcPr>
            <w:tcW w:w="2357" w:type="dxa"/>
            <w:noWrap w:val="0"/>
            <w:vAlign w:val="top"/>
          </w:tcPr>
          <w:p w14:paraId="4187CDDB">
            <w:pPr>
              <w:pStyle w:val="45"/>
              <w:rPr>
                <w:rStyle w:val="26"/>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5"/>
              <w:rPr>
                <w:rStyle w:val="26"/>
                <w:color w:val="auto"/>
                <w:highlight w:val="none"/>
              </w:rPr>
            </w:pPr>
          </w:p>
        </w:tc>
        <w:tc>
          <w:tcPr>
            <w:tcW w:w="2357" w:type="dxa"/>
            <w:noWrap w:val="0"/>
            <w:vAlign w:val="top"/>
          </w:tcPr>
          <w:p w14:paraId="258821C0">
            <w:pPr>
              <w:pStyle w:val="45"/>
              <w:rPr>
                <w:rStyle w:val="26"/>
                <w:color w:val="auto"/>
                <w:highlight w:val="none"/>
              </w:rPr>
            </w:pPr>
          </w:p>
        </w:tc>
        <w:tc>
          <w:tcPr>
            <w:tcW w:w="2356" w:type="dxa"/>
            <w:noWrap w:val="0"/>
            <w:vAlign w:val="top"/>
          </w:tcPr>
          <w:p w14:paraId="247E97C2">
            <w:pPr>
              <w:pStyle w:val="45"/>
              <w:rPr>
                <w:rStyle w:val="26"/>
                <w:color w:val="auto"/>
                <w:highlight w:val="none"/>
              </w:rPr>
            </w:pPr>
          </w:p>
        </w:tc>
        <w:tc>
          <w:tcPr>
            <w:tcW w:w="2357" w:type="dxa"/>
            <w:noWrap w:val="0"/>
            <w:vAlign w:val="top"/>
          </w:tcPr>
          <w:p w14:paraId="12702E00">
            <w:pPr>
              <w:pStyle w:val="45"/>
              <w:rPr>
                <w:rStyle w:val="26"/>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5"/>
              <w:rPr>
                <w:rStyle w:val="26"/>
                <w:color w:val="auto"/>
                <w:highlight w:val="none"/>
              </w:rPr>
            </w:pPr>
          </w:p>
        </w:tc>
        <w:tc>
          <w:tcPr>
            <w:tcW w:w="2357" w:type="dxa"/>
            <w:noWrap w:val="0"/>
            <w:vAlign w:val="top"/>
          </w:tcPr>
          <w:p w14:paraId="1419A1F5">
            <w:pPr>
              <w:pStyle w:val="45"/>
              <w:rPr>
                <w:rStyle w:val="26"/>
                <w:color w:val="auto"/>
                <w:highlight w:val="none"/>
              </w:rPr>
            </w:pPr>
          </w:p>
        </w:tc>
        <w:tc>
          <w:tcPr>
            <w:tcW w:w="2356" w:type="dxa"/>
            <w:noWrap w:val="0"/>
            <w:vAlign w:val="top"/>
          </w:tcPr>
          <w:p w14:paraId="6B720F19">
            <w:pPr>
              <w:pStyle w:val="45"/>
              <w:rPr>
                <w:rStyle w:val="26"/>
                <w:color w:val="auto"/>
                <w:highlight w:val="none"/>
              </w:rPr>
            </w:pPr>
          </w:p>
        </w:tc>
        <w:tc>
          <w:tcPr>
            <w:tcW w:w="2357" w:type="dxa"/>
            <w:noWrap w:val="0"/>
            <w:vAlign w:val="top"/>
          </w:tcPr>
          <w:p w14:paraId="57851EA7">
            <w:pPr>
              <w:pStyle w:val="45"/>
              <w:rPr>
                <w:rStyle w:val="26"/>
                <w:color w:val="auto"/>
                <w:highlight w:val="none"/>
              </w:rPr>
            </w:pPr>
          </w:p>
        </w:tc>
      </w:tr>
    </w:tbl>
    <w:p w14:paraId="0C38C490">
      <w:pPr>
        <w:pStyle w:val="45"/>
        <w:bidi w:val="0"/>
        <w:rPr>
          <w:rStyle w:val="26"/>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1"/>
        <w:rPr>
          <w:rFonts w:hint="eastAsia"/>
        </w:rPr>
      </w:pPr>
    </w:p>
    <w:p w14:paraId="434E0C5A">
      <w:pPr>
        <w:jc w:val="center"/>
        <w:outlineLvl w:val="0"/>
        <w:rPr>
          <w:rFonts w:hint="eastAsia" w:ascii="宋体" w:hAnsi="宋体" w:eastAsia="宋体" w:cs="宋体"/>
          <w:b/>
          <w:bCs/>
          <w:color w:val="auto"/>
          <w:kern w:val="0"/>
          <w:sz w:val="32"/>
          <w:szCs w:val="32"/>
        </w:rPr>
      </w:pPr>
      <w:bookmarkStart w:id="137"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8" w:name="_Toc2654"/>
      <w:r>
        <w:rPr>
          <w:rFonts w:hint="eastAsia" w:ascii="宋体" w:hAnsi="宋体" w:eastAsia="宋体" w:cs="宋体"/>
          <w:b/>
          <w:bCs/>
          <w:color w:val="auto"/>
          <w:kern w:val="0"/>
          <w:sz w:val="32"/>
          <w:szCs w:val="32"/>
        </w:rPr>
        <w:t>项目管理机构</w:t>
      </w:r>
      <w:bookmarkEnd w:id="136"/>
      <w:bookmarkEnd w:id="137"/>
      <w:bookmarkEnd w:id="138"/>
    </w:p>
    <w:p w14:paraId="4516DD10">
      <w:pPr>
        <w:jc w:val="both"/>
        <w:rPr>
          <w:rFonts w:hint="eastAsia" w:ascii="宋体" w:hAnsi="宋体" w:eastAsia="宋体" w:cs="宋体"/>
          <w:b/>
          <w:color w:val="auto"/>
          <w:sz w:val="28"/>
        </w:rPr>
      </w:pPr>
    </w:p>
    <w:p w14:paraId="0C85552A">
      <w:pPr>
        <w:ind w:firstLine="3373"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42D926D">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【备注：附以上各岗位人员资格证件等复印文件，以及供应商认为需要增加的其他证明材料复印件，以上复印件页面均须加盖供应商单位公章。】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2"/>
        <w:rPr>
          <w:rFonts w:hint="eastAsia" w:ascii="宋体" w:hAnsi="宋体" w:eastAsia="宋体" w:cs="宋体"/>
          <w:color w:val="auto"/>
          <w:kern w:val="0"/>
          <w:sz w:val="24"/>
        </w:rPr>
      </w:pPr>
    </w:p>
    <w:p w14:paraId="24B6793D">
      <w:pPr>
        <w:pStyle w:val="33"/>
        <w:rPr>
          <w:rFonts w:hint="eastAsia" w:ascii="宋体" w:hAnsi="宋体" w:eastAsia="宋体" w:cs="宋体"/>
          <w:color w:val="auto"/>
          <w:kern w:val="0"/>
          <w:sz w:val="24"/>
        </w:rPr>
      </w:pPr>
    </w:p>
    <w:p w14:paraId="137CAAE4">
      <w:pPr>
        <w:rPr>
          <w:rFonts w:hint="eastAsia" w:ascii="宋体" w:hAnsi="宋体" w:eastAsia="宋体" w:cs="宋体"/>
          <w:color w:val="auto"/>
          <w:kern w:val="0"/>
          <w:sz w:val="24"/>
        </w:rPr>
      </w:pPr>
    </w:p>
    <w:p w14:paraId="6864520A">
      <w:pPr>
        <w:pStyle w:val="32"/>
        <w:rPr>
          <w:rFonts w:hint="eastAsia" w:ascii="宋体" w:hAnsi="宋体" w:eastAsia="宋体" w:cs="宋体"/>
          <w:color w:val="auto"/>
          <w:kern w:val="0"/>
          <w:sz w:val="24"/>
        </w:rPr>
      </w:pPr>
    </w:p>
    <w:p w14:paraId="055F82B4">
      <w:pPr>
        <w:spacing w:line="300" w:lineRule="auto"/>
        <w:rPr>
          <w:rFonts w:hint="eastAsia" w:ascii="宋体" w:hAnsi="宋体"/>
          <w:b/>
          <w:bCs/>
          <w:color w:val="00000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2"/>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5"/>
        <w:spacing w:line="360" w:lineRule="auto"/>
        <w:ind w:firstLine="442"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5"/>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5"/>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5"/>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5"/>
        <w:spacing w:line="360" w:lineRule="auto"/>
        <w:ind w:firstLine="442"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5"/>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5"/>
        <w:spacing w:line="360" w:lineRule="auto"/>
        <w:ind w:left="25" w:leftChars="12" w:firstLine="433"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5"/>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5"/>
        <w:spacing w:line="360" w:lineRule="auto"/>
        <w:ind w:left="25" w:leftChars="12" w:firstLine="323" w:firstLineChars="147"/>
        <w:contextualSpacing/>
        <w:rPr>
          <w:rFonts w:hint="eastAsia" w:hAnsi="宋体"/>
          <w:color w:val="000000"/>
          <w:sz w:val="22"/>
          <w:szCs w:val="22"/>
          <w:highlight w:val="none"/>
        </w:rPr>
      </w:pPr>
    </w:p>
    <w:p w14:paraId="7FD126C4">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5"/>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5"/>
        <w:spacing w:line="360" w:lineRule="auto"/>
        <w:contextualSpacing/>
        <w:rPr>
          <w:rFonts w:hint="eastAsia" w:hAnsi="宋体"/>
          <w:b/>
          <w:color w:val="000000"/>
          <w:sz w:val="22"/>
          <w:szCs w:val="22"/>
          <w:highlight w:val="none"/>
        </w:rPr>
      </w:pPr>
    </w:p>
    <w:p w14:paraId="0A1D31DF">
      <w:pPr>
        <w:pStyle w:val="15"/>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5"/>
        <w:spacing w:line="360" w:lineRule="auto"/>
        <w:ind w:left="25" w:leftChars="12" w:firstLine="325"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5"/>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5"/>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5"/>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5"/>
        <w:spacing w:line="360" w:lineRule="auto"/>
        <w:ind w:left="25" w:leftChars="12" w:firstLine="325"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5"/>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5"/>
        <w:snapToGrid w:val="0"/>
        <w:spacing w:line="360" w:lineRule="auto"/>
        <w:ind w:firstLine="442"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5"/>
        <w:snapToGrid w:val="0"/>
        <w:spacing w:line="360" w:lineRule="auto"/>
        <w:ind w:firstLine="442"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5"/>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5"/>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5"/>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5"/>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5"/>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5"/>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5"/>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5"/>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5"/>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5"/>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5"/>
        <w:spacing w:line="360" w:lineRule="auto"/>
        <w:ind w:left="25" w:leftChars="12" w:firstLine="323" w:firstLineChars="147"/>
        <w:rPr>
          <w:rFonts w:hint="eastAsia" w:hAnsi="宋体"/>
          <w:color w:val="000000"/>
          <w:sz w:val="22"/>
          <w:szCs w:val="22"/>
          <w:highlight w:val="none"/>
        </w:rPr>
      </w:pPr>
    </w:p>
    <w:p w14:paraId="4986C8C6">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5"/>
        <w:spacing w:line="360" w:lineRule="auto"/>
        <w:ind w:left="25" w:leftChars="12" w:firstLine="323" w:firstLineChars="147"/>
        <w:rPr>
          <w:rFonts w:hint="eastAsia" w:hAnsi="宋体"/>
          <w:color w:val="000000"/>
          <w:sz w:val="22"/>
          <w:szCs w:val="22"/>
          <w:highlight w:val="none"/>
        </w:rPr>
      </w:pPr>
    </w:p>
    <w:p w14:paraId="78B0C54F">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5"/>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5"/>
        <w:spacing w:line="360" w:lineRule="auto"/>
        <w:ind w:left="25" w:leftChars="12" w:firstLine="325"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5"/>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5"/>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5"/>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5"/>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5"/>
        <w:spacing w:line="360" w:lineRule="auto"/>
        <w:ind w:left="25" w:leftChars="12" w:firstLine="325"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47AF60DD">
      <w:pPr>
        <w:pStyle w:val="2"/>
        <w:keepLines/>
        <w:spacing w:before="340" w:after="330" w:line="578" w:lineRule="auto"/>
        <w:jc w:val="center"/>
        <w:rPr>
          <w:rFonts w:hint="eastAsia" w:ascii="宋体" w:hAnsi="宋体" w:cs="Courier New"/>
          <w:b/>
          <w:color w:val="000000"/>
          <w:sz w:val="32"/>
          <w:szCs w:val="32"/>
        </w:rPr>
      </w:pPr>
      <w:bookmarkStart w:id="139" w:name="_Toc26675"/>
      <w:r>
        <w:rPr>
          <w:rFonts w:hint="eastAsia" w:asciiTheme="majorEastAsia" w:hAnsiTheme="majorEastAsia" w:eastAsiaTheme="majorEastAsia" w:cstheme="majorEastAsia"/>
          <w:b/>
          <w:bCs w:val="0"/>
          <w:kern w:val="2"/>
          <w:sz w:val="40"/>
          <w:szCs w:val="52"/>
          <w:lang w:val="en-US" w:eastAsia="zh-CN" w:bidi="ar-SA"/>
        </w:rPr>
        <w:t>第七章 合同文本</w:t>
      </w:r>
      <w:bookmarkEnd w:id="107"/>
      <w:bookmarkEnd w:id="139"/>
    </w:p>
    <w:p w14:paraId="4D224C0C">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5DE9E5B4">
      <w:pPr>
        <w:keepNext/>
        <w:keepLines/>
        <w:spacing w:before="260" w:after="260" w:line="413" w:lineRule="auto"/>
        <w:jc w:val="center"/>
        <w:outlineLvl w:val="0"/>
        <w:rPr>
          <w:rFonts w:eastAsia="华文中宋"/>
          <w:bCs/>
          <w:color w:val="auto"/>
          <w:sz w:val="32"/>
          <w:szCs w:val="32"/>
          <w:highlight w:val="none"/>
        </w:rPr>
      </w:pPr>
      <w:bookmarkStart w:id="140" w:name="_Toc25864"/>
      <w:bookmarkStart w:id="141" w:name="_Toc296890982"/>
      <w:bookmarkStart w:id="142" w:name="_Toc8988"/>
      <w:bookmarkStart w:id="143" w:name="_Toc296503025"/>
      <w:bookmarkStart w:id="144" w:name="_Toc14329"/>
      <w:bookmarkStart w:id="145" w:name="_Toc351203480"/>
      <w:r>
        <w:rPr>
          <w:rFonts w:ascii="华文中宋" w:hAnsi="华文中宋" w:eastAsia="华文中宋"/>
          <w:b/>
          <w:bCs/>
          <w:color w:val="auto"/>
          <w:sz w:val="32"/>
          <w:szCs w:val="32"/>
          <w:highlight w:val="none"/>
        </w:rPr>
        <w:t>第一部分 合同协议书</w:t>
      </w:r>
      <w:bookmarkEnd w:id="140"/>
      <w:bookmarkEnd w:id="141"/>
      <w:bookmarkEnd w:id="142"/>
      <w:bookmarkEnd w:id="143"/>
      <w:bookmarkEnd w:id="144"/>
      <w:bookmarkEnd w:id="145"/>
    </w:p>
    <w:p w14:paraId="61D617BC">
      <w:pPr>
        <w:spacing w:line="360" w:lineRule="auto"/>
        <w:rPr>
          <w:rFonts w:hint="default"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 xml:space="preserve">     </w:t>
      </w:r>
    </w:p>
    <w:p w14:paraId="57221644">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w:t>
      </w:r>
    </w:p>
    <w:p w14:paraId="504F8171">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工程施工及有关事项协商一致，共同达成如下协议：</w:t>
      </w:r>
    </w:p>
    <w:p w14:paraId="549C2F4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6" w:name="_Toc351203481"/>
      <w:r>
        <w:rPr>
          <w:rFonts w:hint="eastAsia" w:ascii="宋体" w:hAnsi="宋体" w:eastAsia="宋体" w:cs="宋体"/>
          <w:bCs/>
          <w:color w:val="auto"/>
          <w:sz w:val="21"/>
          <w:szCs w:val="21"/>
          <w:highlight w:val="none"/>
        </w:rPr>
        <w:t>一、工程概况</w:t>
      </w:r>
      <w:bookmarkEnd w:id="146"/>
    </w:p>
    <w:p w14:paraId="58E1225A">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4535B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5B6354C">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622FCFAF">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67D9B3D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62E6192">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6A491C36">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6675F578">
      <w:pPr>
        <w:pageBreakBefore w:val="0"/>
        <w:widowControl w:val="0"/>
        <w:kinsoku/>
        <w:wordWrap/>
        <w:overflowPunct/>
        <w:topLinePunct w:val="0"/>
        <w:bidi w:val="0"/>
        <w:snapToGrid/>
        <w:spacing w:line="312" w:lineRule="auto"/>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DB7566D">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bookmarkStart w:id="147" w:name="_Toc351203482"/>
      <w:r>
        <w:rPr>
          <w:rFonts w:hint="eastAsia" w:ascii="宋体" w:hAnsi="宋体" w:eastAsia="宋体" w:cs="宋体"/>
          <w:bCs/>
          <w:color w:val="auto"/>
          <w:sz w:val="21"/>
          <w:szCs w:val="21"/>
          <w:highlight w:val="none"/>
        </w:rPr>
        <w:t>二、合同工期</w:t>
      </w:r>
      <w:bookmarkEnd w:id="147"/>
    </w:p>
    <w:p w14:paraId="5EE3D641">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49CDEEB">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64C09235">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7036F8A3">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48" w:name="_Toc351203483"/>
      <w:r>
        <w:rPr>
          <w:rFonts w:hint="eastAsia" w:ascii="宋体" w:hAnsi="宋体" w:eastAsia="宋体" w:cs="宋体"/>
          <w:bCs/>
          <w:color w:val="auto"/>
          <w:sz w:val="21"/>
          <w:szCs w:val="21"/>
          <w:highlight w:val="none"/>
        </w:rPr>
        <w:t>三、质量标准</w:t>
      </w:r>
      <w:bookmarkEnd w:id="148"/>
    </w:p>
    <w:p w14:paraId="5272FDFB">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14:paraId="20168801">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9" w:name="_Toc351203484"/>
      <w:r>
        <w:rPr>
          <w:rFonts w:hint="eastAsia" w:ascii="宋体" w:hAnsi="宋体" w:eastAsia="宋体" w:cs="宋体"/>
          <w:bCs/>
          <w:color w:val="auto"/>
          <w:sz w:val="21"/>
          <w:szCs w:val="21"/>
          <w:highlight w:val="none"/>
        </w:rPr>
        <w:t>四、签约合同价与合同价格形式</w:t>
      </w:r>
      <w:bookmarkEnd w:id="149"/>
      <w:r>
        <w:rPr>
          <w:rFonts w:hint="eastAsia" w:ascii="宋体" w:hAnsi="宋体" w:eastAsia="宋体" w:cs="宋体"/>
          <w:bCs/>
          <w:color w:val="auto"/>
          <w:sz w:val="21"/>
          <w:szCs w:val="21"/>
          <w:highlight w:val="none"/>
        </w:rPr>
        <w:tab/>
      </w:r>
    </w:p>
    <w:p w14:paraId="6F59133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4D0CEAF7">
      <w:pPr>
        <w:pageBreakBefore w:val="0"/>
        <w:widowControl w:val="0"/>
        <w:kinsoku/>
        <w:wordWrap/>
        <w:overflowPunct/>
        <w:topLinePunct w:val="0"/>
        <w:bidi w:val="0"/>
        <w:snapToGrid/>
        <w:spacing w:line="312"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B7DF67B">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4D83EDB0">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49C3B6CF">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98B0861">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3BD4BEFC">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54F868C">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793FBCEC">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930F479">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5C5712B0">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83EE4B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913119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0" w:name="_Toc351203485"/>
      <w:r>
        <w:rPr>
          <w:rFonts w:hint="eastAsia" w:ascii="宋体" w:hAnsi="宋体" w:eastAsia="宋体" w:cs="宋体"/>
          <w:bCs/>
          <w:color w:val="auto"/>
          <w:sz w:val="21"/>
          <w:szCs w:val="21"/>
          <w:highlight w:val="none"/>
        </w:rPr>
        <w:t>五、</w:t>
      </w:r>
      <w:bookmarkEnd w:id="150"/>
      <w:r>
        <w:rPr>
          <w:rFonts w:hint="eastAsia" w:ascii="宋体" w:hAnsi="宋体" w:eastAsia="宋体" w:cs="宋体"/>
          <w:bCs/>
          <w:color w:val="auto"/>
          <w:sz w:val="21"/>
          <w:szCs w:val="21"/>
          <w:highlight w:val="none"/>
        </w:rPr>
        <w:t>项目经理</w:t>
      </w:r>
    </w:p>
    <w:p w14:paraId="4996ECC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2F4D1C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1" w:name="_Toc351203486"/>
      <w:r>
        <w:rPr>
          <w:rFonts w:hint="eastAsia" w:ascii="宋体" w:hAnsi="宋体" w:eastAsia="宋体" w:cs="宋体"/>
          <w:bCs/>
          <w:color w:val="auto"/>
          <w:sz w:val="21"/>
          <w:szCs w:val="21"/>
          <w:highlight w:val="none"/>
        </w:rPr>
        <w:t>六、合同文件构成</w:t>
      </w:r>
      <w:bookmarkEnd w:id="151"/>
    </w:p>
    <w:p w14:paraId="12C1E47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62DBE11D">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通知书（如果有）；</w:t>
      </w:r>
    </w:p>
    <w:p w14:paraId="04E79DBE">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 xml:space="preserve">函及其附录（如果有）； </w:t>
      </w:r>
    </w:p>
    <w:p w14:paraId="76212702">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5885B2FF">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4529EE01">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2AC1E19D">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7DF8C6B0">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3EF9CA9C">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1808538A">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17ABBD46">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19085DAE">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2" w:name="_Toc351203487"/>
      <w:r>
        <w:rPr>
          <w:rFonts w:hint="eastAsia" w:ascii="宋体" w:hAnsi="宋体" w:eastAsia="宋体" w:cs="宋体"/>
          <w:bCs/>
          <w:color w:val="auto"/>
          <w:sz w:val="21"/>
          <w:szCs w:val="21"/>
          <w:highlight w:val="none"/>
        </w:rPr>
        <w:t>七、承诺</w:t>
      </w:r>
      <w:bookmarkEnd w:id="152"/>
    </w:p>
    <w:p w14:paraId="6A81C47B">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77D3B74F">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6D08503D">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27E81794">
      <w:pPr>
        <w:pageBreakBefore w:val="0"/>
        <w:widowControl w:val="0"/>
        <w:kinsoku/>
        <w:wordWrap/>
        <w:overflowPunct/>
        <w:topLinePunct w:val="0"/>
        <w:bidi w:val="0"/>
        <w:snapToGrid/>
        <w:spacing w:line="312" w:lineRule="auto"/>
        <w:textAlignment w:val="auto"/>
        <w:rPr>
          <w:rFonts w:hint="eastAsia" w:ascii="宋体" w:hAnsi="宋体" w:eastAsia="宋体" w:cs="宋体"/>
          <w:bCs/>
          <w:color w:val="auto"/>
          <w:sz w:val="21"/>
          <w:szCs w:val="21"/>
          <w:highlight w:val="none"/>
        </w:rPr>
      </w:pPr>
      <w:bookmarkStart w:id="153" w:name="_Toc351203488"/>
      <w:r>
        <w:rPr>
          <w:rFonts w:hint="eastAsia" w:ascii="宋体" w:hAnsi="宋体" w:eastAsia="宋体" w:cs="宋体"/>
          <w:b/>
          <w:color w:val="auto"/>
          <w:sz w:val="21"/>
          <w:szCs w:val="21"/>
          <w:highlight w:val="none"/>
        </w:rPr>
        <w:t xml:space="preserve">    八、词语含义</w:t>
      </w:r>
      <w:bookmarkEnd w:id="153"/>
    </w:p>
    <w:p w14:paraId="357B4DDE">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D3382D5">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4" w:name="_Toc351203489"/>
      <w:r>
        <w:rPr>
          <w:rFonts w:hint="eastAsia" w:ascii="宋体" w:hAnsi="宋体" w:eastAsia="宋体" w:cs="宋体"/>
          <w:bCs/>
          <w:color w:val="auto"/>
          <w:sz w:val="21"/>
          <w:szCs w:val="21"/>
          <w:highlight w:val="none"/>
        </w:rPr>
        <w:t>九、签订时间</w:t>
      </w:r>
      <w:bookmarkEnd w:id="154"/>
    </w:p>
    <w:p w14:paraId="3B7F08B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96C7AB2">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5" w:name="_Toc351203490"/>
      <w:r>
        <w:rPr>
          <w:rFonts w:hint="eastAsia" w:ascii="宋体" w:hAnsi="宋体" w:eastAsia="宋体" w:cs="宋体"/>
          <w:bCs/>
          <w:color w:val="auto"/>
          <w:sz w:val="21"/>
          <w:szCs w:val="21"/>
          <w:highlight w:val="none"/>
        </w:rPr>
        <w:t>十、签订地点</w:t>
      </w:r>
      <w:bookmarkEnd w:id="155"/>
    </w:p>
    <w:p w14:paraId="501DC768">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陆川县人民医院</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6FBF9ABF">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6" w:name="_Toc351203491"/>
      <w:r>
        <w:rPr>
          <w:rFonts w:hint="eastAsia" w:ascii="宋体" w:hAnsi="宋体" w:eastAsia="宋体" w:cs="宋体"/>
          <w:bCs/>
          <w:color w:val="auto"/>
          <w:sz w:val="21"/>
          <w:szCs w:val="21"/>
          <w:highlight w:val="none"/>
        </w:rPr>
        <w:t>十一、补充协议</w:t>
      </w:r>
      <w:bookmarkEnd w:id="156"/>
    </w:p>
    <w:p w14:paraId="08B641B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11C70BA8">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7" w:name="_Toc351203492"/>
      <w:r>
        <w:rPr>
          <w:rFonts w:hint="eastAsia" w:ascii="宋体" w:hAnsi="宋体" w:eastAsia="宋体" w:cs="宋体"/>
          <w:bCs/>
          <w:color w:val="auto"/>
          <w:sz w:val="21"/>
          <w:szCs w:val="21"/>
          <w:highlight w:val="none"/>
        </w:rPr>
        <w:t>十二、合同生效</w:t>
      </w:r>
      <w:bookmarkEnd w:id="157"/>
    </w:p>
    <w:p w14:paraId="572A6DD6">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双方法定代表人或委托代理人签字并加盖公章</w:t>
      </w:r>
      <w:r>
        <w:rPr>
          <w:rFonts w:hint="eastAsia" w:ascii="宋体" w:hAnsi="宋体" w:eastAsia="宋体" w:cs="宋体"/>
          <w:bCs/>
          <w:color w:val="auto"/>
          <w:sz w:val="21"/>
          <w:szCs w:val="21"/>
          <w:highlight w:val="none"/>
        </w:rPr>
        <w:t>生效。</w:t>
      </w:r>
    </w:p>
    <w:p w14:paraId="164D2207">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8" w:name="_Toc351203493"/>
      <w:r>
        <w:rPr>
          <w:rFonts w:hint="eastAsia" w:ascii="宋体" w:hAnsi="宋体" w:eastAsia="宋体" w:cs="宋体"/>
          <w:bCs/>
          <w:color w:val="auto"/>
          <w:sz w:val="21"/>
          <w:szCs w:val="21"/>
          <w:highlight w:val="none"/>
        </w:rPr>
        <w:t>十三、合同份数</w:t>
      </w:r>
      <w:bookmarkEnd w:id="158"/>
    </w:p>
    <w:p w14:paraId="771723A2">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捌</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监督部门</w:t>
      </w:r>
      <w:r>
        <w:rPr>
          <w:rFonts w:hint="eastAsia" w:ascii="宋体" w:hAnsi="宋体" w:eastAsia="宋体" w:cs="宋体"/>
          <w:bCs/>
          <w:color w:val="auto"/>
          <w:sz w:val="21"/>
          <w:szCs w:val="21"/>
          <w:highlight w:val="none"/>
          <w:u w:val="single"/>
          <w:lang w:val="en-US" w:eastAsia="zh-CN"/>
        </w:rPr>
        <w:t xml:space="preserve"> 壹</w:t>
      </w:r>
      <w:r>
        <w:rPr>
          <w:rFonts w:hint="eastAsia" w:ascii="宋体" w:hAnsi="宋体" w:eastAsia="宋体" w:cs="宋体"/>
          <w:bCs/>
          <w:color w:val="auto"/>
          <w:sz w:val="21"/>
          <w:szCs w:val="21"/>
          <w:highlight w:val="none"/>
          <w:lang w:val="en-US" w:eastAsia="zh-CN"/>
        </w:rPr>
        <w:t>份，代理机构</w:t>
      </w:r>
      <w:r>
        <w:rPr>
          <w:rFonts w:hint="eastAsia" w:ascii="宋体" w:hAnsi="宋体" w:eastAsia="宋体" w:cs="宋体"/>
          <w:bCs/>
          <w:color w:val="auto"/>
          <w:sz w:val="21"/>
          <w:szCs w:val="21"/>
          <w:highlight w:val="none"/>
          <w:u w:val="single"/>
          <w:lang w:val="en-US" w:eastAsia="zh-CN"/>
        </w:rPr>
        <w:t xml:space="preserve"> 壹 </w:t>
      </w:r>
      <w:r>
        <w:rPr>
          <w:rFonts w:hint="eastAsia" w:ascii="宋体" w:hAnsi="宋体" w:eastAsia="宋体" w:cs="宋体"/>
          <w:bCs/>
          <w:color w:val="auto"/>
          <w:sz w:val="21"/>
          <w:szCs w:val="21"/>
          <w:highlight w:val="none"/>
          <w:lang w:val="en-US" w:eastAsia="zh-CN"/>
        </w:rPr>
        <w:t>份</w:t>
      </w:r>
      <w:r>
        <w:rPr>
          <w:rFonts w:hint="eastAsia" w:ascii="宋体" w:hAnsi="宋体" w:eastAsia="宋体" w:cs="宋体"/>
          <w:bCs/>
          <w:color w:val="auto"/>
          <w:sz w:val="21"/>
          <w:szCs w:val="21"/>
          <w:highlight w:val="none"/>
        </w:rPr>
        <w:t>。</w:t>
      </w:r>
    </w:p>
    <w:p w14:paraId="566839CA">
      <w:pPr>
        <w:spacing w:line="360" w:lineRule="auto"/>
        <w:rPr>
          <w:rFonts w:hint="eastAsia" w:ascii="宋体" w:hAnsi="宋体" w:eastAsia="宋体" w:cs="宋体"/>
          <w:color w:val="auto"/>
          <w:sz w:val="21"/>
          <w:szCs w:val="21"/>
          <w:highlight w:val="none"/>
        </w:rPr>
      </w:pPr>
    </w:p>
    <w:p w14:paraId="5F174B14">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承包人：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14BDC72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1387A47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3DD7CF21">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6C4D7A89">
      <w:pPr>
        <w:spacing w:line="360" w:lineRule="auto"/>
        <w:rPr>
          <w:rFonts w:hint="eastAsia" w:ascii="宋体" w:hAnsi="宋体" w:eastAsia="宋体" w:cs="宋体"/>
          <w:color w:val="auto"/>
          <w:sz w:val="21"/>
          <w:szCs w:val="21"/>
          <w:highlight w:val="none"/>
          <w:u w:val="single"/>
        </w:rPr>
      </w:pPr>
    </w:p>
    <w:p w14:paraId="7C17A565">
      <w:pPr>
        <w:tabs>
          <w:tab w:val="left" w:pos="4410"/>
        </w:tabs>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AB0634E">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1B6EA16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04C15F8">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p>
    <w:p w14:paraId="6AF597D5">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634478A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22780B58">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   </w:t>
      </w:r>
    </w:p>
    <w:p w14:paraId="22E8B9C2">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119CEF4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A5B644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1295F66C">
      <w:pPr>
        <w:keepNext/>
        <w:keepLines/>
        <w:spacing w:before="260" w:after="260" w:line="413" w:lineRule="auto"/>
        <w:jc w:val="center"/>
        <w:outlineLvl w:val="0"/>
        <w:rPr>
          <w:rFonts w:hint="eastAsia" w:ascii="华文中宋" w:hAnsi="华文中宋" w:eastAsia="华文中宋"/>
          <w:b/>
          <w:bCs/>
          <w:color w:val="auto"/>
          <w:sz w:val="32"/>
          <w:szCs w:val="32"/>
          <w:highlight w:val="none"/>
        </w:rPr>
      </w:pPr>
      <w:r>
        <w:rPr>
          <w:rFonts w:ascii="Calibri" w:hAnsi="Calibri" w:eastAsia="仿宋_GB2312"/>
          <w:b/>
          <w:bCs/>
          <w:color w:val="auto"/>
          <w:sz w:val="24"/>
          <w:highlight w:val="none"/>
        </w:rPr>
        <w:br w:type="page"/>
      </w:r>
      <w:bookmarkStart w:id="159" w:name="_Toc31811"/>
      <w:bookmarkStart w:id="160" w:name="_Toc16646"/>
      <w:bookmarkStart w:id="161" w:name="_Toc24906"/>
      <w:bookmarkStart w:id="162" w:name="_Toc351203494"/>
      <w:r>
        <w:rPr>
          <w:rFonts w:ascii="华文中宋" w:hAnsi="华文中宋" w:eastAsia="华文中宋"/>
          <w:b/>
          <w:bCs/>
          <w:color w:val="auto"/>
          <w:sz w:val="32"/>
          <w:szCs w:val="32"/>
          <w:highlight w:val="none"/>
        </w:rPr>
        <w:t>第二部分 通用合同条款</w:t>
      </w:r>
      <w:bookmarkEnd w:id="159"/>
      <w:bookmarkEnd w:id="160"/>
      <w:bookmarkEnd w:id="161"/>
      <w:bookmarkEnd w:id="162"/>
      <w:bookmarkStart w:id="163" w:name="_Toc337558727"/>
    </w:p>
    <w:p w14:paraId="6A7F1AE9">
      <w:pPr>
        <w:jc w:val="left"/>
        <w:rPr>
          <w:rFonts w:hint="eastAsia" w:ascii="宋体" w:hAnsi="宋体" w:eastAsia="宋体" w:cs="宋体"/>
          <w:color w:val="auto"/>
          <w:kern w:val="0"/>
          <w:sz w:val="28"/>
          <w:szCs w:val="28"/>
          <w:highlight w:val="none"/>
        </w:rPr>
      </w:pPr>
      <w:bookmarkStart w:id="164" w:name="_Toc418003503"/>
      <w:bookmarkStart w:id="165" w:name="_Toc389065257"/>
      <w:bookmarkStart w:id="166" w:name="_Toc351203495"/>
      <w:r>
        <w:rPr>
          <w:rFonts w:hint="eastAsia" w:ascii="宋体" w:hAnsi="宋体" w:eastAsia="宋体" w:cs="宋体"/>
          <w:bCs/>
          <w:color w:val="auto"/>
          <w:sz w:val="28"/>
          <w:szCs w:val="28"/>
          <w:highlight w:val="none"/>
        </w:rPr>
        <w:t>本工程的施工合同通用条款按GF-2017-0201《建设工程施工合同》通用条款执行。</w:t>
      </w:r>
    </w:p>
    <w:bookmarkEnd w:id="164"/>
    <w:bookmarkEnd w:id="165"/>
    <w:p w14:paraId="64BBD447">
      <w:pPr>
        <w:keepNext/>
        <w:keepLines/>
        <w:spacing w:before="120" w:after="120" w:line="360" w:lineRule="auto"/>
        <w:outlineLvl w:val="9"/>
        <w:rPr>
          <w:rFonts w:eastAsia="黑体"/>
          <w:bCs/>
          <w:color w:val="auto"/>
          <w:sz w:val="32"/>
          <w:szCs w:val="32"/>
          <w:highlight w:val="none"/>
        </w:rPr>
      </w:pPr>
    </w:p>
    <w:bookmarkEnd w:id="163"/>
    <w:bookmarkEnd w:id="166"/>
    <w:p w14:paraId="3A7A7F1C">
      <w:pPr>
        <w:keepNext/>
        <w:keepLines/>
        <w:spacing w:before="260" w:after="260" w:line="413" w:lineRule="auto"/>
        <w:jc w:val="center"/>
        <w:outlineLvl w:val="0"/>
        <w:rPr>
          <w:rFonts w:ascii="华文中宋" w:hAnsi="华文中宋" w:eastAsia="华文中宋"/>
          <w:b/>
          <w:bCs/>
          <w:color w:val="auto"/>
          <w:sz w:val="32"/>
          <w:szCs w:val="32"/>
          <w:highlight w:val="none"/>
        </w:rPr>
      </w:pPr>
      <w:bookmarkStart w:id="167" w:name="_Toc351203632"/>
      <w:r>
        <w:rPr>
          <w:rFonts w:ascii="华文中宋" w:hAnsi="华文中宋" w:eastAsia="华文中宋"/>
          <w:b/>
          <w:bCs/>
          <w:color w:val="auto"/>
          <w:sz w:val="44"/>
          <w:szCs w:val="44"/>
          <w:highlight w:val="none"/>
        </w:rPr>
        <w:br w:type="page"/>
      </w:r>
      <w:bookmarkStart w:id="168" w:name="_Toc31483"/>
      <w:bookmarkStart w:id="169" w:name="_Toc26122"/>
      <w:r>
        <w:rPr>
          <w:rFonts w:ascii="华文中宋" w:hAnsi="华文中宋" w:eastAsia="华文中宋"/>
          <w:b/>
          <w:bCs/>
          <w:color w:val="auto"/>
          <w:sz w:val="32"/>
          <w:szCs w:val="32"/>
          <w:highlight w:val="none"/>
        </w:rPr>
        <w:t xml:space="preserve">第三部分 </w:t>
      </w:r>
      <w:r>
        <w:rPr>
          <w:rFonts w:hint="eastAsia" w:ascii="华文中宋" w:hAnsi="华文中宋" w:eastAsia="华文中宋"/>
          <w:b/>
          <w:bCs/>
          <w:color w:val="auto"/>
          <w:sz w:val="32"/>
          <w:szCs w:val="32"/>
          <w:highlight w:val="none"/>
        </w:rPr>
        <w:t>专用合同条款</w:t>
      </w:r>
      <w:bookmarkEnd w:id="167"/>
      <w:bookmarkEnd w:id="168"/>
      <w:bookmarkEnd w:id="169"/>
    </w:p>
    <w:p w14:paraId="1D359773">
      <w:pPr>
        <w:pStyle w:val="3"/>
        <w:rPr>
          <w:color w:val="auto"/>
          <w:highlight w:val="none"/>
        </w:rPr>
      </w:pPr>
      <w:bookmarkStart w:id="170" w:name="_Toc14399"/>
      <w:bookmarkStart w:id="171" w:name="_Toc373227692"/>
      <w:bookmarkStart w:id="172" w:name="_Toc373478339"/>
      <w:bookmarkStart w:id="173" w:name="_Toc351203633"/>
      <w:bookmarkStart w:id="174" w:name="_Toc389065258"/>
      <w:bookmarkStart w:id="175" w:name="_Toc407135194"/>
      <w:r>
        <w:rPr>
          <w:color w:val="auto"/>
          <w:highlight w:val="none"/>
        </w:rPr>
        <w:t>1</w:t>
      </w:r>
      <w:bookmarkStart w:id="176" w:name="_Toc297048342"/>
      <w:bookmarkStart w:id="177" w:name="_Toc296347155"/>
      <w:bookmarkStart w:id="178" w:name="_Toc297120456"/>
      <w:bookmarkStart w:id="179" w:name="_Toc296944495"/>
      <w:bookmarkStart w:id="180" w:name="_Toc296890984"/>
      <w:bookmarkStart w:id="181" w:name="_Toc292559361"/>
      <w:bookmarkStart w:id="182" w:name="_Toc296503156"/>
      <w:bookmarkStart w:id="183" w:name="_Toc296891196"/>
      <w:bookmarkStart w:id="184" w:name="_Toc296346657"/>
      <w:bookmarkStart w:id="185" w:name="_Toc292559866"/>
      <w:r>
        <w:rPr>
          <w:color w:val="auto"/>
          <w:highlight w:val="none"/>
        </w:rPr>
        <w:t xml:space="preserve">. </w:t>
      </w:r>
      <w:r>
        <w:rPr>
          <w:rFonts w:hint="eastAsia" w:hAnsi="宋体" w:cs="黑体"/>
          <w:color w:val="auto"/>
          <w:highlight w:val="none"/>
        </w:rPr>
        <w:t>一般约定</w:t>
      </w:r>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04611F8B">
      <w:pPr>
        <w:pStyle w:val="4"/>
        <w:rPr>
          <w:color w:val="auto"/>
          <w:highlight w:val="none"/>
        </w:rPr>
      </w:pPr>
      <w:bookmarkStart w:id="186" w:name="_Toc373478340"/>
      <w:bookmarkStart w:id="187" w:name="_Toc373227693"/>
      <w:bookmarkStart w:id="188" w:name="_Toc21109"/>
      <w:bookmarkStart w:id="189" w:name="_Toc407135195"/>
      <w:bookmarkStart w:id="190" w:name="_Toc389065259"/>
      <w:r>
        <w:rPr>
          <w:color w:val="auto"/>
          <w:highlight w:val="none"/>
        </w:rPr>
        <w:t xml:space="preserve">1.1 </w:t>
      </w:r>
      <w:r>
        <w:rPr>
          <w:rFonts w:hint="eastAsia" w:hAnsi="宋体" w:cs="黑体"/>
          <w:color w:val="auto"/>
          <w:highlight w:val="none"/>
        </w:rPr>
        <w:t>词语定义</w:t>
      </w:r>
      <w:bookmarkEnd w:id="186"/>
      <w:bookmarkEnd w:id="187"/>
      <w:bookmarkEnd w:id="188"/>
      <w:bookmarkEnd w:id="189"/>
      <w:bookmarkEnd w:id="190"/>
    </w:p>
    <w:p w14:paraId="02290444">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781E5B42">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合同协议书、</w:t>
      </w:r>
      <w:r>
        <w:rPr>
          <w:rFonts w:hint="eastAsia"/>
          <w:color w:val="auto"/>
          <w:highlight w:val="none"/>
          <w:u w:val="single"/>
          <w:lang w:val="en-US" w:eastAsia="zh-CN"/>
        </w:rPr>
        <w:t>成交</w:t>
      </w:r>
      <w:r>
        <w:rPr>
          <w:rFonts w:hint="eastAsia"/>
          <w:color w:val="auto"/>
          <w:highlight w:val="none"/>
          <w:u w:val="single"/>
        </w:rPr>
        <w:t>通知书、</w:t>
      </w:r>
      <w:r>
        <w:rPr>
          <w:rFonts w:hint="eastAsia"/>
          <w:color w:val="auto"/>
          <w:highlight w:val="none"/>
          <w:u w:val="single"/>
          <w:lang w:val="en-US" w:eastAsia="zh-CN"/>
        </w:rPr>
        <w:t>竞</w:t>
      </w:r>
      <w:r>
        <w:rPr>
          <w:rFonts w:hint="eastAsia"/>
          <w:color w:val="auto"/>
          <w:highlight w:val="none"/>
          <w:u w:val="single"/>
        </w:rPr>
        <w:t>标函、专用合同条款及其附件、通用合同条款、技术标准和要求、图纸、已标价工程量清单或预算书以及其他合同文件</w:t>
      </w:r>
      <w:r>
        <w:rPr>
          <w:color w:val="auto"/>
          <w:highlight w:val="none"/>
          <w:u w:val="single"/>
        </w:rPr>
        <w:t xml:space="preserve"> </w:t>
      </w:r>
      <w:r>
        <w:rPr>
          <w:rFonts w:hint="eastAsia" w:hAnsi="宋体" w:cs="宋体"/>
          <w:color w:val="auto"/>
          <w:highlight w:val="none"/>
        </w:rPr>
        <w:t>。</w:t>
      </w:r>
    </w:p>
    <w:p w14:paraId="409EA184">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51231979">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14:paraId="21882382">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7BFDAEB5">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1940E975">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7D2096A2">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57092F4">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5C385A82">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14:paraId="7055FF0F">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5F606682">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33B77260">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45DFA988">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3C3BDA90">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4115CC49">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473F373C">
      <w:pPr>
        <w:spacing w:line="360" w:lineRule="auto"/>
        <w:ind w:firstLine="420" w:firstLineChars="200"/>
        <w:outlineLvl w:val="0"/>
        <w:rPr>
          <w:rFonts w:hAnsi="宋体"/>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p>
    <w:p w14:paraId="0320D812">
      <w:pPr>
        <w:spacing w:line="360" w:lineRule="auto"/>
        <w:ind w:firstLine="420" w:firstLineChars="200"/>
        <w:rPr>
          <w:color w:val="auto"/>
          <w:highlight w:val="none"/>
        </w:rPr>
      </w:pP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35B144C6">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hAnsi="宋体" w:cs="宋体"/>
          <w:color w:val="auto"/>
          <w:kern w:val="0"/>
          <w:highlight w:val="none"/>
        </w:rPr>
        <w:t>。</w:t>
      </w:r>
    </w:p>
    <w:p w14:paraId="692F034F">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hAnsi="宋体" w:cs="宋体"/>
          <w:color w:val="auto"/>
          <w:kern w:val="0"/>
          <w:highlight w:val="none"/>
        </w:rPr>
        <w:t>。</w:t>
      </w:r>
    </w:p>
    <w:p w14:paraId="40356B9B">
      <w:pPr>
        <w:pStyle w:val="4"/>
        <w:rPr>
          <w:color w:val="auto"/>
          <w:highlight w:val="none"/>
        </w:rPr>
      </w:pPr>
      <w:bookmarkStart w:id="191" w:name="_Toc373478341"/>
      <w:bookmarkStart w:id="192" w:name="_Toc373227694"/>
      <w:bookmarkStart w:id="193" w:name="_Toc10126"/>
      <w:bookmarkStart w:id="194" w:name="_Toc389065260"/>
      <w:bookmarkStart w:id="195" w:name="_Toc407135196"/>
      <w:r>
        <w:rPr>
          <w:color w:val="auto"/>
          <w:highlight w:val="none"/>
        </w:rPr>
        <w:t xml:space="preserve">1.3 </w:t>
      </w:r>
      <w:r>
        <w:rPr>
          <w:rFonts w:hint="eastAsia" w:hAnsi="宋体" w:cs="黑体"/>
          <w:color w:val="auto"/>
          <w:highlight w:val="none"/>
        </w:rPr>
        <w:t>法律</w:t>
      </w:r>
      <w:bookmarkEnd w:id="191"/>
      <w:bookmarkEnd w:id="192"/>
      <w:bookmarkEnd w:id="193"/>
      <w:bookmarkEnd w:id="194"/>
      <w:bookmarkEnd w:id="195"/>
    </w:p>
    <w:p w14:paraId="57DF2CA7">
      <w:pPr>
        <w:spacing w:line="360" w:lineRule="auto"/>
        <w:ind w:firstLine="420" w:firstLineChars="200"/>
        <w:rPr>
          <w:color w:val="auto"/>
          <w:highlight w:val="none"/>
        </w:rPr>
      </w:pPr>
      <w:r>
        <w:rPr>
          <w:rFonts w:hint="eastAsia" w:hAnsi="宋体" w:cs="宋体"/>
          <w:color w:val="auto"/>
          <w:highlight w:val="none"/>
        </w:rPr>
        <w:t>适用于合同的其他规范性文件：</w:t>
      </w:r>
      <w:r>
        <w:rPr>
          <w:rFonts w:hint="eastAsia" w:hAnsi="宋体"/>
          <w:color w:val="auto"/>
          <w:highlight w:val="none"/>
          <w:u w:val="single"/>
        </w:rPr>
        <w:t xml:space="preserve">现行的国家法律和行政法规、工程所在地政府的有关文件法规和规章 </w:t>
      </w:r>
      <w:r>
        <w:rPr>
          <w:rFonts w:hint="eastAsia" w:hAnsi="宋体" w:cs="宋体"/>
          <w:color w:val="auto"/>
          <w:highlight w:val="none"/>
        </w:rPr>
        <w:t>。</w:t>
      </w:r>
    </w:p>
    <w:p w14:paraId="5C9846A9">
      <w:pPr>
        <w:pStyle w:val="4"/>
        <w:rPr>
          <w:color w:val="auto"/>
          <w:highlight w:val="none"/>
        </w:rPr>
      </w:pPr>
      <w:bookmarkStart w:id="196" w:name="_Toc24898"/>
      <w:bookmarkStart w:id="197" w:name="_Toc373227695"/>
      <w:bookmarkStart w:id="198" w:name="_Toc373478342"/>
      <w:bookmarkStart w:id="199" w:name="_Toc407135197"/>
      <w:bookmarkStart w:id="200" w:name="_Toc389065261"/>
      <w:r>
        <w:rPr>
          <w:color w:val="auto"/>
          <w:highlight w:val="none"/>
        </w:rPr>
        <w:t xml:space="preserve">1.4 </w:t>
      </w:r>
      <w:r>
        <w:rPr>
          <w:rFonts w:hint="eastAsia" w:hAnsi="宋体" w:cs="黑体"/>
          <w:color w:val="auto"/>
          <w:highlight w:val="none"/>
        </w:rPr>
        <w:t>标准和规范</w:t>
      </w:r>
      <w:bookmarkEnd w:id="196"/>
      <w:bookmarkEnd w:id="197"/>
      <w:bookmarkEnd w:id="198"/>
      <w:bookmarkEnd w:id="199"/>
      <w:bookmarkEnd w:id="200"/>
    </w:p>
    <w:p w14:paraId="0211B4A8">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int="eastAsia" w:hAnsi="宋体"/>
          <w:color w:val="auto"/>
          <w:highlight w:val="none"/>
          <w:u w:val="single"/>
        </w:rPr>
        <w:t xml:space="preserve">现行的国家标准和规范、行业标准、规范等 </w:t>
      </w:r>
      <w:r>
        <w:rPr>
          <w:rFonts w:hint="eastAsia" w:hAnsi="宋体" w:cs="宋体"/>
          <w:color w:val="auto"/>
          <w:highlight w:val="none"/>
        </w:rPr>
        <w:t>。</w:t>
      </w:r>
    </w:p>
    <w:p w14:paraId="4D9247F5">
      <w:pPr>
        <w:spacing w:line="360" w:lineRule="auto"/>
        <w:ind w:firstLine="420" w:firstLineChars="200"/>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1EB708E4">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0DC9A4B7">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68D6446B">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p>
    <w:p w14:paraId="284C16EE">
      <w:pPr>
        <w:spacing w:line="360" w:lineRule="auto"/>
        <w:rPr>
          <w:color w:val="auto"/>
          <w:highlight w:val="none"/>
        </w:rPr>
      </w:pP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292633CD">
      <w:pPr>
        <w:pStyle w:val="4"/>
        <w:rPr>
          <w:color w:val="auto"/>
          <w:highlight w:val="none"/>
        </w:rPr>
      </w:pPr>
      <w:bookmarkStart w:id="201" w:name="_Toc373227696"/>
      <w:bookmarkStart w:id="202" w:name="_Toc23707"/>
      <w:bookmarkStart w:id="203" w:name="_Toc389065262"/>
      <w:bookmarkStart w:id="204" w:name="_Toc373478343"/>
      <w:bookmarkStart w:id="205" w:name="_Toc407135198"/>
      <w:r>
        <w:rPr>
          <w:color w:val="auto"/>
          <w:highlight w:val="none"/>
        </w:rPr>
        <w:t xml:space="preserve">1.5 </w:t>
      </w:r>
      <w:r>
        <w:rPr>
          <w:rFonts w:hint="eastAsia" w:cs="黑体"/>
          <w:color w:val="auto"/>
          <w:highlight w:val="none"/>
        </w:rPr>
        <w:t>合同文件的优先顺序</w:t>
      </w:r>
      <w:bookmarkEnd w:id="201"/>
      <w:bookmarkEnd w:id="202"/>
      <w:bookmarkEnd w:id="203"/>
      <w:bookmarkEnd w:id="204"/>
      <w:bookmarkEnd w:id="205"/>
    </w:p>
    <w:p w14:paraId="565B91FB">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合同文件组成及优先顺序为：</w:t>
      </w:r>
    </w:p>
    <w:p w14:paraId="206DE437">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（1）合同协议书；</w:t>
      </w:r>
    </w:p>
    <w:p w14:paraId="6E1FFCC0">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r>
        <w:rPr>
          <w:rFonts w:hint="eastAsia" w:ascii="新宋体" w:hAnsi="新宋体" w:eastAsia="新宋体" w:cs="新宋体"/>
          <w:color w:val="auto"/>
          <w:kern w:val="0"/>
          <w:sz w:val="21"/>
          <w:szCs w:val="21"/>
          <w:highlight w:val="none"/>
          <w:lang w:val="en-US" w:eastAsia="zh-CN"/>
        </w:rPr>
        <w:t>成交</w:t>
      </w:r>
      <w:r>
        <w:rPr>
          <w:rFonts w:hint="eastAsia" w:ascii="新宋体" w:hAnsi="新宋体" w:eastAsia="新宋体" w:cs="新宋体"/>
          <w:color w:val="auto"/>
          <w:kern w:val="0"/>
          <w:sz w:val="21"/>
          <w:szCs w:val="21"/>
          <w:highlight w:val="none"/>
        </w:rPr>
        <w:t>通知书（如有）；</w:t>
      </w:r>
    </w:p>
    <w:p w14:paraId="092E8C52">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r>
        <w:rPr>
          <w:rFonts w:hint="eastAsia" w:ascii="新宋体" w:hAnsi="新宋体" w:eastAsia="新宋体" w:cs="新宋体"/>
          <w:color w:val="auto"/>
          <w:kern w:val="0"/>
          <w:sz w:val="21"/>
          <w:szCs w:val="21"/>
          <w:highlight w:val="none"/>
          <w:lang w:val="en-US" w:eastAsia="zh-CN"/>
        </w:rPr>
        <w:t>竞</w:t>
      </w:r>
      <w:r>
        <w:rPr>
          <w:rFonts w:hint="eastAsia" w:ascii="新宋体" w:hAnsi="新宋体" w:eastAsia="新宋体" w:cs="新宋体"/>
          <w:color w:val="auto"/>
          <w:kern w:val="0"/>
          <w:sz w:val="21"/>
          <w:szCs w:val="21"/>
          <w:highlight w:val="none"/>
        </w:rPr>
        <w:t>标函及其附录（如有）；</w:t>
      </w:r>
    </w:p>
    <w:p w14:paraId="5D8E42F1">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（4）专用合同条款及其附件；</w:t>
      </w:r>
    </w:p>
    <w:p w14:paraId="679C76CA">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（5）通用合同条款；</w:t>
      </w:r>
    </w:p>
    <w:p w14:paraId="5BFEA66E">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（6）</w:t>
      </w:r>
      <w:r>
        <w:rPr>
          <w:rFonts w:hint="eastAsia" w:ascii="新宋体" w:hAnsi="新宋体" w:eastAsia="新宋体" w:cs="新宋体"/>
          <w:color w:val="auto"/>
          <w:kern w:val="0"/>
          <w:sz w:val="21"/>
          <w:szCs w:val="21"/>
          <w:highlight w:val="none"/>
          <w:u w:val="single"/>
        </w:rPr>
        <w:t xml:space="preserve">技术标准和要求  </w:t>
      </w:r>
      <w:r>
        <w:rPr>
          <w:rFonts w:hint="eastAsia" w:ascii="新宋体" w:hAnsi="新宋体" w:eastAsia="新宋体" w:cs="新宋体"/>
          <w:color w:val="auto"/>
          <w:kern w:val="0"/>
          <w:sz w:val="21"/>
          <w:szCs w:val="21"/>
          <w:highlight w:val="none"/>
        </w:rPr>
        <w:t>；</w:t>
      </w:r>
    </w:p>
    <w:p w14:paraId="3B8A8148">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（7）</w:t>
      </w:r>
      <w:r>
        <w:rPr>
          <w:rFonts w:hint="eastAsia" w:ascii="新宋体" w:hAnsi="新宋体" w:eastAsia="新宋体" w:cs="新宋体"/>
          <w:color w:val="auto"/>
          <w:kern w:val="0"/>
          <w:sz w:val="21"/>
          <w:szCs w:val="21"/>
          <w:highlight w:val="none"/>
          <w:u w:val="single"/>
        </w:rPr>
        <w:t xml:space="preserve"> 图纸  </w:t>
      </w:r>
      <w:r>
        <w:rPr>
          <w:rFonts w:hint="eastAsia" w:ascii="新宋体" w:hAnsi="新宋体" w:eastAsia="新宋体" w:cs="新宋体"/>
          <w:color w:val="auto"/>
          <w:kern w:val="0"/>
          <w:sz w:val="21"/>
          <w:szCs w:val="21"/>
          <w:highlight w:val="none"/>
        </w:rPr>
        <w:t>；</w:t>
      </w:r>
    </w:p>
    <w:p w14:paraId="4B3ABD4F">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（8）</w:t>
      </w:r>
      <w:r>
        <w:rPr>
          <w:rFonts w:hint="eastAsia" w:ascii="新宋体" w:hAnsi="新宋体" w:eastAsia="新宋体" w:cs="新宋体"/>
          <w:color w:val="auto"/>
          <w:kern w:val="0"/>
          <w:sz w:val="21"/>
          <w:szCs w:val="21"/>
          <w:highlight w:val="none"/>
          <w:u w:val="single"/>
        </w:rPr>
        <w:t>已标价工程量清单或预算书 ；</w:t>
      </w:r>
    </w:p>
    <w:p w14:paraId="1834FD8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（9）</w:t>
      </w:r>
      <w:r>
        <w:rPr>
          <w:rFonts w:hint="eastAsia" w:ascii="新宋体" w:hAnsi="新宋体" w:eastAsia="新宋体" w:cs="新宋体"/>
          <w:color w:val="auto"/>
          <w:kern w:val="0"/>
          <w:sz w:val="21"/>
          <w:szCs w:val="21"/>
          <w:highlight w:val="none"/>
          <w:u w:val="single"/>
        </w:rPr>
        <w:t xml:space="preserve"> 其他合同文件 </w:t>
      </w:r>
      <w:r>
        <w:rPr>
          <w:rFonts w:hint="eastAsia" w:ascii="新宋体" w:hAnsi="新宋体" w:eastAsia="新宋体" w:cs="新宋体"/>
          <w:color w:val="auto"/>
          <w:kern w:val="0"/>
          <w:sz w:val="21"/>
          <w:szCs w:val="21"/>
          <w:highlight w:val="none"/>
        </w:rPr>
        <w:t>。</w:t>
      </w:r>
    </w:p>
    <w:p w14:paraId="2DFB6A3A">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sz w:val="21"/>
          <w:szCs w:val="21"/>
          <w:highlight w:val="none"/>
          <w:shd w:val="clear" w:color="auto" w:fill="FFFFFF"/>
        </w:rPr>
        <w:t>上述各项合同文件包括合同当事人就该项合同文件所作出的补充和修改，属于同一类内容的文件，应以最新签署的为准（违反招标文件实质性内容的约定除外）。专用合同条款及其附件须经合同当事人签字或盖章</w:t>
      </w:r>
      <w:r>
        <w:rPr>
          <w:rFonts w:hint="eastAsia" w:ascii="新宋体" w:hAnsi="新宋体" w:eastAsia="新宋体" w:cs="新宋体"/>
          <w:color w:val="auto"/>
          <w:kern w:val="0"/>
          <w:sz w:val="21"/>
          <w:szCs w:val="21"/>
          <w:highlight w:val="none"/>
        </w:rPr>
        <w:t>。</w:t>
      </w:r>
    </w:p>
    <w:p w14:paraId="0A787DD5">
      <w:pPr>
        <w:pStyle w:val="4"/>
        <w:rPr>
          <w:color w:val="auto"/>
          <w:highlight w:val="none"/>
        </w:rPr>
      </w:pPr>
      <w:bookmarkStart w:id="206" w:name="_Toc373478344"/>
      <w:bookmarkStart w:id="207" w:name="_Toc373227697"/>
      <w:bookmarkStart w:id="208" w:name="_Toc407135199"/>
      <w:bookmarkStart w:id="209" w:name="_Toc14049"/>
      <w:bookmarkStart w:id="210" w:name="_Toc389065263"/>
      <w:r>
        <w:rPr>
          <w:color w:val="auto"/>
          <w:highlight w:val="none"/>
        </w:rPr>
        <w:t xml:space="preserve">1.6 </w:t>
      </w:r>
      <w:r>
        <w:rPr>
          <w:rFonts w:hint="eastAsia" w:cs="黑体"/>
          <w:color w:val="auto"/>
          <w:highlight w:val="none"/>
        </w:rPr>
        <w:t>图纸和承包人文件</w:t>
      </w:r>
      <w:bookmarkEnd w:id="206"/>
      <w:bookmarkEnd w:id="207"/>
      <w:bookmarkEnd w:id="208"/>
      <w:bookmarkEnd w:id="209"/>
      <w:bookmarkEnd w:id="210"/>
      <w:r>
        <w:rPr>
          <w:color w:val="auto"/>
          <w:highlight w:val="none"/>
        </w:rPr>
        <w:tab/>
      </w:r>
    </w:p>
    <w:p w14:paraId="65663F59">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32FD36B0">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发包人向承包人提供图纸的期限：</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0D484D0C">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发包人向承包人提供图纸的数量：</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套</w:t>
      </w:r>
      <w:r>
        <w:rPr>
          <w:rStyle w:val="26"/>
          <w:rFonts w:hint="eastAsia" w:ascii="宋体" w:hAnsi="宋体" w:cs="宋体"/>
          <w:color w:val="auto"/>
          <w:szCs w:val="21"/>
          <w:highlight w:val="none"/>
        </w:rPr>
        <w:t>；</w:t>
      </w:r>
    </w:p>
    <w:p w14:paraId="58C7A1EC">
      <w:pPr>
        <w:pStyle w:val="46"/>
        <w:bidi w:val="0"/>
        <w:spacing w:line="360" w:lineRule="auto"/>
        <w:rPr>
          <w:color w:val="auto"/>
          <w:highlight w:val="none"/>
        </w:rPr>
      </w:pPr>
      <w:r>
        <w:rPr>
          <w:rStyle w:val="26"/>
          <w:rFonts w:hint="eastAsia" w:ascii="宋体" w:hAnsi="宋体" w:cs="宋体"/>
          <w:color w:val="auto"/>
          <w:szCs w:val="21"/>
          <w:highlight w:val="none"/>
        </w:rPr>
        <w:t>发包人向承包人提供图纸的内容：</w:t>
      </w:r>
      <w:r>
        <w:rPr>
          <w:rStyle w:val="26"/>
          <w:rFonts w:hint="eastAsia" w:ascii="宋体" w:hAnsi="宋体" w:cs="宋体"/>
          <w:color w:val="auto"/>
          <w:szCs w:val="21"/>
          <w:highlight w:val="none"/>
          <w:u w:val="single"/>
        </w:rPr>
        <w:t xml:space="preserve">      承包人所承包的范围     </w:t>
      </w:r>
      <w:r>
        <w:rPr>
          <w:rStyle w:val="26"/>
          <w:rFonts w:hint="eastAsia" w:ascii="宋体" w:hAnsi="宋体" w:cs="宋体"/>
          <w:color w:val="auto"/>
          <w:szCs w:val="21"/>
          <w:highlight w:val="none"/>
        </w:rPr>
        <w:t xml:space="preserve"> 。</w:t>
      </w:r>
    </w:p>
    <w:p w14:paraId="634B6C59">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1B5FD694">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需要由承包人提供的文件，包括：</w:t>
      </w:r>
      <w:r>
        <w:rPr>
          <w:rStyle w:val="26"/>
          <w:rFonts w:hint="eastAsia" w:ascii="宋体" w:hAnsi="宋体" w:cs="宋体"/>
          <w:color w:val="auto"/>
          <w:szCs w:val="21"/>
          <w:highlight w:val="none"/>
          <w:u w:val="single"/>
        </w:rPr>
        <w:t xml:space="preserve">  施工组织设计、进度计划等   </w:t>
      </w:r>
      <w:r>
        <w:rPr>
          <w:rStyle w:val="26"/>
          <w:rFonts w:hint="eastAsia" w:ascii="宋体" w:hAnsi="宋体" w:cs="宋体"/>
          <w:color w:val="auto"/>
          <w:szCs w:val="21"/>
          <w:highlight w:val="none"/>
        </w:rPr>
        <w:t xml:space="preserve"> ；</w:t>
      </w:r>
    </w:p>
    <w:p w14:paraId="1EC396C5">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承包人提供的文件的期限为：</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450BA769">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承包人提供的文件的数量为：</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0E5178F5">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承包人提供的文件的形式为：</w:t>
      </w:r>
      <w:r>
        <w:rPr>
          <w:rStyle w:val="26"/>
          <w:rFonts w:hint="eastAsia" w:ascii="宋体" w:hAnsi="宋体" w:cs="宋体"/>
          <w:color w:val="auto"/>
          <w:szCs w:val="21"/>
          <w:highlight w:val="none"/>
          <w:u w:val="single"/>
        </w:rPr>
        <w:t xml:space="preserve"> 纸质或电子版本   </w:t>
      </w:r>
      <w:r>
        <w:rPr>
          <w:rStyle w:val="26"/>
          <w:rFonts w:hint="eastAsia" w:ascii="宋体" w:hAnsi="宋体" w:cs="宋体"/>
          <w:color w:val="auto"/>
          <w:szCs w:val="21"/>
          <w:highlight w:val="none"/>
        </w:rPr>
        <w:t xml:space="preserve"> ；</w:t>
      </w:r>
    </w:p>
    <w:p w14:paraId="3E215C19">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发包人审批承包人文件的期限：</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w:t>
      </w:r>
    </w:p>
    <w:p w14:paraId="4D512E1B">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53596688">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hAnsi="宋体" w:cs="宋体"/>
          <w:color w:val="auto"/>
          <w:highlight w:val="none"/>
          <w:u w:val="single"/>
        </w:rPr>
        <w:t xml:space="preserve">在承包人提供文件后三天内审定完毕，如有重大异议必须在收到上述资料之日起五个工作日内以书面形式送达承包人，逾期不确认也不提出书面意见的，视为同意 </w:t>
      </w:r>
      <w:r>
        <w:rPr>
          <w:rFonts w:hint="eastAsia" w:hAnsi="宋体" w:cs="宋体"/>
          <w:color w:val="auto"/>
          <w:highlight w:val="none"/>
        </w:rPr>
        <w:t>。</w:t>
      </w:r>
    </w:p>
    <w:p w14:paraId="29A3B864">
      <w:pPr>
        <w:pStyle w:val="4"/>
        <w:rPr>
          <w:color w:val="auto"/>
          <w:highlight w:val="none"/>
        </w:rPr>
      </w:pPr>
      <w:bookmarkStart w:id="211" w:name="_Toc373478345"/>
      <w:bookmarkStart w:id="212" w:name="_Toc389065264"/>
      <w:bookmarkStart w:id="213" w:name="_Toc373227698"/>
      <w:bookmarkStart w:id="214" w:name="_Toc407135200"/>
      <w:bookmarkStart w:id="215" w:name="_Toc12819"/>
      <w:r>
        <w:rPr>
          <w:color w:val="auto"/>
          <w:highlight w:val="none"/>
        </w:rPr>
        <w:t xml:space="preserve">1.7 </w:t>
      </w:r>
      <w:r>
        <w:rPr>
          <w:rFonts w:hint="eastAsia" w:hAnsi="宋体" w:cs="黑体"/>
          <w:color w:val="auto"/>
          <w:highlight w:val="none"/>
        </w:rPr>
        <w:t>联络</w:t>
      </w:r>
      <w:bookmarkEnd w:id="211"/>
      <w:bookmarkEnd w:id="212"/>
      <w:bookmarkEnd w:id="213"/>
      <w:bookmarkEnd w:id="214"/>
      <w:bookmarkEnd w:id="215"/>
    </w:p>
    <w:p w14:paraId="657F833D">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rPr>
        <w:t>15</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712492A6">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hAnsi="宋体" w:cs="宋体"/>
          <w:color w:val="auto"/>
          <w:kern w:val="0"/>
          <w:highlight w:val="none"/>
          <w:u w:val="single"/>
          <w:lang w:val="en-US" w:eastAsia="zh-CN"/>
        </w:rPr>
        <w:t>承</w:t>
      </w:r>
      <w:r>
        <w:rPr>
          <w:rFonts w:hint="eastAsia"/>
          <w:color w:val="auto"/>
          <w:highlight w:val="none"/>
          <w:u w:val="single"/>
        </w:rPr>
        <w:t xml:space="preserve">包人设于施工现场的办公室    </w:t>
      </w:r>
      <w:r>
        <w:rPr>
          <w:rFonts w:hint="eastAsia" w:hAnsi="宋体" w:cs="宋体"/>
          <w:color w:val="auto"/>
          <w:kern w:val="0"/>
          <w:highlight w:val="none"/>
        </w:rPr>
        <w:t>；</w:t>
      </w:r>
    </w:p>
    <w:p w14:paraId="77C9A308">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color w:val="auto"/>
          <w:highlight w:val="none"/>
          <w:u w:val="single"/>
        </w:rPr>
        <w:t xml:space="preserve">发包人指派的项目负责人 </w:t>
      </w:r>
      <w:r>
        <w:rPr>
          <w:color w:val="auto"/>
          <w:highlight w:val="none"/>
          <w:u w:val="single"/>
        </w:rPr>
        <w:t xml:space="preserve">          </w:t>
      </w:r>
      <w:r>
        <w:rPr>
          <w:rFonts w:hint="eastAsia" w:hAnsi="宋体" w:cs="宋体"/>
          <w:color w:val="auto"/>
          <w:kern w:val="0"/>
          <w:highlight w:val="none"/>
        </w:rPr>
        <w:t>。</w:t>
      </w:r>
    </w:p>
    <w:p w14:paraId="4F605DD4">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color w:val="auto"/>
          <w:highlight w:val="none"/>
          <w:u w:val="single"/>
        </w:rPr>
        <w:t>承包人设于施工现场的办公室</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7F721FF6">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承包人项目经理</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49F26BBC">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color w:val="auto"/>
          <w:highlight w:val="none"/>
          <w:u w:val="single"/>
        </w:rPr>
        <w:t xml:space="preserve">监理人设于施工现场的办公室       </w:t>
      </w:r>
      <w:r>
        <w:rPr>
          <w:rFonts w:hint="eastAsia" w:hAnsi="宋体" w:cs="宋体"/>
          <w:color w:val="auto"/>
          <w:kern w:val="0"/>
          <w:highlight w:val="none"/>
        </w:rPr>
        <w:t>；</w:t>
      </w:r>
    </w:p>
    <w:p w14:paraId="22647E62">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hAnsi="宋体" w:cs="宋体"/>
          <w:color w:val="auto"/>
          <w:kern w:val="0"/>
          <w:highlight w:val="none"/>
          <w:u w:val="single"/>
        </w:rPr>
        <w:t>监理工程师</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62718799">
      <w:pPr>
        <w:pStyle w:val="4"/>
        <w:rPr>
          <w:color w:val="auto"/>
          <w:highlight w:val="none"/>
        </w:rPr>
      </w:pPr>
      <w:bookmarkStart w:id="216" w:name="_Toc373478346"/>
      <w:bookmarkStart w:id="217" w:name="_Toc389065265"/>
      <w:bookmarkStart w:id="218" w:name="_Toc407135201"/>
      <w:bookmarkStart w:id="219" w:name="_Toc5539"/>
      <w:bookmarkStart w:id="220" w:name="_Toc373227699"/>
      <w:r>
        <w:rPr>
          <w:color w:val="auto"/>
          <w:highlight w:val="none"/>
        </w:rPr>
        <w:t xml:space="preserve">1.10 </w:t>
      </w:r>
      <w:r>
        <w:rPr>
          <w:rFonts w:hint="eastAsia" w:hAnsi="宋体" w:cs="黑体"/>
          <w:color w:val="auto"/>
          <w:highlight w:val="none"/>
        </w:rPr>
        <w:t>交通运输</w:t>
      </w:r>
      <w:bookmarkEnd w:id="216"/>
      <w:bookmarkEnd w:id="217"/>
      <w:bookmarkEnd w:id="218"/>
      <w:bookmarkEnd w:id="219"/>
      <w:bookmarkEnd w:id="220"/>
    </w:p>
    <w:p w14:paraId="6CFA379B">
      <w:pPr>
        <w:spacing w:line="360" w:lineRule="auto"/>
        <w:ind w:firstLine="420" w:firstLineChars="200"/>
        <w:rPr>
          <w:color w:val="auto"/>
          <w:highlight w:val="none"/>
        </w:rPr>
      </w:pPr>
      <w:r>
        <w:rPr>
          <w:color w:val="auto"/>
          <w:highlight w:val="none"/>
        </w:rPr>
        <w:t>1</w:t>
      </w:r>
      <w:bookmarkStart w:id="221" w:name="_Toc312677986"/>
      <w:bookmarkStart w:id="222" w:name="_Toc300934943"/>
      <w:bookmarkStart w:id="223" w:name="_Toc304295521"/>
      <w:bookmarkStart w:id="224" w:name="_Toc303539100"/>
      <w:bookmarkStart w:id="225" w:name="_Toc318581155"/>
      <w:r>
        <w:rPr>
          <w:color w:val="auto"/>
          <w:highlight w:val="none"/>
        </w:rPr>
        <w:t xml:space="preserve">.10.1 </w:t>
      </w:r>
      <w:r>
        <w:rPr>
          <w:rFonts w:hint="eastAsia" w:hAnsi="宋体" w:cs="宋体"/>
          <w:color w:val="auto"/>
          <w:highlight w:val="none"/>
        </w:rPr>
        <w:t>出入现场的权利</w:t>
      </w:r>
    </w:p>
    <w:p w14:paraId="4AE228C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发包人应根据施工需要，负责取得出入施工现场所需的批准手续和全部权利</w:t>
      </w:r>
      <w:r>
        <w:rPr>
          <w:rFonts w:hint="eastAsia" w:hAnsi="宋体" w:cs="宋体"/>
          <w:color w:val="auto"/>
          <w:highlight w:val="none"/>
        </w:rPr>
        <w:t>。</w:t>
      </w:r>
    </w:p>
    <w:bookmarkEnd w:id="221"/>
    <w:bookmarkEnd w:id="222"/>
    <w:bookmarkEnd w:id="223"/>
    <w:bookmarkEnd w:id="224"/>
    <w:bookmarkEnd w:id="225"/>
    <w:p w14:paraId="1036729C">
      <w:pPr>
        <w:spacing w:line="360" w:lineRule="auto"/>
        <w:ind w:firstLine="420" w:firstLineChars="200"/>
        <w:jc w:val="left"/>
        <w:rPr>
          <w:color w:val="auto"/>
          <w:highlight w:val="none"/>
        </w:rPr>
      </w:pPr>
      <w:r>
        <w:rPr>
          <w:color w:val="auto"/>
          <w:highlight w:val="none"/>
        </w:rPr>
        <w:t>1</w:t>
      </w:r>
      <w:bookmarkStart w:id="226" w:name="_Toc300934944"/>
      <w:bookmarkStart w:id="227" w:name="_Toc312677987"/>
      <w:bookmarkStart w:id="228" w:name="_Toc304295522"/>
      <w:bookmarkStart w:id="229" w:name="_Toc318581156"/>
      <w:bookmarkStart w:id="230" w:name="_Toc303539101"/>
      <w:r>
        <w:rPr>
          <w:color w:val="auto"/>
          <w:highlight w:val="none"/>
        </w:rPr>
        <w:t xml:space="preserve">.10.3 </w:t>
      </w:r>
      <w:r>
        <w:rPr>
          <w:rFonts w:hint="eastAsia" w:hAnsi="宋体" w:cs="宋体"/>
          <w:color w:val="auto"/>
          <w:highlight w:val="none"/>
        </w:rPr>
        <w:t>场内交通</w:t>
      </w:r>
    </w:p>
    <w:p w14:paraId="3030937C">
      <w:pPr>
        <w:spacing w:line="360" w:lineRule="auto"/>
        <w:ind w:firstLine="420" w:firstLineChars="200"/>
        <w:jc w:val="left"/>
        <w:rPr>
          <w:rFonts w:hint="eastAsia" w:hAnsi="宋体" w:cs="宋体"/>
          <w:color w:val="auto"/>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Style w:val="26"/>
          <w:rFonts w:hint="eastAsia" w:ascii="宋体" w:hAnsi="宋体" w:cs="宋体"/>
          <w:color w:val="auto"/>
          <w:szCs w:val="21"/>
          <w:highlight w:val="none"/>
          <w:u w:val="single"/>
        </w:rPr>
        <w:t>原则上以工程施工红线界定</w:t>
      </w:r>
      <w:r>
        <w:rPr>
          <w:rStyle w:val="26"/>
          <w:rFonts w:hint="eastAsia" w:ascii="宋体" w:hAnsi="宋体" w:cs="宋体"/>
          <w:color w:val="auto"/>
          <w:szCs w:val="21"/>
          <w:highlight w:val="none"/>
          <w:u w:val="single"/>
          <w:lang w:val="en-US" w:eastAsia="zh-CN"/>
        </w:rPr>
        <w:t xml:space="preserve">   </w:t>
      </w:r>
      <w:r>
        <w:rPr>
          <w:rFonts w:hint="eastAsia" w:hAnsi="宋体" w:cs="宋体"/>
          <w:color w:val="auto"/>
          <w:highlight w:val="none"/>
        </w:rPr>
        <w:t>。</w:t>
      </w:r>
    </w:p>
    <w:bookmarkEnd w:id="226"/>
    <w:bookmarkEnd w:id="227"/>
    <w:bookmarkEnd w:id="228"/>
    <w:bookmarkEnd w:id="229"/>
    <w:bookmarkEnd w:id="230"/>
    <w:p w14:paraId="61464125">
      <w:pPr>
        <w:spacing w:line="360" w:lineRule="auto"/>
        <w:ind w:firstLine="420" w:firstLineChars="200"/>
        <w:jc w:val="left"/>
        <w:rPr>
          <w:rStyle w:val="26"/>
          <w:rFonts w:hint="eastAsia" w:ascii="宋体" w:hAnsi="宋体" w:cs="宋体"/>
          <w:color w:val="auto"/>
          <w:szCs w:val="21"/>
          <w:highlight w:val="none"/>
        </w:rPr>
      </w:pPr>
      <w:bookmarkStart w:id="231" w:name="_Toc318581157"/>
      <w:r>
        <w:rPr>
          <w:rStyle w:val="26"/>
          <w:rFonts w:hint="eastAsia" w:ascii="宋体" w:hAnsi="宋体" w:cs="宋体"/>
          <w:color w:val="auto"/>
          <w:szCs w:val="21"/>
          <w:highlight w:val="none"/>
        </w:rPr>
        <w:t xml:space="preserve">关于发包人向承包人免费提供满足工程施工需要的场内道路和交通设施的约定：  </w:t>
      </w:r>
      <w:r>
        <w:rPr>
          <w:rStyle w:val="26"/>
          <w:rFonts w:hint="eastAsia" w:ascii="宋体" w:hAnsi="宋体" w:cs="宋体"/>
          <w:color w:val="auto"/>
          <w:szCs w:val="21"/>
          <w:highlight w:val="none"/>
          <w:u w:val="single"/>
        </w:rPr>
        <w:t xml:space="preserve">由承包人根据现场实际自行考虑，费用自理  </w:t>
      </w:r>
      <w:r>
        <w:rPr>
          <w:rStyle w:val="26"/>
          <w:rFonts w:hint="eastAsia" w:ascii="宋体" w:hAnsi="宋体" w:cs="宋体"/>
          <w:color w:val="auto"/>
          <w:szCs w:val="21"/>
          <w:highlight w:val="none"/>
          <w:u w:val="single"/>
          <w:lang w:eastAsia="zh-CN"/>
        </w:rPr>
        <w:t>。</w:t>
      </w:r>
      <w:r>
        <w:rPr>
          <w:rStyle w:val="26"/>
          <w:rFonts w:hint="eastAsia" w:ascii="宋体" w:hAnsi="宋体" w:cs="宋体"/>
          <w:color w:val="auto"/>
          <w:szCs w:val="21"/>
          <w:highlight w:val="none"/>
        </w:rPr>
        <w:t xml:space="preserve"> </w:t>
      </w:r>
    </w:p>
    <w:p w14:paraId="13A77DE4">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5572D71D">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lang w:val="en-US" w:eastAsia="zh-CN"/>
        </w:rPr>
        <w:t>承</w:t>
      </w:r>
      <w:r>
        <w:rPr>
          <w:rFonts w:hint="eastAsia"/>
          <w:color w:val="auto"/>
          <w:highlight w:val="none"/>
          <w:u w:val="single"/>
        </w:rPr>
        <w:t>包人</w:t>
      </w:r>
      <w:r>
        <w:rPr>
          <w:color w:val="auto"/>
          <w:highlight w:val="none"/>
          <w:u w:val="single"/>
        </w:rPr>
        <w:t xml:space="preserve"> </w:t>
      </w:r>
      <w:r>
        <w:rPr>
          <w:rFonts w:hint="eastAsia" w:hAnsi="宋体" w:cs="宋体"/>
          <w:color w:val="auto"/>
          <w:highlight w:val="none"/>
        </w:rPr>
        <w:t>承担。</w:t>
      </w:r>
    </w:p>
    <w:bookmarkEnd w:id="231"/>
    <w:p w14:paraId="4736CDB9">
      <w:pPr>
        <w:pStyle w:val="4"/>
        <w:rPr>
          <w:color w:val="auto"/>
          <w:highlight w:val="none"/>
        </w:rPr>
      </w:pPr>
      <w:bookmarkStart w:id="232" w:name="_Toc373227700"/>
      <w:bookmarkStart w:id="233" w:name="_Toc389065266"/>
      <w:bookmarkStart w:id="234" w:name="_Toc407135202"/>
      <w:bookmarkStart w:id="235" w:name="_Toc20972"/>
      <w:bookmarkStart w:id="236" w:name="_Toc373478347"/>
      <w:r>
        <w:rPr>
          <w:color w:val="auto"/>
          <w:highlight w:val="none"/>
        </w:rPr>
        <w:t xml:space="preserve">1.11 </w:t>
      </w:r>
      <w:r>
        <w:rPr>
          <w:rFonts w:hint="eastAsia" w:hAnsi="宋体" w:cs="黑体"/>
          <w:color w:val="auto"/>
          <w:highlight w:val="none"/>
        </w:rPr>
        <w:t>知识产权</w:t>
      </w:r>
      <w:bookmarkEnd w:id="232"/>
      <w:bookmarkEnd w:id="233"/>
      <w:bookmarkEnd w:id="234"/>
      <w:bookmarkEnd w:id="235"/>
      <w:bookmarkEnd w:id="236"/>
    </w:p>
    <w:p w14:paraId="32F30068">
      <w:pPr>
        <w:spacing w:line="360" w:lineRule="auto"/>
        <w:ind w:firstLine="420" w:firstLineChars="200"/>
        <w:rPr>
          <w:rFonts w:hint="eastAsia"/>
          <w:color w:val="auto"/>
          <w:highlight w:val="none"/>
          <w:u w:val="singl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hint="eastAsia"/>
          <w:color w:val="auto"/>
          <w:highlight w:val="none"/>
          <w:u w:val="single"/>
        </w:rPr>
        <w:t>发包人提供给承包</w:t>
      </w:r>
    </w:p>
    <w:p w14:paraId="3411E5EC">
      <w:pPr>
        <w:spacing w:line="360" w:lineRule="auto"/>
        <w:rPr>
          <w:color w:val="auto"/>
          <w:highlight w:val="none"/>
        </w:rPr>
      </w:pPr>
      <w:r>
        <w:rPr>
          <w:rFonts w:hint="eastAsia"/>
          <w:color w:val="auto"/>
          <w:highlight w:val="none"/>
          <w:u w:val="single"/>
        </w:rPr>
        <w:t xml:space="preserve">人的图纸、发包人为实施工程自行编制或委托编制的技术规范以及反映发包人要求的或其他类似性质的文件的著作权属于发包人，承包人可以为实现合同目的而复制、使用此类文件，但不能用于与合同无关的其他事项 </w:t>
      </w:r>
      <w:r>
        <w:rPr>
          <w:rFonts w:hint="eastAsia" w:hAnsi="宋体" w:cs="宋体"/>
          <w:color w:val="auto"/>
          <w:highlight w:val="none"/>
        </w:rPr>
        <w:t>。</w:t>
      </w:r>
    </w:p>
    <w:p w14:paraId="6232DA76">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未经发包人书面同意，承包人不得为了合同以外的目的而复制、使用上述文件或将之提供给任何第三方</w:t>
      </w:r>
      <w:r>
        <w:rPr>
          <w:color w:val="auto"/>
          <w:highlight w:val="none"/>
          <w:u w:val="single"/>
        </w:rPr>
        <w:t xml:space="preserve"> </w:t>
      </w:r>
      <w:r>
        <w:rPr>
          <w:rFonts w:hint="eastAsia" w:hAnsi="宋体" w:cs="宋体"/>
          <w:color w:val="auto"/>
          <w:highlight w:val="none"/>
        </w:rPr>
        <w:t>。</w:t>
      </w:r>
    </w:p>
    <w:p w14:paraId="203D23FA">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color w:val="auto"/>
          <w:highlight w:val="none"/>
          <w:u w:val="single"/>
        </w:rPr>
        <w:t>承包人为实施工程所编制的文件，除署名权以外的著作权属于发包人，承包人可因实施工程的运行、调试、维修、改造等目的而复制、使用此类文件，但不能用于与合同无关的其他事项</w:t>
      </w:r>
      <w:r>
        <w:rPr>
          <w:color w:val="auto"/>
          <w:highlight w:val="none"/>
          <w:u w:val="single"/>
        </w:rPr>
        <w:t xml:space="preserve">  </w:t>
      </w:r>
      <w:r>
        <w:rPr>
          <w:rFonts w:hint="eastAsia" w:hAnsi="宋体" w:cs="宋体"/>
          <w:color w:val="auto"/>
          <w:highlight w:val="none"/>
        </w:rPr>
        <w:t>。</w:t>
      </w:r>
    </w:p>
    <w:p w14:paraId="4459C210">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未经发包人书面同意，承包人不得为了合同以外的目的而复制、使用上述文件或将之提供给任何第三方 </w:t>
      </w:r>
      <w:r>
        <w:rPr>
          <w:rFonts w:hint="eastAsia" w:hAnsi="宋体" w:cs="宋体"/>
          <w:color w:val="auto"/>
          <w:highlight w:val="none"/>
        </w:rPr>
        <w:t>。</w:t>
      </w:r>
    </w:p>
    <w:p w14:paraId="4FC2228A">
      <w:pPr>
        <w:spacing w:line="360" w:lineRule="auto"/>
        <w:ind w:firstLine="420" w:firstLineChars="200"/>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hint="eastAsia"/>
          <w:color w:val="auto"/>
          <w:highlight w:val="none"/>
          <w:u w:val="single"/>
        </w:rPr>
        <w:t xml:space="preserve">承包人在合同签订前和签订时已确定采用的专利、专有技术、技术秘密的使用费已包含在签约合同价中 </w:t>
      </w:r>
      <w:r>
        <w:rPr>
          <w:rFonts w:hint="eastAsia" w:hAnsi="宋体" w:cs="宋体"/>
          <w:color w:val="auto"/>
          <w:kern w:val="0"/>
          <w:highlight w:val="none"/>
        </w:rPr>
        <w:t>。</w:t>
      </w:r>
    </w:p>
    <w:p w14:paraId="42270FB0">
      <w:pPr>
        <w:pStyle w:val="4"/>
        <w:rPr>
          <w:color w:val="auto"/>
          <w:highlight w:val="none"/>
        </w:rPr>
      </w:pPr>
      <w:bookmarkStart w:id="237" w:name="_Toc389065267"/>
      <w:bookmarkStart w:id="238" w:name="_Toc373478348"/>
      <w:bookmarkStart w:id="239" w:name="_Toc373227701"/>
      <w:bookmarkStart w:id="240" w:name="_Toc29903"/>
      <w:bookmarkStart w:id="241" w:name="_Toc407135203"/>
      <w:r>
        <w:rPr>
          <w:color w:val="auto"/>
          <w:highlight w:val="none"/>
        </w:rPr>
        <w:t>1.13</w:t>
      </w:r>
      <w:r>
        <w:rPr>
          <w:rFonts w:hint="eastAsia" w:cs="黑体"/>
          <w:color w:val="auto"/>
          <w:highlight w:val="none"/>
        </w:rPr>
        <w:t>工程量清单错误的修正</w:t>
      </w:r>
      <w:bookmarkEnd w:id="237"/>
      <w:bookmarkEnd w:id="238"/>
      <w:bookmarkEnd w:id="239"/>
      <w:bookmarkEnd w:id="240"/>
      <w:bookmarkEnd w:id="241"/>
    </w:p>
    <w:p w14:paraId="37D3ED3F">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ascii="宋体" w:hAnsi="宋体" w:cs="宋体"/>
          <w:color w:val="auto"/>
          <w:highlight w:val="none"/>
          <w:u w:val="single"/>
          <w:lang w:eastAsia="zh-CN"/>
        </w:rPr>
        <w:t>是</w:t>
      </w:r>
      <w:r>
        <w:rPr>
          <w:rFonts w:hint="eastAsia"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u w:val="single"/>
          <w:lang w:eastAsia="zh-CN"/>
        </w:rPr>
        <w:t>否</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0BC5404">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rFonts w:hint="eastAsia" w:hAnsi="宋体" w:cs="宋体"/>
          <w:color w:val="auto"/>
          <w:kern w:val="0"/>
          <w:highlight w:val="none"/>
        </w:rPr>
        <w:t>。</w:t>
      </w:r>
    </w:p>
    <w:p w14:paraId="4DD0BEB2">
      <w:pPr>
        <w:spacing w:line="360" w:lineRule="auto"/>
        <w:ind w:firstLine="420" w:firstLineChars="200"/>
        <w:rPr>
          <w:rFonts w:hint="eastAsia" w:hAnsi="宋体" w:cs="宋体"/>
          <w:color w:val="auto"/>
          <w:highlight w:val="none"/>
          <w:u w:val="single"/>
        </w:rPr>
      </w:pPr>
      <w:r>
        <w:rPr>
          <w:rFonts w:hint="eastAsia" w:ascii="MS Mincho" w:hAnsi="MS Mincho" w:eastAsia="宋体" w:cs="MS Mincho"/>
          <w:color w:val="auto"/>
          <w:highlight w:val="none"/>
          <w:u w:val="single"/>
          <w:lang w:eastAsia="zh-CN"/>
        </w:rPr>
        <w:t>□</w:t>
      </w:r>
      <w:r>
        <w:rPr>
          <w:rFonts w:hint="eastAsia" w:ascii="Calibri" w:hAnsi="宋体" w:cs="宋体"/>
          <w:color w:val="auto"/>
          <w:highlight w:val="none"/>
          <w:u w:val="single"/>
        </w:rPr>
        <w:t>承包人实际完成的某单项清单项目工程量与招标工程量清单工程量偏差超过15 %且该单项清单造价超过合同总价</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%以上的，超过后增加部分工程量或减少后剩余部分工程量的综合单价按以下方法调整： 按中标的综合单价执行 。</w:t>
      </w:r>
    </w:p>
    <w:p w14:paraId="6E397DD3">
      <w:pPr>
        <w:pStyle w:val="31"/>
        <w:rPr>
          <w:color w:val="auto"/>
          <w:highlight w:val="none"/>
        </w:rPr>
      </w:pPr>
    </w:p>
    <w:p w14:paraId="1C7912E4">
      <w:pPr>
        <w:pStyle w:val="3"/>
        <w:rPr>
          <w:color w:val="auto"/>
          <w:highlight w:val="none"/>
        </w:rPr>
      </w:pPr>
      <w:bookmarkStart w:id="242" w:name="_Toc373227702"/>
      <w:bookmarkStart w:id="243" w:name="_Toc351203634"/>
      <w:bookmarkStart w:id="244" w:name="_Toc7902"/>
      <w:bookmarkStart w:id="245" w:name="_Toc407135204"/>
      <w:bookmarkStart w:id="246" w:name="_Toc373478349"/>
      <w:bookmarkStart w:id="247" w:name="_Toc389065268"/>
      <w:r>
        <w:rPr>
          <w:color w:val="auto"/>
          <w:highlight w:val="none"/>
        </w:rPr>
        <w:t>2</w:t>
      </w:r>
      <w:bookmarkStart w:id="248" w:name="_Toc296890985"/>
      <w:bookmarkStart w:id="249" w:name="_Toc292559867"/>
      <w:bookmarkStart w:id="250" w:name="_Toc297120457"/>
      <w:bookmarkStart w:id="251" w:name="_Toc296503157"/>
      <w:bookmarkStart w:id="252" w:name="_Toc292559362"/>
      <w:bookmarkStart w:id="253" w:name="_Toc297048343"/>
      <w:bookmarkStart w:id="254" w:name="_Toc296347156"/>
      <w:bookmarkStart w:id="255" w:name="_Toc296944496"/>
      <w:bookmarkStart w:id="256" w:name="_Toc296346658"/>
      <w:bookmarkStart w:id="257" w:name="_Toc296891197"/>
      <w:r>
        <w:rPr>
          <w:color w:val="auto"/>
          <w:highlight w:val="none"/>
        </w:rPr>
        <w:t xml:space="preserve">. </w:t>
      </w:r>
      <w:r>
        <w:rPr>
          <w:rFonts w:hint="eastAsia" w:hAnsi="宋体" w:cs="黑体"/>
          <w:color w:val="auto"/>
          <w:highlight w:val="none"/>
        </w:rPr>
        <w:t>发包人</w:t>
      </w:r>
      <w:bookmarkEnd w:id="242"/>
      <w:bookmarkEnd w:id="243"/>
      <w:bookmarkEnd w:id="244"/>
      <w:bookmarkEnd w:id="245"/>
      <w:bookmarkEnd w:id="246"/>
      <w:bookmarkEnd w:id="247"/>
    </w:p>
    <w:bookmarkEnd w:id="248"/>
    <w:bookmarkEnd w:id="249"/>
    <w:bookmarkEnd w:id="250"/>
    <w:bookmarkEnd w:id="251"/>
    <w:bookmarkEnd w:id="252"/>
    <w:bookmarkEnd w:id="253"/>
    <w:bookmarkEnd w:id="254"/>
    <w:bookmarkEnd w:id="255"/>
    <w:bookmarkEnd w:id="256"/>
    <w:bookmarkEnd w:id="257"/>
    <w:p w14:paraId="311A5485">
      <w:pPr>
        <w:pStyle w:val="4"/>
        <w:rPr>
          <w:color w:val="auto"/>
          <w:highlight w:val="none"/>
        </w:rPr>
      </w:pPr>
      <w:bookmarkStart w:id="258" w:name="_Toc389065269"/>
      <w:bookmarkStart w:id="259" w:name="_Toc373227703"/>
      <w:bookmarkStart w:id="260" w:name="_Toc407135205"/>
      <w:bookmarkStart w:id="261" w:name="_Toc373478350"/>
      <w:bookmarkStart w:id="262" w:name="_Toc23230"/>
      <w:r>
        <w:rPr>
          <w:color w:val="auto"/>
          <w:highlight w:val="none"/>
        </w:rPr>
        <w:t xml:space="preserve">2.2 </w:t>
      </w:r>
      <w:r>
        <w:rPr>
          <w:rFonts w:hint="eastAsia" w:hAnsi="宋体" w:cs="黑体"/>
          <w:color w:val="auto"/>
          <w:highlight w:val="none"/>
        </w:rPr>
        <w:t>发包人代表</w:t>
      </w:r>
      <w:bookmarkEnd w:id="258"/>
      <w:bookmarkEnd w:id="259"/>
      <w:bookmarkEnd w:id="260"/>
      <w:bookmarkEnd w:id="261"/>
      <w:bookmarkEnd w:id="262"/>
    </w:p>
    <w:p w14:paraId="2D323AAF">
      <w:pPr>
        <w:spacing w:line="360" w:lineRule="auto"/>
        <w:ind w:firstLine="420" w:firstLineChars="200"/>
        <w:rPr>
          <w:color w:val="auto"/>
          <w:highlight w:val="none"/>
        </w:rPr>
      </w:pPr>
      <w:r>
        <w:rPr>
          <w:rFonts w:hint="eastAsia" w:hAnsi="宋体" w:cs="宋体"/>
          <w:color w:val="auto"/>
          <w:highlight w:val="none"/>
        </w:rPr>
        <w:t>发包人代表：</w:t>
      </w:r>
    </w:p>
    <w:p w14:paraId="33D96077">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13A9534">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1E77D71">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0CD9E">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A20FC62">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BEEF73E">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E870A65">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监督工程施工，协调工程建设所有外部关系，对监理单位提出的工程问题作出决定</w:t>
      </w:r>
      <w:r>
        <w:rPr>
          <w:rFonts w:hint="eastAsia" w:hAnsi="宋体" w:cs="宋体"/>
          <w:color w:val="auto"/>
          <w:highlight w:val="none"/>
        </w:rPr>
        <w:t>。</w:t>
      </w:r>
    </w:p>
    <w:p w14:paraId="69590E72">
      <w:pPr>
        <w:pStyle w:val="4"/>
        <w:rPr>
          <w:color w:val="auto"/>
          <w:highlight w:val="none"/>
        </w:rPr>
      </w:pPr>
      <w:bookmarkStart w:id="263" w:name="_Toc373227704"/>
      <w:bookmarkStart w:id="264" w:name="_Toc373478351"/>
      <w:bookmarkStart w:id="265" w:name="_Toc389065270"/>
      <w:bookmarkStart w:id="266" w:name="_Toc25194"/>
      <w:bookmarkStart w:id="267" w:name="_Toc407135206"/>
      <w:r>
        <w:rPr>
          <w:color w:val="auto"/>
          <w:highlight w:val="none"/>
        </w:rPr>
        <w:t xml:space="preserve">2.4 </w:t>
      </w:r>
      <w:r>
        <w:rPr>
          <w:rFonts w:hint="eastAsia" w:cs="黑体"/>
          <w:color w:val="auto"/>
          <w:highlight w:val="none"/>
        </w:rPr>
        <w:t>施工现场、施工条件和基础资料的提供</w:t>
      </w:r>
      <w:bookmarkEnd w:id="263"/>
      <w:bookmarkEnd w:id="264"/>
      <w:bookmarkEnd w:id="265"/>
      <w:bookmarkEnd w:id="266"/>
      <w:bookmarkEnd w:id="267"/>
    </w:p>
    <w:p w14:paraId="4486CC15">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6DC2D952">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开工前七天</w:t>
      </w:r>
      <w:r>
        <w:rPr>
          <w:color w:val="auto"/>
          <w:highlight w:val="none"/>
          <w:u w:val="single"/>
        </w:rPr>
        <w:t xml:space="preserve"> </w:t>
      </w:r>
      <w:r>
        <w:rPr>
          <w:rFonts w:hint="eastAsia" w:hAnsi="宋体" w:cs="宋体"/>
          <w:color w:val="auto"/>
          <w:highlight w:val="none"/>
        </w:rPr>
        <w:t>。</w:t>
      </w:r>
    </w:p>
    <w:p w14:paraId="0D9EF6F4">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79F681D3">
      <w:pPr>
        <w:pStyle w:val="46"/>
        <w:bidi w:val="0"/>
        <w:spacing w:line="360" w:lineRule="auto"/>
        <w:rPr>
          <w:rFonts w:hint="eastAsia" w:hAnsi="宋体" w:cs="宋体"/>
          <w:color w:val="auto"/>
          <w:highlight w:val="non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lang w:val="en-US" w:eastAsia="zh-CN"/>
        </w:rPr>
        <w:t xml:space="preserve">        /          </w:t>
      </w:r>
      <w:r>
        <w:rPr>
          <w:rFonts w:hint="eastAsia" w:hAnsi="宋体" w:cs="宋体"/>
          <w:color w:val="auto"/>
          <w:highlight w:val="none"/>
        </w:rPr>
        <w:t>。</w:t>
      </w:r>
    </w:p>
    <w:p w14:paraId="0B1F2064">
      <w:pPr>
        <w:pStyle w:val="46"/>
        <w:bidi w:val="0"/>
        <w:spacing w:line="360" w:lineRule="auto"/>
        <w:ind w:firstLine="420" w:firstLineChars="200"/>
        <w:rPr>
          <w:rStyle w:val="26"/>
          <w:rFonts w:hint="eastAsia" w:ascii="宋体" w:hAnsi="宋体" w:cs="宋体"/>
          <w:color w:val="auto"/>
          <w:szCs w:val="21"/>
          <w:highlight w:val="none"/>
          <w:u w:val="single"/>
        </w:rPr>
      </w:pPr>
      <w:r>
        <w:rPr>
          <w:rStyle w:val="26"/>
          <w:rFonts w:hint="eastAsia" w:ascii="宋体" w:hAnsi="宋体" w:cs="宋体"/>
          <w:color w:val="auto"/>
          <w:szCs w:val="21"/>
          <w:highlight w:val="none"/>
        </w:rPr>
        <w:t>将施工所需的水、电、电讯线路接至施工场地的时间、地点和供应要求：</w:t>
      </w:r>
      <w:r>
        <w:rPr>
          <w:rStyle w:val="26"/>
          <w:rFonts w:hint="eastAsia" w:ascii="宋体" w:hAnsi="宋体" w:cs="宋体"/>
          <w:color w:val="auto"/>
          <w:szCs w:val="21"/>
          <w:highlight w:val="none"/>
          <w:u w:val="single"/>
        </w:rPr>
        <w:t xml:space="preserve">  施工现场临时道路、水、电、电讯线路等费用由承包人在</w:t>
      </w:r>
      <w:r>
        <w:rPr>
          <w:rStyle w:val="26"/>
          <w:rFonts w:hint="eastAsia" w:ascii="宋体" w:hAnsi="宋体" w:cs="宋体"/>
          <w:color w:val="auto"/>
          <w:szCs w:val="21"/>
          <w:highlight w:val="none"/>
          <w:u w:val="single"/>
          <w:lang w:val="en-US" w:eastAsia="zh-CN"/>
        </w:rPr>
        <w:t>竞标</w:t>
      </w:r>
      <w:r>
        <w:rPr>
          <w:rStyle w:val="26"/>
          <w:rFonts w:hint="eastAsia" w:ascii="宋体" w:hAnsi="宋体" w:cs="宋体"/>
          <w:color w:val="auto"/>
          <w:szCs w:val="21"/>
          <w:highlight w:val="none"/>
          <w:u w:val="single"/>
        </w:rPr>
        <w:t>报价中自行考虑。若供水、供电部门的原因造成停水、停电，承包人必须自行解决施工用水、用电，费用自理  。</w:t>
      </w:r>
    </w:p>
    <w:p w14:paraId="1DBFEEDD">
      <w:pPr>
        <w:pStyle w:val="4"/>
        <w:ind w:left="0" w:leftChars="0" w:firstLine="643" w:firstLineChars="200"/>
        <w:rPr>
          <w:color w:val="auto"/>
          <w:highlight w:val="none"/>
        </w:rPr>
      </w:pPr>
      <w:bookmarkStart w:id="268" w:name="_Toc373227705"/>
      <w:bookmarkStart w:id="269" w:name="_Toc389065271"/>
      <w:bookmarkStart w:id="270" w:name="_Toc407135207"/>
      <w:bookmarkStart w:id="271" w:name="_Toc7469"/>
      <w:bookmarkStart w:id="272" w:name="_Toc373478352"/>
      <w:r>
        <w:rPr>
          <w:color w:val="auto"/>
          <w:highlight w:val="none"/>
        </w:rPr>
        <w:t xml:space="preserve">2.5 </w:t>
      </w:r>
      <w:r>
        <w:rPr>
          <w:rFonts w:hint="eastAsia" w:cs="黑体"/>
          <w:color w:val="auto"/>
          <w:highlight w:val="none"/>
        </w:rPr>
        <w:t>资金来源证明及支付担保</w:t>
      </w:r>
      <w:bookmarkEnd w:id="268"/>
      <w:bookmarkEnd w:id="269"/>
      <w:bookmarkEnd w:id="270"/>
      <w:bookmarkEnd w:id="271"/>
      <w:bookmarkEnd w:id="272"/>
    </w:p>
    <w:p w14:paraId="68FA2E38">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812A9C9">
      <w:pPr>
        <w:spacing w:line="360" w:lineRule="auto"/>
        <w:ind w:firstLine="420" w:firstLineChars="200"/>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5F447BA">
      <w:pPr>
        <w:spacing w:line="360" w:lineRule="auto"/>
        <w:ind w:firstLine="420" w:firstLineChars="200"/>
        <w:rPr>
          <w:rFonts w:hAnsi="宋体"/>
          <w:color w:val="auto"/>
          <w:highlight w:val="none"/>
        </w:rPr>
      </w:pPr>
      <w:r>
        <w:rPr>
          <w:rFonts w:hint="eastAsia" w:hAnsi="宋体" w:cs="宋体"/>
          <w:color w:val="auto"/>
          <w:highlight w:val="none"/>
        </w:rPr>
        <w:t>发包人提供支付担保的形式：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C33BDA1">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41821C6">
      <w:pPr>
        <w:pStyle w:val="3"/>
        <w:rPr>
          <w:color w:val="auto"/>
          <w:highlight w:val="none"/>
        </w:rPr>
      </w:pPr>
      <w:bookmarkStart w:id="273" w:name="_Toc373227706"/>
      <w:bookmarkStart w:id="274" w:name="_Toc407135208"/>
      <w:bookmarkStart w:id="275" w:name="_Toc373478353"/>
      <w:bookmarkStart w:id="276" w:name="_Toc11387"/>
      <w:bookmarkStart w:id="277" w:name="_Toc389065272"/>
      <w:bookmarkStart w:id="278" w:name="_Toc351203635"/>
      <w:r>
        <w:rPr>
          <w:color w:val="auto"/>
          <w:highlight w:val="none"/>
        </w:rPr>
        <w:t>3</w:t>
      </w:r>
      <w:bookmarkStart w:id="279" w:name="_Toc296503158"/>
      <w:bookmarkStart w:id="280" w:name="_Toc292559363"/>
      <w:bookmarkStart w:id="281" w:name="_Toc297120458"/>
      <w:bookmarkStart w:id="282" w:name="_Toc296346659"/>
      <w:bookmarkStart w:id="283" w:name="_Toc296891198"/>
      <w:bookmarkStart w:id="284" w:name="_Toc297048344"/>
      <w:bookmarkStart w:id="285" w:name="_Toc296347157"/>
      <w:bookmarkStart w:id="286" w:name="_Toc296944497"/>
      <w:bookmarkStart w:id="287" w:name="_Toc296890986"/>
      <w:bookmarkStart w:id="288" w:name="_Toc292559868"/>
      <w:r>
        <w:rPr>
          <w:color w:val="auto"/>
          <w:highlight w:val="none"/>
        </w:rPr>
        <w:t xml:space="preserve">. </w:t>
      </w:r>
      <w:r>
        <w:rPr>
          <w:rFonts w:hint="eastAsia" w:hAnsi="宋体" w:cs="黑体"/>
          <w:color w:val="auto"/>
          <w:highlight w:val="none"/>
        </w:rPr>
        <w:t>承包人</w:t>
      </w:r>
      <w:bookmarkEnd w:id="273"/>
      <w:bookmarkEnd w:id="274"/>
      <w:bookmarkEnd w:id="275"/>
      <w:bookmarkEnd w:id="276"/>
      <w:bookmarkEnd w:id="277"/>
      <w:bookmarkEnd w:id="278"/>
    </w:p>
    <w:bookmarkEnd w:id="279"/>
    <w:bookmarkEnd w:id="280"/>
    <w:bookmarkEnd w:id="281"/>
    <w:bookmarkEnd w:id="282"/>
    <w:bookmarkEnd w:id="283"/>
    <w:bookmarkEnd w:id="284"/>
    <w:bookmarkEnd w:id="285"/>
    <w:bookmarkEnd w:id="286"/>
    <w:bookmarkEnd w:id="287"/>
    <w:bookmarkEnd w:id="288"/>
    <w:p w14:paraId="67D21F93">
      <w:pPr>
        <w:pStyle w:val="4"/>
        <w:rPr>
          <w:color w:val="auto"/>
          <w:highlight w:val="none"/>
        </w:rPr>
      </w:pPr>
      <w:bookmarkStart w:id="289" w:name="_Toc373227707"/>
      <w:bookmarkStart w:id="290" w:name="_Toc389065273"/>
      <w:bookmarkStart w:id="291" w:name="_Toc373478354"/>
      <w:bookmarkStart w:id="292" w:name="_Toc407135209"/>
      <w:bookmarkStart w:id="293" w:name="_Toc24830"/>
      <w:r>
        <w:rPr>
          <w:color w:val="auto"/>
          <w:highlight w:val="none"/>
        </w:rPr>
        <w:t xml:space="preserve">3.1 </w:t>
      </w:r>
      <w:r>
        <w:rPr>
          <w:rFonts w:hint="eastAsia" w:cs="黑体"/>
          <w:color w:val="auto"/>
          <w:highlight w:val="none"/>
        </w:rPr>
        <w:t>承包人的一般义务</w:t>
      </w:r>
      <w:bookmarkEnd w:id="289"/>
      <w:bookmarkEnd w:id="290"/>
      <w:bookmarkEnd w:id="291"/>
      <w:bookmarkEnd w:id="292"/>
      <w:bookmarkEnd w:id="293"/>
    </w:p>
    <w:p w14:paraId="084C85A4">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1、完整准确的竣工图纸 2、竣工内业资料</w:t>
      </w:r>
      <w:r>
        <w:rPr>
          <w:color w:val="auto"/>
          <w:highlight w:val="none"/>
          <w:u w:val="single"/>
        </w:rPr>
        <w:t xml:space="preserve"> </w:t>
      </w:r>
      <w:r>
        <w:rPr>
          <w:rFonts w:hint="eastAsia" w:hAnsi="宋体" w:cs="宋体"/>
          <w:color w:val="auto"/>
          <w:highlight w:val="none"/>
        </w:rPr>
        <w:t>。</w:t>
      </w:r>
    </w:p>
    <w:p w14:paraId="497D84BB">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肆套</w:t>
      </w:r>
      <w:r>
        <w:rPr>
          <w:color w:val="auto"/>
          <w:highlight w:val="none"/>
          <w:u w:val="single"/>
        </w:rPr>
        <w:t xml:space="preserve">    </w:t>
      </w:r>
      <w:r>
        <w:rPr>
          <w:rFonts w:hint="eastAsia" w:hAnsi="宋体" w:cs="宋体"/>
          <w:color w:val="auto"/>
          <w:highlight w:val="none"/>
        </w:rPr>
        <w:t>。</w:t>
      </w:r>
    </w:p>
    <w:p w14:paraId="47FF65F0">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s="宋体"/>
          <w:color w:val="auto"/>
          <w:highlight w:val="none"/>
        </w:rPr>
        <w:t>。</w:t>
      </w:r>
    </w:p>
    <w:p w14:paraId="395DFD3F">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竣工验收合格之日起三个月内</w:t>
      </w:r>
      <w:r>
        <w:rPr>
          <w:color w:val="auto"/>
          <w:highlight w:val="none"/>
          <w:u w:val="single"/>
        </w:rPr>
        <w:t xml:space="preserve">  </w:t>
      </w:r>
      <w:r>
        <w:rPr>
          <w:rFonts w:hint="eastAsia" w:hAnsi="宋体" w:cs="宋体"/>
          <w:color w:val="auto"/>
          <w:highlight w:val="none"/>
        </w:rPr>
        <w:t>。</w:t>
      </w:r>
    </w:p>
    <w:p w14:paraId="58CCDA71">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 xml:space="preserve">符合《建设工程文件归档整理规范》的要求 </w:t>
      </w:r>
      <w:r>
        <w:rPr>
          <w:color w:val="auto"/>
          <w:highlight w:val="none"/>
          <w:u w:val="single"/>
        </w:rPr>
        <w:t xml:space="preserve"> </w:t>
      </w:r>
      <w:r>
        <w:rPr>
          <w:rFonts w:hint="eastAsia" w:hAnsi="宋体" w:cs="宋体"/>
          <w:color w:val="auto"/>
          <w:highlight w:val="none"/>
        </w:rPr>
        <w:t>。</w:t>
      </w:r>
    </w:p>
    <w:p w14:paraId="46BC5E76">
      <w:pPr>
        <w:spacing w:line="360" w:lineRule="auto"/>
        <w:ind w:firstLine="420" w:firstLineChars="200"/>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0DA4E728">
      <w:pPr>
        <w:spacing w:line="360" w:lineRule="auto"/>
        <w:ind w:firstLine="420" w:firstLineChars="200"/>
        <w:rPr>
          <w:color w:val="auto"/>
          <w:kern w:val="0"/>
          <w:highlight w:val="none"/>
        </w:rPr>
      </w:pPr>
      <w:r>
        <w:rPr>
          <w:color w:val="auto"/>
          <w:kern w:val="0"/>
          <w:highlight w:val="none"/>
          <w:u w:val="single"/>
        </w:rPr>
        <w:t xml:space="preserve"> </w:t>
      </w:r>
      <w:r>
        <w:rPr>
          <w:rFonts w:hint="eastAsia"/>
          <w:color w:val="auto"/>
          <w:kern w:val="0"/>
          <w:highlight w:val="none"/>
          <w:u w:val="single"/>
        </w:rPr>
        <w:t>按本合同通用条款 3.1 条执行</w:t>
      </w:r>
      <w:r>
        <w:rPr>
          <w:color w:val="auto"/>
          <w:kern w:val="0"/>
          <w:highlight w:val="none"/>
          <w:u w:val="single"/>
        </w:rPr>
        <w:t xml:space="preserve">   </w:t>
      </w:r>
      <w:r>
        <w:rPr>
          <w:rFonts w:hint="eastAsia" w:hAnsi="宋体" w:cs="宋体"/>
          <w:color w:val="auto"/>
          <w:kern w:val="0"/>
          <w:highlight w:val="none"/>
        </w:rPr>
        <w:t>。</w:t>
      </w:r>
    </w:p>
    <w:p w14:paraId="65B284D4">
      <w:pPr>
        <w:pStyle w:val="4"/>
        <w:rPr>
          <w:color w:val="auto"/>
          <w:highlight w:val="none"/>
        </w:rPr>
      </w:pPr>
      <w:bookmarkStart w:id="294" w:name="_Toc389065274"/>
      <w:bookmarkStart w:id="295" w:name="_Toc30879"/>
      <w:bookmarkStart w:id="296" w:name="_Toc373478355"/>
      <w:bookmarkStart w:id="297" w:name="_Toc407135210"/>
      <w:bookmarkStart w:id="298" w:name="_Toc373227708"/>
      <w:r>
        <w:rPr>
          <w:color w:val="auto"/>
          <w:highlight w:val="none"/>
        </w:rPr>
        <w:t xml:space="preserve">3.2 </w:t>
      </w:r>
      <w:r>
        <w:rPr>
          <w:rFonts w:hint="eastAsia" w:hAnsi="宋体" w:cs="黑体"/>
          <w:color w:val="auto"/>
          <w:highlight w:val="none"/>
        </w:rPr>
        <w:t>项目经理</w:t>
      </w:r>
      <w:bookmarkEnd w:id="294"/>
      <w:bookmarkEnd w:id="295"/>
      <w:bookmarkEnd w:id="296"/>
      <w:bookmarkEnd w:id="297"/>
      <w:bookmarkEnd w:id="298"/>
    </w:p>
    <w:p w14:paraId="66FDCE8E">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3DE6FD21">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E789884">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BD2D9D2">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856DDB4">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631A108">
      <w:pPr>
        <w:spacing w:line="360" w:lineRule="auto"/>
        <w:ind w:firstLine="420" w:firstLineChars="200"/>
        <w:rPr>
          <w:color w:val="auto"/>
          <w:highlight w:val="none"/>
        </w:rPr>
      </w:pPr>
      <w:r>
        <w:rPr>
          <w:rFonts w:hAnsi="宋体"/>
          <w:color w:val="auto"/>
          <w:highlight w:val="none"/>
        </w:rPr>
        <w:t>建造师执业印章号：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5F2AF66">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990E31F">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8EF5E3">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C71575">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50CC2DD">
      <w:pPr>
        <w:spacing w:line="360" w:lineRule="auto"/>
        <w:ind w:firstLine="420" w:firstLineChars="200"/>
        <w:rPr>
          <w:rFonts w:hint="eastAsia"/>
          <w:color w:val="auto"/>
          <w:highlight w:val="none"/>
          <w:u w:val="singl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 xml:space="preserve">代表承包人履行合同，以承包人名义协调处理与本工程 </w:t>
      </w:r>
    </w:p>
    <w:p w14:paraId="614BAD8D">
      <w:pPr>
        <w:spacing w:line="360" w:lineRule="auto"/>
        <w:ind w:firstLine="420" w:firstLineChars="200"/>
        <w:rPr>
          <w:color w:val="auto"/>
          <w:highlight w:val="none"/>
        </w:rPr>
      </w:pPr>
      <w:r>
        <w:rPr>
          <w:rFonts w:hint="eastAsia"/>
          <w:color w:val="auto"/>
          <w:highlight w:val="none"/>
          <w:u w:val="single"/>
          <w:lang w:val="en-US" w:eastAsia="zh-CN"/>
        </w:rPr>
        <w:t>有关的对内对外相关事务，签署签证，签发文件</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0DAC8663">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color w:val="auto"/>
          <w:highlight w:val="none"/>
          <w:u w:val="single"/>
        </w:rPr>
        <w:t>每月带班生产时间不得少于施工时间的 80%</w:t>
      </w:r>
      <w:r>
        <w:rPr>
          <w:color w:val="auto"/>
          <w:highlight w:val="none"/>
          <w:u w:val="single"/>
        </w:rPr>
        <w:t xml:space="preserve"> </w:t>
      </w:r>
      <w:r>
        <w:rPr>
          <w:rFonts w:hint="eastAsia" w:hAnsi="宋体" w:cs="宋体"/>
          <w:color w:val="auto"/>
          <w:highlight w:val="none"/>
        </w:rPr>
        <w:t>。</w:t>
      </w:r>
    </w:p>
    <w:p w14:paraId="32DBEDB1">
      <w:pPr>
        <w:spacing w:line="360" w:lineRule="auto"/>
        <w:ind w:firstLine="420" w:firstLineChars="200"/>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hAnsi="宋体"/>
          <w:color w:val="auto"/>
          <w:highlight w:val="none"/>
          <w:u w:val="single"/>
        </w:rPr>
        <w:t>对有关承包人给予罚款，罚款金额视情节轻重而定</w:t>
      </w:r>
      <w:r>
        <w:rPr>
          <w:rFonts w:hAnsi="宋体"/>
          <w:color w:val="auto"/>
          <w:highlight w:val="none"/>
          <w:u w:val="single"/>
        </w:rPr>
        <w:t xml:space="preserve"> </w:t>
      </w:r>
      <w:r>
        <w:rPr>
          <w:rFonts w:hint="eastAsia" w:hAnsi="宋体" w:cs="宋体"/>
          <w:color w:val="auto"/>
          <w:highlight w:val="none"/>
        </w:rPr>
        <w:t>。</w:t>
      </w:r>
    </w:p>
    <w:p w14:paraId="5438AC9F">
      <w:pPr>
        <w:spacing w:line="360" w:lineRule="auto"/>
        <w:ind w:firstLine="420" w:firstLineChars="200"/>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442F46B1">
      <w:pPr>
        <w:spacing w:line="360" w:lineRule="auto"/>
        <w:ind w:firstLine="420" w:firstLineChars="200"/>
        <w:rPr>
          <w:rFonts w:hAnsi="宋体"/>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lang w:eastAsia="zh-CN"/>
        </w:rPr>
        <w:t>：</w:t>
      </w:r>
      <w:r>
        <w:rPr>
          <w:rFonts w:hint="eastAsia" w:hAnsi="宋体" w:cs="宋体"/>
          <w:color w:val="auto"/>
          <w:highlight w:val="none"/>
          <w:u w:val="single"/>
        </w:rPr>
        <w:t>承包人项目经理必须与承包人投标时所承诺的人员一致，并在（开工日期）前到任。在监理人向承包人颁发</w:t>
      </w:r>
      <w:r>
        <w:rPr>
          <w:color w:val="auto"/>
          <w:highlight w:val="none"/>
          <w:u w:val="single"/>
        </w:rPr>
        <w:t xml:space="preserve"> </w:t>
      </w:r>
      <w:r>
        <w:rPr>
          <w:rFonts w:hint="eastAsia" w:hAnsi="宋体" w:cs="宋体"/>
          <w:color w:val="auto"/>
          <w:highlight w:val="none"/>
          <w:u w:val="single"/>
        </w:rPr>
        <w:t>（竣工证明材料名称）</w:t>
      </w:r>
      <w:r>
        <w:rPr>
          <w:color w:val="auto"/>
          <w:highlight w:val="none"/>
          <w:u w:val="single"/>
        </w:rPr>
        <w:t xml:space="preserve"> </w:t>
      </w:r>
      <w:r>
        <w:rPr>
          <w:rFonts w:hint="eastAsia" w:hAnsi="宋体" w:cs="宋体"/>
          <w:color w:val="auto"/>
          <w:highlight w:val="none"/>
          <w:u w:val="single"/>
        </w:rPr>
        <w:t>前，项目经理不得同时兼任其他任何项目的项目经理</w:t>
      </w:r>
      <w:r>
        <w:rPr>
          <w:rFonts w:hint="eastAsia" w:hAnsi="宋体" w:cs="宋体"/>
          <w:color w:val="auto"/>
          <w:kern w:val="0"/>
          <w:highlight w:val="none"/>
          <w:u w:val="single"/>
        </w:rPr>
        <w:t>（符合桂建管</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w:t>
      </w:r>
      <w:r>
        <w:rPr>
          <w:color w:val="auto"/>
          <w:kern w:val="0"/>
          <w:highlight w:val="none"/>
          <w:u w:val="single"/>
        </w:rPr>
        <w:t>17</w:t>
      </w:r>
      <w:r>
        <w:rPr>
          <w:rFonts w:hint="eastAsia" w:hAnsi="宋体" w:cs="宋体"/>
          <w:color w:val="auto"/>
          <w:kern w:val="0"/>
          <w:highlight w:val="none"/>
          <w:u w:val="single"/>
        </w:rPr>
        <w:t>号和</w:t>
      </w:r>
      <w:r>
        <w:rPr>
          <w:rFonts w:hint="eastAsia" w:hAnsi="宋体" w:cs="宋体"/>
          <w:color w:val="auto"/>
          <w:highlight w:val="none"/>
          <w:u w:val="single"/>
        </w:rPr>
        <w:t>桂建管﹝</w:t>
      </w:r>
      <w:r>
        <w:rPr>
          <w:color w:val="auto"/>
          <w:highlight w:val="none"/>
          <w:u w:val="single"/>
        </w:rPr>
        <w:t>2014</w:t>
      </w:r>
      <w:r>
        <w:rPr>
          <w:rFonts w:hint="eastAsia" w:hAnsi="宋体" w:cs="宋体"/>
          <w:color w:val="auto"/>
          <w:highlight w:val="none"/>
          <w:u w:val="single"/>
        </w:rPr>
        <w:t>﹞</w:t>
      </w:r>
      <w:r>
        <w:rPr>
          <w:color w:val="auto"/>
          <w:highlight w:val="none"/>
          <w:u w:val="single"/>
        </w:rPr>
        <w:t>25</w:t>
      </w:r>
      <w:r>
        <w:rPr>
          <w:rFonts w:hint="eastAsia" w:hAnsi="宋体" w:cs="宋体"/>
          <w:color w:val="auto"/>
          <w:highlight w:val="none"/>
          <w:u w:val="single"/>
        </w:rPr>
        <w:t>号</w:t>
      </w:r>
      <w:r>
        <w:rPr>
          <w:rFonts w:hint="eastAsia" w:hAnsi="宋体" w:cs="宋体"/>
          <w:color w:val="auto"/>
          <w:kern w:val="0"/>
          <w:highlight w:val="none"/>
          <w:u w:val="single"/>
        </w:rPr>
        <w:t>文除外）</w:t>
      </w:r>
      <w:r>
        <w:rPr>
          <w:rFonts w:hint="eastAsia" w:hAnsi="宋体" w:cs="宋体"/>
          <w:color w:val="auto"/>
          <w:highlight w:val="none"/>
          <w:u w:val="single"/>
        </w:rPr>
        <w:t>。未经发包人书面同意，承包人擅自更换项目经理的视为违约，违约金处500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C4EAEDF">
      <w:pPr>
        <w:spacing w:line="360" w:lineRule="auto"/>
        <w:ind w:firstLine="420" w:firstLineChars="200"/>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lang w:eastAsia="zh-CN"/>
        </w:rPr>
        <w:t>：</w:t>
      </w:r>
      <w:r>
        <w:rPr>
          <w:rFonts w:hint="eastAsia" w:hAnsi="宋体" w:cs="宋体"/>
          <w:color w:val="auto"/>
          <w:highlight w:val="none"/>
          <w:u w:val="single"/>
        </w:rPr>
        <w:t>因承包人项目经理不称职，发包人要求调换而未及时调换的，视为承包人违约，必须向发包人交纳处罚金500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890DDA4">
      <w:pPr>
        <w:pStyle w:val="4"/>
        <w:rPr>
          <w:color w:val="auto"/>
          <w:highlight w:val="none"/>
        </w:rPr>
      </w:pPr>
      <w:bookmarkStart w:id="299" w:name="_Toc407135211"/>
      <w:bookmarkStart w:id="300" w:name="_Toc389065275"/>
      <w:bookmarkStart w:id="301" w:name="_Toc373227709"/>
      <w:bookmarkStart w:id="302" w:name="_Toc373478356"/>
      <w:bookmarkStart w:id="303" w:name="_Toc15597"/>
      <w:r>
        <w:rPr>
          <w:color w:val="auto"/>
          <w:highlight w:val="none"/>
        </w:rPr>
        <w:t xml:space="preserve">3.3 </w:t>
      </w:r>
      <w:r>
        <w:rPr>
          <w:rFonts w:hint="eastAsia" w:hAnsi="宋体" w:cs="黑体"/>
          <w:color w:val="auto"/>
          <w:highlight w:val="none"/>
        </w:rPr>
        <w:t>承包人人员</w:t>
      </w:r>
      <w:bookmarkEnd w:id="299"/>
      <w:bookmarkEnd w:id="300"/>
      <w:bookmarkEnd w:id="301"/>
      <w:bookmarkEnd w:id="302"/>
      <w:bookmarkEnd w:id="303"/>
    </w:p>
    <w:p w14:paraId="7DFDDA4C">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4B02C814">
      <w:pPr>
        <w:spacing w:line="360" w:lineRule="auto"/>
        <w:rPr>
          <w:color w:val="auto"/>
          <w:highlight w:val="none"/>
        </w:rPr>
      </w:pPr>
      <w:r>
        <w:rPr>
          <w:color w:val="auto"/>
          <w:highlight w:val="none"/>
          <w:u w:val="single"/>
        </w:rPr>
        <w:t xml:space="preserve"> </w:t>
      </w:r>
      <w:r>
        <w:rPr>
          <w:rFonts w:hint="eastAsia"/>
          <w:color w:val="auto"/>
          <w:highlight w:val="none"/>
          <w:u w:val="single"/>
        </w:rPr>
        <w:t>接到开工通知之日起 7 天内</w:t>
      </w:r>
      <w:r>
        <w:rPr>
          <w:color w:val="auto"/>
          <w:highlight w:val="none"/>
          <w:u w:val="single"/>
        </w:rPr>
        <w:t xml:space="preserve"> </w:t>
      </w:r>
      <w:r>
        <w:rPr>
          <w:rFonts w:hint="eastAsia" w:hAnsi="宋体" w:cs="宋体"/>
          <w:color w:val="auto"/>
          <w:highlight w:val="none"/>
        </w:rPr>
        <w:t>。</w:t>
      </w:r>
    </w:p>
    <w:p w14:paraId="6FFE2F7B">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8117A93">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 xml:space="preserve">承包人的主要施工管理人员离开施工现场每月累计不超过 5 天的，应报监理人同意；离开施工现场每月累计超过 5 天的，应通知监理人，并征得发包人书面同意。主要施工管理人员离开施工现场前应指定一名有经验的人员临时代行其职责，该人员应具备履行相应职责的资格和能力，且应征得监理人或发包人的同意 </w:t>
      </w:r>
      <w:r>
        <w:rPr>
          <w:rFonts w:hint="eastAsia" w:hAnsi="宋体" w:cs="宋体"/>
          <w:color w:val="auto"/>
          <w:highlight w:val="none"/>
        </w:rPr>
        <w:t>。</w:t>
      </w:r>
    </w:p>
    <w:p w14:paraId="7202CEBE">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项目技术负责人、专职安全员及其承诺的其它在场管理人员未经发包人书面同意不准擅自更换，擅自更换项目技术负责人处500元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违约金；擅自更换专职安全员处</w:t>
      </w:r>
      <w:r>
        <w:rPr>
          <w:color w:val="auto"/>
          <w:highlight w:val="none"/>
          <w:u w:val="single"/>
        </w:rPr>
        <w:t xml:space="preserve"> </w:t>
      </w:r>
      <w:r>
        <w:rPr>
          <w:rFonts w:hint="eastAsia"/>
          <w:color w:val="auto"/>
          <w:highlight w:val="none"/>
          <w:u w:val="single"/>
        </w:rPr>
        <w:t>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229FAFA9">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；未经发包人同意，专职安全员擅自离岗的，视为承包人违约，发包人有权处违约金200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；其它在场管理人员擅自离岗的，视为承包人违约，发包人有权处违约金200元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2EDD5E4F">
      <w:pPr>
        <w:pStyle w:val="4"/>
        <w:rPr>
          <w:color w:val="auto"/>
          <w:highlight w:val="none"/>
        </w:rPr>
      </w:pPr>
      <w:bookmarkStart w:id="304" w:name="_Toc373478357"/>
      <w:bookmarkStart w:id="305" w:name="_Toc3683"/>
      <w:bookmarkStart w:id="306" w:name="_Toc373227710"/>
      <w:bookmarkStart w:id="307" w:name="_Toc389065276"/>
      <w:bookmarkStart w:id="308" w:name="_Toc407135212"/>
      <w:r>
        <w:rPr>
          <w:color w:val="auto"/>
          <w:highlight w:val="none"/>
        </w:rPr>
        <w:t>3</w:t>
      </w:r>
      <w:bookmarkStart w:id="309" w:name="_Toc300934945"/>
      <w:bookmarkStart w:id="310" w:name="_Toc297120459"/>
      <w:bookmarkStart w:id="311" w:name="_Toc297216151"/>
      <w:bookmarkStart w:id="312" w:name="_Toc296891199"/>
      <w:bookmarkStart w:id="313" w:name="_Toc312677988"/>
      <w:bookmarkStart w:id="314" w:name="_Toc296503159"/>
      <w:bookmarkStart w:id="315" w:name="_Toc303539102"/>
      <w:bookmarkStart w:id="316" w:name="_Toc292559364"/>
      <w:bookmarkStart w:id="317" w:name="_Toc292559869"/>
      <w:bookmarkStart w:id="318" w:name="_Toc296346660"/>
      <w:bookmarkStart w:id="319" w:name="_Toc296890987"/>
      <w:bookmarkStart w:id="320" w:name="_Toc296944498"/>
      <w:bookmarkStart w:id="321" w:name="_Toc296347158"/>
      <w:bookmarkStart w:id="322" w:name="_Toc297048345"/>
      <w:bookmarkStart w:id="323" w:name="_Toc297123492"/>
      <w:bookmarkStart w:id="324" w:name="_Toc304295523"/>
      <w:r>
        <w:rPr>
          <w:color w:val="auto"/>
          <w:highlight w:val="none"/>
        </w:rPr>
        <w:t xml:space="preserve">.5 </w:t>
      </w:r>
      <w:r>
        <w:rPr>
          <w:rFonts w:hint="eastAsia" w:hAnsi="宋体" w:cs="黑体"/>
          <w:color w:val="auto"/>
          <w:highlight w:val="none"/>
        </w:rPr>
        <w:t>分包</w:t>
      </w:r>
      <w:bookmarkEnd w:id="304"/>
      <w:bookmarkEnd w:id="305"/>
      <w:bookmarkEnd w:id="306"/>
      <w:bookmarkEnd w:id="307"/>
      <w:bookmarkEnd w:id="308"/>
    </w:p>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14:paraId="05E897CC">
      <w:pPr>
        <w:spacing w:line="360" w:lineRule="auto"/>
        <w:ind w:firstLine="420" w:firstLineChars="200"/>
        <w:rPr>
          <w:color w:val="auto"/>
          <w:highlight w:val="none"/>
        </w:rPr>
      </w:pPr>
      <w:r>
        <w:rPr>
          <w:color w:val="auto"/>
          <w:highlight w:val="none"/>
        </w:rPr>
        <w:t>3</w:t>
      </w:r>
      <w:bookmarkStart w:id="325" w:name="_Toc292559365"/>
      <w:bookmarkStart w:id="326" w:name="_Toc297120460"/>
      <w:bookmarkStart w:id="327" w:name="_Toc318581158"/>
      <w:bookmarkStart w:id="328" w:name="_Toc292559870"/>
      <w:bookmarkStart w:id="329" w:name="_Toc296347159"/>
      <w:bookmarkStart w:id="330" w:name="_Toc312677989"/>
      <w:bookmarkStart w:id="331" w:name="_Toc296891200"/>
      <w:bookmarkStart w:id="332" w:name="_Toc296503160"/>
      <w:bookmarkStart w:id="333" w:name="_Toc297048346"/>
      <w:bookmarkStart w:id="334" w:name="_Toc296890988"/>
      <w:bookmarkStart w:id="335" w:name="_Toc297216152"/>
      <w:bookmarkStart w:id="336" w:name="_Toc297123493"/>
      <w:bookmarkStart w:id="337" w:name="_Toc296944499"/>
      <w:bookmarkStart w:id="338" w:name="_Toc300934946"/>
      <w:bookmarkStart w:id="339" w:name="_Toc304295524"/>
      <w:bookmarkStart w:id="340" w:name="_Toc303539103"/>
      <w:bookmarkStart w:id="341" w:name="_Toc296346661"/>
      <w:r>
        <w:rPr>
          <w:color w:val="auto"/>
          <w:highlight w:val="none"/>
        </w:rPr>
        <w:t xml:space="preserve">.5.1 </w:t>
      </w:r>
      <w:r>
        <w:rPr>
          <w:rFonts w:hint="eastAsia" w:hAnsi="宋体" w:cs="宋体"/>
          <w:color w:val="auto"/>
          <w:highlight w:val="none"/>
        </w:rPr>
        <w:t>分包的一般约定</w:t>
      </w:r>
    </w:p>
    <w:p w14:paraId="3A52AD96">
      <w:pPr>
        <w:spacing w:line="360" w:lineRule="auto"/>
        <w:ind w:firstLine="420" w:firstLineChars="200"/>
        <w:jc w:val="left"/>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本工程不允许分包（除劳务分包以外）</w:t>
      </w:r>
      <w:r>
        <w:rPr>
          <w:color w:val="auto"/>
          <w:highlight w:val="none"/>
          <w:u w:val="single"/>
        </w:rPr>
        <w:t xml:space="preserve">     </w:t>
      </w:r>
      <w:r>
        <w:rPr>
          <w:rFonts w:hint="eastAsia" w:hAnsi="宋体" w:cs="宋体"/>
          <w:color w:val="auto"/>
          <w:highlight w:val="none"/>
        </w:rPr>
        <w:t>。</w:t>
      </w:r>
    </w:p>
    <w:p w14:paraId="23821E56">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AD32D11">
      <w:pPr>
        <w:spacing w:line="360" w:lineRule="auto"/>
        <w:ind w:firstLine="420" w:firstLineChars="200"/>
        <w:jc w:val="left"/>
        <w:rPr>
          <w:color w:val="auto"/>
          <w:highlight w:val="none"/>
        </w:rPr>
      </w:pPr>
      <w:r>
        <w:rPr>
          <w:color w:val="auto"/>
          <w:highlight w:val="none"/>
        </w:rPr>
        <w:t>3</w:t>
      </w:r>
      <w:bookmarkStart w:id="342" w:name="_Toc318581159"/>
      <w:bookmarkStart w:id="343" w:name="_Toc312677990"/>
      <w:r>
        <w:rPr>
          <w:color w:val="auto"/>
          <w:highlight w:val="none"/>
        </w:rPr>
        <w:t xml:space="preserve">.5.2 </w:t>
      </w:r>
      <w:r>
        <w:rPr>
          <w:rFonts w:hint="eastAsia" w:hAnsi="宋体" w:cs="宋体"/>
          <w:color w:val="auto"/>
          <w:highlight w:val="none"/>
        </w:rPr>
        <w:t>分包的确定</w:t>
      </w:r>
    </w:p>
    <w:p w14:paraId="7155E31C">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5B6EF37">
      <w:pPr>
        <w:spacing w:line="360" w:lineRule="auto"/>
        <w:ind w:firstLine="420" w:firstLineChars="200"/>
        <w:rPr>
          <w:color w:val="auto"/>
          <w:highlight w:val="none"/>
        </w:rPr>
      </w:pPr>
      <w:r>
        <w:rPr>
          <w:rFonts w:hint="eastAsia" w:hAnsi="宋体" w:cs="宋体"/>
          <w:color w:val="auto"/>
          <w:highlight w:val="none"/>
        </w:rPr>
        <w:t>其他关于分包的约定：</w:t>
      </w:r>
    </w:p>
    <w:p w14:paraId="23FA6FFA">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1B286DBF">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233E869A">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延误的工期由发包人承担。</w:t>
      </w:r>
    </w:p>
    <w:p w14:paraId="12AAB7A8">
      <w:pPr>
        <w:pStyle w:val="15"/>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4C15426D">
      <w:pPr>
        <w:pStyle w:val="15"/>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12C8C12">
      <w:pPr>
        <w:pStyle w:val="15"/>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63956F19">
      <w:pPr>
        <w:pStyle w:val="15"/>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5C973FB1">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w:t>
      </w:r>
      <w:r>
        <w:rPr>
          <w:rFonts w:hint="eastAsia" w:hAnsi="宋体" w:cs="宋体"/>
          <w:color w:val="auto"/>
          <w:highlight w:val="none"/>
          <w:lang w:eastAsia="zh-CN"/>
        </w:rPr>
        <w:t>挂钩</w:t>
      </w:r>
      <w:r>
        <w:rPr>
          <w:rFonts w:hint="eastAsia" w:hAnsi="宋体" w:cs="宋体"/>
          <w:color w:val="auto"/>
          <w:highlight w:val="none"/>
        </w:rPr>
        <w:t>单位，凭口头协议参与施工的分包人及其他暗分包个体户），一经发现核实，发包人将采取驱逐该暗分包人措施。没收全部履约保证金。</w:t>
      </w:r>
    </w:p>
    <w:p w14:paraId="50182308">
      <w:pPr>
        <w:spacing w:line="360" w:lineRule="auto"/>
        <w:ind w:firstLine="420" w:firstLineChars="200"/>
        <w:rPr>
          <w:color w:val="auto"/>
          <w:highlight w:val="none"/>
        </w:rPr>
      </w:pPr>
      <w:r>
        <w:rPr>
          <w:color w:val="auto"/>
          <w:highlight w:val="none"/>
        </w:rPr>
        <w:t>3.5.</w:t>
      </w:r>
      <w:r>
        <w:rPr>
          <w:rFonts w:hint="eastAsia"/>
          <w:color w:val="auto"/>
          <w:highlight w:val="none"/>
        </w:rPr>
        <w:t>3</w:t>
      </w:r>
      <w:r>
        <w:rPr>
          <w:rFonts w:hint="eastAsia" w:hAnsi="宋体" w:cs="宋体"/>
          <w:color w:val="auto"/>
          <w:highlight w:val="none"/>
        </w:rPr>
        <w:t>分包合同价款</w:t>
      </w:r>
    </w:p>
    <w:bookmarkEnd w:id="342"/>
    <w:bookmarkEnd w:id="343"/>
    <w:p w14:paraId="0132440C">
      <w:pPr>
        <w:spacing w:line="360" w:lineRule="auto"/>
        <w:ind w:firstLine="420" w:firstLineChars="200"/>
        <w:rPr>
          <w:color w:val="auto"/>
          <w:highlight w:val="none"/>
        </w:rPr>
      </w:pPr>
      <w:bookmarkStart w:id="344" w:name="_Toc389065277"/>
      <w:bookmarkStart w:id="345" w:name="_Toc407135213"/>
      <w:bookmarkStart w:id="346" w:name="_Toc373478358"/>
      <w:bookmarkStart w:id="347"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1665149">
      <w:pPr>
        <w:pStyle w:val="4"/>
        <w:rPr>
          <w:color w:val="auto"/>
          <w:highlight w:val="none"/>
        </w:rPr>
      </w:pPr>
      <w:bookmarkStart w:id="348" w:name="_Toc16138"/>
      <w:r>
        <w:rPr>
          <w:color w:val="auto"/>
          <w:highlight w:val="none"/>
        </w:rPr>
        <w:t xml:space="preserve">3.6 </w:t>
      </w:r>
      <w:r>
        <w:rPr>
          <w:rFonts w:hint="eastAsia" w:cs="黑体"/>
          <w:color w:val="auto"/>
          <w:highlight w:val="none"/>
        </w:rPr>
        <w:t>工程照管与成品、半成品保护</w:t>
      </w:r>
      <w:bookmarkEnd w:id="344"/>
      <w:bookmarkEnd w:id="345"/>
      <w:bookmarkEnd w:id="346"/>
      <w:bookmarkEnd w:id="347"/>
      <w:bookmarkEnd w:id="348"/>
    </w:p>
    <w:p w14:paraId="7AB9139B">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自发包人向承包人移交施工现场之日起，承包人应负责照管工程及工程相关的材料、工程设备，直到颁发工程接收证书之日止</w:t>
      </w:r>
      <w:r>
        <w:rPr>
          <w:color w:val="auto"/>
          <w:kern w:val="0"/>
          <w:highlight w:val="none"/>
          <w:u w:val="single"/>
        </w:rPr>
        <w:t xml:space="preserve">    </w:t>
      </w:r>
      <w:r>
        <w:rPr>
          <w:rFonts w:hint="eastAsia" w:hAnsi="宋体" w:cs="宋体"/>
          <w:color w:val="auto"/>
          <w:kern w:val="0"/>
          <w:highlight w:val="none"/>
        </w:rPr>
        <w:t>。</w:t>
      </w:r>
    </w:p>
    <w:p w14:paraId="12362823">
      <w:pPr>
        <w:pStyle w:val="4"/>
        <w:rPr>
          <w:color w:val="auto"/>
          <w:highlight w:val="none"/>
        </w:rPr>
      </w:pPr>
      <w:bookmarkStart w:id="349" w:name="_Toc389065278"/>
      <w:bookmarkStart w:id="350" w:name="_Toc373227712"/>
      <w:bookmarkStart w:id="351" w:name="_Toc373478359"/>
      <w:bookmarkStart w:id="352" w:name="_Toc407135214"/>
      <w:bookmarkStart w:id="353" w:name="_Toc32106"/>
      <w:r>
        <w:rPr>
          <w:color w:val="auto"/>
          <w:highlight w:val="none"/>
        </w:rPr>
        <w:t xml:space="preserve">3.7 </w:t>
      </w:r>
      <w:r>
        <w:rPr>
          <w:rFonts w:hint="eastAsia" w:hAnsi="宋体" w:cs="黑体"/>
          <w:color w:val="auto"/>
          <w:highlight w:val="none"/>
        </w:rPr>
        <w:t>履约</w:t>
      </w:r>
      <w:bookmarkEnd w:id="349"/>
      <w:bookmarkEnd w:id="350"/>
      <w:bookmarkEnd w:id="351"/>
      <w:r>
        <w:rPr>
          <w:rFonts w:hint="eastAsia" w:hAnsi="宋体" w:cs="黑体"/>
          <w:color w:val="auto"/>
          <w:highlight w:val="none"/>
        </w:rPr>
        <w:t>保证金</w:t>
      </w:r>
      <w:bookmarkEnd w:id="352"/>
      <w:bookmarkEnd w:id="353"/>
    </w:p>
    <w:p w14:paraId="668B7BB1">
      <w:pPr>
        <w:spacing w:line="360" w:lineRule="auto"/>
        <w:ind w:firstLine="420" w:firstLineChars="200"/>
        <w:rPr>
          <w:rFonts w:hint="eastAsia"/>
          <w:color w:val="auto"/>
          <w:highlight w:val="none"/>
          <w:u w:val="single"/>
        </w:rPr>
      </w:pPr>
      <w:bookmarkStart w:id="354" w:name="_Toc373227713"/>
      <w:bookmarkStart w:id="355" w:name="_Toc373478360"/>
      <w:bookmarkStart w:id="356" w:name="_Toc389065279"/>
      <w:bookmarkStart w:id="357" w:name="_Toc351203636"/>
      <w:r>
        <w:rPr>
          <w:rFonts w:hint="eastAsia" w:hAnsi="宋体" w:cs="宋体"/>
          <w:color w:val="auto"/>
          <w:highlight w:val="none"/>
        </w:rPr>
        <w:t>承包人提供履约担保的形式、金额及期限的：</w:t>
      </w:r>
      <w:r>
        <w:rPr>
          <w:rFonts w:hint="eastAsia" w:hAnsi="宋体" w:cs="宋体"/>
          <w:color w:val="auto"/>
          <w:highlight w:val="none"/>
          <w:u w:val="single"/>
        </w:rPr>
        <w:t>无</w:t>
      </w:r>
    </w:p>
    <w:p w14:paraId="7D6C47D9">
      <w:pPr>
        <w:spacing w:line="360" w:lineRule="auto"/>
        <w:ind w:firstLine="420" w:firstLineChars="200"/>
        <w:rPr>
          <w:rFonts w:hAnsi="宋体"/>
          <w:color w:val="auto"/>
          <w:highlight w:val="none"/>
          <w:u w:val="single"/>
        </w:rPr>
      </w:pPr>
      <w:r>
        <w:rPr>
          <w:rFonts w:hint="eastAsia" w:hAnsi="宋体" w:cs="宋体"/>
          <w:color w:val="auto"/>
          <w:highlight w:val="none"/>
          <w:u w:val="single"/>
        </w:rPr>
        <w:t>承包人在中标后</w:t>
      </w:r>
      <w:r>
        <w:rPr>
          <w:color w:val="auto"/>
          <w:highlight w:val="none"/>
          <w:u w:val="single"/>
        </w:rPr>
        <w:t>7</w:t>
      </w:r>
      <w:r>
        <w:rPr>
          <w:rFonts w:hint="eastAsia" w:hAnsi="宋体" w:cs="宋体"/>
          <w:color w:val="auto"/>
          <w:highlight w:val="none"/>
          <w:u w:val="single"/>
        </w:rPr>
        <w:t>个工作日内，按</w:t>
      </w:r>
      <w:r>
        <w:rPr>
          <w:rFonts w:hint="eastAsia"/>
          <w:color w:val="auto"/>
          <w:highlight w:val="none"/>
          <w:u w:val="single"/>
        </w:rPr>
        <w:t>玉林市</w:t>
      </w:r>
      <w:r>
        <w:rPr>
          <w:rFonts w:hint="eastAsia"/>
          <w:color w:val="auto"/>
          <w:highlight w:val="none"/>
          <w:u w:val="single"/>
          <w:lang w:eastAsia="zh-CN"/>
        </w:rPr>
        <w:t>住</w:t>
      </w:r>
      <w:r>
        <w:rPr>
          <w:rFonts w:hint="eastAsia"/>
          <w:color w:val="auto"/>
          <w:highlight w:val="none"/>
          <w:u w:val="single"/>
        </w:rPr>
        <w:t>房城乡建设行政主管部门</w:t>
      </w:r>
      <w:r>
        <w:rPr>
          <w:color w:val="auto"/>
          <w:highlight w:val="none"/>
          <w:u w:val="single"/>
        </w:rPr>
        <w:t xml:space="preserve"> </w:t>
      </w:r>
      <w:r>
        <w:rPr>
          <w:rFonts w:hint="eastAsia" w:hAnsi="宋体" w:cs="宋体"/>
          <w:color w:val="auto"/>
          <w:highlight w:val="none"/>
          <w:u w:val="single"/>
        </w:rPr>
        <w:t>（各市住房城乡建设行政主管部门规定）规定将农民工工资保障金存入</w:t>
      </w:r>
      <w:r>
        <w:rPr>
          <w:rFonts w:hint="eastAsia" w:hAnsi="宋体" w:cs="宋体"/>
          <w:color w:val="auto"/>
          <w:highlight w:val="none"/>
          <w:u w:val="single"/>
          <w:lang w:eastAsia="zh-CN"/>
        </w:rPr>
        <w:t>账</w:t>
      </w:r>
      <w:r>
        <w:rPr>
          <w:rFonts w:hint="eastAsia" w:hAnsi="宋体" w:cs="宋体"/>
          <w:color w:val="auto"/>
          <w:highlight w:val="none"/>
          <w:u w:val="single"/>
        </w:rPr>
        <w:t>户。工程竣工验收结算经审定后，按照规定程序，将农民工工资保障金没有使用或剩余的金额退还给承包人。</w:t>
      </w:r>
    </w:p>
    <w:p w14:paraId="5495B176">
      <w:pPr>
        <w:pStyle w:val="3"/>
        <w:rPr>
          <w:color w:val="auto"/>
          <w:highlight w:val="none"/>
        </w:rPr>
      </w:pPr>
      <w:bookmarkStart w:id="358" w:name="_Toc21244"/>
      <w:bookmarkStart w:id="359" w:name="_Toc407135215"/>
      <w:r>
        <w:rPr>
          <w:color w:val="auto"/>
          <w:highlight w:val="none"/>
        </w:rPr>
        <w:t>4</w:t>
      </w:r>
      <w:bookmarkStart w:id="360" w:name="_Toc296890990"/>
      <w:bookmarkStart w:id="361" w:name="_Toc296346663"/>
      <w:bookmarkStart w:id="362" w:name="_Toc296944501"/>
      <w:bookmarkStart w:id="363" w:name="_Toc296347161"/>
      <w:bookmarkStart w:id="364" w:name="_Toc297048348"/>
      <w:bookmarkStart w:id="365" w:name="_Toc296503162"/>
      <w:bookmarkStart w:id="366" w:name="_Toc296891202"/>
      <w:bookmarkStart w:id="367" w:name="_Toc267251413"/>
      <w:bookmarkStart w:id="368" w:name="_Toc292559366"/>
      <w:bookmarkStart w:id="369" w:name="_Toc297120462"/>
      <w:bookmarkStart w:id="370" w:name="_Toc292559871"/>
      <w:r>
        <w:rPr>
          <w:color w:val="auto"/>
          <w:highlight w:val="none"/>
        </w:rPr>
        <w:t xml:space="preserve">. </w:t>
      </w:r>
      <w:r>
        <w:rPr>
          <w:rFonts w:hint="eastAsia" w:hAnsi="宋体" w:cs="黑体"/>
          <w:color w:val="auto"/>
          <w:highlight w:val="none"/>
        </w:rPr>
        <w:t>监</w:t>
      </w:r>
      <w:bookmarkEnd w:id="360"/>
      <w:bookmarkEnd w:id="361"/>
      <w:bookmarkEnd w:id="362"/>
      <w:bookmarkEnd w:id="363"/>
      <w:bookmarkEnd w:id="364"/>
      <w:bookmarkEnd w:id="365"/>
      <w:bookmarkEnd w:id="366"/>
      <w:bookmarkEnd w:id="367"/>
      <w:bookmarkEnd w:id="368"/>
      <w:bookmarkEnd w:id="369"/>
      <w:bookmarkEnd w:id="370"/>
      <w:r>
        <w:rPr>
          <w:rFonts w:hint="eastAsia" w:hAnsi="宋体" w:cs="黑体"/>
          <w:color w:val="auto"/>
          <w:highlight w:val="none"/>
        </w:rPr>
        <w:t>理人</w:t>
      </w:r>
      <w:bookmarkEnd w:id="354"/>
      <w:bookmarkEnd w:id="355"/>
      <w:bookmarkEnd w:id="356"/>
      <w:bookmarkEnd w:id="357"/>
      <w:bookmarkEnd w:id="358"/>
      <w:bookmarkEnd w:id="359"/>
    </w:p>
    <w:p w14:paraId="6B9D57A7">
      <w:pPr>
        <w:pStyle w:val="4"/>
        <w:rPr>
          <w:color w:val="auto"/>
          <w:highlight w:val="none"/>
        </w:rPr>
      </w:pPr>
      <w:bookmarkStart w:id="371" w:name="_Toc373227714"/>
      <w:bookmarkStart w:id="372" w:name="_Toc373478361"/>
      <w:bookmarkStart w:id="373" w:name="_Toc23330"/>
      <w:bookmarkStart w:id="374" w:name="_Toc389065280"/>
      <w:bookmarkStart w:id="375" w:name="_Toc407135216"/>
      <w:r>
        <w:rPr>
          <w:color w:val="auto"/>
          <w:highlight w:val="none"/>
        </w:rPr>
        <w:t xml:space="preserve">4.1 </w:t>
      </w:r>
      <w:r>
        <w:rPr>
          <w:rFonts w:hint="eastAsia" w:cs="黑体"/>
          <w:color w:val="auto"/>
          <w:highlight w:val="none"/>
        </w:rPr>
        <w:t>监理人的一般规定</w:t>
      </w:r>
      <w:bookmarkEnd w:id="371"/>
      <w:bookmarkEnd w:id="372"/>
      <w:bookmarkEnd w:id="373"/>
      <w:bookmarkEnd w:id="374"/>
      <w:bookmarkEnd w:id="375"/>
    </w:p>
    <w:p w14:paraId="1763A369">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color w:val="auto"/>
          <w:highlight w:val="none"/>
          <w:u w:val="single"/>
        </w:rPr>
        <w:t>监督、管理、协调、服务，对施工质量、进度、安全、投资进行全面控制，具体详见监理合同</w:t>
      </w:r>
      <w:r>
        <w:rPr>
          <w:color w:val="auto"/>
          <w:highlight w:val="none"/>
          <w:u w:val="single"/>
        </w:rPr>
        <w:t xml:space="preserve">   </w:t>
      </w:r>
      <w:r>
        <w:rPr>
          <w:rFonts w:hint="eastAsia" w:hAnsi="宋体" w:cs="宋体"/>
          <w:color w:val="auto"/>
          <w:highlight w:val="none"/>
        </w:rPr>
        <w:t>。</w:t>
      </w:r>
    </w:p>
    <w:p w14:paraId="0091E819">
      <w:pPr>
        <w:spacing w:line="360" w:lineRule="auto"/>
        <w:ind w:firstLine="420" w:firstLineChars="200"/>
        <w:jc w:val="left"/>
        <w:rPr>
          <w:rFonts w:hint="eastAsia"/>
          <w:color w:val="auto"/>
          <w:highlight w:val="none"/>
          <w:u w:val="single"/>
        </w:rPr>
      </w:pPr>
      <w:r>
        <w:rPr>
          <w:rFonts w:hint="eastAsia" w:hAnsi="宋体" w:cs="宋体"/>
          <w:color w:val="auto"/>
          <w:highlight w:val="none"/>
        </w:rPr>
        <w:t>关于监理人的监理权限：</w:t>
      </w:r>
      <w:r>
        <w:rPr>
          <w:color w:val="auto"/>
          <w:highlight w:val="none"/>
          <w:u w:val="single"/>
        </w:rPr>
        <w:t xml:space="preserve"> </w:t>
      </w:r>
      <w:r>
        <w:rPr>
          <w:rFonts w:hint="eastAsia"/>
          <w:color w:val="auto"/>
          <w:highlight w:val="none"/>
          <w:u w:val="single"/>
        </w:rPr>
        <w:t>监理人应当根据发包人授权及法律规定，代表发包人对工程施工</w:t>
      </w:r>
    </w:p>
    <w:p w14:paraId="45555137">
      <w:pPr>
        <w:spacing w:line="360" w:lineRule="auto"/>
        <w:ind w:firstLine="420" w:firstLineChars="200"/>
        <w:jc w:val="left"/>
        <w:rPr>
          <w:color w:val="auto"/>
          <w:highlight w:val="none"/>
        </w:rPr>
      </w:pPr>
      <w:r>
        <w:rPr>
          <w:rFonts w:hint="eastAsia"/>
          <w:color w:val="auto"/>
          <w:highlight w:val="none"/>
          <w:u w:val="single"/>
        </w:rPr>
        <w:t>相关事项进行检查、查验、审核、验收，并签发相关指示，但监理人无权修改合同，且无权减轻或免除合同约定的承包人的任何责任与义务</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7C288E1F">
      <w:pPr>
        <w:spacing w:line="360" w:lineRule="auto"/>
        <w:rPr>
          <w:color w:val="auto"/>
          <w:highlight w:val="non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监理人在施工现场的办公场所、生活场所由承包人提供，所发生的费用由发包人承担</w:t>
      </w:r>
      <w:r>
        <w:rPr>
          <w:color w:val="auto"/>
          <w:highlight w:val="none"/>
          <w:u w:val="single"/>
        </w:rPr>
        <w:t xml:space="preserve">    </w:t>
      </w:r>
      <w:r>
        <w:rPr>
          <w:rFonts w:hint="eastAsia" w:hAnsi="宋体" w:cs="宋体"/>
          <w:color w:val="auto"/>
          <w:highlight w:val="none"/>
        </w:rPr>
        <w:t>。</w:t>
      </w:r>
    </w:p>
    <w:p w14:paraId="30EBE85D">
      <w:pPr>
        <w:pStyle w:val="4"/>
        <w:rPr>
          <w:color w:val="auto"/>
          <w:highlight w:val="none"/>
        </w:rPr>
      </w:pPr>
      <w:bookmarkStart w:id="376" w:name="_Toc389065281"/>
      <w:bookmarkStart w:id="377" w:name="_Toc373227715"/>
      <w:bookmarkStart w:id="378" w:name="_Toc14162"/>
      <w:bookmarkStart w:id="379" w:name="_Toc407135217"/>
      <w:bookmarkStart w:id="380" w:name="_Toc373478362"/>
      <w:r>
        <w:rPr>
          <w:color w:val="auto"/>
          <w:highlight w:val="none"/>
        </w:rPr>
        <w:t xml:space="preserve">4.2 </w:t>
      </w:r>
      <w:r>
        <w:rPr>
          <w:rFonts w:hint="eastAsia" w:hAnsi="宋体" w:cs="黑体"/>
          <w:color w:val="auto"/>
          <w:highlight w:val="none"/>
        </w:rPr>
        <w:t>监理人员</w:t>
      </w:r>
      <w:bookmarkEnd w:id="376"/>
      <w:bookmarkEnd w:id="377"/>
      <w:bookmarkEnd w:id="378"/>
      <w:bookmarkEnd w:id="379"/>
      <w:bookmarkEnd w:id="380"/>
    </w:p>
    <w:p w14:paraId="28F4577C">
      <w:pPr>
        <w:spacing w:line="360" w:lineRule="auto"/>
        <w:ind w:firstLine="420" w:firstLineChars="200"/>
        <w:rPr>
          <w:color w:val="auto"/>
          <w:highlight w:val="none"/>
        </w:rPr>
      </w:pPr>
      <w:r>
        <w:rPr>
          <w:rFonts w:hint="eastAsia" w:hAnsi="宋体" w:cs="宋体"/>
          <w:color w:val="auto"/>
          <w:highlight w:val="none"/>
        </w:rPr>
        <w:t>总监理工程师：</w:t>
      </w:r>
    </w:p>
    <w:p w14:paraId="7714CE45">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38BB2D0">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38D34BD">
      <w:pPr>
        <w:spacing w:line="360" w:lineRule="auto"/>
        <w:ind w:firstLine="420" w:firstLineChars="200"/>
        <w:rPr>
          <w:rFonts w:hAnsi="宋体"/>
          <w:color w:val="auto"/>
          <w:highlight w:val="none"/>
        </w:rPr>
      </w:pPr>
      <w:r>
        <w:rPr>
          <w:rFonts w:hAnsi="宋体"/>
          <w:color w:val="auto"/>
          <w:highlight w:val="none"/>
        </w:rPr>
        <w:t>监理工程师执业资格证书号：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3D2912F">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1503B0">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22E0929">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D378363">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rFonts w:hint="eastAsia"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CA58ABD">
      <w:pPr>
        <w:pStyle w:val="4"/>
        <w:rPr>
          <w:color w:val="auto"/>
          <w:highlight w:val="none"/>
        </w:rPr>
      </w:pPr>
      <w:bookmarkStart w:id="381" w:name="_Toc22346"/>
      <w:bookmarkStart w:id="382" w:name="_Toc407135218"/>
      <w:bookmarkStart w:id="383" w:name="_Toc389065282"/>
      <w:bookmarkStart w:id="384" w:name="_Toc373227716"/>
      <w:bookmarkStart w:id="385" w:name="_Toc373478363"/>
      <w:r>
        <w:rPr>
          <w:color w:val="auto"/>
          <w:highlight w:val="none"/>
        </w:rPr>
        <w:t xml:space="preserve">4.4 </w:t>
      </w:r>
      <w:r>
        <w:rPr>
          <w:rFonts w:hint="eastAsia" w:hAnsi="宋体" w:cs="黑体"/>
          <w:color w:val="auto"/>
          <w:highlight w:val="none"/>
        </w:rPr>
        <w:t>商定或确定</w:t>
      </w:r>
      <w:bookmarkEnd w:id="381"/>
      <w:bookmarkEnd w:id="382"/>
      <w:bookmarkEnd w:id="383"/>
      <w:bookmarkEnd w:id="384"/>
      <w:bookmarkEnd w:id="385"/>
    </w:p>
    <w:p w14:paraId="38F23B60">
      <w:pPr>
        <w:spacing w:line="360" w:lineRule="auto"/>
        <w:ind w:firstLine="420" w:firstLineChars="200"/>
        <w:rPr>
          <w:color w:val="auto"/>
          <w:highlight w:val="none"/>
        </w:rPr>
      </w:pPr>
      <w:bookmarkStart w:id="386" w:name="_Toc267251418"/>
      <w:r>
        <w:rPr>
          <w:rFonts w:hint="eastAsia" w:hAnsi="宋体" w:cs="宋体"/>
          <w:color w:val="auto"/>
          <w:highlight w:val="none"/>
        </w:rPr>
        <w:t>在发包人和承包人不能通过协商达成一致意见时，发包人授权监理人对以下事项进行确定：</w:t>
      </w:r>
    </w:p>
    <w:p w14:paraId="285370DB">
      <w:pPr>
        <w:autoSpaceDE w:val="0"/>
        <w:autoSpaceDN w:val="0"/>
        <w:adjustRightInd w:val="0"/>
        <w:spacing w:line="360" w:lineRule="auto"/>
        <w:ind w:firstLine="420" w:firstLineChars="200"/>
        <w:jc w:val="left"/>
        <w:rPr>
          <w:rFonts w:hint="eastAsia"/>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rPr>
        <w:t>按通用合同条款第4.4条执行</w:t>
      </w:r>
      <w:r>
        <w:rPr>
          <w:color w:val="auto"/>
          <w:highlight w:val="none"/>
          <w:u w:val="single"/>
        </w:rPr>
        <w:t xml:space="preserve">   </w:t>
      </w:r>
      <w:r>
        <w:rPr>
          <w:color w:val="auto"/>
          <w:highlight w:val="none"/>
        </w:rPr>
        <w:t xml:space="preserve"> </w:t>
      </w:r>
      <w:r>
        <w:rPr>
          <w:rFonts w:hint="eastAsia"/>
          <w:color w:val="auto"/>
          <w:highlight w:val="none"/>
        </w:rPr>
        <w:t>。</w:t>
      </w:r>
    </w:p>
    <w:p w14:paraId="2F990818">
      <w:pPr>
        <w:pStyle w:val="3"/>
        <w:rPr>
          <w:color w:val="auto"/>
          <w:highlight w:val="none"/>
        </w:rPr>
      </w:pPr>
      <w:bookmarkStart w:id="387" w:name="_Toc25204"/>
      <w:bookmarkStart w:id="388" w:name="_Toc373227717"/>
      <w:bookmarkStart w:id="389" w:name="_Toc351203637"/>
      <w:bookmarkStart w:id="390" w:name="_Toc389065283"/>
      <w:bookmarkStart w:id="391" w:name="_Toc373478364"/>
      <w:bookmarkStart w:id="392" w:name="_Toc407135219"/>
      <w:r>
        <w:rPr>
          <w:color w:val="auto"/>
          <w:highlight w:val="none"/>
        </w:rPr>
        <w:t>5</w:t>
      </w:r>
      <w:bookmarkEnd w:id="386"/>
      <w:bookmarkStart w:id="393" w:name="_Toc296346664"/>
      <w:bookmarkStart w:id="394" w:name="_Toc297120463"/>
      <w:bookmarkStart w:id="395" w:name="_Toc296503163"/>
      <w:bookmarkStart w:id="396" w:name="_Toc296944502"/>
      <w:bookmarkStart w:id="397" w:name="_Toc297048349"/>
      <w:bookmarkStart w:id="398" w:name="_Toc292559367"/>
      <w:bookmarkStart w:id="399" w:name="_Toc292559872"/>
      <w:bookmarkStart w:id="400" w:name="_Toc296347162"/>
      <w:bookmarkStart w:id="401" w:name="_Toc296890991"/>
      <w:bookmarkStart w:id="402" w:name="_Toc296891203"/>
      <w:r>
        <w:rPr>
          <w:color w:val="auto"/>
          <w:highlight w:val="none"/>
        </w:rPr>
        <w:t xml:space="preserve">. </w:t>
      </w:r>
      <w:r>
        <w:rPr>
          <w:rFonts w:hint="eastAsia" w:hAnsi="宋体" w:cs="黑体"/>
          <w:color w:val="auto"/>
          <w:highlight w:val="none"/>
        </w:rPr>
        <w:t>工程质量</w:t>
      </w:r>
      <w:bookmarkEnd w:id="387"/>
      <w:bookmarkEnd w:id="388"/>
      <w:bookmarkEnd w:id="389"/>
      <w:bookmarkEnd w:id="390"/>
      <w:bookmarkEnd w:id="391"/>
      <w:bookmarkEnd w:id="392"/>
    </w:p>
    <w:p w14:paraId="027270BA">
      <w:pPr>
        <w:pStyle w:val="4"/>
        <w:rPr>
          <w:color w:val="auto"/>
          <w:highlight w:val="none"/>
        </w:rPr>
      </w:pPr>
      <w:bookmarkStart w:id="403" w:name="_Toc373227718"/>
      <w:bookmarkStart w:id="404" w:name="_Toc389065284"/>
      <w:bookmarkStart w:id="405" w:name="_Toc9653"/>
      <w:bookmarkStart w:id="406" w:name="_Toc373478365"/>
      <w:bookmarkStart w:id="407" w:name="_Toc407135220"/>
      <w:r>
        <w:rPr>
          <w:color w:val="auto"/>
          <w:highlight w:val="none"/>
        </w:rPr>
        <w:t xml:space="preserve">5.1 </w:t>
      </w:r>
      <w:r>
        <w:rPr>
          <w:rFonts w:hint="eastAsia" w:hAnsi="宋体" w:cs="黑体"/>
          <w:color w:val="auto"/>
          <w:highlight w:val="none"/>
        </w:rPr>
        <w:t>质量要求</w:t>
      </w:r>
      <w:bookmarkEnd w:id="403"/>
      <w:bookmarkEnd w:id="404"/>
      <w:bookmarkEnd w:id="405"/>
      <w:bookmarkEnd w:id="406"/>
      <w:bookmarkEnd w:id="407"/>
    </w:p>
    <w:p w14:paraId="1082B46C">
      <w:pPr>
        <w:spacing w:line="360" w:lineRule="auto"/>
        <w:ind w:firstLine="420" w:firstLineChars="200"/>
        <w:jc w:val="left"/>
        <w:rPr>
          <w:color w:val="auto"/>
          <w:highlight w:val="none"/>
          <w:u w:val="single"/>
        </w:rPr>
      </w:pPr>
      <w:r>
        <w:rPr>
          <w:color w:val="auto"/>
          <w:highlight w:val="none"/>
        </w:rPr>
        <w:t>5</w:t>
      </w:r>
      <w:bookmarkStart w:id="408" w:name="_Toc297216155"/>
      <w:bookmarkStart w:id="409" w:name="_Toc303539106"/>
      <w:bookmarkStart w:id="410" w:name="_Toc312677997"/>
      <w:bookmarkStart w:id="411" w:name="_Toc297123496"/>
      <w:bookmarkStart w:id="412" w:name="_Toc300934949"/>
      <w:bookmarkStart w:id="413" w:name="_Toc318581164"/>
      <w:bookmarkStart w:id="414" w:name="_Toc304295527"/>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达到国家施工验收规范合格标准</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685C40D">
      <w:pPr>
        <w:spacing w:line="360" w:lineRule="auto"/>
        <w:ind w:firstLine="420" w:firstLineChars="200"/>
        <w:jc w:val="left"/>
        <w:rPr>
          <w:color w:val="auto"/>
          <w:highlight w:val="none"/>
        </w:rPr>
      </w:pPr>
      <w:r>
        <w:rPr>
          <w:rFonts w:hint="eastAsia" w:hAnsi="宋体" w:cs="宋体"/>
          <w:color w:val="auto"/>
          <w:highlight w:val="none"/>
        </w:rPr>
        <w:t>关于工程奖项的约定：</w:t>
      </w:r>
      <w:r>
        <w:rPr>
          <w:rFonts w:hint="eastAsia" w:hAnsi="宋体" w:cs="宋体"/>
          <w:color w:val="auto"/>
          <w:highlight w:val="none"/>
          <w:u w:val="single"/>
        </w:rPr>
        <w:t xml:space="preserve">  / </w:t>
      </w:r>
      <w:r>
        <w:rPr>
          <w:color w:val="auto"/>
          <w:highlight w:val="none"/>
          <w:u w:val="single"/>
        </w:rPr>
        <w:t xml:space="preserve"> </w:t>
      </w:r>
      <w:r>
        <w:rPr>
          <w:rFonts w:hint="eastAsia" w:hAnsi="宋体" w:cs="宋体"/>
          <w:color w:val="auto"/>
          <w:highlight w:val="none"/>
        </w:rPr>
        <w:t>。</w:t>
      </w:r>
    </w:p>
    <w:p w14:paraId="21FAA49F">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18A7EF6F">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C7D81A3">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1DD2ED7D">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3434F99E">
      <w:pPr>
        <w:pStyle w:val="3"/>
        <w:rPr>
          <w:color w:val="auto"/>
          <w:highlight w:val="none"/>
        </w:rPr>
      </w:pPr>
      <w:bookmarkStart w:id="415" w:name="_Toc31720"/>
      <w:bookmarkStart w:id="416" w:name="_Toc407135221"/>
      <w:bookmarkStart w:id="417" w:name="_Toc373478366"/>
      <w:bookmarkStart w:id="418" w:name="_Toc389065285"/>
      <w:bookmarkStart w:id="419" w:name="_Toc351203638"/>
      <w:bookmarkStart w:id="420" w:name="_Toc373227719"/>
      <w:r>
        <w:rPr>
          <w:color w:val="auto"/>
          <w:highlight w:val="none"/>
        </w:rPr>
        <w:t xml:space="preserve">6. </w:t>
      </w:r>
      <w:r>
        <w:rPr>
          <w:rFonts w:hint="eastAsia" w:cs="黑体"/>
          <w:color w:val="auto"/>
          <w:highlight w:val="none"/>
        </w:rPr>
        <w:t>安全文明施工与环境保护</w:t>
      </w:r>
      <w:bookmarkEnd w:id="415"/>
      <w:bookmarkEnd w:id="416"/>
      <w:bookmarkEnd w:id="417"/>
      <w:bookmarkEnd w:id="418"/>
      <w:bookmarkEnd w:id="419"/>
      <w:bookmarkEnd w:id="420"/>
    </w:p>
    <w:p w14:paraId="28277190">
      <w:pPr>
        <w:pStyle w:val="4"/>
        <w:rPr>
          <w:color w:val="auto"/>
          <w:highlight w:val="none"/>
        </w:rPr>
      </w:pPr>
      <w:bookmarkStart w:id="421" w:name="_Toc373227720"/>
      <w:bookmarkStart w:id="422" w:name="_Toc389065286"/>
      <w:bookmarkStart w:id="423" w:name="_Toc28377"/>
      <w:bookmarkStart w:id="424" w:name="_Toc373478367"/>
      <w:bookmarkStart w:id="425" w:name="_Toc407135222"/>
      <w:r>
        <w:rPr>
          <w:color w:val="auto"/>
          <w:highlight w:val="none"/>
        </w:rPr>
        <w:t xml:space="preserve">6.1 </w:t>
      </w:r>
      <w:r>
        <w:rPr>
          <w:rFonts w:hint="eastAsia" w:cs="黑体"/>
          <w:color w:val="auto"/>
          <w:highlight w:val="none"/>
        </w:rPr>
        <w:t>安全文明施工</w:t>
      </w:r>
      <w:bookmarkEnd w:id="421"/>
      <w:bookmarkEnd w:id="422"/>
      <w:bookmarkEnd w:id="423"/>
      <w:bookmarkEnd w:id="424"/>
      <w:bookmarkEnd w:id="425"/>
    </w:p>
    <w:p w14:paraId="08B8C916">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承包人应按照法律规定进行施工，开工前做好安全技术交底工作，施工过程中做好各项安全防护措施</w:t>
      </w:r>
      <w:r>
        <w:rPr>
          <w:rFonts w:hint="eastAsia"/>
          <w:color w:val="auto"/>
          <w:highlight w:val="none"/>
          <w:u w:val="single"/>
          <w:lang w:eastAsia="zh-CN"/>
        </w:rPr>
        <w:t>，</w:t>
      </w:r>
      <w:r>
        <w:rPr>
          <w:rFonts w:hint="eastAsia"/>
          <w:color w:val="auto"/>
          <w:highlight w:val="none"/>
          <w:u w:val="single"/>
        </w:rPr>
        <w:t>尽量做到零事故</w:t>
      </w:r>
      <w:r>
        <w:rPr>
          <w:color w:val="auto"/>
          <w:highlight w:val="none"/>
          <w:u w:val="single"/>
        </w:rPr>
        <w:t xml:space="preserve">      </w:t>
      </w:r>
      <w:r>
        <w:rPr>
          <w:rFonts w:hint="eastAsia" w:hAnsi="宋体" w:cs="宋体"/>
          <w:color w:val="auto"/>
          <w:highlight w:val="none"/>
        </w:rPr>
        <w:t>。</w:t>
      </w:r>
    </w:p>
    <w:p w14:paraId="15043D8D">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9560729">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 xml:space="preserve">发包人和承包人应在工程开工后 7 天内共同编制施工场地治安管理计划，并制定应对突发治安事件的紧急预案 </w:t>
      </w:r>
      <w:r>
        <w:rPr>
          <w:color w:val="auto"/>
          <w:highlight w:val="none"/>
          <w:u w:val="single"/>
        </w:rPr>
        <w:t xml:space="preserve"> </w:t>
      </w:r>
      <w:r>
        <w:rPr>
          <w:rFonts w:hint="eastAsia" w:hAnsi="宋体" w:cs="宋体"/>
          <w:color w:val="auto"/>
          <w:highlight w:val="none"/>
        </w:rPr>
        <w:t>。</w:t>
      </w:r>
    </w:p>
    <w:p w14:paraId="06F233C2">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7569E231">
      <w:pPr>
        <w:spacing w:line="360" w:lineRule="auto"/>
        <w:jc w:val="left"/>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rPr>
        <w:t>承包人在工程施工期间，应当采取措施保持施工现场平整，物料堆放整齐</w:t>
      </w:r>
      <w:r>
        <w:rPr>
          <w:color w:val="auto"/>
          <w:highlight w:val="none"/>
          <w:u w:val="single"/>
        </w:rPr>
        <w:t xml:space="preserve">   </w:t>
      </w:r>
      <w:r>
        <w:rPr>
          <w:rFonts w:hint="eastAsia" w:cs="宋体"/>
          <w:color w:val="auto"/>
          <w:highlight w:val="none"/>
        </w:rPr>
        <w:t>。</w:t>
      </w:r>
    </w:p>
    <w:p w14:paraId="2F74A617">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14DBA143">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61A47BF6">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玉林</w:t>
      </w:r>
      <w:r>
        <w:rPr>
          <w:rFonts w:hAnsi="宋体"/>
          <w:color w:val="auto"/>
          <w:kern w:val="0"/>
          <w:highlight w:val="none"/>
          <w:u w:val="single"/>
        </w:rPr>
        <w:t xml:space="preserve"> </w:t>
      </w:r>
      <w:r>
        <w:rPr>
          <w:rFonts w:hint="eastAsia" w:hAnsi="宋体" w:cs="宋体"/>
          <w:color w:val="auto"/>
          <w:kern w:val="0"/>
          <w:highlight w:val="none"/>
        </w:rPr>
        <w:t>市相关规定执行。</w:t>
      </w:r>
    </w:p>
    <w:p w14:paraId="398D8369">
      <w:pPr>
        <w:autoSpaceDE w:val="0"/>
        <w:autoSpaceDN w:val="0"/>
        <w:adjustRightInd w:val="0"/>
        <w:spacing w:line="360" w:lineRule="auto"/>
        <w:ind w:firstLine="420" w:firstLineChars="200"/>
        <w:jc w:val="left"/>
        <w:rPr>
          <w:rFonts w:hint="eastAsia" w:ascii="Times New Roman" w:hAnsi="宋体" w:eastAsia="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eastAsia="zh-CN"/>
        </w:rPr>
        <w:t>在合同、担保措施生效以及具备实施条件后10个工作日内支付合同</w:t>
      </w:r>
      <w:r>
        <w:rPr>
          <w:rFonts w:hint="eastAsia" w:ascii="Times New Roman" w:hAnsi="宋体" w:eastAsia="宋体" w:cs="宋体"/>
          <w:color w:val="auto"/>
          <w:kern w:val="0"/>
          <w:highlight w:val="none"/>
          <w:lang w:val="en-US" w:eastAsia="zh-CN"/>
        </w:rPr>
        <w:t>金</w:t>
      </w:r>
      <w:r>
        <w:rPr>
          <w:rFonts w:hint="eastAsia" w:ascii="Times New Roman" w:hAnsi="宋体" w:eastAsia="宋体" w:cs="宋体"/>
          <w:color w:val="auto"/>
          <w:kern w:val="0"/>
          <w:highlight w:val="none"/>
          <w:lang w:eastAsia="zh-CN"/>
        </w:rPr>
        <w:t>额的30%作为预付款</w:t>
      </w:r>
      <w:r>
        <w:rPr>
          <w:rFonts w:hint="eastAsia" w:ascii="Times New Roman" w:hAnsi="宋体" w:eastAsia="宋体" w:cs="宋体"/>
          <w:color w:val="auto"/>
          <w:kern w:val="0"/>
          <w:highlight w:val="none"/>
        </w:rPr>
        <w:t>，预付安全文明施工费总额的 （30-50 %），其余部分与进度款同期支付，安全文明施工费预付款在工程进度款累计金额超过合同价的   %时开始起扣，每月从支付给承包商的工程款内按安全文明预付款占合同总价的同一百分比扣回。</w:t>
      </w:r>
    </w:p>
    <w:p w14:paraId="69F38B1D">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E2F758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7E4AE29C">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4B7FB890">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int="eastAsia" w:hAnsi="宋体" w:cs="宋体"/>
          <w:color w:val="auto"/>
          <w:kern w:val="0"/>
          <w:highlight w:val="none"/>
        </w:rPr>
        <w:t xml:space="preserve"> 。</w:t>
      </w:r>
    </w:p>
    <w:p w14:paraId="390DF783">
      <w:pPr>
        <w:pStyle w:val="4"/>
        <w:rPr>
          <w:color w:val="auto"/>
          <w:highlight w:val="none"/>
        </w:rPr>
      </w:pPr>
      <w:bookmarkStart w:id="426" w:name="_Toc389065287"/>
      <w:bookmarkStart w:id="427" w:name="_Toc373227721"/>
      <w:bookmarkStart w:id="428" w:name="_Toc373478368"/>
      <w:bookmarkStart w:id="429" w:name="_Toc29970"/>
      <w:bookmarkStart w:id="430" w:name="_Toc407135223"/>
      <w:r>
        <w:rPr>
          <w:color w:val="auto"/>
          <w:highlight w:val="none"/>
        </w:rPr>
        <w:t xml:space="preserve">6.3 </w:t>
      </w:r>
      <w:r>
        <w:rPr>
          <w:rFonts w:hint="eastAsia" w:hAnsi="宋体" w:cs="黑体"/>
          <w:color w:val="auto"/>
          <w:highlight w:val="none"/>
        </w:rPr>
        <w:t>环境保护</w:t>
      </w:r>
      <w:bookmarkEnd w:id="426"/>
      <w:bookmarkEnd w:id="427"/>
      <w:bookmarkEnd w:id="428"/>
      <w:bookmarkEnd w:id="429"/>
      <w:bookmarkEnd w:id="430"/>
    </w:p>
    <w:p w14:paraId="4EE44077">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115AEB4C">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08"/>
    <w:bookmarkEnd w:id="409"/>
    <w:bookmarkEnd w:id="410"/>
    <w:bookmarkEnd w:id="411"/>
    <w:bookmarkEnd w:id="412"/>
    <w:bookmarkEnd w:id="413"/>
    <w:bookmarkEnd w:id="414"/>
    <w:p w14:paraId="01562D07">
      <w:pPr>
        <w:pStyle w:val="3"/>
        <w:rPr>
          <w:color w:val="auto"/>
          <w:highlight w:val="none"/>
        </w:rPr>
      </w:pPr>
      <w:bookmarkStart w:id="431" w:name="_Toc351203639"/>
      <w:bookmarkStart w:id="432" w:name="_Toc373478369"/>
      <w:bookmarkStart w:id="433" w:name="_Toc407135224"/>
      <w:bookmarkStart w:id="434" w:name="_Toc373227722"/>
      <w:bookmarkStart w:id="435" w:name="_Toc17974"/>
      <w:bookmarkStart w:id="436" w:name="_Toc389065288"/>
      <w:r>
        <w:rPr>
          <w:color w:val="auto"/>
          <w:highlight w:val="none"/>
        </w:rPr>
        <w:t xml:space="preserve">7. </w:t>
      </w:r>
      <w:r>
        <w:rPr>
          <w:rFonts w:hint="eastAsia" w:cs="黑体"/>
          <w:color w:val="auto"/>
          <w:highlight w:val="none"/>
        </w:rPr>
        <w:t>工期和进度</w:t>
      </w:r>
      <w:bookmarkEnd w:id="431"/>
      <w:bookmarkEnd w:id="432"/>
      <w:bookmarkEnd w:id="433"/>
      <w:bookmarkEnd w:id="434"/>
      <w:bookmarkEnd w:id="435"/>
      <w:bookmarkEnd w:id="436"/>
    </w:p>
    <w:p w14:paraId="7726D140">
      <w:pPr>
        <w:pStyle w:val="4"/>
        <w:rPr>
          <w:color w:val="auto"/>
          <w:highlight w:val="none"/>
        </w:rPr>
      </w:pPr>
      <w:bookmarkStart w:id="437" w:name="_Toc373227723"/>
      <w:bookmarkStart w:id="438" w:name="_Toc407135225"/>
      <w:bookmarkStart w:id="439" w:name="_Toc25746"/>
      <w:bookmarkStart w:id="440" w:name="_Toc389065289"/>
      <w:bookmarkStart w:id="441" w:name="_Toc373478370"/>
      <w:r>
        <w:rPr>
          <w:color w:val="auto"/>
          <w:highlight w:val="none"/>
        </w:rPr>
        <w:t xml:space="preserve">7.1 </w:t>
      </w:r>
      <w:r>
        <w:rPr>
          <w:rFonts w:hint="eastAsia" w:cs="黑体"/>
          <w:color w:val="auto"/>
          <w:highlight w:val="none"/>
        </w:rPr>
        <w:t>施工组织设计</w:t>
      </w:r>
      <w:bookmarkEnd w:id="437"/>
      <w:bookmarkEnd w:id="438"/>
      <w:bookmarkEnd w:id="439"/>
      <w:bookmarkEnd w:id="440"/>
      <w:bookmarkEnd w:id="441"/>
    </w:p>
    <w:p w14:paraId="6DFD6818">
      <w:pPr>
        <w:autoSpaceDE w:val="0"/>
        <w:autoSpaceDN w:val="0"/>
        <w:adjustRightInd w:val="0"/>
        <w:spacing w:line="360" w:lineRule="auto"/>
        <w:ind w:firstLine="420" w:firstLineChars="200"/>
        <w:jc w:val="left"/>
        <w:rPr>
          <w:rFonts w:hint="eastAsia"/>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1、施工方案；2、施工现场平</w:t>
      </w:r>
    </w:p>
    <w:p w14:paraId="3E83AA57">
      <w:pPr>
        <w:autoSpaceDE w:val="0"/>
        <w:autoSpaceDN w:val="0"/>
        <w:adjustRightInd w:val="0"/>
        <w:spacing w:line="360" w:lineRule="auto"/>
        <w:ind w:firstLine="420" w:firstLineChars="200"/>
        <w:jc w:val="left"/>
        <w:rPr>
          <w:color w:val="auto"/>
          <w:highlight w:val="none"/>
          <w:u w:val="single"/>
        </w:rPr>
      </w:pPr>
      <w:r>
        <w:rPr>
          <w:rFonts w:hint="eastAsia"/>
          <w:color w:val="auto"/>
          <w:highlight w:val="none"/>
          <w:u w:val="single"/>
        </w:rPr>
        <w:t>面布置图；3、施工进度计划和保证措施；4、劳动力及材料供应计划；5、施工机械设备的选用；6、质量保证体系及措施；7、安全生产、文明施工措施；8、环境保护、成本控制措施；9、合同当事人约定的其他内容</w:t>
      </w:r>
      <w:r>
        <w:rPr>
          <w:color w:val="auto"/>
          <w:highlight w:val="none"/>
          <w:u w:val="single"/>
        </w:rPr>
        <w:t xml:space="preserve"> </w:t>
      </w:r>
      <w:r>
        <w:rPr>
          <w:rFonts w:hint="eastAsia" w:hAnsi="宋体" w:cs="宋体"/>
          <w:color w:val="auto"/>
          <w:highlight w:val="none"/>
        </w:rPr>
        <w:t>。</w:t>
      </w:r>
    </w:p>
    <w:p w14:paraId="5A38E168">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5DEECDC8">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开工前7天内</w:t>
      </w:r>
      <w:r>
        <w:rPr>
          <w:color w:val="auto"/>
          <w:highlight w:val="none"/>
          <w:u w:val="single"/>
        </w:rPr>
        <w:t xml:space="preserve"> </w:t>
      </w:r>
      <w:r>
        <w:rPr>
          <w:rFonts w:hint="eastAsia" w:hAnsi="宋体" w:cs="宋体"/>
          <w:color w:val="auto"/>
          <w:highlight w:val="none"/>
        </w:rPr>
        <w:t>。</w:t>
      </w:r>
    </w:p>
    <w:p w14:paraId="106700B1">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在承包人提供施工组织设计后七天内审定完毕；若发包人对其施工组织设计提出修改意见的，发包人应在</w:t>
      </w:r>
      <w:r>
        <w:rPr>
          <w:rFonts w:hint="eastAsia"/>
          <w:color w:val="auto"/>
          <w:highlight w:val="none"/>
          <w:u w:val="single"/>
          <w:lang w:val="en-US" w:eastAsia="zh-CN"/>
        </w:rPr>
        <w:t>3</w:t>
      </w:r>
      <w:r>
        <w:rPr>
          <w:rFonts w:hint="eastAsia"/>
          <w:color w:val="auto"/>
          <w:highlight w:val="none"/>
          <w:u w:val="single"/>
        </w:rPr>
        <w:t>日内对承包人修正的施工组织设计进行最后审定，逾期视为确认</w:t>
      </w:r>
      <w:r>
        <w:rPr>
          <w:color w:val="auto"/>
          <w:highlight w:val="none"/>
          <w:u w:val="single"/>
        </w:rPr>
        <w:t xml:space="preserve"> </w:t>
      </w:r>
      <w:r>
        <w:rPr>
          <w:rFonts w:hint="eastAsia" w:hAnsi="宋体" w:cs="宋体"/>
          <w:color w:val="auto"/>
          <w:highlight w:val="none"/>
        </w:rPr>
        <w:t>。</w:t>
      </w:r>
    </w:p>
    <w:p w14:paraId="5350F07D">
      <w:pPr>
        <w:pStyle w:val="4"/>
        <w:rPr>
          <w:color w:val="auto"/>
          <w:highlight w:val="none"/>
        </w:rPr>
      </w:pPr>
      <w:bookmarkStart w:id="442" w:name="_Toc407135226"/>
      <w:bookmarkStart w:id="443" w:name="_Toc373227724"/>
      <w:bookmarkStart w:id="444" w:name="_Toc23703"/>
      <w:bookmarkStart w:id="445" w:name="_Toc389065290"/>
      <w:bookmarkStart w:id="446" w:name="_Toc373478371"/>
      <w:r>
        <w:rPr>
          <w:color w:val="auto"/>
          <w:highlight w:val="none"/>
        </w:rPr>
        <w:t>7</w:t>
      </w:r>
      <w:bookmarkStart w:id="447" w:name="_Toc312677479"/>
      <w:bookmarkStart w:id="448" w:name="_Toc303539123"/>
      <w:bookmarkStart w:id="449" w:name="_Toc304295541"/>
      <w:bookmarkStart w:id="450" w:name="_Toc297123514"/>
      <w:bookmarkStart w:id="451" w:name="_Toc312678005"/>
      <w:bookmarkStart w:id="452" w:name="_Toc297216173"/>
      <w:bookmarkStart w:id="453" w:name="_Toc300934966"/>
      <w:r>
        <w:rPr>
          <w:color w:val="auto"/>
          <w:highlight w:val="none"/>
        </w:rPr>
        <w:t xml:space="preserve">.2 </w:t>
      </w:r>
      <w:r>
        <w:rPr>
          <w:rFonts w:hint="eastAsia" w:cs="黑体"/>
          <w:color w:val="auto"/>
          <w:highlight w:val="none"/>
        </w:rPr>
        <w:t>施工进度计划</w:t>
      </w:r>
      <w:bookmarkEnd w:id="442"/>
      <w:bookmarkEnd w:id="443"/>
      <w:bookmarkEnd w:id="444"/>
      <w:bookmarkEnd w:id="445"/>
      <w:bookmarkEnd w:id="446"/>
    </w:p>
    <w:p w14:paraId="048B6FC2">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2AFC74A9">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 xml:space="preserve">发包人和监理人应在收到修订的施工进度计划之日起 </w:t>
      </w:r>
      <w:r>
        <w:rPr>
          <w:rFonts w:hint="eastAsia"/>
          <w:color w:val="auto"/>
          <w:highlight w:val="none"/>
          <w:u w:val="single"/>
          <w:lang w:val="en-US" w:eastAsia="zh-CN"/>
        </w:rPr>
        <w:t>3</w:t>
      </w:r>
      <w:r>
        <w:rPr>
          <w:rFonts w:hint="eastAsia"/>
          <w:color w:val="auto"/>
          <w:highlight w:val="none"/>
          <w:u w:val="single"/>
        </w:rPr>
        <w:t>天内完成审核和批准或提出修改意见</w:t>
      </w:r>
      <w:r>
        <w:rPr>
          <w:color w:val="auto"/>
          <w:highlight w:val="none"/>
          <w:u w:val="single"/>
        </w:rPr>
        <w:t xml:space="preserve"> </w:t>
      </w:r>
      <w:r>
        <w:rPr>
          <w:rFonts w:hint="eastAsia" w:hAnsi="宋体" w:cs="宋体"/>
          <w:color w:val="auto"/>
          <w:highlight w:val="none"/>
        </w:rPr>
        <w:t>。</w:t>
      </w:r>
    </w:p>
    <w:p w14:paraId="702D9403">
      <w:pPr>
        <w:pStyle w:val="4"/>
        <w:rPr>
          <w:color w:val="auto"/>
          <w:highlight w:val="none"/>
        </w:rPr>
      </w:pPr>
      <w:bookmarkStart w:id="454" w:name="_Toc373227725"/>
      <w:bookmarkStart w:id="455" w:name="_Toc8682"/>
      <w:bookmarkStart w:id="456" w:name="_Toc373478372"/>
      <w:bookmarkStart w:id="457" w:name="_Toc389065291"/>
      <w:bookmarkStart w:id="458" w:name="_Toc407135227"/>
      <w:r>
        <w:rPr>
          <w:color w:val="auto"/>
          <w:highlight w:val="none"/>
        </w:rPr>
        <w:t xml:space="preserve">7.3 </w:t>
      </w:r>
      <w:r>
        <w:rPr>
          <w:rFonts w:hint="eastAsia" w:cs="黑体"/>
          <w:color w:val="auto"/>
          <w:highlight w:val="none"/>
        </w:rPr>
        <w:t>开工</w:t>
      </w:r>
      <w:bookmarkEnd w:id="454"/>
      <w:bookmarkEnd w:id="455"/>
      <w:bookmarkEnd w:id="456"/>
      <w:bookmarkEnd w:id="457"/>
      <w:bookmarkEnd w:id="458"/>
    </w:p>
    <w:p w14:paraId="6A72952F">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6A828EF7">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按照第 7.1 款〔施工组织设计〕约定的期限</w:t>
      </w:r>
      <w:r>
        <w:rPr>
          <w:color w:val="auto"/>
          <w:highlight w:val="none"/>
          <w:u w:val="single"/>
        </w:rPr>
        <w:t xml:space="preserve">  </w:t>
      </w:r>
      <w:r>
        <w:rPr>
          <w:rFonts w:hint="eastAsia" w:hAnsi="宋体" w:cs="宋体"/>
          <w:color w:val="auto"/>
          <w:highlight w:val="none"/>
        </w:rPr>
        <w:t>。</w:t>
      </w:r>
    </w:p>
    <w:p w14:paraId="14331223">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开工前能满足正常施工要求</w:t>
      </w:r>
      <w:r>
        <w:rPr>
          <w:color w:val="auto"/>
          <w:highlight w:val="none"/>
          <w:u w:val="single"/>
        </w:rPr>
        <w:t xml:space="preserve">         </w:t>
      </w:r>
      <w:r>
        <w:rPr>
          <w:rFonts w:hint="eastAsia" w:hAnsi="宋体" w:cs="宋体"/>
          <w:color w:val="auto"/>
          <w:highlight w:val="none"/>
        </w:rPr>
        <w:t>。</w:t>
      </w:r>
    </w:p>
    <w:p w14:paraId="40BB250D">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按本合同通用条款第 7.3.1 项执行</w:t>
      </w:r>
      <w:r>
        <w:rPr>
          <w:color w:val="auto"/>
          <w:highlight w:val="none"/>
          <w:u w:val="single"/>
        </w:rPr>
        <w:t xml:space="preserve">  </w:t>
      </w:r>
      <w:r>
        <w:rPr>
          <w:rFonts w:hint="eastAsia" w:hAnsi="宋体" w:cs="宋体"/>
          <w:color w:val="auto"/>
          <w:highlight w:val="none"/>
        </w:rPr>
        <w:t>。</w:t>
      </w:r>
    </w:p>
    <w:p w14:paraId="36C335C1">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7C2DCE68">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47"/>
    <w:bookmarkEnd w:id="448"/>
    <w:bookmarkEnd w:id="449"/>
    <w:bookmarkEnd w:id="450"/>
    <w:bookmarkEnd w:id="451"/>
    <w:bookmarkEnd w:id="452"/>
    <w:bookmarkEnd w:id="453"/>
    <w:p w14:paraId="4CC01694">
      <w:pPr>
        <w:pStyle w:val="4"/>
        <w:rPr>
          <w:color w:val="auto"/>
          <w:highlight w:val="none"/>
        </w:rPr>
      </w:pPr>
      <w:bookmarkStart w:id="459" w:name="_Toc407135228"/>
      <w:bookmarkStart w:id="460" w:name="_Toc373227726"/>
      <w:bookmarkStart w:id="461" w:name="_Toc373478373"/>
      <w:bookmarkStart w:id="462" w:name="_Toc389065292"/>
      <w:bookmarkStart w:id="463" w:name="_Toc5563"/>
      <w:r>
        <w:rPr>
          <w:color w:val="auto"/>
          <w:highlight w:val="none"/>
        </w:rPr>
        <w:t xml:space="preserve">7.4 </w:t>
      </w:r>
      <w:r>
        <w:rPr>
          <w:rFonts w:hint="eastAsia" w:hAnsi="宋体" w:cs="黑体"/>
          <w:color w:val="auto"/>
          <w:highlight w:val="none"/>
        </w:rPr>
        <w:t>测量放线</w:t>
      </w:r>
      <w:bookmarkEnd w:id="459"/>
      <w:bookmarkEnd w:id="460"/>
      <w:bookmarkEnd w:id="461"/>
      <w:bookmarkEnd w:id="462"/>
      <w:bookmarkEnd w:id="463"/>
    </w:p>
    <w:p w14:paraId="551CDFB2">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1E8B4499">
      <w:pPr>
        <w:spacing w:line="360" w:lineRule="auto"/>
        <w:jc w:val="left"/>
        <w:rPr>
          <w:color w:val="auto"/>
          <w:highlight w:val="none"/>
          <w:u w:val="single"/>
        </w:rPr>
      </w:pPr>
      <w:r>
        <w:rPr>
          <w:color w:val="auto"/>
          <w:highlight w:val="none"/>
          <w:u w:val="single"/>
        </w:rPr>
        <w:t xml:space="preserve"> </w:t>
      </w:r>
      <w:r>
        <w:rPr>
          <w:rFonts w:hint="eastAsia"/>
          <w:color w:val="auto"/>
          <w:highlight w:val="none"/>
          <w:u w:val="single"/>
        </w:rPr>
        <w:t>开工日期前 7 天</w:t>
      </w:r>
      <w:r>
        <w:rPr>
          <w:color w:val="auto"/>
          <w:highlight w:val="none"/>
          <w:u w:val="single"/>
        </w:rPr>
        <w:t xml:space="preserve">  </w:t>
      </w:r>
      <w:r>
        <w:rPr>
          <w:rFonts w:hint="eastAsia" w:hAnsi="宋体" w:cs="宋体"/>
          <w:color w:val="auto"/>
          <w:highlight w:val="none"/>
        </w:rPr>
        <w:t>。</w:t>
      </w:r>
    </w:p>
    <w:p w14:paraId="54D6BBA0">
      <w:pPr>
        <w:pStyle w:val="4"/>
        <w:rPr>
          <w:color w:val="auto"/>
          <w:highlight w:val="none"/>
        </w:rPr>
      </w:pPr>
      <w:bookmarkStart w:id="464" w:name="_Toc407135229"/>
      <w:bookmarkStart w:id="465" w:name="_Toc19229"/>
      <w:bookmarkStart w:id="466" w:name="_Toc389065293"/>
      <w:bookmarkStart w:id="467" w:name="_Toc373478374"/>
      <w:bookmarkStart w:id="468" w:name="_Toc373227727"/>
      <w:r>
        <w:rPr>
          <w:color w:val="auto"/>
          <w:highlight w:val="none"/>
        </w:rPr>
        <w:t>7</w:t>
      </w:r>
      <w:bookmarkStart w:id="469" w:name="_Toc297123516"/>
      <w:bookmarkStart w:id="470" w:name="_Toc312677484"/>
      <w:bookmarkStart w:id="471" w:name="_Toc297216175"/>
      <w:bookmarkStart w:id="472" w:name="_Toc300934968"/>
      <w:bookmarkStart w:id="473" w:name="_Toc303539125"/>
      <w:bookmarkStart w:id="474" w:name="_Toc304295546"/>
      <w:bookmarkStart w:id="475" w:name="_Toc312678010"/>
      <w:r>
        <w:rPr>
          <w:color w:val="auto"/>
          <w:highlight w:val="none"/>
        </w:rPr>
        <w:t xml:space="preserve">.5 </w:t>
      </w:r>
      <w:r>
        <w:rPr>
          <w:rFonts w:hint="eastAsia" w:hAnsi="宋体" w:cs="黑体"/>
          <w:color w:val="auto"/>
          <w:highlight w:val="none"/>
        </w:rPr>
        <w:t>工期延误</w:t>
      </w:r>
      <w:bookmarkEnd w:id="464"/>
      <w:bookmarkEnd w:id="465"/>
      <w:bookmarkEnd w:id="466"/>
      <w:bookmarkEnd w:id="467"/>
      <w:bookmarkEnd w:id="468"/>
    </w:p>
    <w:bookmarkEnd w:id="469"/>
    <w:bookmarkEnd w:id="470"/>
    <w:bookmarkEnd w:id="471"/>
    <w:bookmarkEnd w:id="472"/>
    <w:bookmarkEnd w:id="473"/>
    <w:bookmarkEnd w:id="474"/>
    <w:bookmarkEnd w:id="475"/>
    <w:p w14:paraId="672D8ADC">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51B75E0B">
      <w:pPr>
        <w:spacing w:line="360" w:lineRule="auto"/>
        <w:ind w:firstLine="420" w:firstLineChars="200"/>
        <w:jc w:val="left"/>
        <w:rPr>
          <w:rFonts w:hint="eastAsia" w:ascii="宋体" w:hAnsi="宋体" w:eastAsia="宋体" w:cs="宋体"/>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eastAsia="宋体" w:cs="宋体"/>
          <w:color w:val="auto"/>
          <w:highlight w:val="none"/>
          <w:u w:val="single"/>
        </w:rPr>
        <w:t>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13602EB9">
      <w:pPr>
        <w:spacing w:line="360" w:lineRule="auto"/>
        <w:ind w:firstLine="420" w:firstLineChars="200"/>
        <w:jc w:val="left"/>
        <w:rPr>
          <w:color w:val="auto"/>
          <w:highlight w:val="none"/>
        </w:rPr>
      </w:pPr>
      <w:r>
        <w:rPr>
          <w:color w:val="auto"/>
          <w:highlight w:val="none"/>
        </w:rPr>
        <w:t>7</w:t>
      </w:r>
      <w:bookmarkStart w:id="476" w:name="_Toc312677486"/>
      <w:bookmarkStart w:id="477" w:name="_Toc312678012"/>
      <w:bookmarkStart w:id="478" w:name="_Toc318581169"/>
      <w:bookmarkStart w:id="479" w:name="_Toc300934970"/>
      <w:bookmarkStart w:id="480" w:name="_Toc297216177"/>
      <w:bookmarkStart w:id="481" w:name="_Toc297123518"/>
      <w:bookmarkStart w:id="482" w:name="_Toc303539127"/>
      <w:bookmarkStart w:id="483" w:name="_Toc304295548"/>
      <w:r>
        <w:rPr>
          <w:color w:val="auto"/>
          <w:highlight w:val="none"/>
        </w:rPr>
        <w:t xml:space="preserve">.5.2 </w:t>
      </w:r>
      <w:r>
        <w:rPr>
          <w:rFonts w:hint="eastAsia" w:hAnsi="宋体" w:cs="宋体"/>
          <w:color w:val="auto"/>
          <w:highlight w:val="none"/>
        </w:rPr>
        <w:t>因承包人原因导致工期延误</w:t>
      </w:r>
    </w:p>
    <w:bookmarkEnd w:id="476"/>
    <w:bookmarkEnd w:id="477"/>
    <w:bookmarkEnd w:id="478"/>
    <w:p w14:paraId="4E1CE00C">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0E3D6C95">
      <w:pPr>
        <w:spacing w:line="360" w:lineRule="auto"/>
        <w:ind w:firstLine="420" w:firstLineChars="200"/>
        <w:jc w:val="left"/>
        <w:rPr>
          <w:color w:val="auto"/>
          <w:highlight w:val="none"/>
        </w:rPr>
      </w:pPr>
      <w:r>
        <w:rPr>
          <w:rFonts w:hint="eastAsia" w:hAnsi="宋体" w:cs="宋体"/>
          <w:color w:val="auto"/>
          <w:highlight w:val="none"/>
        </w:rPr>
        <w:t>因</w:t>
      </w:r>
      <w:bookmarkStart w:id="484" w:name="_Toc312677487"/>
      <w:bookmarkStart w:id="485" w:name="_Toc318581170"/>
      <w:bookmarkStart w:id="486" w:name="_Toc312678013"/>
      <w:r>
        <w:rPr>
          <w:rFonts w:hint="eastAsia" w:hAnsi="宋体" w:cs="宋体"/>
          <w:color w:val="auto"/>
          <w:highlight w:val="none"/>
        </w:rPr>
        <w:t>承包人原因造成工期延误，逾期竣工违约金的计算方法为：</w:t>
      </w:r>
      <w:bookmarkEnd w:id="479"/>
      <w:bookmarkEnd w:id="480"/>
      <w:bookmarkEnd w:id="481"/>
      <w:bookmarkEnd w:id="482"/>
      <w:bookmarkEnd w:id="483"/>
      <w:bookmarkEnd w:id="484"/>
      <w:bookmarkEnd w:id="485"/>
      <w:bookmarkEnd w:id="486"/>
      <w:r>
        <w:rPr>
          <w:rFonts w:hint="eastAsia" w:ascii="宋体" w:hAnsi="宋体" w:cs="宋体"/>
          <w:color w:val="auto"/>
          <w:highlight w:val="none"/>
          <w:u w:val="single"/>
        </w:rPr>
        <w:t>非上述原因，承包人不能按合同约定的时间竣工，承包人应承担违约责任</w:t>
      </w:r>
      <w:bookmarkStart w:id="487" w:name="_Toc318581171"/>
      <w:bookmarkStart w:id="488" w:name="_Toc312678014"/>
      <w:r>
        <w:rPr>
          <w:rFonts w:hint="eastAsia" w:hAnsi="宋体" w:cs="宋体"/>
          <w:color w:val="auto"/>
          <w:highlight w:val="none"/>
        </w:rPr>
        <w:t>。</w:t>
      </w:r>
    </w:p>
    <w:bookmarkEnd w:id="487"/>
    <w:bookmarkEnd w:id="488"/>
    <w:p w14:paraId="6F152C32">
      <w:pPr>
        <w:pStyle w:val="4"/>
        <w:rPr>
          <w:color w:val="auto"/>
          <w:highlight w:val="none"/>
        </w:rPr>
      </w:pPr>
      <w:bookmarkStart w:id="489" w:name="_Toc407135230"/>
      <w:bookmarkStart w:id="490" w:name="_Toc373478375"/>
      <w:bookmarkStart w:id="491" w:name="_Toc373227728"/>
      <w:bookmarkStart w:id="492" w:name="_Toc389065294"/>
      <w:bookmarkStart w:id="493" w:name="_Toc9193"/>
      <w:r>
        <w:rPr>
          <w:color w:val="auto"/>
          <w:highlight w:val="none"/>
        </w:rPr>
        <w:t>7</w:t>
      </w:r>
      <w:bookmarkStart w:id="494" w:name="_Toc303539128"/>
      <w:bookmarkStart w:id="495" w:name="_Toc304295549"/>
      <w:bookmarkStart w:id="496" w:name="_Toc300934971"/>
      <w:bookmarkStart w:id="497" w:name="_Toc297216178"/>
      <w:bookmarkStart w:id="498" w:name="_Toc297123519"/>
      <w:bookmarkStart w:id="499" w:name="_Toc312678015"/>
      <w:r>
        <w:rPr>
          <w:color w:val="auto"/>
          <w:highlight w:val="none"/>
        </w:rPr>
        <w:t xml:space="preserve">.6 </w:t>
      </w:r>
      <w:r>
        <w:rPr>
          <w:rFonts w:hint="eastAsia" w:cs="黑体"/>
          <w:color w:val="auto"/>
          <w:highlight w:val="none"/>
        </w:rPr>
        <w:t>不</w:t>
      </w:r>
      <w:bookmarkEnd w:id="494"/>
      <w:bookmarkEnd w:id="495"/>
      <w:bookmarkEnd w:id="496"/>
      <w:bookmarkEnd w:id="497"/>
      <w:bookmarkEnd w:id="498"/>
      <w:bookmarkEnd w:id="499"/>
      <w:r>
        <w:rPr>
          <w:rFonts w:hint="eastAsia" w:cs="黑体"/>
          <w:color w:val="auto"/>
          <w:highlight w:val="none"/>
        </w:rPr>
        <w:t>利物质条件</w:t>
      </w:r>
      <w:bookmarkEnd w:id="489"/>
      <w:bookmarkEnd w:id="490"/>
      <w:bookmarkEnd w:id="491"/>
      <w:bookmarkEnd w:id="492"/>
      <w:bookmarkEnd w:id="493"/>
    </w:p>
    <w:p w14:paraId="299A80EB">
      <w:pPr>
        <w:spacing w:line="360" w:lineRule="auto"/>
        <w:ind w:firstLine="420" w:firstLineChars="200"/>
        <w:jc w:val="left"/>
        <w:rPr>
          <w:color w:val="auto"/>
          <w:highlight w:val="none"/>
          <w:u w:val="single"/>
        </w:rPr>
      </w:pPr>
      <w:bookmarkStart w:id="500" w:name="_Toc297123520"/>
      <w:bookmarkStart w:id="501" w:name="_Toc297216179"/>
      <w:bookmarkStart w:id="502" w:name="_Toc312678016"/>
      <w:bookmarkStart w:id="503" w:name="_Toc303539129"/>
      <w:bookmarkStart w:id="504" w:name="_Toc318581172"/>
      <w:bookmarkStart w:id="505" w:name="_Toc300934972"/>
      <w:bookmarkStart w:id="506" w:name="_Toc304295550"/>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lang w:val="en-US" w:eastAsia="zh-CN"/>
        </w:rPr>
        <w:t xml:space="preserve">无   </w:t>
      </w:r>
      <w:r>
        <w:rPr>
          <w:rFonts w:hint="eastAsia" w:hAnsi="宋体" w:cs="宋体"/>
          <w:color w:val="auto"/>
          <w:highlight w:val="none"/>
        </w:rPr>
        <w:t>。</w:t>
      </w:r>
    </w:p>
    <w:bookmarkEnd w:id="500"/>
    <w:bookmarkEnd w:id="501"/>
    <w:bookmarkEnd w:id="502"/>
    <w:bookmarkEnd w:id="503"/>
    <w:bookmarkEnd w:id="504"/>
    <w:bookmarkEnd w:id="505"/>
    <w:bookmarkEnd w:id="506"/>
    <w:p w14:paraId="3AD33C71">
      <w:pPr>
        <w:pStyle w:val="4"/>
        <w:rPr>
          <w:color w:val="auto"/>
          <w:highlight w:val="none"/>
        </w:rPr>
      </w:pPr>
      <w:bookmarkStart w:id="507" w:name="_Toc27737"/>
      <w:bookmarkStart w:id="508" w:name="_Toc407135231"/>
      <w:bookmarkStart w:id="509" w:name="_Toc373227729"/>
      <w:bookmarkStart w:id="510" w:name="_Toc373478376"/>
      <w:bookmarkStart w:id="511" w:name="_Toc389065295"/>
      <w:r>
        <w:rPr>
          <w:color w:val="auto"/>
          <w:highlight w:val="none"/>
        </w:rPr>
        <w:t>7</w:t>
      </w:r>
      <w:bookmarkStart w:id="512" w:name="_Toc312678017"/>
      <w:bookmarkStart w:id="513" w:name="_Toc300934973"/>
      <w:bookmarkStart w:id="514" w:name="_Toc297216180"/>
      <w:bookmarkStart w:id="515" w:name="_Toc304295551"/>
      <w:bookmarkStart w:id="516" w:name="_Toc297123521"/>
      <w:bookmarkStart w:id="517" w:name="_Toc303539130"/>
      <w:r>
        <w:rPr>
          <w:color w:val="auto"/>
          <w:highlight w:val="none"/>
        </w:rPr>
        <w:t xml:space="preserve">.7 </w:t>
      </w:r>
      <w:r>
        <w:rPr>
          <w:rFonts w:hint="eastAsia" w:cs="黑体"/>
          <w:color w:val="auto"/>
          <w:highlight w:val="none"/>
        </w:rPr>
        <w:t>异常恶劣的气候条件</w:t>
      </w:r>
      <w:bookmarkEnd w:id="507"/>
      <w:bookmarkEnd w:id="508"/>
      <w:bookmarkEnd w:id="509"/>
      <w:bookmarkEnd w:id="510"/>
      <w:bookmarkEnd w:id="511"/>
    </w:p>
    <w:bookmarkEnd w:id="512"/>
    <w:bookmarkEnd w:id="513"/>
    <w:bookmarkEnd w:id="514"/>
    <w:bookmarkEnd w:id="515"/>
    <w:bookmarkEnd w:id="516"/>
    <w:bookmarkEnd w:id="517"/>
    <w:p w14:paraId="586F0AC9">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发包人和承包人同意以下情形视为异常恶劣的气候条件：</w:t>
      </w:r>
      <w:bookmarkStart w:id="518" w:name="_Toc407135232"/>
      <w:bookmarkStart w:id="519" w:name="_Toc373478377"/>
      <w:bookmarkStart w:id="520" w:name="_Toc389065296"/>
      <w:bookmarkStart w:id="521" w:name="_Toc373227730"/>
    </w:p>
    <w:p w14:paraId="4F6A9C93">
      <w:pPr>
        <w:numPr>
          <w:ilvl w:val="0"/>
          <w:numId w:val="13"/>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（6）级以上的地震；</w:t>
      </w:r>
    </w:p>
    <w:p w14:paraId="6FDFE5C6">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（2）（10）级以上的持续（3）天的大风；</w:t>
      </w:r>
    </w:p>
    <w:p w14:paraId="386D0D5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 日降雨量大于50mm的雨日超过1天；</w:t>
      </w:r>
    </w:p>
    <w:p w14:paraId="360719D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（4）（50）年以上未发生过，持续（3）天的高温天气；</w:t>
      </w:r>
    </w:p>
    <w:p w14:paraId="5D71CEE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（5）（50）年以上未发生过，持续（3）天的严寒天气；</w:t>
      </w:r>
    </w:p>
    <w:p w14:paraId="371EEF6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（6）（50）年以上未发生过的洪水；</w:t>
      </w:r>
    </w:p>
    <w:p w14:paraId="0C6D6DFB">
      <w:pPr>
        <w:pStyle w:val="4"/>
        <w:rPr>
          <w:rFonts w:hint="eastAsia" w:ascii="宋体" w:hAnsi="宋体" w:eastAsia="宋体" w:cs="宋体"/>
          <w:b w:val="0"/>
          <w:bCs w:val="0"/>
          <w:color w:val="auto"/>
          <w:sz w:val="21"/>
          <w:szCs w:val="21"/>
          <w:highlight w:val="none"/>
          <w:lang w:val="en-US"/>
        </w:rPr>
      </w:pPr>
      <w:bookmarkStart w:id="522" w:name="_Toc8571"/>
      <w:r>
        <w:rPr>
          <w:rFonts w:hint="eastAsia" w:ascii="宋体" w:hAnsi="宋体" w:eastAsia="宋体" w:cs="宋体"/>
          <w:b w:val="0"/>
          <w:bCs w:val="0"/>
          <w:color w:val="auto"/>
          <w:sz w:val="21"/>
          <w:szCs w:val="21"/>
          <w:highlight w:val="none"/>
          <w:lang w:val="en-US"/>
        </w:rPr>
        <w:t xml:space="preserve">7.9 </w:t>
      </w:r>
      <w:r>
        <w:rPr>
          <w:rFonts w:hint="eastAsia" w:ascii="宋体" w:hAnsi="宋体" w:eastAsia="宋体" w:cs="宋体"/>
          <w:b w:val="0"/>
          <w:bCs w:val="0"/>
          <w:color w:val="auto"/>
          <w:sz w:val="21"/>
          <w:szCs w:val="21"/>
          <w:highlight w:val="none"/>
        </w:rPr>
        <w:t>提前竣工</w:t>
      </w:r>
      <w:bookmarkEnd w:id="518"/>
      <w:bookmarkEnd w:id="519"/>
      <w:bookmarkEnd w:id="520"/>
      <w:bookmarkEnd w:id="521"/>
      <w:bookmarkEnd w:id="522"/>
    </w:p>
    <w:p w14:paraId="4D631F01">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6FFF72E">
      <w:pPr>
        <w:pStyle w:val="3"/>
        <w:rPr>
          <w:color w:val="auto"/>
          <w:highlight w:val="none"/>
        </w:rPr>
      </w:pPr>
      <w:bookmarkStart w:id="523" w:name="_Toc373227731"/>
      <w:bookmarkStart w:id="524" w:name="_Toc500"/>
      <w:bookmarkStart w:id="525" w:name="_Toc389065297"/>
      <w:bookmarkStart w:id="526" w:name="_Toc407135233"/>
      <w:bookmarkStart w:id="527" w:name="_Toc351203640"/>
      <w:bookmarkStart w:id="528" w:name="_Toc373478378"/>
      <w:r>
        <w:rPr>
          <w:color w:val="auto"/>
          <w:highlight w:val="none"/>
        </w:rPr>
        <w:t xml:space="preserve">8. </w:t>
      </w:r>
      <w:r>
        <w:rPr>
          <w:rFonts w:hint="eastAsia" w:cs="黑体"/>
          <w:color w:val="auto"/>
          <w:highlight w:val="none"/>
        </w:rPr>
        <w:t>材料与设备</w:t>
      </w:r>
      <w:bookmarkEnd w:id="523"/>
      <w:bookmarkEnd w:id="524"/>
      <w:bookmarkEnd w:id="525"/>
      <w:bookmarkEnd w:id="526"/>
      <w:bookmarkEnd w:id="527"/>
      <w:bookmarkEnd w:id="528"/>
    </w:p>
    <w:bookmarkEnd w:id="393"/>
    <w:bookmarkEnd w:id="394"/>
    <w:bookmarkEnd w:id="395"/>
    <w:bookmarkEnd w:id="396"/>
    <w:bookmarkEnd w:id="397"/>
    <w:bookmarkEnd w:id="398"/>
    <w:bookmarkEnd w:id="399"/>
    <w:bookmarkEnd w:id="400"/>
    <w:bookmarkEnd w:id="401"/>
    <w:bookmarkEnd w:id="402"/>
    <w:p w14:paraId="42B621C8">
      <w:pPr>
        <w:pStyle w:val="4"/>
        <w:rPr>
          <w:color w:val="auto"/>
          <w:highlight w:val="none"/>
        </w:rPr>
      </w:pPr>
      <w:bookmarkStart w:id="529" w:name="_Toc373478379"/>
      <w:bookmarkStart w:id="530" w:name="_Toc389065298"/>
      <w:bookmarkStart w:id="531" w:name="_Toc373227732"/>
      <w:bookmarkStart w:id="532" w:name="_Toc8034"/>
      <w:bookmarkStart w:id="533" w:name="_Toc407135234"/>
      <w:r>
        <w:rPr>
          <w:color w:val="auto"/>
          <w:highlight w:val="none"/>
        </w:rPr>
        <w:t xml:space="preserve">8.2 </w:t>
      </w:r>
      <w:r>
        <w:rPr>
          <w:rFonts w:hint="eastAsia" w:cs="黑体"/>
          <w:color w:val="auto"/>
          <w:highlight w:val="none"/>
        </w:rPr>
        <w:t>承包人采购材料与工程设备</w:t>
      </w:r>
      <w:bookmarkEnd w:id="529"/>
      <w:bookmarkEnd w:id="530"/>
      <w:bookmarkEnd w:id="531"/>
      <w:bookmarkEnd w:id="532"/>
      <w:bookmarkEnd w:id="533"/>
    </w:p>
    <w:p w14:paraId="28F3AABB">
      <w:pPr>
        <w:autoSpaceDE w:val="0"/>
        <w:autoSpaceDN w:val="0"/>
        <w:adjustRightInd w:val="0"/>
        <w:spacing w:line="360" w:lineRule="auto"/>
        <w:ind w:firstLine="420" w:firstLineChars="200"/>
        <w:jc w:val="left"/>
        <w:rPr>
          <w:color w:val="auto"/>
          <w:kern w:val="0"/>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r>
        <w:rPr>
          <w:rFonts w:hint="eastAsia" w:cs="宋体"/>
          <w:color w:val="auto"/>
          <w:highlight w:val="none"/>
        </w:rPr>
        <w:t>承包人提供主要材料和工程设备一览表》</w:t>
      </w:r>
      <w:r>
        <w:rPr>
          <w:rFonts w:hint="eastAsia" w:cs="宋体"/>
          <w:color w:val="auto"/>
          <w:kern w:val="0"/>
          <w:highlight w:val="none"/>
        </w:rPr>
        <w:t>（表</w:t>
      </w:r>
      <w:r>
        <w:rPr>
          <w:color w:val="auto"/>
          <w:kern w:val="0"/>
          <w:highlight w:val="none"/>
        </w:rPr>
        <w:t>-22</w:t>
      </w:r>
      <w:r>
        <w:rPr>
          <w:rFonts w:hint="eastAsia" w:cs="宋体"/>
          <w:color w:val="auto"/>
          <w:kern w:val="0"/>
          <w:highlight w:val="none"/>
        </w:rPr>
        <w:t>）见已标价工程量清单。</w:t>
      </w:r>
    </w:p>
    <w:p w14:paraId="6287608C">
      <w:pPr>
        <w:pStyle w:val="4"/>
        <w:rPr>
          <w:color w:val="auto"/>
          <w:highlight w:val="none"/>
        </w:rPr>
      </w:pPr>
      <w:bookmarkStart w:id="534" w:name="_Toc389065299"/>
      <w:bookmarkStart w:id="535" w:name="_Toc407135235"/>
      <w:bookmarkStart w:id="536" w:name="_Toc373478380"/>
      <w:bookmarkStart w:id="537" w:name="_Toc373227733"/>
      <w:bookmarkStart w:id="538" w:name="_Toc3900"/>
      <w:r>
        <w:rPr>
          <w:color w:val="auto"/>
          <w:highlight w:val="none"/>
        </w:rPr>
        <w:t>8</w:t>
      </w:r>
      <w:bookmarkStart w:id="539" w:name="_Toc297120467"/>
      <w:bookmarkStart w:id="540" w:name="_Toc303539136"/>
      <w:bookmarkStart w:id="541" w:name="_Toc280868654"/>
      <w:bookmarkStart w:id="542" w:name="_Toc297048353"/>
      <w:bookmarkStart w:id="543" w:name="_Toc292559372"/>
      <w:bookmarkStart w:id="544" w:name="_Toc296347166"/>
      <w:bookmarkStart w:id="545" w:name="_Toc296944506"/>
      <w:bookmarkStart w:id="546" w:name="_Toc296346668"/>
      <w:bookmarkStart w:id="547" w:name="_Toc297216186"/>
      <w:bookmarkStart w:id="548" w:name="_Toc300934979"/>
      <w:bookmarkStart w:id="549" w:name="_Toc312678019"/>
      <w:bookmarkStart w:id="550" w:name="_Toc304295556"/>
      <w:bookmarkStart w:id="551" w:name="_Toc296891207"/>
      <w:bookmarkStart w:id="552" w:name="_Toc297123527"/>
      <w:bookmarkStart w:id="553" w:name="_Toc296890995"/>
      <w:bookmarkStart w:id="554" w:name="_Toc296503167"/>
      <w:bookmarkStart w:id="555" w:name="_Toc312677493"/>
      <w:bookmarkStart w:id="556" w:name="_Toc292559877"/>
      <w:bookmarkStart w:id="557" w:name="_Toc280868655"/>
      <w:bookmarkStart w:id="558" w:name="_Toc267251424"/>
      <w:bookmarkStart w:id="559" w:name="_Toc280868656"/>
      <w:r>
        <w:rPr>
          <w:color w:val="auto"/>
          <w:highlight w:val="none"/>
        </w:rPr>
        <w:t xml:space="preserve">.4 </w:t>
      </w:r>
      <w:r>
        <w:rPr>
          <w:rFonts w:hint="eastAsia" w:cs="黑体"/>
          <w:color w:val="auto"/>
          <w:highlight w:val="none"/>
        </w:rPr>
        <w:t>材料与工程设备的保管与使用</w:t>
      </w:r>
      <w:bookmarkEnd w:id="534"/>
      <w:bookmarkEnd w:id="535"/>
      <w:bookmarkEnd w:id="536"/>
      <w:bookmarkEnd w:id="537"/>
      <w:bookmarkEnd w:id="538"/>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75AC7C70">
      <w:pPr>
        <w:spacing w:line="360" w:lineRule="auto"/>
        <w:ind w:firstLine="420" w:firstLineChars="200"/>
        <w:jc w:val="left"/>
        <w:rPr>
          <w:color w:val="auto"/>
          <w:highlight w:val="none"/>
          <w:u w:val="single"/>
        </w:rPr>
      </w:pPr>
      <w:r>
        <w:rPr>
          <w:color w:val="auto"/>
          <w:highlight w:val="none"/>
        </w:rPr>
        <w:t>8</w:t>
      </w:r>
      <w:bookmarkStart w:id="560" w:name="_Toc292559878"/>
      <w:bookmarkStart w:id="561" w:name="_Toc292559373"/>
      <w:bookmarkStart w:id="562" w:name="_Toc296890996"/>
      <w:bookmarkStart w:id="563" w:name="_Toc297216187"/>
      <w:bookmarkStart w:id="564" w:name="_Toc300934980"/>
      <w:bookmarkStart w:id="565" w:name="_Toc296503168"/>
      <w:bookmarkStart w:id="566" w:name="_Toc303539137"/>
      <w:bookmarkStart w:id="567" w:name="_Toc297048354"/>
      <w:bookmarkStart w:id="568" w:name="_Toc312678020"/>
      <w:bookmarkStart w:id="569" w:name="_Toc296346669"/>
      <w:bookmarkStart w:id="570" w:name="_Toc296891208"/>
      <w:bookmarkStart w:id="571" w:name="_Toc318581173"/>
      <w:bookmarkStart w:id="572" w:name="_Toc297123528"/>
      <w:bookmarkStart w:id="573" w:name="_Toc312677494"/>
      <w:bookmarkStart w:id="574" w:name="_Toc297120468"/>
      <w:bookmarkStart w:id="575" w:name="_Toc304295557"/>
      <w:bookmarkStart w:id="576" w:name="_Toc296347167"/>
      <w:bookmarkStart w:id="577" w:name="_Toc296944507"/>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发包人供应的材料和工程设备，承包人清点后由承包人妥善保管，保管费用由发包人承担</w:t>
      </w:r>
      <w:r>
        <w:rPr>
          <w:color w:val="auto"/>
          <w:highlight w:val="none"/>
          <w:u w:val="single"/>
        </w:rPr>
        <w:t xml:space="preserve"> </w:t>
      </w:r>
      <w:r>
        <w:rPr>
          <w:rFonts w:hint="eastAsia" w:hAnsi="宋体" w:cs="宋体"/>
          <w:color w:val="auto"/>
          <w:highlight w:val="none"/>
        </w:rPr>
        <w:t>。</w:t>
      </w:r>
    </w:p>
    <w:bookmarkEnd w:id="560"/>
    <w:bookmarkEnd w:id="561"/>
    <w:p w14:paraId="23F6F0D0">
      <w:pPr>
        <w:pStyle w:val="4"/>
        <w:rPr>
          <w:color w:val="auto"/>
          <w:highlight w:val="none"/>
        </w:rPr>
      </w:pPr>
      <w:bookmarkStart w:id="578" w:name="_Toc373478381"/>
      <w:bookmarkStart w:id="579" w:name="_Toc373227734"/>
      <w:bookmarkStart w:id="580" w:name="_Toc389065300"/>
      <w:bookmarkStart w:id="581" w:name="_Toc6450"/>
      <w:bookmarkStart w:id="582" w:name="_Toc407135236"/>
      <w:r>
        <w:rPr>
          <w:color w:val="auto"/>
          <w:highlight w:val="none"/>
        </w:rPr>
        <w:t xml:space="preserve">8.6 </w:t>
      </w:r>
      <w:r>
        <w:rPr>
          <w:rFonts w:hint="eastAsia" w:hAnsi="宋体" w:cs="黑体"/>
          <w:color w:val="auto"/>
          <w:highlight w:val="none"/>
        </w:rPr>
        <w:t>样品</w:t>
      </w:r>
      <w:bookmarkEnd w:id="578"/>
      <w:bookmarkEnd w:id="579"/>
      <w:bookmarkEnd w:id="580"/>
      <w:bookmarkEnd w:id="581"/>
      <w:bookmarkEnd w:id="582"/>
    </w:p>
    <w:p w14:paraId="71CB3881">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7E38195B">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097BBF0C">
      <w:pPr>
        <w:pStyle w:val="4"/>
        <w:rPr>
          <w:color w:val="auto"/>
          <w:highlight w:val="none"/>
        </w:rPr>
      </w:pPr>
      <w:bookmarkStart w:id="583" w:name="_Toc407135237"/>
      <w:bookmarkStart w:id="584" w:name="_Toc373478382"/>
      <w:bookmarkStart w:id="585" w:name="_Toc373227735"/>
      <w:bookmarkStart w:id="586" w:name="_Toc389065301"/>
      <w:bookmarkStart w:id="587" w:name="_Toc6385"/>
      <w:r>
        <w:rPr>
          <w:color w:val="auto"/>
          <w:highlight w:val="none"/>
        </w:rPr>
        <w:t xml:space="preserve">8.8 </w:t>
      </w:r>
      <w:r>
        <w:rPr>
          <w:rFonts w:hint="eastAsia" w:cs="黑体"/>
          <w:color w:val="auto"/>
          <w:highlight w:val="none"/>
        </w:rPr>
        <w:t>施工设备和临时设施</w:t>
      </w:r>
      <w:bookmarkEnd w:id="583"/>
      <w:bookmarkEnd w:id="584"/>
      <w:bookmarkEnd w:id="585"/>
      <w:bookmarkEnd w:id="586"/>
      <w:bookmarkEnd w:id="587"/>
    </w:p>
    <w:p w14:paraId="417C6DB8">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38FCE3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21436EC1">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49A0486D">
      <w:pPr>
        <w:autoSpaceDE w:val="0"/>
        <w:autoSpaceDN w:val="0"/>
        <w:adjustRightInd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发包人供应的材料和工程设备，承包人清点后由承包人妥善保管，保管费用由发包人承担</w:t>
      </w:r>
      <w:r>
        <w:rPr>
          <w:rFonts w:hAnsi="宋体"/>
          <w:color w:val="auto"/>
          <w:highlight w:val="none"/>
          <w:u w:val="single"/>
        </w:rPr>
        <w:t xml:space="preserve"> </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1842B770">
      <w:pPr>
        <w:pStyle w:val="3"/>
        <w:rPr>
          <w:color w:val="auto"/>
          <w:highlight w:val="none"/>
        </w:rPr>
      </w:pPr>
      <w:bookmarkStart w:id="588" w:name="_Toc373227736"/>
      <w:bookmarkStart w:id="589" w:name="_Toc373478383"/>
      <w:bookmarkStart w:id="590" w:name="_Toc351203641"/>
      <w:bookmarkStart w:id="591" w:name="_Toc576"/>
      <w:bookmarkStart w:id="592" w:name="_Toc407135238"/>
      <w:bookmarkStart w:id="593" w:name="_Toc389065302"/>
      <w:r>
        <w:rPr>
          <w:color w:val="auto"/>
          <w:highlight w:val="none"/>
        </w:rPr>
        <w:t>9</w:t>
      </w:r>
      <w:bookmarkEnd w:id="557"/>
      <w:bookmarkEnd w:id="558"/>
      <w:bookmarkEnd w:id="559"/>
      <w:bookmarkStart w:id="594" w:name="_Toc300934982"/>
      <w:bookmarkStart w:id="595" w:name="_Toc312677495"/>
      <w:bookmarkStart w:id="596" w:name="_Toc297216192"/>
      <w:bookmarkStart w:id="597" w:name="_Toc303539139"/>
      <w:bookmarkStart w:id="598" w:name="_Toc304295559"/>
      <w:bookmarkStart w:id="599" w:name="_Toc312678021"/>
      <w:bookmarkStart w:id="600" w:name="_Toc297123533"/>
      <w:bookmarkStart w:id="601" w:name="_Toc267251427"/>
      <w:bookmarkStart w:id="602" w:name="_Toc296891001"/>
      <w:bookmarkStart w:id="603" w:name="_Toc296944512"/>
      <w:bookmarkStart w:id="604" w:name="_Toc292559883"/>
      <w:bookmarkStart w:id="605" w:name="_Toc296347172"/>
      <w:bookmarkStart w:id="606" w:name="_Toc296891213"/>
      <w:bookmarkStart w:id="607" w:name="_Toc267251428"/>
      <w:bookmarkStart w:id="608" w:name="_Toc296346674"/>
      <w:bookmarkStart w:id="609" w:name="_Toc296503173"/>
      <w:bookmarkStart w:id="610" w:name="_Toc292559378"/>
      <w:bookmarkStart w:id="611" w:name="_Toc297048359"/>
      <w:bookmarkStart w:id="612" w:name="_Toc297120473"/>
      <w:r>
        <w:rPr>
          <w:color w:val="auto"/>
          <w:highlight w:val="none"/>
        </w:rPr>
        <w:t xml:space="preserve">. </w:t>
      </w:r>
      <w:r>
        <w:rPr>
          <w:rFonts w:hint="eastAsia" w:cs="黑体"/>
          <w:color w:val="auto"/>
          <w:highlight w:val="none"/>
        </w:rPr>
        <w:t>试验与检验</w:t>
      </w:r>
      <w:bookmarkEnd w:id="588"/>
      <w:bookmarkEnd w:id="589"/>
      <w:bookmarkEnd w:id="590"/>
      <w:bookmarkEnd w:id="591"/>
      <w:bookmarkEnd w:id="592"/>
      <w:bookmarkEnd w:id="593"/>
    </w:p>
    <w:bookmarkEnd w:id="594"/>
    <w:bookmarkEnd w:id="595"/>
    <w:bookmarkEnd w:id="596"/>
    <w:bookmarkEnd w:id="597"/>
    <w:bookmarkEnd w:id="598"/>
    <w:bookmarkEnd w:id="599"/>
    <w:bookmarkEnd w:id="600"/>
    <w:p w14:paraId="3869277B">
      <w:pPr>
        <w:pStyle w:val="4"/>
        <w:rPr>
          <w:color w:val="auto"/>
          <w:highlight w:val="none"/>
        </w:rPr>
      </w:pPr>
      <w:bookmarkStart w:id="613" w:name="_Toc389065303"/>
      <w:bookmarkStart w:id="614" w:name="_Toc373478384"/>
      <w:bookmarkStart w:id="615" w:name="_Toc2143"/>
      <w:bookmarkStart w:id="616" w:name="_Toc373227737"/>
      <w:bookmarkStart w:id="617" w:name="_Toc407135239"/>
      <w:r>
        <w:rPr>
          <w:color w:val="auto"/>
          <w:highlight w:val="none"/>
        </w:rPr>
        <w:t>9</w:t>
      </w:r>
      <w:bookmarkStart w:id="618" w:name="_Toc300934983"/>
      <w:bookmarkStart w:id="619" w:name="_Toc297216193"/>
      <w:bookmarkStart w:id="620" w:name="_Toc297123534"/>
      <w:bookmarkStart w:id="621" w:name="_Toc304295560"/>
      <w:bookmarkStart w:id="622" w:name="_Toc312678022"/>
      <w:bookmarkStart w:id="623" w:name="_Toc303539140"/>
      <w:bookmarkStart w:id="624" w:name="_Toc312677496"/>
      <w:r>
        <w:rPr>
          <w:color w:val="auto"/>
          <w:highlight w:val="none"/>
        </w:rPr>
        <w:t xml:space="preserve">.1 </w:t>
      </w:r>
      <w:r>
        <w:rPr>
          <w:rFonts w:hint="eastAsia" w:cs="黑体"/>
          <w:color w:val="auto"/>
          <w:highlight w:val="none"/>
        </w:rPr>
        <w:t>试验设备与试验人员</w:t>
      </w:r>
      <w:bookmarkEnd w:id="613"/>
      <w:bookmarkEnd w:id="614"/>
      <w:bookmarkEnd w:id="615"/>
      <w:bookmarkEnd w:id="616"/>
      <w:bookmarkEnd w:id="617"/>
    </w:p>
    <w:bookmarkEnd w:id="618"/>
    <w:bookmarkEnd w:id="619"/>
    <w:bookmarkEnd w:id="620"/>
    <w:bookmarkEnd w:id="621"/>
    <w:bookmarkEnd w:id="622"/>
    <w:bookmarkEnd w:id="623"/>
    <w:bookmarkEnd w:id="624"/>
    <w:p w14:paraId="7882176C">
      <w:pPr>
        <w:spacing w:line="360" w:lineRule="auto"/>
        <w:ind w:firstLine="420" w:firstLineChars="200"/>
        <w:jc w:val="left"/>
        <w:rPr>
          <w:color w:val="auto"/>
          <w:highlight w:val="none"/>
        </w:rPr>
      </w:pPr>
      <w:r>
        <w:rPr>
          <w:color w:val="auto"/>
          <w:highlight w:val="none"/>
        </w:rPr>
        <w:t>9</w:t>
      </w:r>
      <w:bookmarkStart w:id="625" w:name="_Toc304295561"/>
      <w:bookmarkStart w:id="626" w:name="_Toc312678023"/>
      <w:bookmarkStart w:id="627" w:name="_Toc303539141"/>
      <w:bookmarkStart w:id="628" w:name="_Toc312677497"/>
      <w:bookmarkStart w:id="629" w:name="_Toc300934984"/>
      <w:bookmarkStart w:id="630" w:name="_Toc297216194"/>
      <w:bookmarkStart w:id="631" w:name="_Toc297123535"/>
      <w:bookmarkStart w:id="632" w:name="_Toc318581174"/>
      <w:r>
        <w:rPr>
          <w:color w:val="auto"/>
          <w:highlight w:val="none"/>
        </w:rPr>
        <w:t xml:space="preserve">.1.2 </w:t>
      </w:r>
      <w:r>
        <w:rPr>
          <w:rFonts w:hint="eastAsia" w:hAnsi="宋体" w:cs="宋体"/>
          <w:color w:val="auto"/>
          <w:highlight w:val="none"/>
        </w:rPr>
        <w:t>试验设备</w:t>
      </w:r>
    </w:p>
    <w:p w14:paraId="5B34F0C7">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625"/>
      <w:bookmarkEnd w:id="626"/>
      <w:bookmarkEnd w:id="627"/>
      <w:bookmarkEnd w:id="628"/>
      <w:bookmarkEnd w:id="629"/>
      <w:bookmarkEnd w:id="630"/>
      <w:bookmarkEnd w:id="631"/>
      <w:bookmarkStart w:id="633" w:name="_Toc300934985"/>
      <w:bookmarkStart w:id="634" w:name="_Toc303539142"/>
      <w:bookmarkStart w:id="635" w:name="_Toc312677498"/>
      <w:bookmarkStart w:id="636" w:name="_Toc304295562"/>
      <w:bookmarkStart w:id="637" w:name="_Toc297216195"/>
      <w:bookmarkStart w:id="638" w:name="_Toc312678024"/>
      <w:bookmarkStart w:id="639" w:name="_Toc297123536"/>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18B06F4">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CFB3032">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E738205">
      <w:pPr>
        <w:pStyle w:val="4"/>
        <w:rPr>
          <w:color w:val="auto"/>
          <w:highlight w:val="none"/>
        </w:rPr>
      </w:pPr>
      <w:bookmarkStart w:id="640" w:name="_Toc373478385"/>
      <w:bookmarkStart w:id="641" w:name="_Toc407135240"/>
      <w:bookmarkStart w:id="642" w:name="_Toc373227738"/>
      <w:bookmarkStart w:id="643" w:name="_Toc31943"/>
      <w:bookmarkStart w:id="644" w:name="_Toc389065304"/>
      <w:r>
        <w:rPr>
          <w:color w:val="auto"/>
          <w:highlight w:val="none"/>
        </w:rPr>
        <w:t xml:space="preserve">9.4 </w:t>
      </w:r>
      <w:r>
        <w:rPr>
          <w:rFonts w:hint="eastAsia" w:hAnsi="宋体" w:cs="黑体"/>
          <w:color w:val="auto"/>
          <w:highlight w:val="none"/>
        </w:rPr>
        <w:t>现场工艺试验</w:t>
      </w:r>
      <w:bookmarkEnd w:id="640"/>
      <w:bookmarkEnd w:id="641"/>
      <w:bookmarkEnd w:id="642"/>
      <w:bookmarkEnd w:id="643"/>
      <w:bookmarkEnd w:id="644"/>
      <w:r>
        <w:rPr>
          <w:color w:val="auto"/>
          <w:highlight w:val="none"/>
        </w:rPr>
        <w:t xml:space="preserve"> </w:t>
      </w:r>
    </w:p>
    <w:p w14:paraId="629E71C3">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2C66843A">
      <w:pPr>
        <w:pStyle w:val="4"/>
        <w:rPr>
          <w:color w:val="auto"/>
          <w:highlight w:val="none"/>
        </w:rPr>
      </w:pPr>
      <w:bookmarkStart w:id="645" w:name="_Toc25714"/>
      <w:bookmarkStart w:id="646" w:name="_Toc407135241"/>
      <w:bookmarkStart w:id="647" w:name="OLE_LINK1"/>
      <w:r>
        <w:rPr>
          <w:color w:val="auto"/>
          <w:highlight w:val="none"/>
        </w:rPr>
        <w:t xml:space="preserve">9.5 </w:t>
      </w:r>
      <w:r>
        <w:rPr>
          <w:rFonts w:hint="eastAsia" w:hAnsi="宋体" w:cs="黑体"/>
          <w:color w:val="auto"/>
          <w:highlight w:val="none"/>
        </w:rPr>
        <w:t>检验费用</w:t>
      </w:r>
      <w:bookmarkEnd w:id="645"/>
      <w:bookmarkEnd w:id="646"/>
    </w:p>
    <w:p w14:paraId="0035EA96">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632"/>
    <w:bookmarkEnd w:id="633"/>
    <w:bookmarkEnd w:id="634"/>
    <w:bookmarkEnd w:id="635"/>
    <w:bookmarkEnd w:id="636"/>
    <w:bookmarkEnd w:id="637"/>
    <w:bookmarkEnd w:id="638"/>
    <w:bookmarkEnd w:id="639"/>
    <w:bookmarkEnd w:id="647"/>
    <w:p w14:paraId="60102850">
      <w:pPr>
        <w:pStyle w:val="3"/>
        <w:rPr>
          <w:color w:val="auto"/>
          <w:highlight w:val="none"/>
        </w:rPr>
      </w:pPr>
      <w:bookmarkStart w:id="648" w:name="_Toc4922"/>
      <w:bookmarkStart w:id="649" w:name="_Toc351203642"/>
      <w:bookmarkStart w:id="650" w:name="_Toc407135242"/>
      <w:bookmarkStart w:id="651" w:name="_Toc373478386"/>
      <w:bookmarkStart w:id="652" w:name="_Toc373227739"/>
      <w:bookmarkStart w:id="653" w:name="_Toc389065305"/>
      <w:r>
        <w:rPr>
          <w:color w:val="auto"/>
          <w:highlight w:val="none"/>
        </w:rPr>
        <w:t>1</w:t>
      </w:r>
      <w:bookmarkEnd w:id="601"/>
      <w:bookmarkEnd w:id="602"/>
      <w:bookmarkEnd w:id="603"/>
      <w:bookmarkEnd w:id="604"/>
      <w:bookmarkEnd w:id="605"/>
      <w:bookmarkEnd w:id="606"/>
      <w:bookmarkEnd w:id="607"/>
      <w:bookmarkEnd w:id="608"/>
      <w:bookmarkEnd w:id="609"/>
      <w:bookmarkEnd w:id="610"/>
      <w:bookmarkEnd w:id="611"/>
      <w:bookmarkEnd w:id="612"/>
      <w:bookmarkStart w:id="654" w:name="_Toc296891021"/>
      <w:bookmarkStart w:id="655" w:name="_Toc297216199"/>
      <w:bookmarkStart w:id="656" w:name="_Toc296503193"/>
      <w:bookmarkStart w:id="657" w:name="_Toc297120493"/>
      <w:bookmarkStart w:id="658" w:name="_Toc296891233"/>
      <w:bookmarkStart w:id="659" w:name="_Toc303539146"/>
      <w:bookmarkStart w:id="660" w:name="_Toc297123540"/>
      <w:bookmarkStart w:id="661" w:name="_Toc300934989"/>
      <w:bookmarkStart w:id="662" w:name="_Toc292559398"/>
      <w:bookmarkStart w:id="663" w:name="_Toc304295566"/>
      <w:bookmarkStart w:id="664" w:name="_Toc297048379"/>
      <w:bookmarkStart w:id="665" w:name="_Toc296347192"/>
      <w:bookmarkStart w:id="666" w:name="_Toc296944532"/>
      <w:bookmarkStart w:id="667" w:name="_Toc292559903"/>
      <w:bookmarkStart w:id="668" w:name="_Toc296346694"/>
      <w:bookmarkStart w:id="669" w:name="_Toc312678025"/>
      <w:bookmarkStart w:id="670" w:name="_Toc312677499"/>
      <w:bookmarkStart w:id="671" w:name="_Toc267251441"/>
      <w:bookmarkStart w:id="672" w:name="_Toc267251440"/>
      <w:bookmarkStart w:id="673" w:name="_Toc267251435"/>
      <w:bookmarkStart w:id="674" w:name="_Toc267251437"/>
      <w:bookmarkStart w:id="675" w:name="_Toc267251439"/>
      <w:bookmarkStart w:id="676" w:name="_Toc267251433"/>
      <w:bookmarkStart w:id="677" w:name="_Toc267251442"/>
      <w:r>
        <w:rPr>
          <w:color w:val="auto"/>
          <w:highlight w:val="none"/>
        </w:rPr>
        <w:t xml:space="preserve">0. </w:t>
      </w:r>
      <w:r>
        <w:rPr>
          <w:rFonts w:hint="eastAsia" w:hAnsi="宋体" w:cs="黑体"/>
          <w:color w:val="auto"/>
          <w:highlight w:val="none"/>
        </w:rPr>
        <w:t>变更</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bookmarkEnd w:id="669"/>
    <w:bookmarkEnd w:id="670"/>
    <w:p w14:paraId="7A9E4B7B">
      <w:pPr>
        <w:pStyle w:val="4"/>
        <w:rPr>
          <w:color w:val="auto"/>
          <w:highlight w:val="none"/>
        </w:rPr>
      </w:pPr>
      <w:bookmarkStart w:id="678" w:name="_Toc389065306"/>
      <w:bookmarkStart w:id="679" w:name="_Toc373227740"/>
      <w:bookmarkStart w:id="680" w:name="_Toc30777"/>
      <w:bookmarkStart w:id="681" w:name="_Toc373478387"/>
      <w:bookmarkStart w:id="682" w:name="_Toc407135243"/>
      <w:r>
        <w:rPr>
          <w:color w:val="auto"/>
          <w:highlight w:val="none"/>
        </w:rPr>
        <w:t>1</w:t>
      </w:r>
      <w:bookmarkStart w:id="683" w:name="_Toc297120494"/>
      <w:bookmarkStart w:id="684" w:name="_Toc292559904"/>
      <w:bookmarkStart w:id="685" w:name="_Toc296346695"/>
      <w:bookmarkStart w:id="686" w:name="_Toc296347193"/>
      <w:bookmarkStart w:id="687" w:name="_Toc296503194"/>
      <w:bookmarkStart w:id="688" w:name="_Toc312677500"/>
      <w:bookmarkStart w:id="689" w:name="_Toc304295567"/>
      <w:bookmarkStart w:id="690" w:name="_Toc312678026"/>
      <w:bookmarkStart w:id="691" w:name="_Toc296891022"/>
      <w:bookmarkStart w:id="692" w:name="_Toc297048380"/>
      <w:bookmarkStart w:id="693" w:name="_Toc303539147"/>
      <w:bookmarkStart w:id="694" w:name="_Toc297123541"/>
      <w:bookmarkStart w:id="695" w:name="_Toc300934990"/>
      <w:bookmarkStart w:id="696" w:name="_Toc297216200"/>
      <w:bookmarkStart w:id="697" w:name="_Toc296891234"/>
      <w:bookmarkStart w:id="698" w:name="_Toc296944533"/>
      <w:bookmarkStart w:id="699" w:name="_Toc292559399"/>
      <w:r>
        <w:rPr>
          <w:color w:val="auto"/>
          <w:highlight w:val="none"/>
        </w:rPr>
        <w:t xml:space="preserve">0.1 </w:t>
      </w:r>
      <w:r>
        <w:rPr>
          <w:rFonts w:hint="eastAsia" w:hAnsi="宋体" w:cs="黑体"/>
          <w:color w:val="auto"/>
          <w:highlight w:val="none"/>
        </w:rPr>
        <w:t>变更的范围</w:t>
      </w:r>
      <w:bookmarkEnd w:id="678"/>
      <w:bookmarkEnd w:id="679"/>
      <w:bookmarkEnd w:id="680"/>
      <w:bookmarkEnd w:id="681"/>
      <w:bookmarkEnd w:id="682"/>
    </w:p>
    <w:p w14:paraId="394A188E">
      <w:pPr>
        <w:spacing w:line="360" w:lineRule="auto"/>
        <w:ind w:firstLine="426"/>
        <w:jc w:val="left"/>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按本合同通用条款第 10.1 条执行</w:t>
      </w:r>
      <w:r>
        <w:rPr>
          <w:color w:val="auto"/>
          <w:highlight w:val="none"/>
          <w:u w:val="single"/>
        </w:rPr>
        <w:t xml:space="preserve">  </w:t>
      </w:r>
      <w:r>
        <w:rPr>
          <w:rFonts w:hint="eastAsia" w:hAnsi="宋体" w:cs="宋体"/>
          <w:color w:val="auto"/>
          <w:highlight w:val="none"/>
        </w:rPr>
        <w:t>。</w:t>
      </w:r>
    </w:p>
    <w:p w14:paraId="565F673B">
      <w:pPr>
        <w:pStyle w:val="4"/>
        <w:rPr>
          <w:color w:val="auto"/>
          <w:highlight w:val="none"/>
        </w:rPr>
      </w:pPr>
      <w:bookmarkStart w:id="700" w:name="_Toc373227741"/>
      <w:bookmarkStart w:id="701" w:name="_Toc389065307"/>
      <w:bookmarkStart w:id="702" w:name="_Toc407135244"/>
      <w:bookmarkStart w:id="703" w:name="_Toc19756"/>
      <w:bookmarkStart w:id="704" w:name="_Toc373478388"/>
      <w:r>
        <w:rPr>
          <w:color w:val="auto"/>
          <w:highlight w:val="none"/>
        </w:rPr>
        <w:t xml:space="preserve">10.3 </w:t>
      </w:r>
      <w:r>
        <w:rPr>
          <w:rFonts w:hint="eastAsia" w:hAnsi="宋体" w:cs="黑体"/>
          <w:color w:val="auto"/>
          <w:highlight w:val="none"/>
        </w:rPr>
        <w:t>变更程序</w:t>
      </w:r>
      <w:bookmarkEnd w:id="700"/>
      <w:bookmarkEnd w:id="701"/>
      <w:bookmarkEnd w:id="702"/>
      <w:bookmarkEnd w:id="703"/>
      <w:bookmarkEnd w:id="704"/>
    </w:p>
    <w:p w14:paraId="45B946BF">
      <w:pPr>
        <w:pStyle w:val="15"/>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770E233">
      <w:pPr>
        <w:pStyle w:val="15"/>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5F50E3C1">
      <w:pPr>
        <w:pStyle w:val="15"/>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BF2BD1">
      <w:pPr>
        <w:pStyle w:val="15"/>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7C2832BC">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367CA5FB">
      <w:pPr>
        <w:pStyle w:val="4"/>
        <w:rPr>
          <w:color w:val="auto"/>
          <w:highlight w:val="none"/>
        </w:rPr>
      </w:pPr>
      <w:bookmarkStart w:id="705" w:name="_Toc389065308"/>
      <w:bookmarkStart w:id="706" w:name="_Toc373227742"/>
      <w:bookmarkStart w:id="707" w:name="_Toc373478389"/>
      <w:bookmarkStart w:id="708" w:name="_Toc407135245"/>
      <w:bookmarkStart w:id="709" w:name="_Toc31408"/>
      <w:r>
        <w:rPr>
          <w:color w:val="auto"/>
          <w:highlight w:val="none"/>
        </w:rPr>
        <w:t xml:space="preserve">10.4 </w:t>
      </w:r>
      <w:r>
        <w:rPr>
          <w:rFonts w:hint="eastAsia" w:hAnsi="宋体" w:cs="黑体"/>
          <w:color w:val="auto"/>
          <w:highlight w:val="none"/>
        </w:rPr>
        <w:t>变更估价</w:t>
      </w:r>
      <w:bookmarkEnd w:id="705"/>
      <w:bookmarkEnd w:id="706"/>
      <w:bookmarkEnd w:id="707"/>
      <w:bookmarkEnd w:id="708"/>
      <w:bookmarkEnd w:id="709"/>
    </w:p>
    <w:p w14:paraId="017315B8">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6620A8C0">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hAnsi="宋体" w:cs="宋体"/>
          <w:color w:val="auto"/>
          <w:highlight w:val="none"/>
          <w:lang w:eastAsia="zh-CN"/>
        </w:rPr>
        <w:t>：</w:t>
      </w:r>
      <w:r>
        <w:rPr>
          <w:color w:val="auto"/>
          <w:highlight w:val="none"/>
        </w:rPr>
        <w:t xml:space="preserve"> </w:t>
      </w:r>
      <w:bookmarkStart w:id="710" w:name="_Toc251051742"/>
      <w:r>
        <w:rPr>
          <w:rFonts w:hint="eastAsia" w:hAnsi="宋体" w:cs="宋体"/>
          <w:color w:val="auto"/>
          <w:highlight w:val="none"/>
          <w:u w:val="single"/>
        </w:rPr>
        <w:t>工程变更合同价款按下列方法进行：</w:t>
      </w:r>
      <w:r>
        <w:rPr>
          <w:rFonts w:hint="eastAsia" w:ascii="Times New Roman" w:hAnsi="宋体" w:eastAsia="宋体" w:cs="宋体"/>
          <w:color w:val="auto"/>
          <w:highlight w:val="none"/>
          <w:u w:val="single"/>
        </w:rPr>
        <w:t>（1）合同中已有相同清单项目的，按合同该清单项目价格进行计算；（2）合同中只有类似清单项目的，参照该类似清单项目价格进行计算；（3）合同中没有适用或类似清单项目的价格计算方法：有定额的套定额，其中：材料设备价格按施工期间的《玉林建设工程造价信息》相应信息价计算，《玉林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10"/>
      <w:r>
        <w:rPr>
          <w:rFonts w:hint="eastAsia" w:ascii="Times New Roman" w:hAnsi="宋体" w:eastAsia="宋体" w:cs="宋体"/>
          <w:color w:val="auto"/>
          <w:highlight w:val="none"/>
          <w:u w:val="single"/>
        </w:rPr>
        <w:t>。</w:t>
      </w:r>
      <w:r>
        <w:rPr>
          <w:rFonts w:hint="eastAsia" w:hAnsi="宋体" w:cs="宋体"/>
          <w:color w:val="auto"/>
          <w:highlight w:val="none"/>
        </w:rPr>
        <w:t>以上约定同时适用于招标工程量清单缺项以及工程量清单项目特征与图纸不符时的价款确定。</w:t>
      </w:r>
    </w:p>
    <w:p w14:paraId="5C28AB54">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21A8563E">
      <w:pPr>
        <w:pStyle w:val="4"/>
        <w:rPr>
          <w:color w:val="auto"/>
          <w:highlight w:val="none"/>
        </w:rPr>
      </w:pPr>
      <w:bookmarkStart w:id="711" w:name="_Toc373478390"/>
      <w:bookmarkStart w:id="712" w:name="_Toc1145"/>
      <w:bookmarkStart w:id="713" w:name="_Toc407135246"/>
      <w:bookmarkStart w:id="714" w:name="_Toc389065309"/>
      <w:bookmarkStart w:id="715" w:name="_Toc373227743"/>
      <w:r>
        <w:rPr>
          <w:color w:val="auto"/>
          <w:highlight w:val="none"/>
        </w:rPr>
        <w:t>1</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Start w:id="716" w:name="_Toc297123544"/>
      <w:bookmarkStart w:id="717" w:name="_Toc292559402"/>
      <w:bookmarkStart w:id="718" w:name="_Toc296346698"/>
      <w:bookmarkStart w:id="719" w:name="_Toc296503197"/>
      <w:bookmarkStart w:id="720" w:name="_Toc296891025"/>
      <w:bookmarkStart w:id="721" w:name="_Toc297120497"/>
      <w:bookmarkStart w:id="722" w:name="_Toc300934993"/>
      <w:bookmarkStart w:id="723" w:name="_Toc297216203"/>
      <w:bookmarkStart w:id="724" w:name="_Toc297048383"/>
      <w:bookmarkStart w:id="725" w:name="_Toc296347196"/>
      <w:bookmarkStart w:id="726" w:name="_Toc303539150"/>
      <w:bookmarkStart w:id="727" w:name="_Toc296944536"/>
      <w:bookmarkStart w:id="728" w:name="_Toc296891237"/>
      <w:bookmarkStart w:id="729" w:name="_Toc292559907"/>
      <w:bookmarkStart w:id="730" w:name="_Toc304295570"/>
      <w:bookmarkStart w:id="731" w:name="_Toc312677503"/>
      <w:bookmarkStart w:id="732" w:name="_Toc312678029"/>
      <w:r>
        <w:rPr>
          <w:color w:val="auto"/>
          <w:highlight w:val="none"/>
        </w:rPr>
        <w:t xml:space="preserve">0.5 </w:t>
      </w:r>
      <w:r>
        <w:rPr>
          <w:rFonts w:hint="eastAsia" w:cs="黑体"/>
          <w:color w:val="auto"/>
          <w:highlight w:val="none"/>
        </w:rPr>
        <w:t>承</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Start w:id="733" w:name="_Toc297120503"/>
      <w:bookmarkStart w:id="734" w:name="_Toc297216204"/>
      <w:bookmarkStart w:id="735" w:name="_Toc292559408"/>
      <w:bookmarkStart w:id="736" w:name="_Toc303539151"/>
      <w:bookmarkStart w:id="737" w:name="_Toc292559913"/>
      <w:bookmarkStart w:id="738" w:name="_Toc297123545"/>
      <w:bookmarkStart w:id="739" w:name="_Toc296346704"/>
      <w:bookmarkStart w:id="740" w:name="_Toc296944542"/>
      <w:bookmarkStart w:id="741" w:name="_Toc297048389"/>
      <w:bookmarkStart w:id="742" w:name="_Toc296891031"/>
      <w:bookmarkStart w:id="743" w:name="_Toc300934994"/>
      <w:bookmarkStart w:id="744" w:name="_Toc296347202"/>
      <w:bookmarkStart w:id="745" w:name="_Toc296891243"/>
      <w:bookmarkStart w:id="746" w:name="_Toc296503203"/>
      <w:r>
        <w:rPr>
          <w:rFonts w:hint="eastAsia" w:cs="黑体"/>
          <w:color w:val="auto"/>
          <w:highlight w:val="none"/>
        </w:rPr>
        <w:t>包人的合理化建议</w:t>
      </w:r>
      <w:bookmarkEnd w:id="711"/>
      <w:bookmarkEnd w:id="712"/>
      <w:bookmarkEnd w:id="713"/>
      <w:bookmarkEnd w:id="714"/>
      <w:bookmarkEnd w:id="715"/>
    </w:p>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42C84237">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监理人应在收到承包人提交的合理化建议之日起</w:t>
      </w:r>
      <w:r>
        <w:rPr>
          <w:rFonts w:hint="eastAsia"/>
          <w:color w:val="auto"/>
          <w:highlight w:val="none"/>
          <w:u w:val="single"/>
          <w:lang w:val="en-US" w:eastAsia="zh-CN"/>
        </w:rPr>
        <w:t>3</w:t>
      </w:r>
      <w:r>
        <w:rPr>
          <w:rFonts w:hint="eastAsia"/>
          <w:color w:val="auto"/>
          <w:highlight w:val="none"/>
          <w:u w:val="single"/>
        </w:rPr>
        <w:t>天内审查完毕并报送发包人</w:t>
      </w:r>
      <w:r>
        <w:rPr>
          <w:color w:val="auto"/>
          <w:highlight w:val="none"/>
          <w:u w:val="single"/>
        </w:rPr>
        <w:t xml:space="preserve">   </w:t>
      </w:r>
      <w:r>
        <w:rPr>
          <w:rFonts w:hint="eastAsia" w:hAnsi="宋体" w:cs="宋体"/>
          <w:color w:val="auto"/>
          <w:highlight w:val="none"/>
        </w:rPr>
        <w:t>。</w:t>
      </w:r>
    </w:p>
    <w:p w14:paraId="0016CAAA">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发包人应在收到监理人报送的合理化建议之日起</w:t>
      </w:r>
      <w:r>
        <w:rPr>
          <w:rFonts w:hint="eastAsia"/>
          <w:color w:val="auto"/>
          <w:highlight w:val="none"/>
          <w:u w:val="single"/>
          <w:lang w:val="en-US" w:eastAsia="zh-CN"/>
        </w:rPr>
        <w:t>3</w:t>
      </w:r>
      <w:r>
        <w:rPr>
          <w:rFonts w:hint="eastAsia"/>
          <w:color w:val="auto"/>
          <w:highlight w:val="none"/>
          <w:u w:val="single"/>
        </w:rPr>
        <w:t xml:space="preserve">天内审批完毕 </w:t>
      </w:r>
      <w:r>
        <w:rPr>
          <w:color w:val="auto"/>
          <w:highlight w:val="none"/>
          <w:u w:val="single"/>
        </w:rPr>
        <w:t xml:space="preserve">     </w:t>
      </w:r>
      <w:r>
        <w:rPr>
          <w:rFonts w:hint="eastAsia" w:hAnsi="宋体" w:cs="宋体"/>
          <w:color w:val="auto"/>
          <w:highlight w:val="none"/>
        </w:rPr>
        <w:t>。</w:t>
      </w:r>
    </w:p>
    <w:p w14:paraId="1670E1BA">
      <w:pPr>
        <w:spacing w:line="360" w:lineRule="auto"/>
        <w:ind w:firstLine="420" w:firstLineChars="200"/>
        <w:jc w:val="left"/>
        <w:rPr>
          <w:color w:val="auto"/>
          <w:highlight w:val="none"/>
          <w:u w:val="single"/>
        </w:rPr>
      </w:pPr>
      <w:r>
        <w:rPr>
          <w:rFonts w:hint="eastAsia" w:hAnsi="宋体" w:cs="宋体"/>
          <w:color w:val="auto"/>
          <w:highlight w:val="none"/>
        </w:rPr>
        <w:t>承</w:t>
      </w:r>
      <w:bookmarkStart w:id="747" w:name="_Toc296891032"/>
      <w:bookmarkStart w:id="748" w:name="_Toc296347203"/>
      <w:bookmarkStart w:id="749" w:name="_Toc304295571"/>
      <w:bookmarkStart w:id="750" w:name="_Toc300934995"/>
      <w:bookmarkStart w:id="751" w:name="_Toc318581175"/>
      <w:bookmarkStart w:id="752" w:name="_Toc312678030"/>
      <w:bookmarkStart w:id="753" w:name="_Toc292559914"/>
      <w:bookmarkStart w:id="754" w:name="_Toc297048390"/>
      <w:bookmarkStart w:id="755" w:name="_Toc312677504"/>
      <w:bookmarkStart w:id="756" w:name="_Toc297120504"/>
      <w:bookmarkStart w:id="757" w:name="_Toc292559409"/>
      <w:bookmarkStart w:id="758" w:name="_Toc297216205"/>
      <w:bookmarkStart w:id="759" w:name="_Toc296346705"/>
      <w:bookmarkStart w:id="760" w:name="_Toc303539152"/>
      <w:bookmarkStart w:id="761" w:name="_Toc296503204"/>
      <w:bookmarkStart w:id="762" w:name="_Toc297123546"/>
      <w:bookmarkStart w:id="763" w:name="_Toc296891244"/>
      <w:bookmarkStart w:id="764" w:name="_Toc296944543"/>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14:paraId="4138F8E7">
      <w:pPr>
        <w:pStyle w:val="4"/>
        <w:rPr>
          <w:color w:val="auto"/>
          <w:highlight w:val="none"/>
        </w:rPr>
      </w:pPr>
      <w:bookmarkStart w:id="765" w:name="_Toc407135247"/>
      <w:bookmarkStart w:id="766" w:name="_Toc373478391"/>
      <w:bookmarkStart w:id="767" w:name="_Toc389065310"/>
      <w:bookmarkStart w:id="768" w:name="_Toc373227744"/>
      <w:bookmarkStart w:id="769" w:name="_Toc10710"/>
      <w:r>
        <w:rPr>
          <w:color w:val="auto"/>
          <w:highlight w:val="none"/>
        </w:rPr>
        <w:t>1</w:t>
      </w:r>
      <w:bookmarkStart w:id="770" w:name="_Toc303539154"/>
      <w:bookmarkStart w:id="771" w:name="_Toc312678033"/>
      <w:bookmarkStart w:id="772" w:name="_Toc296346700"/>
      <w:bookmarkStart w:id="773" w:name="_Toc296891239"/>
      <w:bookmarkStart w:id="774" w:name="_Toc296944538"/>
      <w:bookmarkStart w:id="775" w:name="_Toc292559909"/>
      <w:bookmarkStart w:id="776" w:name="_Toc296503199"/>
      <w:bookmarkStart w:id="777" w:name="_Toc296891027"/>
      <w:bookmarkStart w:id="778" w:name="_Toc292559404"/>
      <w:bookmarkStart w:id="779" w:name="_Toc297123548"/>
      <w:bookmarkStart w:id="780" w:name="_Toc297048385"/>
      <w:bookmarkStart w:id="781" w:name="_Toc297120499"/>
      <w:bookmarkStart w:id="782" w:name="_Toc300934997"/>
      <w:bookmarkStart w:id="783" w:name="_Toc296347198"/>
      <w:bookmarkStart w:id="784" w:name="_Toc312677507"/>
      <w:bookmarkStart w:id="785" w:name="_Toc297216207"/>
      <w:bookmarkStart w:id="786" w:name="_Toc304295574"/>
      <w:r>
        <w:rPr>
          <w:color w:val="auto"/>
          <w:highlight w:val="none"/>
        </w:rPr>
        <w:t xml:space="preserve">0.7 </w:t>
      </w:r>
      <w:r>
        <w:rPr>
          <w:rFonts w:hint="eastAsia" w:hAnsi="宋体" w:cs="黑体"/>
          <w:color w:val="auto"/>
          <w:highlight w:val="none"/>
        </w:rPr>
        <w:t>暂估价</w:t>
      </w:r>
      <w:bookmarkEnd w:id="765"/>
      <w:bookmarkEnd w:id="766"/>
      <w:bookmarkEnd w:id="767"/>
      <w:bookmarkEnd w:id="768"/>
      <w:bookmarkEnd w:id="769"/>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29695B00">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暂</w:t>
      </w:r>
      <w:bookmarkStart w:id="787" w:name="_Toc312678034"/>
      <w:bookmarkStart w:id="788" w:name="_Toc312677508"/>
      <w:bookmarkStart w:id="789" w:name="_Toc318581176"/>
      <w:r>
        <w:rPr>
          <w:rFonts w:hint="eastAsia" w:ascii="Times New Roman" w:hAnsi="宋体" w:eastAsia="宋体" w:cs="宋体"/>
          <w:color w:val="auto"/>
          <w:highlight w:val="none"/>
        </w:rPr>
        <w:t>估价材料和工程设备的明细详见已标价工程量清单《材料（工程设备）暂估价格及调整表》（表12-2）和《专业工程暂估价表》（表12-3）。</w:t>
      </w:r>
    </w:p>
    <w:bookmarkEnd w:id="787"/>
    <w:bookmarkEnd w:id="788"/>
    <w:bookmarkEnd w:id="789"/>
    <w:p w14:paraId="1328B8C0">
      <w:pPr>
        <w:spacing w:line="360" w:lineRule="auto"/>
        <w:ind w:firstLine="420" w:firstLineChars="200"/>
        <w:jc w:val="left"/>
        <w:rPr>
          <w:color w:val="auto"/>
          <w:highlight w:val="none"/>
        </w:rPr>
      </w:pPr>
      <w:r>
        <w:rPr>
          <w:color w:val="auto"/>
          <w:highlight w:val="none"/>
        </w:rPr>
        <w:t>1</w:t>
      </w:r>
      <w:bookmarkStart w:id="790" w:name="_Toc312677509"/>
      <w:bookmarkStart w:id="791" w:name="_Toc312678035"/>
      <w:bookmarkStart w:id="792" w:name="_Toc318581177"/>
      <w:r>
        <w:rPr>
          <w:color w:val="auto"/>
          <w:highlight w:val="none"/>
        </w:rPr>
        <w:t xml:space="preserve">0.7.1 </w:t>
      </w:r>
      <w:r>
        <w:rPr>
          <w:rFonts w:hint="eastAsia" w:hAnsi="宋体" w:cs="宋体"/>
          <w:color w:val="auto"/>
          <w:highlight w:val="none"/>
        </w:rPr>
        <w:t>依法必须招标的暂估价项目</w:t>
      </w:r>
    </w:p>
    <w:bookmarkEnd w:id="790"/>
    <w:bookmarkEnd w:id="791"/>
    <w:bookmarkEnd w:id="792"/>
    <w:p w14:paraId="10FC3589">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种方式确定。</w:t>
      </w:r>
    </w:p>
    <w:p w14:paraId="12C7A928">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45D12769">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52A5AEF7">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2AD52608">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084A388">
      <w:pPr>
        <w:pStyle w:val="4"/>
        <w:rPr>
          <w:color w:val="auto"/>
          <w:highlight w:val="none"/>
        </w:rPr>
      </w:pPr>
      <w:bookmarkStart w:id="793" w:name="_Toc373227745"/>
      <w:bookmarkStart w:id="794" w:name="_Toc17543"/>
      <w:bookmarkStart w:id="795" w:name="_Toc373478392"/>
      <w:bookmarkStart w:id="796" w:name="_Toc389065311"/>
      <w:bookmarkStart w:id="797" w:name="_Toc407135248"/>
      <w:r>
        <w:rPr>
          <w:color w:val="auto"/>
          <w:highlight w:val="none"/>
        </w:rPr>
        <w:t xml:space="preserve">10.8 </w:t>
      </w:r>
      <w:r>
        <w:rPr>
          <w:rFonts w:hint="eastAsia" w:hAnsi="宋体" w:cs="黑体"/>
          <w:color w:val="auto"/>
          <w:highlight w:val="none"/>
        </w:rPr>
        <w:t>暂列金额</w:t>
      </w:r>
      <w:bookmarkEnd w:id="793"/>
      <w:bookmarkEnd w:id="794"/>
      <w:bookmarkEnd w:id="795"/>
      <w:bookmarkEnd w:id="796"/>
      <w:bookmarkEnd w:id="797"/>
    </w:p>
    <w:p w14:paraId="13F54B79">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w:t>
      </w:r>
    </w:p>
    <w:p w14:paraId="1DE337DE">
      <w:pPr>
        <w:pStyle w:val="3"/>
        <w:numPr>
          <w:ilvl w:val="0"/>
          <w:numId w:val="14"/>
        </w:numPr>
        <w:rPr>
          <w:color w:val="auto"/>
          <w:highlight w:val="none"/>
        </w:rPr>
      </w:pPr>
      <w:bookmarkStart w:id="798" w:name="_Toc351203643"/>
      <w:bookmarkStart w:id="799" w:name="_Toc389065312"/>
      <w:bookmarkStart w:id="800" w:name="_Toc373478393"/>
      <w:bookmarkStart w:id="801" w:name="_Toc6988"/>
      <w:bookmarkStart w:id="802" w:name="_Toc407135249"/>
      <w:bookmarkStart w:id="803" w:name="_Toc373227746"/>
      <w:r>
        <w:rPr>
          <w:rFonts w:hint="eastAsia" w:hAnsi="宋体" w:cs="黑体"/>
          <w:color w:val="auto"/>
          <w:highlight w:val="none"/>
        </w:rPr>
        <w:t>价格调整</w:t>
      </w:r>
      <w:bookmarkEnd w:id="798"/>
      <w:bookmarkEnd w:id="799"/>
      <w:bookmarkEnd w:id="800"/>
      <w:bookmarkEnd w:id="801"/>
      <w:bookmarkEnd w:id="802"/>
      <w:bookmarkEnd w:id="803"/>
    </w:p>
    <w:p w14:paraId="418AB251">
      <w:pPr>
        <w:pStyle w:val="4"/>
        <w:rPr>
          <w:color w:val="auto"/>
          <w:highlight w:val="none"/>
        </w:rPr>
      </w:pPr>
      <w:bookmarkStart w:id="804" w:name="_Toc3300"/>
      <w:bookmarkStart w:id="805" w:name="_Toc373227747"/>
      <w:bookmarkStart w:id="806" w:name="_Toc407135250"/>
      <w:bookmarkStart w:id="807" w:name="_Toc389065313"/>
      <w:bookmarkStart w:id="808" w:name="_Toc373478394"/>
      <w:bookmarkStart w:id="809" w:name="_Toc297216209"/>
      <w:bookmarkStart w:id="810" w:name="_Toc297123550"/>
      <w:bookmarkStart w:id="811" w:name="_Toc296347200"/>
      <w:bookmarkStart w:id="812" w:name="_Toc296891241"/>
      <w:bookmarkStart w:id="813" w:name="_Toc296944540"/>
      <w:bookmarkStart w:id="814" w:name="_Toc296503201"/>
      <w:bookmarkStart w:id="815" w:name="_Toc292559406"/>
      <w:bookmarkStart w:id="816" w:name="_Toc296891029"/>
      <w:bookmarkStart w:id="817" w:name="_Toc297120501"/>
      <w:bookmarkStart w:id="818" w:name="_Toc304295577"/>
      <w:bookmarkStart w:id="819" w:name="_Toc296346702"/>
      <w:bookmarkStart w:id="820" w:name="_Toc303539157"/>
      <w:bookmarkStart w:id="821" w:name="_Toc292559911"/>
      <w:bookmarkStart w:id="822" w:name="_Toc297048387"/>
      <w:bookmarkStart w:id="823" w:name="_Toc312678039"/>
      <w:bookmarkStart w:id="824" w:name="_Toc300935000"/>
      <w:r>
        <w:rPr>
          <w:color w:val="auto"/>
          <w:highlight w:val="none"/>
        </w:rPr>
        <w:t xml:space="preserve">11.1 </w:t>
      </w:r>
      <w:r>
        <w:rPr>
          <w:rFonts w:hint="eastAsia" w:cs="黑体"/>
          <w:color w:val="auto"/>
          <w:highlight w:val="none"/>
        </w:rPr>
        <w:t>市场价格波动引起的调整</w:t>
      </w:r>
      <w:bookmarkEnd w:id="804"/>
      <w:bookmarkEnd w:id="805"/>
      <w:bookmarkEnd w:id="806"/>
      <w:bookmarkEnd w:id="807"/>
      <w:bookmarkEnd w:id="808"/>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3ADF8FA2">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0AAEFC8">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种方式对合同价格进行调整：</w:t>
      </w:r>
    </w:p>
    <w:p w14:paraId="2DD3A147">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63A03158">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2E523A9C">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3D7B01D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ascii="Times New Roman" w:hAnsi="宋体" w:eastAsia="宋体" w:cs="宋体"/>
          <w:color w:val="auto"/>
          <w:highlight w:val="none"/>
        </w:rPr>
        <w:t>允许调整的主要材料和设备、基期价格、风险系数、投标报价详见《承包人提供主要材料和设备一览表》（表-22）</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价差调整部分仅计算税金，除此表列明的材料、设备外，其余材料设备价差原则上不予调整。</w:t>
      </w:r>
    </w:p>
    <w:p w14:paraId="15EC6B3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）主要材料和设备确认价：</w:t>
      </w:r>
    </w:p>
    <w:p w14:paraId="346EB053">
      <w:pPr>
        <w:spacing w:line="360" w:lineRule="auto"/>
        <w:ind w:firstLine="420" w:firstLineChars="200"/>
        <w:jc w:val="left"/>
        <w:rPr>
          <w:color w:val="auto"/>
          <w:highlight w:val="none"/>
        </w:rPr>
      </w:pPr>
      <w:r>
        <w:rPr>
          <w:rFonts w:hint="eastAsia" w:hAnsi="宋体" w:cs="宋体"/>
          <w:color w:val="auto"/>
          <w:highlight w:val="none"/>
        </w:rPr>
        <w:t>按施工期间</w:t>
      </w:r>
      <w:r>
        <w:rPr>
          <w:rFonts w:hint="eastAsia" w:ascii="Times New Roman" w:hAnsi="宋体" w:eastAsia="宋体" w:cs="宋体"/>
          <w:color w:val="auto"/>
          <w:highlight w:val="none"/>
        </w:rPr>
        <w:t xml:space="preserve">《 </w:t>
      </w:r>
      <w:r>
        <w:rPr>
          <w:rFonts w:hint="eastAsia" w:ascii="Times New Roman" w:hAnsi="宋体" w:eastAsia="宋体" w:cs="宋体"/>
          <w:color w:val="auto"/>
          <w:highlight w:val="none"/>
          <w:u w:val="single"/>
          <w:lang w:val="en-US" w:eastAsia="zh-CN"/>
        </w:rPr>
        <w:t>陆川县</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rPr>
        <w:t>建设工程造价信息》材</w:t>
      </w:r>
      <w:r>
        <w:rPr>
          <w:rFonts w:hint="eastAsia" w:hAnsi="宋体" w:cs="宋体"/>
          <w:color w:val="auto"/>
          <w:highlight w:val="none"/>
        </w:rPr>
        <w:t>料信息价的加权平均价计算，信息价没有的按通用条款规定确定。</w:t>
      </w:r>
    </w:p>
    <w:p w14:paraId="61438BA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1064A21">
      <w:pPr>
        <w:spacing w:line="360" w:lineRule="auto"/>
        <w:ind w:firstLine="420" w:firstLineChars="200"/>
        <w:jc w:val="left"/>
        <w:rPr>
          <w:rFonts w:hAnsi="宋体"/>
          <w:color w:val="auto"/>
          <w:highlight w:val="none"/>
        </w:rPr>
      </w:pPr>
      <w:r>
        <w:rPr>
          <w:rFonts w:hint="eastAsia"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2702DDF">
      <w:pPr>
        <w:spacing w:line="360" w:lineRule="auto"/>
        <w:ind w:firstLine="420" w:firstLineChars="200"/>
        <w:jc w:val="left"/>
        <w:rPr>
          <w:rFonts w:hAnsi="宋体"/>
          <w:color w:val="auto"/>
          <w:highlight w:val="none"/>
        </w:rPr>
      </w:pPr>
      <w:r>
        <w:rPr>
          <w:rFonts w:hint="eastAsia" w:hAnsi="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67FE3">
      <w:pPr>
        <w:spacing w:line="360" w:lineRule="auto"/>
        <w:ind w:firstLine="420" w:firstLineChars="200"/>
        <w:jc w:val="left"/>
        <w:rPr>
          <w:color w:val="auto"/>
          <w:highlight w:val="none"/>
        </w:rPr>
      </w:pPr>
      <w:r>
        <w:rPr>
          <w:rFonts w:hint="eastAsia"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5D87CB79">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bookmarkEnd w:id="671"/>
    <w:bookmarkEnd w:id="672"/>
    <w:bookmarkEnd w:id="673"/>
    <w:bookmarkEnd w:id="674"/>
    <w:bookmarkEnd w:id="675"/>
    <w:bookmarkEnd w:id="676"/>
    <w:p w14:paraId="76200E94">
      <w:pPr>
        <w:pStyle w:val="3"/>
        <w:rPr>
          <w:color w:val="auto"/>
          <w:highlight w:val="none"/>
        </w:rPr>
      </w:pPr>
      <w:bookmarkStart w:id="825" w:name="_Toc296347204"/>
      <w:bookmarkStart w:id="826" w:name="_Toc296944544"/>
      <w:bookmarkStart w:id="827" w:name="_Toc296503205"/>
      <w:bookmarkStart w:id="828" w:name="_Toc296891033"/>
      <w:bookmarkStart w:id="829" w:name="_Toc296346706"/>
      <w:bookmarkStart w:id="830" w:name="_Toc292559410"/>
      <w:bookmarkStart w:id="831" w:name="_Toc292559915"/>
      <w:bookmarkStart w:id="832" w:name="_Toc297120505"/>
      <w:bookmarkStart w:id="833" w:name="_Toc296891245"/>
      <w:bookmarkStart w:id="834" w:name="_Toc297048391"/>
      <w:bookmarkStart w:id="835" w:name="_Toc373478395"/>
      <w:bookmarkStart w:id="836" w:name="_Toc22292"/>
      <w:bookmarkStart w:id="837" w:name="_Toc373227748"/>
      <w:bookmarkStart w:id="838" w:name="_Toc407135251"/>
      <w:bookmarkStart w:id="839" w:name="_Toc351203644"/>
      <w:bookmarkStart w:id="840" w:name="_Toc304295579"/>
      <w:bookmarkStart w:id="841" w:name="_Toc303539159"/>
      <w:bookmarkStart w:id="842" w:name="_Toc312678040"/>
      <w:bookmarkStart w:id="843" w:name="_Toc297216211"/>
      <w:bookmarkStart w:id="844" w:name="_Toc300935002"/>
      <w:bookmarkStart w:id="845" w:name="_Toc297123552"/>
      <w:r>
        <w:rPr>
          <w:color w:val="auto"/>
          <w:highlight w:val="none"/>
        </w:rPr>
        <w:t xml:space="preserve">12. </w:t>
      </w:r>
      <w:bookmarkEnd w:id="825"/>
      <w:bookmarkEnd w:id="826"/>
      <w:bookmarkEnd w:id="827"/>
      <w:bookmarkEnd w:id="828"/>
      <w:bookmarkEnd w:id="829"/>
      <w:bookmarkEnd w:id="830"/>
      <w:bookmarkEnd w:id="831"/>
      <w:bookmarkEnd w:id="832"/>
      <w:bookmarkEnd w:id="833"/>
      <w:bookmarkEnd w:id="834"/>
      <w:r>
        <w:rPr>
          <w:rFonts w:hint="eastAsia" w:cs="黑体"/>
          <w:color w:val="auto"/>
          <w:highlight w:val="none"/>
        </w:rPr>
        <w:t>合同价格、计量与支付</w:t>
      </w:r>
      <w:bookmarkEnd w:id="835"/>
      <w:bookmarkEnd w:id="836"/>
      <w:bookmarkEnd w:id="837"/>
      <w:bookmarkEnd w:id="838"/>
      <w:bookmarkEnd w:id="839"/>
    </w:p>
    <w:bookmarkEnd w:id="840"/>
    <w:bookmarkEnd w:id="841"/>
    <w:bookmarkEnd w:id="842"/>
    <w:bookmarkEnd w:id="843"/>
    <w:bookmarkEnd w:id="844"/>
    <w:bookmarkEnd w:id="845"/>
    <w:p w14:paraId="3C2D29BA">
      <w:pPr>
        <w:pStyle w:val="4"/>
        <w:rPr>
          <w:color w:val="auto"/>
          <w:highlight w:val="none"/>
        </w:rPr>
      </w:pPr>
      <w:bookmarkStart w:id="846" w:name="_Toc292559916"/>
      <w:bookmarkStart w:id="847" w:name="_Toc292559411"/>
      <w:bookmarkStart w:id="848" w:name="_Toc267251461"/>
      <w:bookmarkStart w:id="849" w:name="_Toc297120506"/>
      <w:bookmarkStart w:id="850" w:name="_Toc297048392"/>
      <w:bookmarkStart w:id="851" w:name="_Toc296346707"/>
      <w:bookmarkStart w:id="852" w:name="_Toc296347205"/>
      <w:bookmarkStart w:id="853" w:name="_Toc296891246"/>
      <w:bookmarkStart w:id="854" w:name="_Toc296944545"/>
      <w:bookmarkStart w:id="855" w:name="_Toc296891034"/>
      <w:bookmarkStart w:id="856" w:name="_Toc296503206"/>
      <w:bookmarkStart w:id="857" w:name="_Toc373227749"/>
      <w:bookmarkStart w:id="858" w:name="_Toc22927"/>
      <w:bookmarkStart w:id="859" w:name="_Toc373478396"/>
      <w:bookmarkStart w:id="860" w:name="_Toc407135252"/>
      <w:bookmarkStart w:id="861" w:name="_Toc389065314"/>
      <w:bookmarkStart w:id="862" w:name="_Toc304295580"/>
      <w:bookmarkStart w:id="863" w:name="_Toc312678041"/>
      <w:bookmarkStart w:id="864" w:name="_Toc300935003"/>
      <w:bookmarkStart w:id="865" w:name="_Toc297216212"/>
      <w:bookmarkStart w:id="866" w:name="_Toc303539160"/>
      <w:bookmarkStart w:id="867" w:name="_Toc297123553"/>
      <w:r>
        <w:rPr>
          <w:color w:val="auto"/>
          <w:highlight w:val="none"/>
        </w:rPr>
        <w:t xml:space="preserve">12.1 </w:t>
      </w:r>
      <w:r>
        <w:rPr>
          <w:rFonts w:hint="eastAsia" w:hAnsi="宋体" w:cs="黑体"/>
          <w:color w:val="auto"/>
          <w:highlight w:val="none"/>
        </w:rPr>
        <w:t>合</w:t>
      </w:r>
      <w:bookmarkEnd w:id="846"/>
      <w:bookmarkEnd w:id="847"/>
      <w:bookmarkEnd w:id="848"/>
      <w:r>
        <w:rPr>
          <w:rFonts w:hint="eastAsia" w:hAnsi="宋体" w:cs="黑体"/>
          <w:color w:val="auto"/>
          <w:highlight w:val="none"/>
        </w:rPr>
        <w:t>同价</w:t>
      </w:r>
      <w:bookmarkEnd w:id="849"/>
      <w:bookmarkEnd w:id="850"/>
      <w:bookmarkEnd w:id="851"/>
      <w:bookmarkEnd w:id="852"/>
      <w:bookmarkEnd w:id="853"/>
      <w:bookmarkEnd w:id="854"/>
      <w:bookmarkEnd w:id="855"/>
      <w:bookmarkEnd w:id="856"/>
      <w:r>
        <w:rPr>
          <w:rFonts w:hint="eastAsia" w:hAnsi="宋体" w:cs="黑体"/>
          <w:color w:val="auto"/>
          <w:highlight w:val="none"/>
        </w:rPr>
        <w:t>格形式</w:t>
      </w:r>
      <w:bookmarkEnd w:id="857"/>
      <w:bookmarkEnd w:id="858"/>
      <w:bookmarkEnd w:id="859"/>
      <w:bookmarkEnd w:id="860"/>
      <w:bookmarkEnd w:id="861"/>
    </w:p>
    <w:bookmarkEnd w:id="862"/>
    <w:bookmarkEnd w:id="863"/>
    <w:bookmarkEnd w:id="864"/>
    <w:bookmarkEnd w:id="865"/>
    <w:bookmarkEnd w:id="866"/>
    <w:bookmarkEnd w:id="867"/>
    <w:p w14:paraId="3C7F888C">
      <w:pPr>
        <w:spacing w:line="360" w:lineRule="auto"/>
        <w:ind w:firstLine="420" w:firstLineChars="200"/>
        <w:jc w:val="left"/>
        <w:rPr>
          <w:rFonts w:hAnsi="宋体"/>
          <w:color w:val="auto"/>
          <w:highlight w:val="none"/>
        </w:rPr>
      </w:pPr>
      <w:bookmarkStart w:id="868" w:name="_Toc373227750"/>
      <w:bookmarkStart w:id="869" w:name="_Toc389065315"/>
      <w:bookmarkStart w:id="870" w:name="_Toc373478397"/>
      <w:bookmarkStart w:id="871" w:name="_Toc297123554"/>
      <w:bookmarkStart w:id="872" w:name="_Toc300935004"/>
      <w:bookmarkStart w:id="873" w:name="_Toc304295581"/>
      <w:bookmarkStart w:id="874" w:name="_Toc312678042"/>
      <w:bookmarkStart w:id="875" w:name="_Toc297216213"/>
      <w:bookmarkStart w:id="876" w:name="_Toc303539161"/>
      <w:bookmarkStart w:id="877" w:name="_Toc296346708"/>
      <w:bookmarkStart w:id="878" w:name="_Toc296503207"/>
      <w:bookmarkStart w:id="879" w:name="_Toc296891035"/>
      <w:bookmarkStart w:id="880" w:name="_Toc297120507"/>
      <w:bookmarkStart w:id="881" w:name="_Toc296347206"/>
      <w:bookmarkStart w:id="882" w:name="_Toc296891247"/>
      <w:bookmarkStart w:id="883" w:name="_Toc297048393"/>
      <w:bookmarkStart w:id="884" w:name="_Toc292559917"/>
      <w:bookmarkStart w:id="885" w:name="_Toc296944546"/>
      <w:bookmarkStart w:id="886" w:name="_Toc292559412"/>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283C71E4">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FFE59C4">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76174CDE">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49AFD02C">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64BD460D">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0DD6D8F5">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264C4214">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7F020ECF">
      <w:pPr>
        <w:spacing w:line="360" w:lineRule="auto"/>
        <w:ind w:firstLine="420" w:firstLineChars="200"/>
        <w:jc w:val="left"/>
        <w:rPr>
          <w:rFonts w:hAnsi="宋体" w:cs="宋体"/>
          <w:color w:val="auto"/>
          <w:highlight w:val="none"/>
        </w:rPr>
      </w:pPr>
      <w:r>
        <w:rPr>
          <w:rFonts w:hint="eastAsia" w:hAnsi="宋体" w:cs="宋体"/>
          <w:color w:val="auto"/>
          <w:highlight w:val="none"/>
        </w:rPr>
        <w:t>④材料价格风险：按</w:t>
      </w:r>
      <w:r>
        <w:rPr>
          <w:rFonts w:hAnsi="宋体" w:cs="宋体"/>
          <w:color w:val="auto"/>
          <w:highlight w:val="none"/>
        </w:rPr>
        <w:t>11.1</w:t>
      </w:r>
      <w:r>
        <w:rPr>
          <w:rFonts w:hint="eastAsia" w:hAnsi="宋体" w:cs="宋体"/>
          <w:color w:val="auto"/>
          <w:highlight w:val="none"/>
        </w:rPr>
        <w:t>的约定调整。</w:t>
      </w:r>
    </w:p>
    <w:p w14:paraId="79CECA4B">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hAnsi="宋体"/>
          <w:color w:val="auto"/>
          <w:highlight w:val="none"/>
          <w:u w:val="single"/>
        </w:rPr>
        <w:t xml:space="preserve">                                                  </w:t>
      </w:r>
      <w:r>
        <w:rPr>
          <w:rFonts w:hint="eastAsia" w:hAnsi="宋体" w:cs="宋体"/>
          <w:color w:val="auto"/>
          <w:highlight w:val="none"/>
        </w:rPr>
        <w:t>。</w:t>
      </w:r>
    </w:p>
    <w:p w14:paraId="7505D7D3">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3CCEA56C">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47422D9A">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3FE281B2">
      <w:pPr>
        <w:spacing w:line="360" w:lineRule="auto"/>
        <w:ind w:firstLine="420" w:firstLineChars="200"/>
        <w:jc w:val="left"/>
        <w:rPr>
          <w:rFonts w:hint="eastAsia" w:hAnsi="宋体" w:cs="宋体"/>
          <w:color w:val="auto"/>
          <w:highlight w:val="none"/>
        </w:rPr>
      </w:pPr>
      <w:r>
        <w:rPr>
          <w:color w:val="auto"/>
          <w:highlight w:val="none"/>
        </w:rPr>
        <w:t xml:space="preserve"> </w:t>
      </w: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1BF3748E">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67805F7E">
      <w:pPr>
        <w:spacing w:line="360" w:lineRule="auto"/>
        <w:ind w:firstLine="420" w:firstLineChars="200"/>
        <w:jc w:val="left"/>
        <w:rPr>
          <w:rFonts w:hAnsi="宋体" w:cs="宋体"/>
          <w:color w:val="auto"/>
          <w:highlight w:val="none"/>
        </w:rPr>
      </w:pPr>
      <w:r>
        <w:rPr>
          <w:rFonts w:hint="eastAsia" w:hAnsi="宋体" w:cs="宋体"/>
          <w:color w:val="auto"/>
          <w:highlight w:val="none"/>
        </w:rPr>
        <w:t>③材料价格风险：按</w:t>
      </w:r>
      <w:r>
        <w:rPr>
          <w:rFonts w:hAnsi="宋体" w:cs="宋体"/>
          <w:color w:val="auto"/>
          <w:highlight w:val="none"/>
        </w:rPr>
        <w:t>11.1</w:t>
      </w:r>
      <w:r>
        <w:rPr>
          <w:rFonts w:hint="eastAsia" w:hAnsi="宋体" w:cs="宋体"/>
          <w:color w:val="auto"/>
          <w:highlight w:val="none"/>
        </w:rPr>
        <w:t>的约定调整。</w:t>
      </w:r>
    </w:p>
    <w:p w14:paraId="684E49E0">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216987EA">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452274C">
      <w:pPr>
        <w:pStyle w:val="4"/>
        <w:rPr>
          <w:color w:val="auto"/>
          <w:highlight w:val="none"/>
        </w:rPr>
      </w:pPr>
      <w:bookmarkStart w:id="887" w:name="_Toc13611"/>
      <w:bookmarkStart w:id="888" w:name="_Toc407135253"/>
      <w:r>
        <w:rPr>
          <w:color w:val="auto"/>
          <w:highlight w:val="none"/>
        </w:rPr>
        <w:t xml:space="preserve">12.2 </w:t>
      </w:r>
      <w:r>
        <w:rPr>
          <w:rFonts w:hint="eastAsia" w:hAnsi="宋体" w:cs="黑体"/>
          <w:color w:val="auto"/>
          <w:highlight w:val="none"/>
        </w:rPr>
        <w:t>预付款</w:t>
      </w:r>
      <w:bookmarkEnd w:id="868"/>
      <w:bookmarkEnd w:id="869"/>
      <w:bookmarkEnd w:id="870"/>
      <w:bookmarkEnd w:id="887"/>
      <w:bookmarkEnd w:id="888"/>
    </w:p>
    <w:bookmarkEnd w:id="871"/>
    <w:bookmarkEnd w:id="872"/>
    <w:bookmarkEnd w:id="873"/>
    <w:bookmarkEnd w:id="874"/>
    <w:bookmarkEnd w:id="875"/>
    <w:bookmarkEnd w:id="876"/>
    <w:p w14:paraId="26DC6747">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35C700D3">
      <w:pPr>
        <w:spacing w:line="360" w:lineRule="auto"/>
        <w:ind w:firstLine="420" w:firstLineChars="200"/>
        <w:jc w:val="left"/>
        <w:rPr>
          <w:color w:val="auto"/>
          <w:highlight w:val="none"/>
        </w:rPr>
      </w:pPr>
      <w:r>
        <w:rPr>
          <w:rFonts w:hint="eastAsia" w:hAnsi="宋体" w:cs="宋体"/>
          <w:color w:val="auto"/>
          <w:highlight w:val="none"/>
        </w:rPr>
        <w:t>预付款支付比例</w:t>
      </w:r>
      <w:r>
        <w:rPr>
          <w:rFonts w:hint="eastAsia" w:hAnsi="宋体" w:cs="宋体"/>
          <w:color w:val="auto"/>
          <w:highlight w:val="none"/>
          <w:lang w:val="en-US" w:eastAsia="zh-CN"/>
        </w:rPr>
        <w:t>：</w:t>
      </w:r>
      <w:r>
        <w:rPr>
          <w:color w:val="auto"/>
          <w:highlight w:val="none"/>
          <w:u w:val="single"/>
        </w:rPr>
        <w:t xml:space="preserve"> </w:t>
      </w:r>
      <w:r>
        <w:rPr>
          <w:rFonts w:hint="eastAsia"/>
          <w:color w:val="auto"/>
          <w:highlight w:val="none"/>
          <w:u w:val="single"/>
          <w:lang w:val="en-US" w:eastAsia="zh-CN"/>
        </w:rPr>
        <w:t xml:space="preserve">                   </w:t>
      </w:r>
      <w:r>
        <w:rPr>
          <w:rFonts w:hint="eastAsia" w:hAnsi="宋体" w:cs="宋体"/>
          <w:color w:val="auto"/>
          <w:highlight w:val="none"/>
        </w:rPr>
        <w:t>。</w:t>
      </w:r>
    </w:p>
    <w:p w14:paraId="4A203D44">
      <w:pPr>
        <w:spacing w:line="360" w:lineRule="auto"/>
        <w:ind w:firstLine="420" w:firstLineChars="200"/>
        <w:jc w:val="left"/>
        <w:rPr>
          <w:color w:val="auto"/>
          <w:highlight w:val="none"/>
        </w:rPr>
      </w:pPr>
      <w:r>
        <w:rPr>
          <w:rFonts w:hint="eastAsia" w:hAnsi="宋体" w:cs="宋体"/>
          <w:color w:val="auto"/>
          <w:highlight w:val="none"/>
        </w:rPr>
        <w:t>预付款支付期限：</w:t>
      </w:r>
      <w:r>
        <w:rPr>
          <w:rFonts w:hint="eastAsia" w:ascii="新宋体" w:hAnsi="新宋体" w:eastAsia="新宋体" w:cs="新宋体"/>
          <w:i w:val="0"/>
          <w:iCs w:val="0"/>
          <w:caps w:val="0"/>
          <w:color w:val="auto"/>
          <w:spacing w:val="0"/>
          <w:sz w:val="21"/>
          <w:szCs w:val="21"/>
          <w:highlight w:val="none"/>
          <w:u w:val="single"/>
          <w:shd w:val="clear" w:color="auto" w:fill="FFFFFF"/>
          <w:lang w:val="en-US" w:eastAsia="zh-CN"/>
        </w:rPr>
        <w:t xml:space="preserve">                           </w:t>
      </w:r>
      <w:r>
        <w:rPr>
          <w:rFonts w:hint="eastAsia" w:hAnsi="宋体" w:cs="宋体"/>
          <w:color w:val="auto"/>
          <w:highlight w:val="none"/>
        </w:rPr>
        <w:t>。</w:t>
      </w:r>
    </w:p>
    <w:p w14:paraId="682B00FD">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hAnsi="宋体" w:cs="宋体"/>
          <w:color w:val="auto"/>
          <w:highlight w:val="none"/>
          <w:u w:val="single"/>
          <w:lang w:val="en-US" w:eastAsia="zh-CN"/>
        </w:rPr>
        <w:t xml:space="preserve">                          </w:t>
      </w:r>
      <w:r>
        <w:rPr>
          <w:rStyle w:val="26"/>
          <w:rFonts w:hint="eastAsia" w:ascii="宋体" w:hAnsi="宋体" w:cs="宋体"/>
          <w:color w:val="auto"/>
          <w:kern w:val="0"/>
          <w:szCs w:val="21"/>
          <w:highlight w:val="none"/>
          <w:u w:val="single"/>
          <w:lang w:val="en-US" w:eastAsia="zh-CN"/>
        </w:rPr>
        <w:t xml:space="preserve"> </w:t>
      </w:r>
      <w:r>
        <w:rPr>
          <w:rFonts w:hint="eastAsia" w:hAnsi="宋体" w:cs="宋体"/>
          <w:color w:val="auto"/>
          <w:highlight w:val="none"/>
        </w:rPr>
        <w:t>。</w:t>
      </w:r>
    </w:p>
    <w:p w14:paraId="15BD8B3E">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01D58EB7">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62D4D20">
      <w:pPr>
        <w:spacing w:line="360" w:lineRule="auto"/>
        <w:ind w:firstLine="420" w:firstLineChars="200"/>
        <w:jc w:val="left"/>
        <w:rPr>
          <w:rFonts w:hAnsi="宋体"/>
          <w:color w:val="auto"/>
          <w:highlight w:val="none"/>
        </w:rPr>
      </w:pPr>
      <w:r>
        <w:rPr>
          <w:rFonts w:hint="eastAsia" w:hAnsi="宋体" w:cs="宋体"/>
          <w:color w:val="auto"/>
          <w:highlight w:val="none"/>
        </w:rPr>
        <w:t>预付款担保的形式为：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877"/>
    <w:bookmarkEnd w:id="878"/>
    <w:bookmarkEnd w:id="879"/>
    <w:bookmarkEnd w:id="880"/>
    <w:bookmarkEnd w:id="881"/>
    <w:bookmarkEnd w:id="882"/>
    <w:bookmarkEnd w:id="883"/>
    <w:bookmarkEnd w:id="884"/>
    <w:bookmarkEnd w:id="885"/>
    <w:bookmarkEnd w:id="886"/>
    <w:p w14:paraId="7673FB6A">
      <w:pPr>
        <w:pStyle w:val="4"/>
        <w:rPr>
          <w:color w:val="auto"/>
          <w:highlight w:val="none"/>
        </w:rPr>
      </w:pPr>
      <w:bookmarkStart w:id="889" w:name="_Toc389065316"/>
      <w:bookmarkStart w:id="890" w:name="_Toc373227751"/>
      <w:bookmarkStart w:id="891" w:name="_Toc407135254"/>
      <w:bookmarkStart w:id="892" w:name="_Toc373478398"/>
      <w:bookmarkStart w:id="893" w:name="_Toc9888"/>
      <w:r>
        <w:rPr>
          <w:color w:val="auto"/>
          <w:highlight w:val="none"/>
        </w:rPr>
        <w:t xml:space="preserve">12.3 </w:t>
      </w:r>
      <w:r>
        <w:rPr>
          <w:rFonts w:hint="eastAsia" w:hAnsi="宋体" w:cs="黑体"/>
          <w:color w:val="auto"/>
          <w:highlight w:val="none"/>
        </w:rPr>
        <w:t>计量</w:t>
      </w:r>
      <w:bookmarkEnd w:id="889"/>
      <w:bookmarkEnd w:id="890"/>
      <w:bookmarkEnd w:id="891"/>
      <w:bookmarkEnd w:id="892"/>
      <w:bookmarkEnd w:id="893"/>
    </w:p>
    <w:p w14:paraId="5AFB5857">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43E5844E">
      <w:pPr>
        <w:spacing w:line="360" w:lineRule="auto"/>
        <w:ind w:firstLine="420" w:firstLineChars="200"/>
        <w:jc w:val="left"/>
        <w:rPr>
          <w:rFonts w:ascii="Times New Roman" w:hAnsi="Times New Roman" w:eastAsia="宋体" w:cs="Times New Roman"/>
          <w:color w:val="auto"/>
          <w:highlight w:val="none"/>
          <w:u w:val="single"/>
        </w:rPr>
      </w:pPr>
      <w:r>
        <w:rPr>
          <w:rFonts w:hint="eastAsia" w:hAnsi="宋体" w:cs="宋体"/>
          <w:color w:val="auto"/>
          <w:highlight w:val="none"/>
        </w:rPr>
        <w:t>工程量计算规则：</w:t>
      </w:r>
      <w:r>
        <w:rPr>
          <w:rFonts w:hint="eastAsia" w:ascii="Times New Roman" w:hAnsi="Times New Roman" w:eastAsia="宋体" w:cs="Times New Roman"/>
          <w:color w:val="auto"/>
          <w:highlight w:val="none"/>
          <w:u w:val="single"/>
        </w:rPr>
        <w:t>工程的计量均以《建设工程工程量清单计价规范》（</w:t>
      </w:r>
      <w:r>
        <w:rPr>
          <w:rFonts w:ascii="Times New Roman" w:hAnsi="Times New Roman" w:eastAsia="宋体" w:cs="Times New Roman"/>
          <w:color w:val="auto"/>
          <w:highlight w:val="none"/>
          <w:u w:val="single"/>
        </w:rPr>
        <w:t>GB50500</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）和及其广西壮族自治区实施细则、《建设工程工程量清单计算规范》（</w:t>
      </w:r>
      <w:r>
        <w:rPr>
          <w:rFonts w:ascii="Times New Roman" w:hAnsi="Times New Roman" w:eastAsia="宋体" w:cs="Times New Roman"/>
          <w:color w:val="auto"/>
          <w:highlight w:val="none"/>
          <w:u w:val="single"/>
        </w:rPr>
        <w:t>GB50854~50862</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）及其广西实施细则、本工程补充项目清单为准。</w:t>
      </w:r>
    </w:p>
    <w:p w14:paraId="3D0D3B1F">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54E311D2">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3D80D402">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5A24E11B">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7C5D8355">
      <w:pPr>
        <w:spacing w:line="360" w:lineRule="auto"/>
        <w:ind w:firstLine="441" w:firstLineChars="210"/>
        <w:rPr>
          <w:color w:val="auto"/>
          <w:highlight w:val="none"/>
        </w:rPr>
      </w:pPr>
      <w:r>
        <w:rPr>
          <w:rFonts w:hint="eastAsia"/>
          <w:color w:val="auto"/>
          <w:highlight w:val="none"/>
          <w:lang w:eastAsia="zh-CN"/>
        </w:rPr>
        <w:t>（1）</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8DFC518">
      <w:pPr>
        <w:spacing w:line="360" w:lineRule="auto"/>
        <w:ind w:firstLine="441" w:firstLineChars="210"/>
        <w:rPr>
          <w:color w:val="auto"/>
          <w:highlight w:val="none"/>
        </w:rPr>
      </w:pPr>
      <w:r>
        <w:rPr>
          <w:rFonts w:hint="eastAsia"/>
          <w:color w:val="auto"/>
          <w:highlight w:val="none"/>
          <w:lang w:eastAsia="zh-CN"/>
        </w:rPr>
        <w:t>（2）</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7D3E379D">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0DA12185">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0149E954">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375BC110">
      <w:pPr>
        <w:pStyle w:val="31"/>
        <w:rPr>
          <w:color w:val="auto"/>
          <w:highlight w:val="none"/>
        </w:rPr>
      </w:pPr>
      <w:r>
        <w:rPr>
          <w:rFonts w:hint="eastAsia" w:hAnsi="宋体" w:cs="宋体"/>
          <w:color w:val="auto"/>
          <w:highlight w:val="none"/>
        </w:rPr>
        <w:t>其他价格形式的计量方式和程序：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D67E876">
      <w:pPr>
        <w:spacing w:line="360" w:lineRule="auto"/>
        <w:ind w:firstLine="420" w:firstLineChars="200"/>
        <w:jc w:val="left"/>
        <w:rPr>
          <w:color w:val="auto"/>
          <w:highlight w:val="none"/>
          <w:u w:val="single"/>
        </w:rPr>
      </w:pPr>
    </w:p>
    <w:p w14:paraId="1C22DC9C">
      <w:pPr>
        <w:pStyle w:val="4"/>
        <w:rPr>
          <w:color w:val="auto"/>
          <w:highlight w:val="none"/>
        </w:rPr>
      </w:pPr>
      <w:bookmarkStart w:id="894" w:name="_Toc407135255"/>
      <w:bookmarkStart w:id="895" w:name="_Toc32018"/>
      <w:bookmarkStart w:id="896" w:name="_Toc373227752"/>
      <w:bookmarkStart w:id="897" w:name="_Toc373478399"/>
      <w:bookmarkStart w:id="898" w:name="_Toc389065317"/>
      <w:r>
        <w:rPr>
          <w:color w:val="auto"/>
          <w:highlight w:val="none"/>
        </w:rPr>
        <w:t xml:space="preserve">12.4 </w:t>
      </w:r>
      <w:r>
        <w:rPr>
          <w:rFonts w:hint="eastAsia" w:cs="黑体"/>
          <w:color w:val="auto"/>
          <w:highlight w:val="none"/>
        </w:rPr>
        <w:t>工程进度款支付</w:t>
      </w:r>
      <w:bookmarkEnd w:id="894"/>
      <w:bookmarkEnd w:id="895"/>
      <w:bookmarkEnd w:id="896"/>
      <w:bookmarkEnd w:id="897"/>
      <w:bookmarkEnd w:id="898"/>
    </w:p>
    <w:p w14:paraId="28FFBEE2">
      <w:pPr>
        <w:spacing w:line="360" w:lineRule="auto"/>
        <w:ind w:firstLine="420" w:firstLineChars="200"/>
        <w:jc w:val="left"/>
        <w:rPr>
          <w:color w:val="auto"/>
          <w:highlight w:val="none"/>
        </w:rPr>
      </w:pPr>
      <w:bookmarkStart w:id="899" w:name="_Toc300935006"/>
      <w:bookmarkStart w:id="900" w:name="_Toc303539163"/>
      <w:bookmarkStart w:id="901" w:name="_Toc297120511"/>
      <w:bookmarkStart w:id="902" w:name="_Toc292559416"/>
      <w:bookmarkStart w:id="903" w:name="_Toc296944550"/>
      <w:bookmarkStart w:id="904" w:name="_Toc296347210"/>
      <w:bookmarkStart w:id="905" w:name="_Toc297216215"/>
      <w:bookmarkStart w:id="906" w:name="_Toc296503211"/>
      <w:bookmarkStart w:id="907" w:name="_Toc297123556"/>
      <w:bookmarkStart w:id="908" w:name="_Toc296346712"/>
      <w:bookmarkStart w:id="909" w:name="_Toc296891251"/>
      <w:bookmarkStart w:id="910" w:name="_Toc296891039"/>
      <w:bookmarkStart w:id="911" w:name="_Toc297048397"/>
      <w:bookmarkStart w:id="912" w:name="_Toc292559921"/>
      <w:r>
        <w:rPr>
          <w:color w:val="auto"/>
          <w:highlight w:val="none"/>
        </w:rPr>
        <w:t xml:space="preserve">12.4.1 </w:t>
      </w:r>
      <w:r>
        <w:rPr>
          <w:rFonts w:hint="eastAsia" w:hAnsi="宋体" w:cs="宋体"/>
          <w:color w:val="auto"/>
          <w:highlight w:val="none"/>
        </w:rPr>
        <w:t>付款周期</w:t>
      </w:r>
    </w:p>
    <w:p w14:paraId="37FEB14B">
      <w:pPr>
        <w:spacing w:line="360" w:lineRule="auto"/>
        <w:ind w:firstLine="420" w:firstLineChars="200"/>
        <w:jc w:val="left"/>
        <w:rPr>
          <w:color w:val="auto"/>
          <w:highlight w:val="none"/>
          <w:u w:val="single"/>
        </w:rPr>
      </w:pPr>
      <w:r>
        <w:rPr>
          <w:rFonts w:hint="eastAsia"/>
          <w:color w:val="auto"/>
          <w:highlight w:val="none"/>
          <w:lang w:val="en-US" w:eastAsia="zh-CN"/>
        </w:rPr>
        <w:t>关于付款周期的约定：</w:t>
      </w:r>
      <w:r>
        <w:rPr>
          <w:rFonts w:hint="eastAsia"/>
          <w:color w:val="auto"/>
          <w:highlight w:val="none"/>
          <w:u w:val="single"/>
          <w:lang w:val="en-US" w:eastAsia="zh-CN"/>
        </w:rPr>
        <w:t>在签订合同开工后15天内支付合同总额的30%，工程竣工验收合格通过后，支付至合同总金额的97%，剩余3%作为质保金，质保期满后，经成交人书面申请，在15个工作日内支付。</w:t>
      </w:r>
    </w:p>
    <w:p w14:paraId="2EB456AA">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5E3E3186">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按照本合同通用条款第 12.4.2 条执行</w:t>
      </w:r>
      <w:r>
        <w:rPr>
          <w:color w:val="auto"/>
          <w:highlight w:val="none"/>
          <w:u w:val="single"/>
        </w:rPr>
        <w:t xml:space="preserve">   </w:t>
      </w:r>
      <w:r>
        <w:rPr>
          <w:rFonts w:hint="eastAsia" w:hAnsi="宋体" w:cs="宋体"/>
          <w:color w:val="auto"/>
          <w:highlight w:val="none"/>
        </w:rPr>
        <w:t>。</w:t>
      </w:r>
    </w:p>
    <w:p w14:paraId="3F75A799">
      <w:pPr>
        <w:spacing w:line="360" w:lineRule="auto"/>
        <w:ind w:firstLine="420" w:firstLineChars="200"/>
        <w:jc w:val="left"/>
        <w:rPr>
          <w:color w:val="auto"/>
          <w:highlight w:val="none"/>
        </w:rPr>
      </w:pPr>
      <w:r>
        <w:rPr>
          <w:color w:val="auto"/>
          <w:highlight w:val="none"/>
        </w:rPr>
        <w:t>1</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auto"/>
          <w:highlight w:val="none"/>
        </w:rPr>
        <w:t xml:space="preserve">2.4.3 </w:t>
      </w:r>
      <w:r>
        <w:rPr>
          <w:rFonts w:hint="eastAsia" w:hAnsi="宋体" w:cs="宋体"/>
          <w:color w:val="auto"/>
          <w:highlight w:val="none"/>
        </w:rPr>
        <w:t>进度付款申请单的提交</w:t>
      </w:r>
    </w:p>
    <w:p w14:paraId="3B874FFB">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4168071">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D659E54">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46E4083">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37C2EC8D">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监理人应在收到承包人进度付款申请单以及相关资料之日起 7 天内完成审查并报送发包人</w:t>
      </w:r>
      <w:r>
        <w:rPr>
          <w:color w:val="auto"/>
          <w:highlight w:val="none"/>
          <w:u w:val="single"/>
        </w:rPr>
        <w:t xml:space="preserve"> </w:t>
      </w:r>
      <w:r>
        <w:rPr>
          <w:rFonts w:hint="eastAsia" w:hAnsi="宋体" w:cs="宋体"/>
          <w:color w:val="auto"/>
          <w:highlight w:val="none"/>
        </w:rPr>
        <w:t>。</w:t>
      </w:r>
    </w:p>
    <w:p w14:paraId="3F44CA0D">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发包人应在收到监理人审查通过的承包人进度付款申请单以及相关资料后及时按要求完成审批并签发进度款审批表报</w:t>
      </w:r>
      <w:r>
        <w:rPr>
          <w:rFonts w:hint="eastAsia"/>
          <w:color w:val="auto"/>
          <w:highlight w:val="none"/>
          <w:u w:val="single"/>
          <w:lang w:val="en-US" w:eastAsia="zh-CN"/>
        </w:rPr>
        <w:t>市</w:t>
      </w:r>
      <w:r>
        <w:rPr>
          <w:rFonts w:hint="eastAsia"/>
          <w:color w:val="auto"/>
          <w:highlight w:val="none"/>
          <w:u w:val="single"/>
        </w:rPr>
        <w:t xml:space="preserve">财政局审批 </w:t>
      </w:r>
      <w:r>
        <w:rPr>
          <w:rFonts w:hint="eastAsia" w:hAnsi="宋体" w:cs="宋体"/>
          <w:color w:val="auto"/>
          <w:highlight w:val="none"/>
        </w:rPr>
        <w:t>。</w:t>
      </w:r>
    </w:p>
    <w:p w14:paraId="0DD5EBAF">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发包人应在进度款支付证书或临时进度款支付证书签发后及时报</w:t>
      </w:r>
      <w:r>
        <w:rPr>
          <w:rFonts w:hint="eastAsia"/>
          <w:color w:val="auto"/>
          <w:highlight w:val="none"/>
          <w:u w:val="single"/>
          <w:lang w:val="en-US" w:eastAsia="zh-CN"/>
        </w:rPr>
        <w:t>市</w:t>
      </w:r>
      <w:r>
        <w:rPr>
          <w:rFonts w:hint="eastAsia"/>
          <w:color w:val="auto"/>
          <w:highlight w:val="none"/>
          <w:u w:val="single"/>
        </w:rPr>
        <w:t>财政局审批完成支付</w:t>
      </w:r>
      <w:r>
        <w:rPr>
          <w:rFonts w:hint="eastAsia" w:hAnsi="宋体" w:cs="宋体"/>
          <w:color w:val="auto"/>
          <w:highlight w:val="none"/>
        </w:rPr>
        <w:t>。</w:t>
      </w:r>
    </w:p>
    <w:p w14:paraId="2F642401">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71A04F1">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6EC07C15">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719F61F9">
      <w:pPr>
        <w:autoSpaceDE w:val="0"/>
        <w:autoSpaceDN w:val="0"/>
        <w:adjustRightInd w:val="0"/>
        <w:spacing w:line="360" w:lineRule="auto"/>
        <w:ind w:firstLine="420" w:firstLineChars="200"/>
        <w:jc w:val="left"/>
        <w:rPr>
          <w:rFonts w:hint="eastAsia" w:hAnsi="宋体"/>
          <w:color w:val="auto"/>
          <w:highlight w:val="none"/>
        </w:rPr>
      </w:pPr>
      <w:r>
        <w:rPr>
          <w:rFonts w:hint="eastAsia" w:hAnsi="宋体" w:cs="宋体"/>
          <w:color w:val="auto"/>
          <w:kern w:val="0"/>
          <w:highlight w:val="none"/>
        </w:rPr>
        <w:t>1）农民工工资应与其它工程进度款分</w:t>
      </w:r>
      <w:r>
        <w:rPr>
          <w:rFonts w:hint="eastAsia" w:hAnsi="宋体" w:cs="宋体"/>
          <w:color w:val="auto"/>
          <w:kern w:val="0"/>
          <w:highlight w:val="none"/>
          <w:lang w:eastAsia="zh-CN"/>
        </w:rPr>
        <w:t>账</w:t>
      </w:r>
      <w:r>
        <w:rPr>
          <w:rFonts w:hint="eastAsia" w:hAnsi="宋体" w:cs="宋体"/>
          <w:color w:val="auto"/>
          <w:kern w:val="0"/>
          <w:highlight w:val="none"/>
        </w:rPr>
        <w:t>管理。承包人向发包人申请工程进度款时必须把工人工资部分单独列明，如果未单独列明，监理单位不得签支付证书等支付工程款的手续，发包人单位不得审批和支付工程款。发包人必须把工程款分</w:t>
      </w:r>
      <w:r>
        <w:rPr>
          <w:rFonts w:hint="eastAsia" w:hAnsi="宋体" w:cs="宋体"/>
          <w:color w:val="auto"/>
          <w:kern w:val="0"/>
          <w:highlight w:val="none"/>
          <w:lang w:eastAsia="zh-CN"/>
        </w:rPr>
        <w:t>账</w:t>
      </w:r>
      <w:r>
        <w:rPr>
          <w:rFonts w:hint="eastAsia" w:hAnsi="宋体" w:cs="宋体"/>
          <w:color w:val="auto"/>
          <w:kern w:val="0"/>
          <w:highlight w:val="none"/>
        </w:rPr>
        <w:t>出来的农民工工资转入承包人工人工资支付专用账户专户，转入专户环节必须有银行流水凭证。</w:t>
      </w:r>
    </w:p>
    <w:p w14:paraId="5EDA1ED3">
      <w:pPr>
        <w:spacing w:line="360" w:lineRule="auto"/>
        <w:ind w:firstLine="525" w:firstLineChars="250"/>
        <w:jc w:val="left"/>
        <w:rPr>
          <w:rFonts w:hint="eastAsia" w:hAnsi="宋体"/>
          <w:color w:val="auto"/>
          <w:highlight w:val="none"/>
        </w:rPr>
      </w:pPr>
      <w:r>
        <w:rPr>
          <w:rFonts w:hint="eastAsia" w:hAnsi="宋体"/>
          <w:color w:val="auto"/>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10%，其余工程进度款项由发包人支付到承包人的单位基本户。</w:t>
      </w:r>
    </w:p>
    <w:p w14:paraId="6CCF0A00">
      <w:pPr>
        <w:spacing w:line="360" w:lineRule="auto"/>
        <w:ind w:firstLine="525" w:firstLineChars="250"/>
        <w:jc w:val="left"/>
        <w:rPr>
          <w:rFonts w:hint="eastAsia" w:hAnsi="宋体"/>
          <w:color w:val="auto"/>
          <w:highlight w:val="none"/>
        </w:rPr>
      </w:pPr>
      <w:r>
        <w:rPr>
          <w:rFonts w:hint="eastAsia" w:hAnsi="宋体"/>
          <w:color w:val="auto"/>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10%。其余分包工程进度款项由承包人支付到分包人的单位基本户。</w:t>
      </w:r>
    </w:p>
    <w:p w14:paraId="68E583CD">
      <w:pPr>
        <w:spacing w:line="360" w:lineRule="auto"/>
        <w:ind w:firstLine="525" w:firstLineChars="250"/>
        <w:jc w:val="left"/>
        <w:rPr>
          <w:rFonts w:hint="eastAsia" w:hAnsi="宋体"/>
          <w:color w:val="auto"/>
          <w:highlight w:val="none"/>
        </w:rPr>
      </w:pPr>
      <w:r>
        <w:rPr>
          <w:rFonts w:hint="eastAsia" w:hAnsi="宋体"/>
          <w:color w:val="auto"/>
          <w:highlight w:val="none"/>
        </w:rPr>
        <w:t>4）凡未向付款单位提供农民工工资专户的，或者请款单位在申请工程进度款时未将人工费单列的，付款单位有权拒绝支付工程进度款。</w:t>
      </w:r>
    </w:p>
    <w:p w14:paraId="27467BA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5）农民工工资使用要求：专款专用，除发放工人工资外，不得用于其他用途。</w:t>
      </w:r>
    </w:p>
    <w:p w14:paraId="75DC30F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6）承包人将农民工工资</w:t>
      </w:r>
      <w:r>
        <w:rPr>
          <w:rFonts w:hAnsi="宋体" w:cs="宋体"/>
          <w:color w:val="auto"/>
          <w:kern w:val="0"/>
          <w:highlight w:val="none"/>
        </w:rPr>
        <w:t>支付</w:t>
      </w:r>
      <w:r>
        <w:rPr>
          <w:rFonts w:hint="eastAsia" w:hAnsi="宋体" w:cs="宋体"/>
          <w:color w:val="auto"/>
          <w:kern w:val="0"/>
          <w:highlight w:val="none"/>
        </w:rPr>
        <w:t>情况定期报告发包人和监理单位，并提供相应的材料接受建设行政主管部门和劳动保障行政主管部门对此事项监管。</w:t>
      </w:r>
    </w:p>
    <w:p w14:paraId="536B66B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（4）农民工工资支付专用账户：</w:t>
      </w:r>
      <w:r>
        <w:rPr>
          <w:rFonts w:hAnsi="宋体" w:cs="宋体"/>
          <w:color w:val="auto"/>
          <w:kern w:val="0"/>
          <w:highlight w:val="none"/>
        </w:rPr>
        <w:t>××××</w:t>
      </w:r>
      <w:r>
        <w:rPr>
          <w:rFonts w:hint="eastAsia" w:hAnsi="宋体" w:cs="宋体"/>
          <w:color w:val="auto"/>
          <w:kern w:val="0"/>
          <w:highlight w:val="none"/>
        </w:rPr>
        <w:t>公司农民工工资支付专用账户</w:t>
      </w:r>
      <w:r>
        <w:rPr>
          <w:rFonts w:hAnsi="宋体" w:cs="宋体"/>
          <w:color w:val="auto"/>
          <w:kern w:val="0"/>
          <w:highlight w:val="none"/>
        </w:rPr>
        <w:t xml:space="preserve"> </w:t>
      </w:r>
      <w:r>
        <w:rPr>
          <w:rFonts w:hint="eastAsia" w:hAnsi="宋体" w:cs="宋体"/>
          <w:color w:val="auto"/>
          <w:kern w:val="0"/>
          <w:highlight w:val="none"/>
        </w:rPr>
        <w:t>。账号：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75B1FE14">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445529CF">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ascii="Times New Roman" w:hAnsi="宋体" w:eastAsia="宋体" w:cs="宋体"/>
          <w:color w:val="auto"/>
          <w:highlight w:val="none"/>
          <w:u w:val="single"/>
        </w:rPr>
        <w:t xml:space="preserve"> 总价合同支付分分解表在招标完成后由发包人和承包人共同编制，发包人审批，并作为本合同内容。</w:t>
      </w:r>
    </w:p>
    <w:p w14:paraId="25792305">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（2）</w:t>
      </w:r>
      <w:r>
        <w:rPr>
          <w:rFonts w:hint="eastAsia" w:hAnsi="宋体" w:cs="宋体"/>
          <w:color w:val="auto"/>
          <w:highlight w:val="none"/>
        </w:rPr>
        <w:t>单价合同的总价项目支付分解表的编制与审批：</w:t>
      </w:r>
      <w:r>
        <w:rPr>
          <w:rFonts w:hint="eastAsia" w:ascii="Times New Roman" w:hAnsi="宋体" w:eastAsia="宋体" w:cs="宋体"/>
          <w:color w:val="auto"/>
          <w:highlight w:val="none"/>
        </w:rPr>
        <w:t>总价项目不采用支付分解表的方式计算，而按《建设工程工程量清单计价规范（GB50500-2013）广西壮族自治区实施细则》的规定执行。</w:t>
      </w:r>
    </w:p>
    <w:bookmarkEnd w:id="677"/>
    <w:p w14:paraId="15736451">
      <w:pPr>
        <w:pStyle w:val="3"/>
        <w:rPr>
          <w:color w:val="auto"/>
          <w:highlight w:val="none"/>
        </w:rPr>
      </w:pPr>
      <w:bookmarkStart w:id="913" w:name="_Toc389065318"/>
      <w:bookmarkStart w:id="914" w:name="_Toc4664"/>
      <w:bookmarkStart w:id="915" w:name="_Toc407135256"/>
      <w:bookmarkStart w:id="916" w:name="_Toc373227753"/>
      <w:bookmarkStart w:id="917" w:name="_Toc373478400"/>
      <w:bookmarkStart w:id="918" w:name="_Toc351203645"/>
      <w:bookmarkStart w:id="919" w:name="_Toc297048405"/>
      <w:bookmarkStart w:id="920" w:name="_Toc297123564"/>
      <w:bookmarkStart w:id="921" w:name="_Toc303539172"/>
      <w:bookmarkStart w:id="922" w:name="_Toc297216223"/>
      <w:bookmarkStart w:id="923" w:name="_Toc297120519"/>
      <w:bookmarkStart w:id="924" w:name="_Toc296347218"/>
      <w:bookmarkStart w:id="925" w:name="_Toc300935015"/>
      <w:bookmarkStart w:id="926" w:name="_Toc296944558"/>
      <w:bookmarkStart w:id="927" w:name="_Toc296891047"/>
      <w:bookmarkStart w:id="928" w:name="_Toc296346720"/>
      <w:bookmarkStart w:id="929" w:name="_Toc292559424"/>
      <w:bookmarkStart w:id="930" w:name="_Toc292559929"/>
      <w:bookmarkStart w:id="931" w:name="_Toc304295593"/>
      <w:bookmarkStart w:id="932" w:name="_Toc296503219"/>
      <w:bookmarkStart w:id="933" w:name="_Toc296891259"/>
      <w:bookmarkStart w:id="934" w:name="_Toc312678053"/>
      <w:r>
        <w:rPr>
          <w:color w:val="auto"/>
          <w:highlight w:val="none"/>
        </w:rPr>
        <w:t xml:space="preserve">13. </w:t>
      </w:r>
      <w:r>
        <w:rPr>
          <w:rFonts w:hint="eastAsia" w:cs="黑体"/>
          <w:color w:val="auto"/>
          <w:highlight w:val="none"/>
        </w:rPr>
        <w:t>验收和工程试车</w:t>
      </w:r>
      <w:bookmarkEnd w:id="913"/>
      <w:bookmarkEnd w:id="914"/>
      <w:bookmarkEnd w:id="915"/>
      <w:bookmarkEnd w:id="916"/>
      <w:bookmarkEnd w:id="917"/>
      <w:bookmarkEnd w:id="918"/>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14:paraId="770854D0">
      <w:pPr>
        <w:pStyle w:val="4"/>
        <w:rPr>
          <w:color w:val="auto"/>
          <w:highlight w:val="none"/>
        </w:rPr>
      </w:pPr>
      <w:bookmarkStart w:id="935" w:name="_Toc32388"/>
      <w:bookmarkStart w:id="936" w:name="_Toc373227754"/>
      <w:bookmarkStart w:id="937" w:name="_Toc407135257"/>
      <w:bookmarkStart w:id="938" w:name="_Toc373478401"/>
      <w:bookmarkStart w:id="939" w:name="_Toc389065319"/>
      <w:r>
        <w:rPr>
          <w:color w:val="auto"/>
          <w:highlight w:val="none"/>
        </w:rPr>
        <w:t xml:space="preserve">13.1 </w:t>
      </w:r>
      <w:r>
        <w:rPr>
          <w:rFonts w:hint="eastAsia" w:cs="黑体"/>
          <w:color w:val="auto"/>
          <w:highlight w:val="none"/>
        </w:rPr>
        <w:t>分部分项工程验收</w:t>
      </w:r>
      <w:bookmarkEnd w:id="935"/>
      <w:bookmarkEnd w:id="936"/>
      <w:bookmarkEnd w:id="937"/>
      <w:bookmarkEnd w:id="938"/>
      <w:bookmarkEnd w:id="939"/>
    </w:p>
    <w:p w14:paraId="499D054F">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6657BA61">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71AE8DBA">
      <w:pPr>
        <w:pStyle w:val="4"/>
        <w:rPr>
          <w:color w:val="auto"/>
          <w:highlight w:val="none"/>
        </w:rPr>
      </w:pPr>
      <w:bookmarkStart w:id="940" w:name="_Toc389065320"/>
      <w:bookmarkStart w:id="941" w:name="_Toc407135258"/>
      <w:bookmarkStart w:id="942" w:name="_Toc373227755"/>
      <w:bookmarkStart w:id="943" w:name="_Toc5847"/>
      <w:bookmarkStart w:id="944" w:name="_Toc373478402"/>
      <w:bookmarkStart w:id="945" w:name="_Toc297216224"/>
      <w:bookmarkStart w:id="946" w:name="_Toc297120523"/>
      <w:bookmarkStart w:id="947" w:name="_Toc300935016"/>
      <w:bookmarkStart w:id="948" w:name="_Toc296346724"/>
      <w:bookmarkStart w:id="949" w:name="_Toc297123565"/>
      <w:bookmarkStart w:id="950" w:name="_Toc297048409"/>
      <w:bookmarkStart w:id="951" w:name="_Toc296891263"/>
      <w:bookmarkStart w:id="952" w:name="_Toc304295596"/>
      <w:bookmarkStart w:id="953" w:name="_Toc296347222"/>
      <w:bookmarkStart w:id="954" w:name="_Toc296503223"/>
      <w:bookmarkStart w:id="955" w:name="_Toc312678056"/>
      <w:bookmarkStart w:id="956" w:name="_Toc303539173"/>
      <w:bookmarkStart w:id="957" w:name="_Toc292559933"/>
      <w:bookmarkStart w:id="958" w:name="_Toc296944562"/>
      <w:bookmarkStart w:id="959" w:name="_Toc292559428"/>
      <w:bookmarkStart w:id="960" w:name="_Toc296891051"/>
      <w:bookmarkStart w:id="961" w:name="_Toc267251472"/>
      <w:bookmarkStart w:id="962" w:name="_Toc267251471"/>
      <w:bookmarkStart w:id="963" w:name="_Toc267251470"/>
      <w:bookmarkStart w:id="964" w:name="_Toc267251474"/>
      <w:bookmarkStart w:id="965" w:name="_Toc267251473"/>
      <w:bookmarkStart w:id="966" w:name="_Toc267251476"/>
      <w:bookmarkStart w:id="967" w:name="_Toc267251475"/>
      <w:r>
        <w:rPr>
          <w:color w:val="auto"/>
          <w:highlight w:val="none"/>
        </w:rPr>
        <w:t xml:space="preserve">13.2 </w:t>
      </w:r>
      <w:r>
        <w:rPr>
          <w:rFonts w:hint="eastAsia" w:hAnsi="宋体" w:cs="黑体"/>
          <w:color w:val="auto"/>
          <w:highlight w:val="none"/>
        </w:rPr>
        <w:t>竣工验收</w:t>
      </w:r>
      <w:bookmarkEnd w:id="940"/>
      <w:bookmarkEnd w:id="941"/>
      <w:bookmarkEnd w:id="942"/>
      <w:bookmarkEnd w:id="943"/>
      <w:bookmarkEnd w:id="944"/>
    </w:p>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14:paraId="53716DA7">
      <w:pPr>
        <w:spacing w:line="360" w:lineRule="auto"/>
        <w:ind w:firstLine="420" w:firstLineChars="200"/>
        <w:jc w:val="left"/>
        <w:rPr>
          <w:color w:val="auto"/>
          <w:highlight w:val="none"/>
        </w:rPr>
      </w:pPr>
      <w:bookmarkStart w:id="968" w:name="_Toc280868704"/>
      <w:bookmarkStart w:id="969" w:name="_Toc280868705"/>
      <w:bookmarkStart w:id="970" w:name="_Toc280868706"/>
      <w:bookmarkStart w:id="971" w:name="_Toc280868707"/>
      <w:bookmarkStart w:id="972" w:name="_Toc280868708"/>
      <w:bookmarkStart w:id="973" w:name="_Toc280868709"/>
      <w:r>
        <w:rPr>
          <w:color w:val="auto"/>
          <w:highlight w:val="none"/>
        </w:rPr>
        <w:t>13.2.1</w:t>
      </w:r>
      <w:r>
        <w:rPr>
          <w:rFonts w:hint="eastAsia" w:hAnsi="宋体" w:cs="宋体"/>
          <w:color w:val="auto"/>
          <w:highlight w:val="none"/>
        </w:rPr>
        <w:t>竣工验收条件</w:t>
      </w:r>
    </w:p>
    <w:p w14:paraId="5636F055">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承包人负责整理和提交的竣工验收资料应当符合工程所在地建设行政主管部门和</w:t>
      </w:r>
      <w:r>
        <w:rPr>
          <w:rFonts w:hint="eastAsia"/>
          <w:color w:val="auto"/>
          <w:highlight w:val="none"/>
          <w:u w:val="single"/>
          <w:lang w:eastAsia="zh-CN"/>
        </w:rPr>
        <w:t>（</w:t>
      </w:r>
      <w:r>
        <w:rPr>
          <w:rFonts w:hint="eastAsia"/>
          <w:color w:val="auto"/>
          <w:highlight w:val="none"/>
          <w:u w:val="single"/>
        </w:rPr>
        <w:t>或</w:t>
      </w:r>
      <w:r>
        <w:rPr>
          <w:rFonts w:hint="eastAsia"/>
          <w:color w:val="auto"/>
          <w:highlight w:val="none"/>
          <w:u w:val="single"/>
          <w:lang w:eastAsia="zh-CN"/>
        </w:rPr>
        <w:t>）</w:t>
      </w:r>
      <w:r>
        <w:rPr>
          <w:rFonts w:hint="eastAsia"/>
          <w:color w:val="auto"/>
          <w:highlight w:val="none"/>
          <w:u w:val="single"/>
        </w:rPr>
        <w:t xml:space="preserve">城市建设档案管理机构有关施工资料的要求，具体内容包括：按建设行政主管部门和（或）城市建设档案管理机构的要求 </w:t>
      </w:r>
      <w:r>
        <w:rPr>
          <w:rFonts w:hint="eastAsia" w:hAnsi="宋体" w:cs="宋体"/>
          <w:color w:val="auto"/>
          <w:highlight w:val="none"/>
        </w:rPr>
        <w:t>。</w:t>
      </w:r>
    </w:p>
    <w:p w14:paraId="56E4F7A5">
      <w:pPr>
        <w:spacing w:line="360" w:lineRule="auto"/>
        <w:ind w:firstLine="420" w:firstLineChars="200"/>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Style w:val="26"/>
          <w:rFonts w:hint="eastAsia" w:ascii="宋体" w:hAnsi="宋体" w:cs="宋体"/>
          <w:color w:val="auto"/>
          <w:szCs w:val="21"/>
          <w:highlight w:val="none"/>
          <w:u w:val="single"/>
        </w:rPr>
        <w:t>按</w:t>
      </w:r>
      <w:r>
        <w:rPr>
          <w:rStyle w:val="26"/>
          <w:rFonts w:hint="eastAsia" w:ascii="宋体" w:hAnsi="宋体" w:cs="宋体"/>
          <w:color w:val="auto"/>
          <w:szCs w:val="21"/>
          <w:highlight w:val="none"/>
          <w:u w:val="single"/>
          <w:lang w:val="en-US" w:eastAsia="zh-CN"/>
        </w:rPr>
        <w:t>发包人要求执行</w:t>
      </w:r>
      <w:r>
        <w:rPr>
          <w:color w:val="auto"/>
          <w:highlight w:val="none"/>
          <w:u w:val="single"/>
        </w:rPr>
        <w:t xml:space="preserve">   </w:t>
      </w:r>
      <w:r>
        <w:rPr>
          <w:rFonts w:hint="eastAsia" w:hAnsi="宋体" w:cs="宋体"/>
          <w:color w:val="auto"/>
          <w:highlight w:val="none"/>
        </w:rPr>
        <w:t>。</w:t>
      </w:r>
    </w:p>
    <w:p w14:paraId="0EDDE09F">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 15 天，提供竣工图 6 套。</w:t>
      </w:r>
    </w:p>
    <w:p w14:paraId="0598845C">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968"/>
    <w:p w14:paraId="45D6FC7F">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按照本合同通用条款第 13.2.2 条执行</w:t>
      </w:r>
      <w:r>
        <w:rPr>
          <w:color w:val="auto"/>
          <w:highlight w:val="none"/>
          <w:u w:val="single"/>
        </w:rPr>
        <w:t xml:space="preserve">    </w:t>
      </w:r>
      <w:r>
        <w:rPr>
          <w:rFonts w:hint="eastAsia" w:hAnsi="宋体" w:cs="宋体"/>
          <w:color w:val="auto"/>
          <w:highlight w:val="none"/>
        </w:rPr>
        <w:t>。</w:t>
      </w:r>
    </w:p>
    <w:p w14:paraId="2C40D02D">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 xml:space="preserve">发包人不按本合同通用条款第 13.2.2 条约定组织竣工验收、颁发工程接收证书的，每逾期一天，按签约合同价的万分之三向承包人支付违约金。此项违约金总额不超过签约合同价的百分之二 </w:t>
      </w:r>
      <w:r>
        <w:rPr>
          <w:rFonts w:hint="eastAsia" w:hAnsi="宋体" w:cs="宋体"/>
          <w:color w:val="auto"/>
          <w:highlight w:val="none"/>
        </w:rPr>
        <w:t>。</w:t>
      </w:r>
    </w:p>
    <w:bookmarkEnd w:id="969"/>
    <w:p w14:paraId="2630DBB6">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970"/>
    <w:p w14:paraId="731E9911">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rFonts w:hint="eastAsia"/>
          <w:color w:val="auto"/>
          <w:highlight w:val="none"/>
          <w:u w:val="single"/>
        </w:rPr>
        <w:t xml:space="preserve">在颁发工程接收证书后 7 天内完成工程的移交 </w:t>
      </w:r>
      <w:r>
        <w:rPr>
          <w:rFonts w:hint="eastAsia" w:hAnsi="宋体" w:cs="宋体"/>
          <w:color w:val="auto"/>
          <w:highlight w:val="none"/>
        </w:rPr>
        <w:t>。</w:t>
      </w:r>
    </w:p>
    <w:p w14:paraId="4CC6D041">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 xml:space="preserve">发包人无正当理由不接收工程的，发包人自应当接收工程之日起，承担工程照管、成品保护、保管等与工程有关的各项费用，并每逾期一天接收，按签约合同价的万分之三向承包人支付违约金。此项违约金总额不超过签约合同价的百分之二 </w:t>
      </w:r>
      <w:r>
        <w:rPr>
          <w:color w:val="auto"/>
          <w:highlight w:val="none"/>
          <w:u w:val="single"/>
        </w:rPr>
        <w:t xml:space="preserve">  </w:t>
      </w:r>
      <w:r>
        <w:rPr>
          <w:rFonts w:hint="eastAsia" w:hAnsi="宋体" w:cs="宋体"/>
          <w:color w:val="auto"/>
          <w:highlight w:val="none"/>
        </w:rPr>
        <w:t>。</w:t>
      </w:r>
    </w:p>
    <w:bookmarkEnd w:id="971"/>
    <w:p w14:paraId="326C05D9">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 xml:space="preserve">承包人无正当理由不移交工程的，承包人应承担工程照管、成品保护、保管等与工程有关的各项费用，并每逾期一天移交，按签约合同价的万分之三向发包人支付违约金。此项违约金总额不超过签约合同价的百分之二 </w:t>
      </w:r>
      <w:r>
        <w:rPr>
          <w:rFonts w:hint="eastAsia" w:hAnsi="宋体" w:cs="宋体"/>
          <w:color w:val="auto"/>
          <w:highlight w:val="none"/>
        </w:rPr>
        <w:t>。</w:t>
      </w:r>
    </w:p>
    <w:p w14:paraId="753A62E9">
      <w:pPr>
        <w:pStyle w:val="4"/>
        <w:rPr>
          <w:color w:val="auto"/>
          <w:highlight w:val="none"/>
        </w:rPr>
      </w:pPr>
      <w:bookmarkStart w:id="974" w:name="_Toc373227756"/>
      <w:bookmarkStart w:id="975" w:name="_Toc373478403"/>
      <w:bookmarkStart w:id="976" w:name="_Toc21734"/>
      <w:bookmarkStart w:id="977" w:name="_Toc407135259"/>
      <w:bookmarkStart w:id="978" w:name="_Toc389065321"/>
      <w:r>
        <w:rPr>
          <w:color w:val="auto"/>
          <w:highlight w:val="none"/>
        </w:rPr>
        <w:t xml:space="preserve">13.3 </w:t>
      </w:r>
      <w:r>
        <w:rPr>
          <w:rFonts w:hint="eastAsia" w:hAnsi="宋体" w:cs="黑体"/>
          <w:color w:val="auto"/>
          <w:highlight w:val="none"/>
        </w:rPr>
        <w:t>工程试车</w:t>
      </w:r>
      <w:bookmarkEnd w:id="974"/>
      <w:bookmarkEnd w:id="975"/>
      <w:bookmarkEnd w:id="976"/>
      <w:bookmarkEnd w:id="977"/>
      <w:bookmarkEnd w:id="978"/>
    </w:p>
    <w:bookmarkEnd w:id="972"/>
    <w:p w14:paraId="6F30F57E">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47E0DFC8">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104A9F5">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1A360EA8">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6CD03794">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9E81659">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532503F">
      <w:pPr>
        <w:pStyle w:val="4"/>
        <w:rPr>
          <w:color w:val="auto"/>
          <w:highlight w:val="none"/>
        </w:rPr>
      </w:pPr>
      <w:bookmarkStart w:id="979" w:name="_Toc389065322"/>
      <w:bookmarkStart w:id="980" w:name="_Toc373227757"/>
      <w:bookmarkStart w:id="981" w:name="_Toc407135260"/>
      <w:bookmarkStart w:id="982" w:name="_Toc27026"/>
      <w:bookmarkStart w:id="983" w:name="_Toc373478404"/>
      <w:r>
        <w:rPr>
          <w:color w:val="auto"/>
          <w:highlight w:val="none"/>
        </w:rPr>
        <w:t xml:space="preserve">13.6 </w:t>
      </w:r>
      <w:r>
        <w:rPr>
          <w:rFonts w:hint="eastAsia" w:hAnsi="宋体" w:cs="黑体"/>
          <w:color w:val="auto"/>
          <w:highlight w:val="none"/>
        </w:rPr>
        <w:t>竣工退场</w:t>
      </w:r>
      <w:bookmarkEnd w:id="979"/>
      <w:bookmarkEnd w:id="980"/>
      <w:bookmarkEnd w:id="981"/>
      <w:bookmarkEnd w:id="982"/>
      <w:bookmarkEnd w:id="983"/>
    </w:p>
    <w:p w14:paraId="12F37FE5">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00C4124">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按《通用条款》第 13.6.1 款执行</w:t>
      </w:r>
      <w:r>
        <w:rPr>
          <w:color w:val="auto"/>
          <w:highlight w:val="none"/>
          <w:u w:val="single"/>
        </w:rPr>
        <w:t xml:space="preserve">    </w:t>
      </w:r>
      <w:r>
        <w:rPr>
          <w:rFonts w:hint="eastAsia" w:hAnsi="宋体" w:cs="宋体"/>
          <w:color w:val="auto"/>
          <w:kern w:val="0"/>
          <w:highlight w:val="none"/>
        </w:rPr>
        <w:t>。</w:t>
      </w:r>
    </w:p>
    <w:p w14:paraId="6102CE33">
      <w:pPr>
        <w:pStyle w:val="3"/>
        <w:rPr>
          <w:color w:val="auto"/>
          <w:highlight w:val="none"/>
        </w:rPr>
      </w:pPr>
      <w:bookmarkStart w:id="984" w:name="_Toc373478405"/>
      <w:bookmarkStart w:id="985" w:name="_Toc351203646"/>
      <w:bookmarkStart w:id="986" w:name="_Toc407135261"/>
      <w:bookmarkStart w:id="987" w:name="_Toc373227758"/>
      <w:bookmarkStart w:id="988" w:name="_Toc21303"/>
      <w:bookmarkStart w:id="989" w:name="_Toc389065323"/>
      <w:r>
        <w:rPr>
          <w:color w:val="auto"/>
          <w:highlight w:val="none"/>
        </w:rPr>
        <w:t xml:space="preserve">14. </w:t>
      </w:r>
      <w:r>
        <w:rPr>
          <w:rFonts w:hint="eastAsia" w:hAnsi="宋体" w:cs="黑体"/>
          <w:color w:val="auto"/>
          <w:highlight w:val="none"/>
        </w:rPr>
        <w:t>竣工结算</w:t>
      </w:r>
      <w:bookmarkEnd w:id="984"/>
      <w:bookmarkEnd w:id="985"/>
      <w:bookmarkEnd w:id="986"/>
      <w:bookmarkEnd w:id="987"/>
      <w:bookmarkEnd w:id="988"/>
      <w:bookmarkEnd w:id="989"/>
    </w:p>
    <w:p w14:paraId="386787B5">
      <w:pPr>
        <w:pStyle w:val="4"/>
        <w:rPr>
          <w:color w:val="auto"/>
          <w:highlight w:val="none"/>
        </w:rPr>
      </w:pPr>
      <w:bookmarkStart w:id="990" w:name="_Toc8889"/>
      <w:bookmarkStart w:id="991" w:name="_Toc373478406"/>
      <w:bookmarkStart w:id="992" w:name="_Toc389065324"/>
      <w:bookmarkStart w:id="993" w:name="_Toc407135262"/>
      <w:bookmarkStart w:id="994" w:name="_Toc373227759"/>
      <w:r>
        <w:rPr>
          <w:color w:val="auto"/>
          <w:highlight w:val="none"/>
        </w:rPr>
        <w:t xml:space="preserve">14.1 </w:t>
      </w:r>
      <w:r>
        <w:rPr>
          <w:rFonts w:hint="eastAsia" w:hAnsi="宋体" w:cs="黑体"/>
          <w:color w:val="auto"/>
          <w:highlight w:val="none"/>
        </w:rPr>
        <w:t>竣工付款申请</w:t>
      </w:r>
      <w:bookmarkEnd w:id="990"/>
      <w:bookmarkEnd w:id="991"/>
      <w:bookmarkEnd w:id="992"/>
      <w:bookmarkEnd w:id="993"/>
      <w:bookmarkEnd w:id="994"/>
    </w:p>
    <w:p w14:paraId="2D0AA4B1">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承包人应在工程竣工验收合格之日起 28 天内向发包人和监理人提交竣工结算申请单</w:t>
      </w:r>
      <w:r>
        <w:rPr>
          <w:color w:val="auto"/>
          <w:highlight w:val="none"/>
          <w:u w:val="single"/>
        </w:rPr>
        <w:t xml:space="preserve">  </w:t>
      </w:r>
      <w:r>
        <w:rPr>
          <w:rFonts w:hint="eastAsia" w:hAnsi="宋体" w:cs="宋体"/>
          <w:color w:val="auto"/>
          <w:highlight w:val="none"/>
        </w:rPr>
        <w:t>。</w:t>
      </w:r>
    </w:p>
    <w:p w14:paraId="5BF954FF">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color w:val="auto"/>
          <w:highlight w:val="none"/>
          <w:u w:val="single"/>
        </w:rPr>
        <w:t xml:space="preserve">（1）竣工结算合同价格；（2）发包人已支付承包人的款项；（3）应扣留的质量保证金；（4）发包人应支付承包人的合同价款 </w:t>
      </w:r>
      <w:r>
        <w:rPr>
          <w:rFonts w:hint="eastAsia" w:hAnsi="宋体" w:cs="宋体"/>
          <w:color w:val="auto"/>
          <w:highlight w:val="none"/>
        </w:rPr>
        <w:t>。竣工结算款支付申请（核准）表见合同附件12。</w:t>
      </w:r>
    </w:p>
    <w:p w14:paraId="7E385A0F">
      <w:pPr>
        <w:pStyle w:val="4"/>
        <w:rPr>
          <w:color w:val="auto"/>
          <w:highlight w:val="none"/>
        </w:rPr>
      </w:pPr>
      <w:bookmarkStart w:id="995" w:name="_Toc17550"/>
      <w:bookmarkStart w:id="996" w:name="_Toc407135263"/>
      <w:bookmarkStart w:id="997" w:name="_Toc373227760"/>
      <w:bookmarkStart w:id="998" w:name="_Toc389065325"/>
      <w:bookmarkStart w:id="999" w:name="_Toc373478407"/>
      <w:r>
        <w:rPr>
          <w:color w:val="auto"/>
          <w:highlight w:val="none"/>
        </w:rPr>
        <w:t xml:space="preserve">14.2 </w:t>
      </w:r>
      <w:r>
        <w:rPr>
          <w:rFonts w:hint="eastAsia" w:hAnsi="宋体" w:cs="黑体"/>
          <w:color w:val="auto"/>
          <w:highlight w:val="none"/>
        </w:rPr>
        <w:t>竣工结算审核</w:t>
      </w:r>
      <w:bookmarkEnd w:id="995"/>
      <w:bookmarkEnd w:id="996"/>
      <w:bookmarkEnd w:id="997"/>
      <w:bookmarkEnd w:id="998"/>
      <w:bookmarkEnd w:id="999"/>
    </w:p>
    <w:p w14:paraId="2F0A478C">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D16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3DB667C">
            <w:pPr>
              <w:spacing w:line="360" w:lineRule="auto"/>
              <w:rPr>
                <w:color w:val="auto"/>
                <w:highlight w:val="none"/>
              </w:rPr>
            </w:pPr>
          </w:p>
        </w:tc>
        <w:tc>
          <w:tcPr>
            <w:tcW w:w="2466" w:type="dxa"/>
            <w:noWrap w:val="0"/>
            <w:vAlign w:val="center"/>
          </w:tcPr>
          <w:p w14:paraId="412A7433">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675E493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21D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46C65">
            <w:pPr>
              <w:spacing w:line="360" w:lineRule="auto"/>
              <w:jc w:val="center"/>
              <w:rPr>
                <w:color w:val="auto"/>
                <w:highlight w:val="none"/>
              </w:rPr>
            </w:pPr>
            <w:r>
              <w:rPr>
                <w:color w:val="auto"/>
                <w:highlight w:val="none"/>
              </w:rPr>
              <w:t>1</w:t>
            </w:r>
          </w:p>
        </w:tc>
        <w:tc>
          <w:tcPr>
            <w:tcW w:w="2466" w:type="dxa"/>
            <w:noWrap w:val="0"/>
            <w:vAlign w:val="center"/>
          </w:tcPr>
          <w:p w14:paraId="4687167D">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5B3816E">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272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E8438F5">
            <w:pPr>
              <w:spacing w:line="360" w:lineRule="auto"/>
              <w:jc w:val="center"/>
              <w:rPr>
                <w:color w:val="auto"/>
                <w:highlight w:val="none"/>
              </w:rPr>
            </w:pPr>
            <w:r>
              <w:rPr>
                <w:color w:val="auto"/>
                <w:highlight w:val="none"/>
              </w:rPr>
              <w:t>2</w:t>
            </w:r>
          </w:p>
        </w:tc>
        <w:tc>
          <w:tcPr>
            <w:tcW w:w="2466" w:type="dxa"/>
            <w:noWrap w:val="0"/>
            <w:vAlign w:val="center"/>
          </w:tcPr>
          <w:p w14:paraId="1D73E05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0814192E">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4D5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A5431A5">
            <w:pPr>
              <w:spacing w:line="360" w:lineRule="auto"/>
              <w:jc w:val="center"/>
              <w:rPr>
                <w:color w:val="auto"/>
                <w:highlight w:val="none"/>
              </w:rPr>
            </w:pPr>
            <w:r>
              <w:rPr>
                <w:color w:val="auto"/>
                <w:highlight w:val="none"/>
              </w:rPr>
              <w:t>3</w:t>
            </w:r>
          </w:p>
        </w:tc>
        <w:tc>
          <w:tcPr>
            <w:tcW w:w="2466" w:type="dxa"/>
            <w:noWrap w:val="0"/>
            <w:vAlign w:val="center"/>
          </w:tcPr>
          <w:p w14:paraId="09610105">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13EA99B3">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2FA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F2DA8A8">
            <w:pPr>
              <w:spacing w:line="360" w:lineRule="auto"/>
              <w:jc w:val="center"/>
              <w:rPr>
                <w:color w:val="auto"/>
                <w:highlight w:val="none"/>
              </w:rPr>
            </w:pPr>
            <w:r>
              <w:rPr>
                <w:color w:val="auto"/>
                <w:highlight w:val="none"/>
              </w:rPr>
              <w:t>4</w:t>
            </w:r>
          </w:p>
        </w:tc>
        <w:tc>
          <w:tcPr>
            <w:tcW w:w="2466" w:type="dxa"/>
            <w:noWrap w:val="0"/>
            <w:vAlign w:val="center"/>
          </w:tcPr>
          <w:p w14:paraId="3BE6C0F6">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24E7855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106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7FEB031">
            <w:pPr>
              <w:spacing w:line="360" w:lineRule="auto"/>
              <w:jc w:val="center"/>
              <w:rPr>
                <w:color w:val="auto"/>
                <w:highlight w:val="none"/>
              </w:rPr>
            </w:pPr>
            <w:r>
              <w:rPr>
                <w:rFonts w:hint="eastAsia"/>
                <w:color w:val="auto"/>
                <w:highlight w:val="none"/>
              </w:rPr>
              <w:t>5</w:t>
            </w:r>
          </w:p>
        </w:tc>
        <w:tc>
          <w:tcPr>
            <w:tcW w:w="2466" w:type="dxa"/>
            <w:noWrap w:val="0"/>
            <w:vAlign w:val="center"/>
          </w:tcPr>
          <w:p w14:paraId="6DBEAF8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14:paraId="368CE417">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281A067B">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429F5093">
      <w:pPr>
        <w:spacing w:line="400" w:lineRule="exact"/>
        <w:ind w:firstLine="411" w:firstLineChars="196"/>
        <w:rPr>
          <w:rFonts w:hAnsi="宋体"/>
          <w:color w:val="auto"/>
          <w:highlight w:val="none"/>
        </w:rPr>
      </w:pPr>
      <w:r>
        <w:rPr>
          <w:rFonts w:hint="eastAsia" w:hAnsi="宋体" w:cs="宋体"/>
          <w:color w:val="auto"/>
          <w:highlight w:val="none"/>
        </w:rPr>
        <w:t>竣工结算审核约定：</w:t>
      </w:r>
    </w:p>
    <w:p w14:paraId="58CB2E89">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rPr>
        <w:t>28</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后按要求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发包人按审定后的竣工结算价款，通知经办银行向承包人支付结算价款。</w:t>
      </w:r>
    </w:p>
    <w:p w14:paraId="7E47E36F">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259C6A88">
      <w:pPr>
        <w:pStyle w:val="4"/>
        <w:rPr>
          <w:color w:val="auto"/>
          <w:highlight w:val="none"/>
        </w:rPr>
      </w:pPr>
      <w:bookmarkStart w:id="1000" w:name="_Toc373227761"/>
      <w:bookmarkStart w:id="1001" w:name="_Toc407135264"/>
      <w:bookmarkStart w:id="1002" w:name="_Toc389065326"/>
      <w:bookmarkStart w:id="1003" w:name="_Toc373478408"/>
      <w:bookmarkStart w:id="1004" w:name="_Toc19694"/>
      <w:r>
        <w:rPr>
          <w:color w:val="auto"/>
          <w:highlight w:val="none"/>
        </w:rPr>
        <w:t xml:space="preserve">14.4 </w:t>
      </w:r>
      <w:r>
        <w:rPr>
          <w:rFonts w:hint="eastAsia" w:hAnsi="宋体" w:cs="黑体"/>
          <w:color w:val="auto"/>
          <w:highlight w:val="none"/>
        </w:rPr>
        <w:t>最终结清</w:t>
      </w:r>
      <w:bookmarkEnd w:id="1000"/>
      <w:bookmarkEnd w:id="1001"/>
      <w:bookmarkEnd w:id="1002"/>
      <w:bookmarkEnd w:id="1003"/>
      <w:bookmarkEnd w:id="1004"/>
    </w:p>
    <w:p w14:paraId="2040BA06">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709AD5">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叁份</w:t>
      </w:r>
      <w:r>
        <w:rPr>
          <w:color w:val="auto"/>
          <w:highlight w:val="none"/>
          <w:u w:val="single"/>
        </w:rPr>
        <w:t xml:space="preserve">          </w:t>
      </w:r>
      <w:r>
        <w:rPr>
          <w:rFonts w:hint="eastAsia" w:hAnsi="宋体" w:cs="宋体"/>
          <w:color w:val="auto"/>
          <w:highlight w:val="none"/>
        </w:rPr>
        <w:t>。</w:t>
      </w:r>
    </w:p>
    <w:p w14:paraId="52FA3C26">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应在缺陷责任期终止证书颁发之日起 7 天内提交</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4331800">
      <w:pPr>
        <w:spacing w:line="360" w:lineRule="auto"/>
        <w:ind w:firstLine="420" w:firstLineChars="200"/>
        <w:jc w:val="left"/>
        <w:rPr>
          <w:color w:val="auto"/>
          <w:highlight w:val="none"/>
        </w:rPr>
      </w:pPr>
      <w:r>
        <w:rPr>
          <w:rFonts w:hint="eastAsia"/>
          <w:color w:val="auto"/>
          <w:highlight w:val="none"/>
        </w:rPr>
        <w:t>最终结算款支付申请（核准）表见合同附件13。</w:t>
      </w:r>
    </w:p>
    <w:p w14:paraId="2453E26B">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4FBBB76E">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发包人应在收到承包人提交的最终结清申请单之日起 14 天内完成审批并向承包人颁发最终结清证书</w:t>
      </w:r>
      <w:r>
        <w:rPr>
          <w:color w:val="auto"/>
          <w:highlight w:val="none"/>
          <w:u w:val="single"/>
        </w:rPr>
        <w:t xml:space="preserve">  </w:t>
      </w:r>
      <w:r>
        <w:rPr>
          <w:rFonts w:hint="eastAsia" w:hAnsi="宋体" w:cs="宋体"/>
          <w:color w:val="auto"/>
          <w:highlight w:val="none"/>
        </w:rPr>
        <w:t>。</w:t>
      </w:r>
    </w:p>
    <w:p w14:paraId="3C6668B5">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发包人应在颁发最终结清证书后报财政局审批完成支付</w:t>
      </w:r>
      <w:r>
        <w:rPr>
          <w:color w:val="auto"/>
          <w:highlight w:val="none"/>
          <w:u w:val="single"/>
        </w:rPr>
        <w:t xml:space="preserve"> </w:t>
      </w:r>
      <w:r>
        <w:rPr>
          <w:rFonts w:hint="eastAsia" w:hAnsi="宋体" w:cs="宋体"/>
          <w:color w:val="auto"/>
          <w:highlight w:val="none"/>
        </w:rPr>
        <w:t>。</w:t>
      </w:r>
    </w:p>
    <w:bookmarkEnd w:id="961"/>
    <w:bookmarkEnd w:id="962"/>
    <w:bookmarkEnd w:id="963"/>
    <w:bookmarkEnd w:id="964"/>
    <w:bookmarkEnd w:id="965"/>
    <w:bookmarkEnd w:id="966"/>
    <w:bookmarkEnd w:id="967"/>
    <w:bookmarkEnd w:id="973"/>
    <w:p w14:paraId="46249CB1">
      <w:pPr>
        <w:pStyle w:val="3"/>
        <w:rPr>
          <w:color w:val="auto"/>
          <w:highlight w:val="none"/>
        </w:rPr>
      </w:pPr>
      <w:bookmarkStart w:id="1005" w:name="_Toc389065327"/>
      <w:bookmarkStart w:id="1006" w:name="_Toc19809"/>
      <w:bookmarkStart w:id="1007" w:name="_Toc351203647"/>
      <w:bookmarkStart w:id="1008" w:name="_Toc373478409"/>
      <w:bookmarkStart w:id="1009" w:name="_Toc373227762"/>
      <w:bookmarkStart w:id="1010" w:name="_Toc407135265"/>
      <w:bookmarkStart w:id="1011" w:name="_Toc267251483"/>
      <w:bookmarkStart w:id="1012" w:name="_Toc267251482"/>
      <w:bookmarkStart w:id="1013" w:name="_Toc267251484"/>
      <w:bookmarkStart w:id="1014" w:name="_Toc267251485"/>
      <w:bookmarkStart w:id="1015" w:name="_Toc267251490"/>
      <w:bookmarkStart w:id="1016" w:name="_Toc267251489"/>
      <w:bookmarkStart w:id="1017" w:name="_Toc267251486"/>
      <w:bookmarkStart w:id="1018" w:name="_Toc267251488"/>
      <w:bookmarkStart w:id="1019" w:name="_Toc267251491"/>
      <w:bookmarkStart w:id="1020" w:name="_Toc267251492"/>
      <w:bookmarkStart w:id="1021" w:name="_Toc267251503"/>
      <w:bookmarkStart w:id="1022" w:name="_Toc267251501"/>
      <w:bookmarkStart w:id="1023" w:name="_Toc267251494"/>
      <w:bookmarkStart w:id="1024" w:name="_Toc267251495"/>
      <w:bookmarkStart w:id="1025" w:name="_Toc267251502"/>
      <w:bookmarkStart w:id="1026" w:name="_Toc267251499"/>
      <w:bookmarkStart w:id="1027" w:name="_Toc267251498"/>
      <w:bookmarkStart w:id="1028" w:name="_Toc267251496"/>
      <w:bookmarkStart w:id="1029" w:name="_Toc267251493"/>
      <w:bookmarkStart w:id="1030" w:name="_Toc267251497"/>
      <w:bookmarkStart w:id="1031" w:name="_Toc267251506"/>
      <w:bookmarkStart w:id="1032" w:name="_Toc267251504"/>
      <w:bookmarkStart w:id="1033" w:name="_Toc267251507"/>
      <w:bookmarkStart w:id="1034" w:name="_Toc267251508"/>
      <w:bookmarkStart w:id="1035" w:name="_Toc267251509"/>
      <w:bookmarkStart w:id="1036" w:name="_Toc267251514"/>
      <w:bookmarkStart w:id="1037" w:name="_Toc267251511"/>
      <w:bookmarkStart w:id="1038" w:name="_Toc267251515"/>
      <w:bookmarkStart w:id="1039" w:name="_Toc267251513"/>
      <w:bookmarkStart w:id="1040" w:name="_Toc267251510"/>
      <w:r>
        <w:rPr>
          <w:color w:val="auto"/>
          <w:highlight w:val="none"/>
        </w:rPr>
        <w:t xml:space="preserve">15. </w:t>
      </w:r>
      <w:r>
        <w:rPr>
          <w:rFonts w:hint="eastAsia" w:cs="黑体"/>
          <w:color w:val="auto"/>
          <w:highlight w:val="none"/>
        </w:rPr>
        <w:t>缺陷责任期与保修</w:t>
      </w:r>
      <w:bookmarkEnd w:id="1005"/>
      <w:bookmarkEnd w:id="1006"/>
      <w:bookmarkEnd w:id="1007"/>
      <w:bookmarkEnd w:id="1008"/>
      <w:bookmarkEnd w:id="1009"/>
      <w:bookmarkEnd w:id="1010"/>
    </w:p>
    <w:p w14:paraId="39620973">
      <w:pPr>
        <w:pStyle w:val="4"/>
        <w:rPr>
          <w:color w:val="auto"/>
          <w:highlight w:val="none"/>
        </w:rPr>
      </w:pPr>
      <w:bookmarkStart w:id="1041" w:name="_Toc389065328"/>
      <w:bookmarkStart w:id="1042" w:name="_Toc373478410"/>
      <w:bookmarkStart w:id="1043" w:name="_Toc407135266"/>
      <w:bookmarkStart w:id="1044" w:name="_Toc373227763"/>
      <w:r>
        <w:rPr>
          <w:color w:val="auto"/>
          <w:highlight w:val="none"/>
        </w:rPr>
        <w:t xml:space="preserve">15.2 </w:t>
      </w:r>
      <w:r>
        <w:rPr>
          <w:rFonts w:hint="eastAsia" w:hAnsi="宋体" w:cs="黑体"/>
          <w:color w:val="auto"/>
          <w:highlight w:val="none"/>
        </w:rPr>
        <w:t>缺陷责任期</w:t>
      </w:r>
      <w:bookmarkEnd w:id="1011"/>
      <w:bookmarkEnd w:id="1041"/>
      <w:bookmarkEnd w:id="1042"/>
      <w:bookmarkEnd w:id="1043"/>
      <w:bookmarkEnd w:id="1044"/>
    </w:p>
    <w:p w14:paraId="5B06C952">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个月</w:t>
      </w:r>
      <w:r>
        <w:rPr>
          <w:color w:val="auto"/>
          <w:highlight w:val="none"/>
          <w:u w:val="single"/>
        </w:rPr>
        <w:t xml:space="preserve">   </w:t>
      </w:r>
      <w:r>
        <w:rPr>
          <w:rFonts w:hint="eastAsia" w:hAnsi="宋体" w:cs="宋体"/>
          <w:color w:val="auto"/>
          <w:highlight w:val="none"/>
        </w:rPr>
        <w:t>。</w:t>
      </w:r>
    </w:p>
    <w:p w14:paraId="5AEE0A5B">
      <w:pPr>
        <w:pStyle w:val="4"/>
        <w:rPr>
          <w:color w:val="auto"/>
          <w:highlight w:val="none"/>
        </w:rPr>
      </w:pPr>
      <w:bookmarkStart w:id="1045" w:name="_Toc407135267"/>
      <w:bookmarkStart w:id="1046" w:name="_Toc373478411"/>
      <w:bookmarkStart w:id="1047" w:name="_Toc389065329"/>
      <w:bookmarkStart w:id="1048" w:name="_Toc23593"/>
      <w:bookmarkStart w:id="1049" w:name="_Toc373227764"/>
      <w:r>
        <w:rPr>
          <w:color w:val="auto"/>
          <w:highlight w:val="none"/>
        </w:rPr>
        <w:t xml:space="preserve">15.3 </w:t>
      </w:r>
      <w:r>
        <w:rPr>
          <w:rFonts w:hint="eastAsia" w:hAnsi="宋体" w:cs="黑体"/>
          <w:color w:val="auto"/>
          <w:highlight w:val="none"/>
        </w:rPr>
        <w:t>质量保证金</w:t>
      </w:r>
      <w:bookmarkEnd w:id="1045"/>
      <w:bookmarkEnd w:id="1046"/>
      <w:bookmarkEnd w:id="1047"/>
      <w:bookmarkEnd w:id="1048"/>
      <w:bookmarkEnd w:id="1049"/>
    </w:p>
    <w:p w14:paraId="16D9CC7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1ACD65C">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58C6C431">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5013AE17">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21198ABE">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）质量保证金保函，保证金额为：</w:t>
      </w:r>
      <w:r>
        <w:rPr>
          <w:color w:val="auto"/>
          <w:kern w:val="0"/>
          <w:highlight w:val="none"/>
          <w:u w:val="single"/>
        </w:rPr>
        <w:t xml:space="preserve">                   </w:t>
      </w:r>
      <w:r>
        <w:rPr>
          <w:rFonts w:hint="eastAsia" w:hAnsi="宋体" w:cs="宋体"/>
          <w:color w:val="auto"/>
          <w:kern w:val="0"/>
          <w:highlight w:val="none"/>
        </w:rPr>
        <w:t>；</w:t>
      </w:r>
    </w:p>
    <w:p w14:paraId="689A9D7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无息     </w:t>
      </w:r>
      <w:r>
        <w:rPr>
          <w:rFonts w:hint="eastAsia" w:hAnsi="宋体" w:cs="宋体"/>
          <w:color w:val="auto"/>
          <w:kern w:val="0"/>
          <w:highlight w:val="none"/>
        </w:rPr>
        <w:t>；</w:t>
      </w:r>
    </w:p>
    <w:p w14:paraId="5DD6C17E">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32D64197">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727AD0EA">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591963E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8FEB6EC">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47A4CC1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hAnsi="宋体" w:cs="宋体"/>
          <w:color w:val="auto"/>
          <w:kern w:val="0"/>
          <w:highlight w:val="none"/>
          <w:lang w:eastAsia="zh-CN"/>
        </w:rPr>
        <w:t>：</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4FD8646B">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bookmarkEnd w:id="1012"/>
    <w:bookmarkEnd w:id="1013"/>
    <w:p w14:paraId="1961E8D7">
      <w:pPr>
        <w:pStyle w:val="4"/>
        <w:rPr>
          <w:color w:val="auto"/>
          <w:highlight w:val="none"/>
        </w:rPr>
      </w:pPr>
      <w:bookmarkStart w:id="1050" w:name="_Toc373478412"/>
      <w:bookmarkStart w:id="1051" w:name="_Toc29764"/>
      <w:bookmarkStart w:id="1052" w:name="_Toc407135268"/>
      <w:bookmarkStart w:id="1053" w:name="_Toc389065330"/>
      <w:bookmarkStart w:id="1054" w:name="_Toc373227765"/>
      <w:r>
        <w:rPr>
          <w:color w:val="auto"/>
          <w:highlight w:val="none"/>
        </w:rPr>
        <w:t xml:space="preserve">15.4 </w:t>
      </w:r>
      <w:r>
        <w:rPr>
          <w:rFonts w:hint="eastAsia" w:hAnsi="宋体" w:cs="黑体"/>
          <w:color w:val="auto"/>
          <w:highlight w:val="none"/>
        </w:rPr>
        <w:t>保修</w:t>
      </w:r>
      <w:bookmarkEnd w:id="1050"/>
      <w:bookmarkEnd w:id="1051"/>
      <w:bookmarkEnd w:id="1052"/>
      <w:bookmarkEnd w:id="1053"/>
      <w:bookmarkEnd w:id="1054"/>
    </w:p>
    <w:bookmarkEnd w:id="1014"/>
    <w:p w14:paraId="495E82AA">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s="宋体"/>
          <w:color w:val="auto"/>
          <w:highlight w:val="none"/>
        </w:rPr>
        <w:t>保修责任</w:t>
      </w:r>
    </w:p>
    <w:p w14:paraId="72F57A1B">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见附件工程质量保修书</w:t>
      </w:r>
      <w:r>
        <w:rPr>
          <w:color w:val="auto"/>
          <w:kern w:val="0"/>
          <w:highlight w:val="none"/>
          <w:u w:val="single"/>
        </w:rPr>
        <w:t xml:space="preserve">    </w:t>
      </w:r>
      <w:r>
        <w:rPr>
          <w:rFonts w:hint="eastAsia" w:hAnsi="宋体" w:cs="宋体"/>
          <w:color w:val="auto"/>
          <w:kern w:val="0"/>
          <w:highlight w:val="none"/>
        </w:rPr>
        <w:t>。</w:t>
      </w:r>
    </w:p>
    <w:p w14:paraId="2BDC8D0A">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14:paraId="5CD386D6">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1AE19D77">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收到通知后 24 小时内</w:t>
      </w:r>
      <w:r>
        <w:rPr>
          <w:color w:val="auto"/>
          <w:kern w:val="0"/>
          <w:highlight w:val="none"/>
          <w:u w:val="single"/>
        </w:rPr>
        <w:t xml:space="preserve">    </w:t>
      </w:r>
      <w:r>
        <w:rPr>
          <w:rFonts w:hint="eastAsia" w:hAnsi="宋体" w:cs="宋体"/>
          <w:color w:val="auto"/>
          <w:kern w:val="0"/>
          <w:highlight w:val="none"/>
        </w:rPr>
        <w:t>。</w:t>
      </w:r>
    </w:p>
    <w:bookmarkEnd w:id="1015"/>
    <w:bookmarkEnd w:id="1016"/>
    <w:bookmarkEnd w:id="1017"/>
    <w:bookmarkEnd w:id="1018"/>
    <w:p w14:paraId="0561DC5D">
      <w:pPr>
        <w:pStyle w:val="3"/>
        <w:rPr>
          <w:color w:val="auto"/>
          <w:highlight w:val="none"/>
        </w:rPr>
      </w:pPr>
      <w:bookmarkStart w:id="1055" w:name="_Toc373227766"/>
      <w:bookmarkStart w:id="1056" w:name="_Toc19501"/>
      <w:bookmarkStart w:id="1057" w:name="_Toc351203648"/>
      <w:bookmarkStart w:id="1058" w:name="_Toc407135269"/>
      <w:bookmarkStart w:id="1059" w:name="_Toc373478413"/>
      <w:bookmarkStart w:id="1060" w:name="_Toc389065331"/>
      <w:bookmarkStart w:id="1061" w:name="_Toc280868717"/>
      <w:bookmarkStart w:id="1062" w:name="_Toc280868718"/>
      <w:r>
        <w:rPr>
          <w:color w:val="auto"/>
          <w:highlight w:val="none"/>
        </w:rPr>
        <w:t xml:space="preserve">16. </w:t>
      </w:r>
      <w:r>
        <w:rPr>
          <w:rFonts w:hint="eastAsia" w:hAnsi="宋体" w:cs="黑体"/>
          <w:color w:val="auto"/>
          <w:highlight w:val="none"/>
        </w:rPr>
        <w:t>违约</w:t>
      </w:r>
      <w:bookmarkEnd w:id="1055"/>
      <w:bookmarkEnd w:id="1056"/>
      <w:bookmarkEnd w:id="1057"/>
      <w:bookmarkEnd w:id="1058"/>
      <w:bookmarkEnd w:id="1059"/>
      <w:bookmarkEnd w:id="1060"/>
    </w:p>
    <w:p w14:paraId="7D4E32C5">
      <w:pPr>
        <w:pStyle w:val="4"/>
        <w:rPr>
          <w:color w:val="auto"/>
          <w:highlight w:val="none"/>
        </w:rPr>
      </w:pPr>
      <w:bookmarkStart w:id="1063" w:name="_Toc32058"/>
      <w:bookmarkStart w:id="1064" w:name="_Toc389065332"/>
      <w:bookmarkStart w:id="1065" w:name="_Toc373227767"/>
      <w:bookmarkStart w:id="1066" w:name="_Toc373478414"/>
      <w:bookmarkStart w:id="1067" w:name="_Toc407135270"/>
      <w:r>
        <w:rPr>
          <w:color w:val="auto"/>
          <w:highlight w:val="none"/>
        </w:rPr>
        <w:t xml:space="preserve">16.1 </w:t>
      </w:r>
      <w:r>
        <w:rPr>
          <w:rFonts w:hint="eastAsia" w:hAnsi="宋体" w:cs="黑体"/>
          <w:color w:val="auto"/>
          <w:highlight w:val="none"/>
        </w:rPr>
        <w:t>发包人违约</w:t>
      </w:r>
      <w:bookmarkEnd w:id="1063"/>
      <w:bookmarkEnd w:id="1064"/>
      <w:bookmarkEnd w:id="1065"/>
      <w:bookmarkEnd w:id="1066"/>
      <w:bookmarkEnd w:id="1067"/>
    </w:p>
    <w:p w14:paraId="5A7C96B1">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1657AAE7">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详见本合同通用条款第 16.1.1 项</w:t>
      </w:r>
      <w:r>
        <w:rPr>
          <w:color w:val="auto"/>
          <w:kern w:val="0"/>
          <w:highlight w:val="none"/>
          <w:u w:val="single"/>
        </w:rPr>
        <w:t xml:space="preserve">  </w:t>
      </w:r>
      <w:r>
        <w:rPr>
          <w:rFonts w:hint="eastAsia" w:hAnsi="宋体" w:cs="宋体"/>
          <w:color w:val="auto"/>
          <w:kern w:val="0"/>
          <w:highlight w:val="none"/>
        </w:rPr>
        <w:t>。</w:t>
      </w:r>
    </w:p>
    <w:p w14:paraId="1667BA6B">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22930411">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1041420B">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color w:val="auto"/>
          <w:kern w:val="0"/>
          <w:highlight w:val="none"/>
          <w:u w:val="single"/>
        </w:rPr>
        <w:t>工程开工日期延误，由发包人承担违约责任，且工期顺延</w:t>
      </w:r>
      <w:r>
        <w:rPr>
          <w:color w:val="auto"/>
          <w:kern w:val="0"/>
          <w:highlight w:val="none"/>
          <w:u w:val="single"/>
        </w:rPr>
        <w:t xml:space="preserve">  </w:t>
      </w:r>
      <w:r>
        <w:rPr>
          <w:rFonts w:hint="eastAsia" w:hAnsi="宋体" w:cs="宋体"/>
          <w:color w:val="auto"/>
          <w:kern w:val="0"/>
          <w:highlight w:val="none"/>
        </w:rPr>
        <w:t>。</w:t>
      </w:r>
    </w:p>
    <w:p w14:paraId="2F90EA79">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 xml:space="preserve">从延误之日起按照 5000 元/日支付违约金，工期顺延 </w:t>
      </w:r>
      <w:r>
        <w:rPr>
          <w:color w:val="auto"/>
          <w:kern w:val="0"/>
          <w:highlight w:val="none"/>
          <w:u w:val="single"/>
        </w:rPr>
        <w:t xml:space="preserve">  </w:t>
      </w:r>
      <w:r>
        <w:rPr>
          <w:rFonts w:hint="eastAsia" w:hAnsi="宋体" w:cs="宋体"/>
          <w:color w:val="auto"/>
          <w:kern w:val="0"/>
          <w:highlight w:val="none"/>
        </w:rPr>
        <w:t>。</w:t>
      </w:r>
    </w:p>
    <w:p w14:paraId="3FD7A50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发包人按发包人自行实施或转由他人实施的工程量结算价的百分之十向承包人支付违约金</w:t>
      </w:r>
      <w:r>
        <w:rPr>
          <w:color w:val="auto"/>
          <w:kern w:val="0"/>
          <w:highlight w:val="none"/>
          <w:u w:val="single"/>
        </w:rPr>
        <w:t xml:space="preserve"> </w:t>
      </w:r>
      <w:r>
        <w:rPr>
          <w:rFonts w:hint="eastAsia" w:hAnsi="宋体" w:cs="宋体"/>
          <w:color w:val="auto"/>
          <w:kern w:val="0"/>
          <w:highlight w:val="none"/>
        </w:rPr>
        <w:t>。</w:t>
      </w:r>
    </w:p>
    <w:p w14:paraId="2353E5D0">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2DAF56F9">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由此造成的工期延期，由发包人承担，且工期顺延</w:t>
      </w:r>
      <w:r>
        <w:rPr>
          <w:color w:val="auto"/>
          <w:kern w:val="0"/>
          <w:highlight w:val="none"/>
          <w:u w:val="single"/>
        </w:rPr>
        <w:t xml:space="preserve"> </w:t>
      </w:r>
      <w:r>
        <w:rPr>
          <w:rFonts w:hint="eastAsia" w:hAnsi="宋体" w:cs="宋体"/>
          <w:color w:val="auto"/>
          <w:kern w:val="0"/>
          <w:highlight w:val="none"/>
        </w:rPr>
        <w:t>。</w:t>
      </w:r>
    </w:p>
    <w:p w14:paraId="499E767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由此造成的工期延期由发包人承担，且向承包人支付工期延期违约金。工期每延期一天的违约金为签约合同价的万分之三，此项违约金的限额为签约合同价的百分之二。承包人因为发包人工期延期造成的损失，由发包人承担</w:t>
      </w:r>
      <w:r>
        <w:rPr>
          <w:color w:val="auto"/>
          <w:kern w:val="0"/>
          <w:highlight w:val="none"/>
          <w:u w:val="single"/>
        </w:rPr>
        <w:t xml:space="preserve">  </w:t>
      </w:r>
      <w:r>
        <w:rPr>
          <w:rFonts w:hint="eastAsia" w:hAnsi="宋体" w:cs="宋体"/>
          <w:color w:val="auto"/>
          <w:kern w:val="0"/>
          <w:highlight w:val="none"/>
        </w:rPr>
        <w:t>。</w:t>
      </w:r>
    </w:p>
    <w:p w14:paraId="539F668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5FA5DE3A">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48AADE2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rPr>
        <w:t>7</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54FFA68C">
      <w:pPr>
        <w:pStyle w:val="4"/>
        <w:rPr>
          <w:color w:val="auto"/>
          <w:highlight w:val="none"/>
        </w:rPr>
      </w:pPr>
      <w:bookmarkStart w:id="1068" w:name="_Toc389065333"/>
      <w:bookmarkStart w:id="1069" w:name="_Toc373478415"/>
      <w:bookmarkStart w:id="1070" w:name="_Toc373227768"/>
      <w:bookmarkStart w:id="1071" w:name="_Toc13160"/>
      <w:bookmarkStart w:id="1072" w:name="_Toc407135271"/>
      <w:r>
        <w:rPr>
          <w:color w:val="auto"/>
          <w:highlight w:val="none"/>
        </w:rPr>
        <w:t xml:space="preserve">16.2 </w:t>
      </w:r>
      <w:r>
        <w:rPr>
          <w:rFonts w:hint="eastAsia" w:hAnsi="宋体" w:cs="黑体"/>
          <w:color w:val="auto"/>
          <w:highlight w:val="none"/>
        </w:rPr>
        <w:t>承包人违约</w:t>
      </w:r>
      <w:bookmarkEnd w:id="1068"/>
      <w:bookmarkEnd w:id="1069"/>
      <w:bookmarkEnd w:id="1070"/>
      <w:bookmarkEnd w:id="1071"/>
      <w:bookmarkEnd w:id="1072"/>
    </w:p>
    <w:p w14:paraId="6551CE97">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3B3C62C5">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详见本合同通用条款第 16.2.1 项</w:t>
      </w:r>
      <w:r>
        <w:rPr>
          <w:color w:val="auto"/>
          <w:kern w:val="0"/>
          <w:highlight w:val="none"/>
          <w:u w:val="single"/>
        </w:rPr>
        <w:t xml:space="preserve"> </w:t>
      </w:r>
      <w:r>
        <w:rPr>
          <w:rFonts w:hint="eastAsia" w:hAnsi="宋体" w:cs="宋体"/>
          <w:color w:val="auto"/>
          <w:kern w:val="0"/>
          <w:highlight w:val="none"/>
        </w:rPr>
        <w:t>。</w:t>
      </w:r>
    </w:p>
    <w:p w14:paraId="4971AD1C">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1F48FF1A">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1776B5D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59EE117">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660D882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7346FA8">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2360BB26">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4CAB29C9">
      <w:pPr>
        <w:spacing w:line="360" w:lineRule="auto"/>
        <w:ind w:firstLine="420" w:firstLineChars="200"/>
        <w:jc w:val="left"/>
        <w:rPr>
          <w:rFonts w:hAnsi="宋体"/>
          <w:color w:val="auto"/>
          <w:kern w:val="0"/>
          <w:highlight w:val="none"/>
        </w:rPr>
      </w:pPr>
      <w:r>
        <w:rPr>
          <w:rFonts w:hint="eastAsia"/>
          <w:color w:val="auto"/>
          <w:kern w:val="0"/>
          <w:highlight w:val="none"/>
          <w:lang w:eastAsia="zh-CN"/>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EC5B03C">
      <w:pPr>
        <w:spacing w:line="360" w:lineRule="auto"/>
        <w:ind w:firstLine="420" w:firstLineChars="200"/>
        <w:jc w:val="left"/>
        <w:rPr>
          <w:rFonts w:hAnsi="宋体"/>
          <w:color w:val="auto"/>
          <w:kern w:val="0"/>
          <w:highlight w:val="none"/>
        </w:rPr>
      </w:pPr>
      <w:r>
        <w:rPr>
          <w:rFonts w:hint="eastAsia"/>
          <w:color w:val="auto"/>
          <w:kern w:val="0"/>
          <w:highlight w:val="none"/>
          <w:lang w:eastAsia="zh-CN"/>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234AB579">
      <w:pPr>
        <w:spacing w:line="360" w:lineRule="auto"/>
        <w:ind w:firstLine="420" w:firstLineChars="200"/>
        <w:jc w:val="left"/>
        <w:rPr>
          <w:rFonts w:hAnsi="宋体"/>
          <w:color w:val="auto"/>
          <w:kern w:val="0"/>
          <w:highlight w:val="none"/>
        </w:rPr>
      </w:pPr>
      <w:r>
        <w:rPr>
          <w:rFonts w:hint="eastAsia"/>
          <w:color w:val="auto"/>
          <w:kern w:val="0"/>
          <w:highlight w:val="none"/>
          <w:lang w:eastAsia="zh-CN"/>
        </w:rPr>
        <w:t>（3）</w:t>
      </w:r>
      <w:r>
        <w:rPr>
          <w:rFonts w:hint="eastAsia" w:hAnsi="宋体" w:cs="宋体"/>
          <w:color w:val="auto"/>
          <w:kern w:val="0"/>
          <w:highlight w:val="none"/>
        </w:rPr>
        <w:t>未经监理人批准，承包人私自将已按投标文件承诺进入工地的工程设备、施工设备、临时工程或材料撤离工地的；</w:t>
      </w:r>
    </w:p>
    <w:p w14:paraId="73884197">
      <w:pPr>
        <w:spacing w:line="360" w:lineRule="auto"/>
        <w:ind w:firstLine="420" w:firstLineChars="200"/>
        <w:jc w:val="left"/>
        <w:rPr>
          <w:color w:val="auto"/>
          <w:kern w:val="0"/>
          <w:highlight w:val="none"/>
        </w:rPr>
      </w:pPr>
      <w:r>
        <w:rPr>
          <w:rFonts w:hint="eastAsia"/>
          <w:color w:val="auto"/>
          <w:kern w:val="0"/>
          <w:highlight w:val="none"/>
          <w:lang w:eastAsia="zh-CN"/>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6F6EAB3E">
      <w:pPr>
        <w:spacing w:line="360" w:lineRule="auto"/>
        <w:ind w:firstLine="420" w:firstLineChars="200"/>
        <w:rPr>
          <w:color w:val="auto"/>
          <w:kern w:val="0"/>
          <w:highlight w:val="none"/>
        </w:rPr>
      </w:pPr>
      <w:r>
        <w:rPr>
          <w:rFonts w:hint="eastAsia"/>
          <w:color w:val="auto"/>
          <w:kern w:val="0"/>
          <w:highlight w:val="none"/>
          <w:lang w:eastAsia="zh-CN"/>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A24BD68">
      <w:pPr>
        <w:spacing w:line="360" w:lineRule="auto"/>
        <w:ind w:firstLine="420" w:firstLineChars="200"/>
        <w:rPr>
          <w:color w:val="auto"/>
          <w:kern w:val="0"/>
          <w:highlight w:val="none"/>
        </w:rPr>
      </w:pPr>
      <w:r>
        <w:rPr>
          <w:rFonts w:hint="eastAsia"/>
          <w:color w:val="auto"/>
          <w:kern w:val="0"/>
          <w:highlight w:val="none"/>
          <w:lang w:eastAsia="zh-CN"/>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48800A92">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由承包人及发包人双方盘点实际数量，按承包人采购价格核算实际价值，并由发包人向承包人支付</w:t>
      </w:r>
      <w:r>
        <w:rPr>
          <w:color w:val="auto"/>
          <w:kern w:val="0"/>
          <w:highlight w:val="none"/>
          <w:u w:val="single"/>
        </w:rPr>
        <w:t xml:space="preserve"> </w:t>
      </w:r>
      <w:r>
        <w:rPr>
          <w:rFonts w:hint="eastAsia" w:hAnsi="宋体" w:cs="宋体"/>
          <w:color w:val="auto"/>
          <w:kern w:val="0"/>
          <w:highlight w:val="none"/>
        </w:rPr>
        <w:t>。</w:t>
      </w:r>
    </w:p>
    <w:p w14:paraId="32047572">
      <w:pPr>
        <w:pStyle w:val="3"/>
        <w:rPr>
          <w:color w:val="auto"/>
          <w:highlight w:val="none"/>
        </w:rPr>
      </w:pPr>
      <w:bookmarkStart w:id="1073" w:name="_Toc389065334"/>
      <w:bookmarkStart w:id="1074" w:name="_Toc407135272"/>
      <w:bookmarkStart w:id="1075" w:name="_Toc6609"/>
      <w:bookmarkStart w:id="1076" w:name="_Toc351203649"/>
      <w:bookmarkStart w:id="1077" w:name="_Toc373227769"/>
      <w:bookmarkStart w:id="1078" w:name="_Toc373478416"/>
      <w:r>
        <w:rPr>
          <w:color w:val="auto"/>
          <w:highlight w:val="none"/>
        </w:rPr>
        <w:t xml:space="preserve">17. </w:t>
      </w:r>
      <w:r>
        <w:rPr>
          <w:rFonts w:hint="eastAsia" w:hAnsi="宋体" w:cs="黑体"/>
          <w:color w:val="auto"/>
          <w:highlight w:val="none"/>
        </w:rPr>
        <w:t>不可抗力</w:t>
      </w:r>
      <w:bookmarkEnd w:id="1073"/>
      <w:bookmarkEnd w:id="1074"/>
      <w:bookmarkEnd w:id="1075"/>
      <w:bookmarkEnd w:id="1076"/>
      <w:bookmarkEnd w:id="1077"/>
      <w:bookmarkEnd w:id="1078"/>
      <w:r>
        <w:rPr>
          <w:color w:val="auto"/>
          <w:highlight w:val="none"/>
        </w:rPr>
        <w:t xml:space="preserve"> </w:t>
      </w:r>
      <w:bookmarkEnd w:id="1061"/>
    </w:p>
    <w:p w14:paraId="4F42EFCD">
      <w:pPr>
        <w:pStyle w:val="4"/>
        <w:rPr>
          <w:color w:val="auto"/>
          <w:highlight w:val="none"/>
        </w:rPr>
      </w:pPr>
      <w:bookmarkStart w:id="1079" w:name="_Toc389065335"/>
      <w:bookmarkStart w:id="1080" w:name="_Toc407135273"/>
      <w:bookmarkStart w:id="1081" w:name="_Toc23789"/>
      <w:bookmarkStart w:id="1082" w:name="_Toc373478417"/>
      <w:bookmarkStart w:id="1083" w:name="_Toc373227770"/>
      <w:r>
        <w:rPr>
          <w:color w:val="auto"/>
          <w:highlight w:val="none"/>
        </w:rPr>
        <w:t xml:space="preserve">17.1 </w:t>
      </w:r>
      <w:r>
        <w:rPr>
          <w:rFonts w:hint="eastAsia" w:cs="黑体"/>
          <w:color w:val="auto"/>
          <w:highlight w:val="none"/>
        </w:rPr>
        <w:t>不可抗力的确认</w:t>
      </w:r>
      <w:bookmarkEnd w:id="1079"/>
      <w:bookmarkEnd w:id="1080"/>
      <w:bookmarkEnd w:id="1081"/>
      <w:bookmarkEnd w:id="1082"/>
      <w:bookmarkEnd w:id="1083"/>
    </w:p>
    <w:p w14:paraId="2F47B3DC">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1、（6）级以上的地震；2、（10）级以上的持续（3）天的大风；3、日降雨量大于50mm的雨日超过1天</w:t>
      </w:r>
      <w:r>
        <w:rPr>
          <w:rFonts w:hint="eastAsia"/>
          <w:color w:val="auto"/>
          <w:kern w:val="0"/>
          <w:highlight w:val="none"/>
          <w:u w:val="single"/>
          <w:lang w:eastAsia="zh-CN"/>
        </w:rPr>
        <w:t>；</w:t>
      </w:r>
      <w:r>
        <w:rPr>
          <w:rFonts w:hint="eastAsia"/>
          <w:color w:val="auto"/>
          <w:kern w:val="0"/>
          <w:highlight w:val="none"/>
          <w:u w:val="single"/>
        </w:rPr>
        <w:t>4、（50）年以上未发生过，持续（3）天的高温天气；5、（50）年以上未发生过，持续（3）天的严寒天气；6、（50）年以上未发生过的洪水。</w:t>
      </w:r>
      <w:r>
        <w:rPr>
          <w:color w:val="auto"/>
          <w:kern w:val="0"/>
          <w:highlight w:val="none"/>
          <w:u w:val="single"/>
        </w:rPr>
        <w:t xml:space="preserve"> </w:t>
      </w:r>
      <w:r>
        <w:rPr>
          <w:rFonts w:hint="eastAsia" w:hAnsi="宋体" w:cs="宋体"/>
          <w:color w:val="auto"/>
          <w:kern w:val="0"/>
          <w:highlight w:val="none"/>
        </w:rPr>
        <w:t>。</w:t>
      </w:r>
    </w:p>
    <w:p w14:paraId="45792786">
      <w:pPr>
        <w:pStyle w:val="4"/>
        <w:rPr>
          <w:color w:val="auto"/>
          <w:highlight w:val="none"/>
        </w:rPr>
      </w:pPr>
      <w:bookmarkStart w:id="1084" w:name="_Toc373478418"/>
      <w:bookmarkStart w:id="1085" w:name="_Toc389065336"/>
      <w:bookmarkStart w:id="1086" w:name="_Toc15617"/>
      <w:bookmarkStart w:id="1087" w:name="_Toc407135274"/>
      <w:bookmarkStart w:id="1088" w:name="_Toc373227771"/>
      <w:r>
        <w:rPr>
          <w:color w:val="auto"/>
          <w:highlight w:val="none"/>
        </w:rPr>
        <w:t xml:space="preserve">17.4 </w:t>
      </w:r>
      <w:r>
        <w:rPr>
          <w:rFonts w:hint="eastAsia" w:cs="黑体"/>
          <w:color w:val="auto"/>
          <w:highlight w:val="none"/>
        </w:rPr>
        <w:t>因不可抗力解除合同</w:t>
      </w:r>
      <w:bookmarkEnd w:id="1084"/>
      <w:bookmarkEnd w:id="1085"/>
      <w:bookmarkEnd w:id="1086"/>
      <w:bookmarkEnd w:id="1087"/>
      <w:bookmarkEnd w:id="1088"/>
    </w:p>
    <w:p w14:paraId="1D903632">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30</w:t>
      </w:r>
      <w:r>
        <w:rPr>
          <w:color w:val="auto"/>
          <w:highlight w:val="none"/>
          <w:u w:val="single"/>
        </w:rPr>
        <w:t xml:space="preserve">  </w:t>
      </w:r>
      <w:r>
        <w:rPr>
          <w:rFonts w:hint="eastAsia" w:hAnsi="宋体" w:cs="宋体"/>
          <w:color w:val="auto"/>
          <w:highlight w:val="none"/>
        </w:rPr>
        <w:t>天内完成款项的支付。</w:t>
      </w:r>
    </w:p>
    <w:p w14:paraId="32816A14">
      <w:pPr>
        <w:pStyle w:val="3"/>
        <w:rPr>
          <w:color w:val="auto"/>
          <w:highlight w:val="none"/>
        </w:rPr>
      </w:pPr>
      <w:bookmarkStart w:id="1089" w:name="_Toc407135275"/>
      <w:bookmarkStart w:id="1090" w:name="_Toc351203650"/>
      <w:bookmarkStart w:id="1091" w:name="_Toc373478419"/>
      <w:bookmarkStart w:id="1092" w:name="_Toc15167"/>
      <w:bookmarkStart w:id="1093" w:name="_Toc373227772"/>
      <w:bookmarkStart w:id="1094" w:name="_Toc389065337"/>
      <w:r>
        <w:rPr>
          <w:color w:val="auto"/>
          <w:highlight w:val="none"/>
        </w:rPr>
        <w:t xml:space="preserve">18. </w:t>
      </w:r>
      <w:r>
        <w:rPr>
          <w:rFonts w:hint="eastAsia" w:hAnsi="宋体" w:cs="黑体"/>
          <w:color w:val="auto"/>
          <w:highlight w:val="none"/>
        </w:rPr>
        <w:t>保险</w:t>
      </w:r>
      <w:bookmarkEnd w:id="1089"/>
      <w:bookmarkEnd w:id="1090"/>
      <w:bookmarkEnd w:id="1091"/>
      <w:bookmarkEnd w:id="1092"/>
      <w:bookmarkEnd w:id="1093"/>
      <w:bookmarkEnd w:id="1094"/>
    </w:p>
    <w:bookmarkEnd w:id="1062"/>
    <w:p w14:paraId="264F6E4C">
      <w:pPr>
        <w:pStyle w:val="4"/>
        <w:rPr>
          <w:color w:val="auto"/>
          <w:highlight w:val="none"/>
        </w:rPr>
      </w:pPr>
      <w:bookmarkStart w:id="1095" w:name="_Toc373478420"/>
      <w:bookmarkStart w:id="1096" w:name="_Toc389065338"/>
      <w:bookmarkStart w:id="1097" w:name="_Toc21764"/>
      <w:bookmarkStart w:id="1098" w:name="_Toc407135276"/>
      <w:bookmarkStart w:id="1099" w:name="_Toc373227773"/>
      <w:r>
        <w:rPr>
          <w:color w:val="auto"/>
          <w:highlight w:val="none"/>
        </w:rPr>
        <w:t xml:space="preserve">18.1 </w:t>
      </w:r>
      <w:r>
        <w:rPr>
          <w:rFonts w:hint="eastAsia" w:hAnsi="宋体" w:cs="黑体"/>
          <w:color w:val="auto"/>
          <w:highlight w:val="none"/>
        </w:rPr>
        <w:t>工程保险</w:t>
      </w:r>
      <w:bookmarkEnd w:id="1095"/>
      <w:bookmarkEnd w:id="1096"/>
      <w:bookmarkEnd w:id="1097"/>
      <w:bookmarkEnd w:id="1098"/>
      <w:bookmarkEnd w:id="1099"/>
    </w:p>
    <w:p w14:paraId="5A575197">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承包人必须到</w:t>
      </w:r>
      <w:r>
        <w:rPr>
          <w:rFonts w:hint="eastAsia"/>
          <w:color w:val="auto"/>
          <w:kern w:val="0"/>
          <w:highlight w:val="none"/>
          <w:u w:val="single"/>
          <w:lang w:val="en-US" w:eastAsia="zh-CN"/>
        </w:rPr>
        <w:t>陆川县</w:t>
      </w:r>
      <w:r>
        <w:rPr>
          <w:rFonts w:hint="eastAsia" w:ascii="Times New Roman" w:hAnsi="Times New Roman" w:eastAsia="宋体" w:cs="Times New Roman"/>
          <w:color w:val="auto"/>
          <w:kern w:val="0"/>
          <w:highlight w:val="none"/>
          <w:u w:val="single"/>
        </w:rPr>
        <w:t>社会保障局为</w:t>
      </w:r>
      <w:r>
        <w:rPr>
          <w:rFonts w:hint="eastAsia"/>
          <w:color w:val="auto"/>
          <w:kern w:val="0"/>
          <w:highlight w:val="none"/>
          <w:u w:val="single"/>
        </w:rPr>
        <w:t xml:space="preserve">其施工现场的全部作业人员办理工伤保险并支付保险费，费用含在合同总价内 </w:t>
      </w:r>
      <w:r>
        <w:rPr>
          <w:color w:val="auto"/>
          <w:kern w:val="0"/>
          <w:highlight w:val="none"/>
          <w:u w:val="single"/>
        </w:rPr>
        <w:t xml:space="preserve">   </w:t>
      </w:r>
      <w:r>
        <w:rPr>
          <w:rFonts w:hint="eastAsia" w:hAnsi="宋体" w:cs="宋体"/>
          <w:color w:val="auto"/>
          <w:kern w:val="0"/>
          <w:highlight w:val="none"/>
        </w:rPr>
        <w:t>。</w:t>
      </w:r>
    </w:p>
    <w:p w14:paraId="3C53221F">
      <w:pPr>
        <w:pStyle w:val="4"/>
        <w:rPr>
          <w:color w:val="auto"/>
          <w:highlight w:val="none"/>
        </w:rPr>
      </w:pPr>
      <w:bookmarkStart w:id="1100" w:name="_Toc14953"/>
      <w:bookmarkStart w:id="1101" w:name="_Toc389065339"/>
      <w:bookmarkStart w:id="1102" w:name="_Toc373478421"/>
      <w:bookmarkStart w:id="1103" w:name="_Toc407135277"/>
      <w:bookmarkStart w:id="1104" w:name="_Toc373227774"/>
      <w:r>
        <w:rPr>
          <w:color w:val="auto"/>
          <w:highlight w:val="none"/>
        </w:rPr>
        <w:t xml:space="preserve">18.3 </w:t>
      </w:r>
      <w:r>
        <w:rPr>
          <w:rFonts w:hint="eastAsia" w:hAnsi="宋体" w:cs="黑体"/>
          <w:color w:val="auto"/>
          <w:highlight w:val="none"/>
        </w:rPr>
        <w:t>其他保险</w:t>
      </w:r>
      <w:bookmarkEnd w:id="1100"/>
      <w:bookmarkEnd w:id="1101"/>
      <w:bookmarkEnd w:id="1102"/>
      <w:bookmarkEnd w:id="1103"/>
      <w:bookmarkEnd w:id="1104"/>
    </w:p>
    <w:p w14:paraId="2B7F28ED">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 xml:space="preserve"> / </w:t>
      </w:r>
      <w:r>
        <w:rPr>
          <w:rFonts w:hAnsi="宋体"/>
          <w:color w:val="auto"/>
          <w:highlight w:val="none"/>
          <w:u w:val="single"/>
        </w:rPr>
        <w:t xml:space="preserve">  </w:t>
      </w:r>
      <w:r>
        <w:rPr>
          <w:rFonts w:hint="eastAsia" w:hAnsi="宋体" w:cs="宋体"/>
          <w:color w:val="auto"/>
          <w:highlight w:val="none"/>
        </w:rPr>
        <w:t>。</w:t>
      </w:r>
    </w:p>
    <w:p w14:paraId="765EB539">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 xml:space="preserve">由承包人自行决定是否投保 </w:t>
      </w:r>
      <w:r>
        <w:rPr>
          <w:color w:val="auto"/>
          <w:highlight w:val="none"/>
          <w:u w:val="single"/>
        </w:rPr>
        <w:t xml:space="preserve">    </w:t>
      </w:r>
      <w:r>
        <w:rPr>
          <w:rFonts w:hint="eastAsia" w:hAnsi="宋体" w:cs="宋体"/>
          <w:color w:val="auto"/>
          <w:highlight w:val="none"/>
        </w:rPr>
        <w:t>。</w:t>
      </w:r>
    </w:p>
    <w:p w14:paraId="33A3BF78">
      <w:pPr>
        <w:pStyle w:val="4"/>
        <w:rPr>
          <w:color w:val="auto"/>
          <w:highlight w:val="none"/>
        </w:rPr>
      </w:pPr>
      <w:bookmarkStart w:id="1105" w:name="_Toc373478422"/>
      <w:bookmarkStart w:id="1106" w:name="_Toc373227775"/>
      <w:bookmarkStart w:id="1107" w:name="_Toc407135278"/>
      <w:bookmarkStart w:id="1108" w:name="_Toc24972"/>
      <w:bookmarkStart w:id="1109" w:name="_Toc389065340"/>
      <w:r>
        <w:rPr>
          <w:color w:val="auto"/>
          <w:highlight w:val="none"/>
        </w:rPr>
        <w:t xml:space="preserve">18.7 </w:t>
      </w:r>
      <w:r>
        <w:rPr>
          <w:rFonts w:hint="eastAsia" w:hAnsi="宋体" w:cs="黑体"/>
          <w:color w:val="auto"/>
          <w:highlight w:val="none"/>
        </w:rPr>
        <w:t>通知义务</w:t>
      </w:r>
      <w:bookmarkEnd w:id="1105"/>
      <w:bookmarkEnd w:id="1106"/>
      <w:bookmarkEnd w:id="1107"/>
      <w:bookmarkEnd w:id="1108"/>
      <w:bookmarkEnd w:id="1109"/>
    </w:p>
    <w:p w14:paraId="7DEA11F0">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由承包人自行决定是否投保</w:t>
      </w:r>
      <w:r>
        <w:rPr>
          <w:color w:val="auto"/>
          <w:highlight w:val="none"/>
          <w:u w:val="single"/>
        </w:rPr>
        <w:t xml:space="preserve">       </w:t>
      </w:r>
      <w:r>
        <w:rPr>
          <w:rFonts w:hint="eastAsia" w:hAnsi="宋体" w:cs="宋体"/>
          <w:color w:val="auto"/>
          <w:highlight w:val="none"/>
        </w:rPr>
        <w:t>。</w:t>
      </w:r>
    </w:p>
    <w:bookmarkEnd w:id="1019"/>
    <w:bookmarkEnd w:id="1020"/>
    <w:bookmarkEnd w:id="1021"/>
    <w:bookmarkEnd w:id="1022"/>
    <w:bookmarkEnd w:id="1023"/>
    <w:bookmarkEnd w:id="1024"/>
    <w:bookmarkEnd w:id="1025"/>
    <w:bookmarkEnd w:id="1026"/>
    <w:bookmarkEnd w:id="1027"/>
    <w:bookmarkEnd w:id="1028"/>
    <w:bookmarkEnd w:id="1029"/>
    <w:bookmarkEnd w:id="1030"/>
    <w:p w14:paraId="44B99507">
      <w:pPr>
        <w:pStyle w:val="3"/>
        <w:rPr>
          <w:color w:val="auto"/>
          <w:highlight w:val="none"/>
        </w:rPr>
      </w:pPr>
      <w:bookmarkStart w:id="1110" w:name="_Toc22496"/>
      <w:bookmarkStart w:id="1111" w:name="_Toc373227776"/>
      <w:bookmarkStart w:id="1112" w:name="_Toc373478423"/>
      <w:bookmarkStart w:id="1113" w:name="_Toc389065341"/>
      <w:bookmarkStart w:id="1114" w:name="_Toc407135279"/>
      <w:bookmarkStart w:id="1115" w:name="_Toc351203651"/>
      <w:r>
        <w:rPr>
          <w:color w:val="auto"/>
          <w:highlight w:val="none"/>
        </w:rPr>
        <w:t xml:space="preserve">20. </w:t>
      </w:r>
      <w:r>
        <w:rPr>
          <w:rFonts w:hint="eastAsia" w:hAnsi="宋体" w:cs="黑体"/>
          <w:color w:val="auto"/>
          <w:highlight w:val="none"/>
        </w:rPr>
        <w:t>争议解决</w:t>
      </w:r>
      <w:bookmarkEnd w:id="1110"/>
      <w:bookmarkEnd w:id="1111"/>
      <w:bookmarkEnd w:id="1112"/>
      <w:bookmarkEnd w:id="1113"/>
      <w:bookmarkEnd w:id="1114"/>
      <w:bookmarkEnd w:id="1115"/>
    </w:p>
    <w:bookmarkEnd w:id="1031"/>
    <w:bookmarkEnd w:id="1032"/>
    <w:p w14:paraId="58C1DB97">
      <w:pPr>
        <w:pStyle w:val="4"/>
        <w:rPr>
          <w:color w:val="auto"/>
          <w:highlight w:val="none"/>
        </w:rPr>
      </w:pPr>
      <w:bookmarkStart w:id="1116" w:name="_Toc373478424"/>
      <w:bookmarkStart w:id="1117" w:name="_Toc407135280"/>
      <w:bookmarkStart w:id="1118" w:name="_Toc373227777"/>
      <w:bookmarkStart w:id="1119" w:name="_Toc389065342"/>
      <w:bookmarkStart w:id="1120" w:name="_Toc7323"/>
      <w:r>
        <w:rPr>
          <w:color w:val="auto"/>
          <w:highlight w:val="none"/>
        </w:rPr>
        <w:t xml:space="preserve">20.3 </w:t>
      </w:r>
      <w:r>
        <w:rPr>
          <w:rFonts w:hint="eastAsia" w:hAnsi="宋体" w:cs="黑体"/>
          <w:color w:val="auto"/>
          <w:highlight w:val="none"/>
        </w:rPr>
        <w:t>争</w:t>
      </w:r>
      <w:bookmarkEnd w:id="1033"/>
      <w:r>
        <w:rPr>
          <w:rFonts w:hint="eastAsia" w:hAnsi="宋体" w:cs="黑体"/>
          <w:color w:val="auto"/>
          <w:highlight w:val="none"/>
        </w:rPr>
        <w:t>议评审</w:t>
      </w:r>
      <w:bookmarkEnd w:id="1116"/>
      <w:bookmarkEnd w:id="1117"/>
      <w:bookmarkEnd w:id="1118"/>
      <w:bookmarkEnd w:id="1119"/>
      <w:bookmarkEnd w:id="1120"/>
    </w:p>
    <w:p w14:paraId="08BD4E67">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由双方另行协商</w:t>
      </w:r>
      <w:r>
        <w:rPr>
          <w:color w:val="auto"/>
          <w:highlight w:val="none"/>
          <w:u w:val="single"/>
        </w:rPr>
        <w:t xml:space="preserve">   </w:t>
      </w:r>
      <w:r>
        <w:rPr>
          <w:rFonts w:hint="eastAsia" w:hAnsi="宋体" w:cs="宋体"/>
          <w:color w:val="auto"/>
          <w:highlight w:val="none"/>
        </w:rPr>
        <w:t>。</w:t>
      </w:r>
    </w:p>
    <w:p w14:paraId="33B90B9B">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1F616132">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6679CC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48CDB25">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AB34BEA">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3870C3B">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298D8E6">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7C9A4B4">
      <w:pPr>
        <w:pStyle w:val="4"/>
        <w:rPr>
          <w:color w:val="auto"/>
          <w:highlight w:val="none"/>
        </w:rPr>
      </w:pPr>
      <w:bookmarkStart w:id="1121" w:name="_Toc22134"/>
      <w:bookmarkStart w:id="1122" w:name="_Toc373478425"/>
      <w:bookmarkStart w:id="1123" w:name="_Toc407135281"/>
      <w:bookmarkStart w:id="1124" w:name="_Toc389065343"/>
      <w:bookmarkStart w:id="1125" w:name="_Toc373227778"/>
      <w:r>
        <w:rPr>
          <w:color w:val="auto"/>
          <w:highlight w:val="none"/>
        </w:rPr>
        <w:t xml:space="preserve">20.4 </w:t>
      </w:r>
      <w:r>
        <w:rPr>
          <w:rFonts w:hint="eastAsia" w:hAnsi="宋体" w:cs="黑体"/>
          <w:color w:val="auto"/>
          <w:highlight w:val="none"/>
        </w:rPr>
        <w:t>仲裁或诉讼</w:t>
      </w:r>
      <w:bookmarkEnd w:id="1034"/>
      <w:bookmarkEnd w:id="1121"/>
      <w:bookmarkEnd w:id="1122"/>
      <w:bookmarkEnd w:id="1123"/>
      <w:bookmarkEnd w:id="1124"/>
      <w:bookmarkEnd w:id="1125"/>
    </w:p>
    <w:p w14:paraId="3D02928F">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种方式解决：</w:t>
      </w:r>
    </w:p>
    <w:p w14:paraId="346290E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color w:val="auto"/>
          <w:highlight w:val="none"/>
          <w:u w:val="single"/>
        </w:rPr>
        <w:t>玉林市</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B57FC12">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lang w:val="en-US" w:eastAsia="zh-CN"/>
        </w:rPr>
        <w:t>陆川县</w:t>
      </w:r>
      <w:r>
        <w:rPr>
          <w:color w:val="auto"/>
          <w:highlight w:val="none"/>
          <w:u w:val="single"/>
        </w:rPr>
        <w:t xml:space="preserve">   </w:t>
      </w:r>
      <w:r>
        <w:rPr>
          <w:rFonts w:hint="eastAsia" w:hAnsi="宋体" w:cs="宋体"/>
          <w:color w:val="auto"/>
          <w:highlight w:val="none"/>
        </w:rPr>
        <w:t>人民法院起诉。</w:t>
      </w:r>
      <w:bookmarkEnd w:id="1035"/>
      <w:bookmarkEnd w:id="1036"/>
      <w:bookmarkEnd w:id="1037"/>
      <w:bookmarkEnd w:id="1038"/>
      <w:bookmarkEnd w:id="1039"/>
      <w:bookmarkEnd w:id="1040"/>
    </w:p>
    <w:p w14:paraId="118685A0">
      <w:pPr>
        <w:spacing w:line="360" w:lineRule="auto"/>
        <w:ind w:firstLine="480" w:firstLineChars="200"/>
        <w:jc w:val="left"/>
        <w:rPr>
          <w:rFonts w:hint="eastAsia" w:ascii="仿宋_GB2312" w:hAnsi="仿宋_GB2312" w:eastAsia="仿宋_GB2312" w:cs="仿宋_GB2312"/>
          <w:color w:val="auto"/>
          <w:sz w:val="24"/>
          <w:highlight w:val="none"/>
        </w:rPr>
      </w:pPr>
    </w:p>
    <w:p w14:paraId="05D8134C">
      <w:pPr>
        <w:spacing w:line="360" w:lineRule="auto"/>
        <w:jc w:val="left"/>
        <w:rPr>
          <w:rFonts w:eastAsia="黑体"/>
          <w:b/>
          <w:color w:val="auto"/>
          <w:sz w:val="24"/>
          <w:highlight w:val="none"/>
        </w:rPr>
      </w:pPr>
      <w:r>
        <w:rPr>
          <w:rFonts w:eastAsia="仿宋_GB2312"/>
          <w:color w:val="auto"/>
          <w:sz w:val="24"/>
          <w:highlight w:val="none"/>
        </w:rPr>
        <w:br w:type="page"/>
      </w:r>
      <w:bookmarkStart w:id="1126" w:name="_Toc351203652"/>
      <w:r>
        <w:rPr>
          <w:rFonts w:eastAsia="黑体"/>
          <w:b/>
          <w:color w:val="auto"/>
          <w:sz w:val="24"/>
          <w:highlight w:val="none"/>
        </w:rPr>
        <w:t>附件</w:t>
      </w:r>
      <w:bookmarkEnd w:id="1126"/>
    </w:p>
    <w:p w14:paraId="2E46B9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7FE2C615">
      <w:pPr>
        <w:spacing w:line="360" w:lineRule="auto"/>
        <w:jc w:val="left"/>
        <w:outlineLvl w:val="0"/>
        <w:rPr>
          <w:rFonts w:hint="eastAsia" w:ascii="宋体" w:hAnsi="宋体" w:eastAsia="宋体" w:cs="宋体"/>
          <w:color w:val="auto"/>
          <w:sz w:val="21"/>
          <w:szCs w:val="21"/>
          <w:highlight w:val="none"/>
        </w:rPr>
      </w:pPr>
      <w:bookmarkStart w:id="1127" w:name="_Toc13053"/>
      <w:bookmarkStart w:id="1128" w:name="_Toc14634"/>
      <w:bookmarkStart w:id="1129" w:name="_Toc2234"/>
      <w:r>
        <w:rPr>
          <w:rFonts w:hint="eastAsia" w:ascii="宋体" w:hAnsi="宋体" w:eastAsia="宋体" w:cs="宋体"/>
          <w:color w:val="auto"/>
          <w:sz w:val="21"/>
          <w:szCs w:val="21"/>
          <w:highlight w:val="none"/>
        </w:rPr>
        <w:t>附件1：承包人承揽工程项目一览表</w:t>
      </w:r>
      <w:bookmarkEnd w:id="1127"/>
      <w:bookmarkEnd w:id="1128"/>
      <w:bookmarkEnd w:id="1129"/>
    </w:p>
    <w:p w14:paraId="0F007E0F">
      <w:pPr>
        <w:spacing w:line="360" w:lineRule="auto"/>
        <w:jc w:val="left"/>
        <w:outlineLvl w:val="0"/>
        <w:rPr>
          <w:rFonts w:hint="eastAsia" w:ascii="宋体" w:hAnsi="宋体" w:eastAsia="宋体" w:cs="宋体"/>
          <w:color w:val="auto"/>
          <w:sz w:val="21"/>
          <w:szCs w:val="21"/>
          <w:highlight w:val="none"/>
        </w:rPr>
      </w:pPr>
      <w:bookmarkStart w:id="1130" w:name="_Toc31659"/>
      <w:bookmarkStart w:id="1131" w:name="_Toc28194"/>
      <w:bookmarkStart w:id="1132" w:name="_Toc25420"/>
      <w:r>
        <w:rPr>
          <w:rFonts w:hint="eastAsia" w:ascii="宋体" w:hAnsi="宋体" w:eastAsia="宋体" w:cs="宋体"/>
          <w:color w:val="auto"/>
          <w:sz w:val="21"/>
          <w:szCs w:val="21"/>
          <w:highlight w:val="none"/>
        </w:rPr>
        <w:t>附件2：工程质量保修书</w:t>
      </w:r>
      <w:bookmarkEnd w:id="1130"/>
      <w:bookmarkEnd w:id="1131"/>
      <w:bookmarkEnd w:id="1132"/>
    </w:p>
    <w:p w14:paraId="10494DD9">
      <w:pPr>
        <w:spacing w:line="360" w:lineRule="auto"/>
        <w:jc w:val="left"/>
        <w:outlineLvl w:val="0"/>
        <w:rPr>
          <w:rFonts w:hint="eastAsia" w:ascii="宋体" w:hAnsi="宋体" w:eastAsia="宋体" w:cs="宋体"/>
          <w:color w:val="auto"/>
          <w:sz w:val="21"/>
          <w:szCs w:val="21"/>
          <w:highlight w:val="none"/>
        </w:rPr>
      </w:pPr>
      <w:bookmarkStart w:id="1133" w:name="_Toc21670"/>
      <w:bookmarkStart w:id="1134" w:name="_Toc598"/>
      <w:bookmarkStart w:id="1135" w:name="_Toc22089"/>
      <w:r>
        <w:rPr>
          <w:rFonts w:hint="eastAsia" w:ascii="宋体" w:hAnsi="宋体" w:eastAsia="宋体" w:cs="宋体"/>
          <w:color w:val="auto"/>
          <w:sz w:val="21"/>
          <w:szCs w:val="21"/>
          <w:highlight w:val="none"/>
        </w:rPr>
        <w:t>附件3：主要建设工程文件目录</w:t>
      </w:r>
      <w:bookmarkEnd w:id="1133"/>
      <w:bookmarkEnd w:id="1134"/>
      <w:bookmarkEnd w:id="1135"/>
    </w:p>
    <w:p w14:paraId="75FCFC1C">
      <w:pPr>
        <w:spacing w:line="360" w:lineRule="auto"/>
        <w:jc w:val="left"/>
        <w:outlineLvl w:val="0"/>
        <w:rPr>
          <w:rFonts w:hint="eastAsia" w:ascii="宋体" w:hAnsi="宋体" w:eastAsia="宋体" w:cs="宋体"/>
          <w:color w:val="auto"/>
          <w:sz w:val="21"/>
          <w:szCs w:val="21"/>
          <w:highlight w:val="none"/>
        </w:rPr>
      </w:pPr>
      <w:bookmarkStart w:id="1136" w:name="_Toc18392"/>
      <w:bookmarkStart w:id="1137" w:name="_Toc19261"/>
      <w:bookmarkStart w:id="1138" w:name="_Toc21252"/>
      <w:r>
        <w:rPr>
          <w:rFonts w:hint="eastAsia" w:ascii="宋体" w:hAnsi="宋体" w:eastAsia="宋体" w:cs="宋体"/>
          <w:color w:val="auto"/>
          <w:sz w:val="21"/>
          <w:szCs w:val="21"/>
          <w:highlight w:val="none"/>
        </w:rPr>
        <w:t>附件4：承包人用于本工程施工的机械设备表</w:t>
      </w:r>
      <w:bookmarkEnd w:id="1136"/>
      <w:bookmarkEnd w:id="1137"/>
      <w:bookmarkEnd w:id="1138"/>
    </w:p>
    <w:p w14:paraId="6234D391">
      <w:pPr>
        <w:spacing w:line="360" w:lineRule="auto"/>
        <w:jc w:val="left"/>
        <w:outlineLvl w:val="0"/>
        <w:rPr>
          <w:rFonts w:hint="eastAsia" w:ascii="宋体" w:hAnsi="宋体" w:eastAsia="宋体" w:cs="宋体"/>
          <w:color w:val="auto"/>
          <w:sz w:val="21"/>
          <w:szCs w:val="21"/>
          <w:highlight w:val="none"/>
        </w:rPr>
      </w:pPr>
      <w:bookmarkStart w:id="1139" w:name="_Toc24202"/>
      <w:bookmarkStart w:id="1140" w:name="_Toc31025"/>
      <w:bookmarkStart w:id="1141" w:name="_Toc23659"/>
      <w:r>
        <w:rPr>
          <w:rFonts w:hint="eastAsia" w:ascii="宋体" w:hAnsi="宋体" w:eastAsia="宋体" w:cs="宋体"/>
          <w:color w:val="auto"/>
          <w:sz w:val="21"/>
          <w:szCs w:val="21"/>
          <w:highlight w:val="none"/>
        </w:rPr>
        <w:t>附件5：承包人主要施工管理人员表</w:t>
      </w:r>
      <w:bookmarkEnd w:id="1139"/>
      <w:bookmarkEnd w:id="1140"/>
      <w:bookmarkEnd w:id="1141"/>
    </w:p>
    <w:p w14:paraId="37AB1E5C">
      <w:pPr>
        <w:spacing w:line="360" w:lineRule="auto"/>
        <w:jc w:val="left"/>
        <w:rPr>
          <w:rFonts w:eastAsia="仿宋_GB2312"/>
          <w:color w:val="auto"/>
          <w:sz w:val="24"/>
          <w:highlight w:val="none"/>
        </w:rPr>
      </w:pPr>
    </w:p>
    <w:p w14:paraId="29F66E63">
      <w:pPr>
        <w:spacing w:line="360" w:lineRule="auto"/>
        <w:jc w:val="left"/>
        <w:rPr>
          <w:rFonts w:eastAsia="仿宋_GB2312"/>
          <w:color w:val="auto"/>
          <w:sz w:val="30"/>
          <w:szCs w:val="32"/>
          <w:highlight w:val="none"/>
        </w:rPr>
      </w:pPr>
    </w:p>
    <w:p w14:paraId="705C38A6">
      <w:pPr>
        <w:spacing w:line="360" w:lineRule="auto"/>
        <w:jc w:val="left"/>
        <w:rPr>
          <w:rFonts w:eastAsia="仿宋_GB2312"/>
          <w:color w:val="auto"/>
          <w:sz w:val="30"/>
          <w:szCs w:val="32"/>
          <w:highlight w:val="none"/>
        </w:rPr>
      </w:pPr>
    </w:p>
    <w:p w14:paraId="57F06C98">
      <w:pPr>
        <w:spacing w:line="360" w:lineRule="auto"/>
        <w:jc w:val="left"/>
        <w:rPr>
          <w:rFonts w:eastAsia="仿宋_GB2312"/>
          <w:color w:val="auto"/>
          <w:sz w:val="30"/>
          <w:szCs w:val="32"/>
          <w:highlight w:val="none"/>
        </w:rPr>
      </w:pPr>
    </w:p>
    <w:p w14:paraId="79C78D31">
      <w:pPr>
        <w:spacing w:line="360" w:lineRule="auto"/>
        <w:jc w:val="left"/>
        <w:rPr>
          <w:rFonts w:eastAsia="黑体"/>
          <w:color w:val="auto"/>
          <w:sz w:val="30"/>
          <w:szCs w:val="30"/>
          <w:highlight w:val="none"/>
        </w:rPr>
        <w:sectPr>
          <w:footerReference r:id="rId13" w:type="first"/>
          <w:footerReference r:id="rId12" w:type="default"/>
          <w:pgSz w:w="11906" w:h="16838"/>
          <w:pgMar w:top="1134" w:right="1134" w:bottom="1134" w:left="1134" w:header="720" w:footer="992" w:gutter="0"/>
          <w:pgNumType w:fmt="decimal"/>
          <w:cols w:space="720" w:num="1"/>
          <w:titlePg/>
          <w:docGrid w:type="lines" w:linePitch="312" w:charSpace="0"/>
        </w:sectPr>
      </w:pPr>
    </w:p>
    <w:p w14:paraId="6082979D">
      <w:pPr>
        <w:spacing w:before="156" w:beforeLines="50" w:after="156" w:afterLines="50" w:line="440" w:lineRule="exact"/>
        <w:jc w:val="left"/>
        <w:outlineLvl w:val="0"/>
        <w:rPr>
          <w:rFonts w:hint="eastAsia" w:ascii="仿宋_GB2312" w:eastAsia="仿宋_GB2312"/>
          <w:color w:val="auto"/>
          <w:sz w:val="30"/>
          <w:szCs w:val="30"/>
          <w:highlight w:val="none"/>
        </w:rPr>
      </w:pPr>
      <w:bookmarkStart w:id="1142" w:name="_Toc7540"/>
      <w:bookmarkStart w:id="1143" w:name="_Toc4855"/>
      <w:bookmarkStart w:id="1144" w:name="_Toc25163"/>
      <w:r>
        <w:rPr>
          <w:rFonts w:hint="eastAsia" w:ascii="仿宋_GB2312" w:eastAsia="仿宋_GB2312"/>
          <w:color w:val="auto"/>
          <w:sz w:val="30"/>
          <w:szCs w:val="30"/>
          <w:highlight w:val="none"/>
        </w:rPr>
        <w:t>附件1：</w:t>
      </w:r>
      <w:bookmarkEnd w:id="1142"/>
      <w:bookmarkEnd w:id="1143"/>
      <w:bookmarkEnd w:id="1144"/>
    </w:p>
    <w:p w14:paraId="30DDCD62">
      <w:pPr>
        <w:spacing w:before="156" w:beforeLines="50" w:after="156" w:afterLines="50" w:line="440" w:lineRule="exact"/>
        <w:jc w:val="center"/>
        <w:rPr>
          <w:rFonts w:hint="eastAsia" w:eastAsia="黑体"/>
          <w:color w:val="auto"/>
          <w:sz w:val="30"/>
          <w:szCs w:val="30"/>
          <w:highlight w:val="none"/>
        </w:rPr>
      </w:pPr>
      <w:r>
        <w:rPr>
          <w:rFonts w:eastAsia="黑体"/>
          <w:color w:val="auto"/>
          <w:sz w:val="30"/>
          <w:szCs w:val="30"/>
          <w:highlight w:val="none"/>
        </w:rPr>
        <w:t>承包人承揽工程项目一览表</w:t>
      </w:r>
    </w:p>
    <w:tbl>
      <w:tblPr>
        <w:tblStyle w:val="2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D95F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61B2C5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单位工程名称</w:t>
            </w:r>
          </w:p>
        </w:tc>
        <w:tc>
          <w:tcPr>
            <w:tcW w:w="1843" w:type="dxa"/>
            <w:tcBorders>
              <w:top w:val="single" w:color="auto" w:sz="12" w:space="0"/>
              <w:bottom w:val="double" w:color="auto" w:sz="6" w:space="0"/>
            </w:tcBorders>
            <w:noWrap w:val="0"/>
            <w:vAlign w:val="center"/>
          </w:tcPr>
          <w:p w14:paraId="58C69B2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建设规模</w:t>
            </w:r>
          </w:p>
        </w:tc>
        <w:tc>
          <w:tcPr>
            <w:tcW w:w="1417" w:type="dxa"/>
            <w:tcBorders>
              <w:top w:val="single" w:color="auto" w:sz="12" w:space="0"/>
              <w:bottom w:val="double" w:color="auto" w:sz="6" w:space="0"/>
            </w:tcBorders>
            <w:noWrap w:val="0"/>
            <w:vAlign w:val="center"/>
          </w:tcPr>
          <w:p w14:paraId="2AF46AD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建筑面积</w:t>
            </w:r>
            <w:r>
              <w:rPr>
                <w:rFonts w:hint="eastAsia" w:eastAsia="仿宋_GB2312"/>
                <w:color w:val="auto"/>
                <w:sz w:val="28"/>
                <w:szCs w:val="30"/>
                <w:highlight w:val="none"/>
                <w:lang w:eastAsia="zh-CN"/>
              </w:rPr>
              <w:t>（</w:t>
            </w:r>
            <w:r>
              <w:rPr>
                <w:rFonts w:eastAsia="仿宋_GB2312"/>
                <w:color w:val="auto"/>
                <w:sz w:val="28"/>
                <w:szCs w:val="30"/>
                <w:highlight w:val="none"/>
              </w:rPr>
              <w:t>平方米</w:t>
            </w:r>
            <w:r>
              <w:rPr>
                <w:rFonts w:hint="eastAsia" w:eastAsia="仿宋_GB2312"/>
                <w:color w:val="auto"/>
                <w:sz w:val="28"/>
                <w:szCs w:val="30"/>
                <w:highlight w:val="none"/>
                <w:lang w:eastAsia="zh-CN"/>
              </w:rPr>
              <w:t>）</w:t>
            </w:r>
          </w:p>
        </w:tc>
        <w:tc>
          <w:tcPr>
            <w:tcW w:w="2410" w:type="dxa"/>
            <w:tcBorders>
              <w:top w:val="single" w:color="auto" w:sz="12" w:space="0"/>
              <w:bottom w:val="double" w:color="auto" w:sz="6" w:space="0"/>
            </w:tcBorders>
            <w:noWrap w:val="0"/>
            <w:vAlign w:val="center"/>
          </w:tcPr>
          <w:p w14:paraId="210E57A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结构</w:t>
            </w:r>
            <w:r>
              <w:rPr>
                <w:rFonts w:hint="eastAsia" w:eastAsia="仿宋_GB2312"/>
                <w:color w:val="auto"/>
                <w:sz w:val="28"/>
                <w:szCs w:val="30"/>
                <w:highlight w:val="none"/>
              </w:rPr>
              <w:t>形式</w:t>
            </w:r>
          </w:p>
        </w:tc>
        <w:tc>
          <w:tcPr>
            <w:tcW w:w="850" w:type="dxa"/>
            <w:tcBorders>
              <w:top w:val="single" w:color="auto" w:sz="12" w:space="0"/>
              <w:bottom w:val="double" w:color="auto" w:sz="6" w:space="0"/>
            </w:tcBorders>
            <w:noWrap w:val="0"/>
            <w:vAlign w:val="center"/>
          </w:tcPr>
          <w:p w14:paraId="2E622F3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层数</w:t>
            </w:r>
          </w:p>
        </w:tc>
        <w:tc>
          <w:tcPr>
            <w:tcW w:w="1560" w:type="dxa"/>
            <w:tcBorders>
              <w:top w:val="single" w:color="auto" w:sz="12" w:space="0"/>
              <w:bottom w:val="double" w:color="auto" w:sz="6" w:space="0"/>
            </w:tcBorders>
            <w:noWrap w:val="0"/>
            <w:vAlign w:val="center"/>
          </w:tcPr>
          <w:p w14:paraId="4048005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2126" w:type="dxa"/>
            <w:tcBorders>
              <w:top w:val="single" w:color="auto" w:sz="12" w:space="0"/>
              <w:bottom w:val="double" w:color="auto" w:sz="6" w:space="0"/>
            </w:tcBorders>
            <w:noWrap w:val="0"/>
            <w:vAlign w:val="center"/>
          </w:tcPr>
          <w:p w14:paraId="2A900C7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设备安装内容</w:t>
            </w:r>
          </w:p>
        </w:tc>
        <w:tc>
          <w:tcPr>
            <w:tcW w:w="1417" w:type="dxa"/>
            <w:tcBorders>
              <w:top w:val="single" w:color="auto" w:sz="12" w:space="0"/>
              <w:bottom w:val="double" w:color="auto" w:sz="6" w:space="0"/>
            </w:tcBorders>
            <w:noWrap w:val="0"/>
            <w:vAlign w:val="center"/>
          </w:tcPr>
          <w:p w14:paraId="6ADA245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合同价格（元）</w:t>
            </w:r>
          </w:p>
        </w:tc>
        <w:tc>
          <w:tcPr>
            <w:tcW w:w="851" w:type="dxa"/>
            <w:tcBorders>
              <w:top w:val="single" w:color="auto" w:sz="12" w:space="0"/>
              <w:bottom w:val="double" w:color="auto" w:sz="6" w:space="0"/>
            </w:tcBorders>
            <w:noWrap w:val="0"/>
            <w:vAlign w:val="center"/>
          </w:tcPr>
          <w:p w14:paraId="469AB83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开工日期</w:t>
            </w:r>
          </w:p>
        </w:tc>
        <w:tc>
          <w:tcPr>
            <w:tcW w:w="850" w:type="dxa"/>
            <w:tcBorders>
              <w:top w:val="single" w:color="auto" w:sz="12" w:space="0"/>
              <w:bottom w:val="double" w:color="auto" w:sz="6" w:space="0"/>
            </w:tcBorders>
            <w:noWrap w:val="0"/>
            <w:vAlign w:val="center"/>
          </w:tcPr>
          <w:p w14:paraId="3DFB63F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竣工日期</w:t>
            </w:r>
          </w:p>
        </w:tc>
      </w:tr>
      <w:tr w14:paraId="15B6B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1A739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double" w:color="auto" w:sz="6" w:space="0"/>
              <w:bottom w:val="single" w:color="auto" w:sz="6" w:space="0"/>
            </w:tcBorders>
            <w:noWrap w:val="0"/>
            <w:vAlign w:val="center"/>
          </w:tcPr>
          <w:p w14:paraId="78935A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313FD5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double" w:color="auto" w:sz="6" w:space="0"/>
              <w:bottom w:val="single" w:color="auto" w:sz="6" w:space="0"/>
            </w:tcBorders>
            <w:noWrap w:val="0"/>
            <w:vAlign w:val="center"/>
          </w:tcPr>
          <w:p w14:paraId="265ACE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059D16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double" w:color="auto" w:sz="6" w:space="0"/>
              <w:bottom w:val="single" w:color="auto" w:sz="6" w:space="0"/>
            </w:tcBorders>
            <w:noWrap w:val="0"/>
            <w:vAlign w:val="center"/>
          </w:tcPr>
          <w:p w14:paraId="2A88D4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double" w:color="auto" w:sz="6" w:space="0"/>
              <w:bottom w:val="single" w:color="auto" w:sz="6" w:space="0"/>
            </w:tcBorders>
            <w:noWrap w:val="0"/>
            <w:vAlign w:val="center"/>
          </w:tcPr>
          <w:p w14:paraId="7452BA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59A2E7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double" w:color="auto" w:sz="6" w:space="0"/>
              <w:bottom w:val="single" w:color="auto" w:sz="6" w:space="0"/>
            </w:tcBorders>
            <w:noWrap w:val="0"/>
            <w:vAlign w:val="center"/>
          </w:tcPr>
          <w:p w14:paraId="06C5C7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7B2C3F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7733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643C3F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364A48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CB66B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71AC2A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151FD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3B7F4A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0EE1C1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F58B0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408138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110075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9D44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B1787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367953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4EDC7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34037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6E3012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00A820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693A66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65F55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5A075B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1373D36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D8E7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58B5E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739244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E6FE6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0F8563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9F56EF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4B7D277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37D319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CE1A8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647606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EC1A1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B6F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E7094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7F7884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BCFC5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26FF54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6C72A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4CE0EE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4BF4B7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14FFB6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134F225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5A8AE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E1A3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F9643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1E7790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49D3F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6D490B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31804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1AE0498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195D85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55D784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63207D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FEC1B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782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430F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123436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333F1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7DC711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020584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1AE45E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00DF45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85A16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2AFA78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9B77E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A1D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EC16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57E6BC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4E8B20F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43B44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EBC89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6F66751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3B1311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00B3EF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04B6A9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600B09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7418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82D08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3E91B2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7496D1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399E56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AC1A4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049A87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7E70360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3993F3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181CE9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279C56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E450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77519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1127A6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46C95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4F60182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32EB9A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49ACB6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6E0D19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FE445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50162D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61853C4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571A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7FFA1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35379F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D3A7A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2571AB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38CE6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5ED751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195D35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5CB14A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310082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DE6DC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5B3B03D4">
      <w:pPr>
        <w:spacing w:line="440" w:lineRule="exact"/>
        <w:rPr>
          <w:rFonts w:eastAsia="仿宋_GB2312"/>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2C98A60">
      <w:pPr>
        <w:spacing w:line="440" w:lineRule="exact"/>
        <w:outlineLvl w:val="0"/>
        <w:rPr>
          <w:rFonts w:hint="eastAsia" w:ascii="宋体" w:hAnsi="宋体" w:eastAsia="宋体" w:cs="宋体"/>
          <w:color w:val="auto"/>
          <w:sz w:val="21"/>
          <w:szCs w:val="21"/>
          <w:highlight w:val="none"/>
        </w:rPr>
      </w:pPr>
      <w:bookmarkStart w:id="1145" w:name="_Toc16803"/>
      <w:bookmarkStart w:id="1146" w:name="_Toc5569"/>
      <w:bookmarkStart w:id="1147" w:name="_Toc28302"/>
      <w:r>
        <w:rPr>
          <w:rFonts w:hint="eastAsia" w:ascii="宋体" w:hAnsi="宋体" w:eastAsia="宋体" w:cs="宋体"/>
          <w:color w:val="auto"/>
          <w:sz w:val="21"/>
          <w:szCs w:val="21"/>
          <w:highlight w:val="none"/>
        </w:rPr>
        <w:t>附</w:t>
      </w:r>
      <w:bookmarkStart w:id="1148" w:name="_Toc296891266"/>
      <w:bookmarkStart w:id="1149" w:name="_Toc296346727"/>
      <w:bookmarkStart w:id="1150" w:name="_Toc296944565"/>
      <w:bookmarkStart w:id="1151" w:name="_Toc296891054"/>
      <w:bookmarkStart w:id="1152" w:name="_Toc296347225"/>
      <w:bookmarkStart w:id="1153" w:name="_Toc267261693"/>
      <w:bookmarkStart w:id="1154" w:name="_Toc296503226"/>
      <w:r>
        <w:rPr>
          <w:rFonts w:hint="eastAsia" w:ascii="宋体" w:hAnsi="宋体" w:eastAsia="宋体" w:cs="宋体"/>
          <w:color w:val="auto"/>
          <w:sz w:val="21"/>
          <w:szCs w:val="21"/>
          <w:highlight w:val="none"/>
        </w:rPr>
        <w:t>件2：</w:t>
      </w:r>
      <w:bookmarkEnd w:id="1145"/>
      <w:bookmarkEnd w:id="1146"/>
      <w:bookmarkEnd w:id="1147"/>
      <w:bookmarkEnd w:id="1148"/>
      <w:bookmarkEnd w:id="1149"/>
      <w:bookmarkEnd w:id="1150"/>
      <w:bookmarkEnd w:id="1151"/>
      <w:bookmarkEnd w:id="1152"/>
      <w:bookmarkEnd w:id="1153"/>
      <w:bookmarkEnd w:id="1154"/>
      <w:r>
        <w:rPr>
          <w:rFonts w:hint="eastAsia" w:ascii="宋体" w:hAnsi="宋体" w:eastAsia="宋体" w:cs="宋体"/>
          <w:color w:val="auto"/>
          <w:sz w:val="21"/>
          <w:szCs w:val="21"/>
          <w:highlight w:val="none"/>
        </w:rPr>
        <w:t xml:space="preserve">    </w:t>
      </w:r>
    </w:p>
    <w:p w14:paraId="5A19955A">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0A0EF4B3">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3D4905CE">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2E2DF9D5">
      <w:pPr>
        <w:spacing w:line="440" w:lineRule="exact"/>
        <w:rPr>
          <w:color w:val="auto"/>
          <w:highlight w:val="none"/>
        </w:rPr>
      </w:pPr>
    </w:p>
    <w:p w14:paraId="46A4B6B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E0BEB4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5094A8DA">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1CE7CC7">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E7F921C">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372E1225">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01FC0E9A">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036BCDF">
      <w:pPr>
        <w:spacing w:line="360" w:lineRule="auto"/>
        <w:ind w:firstLine="420"/>
        <w:rPr>
          <w:rFonts w:hAnsi="宋体"/>
          <w:color w:val="auto"/>
          <w:highlight w:val="none"/>
        </w:rPr>
      </w:pPr>
      <w:r>
        <w:rPr>
          <w:rFonts w:hint="eastAsia"/>
          <w:color w:val="auto"/>
          <w:highlight w:val="none"/>
          <w:lang w:eastAsia="zh-CN"/>
        </w:rPr>
        <w:t>1.</w:t>
      </w:r>
      <w:r>
        <w:rPr>
          <w:rFonts w:hint="eastAsia" w:hAnsi="宋体" w:cs="宋体"/>
          <w:color w:val="auto"/>
          <w:highlight w:val="none"/>
        </w:rPr>
        <w:t>地基基础工程和主体结构工程为设计文件规定的工程合理使用年限；</w:t>
      </w:r>
    </w:p>
    <w:p w14:paraId="16435710">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hAnsi="宋体" w:cs="宋体"/>
          <w:color w:val="auto"/>
          <w:highlight w:val="none"/>
        </w:rPr>
        <w:t>年；</w:t>
      </w:r>
    </w:p>
    <w:p w14:paraId="066C3573">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装修工程为</w:t>
      </w:r>
      <w:r>
        <w:rPr>
          <w:color w:val="auto"/>
          <w:highlight w:val="none"/>
          <w:u w:val="single"/>
        </w:rPr>
        <w:t xml:space="preserve">         </w:t>
      </w:r>
      <w:r>
        <w:rPr>
          <w:rFonts w:hint="eastAsia" w:hAnsi="宋体" w:cs="宋体"/>
          <w:color w:val="auto"/>
          <w:highlight w:val="none"/>
        </w:rPr>
        <w:t>年；</w:t>
      </w:r>
    </w:p>
    <w:p w14:paraId="5133E576">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hAnsi="宋体" w:cs="宋体"/>
          <w:color w:val="auto"/>
          <w:highlight w:val="none"/>
        </w:rPr>
        <w:t>年；</w:t>
      </w:r>
    </w:p>
    <w:p w14:paraId="18CBF3C3">
      <w:pPr>
        <w:spacing w:line="360" w:lineRule="auto"/>
        <w:ind w:firstLine="420"/>
        <w:rPr>
          <w:rFonts w:hAnsi="宋体"/>
          <w:color w:val="auto"/>
          <w:highlight w:val="none"/>
        </w:rPr>
      </w:pPr>
      <w:r>
        <w:rPr>
          <w:rFonts w:hint="eastAsia"/>
          <w:color w:val="auto"/>
          <w:highlight w:val="none"/>
          <w:lang w:eastAsia="zh-CN"/>
        </w:rPr>
        <w:t>5.</w:t>
      </w:r>
      <w:r>
        <w:rPr>
          <w:rFonts w:hint="eastAsia" w:hAnsi="宋体" w:cs="宋体"/>
          <w:color w:val="auto"/>
          <w:highlight w:val="none"/>
        </w:rPr>
        <w:t>供热与供冷系统为</w:t>
      </w:r>
      <w:r>
        <w:rPr>
          <w:color w:val="auto"/>
          <w:highlight w:val="none"/>
          <w:u w:val="single"/>
        </w:rPr>
        <w:t xml:space="preserve">         </w:t>
      </w:r>
      <w:r>
        <w:rPr>
          <w:rFonts w:hint="eastAsia" w:hAnsi="宋体" w:cs="宋体"/>
          <w:color w:val="auto"/>
          <w:highlight w:val="none"/>
        </w:rPr>
        <w:t>个采暖期、供冷期；</w:t>
      </w:r>
    </w:p>
    <w:p w14:paraId="0832A117">
      <w:pPr>
        <w:spacing w:line="360" w:lineRule="auto"/>
        <w:ind w:firstLine="420"/>
        <w:rPr>
          <w:rFonts w:hAnsi="宋体"/>
          <w:color w:val="auto"/>
          <w:highlight w:val="none"/>
        </w:rPr>
      </w:pPr>
      <w:r>
        <w:rPr>
          <w:rFonts w:hint="eastAsia"/>
          <w:color w:val="auto"/>
          <w:highlight w:val="none"/>
          <w:lang w:eastAsia="zh-CN"/>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hAnsi="宋体" w:cs="宋体"/>
          <w:color w:val="auto"/>
          <w:highlight w:val="none"/>
        </w:rPr>
        <w:t>年；</w:t>
      </w:r>
    </w:p>
    <w:p w14:paraId="65C6CBCC">
      <w:pPr>
        <w:spacing w:line="360" w:lineRule="auto"/>
        <w:ind w:firstLine="420"/>
        <w:rPr>
          <w:rFonts w:hAnsi="宋体"/>
          <w:color w:val="auto"/>
          <w:highlight w:val="none"/>
        </w:rPr>
      </w:pPr>
      <w:r>
        <w:rPr>
          <w:rFonts w:hint="eastAsia"/>
          <w:color w:val="auto"/>
          <w:highlight w:val="none"/>
          <w:lang w:eastAsia="zh-CN"/>
        </w:rPr>
        <w:t>7.</w:t>
      </w:r>
      <w:r>
        <w:rPr>
          <w:rFonts w:hint="eastAsia" w:hAnsi="宋体" w:cs="宋体"/>
          <w:color w:val="auto"/>
          <w:highlight w:val="none"/>
        </w:rPr>
        <w:t>其他项目保修期限约定如下：</w:t>
      </w:r>
    </w:p>
    <w:p w14:paraId="0BE4ED74">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519B90F8">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68AED3F2">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7764607">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1AF11E">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0D5B0FE1">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A687206">
      <w:pPr>
        <w:spacing w:line="360" w:lineRule="auto"/>
        <w:ind w:left="105" w:leftChars="50" w:firstLine="430" w:firstLineChars="205"/>
        <w:rPr>
          <w:rFonts w:hAnsi="宋体"/>
          <w:color w:val="auto"/>
          <w:highlight w:val="none"/>
        </w:rPr>
      </w:pPr>
      <w:r>
        <w:rPr>
          <w:rFonts w:hint="eastAsia"/>
          <w:color w:val="auto"/>
          <w:highlight w:val="none"/>
          <w:lang w:eastAsia="zh-CN"/>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ACA4890">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发生紧急事故需抢修的，承包人在接到事故通知后，应当立即到达事故现场抢修。</w:t>
      </w:r>
    </w:p>
    <w:p w14:paraId="49FD5D9A">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884014">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质量保修完成后，由发包人组织验收。</w:t>
      </w:r>
    </w:p>
    <w:p w14:paraId="49B0978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17C4AE1">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183E4848">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15936E86">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4206C501">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04D456C1">
      <w:pPr>
        <w:spacing w:line="360" w:lineRule="auto"/>
        <w:ind w:firstLine="420"/>
        <w:rPr>
          <w:color w:val="auto"/>
          <w:highlight w:val="none"/>
        </w:rPr>
      </w:pPr>
    </w:p>
    <w:p w14:paraId="5E211EC7">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755B94A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18B15D03">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031FB27">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C1B57D5">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EE3DE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A126F05">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BFD8C0">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F9EB608">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9F0961F">
      <w:pPr>
        <w:spacing w:line="440" w:lineRule="exact"/>
        <w:rPr>
          <w:rFonts w:eastAsia="黑体"/>
          <w:color w:val="auto"/>
          <w:sz w:val="30"/>
          <w:szCs w:val="30"/>
          <w:highlight w:val="none"/>
        </w:rPr>
      </w:pPr>
      <w:r>
        <w:rPr>
          <w:rFonts w:hint="eastAsia" w:ascii="宋体" w:hAnsi="宋体" w:eastAsia="宋体" w:cs="宋体"/>
          <w:b/>
          <w:color w:val="auto"/>
          <w:sz w:val="21"/>
          <w:szCs w:val="21"/>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695F6E40">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7129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91AB6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CD8E15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629CB1D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161D6FF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0853C1ED">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2A0FF262">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7DB1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DDF5E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2A8645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40D3E4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811CE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54FA3F5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2677CD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EB02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C5506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1B659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554615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426C86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232481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62C552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9BE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BD805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E7AC10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B9BF6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D2498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52490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82F95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C9A8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CB44D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913BC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01CDA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0BC5498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6E5B6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F5373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E0EA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FC01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763D6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D80A3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31419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C580E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A120C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C886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FBFD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C3B80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777E54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2A32A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11D6A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EF068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758E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BE79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F948B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AB73B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BB5CD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246E7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9D9067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4ED1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D897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CCFAF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F8877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17CF7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D70E7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DBAF0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B1C9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9C823E7">
            <w:pPr>
              <w:rPr>
                <w:rFonts w:ascii="Calibri" w:hAnsi="Calibri" w:eastAsia="仿宋_GB2312"/>
                <w:color w:val="auto"/>
                <w:sz w:val="30"/>
                <w:szCs w:val="30"/>
                <w:highlight w:val="none"/>
              </w:rPr>
            </w:pPr>
          </w:p>
        </w:tc>
        <w:tc>
          <w:tcPr>
            <w:tcW w:w="1276" w:type="dxa"/>
            <w:noWrap w:val="0"/>
            <w:vAlign w:val="top"/>
          </w:tcPr>
          <w:p w14:paraId="46660FFE">
            <w:pPr>
              <w:rPr>
                <w:rFonts w:ascii="Calibri" w:hAnsi="Calibri" w:eastAsia="仿宋_GB2312"/>
                <w:color w:val="auto"/>
                <w:sz w:val="30"/>
                <w:szCs w:val="30"/>
                <w:highlight w:val="none"/>
              </w:rPr>
            </w:pPr>
          </w:p>
        </w:tc>
        <w:tc>
          <w:tcPr>
            <w:tcW w:w="1450" w:type="dxa"/>
            <w:noWrap w:val="0"/>
            <w:vAlign w:val="top"/>
          </w:tcPr>
          <w:p w14:paraId="12AB66FF">
            <w:pPr>
              <w:rPr>
                <w:rFonts w:ascii="Calibri" w:hAnsi="Calibri" w:eastAsia="仿宋_GB2312"/>
                <w:color w:val="auto"/>
                <w:sz w:val="30"/>
                <w:szCs w:val="30"/>
                <w:highlight w:val="none"/>
              </w:rPr>
            </w:pPr>
          </w:p>
        </w:tc>
        <w:tc>
          <w:tcPr>
            <w:tcW w:w="1243" w:type="dxa"/>
            <w:noWrap w:val="0"/>
            <w:vAlign w:val="top"/>
          </w:tcPr>
          <w:p w14:paraId="59822C45">
            <w:pPr>
              <w:rPr>
                <w:rFonts w:ascii="Calibri" w:hAnsi="Calibri" w:eastAsia="仿宋_GB2312"/>
                <w:color w:val="auto"/>
                <w:sz w:val="30"/>
                <w:szCs w:val="30"/>
                <w:highlight w:val="none"/>
              </w:rPr>
            </w:pPr>
          </w:p>
        </w:tc>
        <w:tc>
          <w:tcPr>
            <w:tcW w:w="1450" w:type="dxa"/>
            <w:noWrap w:val="0"/>
            <w:vAlign w:val="top"/>
          </w:tcPr>
          <w:p w14:paraId="0287A0EE">
            <w:pPr>
              <w:rPr>
                <w:rFonts w:ascii="Calibri" w:hAnsi="Calibri" w:eastAsia="仿宋_GB2312"/>
                <w:color w:val="auto"/>
                <w:sz w:val="30"/>
                <w:szCs w:val="30"/>
                <w:highlight w:val="none"/>
              </w:rPr>
            </w:pPr>
          </w:p>
        </w:tc>
        <w:tc>
          <w:tcPr>
            <w:tcW w:w="1667" w:type="dxa"/>
            <w:noWrap w:val="0"/>
            <w:vAlign w:val="top"/>
          </w:tcPr>
          <w:p w14:paraId="4B5B47C4">
            <w:pPr>
              <w:rPr>
                <w:rFonts w:ascii="Calibri" w:hAnsi="Calibri" w:eastAsia="仿宋_GB2312"/>
                <w:color w:val="auto"/>
                <w:sz w:val="30"/>
                <w:szCs w:val="30"/>
                <w:highlight w:val="none"/>
              </w:rPr>
            </w:pPr>
          </w:p>
        </w:tc>
      </w:tr>
      <w:tr w14:paraId="321A4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D59B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1943D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AAA59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3BBDF4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B90B6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D04CF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BBA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7642EE">
            <w:pPr>
              <w:rPr>
                <w:rFonts w:ascii="Calibri" w:hAnsi="Calibri" w:eastAsia="仿宋_GB2312"/>
                <w:color w:val="auto"/>
                <w:sz w:val="30"/>
                <w:szCs w:val="30"/>
                <w:highlight w:val="none"/>
              </w:rPr>
            </w:pPr>
          </w:p>
        </w:tc>
        <w:tc>
          <w:tcPr>
            <w:tcW w:w="1276" w:type="dxa"/>
            <w:noWrap w:val="0"/>
            <w:vAlign w:val="top"/>
          </w:tcPr>
          <w:p w14:paraId="68C30119">
            <w:pPr>
              <w:rPr>
                <w:rFonts w:ascii="Calibri" w:hAnsi="Calibri" w:eastAsia="仿宋_GB2312"/>
                <w:color w:val="auto"/>
                <w:sz w:val="30"/>
                <w:szCs w:val="30"/>
                <w:highlight w:val="none"/>
              </w:rPr>
            </w:pPr>
          </w:p>
        </w:tc>
        <w:tc>
          <w:tcPr>
            <w:tcW w:w="1450" w:type="dxa"/>
            <w:noWrap w:val="0"/>
            <w:vAlign w:val="top"/>
          </w:tcPr>
          <w:p w14:paraId="2BDFA828">
            <w:pPr>
              <w:rPr>
                <w:rFonts w:ascii="Calibri" w:hAnsi="Calibri" w:eastAsia="仿宋_GB2312"/>
                <w:color w:val="auto"/>
                <w:sz w:val="30"/>
                <w:szCs w:val="30"/>
                <w:highlight w:val="none"/>
              </w:rPr>
            </w:pPr>
          </w:p>
        </w:tc>
        <w:tc>
          <w:tcPr>
            <w:tcW w:w="1243" w:type="dxa"/>
            <w:noWrap w:val="0"/>
            <w:vAlign w:val="top"/>
          </w:tcPr>
          <w:p w14:paraId="5D854114">
            <w:pPr>
              <w:rPr>
                <w:rFonts w:ascii="Calibri" w:hAnsi="Calibri" w:eastAsia="仿宋_GB2312"/>
                <w:color w:val="auto"/>
                <w:sz w:val="30"/>
                <w:szCs w:val="30"/>
                <w:highlight w:val="none"/>
              </w:rPr>
            </w:pPr>
          </w:p>
        </w:tc>
        <w:tc>
          <w:tcPr>
            <w:tcW w:w="1450" w:type="dxa"/>
            <w:noWrap w:val="0"/>
            <w:vAlign w:val="top"/>
          </w:tcPr>
          <w:p w14:paraId="0E358B82">
            <w:pPr>
              <w:rPr>
                <w:rFonts w:ascii="Calibri" w:hAnsi="Calibri" w:eastAsia="仿宋_GB2312"/>
                <w:color w:val="auto"/>
                <w:sz w:val="30"/>
                <w:szCs w:val="30"/>
                <w:highlight w:val="none"/>
              </w:rPr>
            </w:pPr>
          </w:p>
        </w:tc>
        <w:tc>
          <w:tcPr>
            <w:tcW w:w="1667" w:type="dxa"/>
            <w:noWrap w:val="0"/>
            <w:vAlign w:val="top"/>
          </w:tcPr>
          <w:p w14:paraId="553F6945">
            <w:pPr>
              <w:rPr>
                <w:rFonts w:ascii="Calibri" w:hAnsi="Calibri" w:eastAsia="仿宋_GB2312"/>
                <w:color w:val="auto"/>
                <w:sz w:val="30"/>
                <w:szCs w:val="30"/>
                <w:highlight w:val="none"/>
              </w:rPr>
            </w:pPr>
          </w:p>
        </w:tc>
      </w:tr>
      <w:tr w14:paraId="0B84D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24F41BF">
            <w:pPr>
              <w:rPr>
                <w:rFonts w:ascii="Calibri" w:hAnsi="Calibri" w:eastAsia="仿宋_GB2312"/>
                <w:color w:val="auto"/>
                <w:sz w:val="30"/>
                <w:szCs w:val="30"/>
                <w:highlight w:val="none"/>
              </w:rPr>
            </w:pPr>
          </w:p>
        </w:tc>
        <w:tc>
          <w:tcPr>
            <w:tcW w:w="1276" w:type="dxa"/>
            <w:noWrap w:val="0"/>
            <w:vAlign w:val="top"/>
          </w:tcPr>
          <w:p w14:paraId="6FD87344">
            <w:pPr>
              <w:rPr>
                <w:rFonts w:ascii="Calibri" w:hAnsi="Calibri" w:eastAsia="仿宋_GB2312"/>
                <w:color w:val="auto"/>
                <w:sz w:val="30"/>
                <w:szCs w:val="30"/>
                <w:highlight w:val="none"/>
              </w:rPr>
            </w:pPr>
          </w:p>
        </w:tc>
        <w:tc>
          <w:tcPr>
            <w:tcW w:w="1450" w:type="dxa"/>
            <w:noWrap w:val="0"/>
            <w:vAlign w:val="top"/>
          </w:tcPr>
          <w:p w14:paraId="3451A76F">
            <w:pPr>
              <w:rPr>
                <w:rFonts w:ascii="Calibri" w:hAnsi="Calibri" w:eastAsia="仿宋_GB2312"/>
                <w:color w:val="auto"/>
                <w:sz w:val="30"/>
                <w:szCs w:val="30"/>
                <w:highlight w:val="none"/>
              </w:rPr>
            </w:pPr>
          </w:p>
        </w:tc>
        <w:tc>
          <w:tcPr>
            <w:tcW w:w="1243" w:type="dxa"/>
            <w:noWrap w:val="0"/>
            <w:vAlign w:val="top"/>
          </w:tcPr>
          <w:p w14:paraId="69019E3B">
            <w:pPr>
              <w:rPr>
                <w:rFonts w:ascii="Calibri" w:hAnsi="Calibri" w:eastAsia="仿宋_GB2312"/>
                <w:color w:val="auto"/>
                <w:sz w:val="30"/>
                <w:szCs w:val="30"/>
                <w:highlight w:val="none"/>
              </w:rPr>
            </w:pPr>
          </w:p>
        </w:tc>
        <w:tc>
          <w:tcPr>
            <w:tcW w:w="1450" w:type="dxa"/>
            <w:noWrap w:val="0"/>
            <w:vAlign w:val="top"/>
          </w:tcPr>
          <w:p w14:paraId="3B615F4B">
            <w:pPr>
              <w:rPr>
                <w:rFonts w:ascii="Calibri" w:hAnsi="Calibri" w:eastAsia="仿宋_GB2312"/>
                <w:color w:val="auto"/>
                <w:sz w:val="30"/>
                <w:szCs w:val="30"/>
                <w:highlight w:val="none"/>
              </w:rPr>
            </w:pPr>
          </w:p>
        </w:tc>
        <w:tc>
          <w:tcPr>
            <w:tcW w:w="1667" w:type="dxa"/>
            <w:noWrap w:val="0"/>
            <w:vAlign w:val="top"/>
          </w:tcPr>
          <w:p w14:paraId="7B8C9EDF">
            <w:pPr>
              <w:rPr>
                <w:rFonts w:ascii="Calibri" w:hAnsi="Calibri" w:eastAsia="仿宋_GB2312"/>
                <w:color w:val="auto"/>
                <w:sz w:val="30"/>
                <w:szCs w:val="30"/>
                <w:highlight w:val="none"/>
              </w:rPr>
            </w:pPr>
          </w:p>
        </w:tc>
      </w:tr>
      <w:tr w14:paraId="6B97D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3CFD35">
            <w:pPr>
              <w:rPr>
                <w:rFonts w:ascii="Calibri" w:hAnsi="Calibri" w:eastAsia="仿宋_GB2312"/>
                <w:color w:val="auto"/>
                <w:sz w:val="30"/>
                <w:szCs w:val="30"/>
                <w:highlight w:val="none"/>
              </w:rPr>
            </w:pPr>
          </w:p>
        </w:tc>
        <w:tc>
          <w:tcPr>
            <w:tcW w:w="1276" w:type="dxa"/>
            <w:noWrap w:val="0"/>
            <w:vAlign w:val="top"/>
          </w:tcPr>
          <w:p w14:paraId="4F531111">
            <w:pPr>
              <w:rPr>
                <w:rFonts w:ascii="Calibri" w:hAnsi="Calibri" w:eastAsia="仿宋_GB2312"/>
                <w:color w:val="auto"/>
                <w:sz w:val="30"/>
                <w:szCs w:val="30"/>
                <w:highlight w:val="none"/>
              </w:rPr>
            </w:pPr>
          </w:p>
        </w:tc>
        <w:tc>
          <w:tcPr>
            <w:tcW w:w="1450" w:type="dxa"/>
            <w:noWrap w:val="0"/>
            <w:vAlign w:val="top"/>
          </w:tcPr>
          <w:p w14:paraId="261D0935">
            <w:pPr>
              <w:rPr>
                <w:rFonts w:ascii="Calibri" w:hAnsi="Calibri" w:eastAsia="仿宋_GB2312"/>
                <w:color w:val="auto"/>
                <w:sz w:val="30"/>
                <w:szCs w:val="30"/>
                <w:highlight w:val="none"/>
              </w:rPr>
            </w:pPr>
          </w:p>
        </w:tc>
        <w:tc>
          <w:tcPr>
            <w:tcW w:w="1243" w:type="dxa"/>
            <w:noWrap w:val="0"/>
            <w:vAlign w:val="top"/>
          </w:tcPr>
          <w:p w14:paraId="2EB2BF9A">
            <w:pPr>
              <w:rPr>
                <w:rFonts w:ascii="Calibri" w:hAnsi="Calibri" w:eastAsia="仿宋_GB2312"/>
                <w:color w:val="auto"/>
                <w:sz w:val="30"/>
                <w:szCs w:val="30"/>
                <w:highlight w:val="none"/>
              </w:rPr>
            </w:pPr>
          </w:p>
        </w:tc>
        <w:tc>
          <w:tcPr>
            <w:tcW w:w="1450" w:type="dxa"/>
            <w:noWrap w:val="0"/>
            <w:vAlign w:val="top"/>
          </w:tcPr>
          <w:p w14:paraId="6FD93AB5">
            <w:pPr>
              <w:rPr>
                <w:rFonts w:ascii="Calibri" w:hAnsi="Calibri" w:eastAsia="仿宋_GB2312"/>
                <w:color w:val="auto"/>
                <w:sz w:val="30"/>
                <w:szCs w:val="30"/>
                <w:highlight w:val="none"/>
              </w:rPr>
            </w:pPr>
          </w:p>
        </w:tc>
        <w:tc>
          <w:tcPr>
            <w:tcW w:w="1667" w:type="dxa"/>
            <w:noWrap w:val="0"/>
            <w:vAlign w:val="top"/>
          </w:tcPr>
          <w:p w14:paraId="6F7923DA">
            <w:pPr>
              <w:rPr>
                <w:rFonts w:ascii="Calibri" w:hAnsi="Calibri" w:eastAsia="仿宋_GB2312"/>
                <w:color w:val="auto"/>
                <w:sz w:val="30"/>
                <w:szCs w:val="30"/>
                <w:highlight w:val="none"/>
              </w:rPr>
            </w:pPr>
          </w:p>
        </w:tc>
      </w:tr>
      <w:tr w14:paraId="518E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0FD10B">
            <w:pPr>
              <w:rPr>
                <w:rFonts w:ascii="Calibri" w:hAnsi="Calibri" w:eastAsia="仿宋_GB2312"/>
                <w:color w:val="auto"/>
                <w:sz w:val="30"/>
                <w:szCs w:val="30"/>
                <w:highlight w:val="none"/>
              </w:rPr>
            </w:pPr>
          </w:p>
        </w:tc>
        <w:tc>
          <w:tcPr>
            <w:tcW w:w="1276" w:type="dxa"/>
            <w:noWrap w:val="0"/>
            <w:vAlign w:val="top"/>
          </w:tcPr>
          <w:p w14:paraId="7E5888C3">
            <w:pPr>
              <w:rPr>
                <w:rFonts w:ascii="Calibri" w:hAnsi="Calibri" w:eastAsia="仿宋_GB2312"/>
                <w:color w:val="auto"/>
                <w:sz w:val="30"/>
                <w:szCs w:val="30"/>
                <w:highlight w:val="none"/>
              </w:rPr>
            </w:pPr>
          </w:p>
        </w:tc>
        <w:tc>
          <w:tcPr>
            <w:tcW w:w="1450" w:type="dxa"/>
            <w:noWrap w:val="0"/>
            <w:vAlign w:val="top"/>
          </w:tcPr>
          <w:p w14:paraId="471E427D">
            <w:pPr>
              <w:rPr>
                <w:rFonts w:ascii="Calibri" w:hAnsi="Calibri" w:eastAsia="仿宋_GB2312"/>
                <w:color w:val="auto"/>
                <w:sz w:val="30"/>
                <w:szCs w:val="30"/>
                <w:highlight w:val="none"/>
              </w:rPr>
            </w:pPr>
          </w:p>
        </w:tc>
        <w:tc>
          <w:tcPr>
            <w:tcW w:w="1243" w:type="dxa"/>
            <w:noWrap w:val="0"/>
            <w:vAlign w:val="top"/>
          </w:tcPr>
          <w:p w14:paraId="5AA871DC">
            <w:pPr>
              <w:rPr>
                <w:rFonts w:ascii="Calibri" w:hAnsi="Calibri" w:eastAsia="仿宋_GB2312"/>
                <w:color w:val="auto"/>
                <w:sz w:val="30"/>
                <w:szCs w:val="30"/>
                <w:highlight w:val="none"/>
              </w:rPr>
            </w:pPr>
          </w:p>
        </w:tc>
        <w:tc>
          <w:tcPr>
            <w:tcW w:w="1450" w:type="dxa"/>
            <w:noWrap w:val="0"/>
            <w:vAlign w:val="top"/>
          </w:tcPr>
          <w:p w14:paraId="0CED90DB">
            <w:pPr>
              <w:rPr>
                <w:rFonts w:ascii="Calibri" w:hAnsi="Calibri" w:eastAsia="仿宋_GB2312"/>
                <w:color w:val="auto"/>
                <w:sz w:val="30"/>
                <w:szCs w:val="30"/>
                <w:highlight w:val="none"/>
              </w:rPr>
            </w:pPr>
          </w:p>
        </w:tc>
        <w:tc>
          <w:tcPr>
            <w:tcW w:w="1667" w:type="dxa"/>
            <w:noWrap w:val="0"/>
            <w:vAlign w:val="top"/>
          </w:tcPr>
          <w:p w14:paraId="2D7E1096">
            <w:pPr>
              <w:rPr>
                <w:rFonts w:ascii="Calibri" w:hAnsi="Calibri" w:eastAsia="仿宋_GB2312"/>
                <w:color w:val="auto"/>
                <w:sz w:val="30"/>
                <w:szCs w:val="30"/>
                <w:highlight w:val="none"/>
              </w:rPr>
            </w:pPr>
          </w:p>
        </w:tc>
      </w:tr>
      <w:tr w14:paraId="7C052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E35DC2">
            <w:pPr>
              <w:rPr>
                <w:rFonts w:ascii="Calibri" w:hAnsi="Calibri" w:eastAsia="仿宋_GB2312"/>
                <w:color w:val="auto"/>
                <w:sz w:val="30"/>
                <w:szCs w:val="30"/>
                <w:highlight w:val="none"/>
              </w:rPr>
            </w:pPr>
          </w:p>
        </w:tc>
        <w:tc>
          <w:tcPr>
            <w:tcW w:w="1276" w:type="dxa"/>
            <w:noWrap w:val="0"/>
            <w:vAlign w:val="top"/>
          </w:tcPr>
          <w:p w14:paraId="19AB4839">
            <w:pPr>
              <w:rPr>
                <w:rFonts w:ascii="Calibri" w:hAnsi="Calibri" w:eastAsia="仿宋_GB2312"/>
                <w:color w:val="auto"/>
                <w:sz w:val="30"/>
                <w:szCs w:val="30"/>
                <w:highlight w:val="none"/>
              </w:rPr>
            </w:pPr>
          </w:p>
        </w:tc>
        <w:tc>
          <w:tcPr>
            <w:tcW w:w="1450" w:type="dxa"/>
            <w:noWrap w:val="0"/>
            <w:vAlign w:val="top"/>
          </w:tcPr>
          <w:p w14:paraId="245DD847">
            <w:pPr>
              <w:rPr>
                <w:rFonts w:ascii="Calibri" w:hAnsi="Calibri" w:eastAsia="仿宋_GB2312"/>
                <w:color w:val="auto"/>
                <w:sz w:val="30"/>
                <w:szCs w:val="30"/>
                <w:highlight w:val="none"/>
              </w:rPr>
            </w:pPr>
          </w:p>
        </w:tc>
        <w:tc>
          <w:tcPr>
            <w:tcW w:w="1243" w:type="dxa"/>
            <w:noWrap w:val="0"/>
            <w:vAlign w:val="top"/>
          </w:tcPr>
          <w:p w14:paraId="26B32626">
            <w:pPr>
              <w:rPr>
                <w:rFonts w:ascii="Calibri" w:hAnsi="Calibri" w:eastAsia="仿宋_GB2312"/>
                <w:color w:val="auto"/>
                <w:sz w:val="30"/>
                <w:szCs w:val="30"/>
                <w:highlight w:val="none"/>
              </w:rPr>
            </w:pPr>
          </w:p>
        </w:tc>
        <w:tc>
          <w:tcPr>
            <w:tcW w:w="1450" w:type="dxa"/>
            <w:noWrap w:val="0"/>
            <w:vAlign w:val="top"/>
          </w:tcPr>
          <w:p w14:paraId="3F25E4EB">
            <w:pPr>
              <w:rPr>
                <w:rFonts w:ascii="Calibri" w:hAnsi="Calibri" w:eastAsia="仿宋_GB2312"/>
                <w:color w:val="auto"/>
                <w:sz w:val="30"/>
                <w:szCs w:val="30"/>
                <w:highlight w:val="none"/>
              </w:rPr>
            </w:pPr>
          </w:p>
        </w:tc>
        <w:tc>
          <w:tcPr>
            <w:tcW w:w="1667" w:type="dxa"/>
            <w:noWrap w:val="0"/>
            <w:vAlign w:val="top"/>
          </w:tcPr>
          <w:p w14:paraId="2CA33738">
            <w:pPr>
              <w:rPr>
                <w:rFonts w:ascii="Calibri" w:hAnsi="Calibri" w:eastAsia="仿宋_GB2312"/>
                <w:color w:val="auto"/>
                <w:sz w:val="30"/>
                <w:szCs w:val="30"/>
                <w:highlight w:val="none"/>
              </w:rPr>
            </w:pPr>
          </w:p>
        </w:tc>
      </w:tr>
      <w:tr w14:paraId="75EC9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09ECC5">
            <w:pPr>
              <w:rPr>
                <w:rFonts w:ascii="Calibri" w:hAnsi="Calibri" w:eastAsia="仿宋_GB2312"/>
                <w:color w:val="auto"/>
                <w:sz w:val="30"/>
                <w:szCs w:val="30"/>
                <w:highlight w:val="none"/>
              </w:rPr>
            </w:pPr>
          </w:p>
        </w:tc>
        <w:tc>
          <w:tcPr>
            <w:tcW w:w="1276" w:type="dxa"/>
            <w:noWrap w:val="0"/>
            <w:vAlign w:val="top"/>
          </w:tcPr>
          <w:p w14:paraId="790541F6">
            <w:pPr>
              <w:rPr>
                <w:rFonts w:ascii="Calibri" w:hAnsi="Calibri" w:eastAsia="仿宋_GB2312"/>
                <w:color w:val="auto"/>
                <w:sz w:val="30"/>
                <w:szCs w:val="30"/>
                <w:highlight w:val="none"/>
              </w:rPr>
            </w:pPr>
          </w:p>
        </w:tc>
        <w:tc>
          <w:tcPr>
            <w:tcW w:w="1450" w:type="dxa"/>
            <w:noWrap w:val="0"/>
            <w:vAlign w:val="top"/>
          </w:tcPr>
          <w:p w14:paraId="687D6DF4">
            <w:pPr>
              <w:rPr>
                <w:rFonts w:ascii="Calibri" w:hAnsi="Calibri" w:eastAsia="仿宋_GB2312"/>
                <w:color w:val="auto"/>
                <w:sz w:val="30"/>
                <w:szCs w:val="30"/>
                <w:highlight w:val="none"/>
              </w:rPr>
            </w:pPr>
          </w:p>
        </w:tc>
        <w:tc>
          <w:tcPr>
            <w:tcW w:w="1243" w:type="dxa"/>
            <w:noWrap w:val="0"/>
            <w:vAlign w:val="top"/>
          </w:tcPr>
          <w:p w14:paraId="416B1777">
            <w:pPr>
              <w:rPr>
                <w:rFonts w:ascii="Calibri" w:hAnsi="Calibri" w:eastAsia="仿宋_GB2312"/>
                <w:color w:val="auto"/>
                <w:sz w:val="30"/>
                <w:szCs w:val="30"/>
                <w:highlight w:val="none"/>
              </w:rPr>
            </w:pPr>
          </w:p>
        </w:tc>
        <w:tc>
          <w:tcPr>
            <w:tcW w:w="1450" w:type="dxa"/>
            <w:noWrap w:val="0"/>
            <w:vAlign w:val="top"/>
          </w:tcPr>
          <w:p w14:paraId="589ACC36">
            <w:pPr>
              <w:rPr>
                <w:rFonts w:ascii="Calibri" w:hAnsi="Calibri" w:eastAsia="仿宋_GB2312"/>
                <w:color w:val="auto"/>
                <w:sz w:val="30"/>
                <w:szCs w:val="30"/>
                <w:highlight w:val="none"/>
              </w:rPr>
            </w:pPr>
          </w:p>
        </w:tc>
        <w:tc>
          <w:tcPr>
            <w:tcW w:w="1667" w:type="dxa"/>
            <w:noWrap w:val="0"/>
            <w:vAlign w:val="top"/>
          </w:tcPr>
          <w:p w14:paraId="2D619398">
            <w:pPr>
              <w:rPr>
                <w:rFonts w:ascii="Calibri" w:hAnsi="Calibri" w:eastAsia="仿宋_GB2312"/>
                <w:color w:val="auto"/>
                <w:sz w:val="30"/>
                <w:szCs w:val="30"/>
                <w:highlight w:val="none"/>
              </w:rPr>
            </w:pPr>
          </w:p>
        </w:tc>
      </w:tr>
      <w:tr w14:paraId="3C3DD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3B65B6">
            <w:pPr>
              <w:rPr>
                <w:rFonts w:ascii="Calibri" w:hAnsi="Calibri" w:eastAsia="仿宋_GB2312"/>
                <w:color w:val="auto"/>
                <w:sz w:val="30"/>
                <w:szCs w:val="30"/>
                <w:highlight w:val="none"/>
              </w:rPr>
            </w:pPr>
          </w:p>
        </w:tc>
        <w:tc>
          <w:tcPr>
            <w:tcW w:w="1276" w:type="dxa"/>
            <w:noWrap w:val="0"/>
            <w:vAlign w:val="top"/>
          </w:tcPr>
          <w:p w14:paraId="48269092">
            <w:pPr>
              <w:rPr>
                <w:rFonts w:ascii="Calibri" w:hAnsi="Calibri" w:eastAsia="仿宋_GB2312"/>
                <w:color w:val="auto"/>
                <w:sz w:val="30"/>
                <w:szCs w:val="30"/>
                <w:highlight w:val="none"/>
              </w:rPr>
            </w:pPr>
          </w:p>
        </w:tc>
        <w:tc>
          <w:tcPr>
            <w:tcW w:w="1450" w:type="dxa"/>
            <w:noWrap w:val="0"/>
            <w:vAlign w:val="top"/>
          </w:tcPr>
          <w:p w14:paraId="3B350151">
            <w:pPr>
              <w:rPr>
                <w:rFonts w:ascii="Calibri" w:hAnsi="Calibri" w:eastAsia="仿宋_GB2312"/>
                <w:color w:val="auto"/>
                <w:sz w:val="30"/>
                <w:szCs w:val="30"/>
                <w:highlight w:val="none"/>
              </w:rPr>
            </w:pPr>
          </w:p>
        </w:tc>
        <w:tc>
          <w:tcPr>
            <w:tcW w:w="1243" w:type="dxa"/>
            <w:noWrap w:val="0"/>
            <w:vAlign w:val="top"/>
          </w:tcPr>
          <w:p w14:paraId="0EEF6010">
            <w:pPr>
              <w:rPr>
                <w:rFonts w:ascii="Calibri" w:hAnsi="Calibri" w:eastAsia="仿宋_GB2312"/>
                <w:color w:val="auto"/>
                <w:sz w:val="30"/>
                <w:szCs w:val="30"/>
                <w:highlight w:val="none"/>
              </w:rPr>
            </w:pPr>
          </w:p>
        </w:tc>
        <w:tc>
          <w:tcPr>
            <w:tcW w:w="1450" w:type="dxa"/>
            <w:noWrap w:val="0"/>
            <w:vAlign w:val="top"/>
          </w:tcPr>
          <w:p w14:paraId="4C0AF3CB">
            <w:pPr>
              <w:rPr>
                <w:rFonts w:ascii="Calibri" w:hAnsi="Calibri" w:eastAsia="仿宋_GB2312"/>
                <w:color w:val="auto"/>
                <w:sz w:val="30"/>
                <w:szCs w:val="30"/>
                <w:highlight w:val="none"/>
              </w:rPr>
            </w:pPr>
          </w:p>
        </w:tc>
        <w:tc>
          <w:tcPr>
            <w:tcW w:w="1667" w:type="dxa"/>
            <w:noWrap w:val="0"/>
            <w:vAlign w:val="top"/>
          </w:tcPr>
          <w:p w14:paraId="4BF4D471">
            <w:pPr>
              <w:rPr>
                <w:rFonts w:ascii="Calibri" w:hAnsi="Calibri" w:eastAsia="仿宋_GB2312"/>
                <w:color w:val="auto"/>
                <w:sz w:val="30"/>
                <w:szCs w:val="30"/>
                <w:highlight w:val="none"/>
              </w:rPr>
            </w:pPr>
          </w:p>
        </w:tc>
      </w:tr>
      <w:tr w14:paraId="26816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654E7">
            <w:pPr>
              <w:rPr>
                <w:rFonts w:ascii="Calibri" w:hAnsi="Calibri" w:eastAsia="仿宋_GB2312"/>
                <w:color w:val="auto"/>
                <w:sz w:val="30"/>
                <w:szCs w:val="30"/>
                <w:highlight w:val="none"/>
              </w:rPr>
            </w:pPr>
          </w:p>
        </w:tc>
        <w:tc>
          <w:tcPr>
            <w:tcW w:w="1276" w:type="dxa"/>
            <w:noWrap w:val="0"/>
            <w:vAlign w:val="top"/>
          </w:tcPr>
          <w:p w14:paraId="5EC7A164">
            <w:pPr>
              <w:rPr>
                <w:rFonts w:ascii="Calibri" w:hAnsi="Calibri" w:eastAsia="仿宋_GB2312"/>
                <w:color w:val="auto"/>
                <w:sz w:val="30"/>
                <w:szCs w:val="30"/>
                <w:highlight w:val="none"/>
              </w:rPr>
            </w:pPr>
          </w:p>
        </w:tc>
        <w:tc>
          <w:tcPr>
            <w:tcW w:w="1450" w:type="dxa"/>
            <w:noWrap w:val="0"/>
            <w:vAlign w:val="top"/>
          </w:tcPr>
          <w:p w14:paraId="09C80E5D">
            <w:pPr>
              <w:rPr>
                <w:rFonts w:ascii="Calibri" w:hAnsi="Calibri" w:eastAsia="仿宋_GB2312"/>
                <w:color w:val="auto"/>
                <w:sz w:val="30"/>
                <w:szCs w:val="30"/>
                <w:highlight w:val="none"/>
              </w:rPr>
            </w:pPr>
          </w:p>
        </w:tc>
        <w:tc>
          <w:tcPr>
            <w:tcW w:w="1243" w:type="dxa"/>
            <w:noWrap w:val="0"/>
            <w:vAlign w:val="top"/>
          </w:tcPr>
          <w:p w14:paraId="71A98705">
            <w:pPr>
              <w:rPr>
                <w:rFonts w:ascii="Calibri" w:hAnsi="Calibri" w:eastAsia="仿宋_GB2312"/>
                <w:color w:val="auto"/>
                <w:sz w:val="30"/>
                <w:szCs w:val="30"/>
                <w:highlight w:val="none"/>
              </w:rPr>
            </w:pPr>
          </w:p>
        </w:tc>
        <w:tc>
          <w:tcPr>
            <w:tcW w:w="1450" w:type="dxa"/>
            <w:noWrap w:val="0"/>
            <w:vAlign w:val="top"/>
          </w:tcPr>
          <w:p w14:paraId="0CC6DAF8">
            <w:pPr>
              <w:rPr>
                <w:rFonts w:ascii="Calibri" w:hAnsi="Calibri" w:eastAsia="仿宋_GB2312"/>
                <w:color w:val="auto"/>
                <w:sz w:val="30"/>
                <w:szCs w:val="30"/>
                <w:highlight w:val="none"/>
              </w:rPr>
            </w:pPr>
          </w:p>
        </w:tc>
        <w:tc>
          <w:tcPr>
            <w:tcW w:w="1667" w:type="dxa"/>
            <w:noWrap w:val="0"/>
            <w:vAlign w:val="top"/>
          </w:tcPr>
          <w:p w14:paraId="7F8A6E7F">
            <w:pPr>
              <w:rPr>
                <w:rFonts w:ascii="Calibri" w:hAnsi="Calibri" w:eastAsia="仿宋_GB2312"/>
                <w:color w:val="auto"/>
                <w:sz w:val="30"/>
                <w:szCs w:val="30"/>
                <w:highlight w:val="none"/>
              </w:rPr>
            </w:pPr>
          </w:p>
        </w:tc>
      </w:tr>
      <w:tr w14:paraId="2276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6E1973">
            <w:pPr>
              <w:rPr>
                <w:rFonts w:ascii="Calibri" w:hAnsi="Calibri" w:eastAsia="仿宋_GB2312"/>
                <w:color w:val="auto"/>
                <w:sz w:val="30"/>
                <w:szCs w:val="30"/>
                <w:highlight w:val="none"/>
              </w:rPr>
            </w:pPr>
          </w:p>
        </w:tc>
        <w:tc>
          <w:tcPr>
            <w:tcW w:w="1276" w:type="dxa"/>
            <w:noWrap w:val="0"/>
            <w:vAlign w:val="top"/>
          </w:tcPr>
          <w:p w14:paraId="6ED8C284">
            <w:pPr>
              <w:rPr>
                <w:rFonts w:ascii="Calibri" w:hAnsi="Calibri" w:eastAsia="仿宋_GB2312"/>
                <w:color w:val="auto"/>
                <w:sz w:val="30"/>
                <w:szCs w:val="30"/>
                <w:highlight w:val="none"/>
              </w:rPr>
            </w:pPr>
          </w:p>
        </w:tc>
        <w:tc>
          <w:tcPr>
            <w:tcW w:w="1450" w:type="dxa"/>
            <w:noWrap w:val="0"/>
            <w:vAlign w:val="top"/>
          </w:tcPr>
          <w:p w14:paraId="2DC70371">
            <w:pPr>
              <w:rPr>
                <w:rFonts w:ascii="Calibri" w:hAnsi="Calibri" w:eastAsia="仿宋_GB2312"/>
                <w:color w:val="auto"/>
                <w:sz w:val="30"/>
                <w:szCs w:val="30"/>
                <w:highlight w:val="none"/>
              </w:rPr>
            </w:pPr>
          </w:p>
        </w:tc>
        <w:tc>
          <w:tcPr>
            <w:tcW w:w="1243" w:type="dxa"/>
            <w:noWrap w:val="0"/>
            <w:vAlign w:val="top"/>
          </w:tcPr>
          <w:p w14:paraId="0680CB3E">
            <w:pPr>
              <w:rPr>
                <w:rFonts w:ascii="Calibri" w:hAnsi="Calibri" w:eastAsia="仿宋_GB2312"/>
                <w:color w:val="auto"/>
                <w:sz w:val="30"/>
                <w:szCs w:val="30"/>
                <w:highlight w:val="none"/>
              </w:rPr>
            </w:pPr>
          </w:p>
        </w:tc>
        <w:tc>
          <w:tcPr>
            <w:tcW w:w="1450" w:type="dxa"/>
            <w:noWrap w:val="0"/>
            <w:vAlign w:val="top"/>
          </w:tcPr>
          <w:p w14:paraId="6A70AEBE">
            <w:pPr>
              <w:rPr>
                <w:rFonts w:ascii="Calibri" w:hAnsi="Calibri" w:eastAsia="仿宋_GB2312"/>
                <w:color w:val="auto"/>
                <w:sz w:val="30"/>
                <w:szCs w:val="30"/>
                <w:highlight w:val="none"/>
              </w:rPr>
            </w:pPr>
          </w:p>
        </w:tc>
        <w:tc>
          <w:tcPr>
            <w:tcW w:w="1667" w:type="dxa"/>
            <w:noWrap w:val="0"/>
            <w:vAlign w:val="top"/>
          </w:tcPr>
          <w:p w14:paraId="71B9631D">
            <w:pPr>
              <w:rPr>
                <w:rFonts w:ascii="Calibri" w:hAnsi="Calibri" w:eastAsia="仿宋_GB2312"/>
                <w:color w:val="auto"/>
                <w:sz w:val="30"/>
                <w:szCs w:val="30"/>
                <w:highlight w:val="none"/>
              </w:rPr>
            </w:pPr>
          </w:p>
        </w:tc>
      </w:tr>
    </w:tbl>
    <w:p w14:paraId="21E8223D">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1155" w:name="_Toc5368"/>
      <w:bookmarkStart w:id="1156" w:name="_Toc19103"/>
      <w:bookmarkStart w:id="1157" w:name="_Toc27993"/>
      <w:r>
        <w:rPr>
          <w:rFonts w:eastAsia="仿宋_GB2312"/>
          <w:color w:val="auto"/>
          <w:sz w:val="30"/>
          <w:szCs w:val="30"/>
          <w:highlight w:val="none"/>
        </w:rPr>
        <w:t>附</w:t>
      </w:r>
      <w:bookmarkStart w:id="1158" w:name="_Toc296891055"/>
      <w:bookmarkStart w:id="1159" w:name="_Toc296944566"/>
      <w:bookmarkStart w:id="1160" w:name="_Toc296347226"/>
      <w:bookmarkStart w:id="1161" w:name="_Toc296503227"/>
      <w:bookmarkStart w:id="1162" w:name="_Toc296891267"/>
      <w:bookmarkStart w:id="1163" w:name="_Toc267261698"/>
      <w:bookmarkStart w:id="1164" w:name="_Toc296346728"/>
      <w:r>
        <w:rPr>
          <w:rFonts w:eastAsia="仿宋_GB2312"/>
          <w:color w:val="auto"/>
          <w:sz w:val="30"/>
          <w:szCs w:val="30"/>
          <w:highlight w:val="none"/>
        </w:rPr>
        <w:t>件</w:t>
      </w:r>
      <w:r>
        <w:rPr>
          <w:rFonts w:hint="eastAsia" w:eastAsia="仿宋_GB2312"/>
          <w:color w:val="auto"/>
          <w:sz w:val="30"/>
          <w:szCs w:val="30"/>
          <w:highlight w:val="none"/>
        </w:rPr>
        <w:t>4</w:t>
      </w:r>
      <w:r>
        <w:rPr>
          <w:rFonts w:eastAsia="仿宋_GB2312"/>
          <w:color w:val="auto"/>
          <w:sz w:val="30"/>
          <w:szCs w:val="30"/>
          <w:highlight w:val="none"/>
        </w:rPr>
        <w:t>：</w:t>
      </w:r>
      <w:bookmarkEnd w:id="1155"/>
      <w:bookmarkEnd w:id="1156"/>
      <w:bookmarkEnd w:id="1157"/>
    </w:p>
    <w:bookmarkEnd w:id="1158"/>
    <w:bookmarkEnd w:id="1159"/>
    <w:bookmarkEnd w:id="1160"/>
    <w:bookmarkEnd w:id="1161"/>
    <w:bookmarkEnd w:id="1162"/>
    <w:bookmarkEnd w:id="1163"/>
    <w:bookmarkEnd w:id="1164"/>
    <w:p w14:paraId="674349E4">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551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FFCFF3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序号</w:t>
            </w:r>
          </w:p>
        </w:tc>
        <w:tc>
          <w:tcPr>
            <w:tcW w:w="1418" w:type="dxa"/>
            <w:tcBorders>
              <w:top w:val="single" w:color="auto" w:sz="12" w:space="0"/>
              <w:bottom w:val="double" w:color="auto" w:sz="6" w:space="0"/>
            </w:tcBorders>
            <w:noWrap w:val="0"/>
            <w:vAlign w:val="center"/>
          </w:tcPr>
          <w:p w14:paraId="5F415A2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0FAF38A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527065A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数量</w:t>
            </w:r>
          </w:p>
        </w:tc>
        <w:tc>
          <w:tcPr>
            <w:tcW w:w="880" w:type="dxa"/>
            <w:tcBorders>
              <w:top w:val="single" w:color="auto" w:sz="12" w:space="0"/>
              <w:bottom w:val="double" w:color="auto" w:sz="6" w:space="0"/>
            </w:tcBorders>
            <w:noWrap w:val="0"/>
            <w:vAlign w:val="center"/>
          </w:tcPr>
          <w:p w14:paraId="04A0BF6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产地</w:t>
            </w:r>
          </w:p>
        </w:tc>
        <w:tc>
          <w:tcPr>
            <w:tcW w:w="1020" w:type="dxa"/>
            <w:tcBorders>
              <w:top w:val="single" w:color="auto" w:sz="12" w:space="0"/>
              <w:bottom w:val="double" w:color="auto" w:sz="6" w:space="0"/>
            </w:tcBorders>
            <w:noWrap w:val="0"/>
            <w:vAlign w:val="center"/>
          </w:tcPr>
          <w:p w14:paraId="2F998991">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17F42BF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额定功率</w:t>
            </w:r>
            <w:r>
              <w:rPr>
                <w:rFonts w:hint="eastAsia" w:eastAsia="仿宋_GB2312"/>
                <w:color w:val="auto"/>
                <w:sz w:val="28"/>
                <w:szCs w:val="30"/>
                <w:highlight w:val="none"/>
                <w:lang w:eastAsia="zh-CN"/>
              </w:rPr>
              <w:t>（</w:t>
            </w:r>
            <w:r>
              <w:rPr>
                <w:rFonts w:eastAsia="仿宋_GB2312"/>
                <w:color w:val="auto"/>
                <w:sz w:val="28"/>
                <w:szCs w:val="30"/>
                <w:highlight w:val="none"/>
              </w:rPr>
              <w:t>kW)</w:t>
            </w:r>
          </w:p>
        </w:tc>
        <w:tc>
          <w:tcPr>
            <w:tcW w:w="1020" w:type="dxa"/>
            <w:tcBorders>
              <w:top w:val="single" w:color="auto" w:sz="12" w:space="0"/>
              <w:bottom w:val="double" w:color="auto" w:sz="6" w:space="0"/>
            </w:tcBorders>
            <w:noWrap w:val="0"/>
            <w:vAlign w:val="center"/>
          </w:tcPr>
          <w:p w14:paraId="2B7D502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6610BA3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备注</w:t>
            </w:r>
          </w:p>
        </w:tc>
      </w:tr>
      <w:tr w14:paraId="5D6A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EAC5B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double" w:color="auto" w:sz="6" w:space="0"/>
              <w:bottom w:val="single" w:color="auto" w:sz="6" w:space="0"/>
            </w:tcBorders>
            <w:noWrap w:val="0"/>
            <w:vAlign w:val="center"/>
          </w:tcPr>
          <w:p w14:paraId="0CA5FB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318282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double" w:color="auto" w:sz="6" w:space="0"/>
              <w:bottom w:val="single" w:color="auto" w:sz="6" w:space="0"/>
            </w:tcBorders>
            <w:noWrap w:val="0"/>
            <w:vAlign w:val="center"/>
          </w:tcPr>
          <w:p w14:paraId="737BD02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double" w:color="auto" w:sz="6" w:space="0"/>
              <w:bottom w:val="single" w:color="auto" w:sz="6" w:space="0"/>
            </w:tcBorders>
            <w:noWrap w:val="0"/>
            <w:vAlign w:val="center"/>
          </w:tcPr>
          <w:p w14:paraId="1BB9D6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58CBBB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double" w:color="auto" w:sz="6" w:space="0"/>
              <w:bottom w:val="single" w:color="auto" w:sz="6" w:space="0"/>
            </w:tcBorders>
            <w:noWrap w:val="0"/>
            <w:vAlign w:val="center"/>
          </w:tcPr>
          <w:p w14:paraId="0EC579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1331CC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double" w:color="auto" w:sz="6" w:space="0"/>
              <w:bottom w:val="single" w:color="auto" w:sz="6" w:space="0"/>
            </w:tcBorders>
            <w:noWrap w:val="0"/>
            <w:vAlign w:val="center"/>
          </w:tcPr>
          <w:p w14:paraId="331125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560F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C225F0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nil"/>
            </w:tcBorders>
            <w:noWrap w:val="0"/>
            <w:vAlign w:val="center"/>
          </w:tcPr>
          <w:p w14:paraId="15A3A7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3E42EA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nil"/>
            </w:tcBorders>
            <w:noWrap w:val="0"/>
            <w:vAlign w:val="center"/>
          </w:tcPr>
          <w:p w14:paraId="76AC1D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nil"/>
            </w:tcBorders>
            <w:noWrap w:val="0"/>
            <w:vAlign w:val="center"/>
          </w:tcPr>
          <w:p w14:paraId="0E12BB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32E85A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nil"/>
            </w:tcBorders>
            <w:noWrap w:val="0"/>
            <w:vAlign w:val="center"/>
          </w:tcPr>
          <w:p w14:paraId="40CBC8F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6942B8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nil"/>
            </w:tcBorders>
            <w:noWrap w:val="0"/>
            <w:vAlign w:val="center"/>
          </w:tcPr>
          <w:p w14:paraId="24C7E1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0F68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50041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613790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74229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CE677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34F7386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64148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28C95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DA56F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DED37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3442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9C26DF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A385D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A6F10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966F0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69B6C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266E5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3C685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9ABE5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24484C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B8E8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68F9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22496F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D1E7F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7E4C97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7E034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53768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E86F83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D9B1B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ABAD3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42A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A6739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D5C25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A863B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0F7029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63C79D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C8377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A8538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4EC66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9F0DA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DFF4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EE5472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413D94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912B0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F230C9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8491D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69C6B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F2208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12735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6F8FC4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B56A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AEEAA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66D4807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683EC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67FCE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93B79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E664B6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71AFB3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F700E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DB3C1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4EFE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CABEA3F">
            <w:pPr>
              <w:rPr>
                <w:rFonts w:ascii="Calibri" w:hAnsi="Calibri" w:eastAsia="仿宋_GB2312"/>
                <w:color w:val="auto"/>
                <w:sz w:val="30"/>
                <w:szCs w:val="30"/>
                <w:highlight w:val="none"/>
              </w:rPr>
            </w:pPr>
          </w:p>
        </w:tc>
        <w:tc>
          <w:tcPr>
            <w:tcW w:w="1418" w:type="dxa"/>
            <w:noWrap w:val="0"/>
            <w:vAlign w:val="top"/>
          </w:tcPr>
          <w:p w14:paraId="76F3C907">
            <w:pPr>
              <w:rPr>
                <w:rFonts w:ascii="Calibri" w:hAnsi="Calibri" w:eastAsia="仿宋_GB2312"/>
                <w:color w:val="auto"/>
                <w:sz w:val="30"/>
                <w:szCs w:val="30"/>
                <w:highlight w:val="none"/>
              </w:rPr>
            </w:pPr>
          </w:p>
        </w:tc>
        <w:tc>
          <w:tcPr>
            <w:tcW w:w="850" w:type="dxa"/>
            <w:noWrap w:val="0"/>
            <w:vAlign w:val="top"/>
          </w:tcPr>
          <w:p w14:paraId="27BB9BCD">
            <w:pPr>
              <w:rPr>
                <w:rFonts w:ascii="Calibri" w:hAnsi="Calibri" w:eastAsia="仿宋_GB2312"/>
                <w:color w:val="auto"/>
                <w:sz w:val="30"/>
                <w:szCs w:val="30"/>
                <w:highlight w:val="none"/>
              </w:rPr>
            </w:pPr>
          </w:p>
        </w:tc>
        <w:tc>
          <w:tcPr>
            <w:tcW w:w="1058" w:type="dxa"/>
            <w:noWrap w:val="0"/>
            <w:vAlign w:val="top"/>
          </w:tcPr>
          <w:p w14:paraId="6A7CA578">
            <w:pPr>
              <w:rPr>
                <w:rFonts w:ascii="Calibri" w:hAnsi="Calibri" w:eastAsia="仿宋_GB2312"/>
                <w:color w:val="auto"/>
                <w:sz w:val="30"/>
                <w:szCs w:val="30"/>
                <w:highlight w:val="none"/>
              </w:rPr>
            </w:pPr>
          </w:p>
        </w:tc>
        <w:tc>
          <w:tcPr>
            <w:tcW w:w="880" w:type="dxa"/>
            <w:noWrap w:val="0"/>
            <w:vAlign w:val="top"/>
          </w:tcPr>
          <w:p w14:paraId="6318B290">
            <w:pPr>
              <w:rPr>
                <w:rFonts w:ascii="Calibri" w:hAnsi="Calibri" w:eastAsia="仿宋_GB2312"/>
                <w:color w:val="auto"/>
                <w:sz w:val="30"/>
                <w:szCs w:val="30"/>
                <w:highlight w:val="none"/>
              </w:rPr>
            </w:pPr>
          </w:p>
        </w:tc>
        <w:tc>
          <w:tcPr>
            <w:tcW w:w="1020" w:type="dxa"/>
            <w:noWrap w:val="0"/>
            <w:vAlign w:val="top"/>
          </w:tcPr>
          <w:p w14:paraId="44D99BDE">
            <w:pPr>
              <w:rPr>
                <w:rFonts w:ascii="Calibri" w:hAnsi="Calibri" w:eastAsia="仿宋_GB2312"/>
                <w:color w:val="auto"/>
                <w:sz w:val="30"/>
                <w:szCs w:val="30"/>
                <w:highlight w:val="none"/>
              </w:rPr>
            </w:pPr>
          </w:p>
        </w:tc>
        <w:tc>
          <w:tcPr>
            <w:tcW w:w="1480" w:type="dxa"/>
            <w:noWrap w:val="0"/>
            <w:vAlign w:val="top"/>
          </w:tcPr>
          <w:p w14:paraId="2B787177">
            <w:pPr>
              <w:rPr>
                <w:rFonts w:ascii="Calibri" w:hAnsi="Calibri" w:eastAsia="仿宋_GB2312"/>
                <w:color w:val="auto"/>
                <w:sz w:val="30"/>
                <w:szCs w:val="30"/>
                <w:highlight w:val="none"/>
              </w:rPr>
            </w:pPr>
          </w:p>
        </w:tc>
        <w:tc>
          <w:tcPr>
            <w:tcW w:w="1020" w:type="dxa"/>
            <w:noWrap w:val="0"/>
            <w:vAlign w:val="top"/>
          </w:tcPr>
          <w:p w14:paraId="45CA836B">
            <w:pPr>
              <w:rPr>
                <w:rFonts w:ascii="Calibri" w:hAnsi="Calibri" w:eastAsia="仿宋_GB2312"/>
                <w:color w:val="auto"/>
                <w:sz w:val="30"/>
                <w:szCs w:val="30"/>
                <w:highlight w:val="none"/>
              </w:rPr>
            </w:pPr>
          </w:p>
        </w:tc>
        <w:tc>
          <w:tcPr>
            <w:tcW w:w="921" w:type="dxa"/>
            <w:noWrap w:val="0"/>
            <w:vAlign w:val="top"/>
          </w:tcPr>
          <w:p w14:paraId="446E0DED">
            <w:pPr>
              <w:rPr>
                <w:rFonts w:ascii="Calibri" w:hAnsi="Calibri" w:eastAsia="仿宋_GB2312"/>
                <w:color w:val="auto"/>
                <w:sz w:val="30"/>
                <w:szCs w:val="30"/>
                <w:highlight w:val="none"/>
              </w:rPr>
            </w:pPr>
          </w:p>
        </w:tc>
      </w:tr>
      <w:tr w14:paraId="3CDFD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95945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6A543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776146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DE46D3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7F1D6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34833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89A72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3E92F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4F420D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17B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ED20F8B">
            <w:pPr>
              <w:rPr>
                <w:rFonts w:ascii="Calibri" w:hAnsi="Calibri" w:eastAsia="仿宋_GB2312"/>
                <w:color w:val="auto"/>
                <w:sz w:val="30"/>
                <w:szCs w:val="30"/>
                <w:highlight w:val="none"/>
              </w:rPr>
            </w:pPr>
          </w:p>
        </w:tc>
        <w:tc>
          <w:tcPr>
            <w:tcW w:w="1418" w:type="dxa"/>
            <w:noWrap w:val="0"/>
            <w:vAlign w:val="top"/>
          </w:tcPr>
          <w:p w14:paraId="2AE0A8F7">
            <w:pPr>
              <w:rPr>
                <w:rFonts w:ascii="Calibri" w:hAnsi="Calibri" w:eastAsia="仿宋_GB2312"/>
                <w:color w:val="auto"/>
                <w:sz w:val="30"/>
                <w:szCs w:val="30"/>
                <w:highlight w:val="none"/>
              </w:rPr>
            </w:pPr>
          </w:p>
        </w:tc>
        <w:tc>
          <w:tcPr>
            <w:tcW w:w="850" w:type="dxa"/>
            <w:noWrap w:val="0"/>
            <w:vAlign w:val="top"/>
          </w:tcPr>
          <w:p w14:paraId="34B06109">
            <w:pPr>
              <w:rPr>
                <w:rFonts w:ascii="Calibri" w:hAnsi="Calibri" w:eastAsia="仿宋_GB2312"/>
                <w:color w:val="auto"/>
                <w:sz w:val="30"/>
                <w:szCs w:val="30"/>
                <w:highlight w:val="none"/>
              </w:rPr>
            </w:pPr>
          </w:p>
        </w:tc>
        <w:tc>
          <w:tcPr>
            <w:tcW w:w="1058" w:type="dxa"/>
            <w:noWrap w:val="0"/>
            <w:vAlign w:val="top"/>
          </w:tcPr>
          <w:p w14:paraId="17323A13">
            <w:pPr>
              <w:rPr>
                <w:rFonts w:ascii="Calibri" w:hAnsi="Calibri" w:eastAsia="仿宋_GB2312"/>
                <w:color w:val="auto"/>
                <w:sz w:val="30"/>
                <w:szCs w:val="30"/>
                <w:highlight w:val="none"/>
              </w:rPr>
            </w:pPr>
          </w:p>
        </w:tc>
        <w:tc>
          <w:tcPr>
            <w:tcW w:w="880" w:type="dxa"/>
            <w:noWrap w:val="0"/>
            <w:vAlign w:val="top"/>
          </w:tcPr>
          <w:p w14:paraId="28FE04AB">
            <w:pPr>
              <w:rPr>
                <w:rFonts w:ascii="Calibri" w:hAnsi="Calibri" w:eastAsia="仿宋_GB2312"/>
                <w:color w:val="auto"/>
                <w:sz w:val="30"/>
                <w:szCs w:val="30"/>
                <w:highlight w:val="none"/>
              </w:rPr>
            </w:pPr>
          </w:p>
        </w:tc>
        <w:tc>
          <w:tcPr>
            <w:tcW w:w="1020" w:type="dxa"/>
            <w:noWrap w:val="0"/>
            <w:vAlign w:val="top"/>
          </w:tcPr>
          <w:p w14:paraId="4D09B42B">
            <w:pPr>
              <w:rPr>
                <w:rFonts w:ascii="Calibri" w:hAnsi="Calibri" w:eastAsia="仿宋_GB2312"/>
                <w:color w:val="auto"/>
                <w:sz w:val="30"/>
                <w:szCs w:val="30"/>
                <w:highlight w:val="none"/>
              </w:rPr>
            </w:pPr>
          </w:p>
        </w:tc>
        <w:tc>
          <w:tcPr>
            <w:tcW w:w="1480" w:type="dxa"/>
            <w:noWrap w:val="0"/>
            <w:vAlign w:val="top"/>
          </w:tcPr>
          <w:p w14:paraId="43466C94">
            <w:pPr>
              <w:rPr>
                <w:rFonts w:ascii="Calibri" w:hAnsi="Calibri" w:eastAsia="仿宋_GB2312"/>
                <w:color w:val="auto"/>
                <w:sz w:val="30"/>
                <w:szCs w:val="30"/>
                <w:highlight w:val="none"/>
              </w:rPr>
            </w:pPr>
          </w:p>
        </w:tc>
        <w:tc>
          <w:tcPr>
            <w:tcW w:w="1020" w:type="dxa"/>
            <w:noWrap w:val="0"/>
            <w:vAlign w:val="top"/>
          </w:tcPr>
          <w:p w14:paraId="0923A77A">
            <w:pPr>
              <w:rPr>
                <w:rFonts w:ascii="Calibri" w:hAnsi="Calibri" w:eastAsia="仿宋_GB2312"/>
                <w:color w:val="auto"/>
                <w:sz w:val="30"/>
                <w:szCs w:val="30"/>
                <w:highlight w:val="none"/>
              </w:rPr>
            </w:pPr>
          </w:p>
        </w:tc>
        <w:tc>
          <w:tcPr>
            <w:tcW w:w="921" w:type="dxa"/>
            <w:noWrap w:val="0"/>
            <w:vAlign w:val="top"/>
          </w:tcPr>
          <w:p w14:paraId="5BE4CD20">
            <w:pPr>
              <w:rPr>
                <w:rFonts w:ascii="Calibri" w:hAnsi="Calibri" w:eastAsia="仿宋_GB2312"/>
                <w:color w:val="auto"/>
                <w:sz w:val="30"/>
                <w:szCs w:val="30"/>
                <w:highlight w:val="none"/>
              </w:rPr>
            </w:pPr>
          </w:p>
        </w:tc>
      </w:tr>
      <w:tr w14:paraId="582B4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7629A87">
            <w:pPr>
              <w:rPr>
                <w:rFonts w:ascii="Calibri" w:hAnsi="Calibri" w:eastAsia="仿宋_GB2312"/>
                <w:color w:val="auto"/>
                <w:sz w:val="30"/>
                <w:szCs w:val="30"/>
                <w:highlight w:val="none"/>
              </w:rPr>
            </w:pPr>
          </w:p>
        </w:tc>
        <w:tc>
          <w:tcPr>
            <w:tcW w:w="1418" w:type="dxa"/>
            <w:noWrap w:val="0"/>
            <w:vAlign w:val="top"/>
          </w:tcPr>
          <w:p w14:paraId="753FB143">
            <w:pPr>
              <w:rPr>
                <w:rFonts w:ascii="Calibri" w:hAnsi="Calibri" w:eastAsia="仿宋_GB2312"/>
                <w:color w:val="auto"/>
                <w:sz w:val="30"/>
                <w:szCs w:val="30"/>
                <w:highlight w:val="none"/>
              </w:rPr>
            </w:pPr>
          </w:p>
        </w:tc>
        <w:tc>
          <w:tcPr>
            <w:tcW w:w="850" w:type="dxa"/>
            <w:noWrap w:val="0"/>
            <w:vAlign w:val="top"/>
          </w:tcPr>
          <w:p w14:paraId="4AAD1334">
            <w:pPr>
              <w:rPr>
                <w:rFonts w:ascii="Calibri" w:hAnsi="Calibri" w:eastAsia="仿宋_GB2312"/>
                <w:color w:val="auto"/>
                <w:sz w:val="30"/>
                <w:szCs w:val="30"/>
                <w:highlight w:val="none"/>
              </w:rPr>
            </w:pPr>
          </w:p>
        </w:tc>
        <w:tc>
          <w:tcPr>
            <w:tcW w:w="1058" w:type="dxa"/>
            <w:noWrap w:val="0"/>
            <w:vAlign w:val="top"/>
          </w:tcPr>
          <w:p w14:paraId="1F7A5A12">
            <w:pPr>
              <w:rPr>
                <w:rFonts w:ascii="Calibri" w:hAnsi="Calibri" w:eastAsia="仿宋_GB2312"/>
                <w:color w:val="auto"/>
                <w:sz w:val="30"/>
                <w:szCs w:val="30"/>
                <w:highlight w:val="none"/>
              </w:rPr>
            </w:pPr>
          </w:p>
        </w:tc>
        <w:tc>
          <w:tcPr>
            <w:tcW w:w="880" w:type="dxa"/>
            <w:noWrap w:val="0"/>
            <w:vAlign w:val="top"/>
          </w:tcPr>
          <w:p w14:paraId="041C62AB">
            <w:pPr>
              <w:rPr>
                <w:rFonts w:ascii="Calibri" w:hAnsi="Calibri" w:eastAsia="仿宋_GB2312"/>
                <w:color w:val="auto"/>
                <w:sz w:val="30"/>
                <w:szCs w:val="30"/>
                <w:highlight w:val="none"/>
              </w:rPr>
            </w:pPr>
          </w:p>
        </w:tc>
        <w:tc>
          <w:tcPr>
            <w:tcW w:w="1020" w:type="dxa"/>
            <w:noWrap w:val="0"/>
            <w:vAlign w:val="top"/>
          </w:tcPr>
          <w:p w14:paraId="7042D02B">
            <w:pPr>
              <w:rPr>
                <w:rFonts w:ascii="Calibri" w:hAnsi="Calibri" w:eastAsia="仿宋_GB2312"/>
                <w:color w:val="auto"/>
                <w:sz w:val="30"/>
                <w:szCs w:val="30"/>
                <w:highlight w:val="none"/>
              </w:rPr>
            </w:pPr>
          </w:p>
        </w:tc>
        <w:tc>
          <w:tcPr>
            <w:tcW w:w="1480" w:type="dxa"/>
            <w:noWrap w:val="0"/>
            <w:vAlign w:val="top"/>
          </w:tcPr>
          <w:p w14:paraId="36BD89EA">
            <w:pPr>
              <w:rPr>
                <w:rFonts w:ascii="Calibri" w:hAnsi="Calibri" w:eastAsia="仿宋_GB2312"/>
                <w:color w:val="auto"/>
                <w:sz w:val="30"/>
                <w:szCs w:val="30"/>
                <w:highlight w:val="none"/>
              </w:rPr>
            </w:pPr>
          </w:p>
        </w:tc>
        <w:tc>
          <w:tcPr>
            <w:tcW w:w="1020" w:type="dxa"/>
            <w:noWrap w:val="0"/>
            <w:vAlign w:val="top"/>
          </w:tcPr>
          <w:p w14:paraId="6551E387">
            <w:pPr>
              <w:rPr>
                <w:rFonts w:ascii="Calibri" w:hAnsi="Calibri" w:eastAsia="仿宋_GB2312"/>
                <w:color w:val="auto"/>
                <w:sz w:val="30"/>
                <w:szCs w:val="30"/>
                <w:highlight w:val="none"/>
              </w:rPr>
            </w:pPr>
          </w:p>
        </w:tc>
        <w:tc>
          <w:tcPr>
            <w:tcW w:w="921" w:type="dxa"/>
            <w:noWrap w:val="0"/>
            <w:vAlign w:val="top"/>
          </w:tcPr>
          <w:p w14:paraId="5DEC6E8F">
            <w:pPr>
              <w:rPr>
                <w:rFonts w:ascii="Calibri" w:hAnsi="Calibri" w:eastAsia="仿宋_GB2312"/>
                <w:color w:val="auto"/>
                <w:sz w:val="30"/>
                <w:szCs w:val="30"/>
                <w:highlight w:val="none"/>
              </w:rPr>
            </w:pPr>
          </w:p>
        </w:tc>
      </w:tr>
      <w:tr w14:paraId="14323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A63A3E">
            <w:pPr>
              <w:rPr>
                <w:rFonts w:ascii="Calibri" w:hAnsi="Calibri" w:eastAsia="仿宋_GB2312"/>
                <w:color w:val="auto"/>
                <w:sz w:val="30"/>
                <w:szCs w:val="30"/>
                <w:highlight w:val="none"/>
              </w:rPr>
            </w:pPr>
          </w:p>
        </w:tc>
        <w:tc>
          <w:tcPr>
            <w:tcW w:w="1418" w:type="dxa"/>
            <w:noWrap w:val="0"/>
            <w:vAlign w:val="top"/>
          </w:tcPr>
          <w:p w14:paraId="1C7F46D6">
            <w:pPr>
              <w:rPr>
                <w:rFonts w:ascii="Calibri" w:hAnsi="Calibri" w:eastAsia="仿宋_GB2312"/>
                <w:color w:val="auto"/>
                <w:sz w:val="30"/>
                <w:szCs w:val="30"/>
                <w:highlight w:val="none"/>
              </w:rPr>
            </w:pPr>
          </w:p>
        </w:tc>
        <w:tc>
          <w:tcPr>
            <w:tcW w:w="850" w:type="dxa"/>
            <w:noWrap w:val="0"/>
            <w:vAlign w:val="top"/>
          </w:tcPr>
          <w:p w14:paraId="492FA62B">
            <w:pPr>
              <w:rPr>
                <w:rFonts w:ascii="Calibri" w:hAnsi="Calibri" w:eastAsia="仿宋_GB2312"/>
                <w:color w:val="auto"/>
                <w:sz w:val="30"/>
                <w:szCs w:val="30"/>
                <w:highlight w:val="none"/>
              </w:rPr>
            </w:pPr>
          </w:p>
        </w:tc>
        <w:tc>
          <w:tcPr>
            <w:tcW w:w="1058" w:type="dxa"/>
            <w:noWrap w:val="0"/>
            <w:vAlign w:val="top"/>
          </w:tcPr>
          <w:p w14:paraId="03687FC1">
            <w:pPr>
              <w:rPr>
                <w:rFonts w:ascii="Calibri" w:hAnsi="Calibri" w:eastAsia="仿宋_GB2312"/>
                <w:color w:val="auto"/>
                <w:sz w:val="30"/>
                <w:szCs w:val="30"/>
                <w:highlight w:val="none"/>
              </w:rPr>
            </w:pPr>
          </w:p>
        </w:tc>
        <w:tc>
          <w:tcPr>
            <w:tcW w:w="880" w:type="dxa"/>
            <w:noWrap w:val="0"/>
            <w:vAlign w:val="top"/>
          </w:tcPr>
          <w:p w14:paraId="08233CA0">
            <w:pPr>
              <w:rPr>
                <w:rFonts w:ascii="Calibri" w:hAnsi="Calibri" w:eastAsia="仿宋_GB2312"/>
                <w:color w:val="auto"/>
                <w:sz w:val="30"/>
                <w:szCs w:val="30"/>
                <w:highlight w:val="none"/>
              </w:rPr>
            </w:pPr>
          </w:p>
        </w:tc>
        <w:tc>
          <w:tcPr>
            <w:tcW w:w="1020" w:type="dxa"/>
            <w:noWrap w:val="0"/>
            <w:vAlign w:val="top"/>
          </w:tcPr>
          <w:p w14:paraId="11387FB3">
            <w:pPr>
              <w:rPr>
                <w:rFonts w:ascii="Calibri" w:hAnsi="Calibri" w:eastAsia="仿宋_GB2312"/>
                <w:color w:val="auto"/>
                <w:sz w:val="30"/>
                <w:szCs w:val="30"/>
                <w:highlight w:val="none"/>
              </w:rPr>
            </w:pPr>
          </w:p>
        </w:tc>
        <w:tc>
          <w:tcPr>
            <w:tcW w:w="1480" w:type="dxa"/>
            <w:noWrap w:val="0"/>
            <w:vAlign w:val="top"/>
          </w:tcPr>
          <w:p w14:paraId="3EAFDACB">
            <w:pPr>
              <w:rPr>
                <w:rFonts w:ascii="Calibri" w:hAnsi="Calibri" w:eastAsia="仿宋_GB2312"/>
                <w:color w:val="auto"/>
                <w:sz w:val="30"/>
                <w:szCs w:val="30"/>
                <w:highlight w:val="none"/>
              </w:rPr>
            </w:pPr>
          </w:p>
        </w:tc>
        <w:tc>
          <w:tcPr>
            <w:tcW w:w="1020" w:type="dxa"/>
            <w:noWrap w:val="0"/>
            <w:vAlign w:val="top"/>
          </w:tcPr>
          <w:p w14:paraId="375C82DC">
            <w:pPr>
              <w:rPr>
                <w:rFonts w:ascii="Calibri" w:hAnsi="Calibri" w:eastAsia="仿宋_GB2312"/>
                <w:color w:val="auto"/>
                <w:sz w:val="30"/>
                <w:szCs w:val="30"/>
                <w:highlight w:val="none"/>
              </w:rPr>
            </w:pPr>
          </w:p>
        </w:tc>
        <w:tc>
          <w:tcPr>
            <w:tcW w:w="921" w:type="dxa"/>
            <w:noWrap w:val="0"/>
            <w:vAlign w:val="top"/>
          </w:tcPr>
          <w:p w14:paraId="060A9564">
            <w:pPr>
              <w:rPr>
                <w:rFonts w:ascii="Calibri" w:hAnsi="Calibri" w:eastAsia="仿宋_GB2312"/>
                <w:color w:val="auto"/>
                <w:sz w:val="30"/>
                <w:szCs w:val="30"/>
                <w:highlight w:val="none"/>
              </w:rPr>
            </w:pPr>
          </w:p>
        </w:tc>
      </w:tr>
      <w:tr w14:paraId="3B84E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3A0192">
            <w:pPr>
              <w:rPr>
                <w:rFonts w:ascii="Calibri" w:hAnsi="Calibri" w:eastAsia="仿宋_GB2312"/>
                <w:color w:val="auto"/>
                <w:sz w:val="30"/>
                <w:szCs w:val="30"/>
                <w:highlight w:val="none"/>
              </w:rPr>
            </w:pPr>
          </w:p>
        </w:tc>
        <w:tc>
          <w:tcPr>
            <w:tcW w:w="1418" w:type="dxa"/>
            <w:noWrap w:val="0"/>
            <w:vAlign w:val="top"/>
          </w:tcPr>
          <w:p w14:paraId="02503292">
            <w:pPr>
              <w:rPr>
                <w:rFonts w:ascii="Calibri" w:hAnsi="Calibri" w:eastAsia="仿宋_GB2312"/>
                <w:color w:val="auto"/>
                <w:sz w:val="30"/>
                <w:szCs w:val="30"/>
                <w:highlight w:val="none"/>
              </w:rPr>
            </w:pPr>
          </w:p>
        </w:tc>
        <w:tc>
          <w:tcPr>
            <w:tcW w:w="850" w:type="dxa"/>
            <w:noWrap w:val="0"/>
            <w:vAlign w:val="top"/>
          </w:tcPr>
          <w:p w14:paraId="4E328676">
            <w:pPr>
              <w:rPr>
                <w:rFonts w:ascii="Calibri" w:hAnsi="Calibri" w:eastAsia="仿宋_GB2312"/>
                <w:color w:val="auto"/>
                <w:sz w:val="30"/>
                <w:szCs w:val="30"/>
                <w:highlight w:val="none"/>
              </w:rPr>
            </w:pPr>
          </w:p>
        </w:tc>
        <w:tc>
          <w:tcPr>
            <w:tcW w:w="1058" w:type="dxa"/>
            <w:noWrap w:val="0"/>
            <w:vAlign w:val="top"/>
          </w:tcPr>
          <w:p w14:paraId="4496E5E4">
            <w:pPr>
              <w:rPr>
                <w:rFonts w:ascii="Calibri" w:hAnsi="Calibri" w:eastAsia="仿宋_GB2312"/>
                <w:color w:val="auto"/>
                <w:sz w:val="30"/>
                <w:szCs w:val="30"/>
                <w:highlight w:val="none"/>
              </w:rPr>
            </w:pPr>
          </w:p>
        </w:tc>
        <w:tc>
          <w:tcPr>
            <w:tcW w:w="880" w:type="dxa"/>
            <w:noWrap w:val="0"/>
            <w:vAlign w:val="top"/>
          </w:tcPr>
          <w:p w14:paraId="1F8B706D">
            <w:pPr>
              <w:rPr>
                <w:rFonts w:ascii="Calibri" w:hAnsi="Calibri" w:eastAsia="仿宋_GB2312"/>
                <w:color w:val="auto"/>
                <w:sz w:val="30"/>
                <w:szCs w:val="30"/>
                <w:highlight w:val="none"/>
              </w:rPr>
            </w:pPr>
          </w:p>
        </w:tc>
        <w:tc>
          <w:tcPr>
            <w:tcW w:w="1020" w:type="dxa"/>
            <w:noWrap w:val="0"/>
            <w:vAlign w:val="top"/>
          </w:tcPr>
          <w:p w14:paraId="2B196D3C">
            <w:pPr>
              <w:rPr>
                <w:rFonts w:ascii="Calibri" w:hAnsi="Calibri" w:eastAsia="仿宋_GB2312"/>
                <w:color w:val="auto"/>
                <w:sz w:val="30"/>
                <w:szCs w:val="30"/>
                <w:highlight w:val="none"/>
              </w:rPr>
            </w:pPr>
          </w:p>
        </w:tc>
        <w:tc>
          <w:tcPr>
            <w:tcW w:w="1480" w:type="dxa"/>
            <w:noWrap w:val="0"/>
            <w:vAlign w:val="top"/>
          </w:tcPr>
          <w:p w14:paraId="0588605C">
            <w:pPr>
              <w:rPr>
                <w:rFonts w:ascii="Calibri" w:hAnsi="Calibri" w:eastAsia="仿宋_GB2312"/>
                <w:color w:val="auto"/>
                <w:sz w:val="30"/>
                <w:szCs w:val="30"/>
                <w:highlight w:val="none"/>
              </w:rPr>
            </w:pPr>
          </w:p>
        </w:tc>
        <w:tc>
          <w:tcPr>
            <w:tcW w:w="1020" w:type="dxa"/>
            <w:noWrap w:val="0"/>
            <w:vAlign w:val="top"/>
          </w:tcPr>
          <w:p w14:paraId="2EF39313">
            <w:pPr>
              <w:rPr>
                <w:rFonts w:ascii="Calibri" w:hAnsi="Calibri" w:eastAsia="仿宋_GB2312"/>
                <w:color w:val="auto"/>
                <w:sz w:val="30"/>
                <w:szCs w:val="30"/>
                <w:highlight w:val="none"/>
              </w:rPr>
            </w:pPr>
          </w:p>
        </w:tc>
        <w:tc>
          <w:tcPr>
            <w:tcW w:w="921" w:type="dxa"/>
            <w:noWrap w:val="0"/>
            <w:vAlign w:val="top"/>
          </w:tcPr>
          <w:p w14:paraId="0839474D">
            <w:pPr>
              <w:rPr>
                <w:rFonts w:ascii="Calibri" w:hAnsi="Calibri" w:eastAsia="仿宋_GB2312"/>
                <w:color w:val="auto"/>
                <w:sz w:val="30"/>
                <w:szCs w:val="30"/>
                <w:highlight w:val="none"/>
              </w:rPr>
            </w:pPr>
          </w:p>
        </w:tc>
      </w:tr>
      <w:tr w14:paraId="6A055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607C29">
            <w:pPr>
              <w:rPr>
                <w:rFonts w:ascii="Calibri" w:hAnsi="Calibri" w:eastAsia="仿宋_GB2312"/>
                <w:color w:val="auto"/>
                <w:sz w:val="30"/>
                <w:szCs w:val="30"/>
                <w:highlight w:val="none"/>
              </w:rPr>
            </w:pPr>
          </w:p>
        </w:tc>
        <w:tc>
          <w:tcPr>
            <w:tcW w:w="1418" w:type="dxa"/>
            <w:noWrap w:val="0"/>
            <w:vAlign w:val="top"/>
          </w:tcPr>
          <w:p w14:paraId="5C4981C6">
            <w:pPr>
              <w:rPr>
                <w:rFonts w:ascii="Calibri" w:hAnsi="Calibri" w:eastAsia="仿宋_GB2312"/>
                <w:color w:val="auto"/>
                <w:sz w:val="30"/>
                <w:szCs w:val="30"/>
                <w:highlight w:val="none"/>
              </w:rPr>
            </w:pPr>
          </w:p>
        </w:tc>
        <w:tc>
          <w:tcPr>
            <w:tcW w:w="850" w:type="dxa"/>
            <w:noWrap w:val="0"/>
            <w:vAlign w:val="top"/>
          </w:tcPr>
          <w:p w14:paraId="4D2E64C9">
            <w:pPr>
              <w:rPr>
                <w:rFonts w:ascii="Calibri" w:hAnsi="Calibri" w:eastAsia="仿宋_GB2312"/>
                <w:color w:val="auto"/>
                <w:sz w:val="30"/>
                <w:szCs w:val="30"/>
                <w:highlight w:val="none"/>
              </w:rPr>
            </w:pPr>
          </w:p>
        </w:tc>
        <w:tc>
          <w:tcPr>
            <w:tcW w:w="1058" w:type="dxa"/>
            <w:noWrap w:val="0"/>
            <w:vAlign w:val="top"/>
          </w:tcPr>
          <w:p w14:paraId="506BA8C8">
            <w:pPr>
              <w:rPr>
                <w:rFonts w:ascii="Calibri" w:hAnsi="Calibri" w:eastAsia="仿宋_GB2312"/>
                <w:color w:val="auto"/>
                <w:sz w:val="30"/>
                <w:szCs w:val="30"/>
                <w:highlight w:val="none"/>
              </w:rPr>
            </w:pPr>
          </w:p>
        </w:tc>
        <w:tc>
          <w:tcPr>
            <w:tcW w:w="880" w:type="dxa"/>
            <w:noWrap w:val="0"/>
            <w:vAlign w:val="top"/>
          </w:tcPr>
          <w:p w14:paraId="3406BBB7">
            <w:pPr>
              <w:rPr>
                <w:rFonts w:ascii="Calibri" w:hAnsi="Calibri" w:eastAsia="仿宋_GB2312"/>
                <w:color w:val="auto"/>
                <w:sz w:val="30"/>
                <w:szCs w:val="30"/>
                <w:highlight w:val="none"/>
              </w:rPr>
            </w:pPr>
          </w:p>
        </w:tc>
        <w:tc>
          <w:tcPr>
            <w:tcW w:w="1020" w:type="dxa"/>
            <w:noWrap w:val="0"/>
            <w:vAlign w:val="top"/>
          </w:tcPr>
          <w:p w14:paraId="4E58F7F2">
            <w:pPr>
              <w:rPr>
                <w:rFonts w:ascii="Calibri" w:hAnsi="Calibri" w:eastAsia="仿宋_GB2312"/>
                <w:color w:val="auto"/>
                <w:sz w:val="30"/>
                <w:szCs w:val="30"/>
                <w:highlight w:val="none"/>
              </w:rPr>
            </w:pPr>
          </w:p>
        </w:tc>
        <w:tc>
          <w:tcPr>
            <w:tcW w:w="1480" w:type="dxa"/>
            <w:noWrap w:val="0"/>
            <w:vAlign w:val="top"/>
          </w:tcPr>
          <w:p w14:paraId="4B29D2BC">
            <w:pPr>
              <w:rPr>
                <w:rFonts w:ascii="Calibri" w:hAnsi="Calibri" w:eastAsia="仿宋_GB2312"/>
                <w:color w:val="auto"/>
                <w:sz w:val="30"/>
                <w:szCs w:val="30"/>
                <w:highlight w:val="none"/>
              </w:rPr>
            </w:pPr>
          </w:p>
        </w:tc>
        <w:tc>
          <w:tcPr>
            <w:tcW w:w="1020" w:type="dxa"/>
            <w:noWrap w:val="0"/>
            <w:vAlign w:val="top"/>
          </w:tcPr>
          <w:p w14:paraId="0396030A">
            <w:pPr>
              <w:rPr>
                <w:rFonts w:ascii="Calibri" w:hAnsi="Calibri" w:eastAsia="仿宋_GB2312"/>
                <w:color w:val="auto"/>
                <w:sz w:val="30"/>
                <w:szCs w:val="30"/>
                <w:highlight w:val="none"/>
              </w:rPr>
            </w:pPr>
          </w:p>
        </w:tc>
        <w:tc>
          <w:tcPr>
            <w:tcW w:w="921" w:type="dxa"/>
            <w:noWrap w:val="0"/>
            <w:vAlign w:val="top"/>
          </w:tcPr>
          <w:p w14:paraId="71BE40D9">
            <w:pPr>
              <w:rPr>
                <w:rFonts w:ascii="Calibri" w:hAnsi="Calibri" w:eastAsia="仿宋_GB2312"/>
                <w:color w:val="auto"/>
                <w:sz w:val="30"/>
                <w:szCs w:val="30"/>
                <w:highlight w:val="none"/>
              </w:rPr>
            </w:pPr>
          </w:p>
        </w:tc>
      </w:tr>
      <w:tr w14:paraId="6A00D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0ACC20E">
            <w:pPr>
              <w:rPr>
                <w:rFonts w:ascii="Calibri" w:hAnsi="Calibri" w:eastAsia="仿宋_GB2312"/>
                <w:color w:val="auto"/>
                <w:sz w:val="30"/>
                <w:szCs w:val="30"/>
                <w:highlight w:val="none"/>
              </w:rPr>
            </w:pPr>
          </w:p>
        </w:tc>
        <w:tc>
          <w:tcPr>
            <w:tcW w:w="1418" w:type="dxa"/>
            <w:noWrap w:val="0"/>
            <w:vAlign w:val="top"/>
          </w:tcPr>
          <w:p w14:paraId="56E755D8">
            <w:pPr>
              <w:rPr>
                <w:rFonts w:ascii="Calibri" w:hAnsi="Calibri" w:eastAsia="仿宋_GB2312"/>
                <w:color w:val="auto"/>
                <w:sz w:val="30"/>
                <w:szCs w:val="30"/>
                <w:highlight w:val="none"/>
              </w:rPr>
            </w:pPr>
          </w:p>
        </w:tc>
        <w:tc>
          <w:tcPr>
            <w:tcW w:w="850" w:type="dxa"/>
            <w:noWrap w:val="0"/>
            <w:vAlign w:val="top"/>
          </w:tcPr>
          <w:p w14:paraId="2ECC932F">
            <w:pPr>
              <w:rPr>
                <w:rFonts w:ascii="Calibri" w:hAnsi="Calibri" w:eastAsia="仿宋_GB2312"/>
                <w:color w:val="auto"/>
                <w:sz w:val="30"/>
                <w:szCs w:val="30"/>
                <w:highlight w:val="none"/>
              </w:rPr>
            </w:pPr>
          </w:p>
        </w:tc>
        <w:tc>
          <w:tcPr>
            <w:tcW w:w="1058" w:type="dxa"/>
            <w:noWrap w:val="0"/>
            <w:vAlign w:val="top"/>
          </w:tcPr>
          <w:p w14:paraId="41BA6CB9">
            <w:pPr>
              <w:rPr>
                <w:rFonts w:ascii="Calibri" w:hAnsi="Calibri" w:eastAsia="仿宋_GB2312"/>
                <w:color w:val="auto"/>
                <w:sz w:val="30"/>
                <w:szCs w:val="30"/>
                <w:highlight w:val="none"/>
              </w:rPr>
            </w:pPr>
          </w:p>
        </w:tc>
        <w:tc>
          <w:tcPr>
            <w:tcW w:w="880" w:type="dxa"/>
            <w:noWrap w:val="0"/>
            <w:vAlign w:val="top"/>
          </w:tcPr>
          <w:p w14:paraId="49395563">
            <w:pPr>
              <w:rPr>
                <w:rFonts w:ascii="Calibri" w:hAnsi="Calibri" w:eastAsia="仿宋_GB2312"/>
                <w:color w:val="auto"/>
                <w:sz w:val="30"/>
                <w:szCs w:val="30"/>
                <w:highlight w:val="none"/>
              </w:rPr>
            </w:pPr>
          </w:p>
        </w:tc>
        <w:tc>
          <w:tcPr>
            <w:tcW w:w="1020" w:type="dxa"/>
            <w:noWrap w:val="0"/>
            <w:vAlign w:val="top"/>
          </w:tcPr>
          <w:p w14:paraId="0D1D9DED">
            <w:pPr>
              <w:rPr>
                <w:rFonts w:ascii="Calibri" w:hAnsi="Calibri" w:eastAsia="仿宋_GB2312"/>
                <w:color w:val="auto"/>
                <w:sz w:val="30"/>
                <w:szCs w:val="30"/>
                <w:highlight w:val="none"/>
              </w:rPr>
            </w:pPr>
          </w:p>
        </w:tc>
        <w:tc>
          <w:tcPr>
            <w:tcW w:w="1480" w:type="dxa"/>
            <w:noWrap w:val="0"/>
            <w:vAlign w:val="top"/>
          </w:tcPr>
          <w:p w14:paraId="0E0C6B19">
            <w:pPr>
              <w:rPr>
                <w:rFonts w:ascii="Calibri" w:hAnsi="Calibri" w:eastAsia="仿宋_GB2312"/>
                <w:color w:val="auto"/>
                <w:sz w:val="30"/>
                <w:szCs w:val="30"/>
                <w:highlight w:val="none"/>
              </w:rPr>
            </w:pPr>
          </w:p>
        </w:tc>
        <w:tc>
          <w:tcPr>
            <w:tcW w:w="1020" w:type="dxa"/>
            <w:noWrap w:val="0"/>
            <w:vAlign w:val="top"/>
          </w:tcPr>
          <w:p w14:paraId="3EC1F073">
            <w:pPr>
              <w:rPr>
                <w:rFonts w:ascii="Calibri" w:hAnsi="Calibri" w:eastAsia="仿宋_GB2312"/>
                <w:color w:val="auto"/>
                <w:sz w:val="30"/>
                <w:szCs w:val="30"/>
                <w:highlight w:val="none"/>
              </w:rPr>
            </w:pPr>
          </w:p>
        </w:tc>
        <w:tc>
          <w:tcPr>
            <w:tcW w:w="921" w:type="dxa"/>
            <w:noWrap w:val="0"/>
            <w:vAlign w:val="top"/>
          </w:tcPr>
          <w:p w14:paraId="4E3AE967">
            <w:pPr>
              <w:rPr>
                <w:rFonts w:ascii="Calibri" w:hAnsi="Calibri" w:eastAsia="仿宋_GB2312"/>
                <w:color w:val="auto"/>
                <w:sz w:val="30"/>
                <w:szCs w:val="30"/>
                <w:highlight w:val="none"/>
              </w:rPr>
            </w:pPr>
          </w:p>
        </w:tc>
      </w:tr>
      <w:tr w14:paraId="5D386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28BCDE3">
            <w:pPr>
              <w:rPr>
                <w:rFonts w:ascii="Calibri" w:hAnsi="Calibri" w:eastAsia="仿宋_GB2312"/>
                <w:color w:val="auto"/>
                <w:sz w:val="30"/>
                <w:szCs w:val="30"/>
                <w:highlight w:val="none"/>
              </w:rPr>
            </w:pPr>
          </w:p>
        </w:tc>
        <w:tc>
          <w:tcPr>
            <w:tcW w:w="1418" w:type="dxa"/>
            <w:noWrap w:val="0"/>
            <w:vAlign w:val="top"/>
          </w:tcPr>
          <w:p w14:paraId="07D7DD51">
            <w:pPr>
              <w:rPr>
                <w:rFonts w:ascii="Calibri" w:hAnsi="Calibri" w:eastAsia="仿宋_GB2312"/>
                <w:color w:val="auto"/>
                <w:sz w:val="30"/>
                <w:szCs w:val="30"/>
                <w:highlight w:val="none"/>
              </w:rPr>
            </w:pPr>
          </w:p>
        </w:tc>
        <w:tc>
          <w:tcPr>
            <w:tcW w:w="850" w:type="dxa"/>
            <w:noWrap w:val="0"/>
            <w:vAlign w:val="top"/>
          </w:tcPr>
          <w:p w14:paraId="51719593">
            <w:pPr>
              <w:rPr>
                <w:rFonts w:ascii="Calibri" w:hAnsi="Calibri" w:eastAsia="仿宋_GB2312"/>
                <w:color w:val="auto"/>
                <w:sz w:val="30"/>
                <w:szCs w:val="30"/>
                <w:highlight w:val="none"/>
              </w:rPr>
            </w:pPr>
          </w:p>
        </w:tc>
        <w:tc>
          <w:tcPr>
            <w:tcW w:w="1058" w:type="dxa"/>
            <w:noWrap w:val="0"/>
            <w:vAlign w:val="top"/>
          </w:tcPr>
          <w:p w14:paraId="4C5345CD">
            <w:pPr>
              <w:rPr>
                <w:rFonts w:ascii="Calibri" w:hAnsi="Calibri" w:eastAsia="仿宋_GB2312"/>
                <w:color w:val="auto"/>
                <w:sz w:val="30"/>
                <w:szCs w:val="30"/>
                <w:highlight w:val="none"/>
              </w:rPr>
            </w:pPr>
          </w:p>
        </w:tc>
        <w:tc>
          <w:tcPr>
            <w:tcW w:w="880" w:type="dxa"/>
            <w:noWrap w:val="0"/>
            <w:vAlign w:val="top"/>
          </w:tcPr>
          <w:p w14:paraId="6C837316">
            <w:pPr>
              <w:rPr>
                <w:rFonts w:ascii="Calibri" w:hAnsi="Calibri" w:eastAsia="仿宋_GB2312"/>
                <w:color w:val="auto"/>
                <w:sz w:val="30"/>
                <w:szCs w:val="30"/>
                <w:highlight w:val="none"/>
              </w:rPr>
            </w:pPr>
          </w:p>
        </w:tc>
        <w:tc>
          <w:tcPr>
            <w:tcW w:w="1020" w:type="dxa"/>
            <w:noWrap w:val="0"/>
            <w:vAlign w:val="top"/>
          </w:tcPr>
          <w:p w14:paraId="38132E56">
            <w:pPr>
              <w:rPr>
                <w:rFonts w:ascii="Calibri" w:hAnsi="Calibri" w:eastAsia="仿宋_GB2312"/>
                <w:color w:val="auto"/>
                <w:sz w:val="30"/>
                <w:szCs w:val="30"/>
                <w:highlight w:val="none"/>
              </w:rPr>
            </w:pPr>
          </w:p>
        </w:tc>
        <w:tc>
          <w:tcPr>
            <w:tcW w:w="1480" w:type="dxa"/>
            <w:noWrap w:val="0"/>
            <w:vAlign w:val="top"/>
          </w:tcPr>
          <w:p w14:paraId="3FAB6FA7">
            <w:pPr>
              <w:rPr>
                <w:rFonts w:ascii="Calibri" w:hAnsi="Calibri" w:eastAsia="仿宋_GB2312"/>
                <w:color w:val="auto"/>
                <w:sz w:val="30"/>
                <w:szCs w:val="30"/>
                <w:highlight w:val="none"/>
              </w:rPr>
            </w:pPr>
          </w:p>
        </w:tc>
        <w:tc>
          <w:tcPr>
            <w:tcW w:w="1020" w:type="dxa"/>
            <w:noWrap w:val="0"/>
            <w:vAlign w:val="top"/>
          </w:tcPr>
          <w:p w14:paraId="5BD31893">
            <w:pPr>
              <w:rPr>
                <w:rFonts w:ascii="Calibri" w:hAnsi="Calibri" w:eastAsia="仿宋_GB2312"/>
                <w:color w:val="auto"/>
                <w:sz w:val="30"/>
                <w:szCs w:val="30"/>
                <w:highlight w:val="none"/>
              </w:rPr>
            </w:pPr>
          </w:p>
        </w:tc>
        <w:tc>
          <w:tcPr>
            <w:tcW w:w="921" w:type="dxa"/>
            <w:noWrap w:val="0"/>
            <w:vAlign w:val="top"/>
          </w:tcPr>
          <w:p w14:paraId="116F5CC9">
            <w:pPr>
              <w:rPr>
                <w:rFonts w:ascii="Calibri" w:hAnsi="Calibri" w:eastAsia="仿宋_GB2312"/>
                <w:color w:val="auto"/>
                <w:sz w:val="30"/>
                <w:szCs w:val="30"/>
                <w:highlight w:val="none"/>
              </w:rPr>
            </w:pPr>
          </w:p>
        </w:tc>
      </w:tr>
      <w:tr w14:paraId="1DEE5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8A6826">
            <w:pPr>
              <w:rPr>
                <w:rFonts w:ascii="Calibri" w:hAnsi="Calibri" w:eastAsia="仿宋_GB2312"/>
                <w:color w:val="auto"/>
                <w:sz w:val="30"/>
                <w:szCs w:val="30"/>
                <w:highlight w:val="none"/>
              </w:rPr>
            </w:pPr>
          </w:p>
        </w:tc>
        <w:tc>
          <w:tcPr>
            <w:tcW w:w="1418" w:type="dxa"/>
            <w:noWrap w:val="0"/>
            <w:vAlign w:val="top"/>
          </w:tcPr>
          <w:p w14:paraId="7EF47457">
            <w:pPr>
              <w:rPr>
                <w:rFonts w:ascii="Calibri" w:hAnsi="Calibri" w:eastAsia="仿宋_GB2312"/>
                <w:color w:val="auto"/>
                <w:sz w:val="30"/>
                <w:szCs w:val="30"/>
                <w:highlight w:val="none"/>
              </w:rPr>
            </w:pPr>
          </w:p>
        </w:tc>
        <w:tc>
          <w:tcPr>
            <w:tcW w:w="850" w:type="dxa"/>
            <w:noWrap w:val="0"/>
            <w:vAlign w:val="top"/>
          </w:tcPr>
          <w:p w14:paraId="16D19B24">
            <w:pPr>
              <w:rPr>
                <w:rFonts w:ascii="Calibri" w:hAnsi="Calibri" w:eastAsia="仿宋_GB2312"/>
                <w:color w:val="auto"/>
                <w:sz w:val="30"/>
                <w:szCs w:val="30"/>
                <w:highlight w:val="none"/>
              </w:rPr>
            </w:pPr>
          </w:p>
        </w:tc>
        <w:tc>
          <w:tcPr>
            <w:tcW w:w="1058" w:type="dxa"/>
            <w:noWrap w:val="0"/>
            <w:vAlign w:val="top"/>
          </w:tcPr>
          <w:p w14:paraId="77025E68">
            <w:pPr>
              <w:rPr>
                <w:rFonts w:ascii="Calibri" w:hAnsi="Calibri" w:eastAsia="仿宋_GB2312"/>
                <w:color w:val="auto"/>
                <w:sz w:val="30"/>
                <w:szCs w:val="30"/>
                <w:highlight w:val="none"/>
              </w:rPr>
            </w:pPr>
          </w:p>
        </w:tc>
        <w:tc>
          <w:tcPr>
            <w:tcW w:w="880" w:type="dxa"/>
            <w:noWrap w:val="0"/>
            <w:vAlign w:val="top"/>
          </w:tcPr>
          <w:p w14:paraId="2DD0C8EE">
            <w:pPr>
              <w:rPr>
                <w:rFonts w:ascii="Calibri" w:hAnsi="Calibri" w:eastAsia="仿宋_GB2312"/>
                <w:color w:val="auto"/>
                <w:sz w:val="30"/>
                <w:szCs w:val="30"/>
                <w:highlight w:val="none"/>
              </w:rPr>
            </w:pPr>
          </w:p>
        </w:tc>
        <w:tc>
          <w:tcPr>
            <w:tcW w:w="1020" w:type="dxa"/>
            <w:noWrap w:val="0"/>
            <w:vAlign w:val="top"/>
          </w:tcPr>
          <w:p w14:paraId="2772A9C6">
            <w:pPr>
              <w:rPr>
                <w:rFonts w:ascii="Calibri" w:hAnsi="Calibri" w:eastAsia="仿宋_GB2312"/>
                <w:color w:val="auto"/>
                <w:sz w:val="30"/>
                <w:szCs w:val="30"/>
                <w:highlight w:val="none"/>
              </w:rPr>
            </w:pPr>
          </w:p>
        </w:tc>
        <w:tc>
          <w:tcPr>
            <w:tcW w:w="1480" w:type="dxa"/>
            <w:noWrap w:val="0"/>
            <w:vAlign w:val="top"/>
          </w:tcPr>
          <w:p w14:paraId="122E0FC4">
            <w:pPr>
              <w:rPr>
                <w:rFonts w:ascii="Calibri" w:hAnsi="Calibri" w:eastAsia="仿宋_GB2312"/>
                <w:color w:val="auto"/>
                <w:sz w:val="30"/>
                <w:szCs w:val="30"/>
                <w:highlight w:val="none"/>
              </w:rPr>
            </w:pPr>
          </w:p>
        </w:tc>
        <w:tc>
          <w:tcPr>
            <w:tcW w:w="1020" w:type="dxa"/>
            <w:noWrap w:val="0"/>
            <w:vAlign w:val="top"/>
          </w:tcPr>
          <w:p w14:paraId="193F3728">
            <w:pPr>
              <w:rPr>
                <w:rFonts w:ascii="Calibri" w:hAnsi="Calibri" w:eastAsia="仿宋_GB2312"/>
                <w:color w:val="auto"/>
                <w:sz w:val="30"/>
                <w:szCs w:val="30"/>
                <w:highlight w:val="none"/>
              </w:rPr>
            </w:pPr>
          </w:p>
        </w:tc>
        <w:tc>
          <w:tcPr>
            <w:tcW w:w="921" w:type="dxa"/>
            <w:noWrap w:val="0"/>
            <w:vAlign w:val="top"/>
          </w:tcPr>
          <w:p w14:paraId="5FD44389">
            <w:pPr>
              <w:rPr>
                <w:rFonts w:ascii="Calibri" w:hAnsi="Calibri" w:eastAsia="仿宋_GB2312"/>
                <w:color w:val="auto"/>
                <w:sz w:val="30"/>
                <w:szCs w:val="30"/>
                <w:highlight w:val="none"/>
              </w:rPr>
            </w:pPr>
          </w:p>
        </w:tc>
      </w:tr>
    </w:tbl>
    <w:p w14:paraId="419BE23B">
      <w:pPr>
        <w:spacing w:line="440" w:lineRule="exact"/>
        <w:outlineLvl w:val="0"/>
        <w:rPr>
          <w:rFonts w:eastAsia="仿宋_GB2312"/>
          <w:color w:val="auto"/>
          <w:sz w:val="30"/>
          <w:szCs w:val="30"/>
          <w:highlight w:val="none"/>
        </w:rPr>
      </w:pPr>
      <w:bookmarkStart w:id="1165" w:name="_Toc25370"/>
      <w:bookmarkStart w:id="1166" w:name="_Toc10102"/>
      <w:bookmarkStart w:id="1167" w:name="_Toc23921"/>
    </w:p>
    <w:p w14:paraId="38610DCC">
      <w:pPr>
        <w:spacing w:line="440" w:lineRule="exact"/>
        <w:outlineLvl w:val="0"/>
        <w:rPr>
          <w:rFonts w:eastAsia="仿宋_GB2312"/>
          <w:color w:val="auto"/>
          <w:sz w:val="30"/>
          <w:szCs w:val="30"/>
          <w:highlight w:val="none"/>
        </w:rPr>
      </w:pPr>
    </w:p>
    <w:p w14:paraId="52569E5A">
      <w:pPr>
        <w:spacing w:line="440" w:lineRule="exact"/>
        <w:outlineLvl w:val="0"/>
        <w:rPr>
          <w:rFonts w:eastAsia="黑体"/>
          <w:color w:val="auto"/>
          <w:sz w:val="30"/>
          <w:szCs w:val="30"/>
          <w:highlight w:val="none"/>
        </w:rPr>
      </w:pPr>
      <w:r>
        <w:rPr>
          <w:rFonts w:eastAsia="仿宋_GB2312"/>
          <w:color w:val="auto"/>
          <w:sz w:val="30"/>
          <w:szCs w:val="30"/>
          <w:highlight w:val="none"/>
        </w:rPr>
        <w:t>附</w:t>
      </w:r>
      <w:bookmarkStart w:id="1168" w:name="_Toc296347227"/>
      <w:bookmarkStart w:id="1169" w:name="_Toc296891056"/>
      <w:bookmarkStart w:id="1170" w:name="_Toc296346729"/>
      <w:bookmarkStart w:id="1171" w:name="_Toc296891268"/>
      <w:bookmarkStart w:id="1172" w:name="_Toc267261699"/>
      <w:bookmarkStart w:id="1173" w:name="_Toc296944567"/>
      <w:bookmarkStart w:id="1174" w:name="_Toc296503228"/>
      <w:r>
        <w:rPr>
          <w:rFonts w:eastAsia="仿宋_GB2312"/>
          <w:color w:val="auto"/>
          <w:sz w:val="30"/>
          <w:szCs w:val="30"/>
          <w:highlight w:val="none"/>
        </w:rPr>
        <w:t>件</w:t>
      </w:r>
      <w:r>
        <w:rPr>
          <w:rFonts w:hint="eastAsia" w:eastAsia="仿宋_GB2312"/>
          <w:color w:val="auto"/>
          <w:sz w:val="30"/>
          <w:szCs w:val="30"/>
          <w:highlight w:val="none"/>
        </w:rPr>
        <w:t>5</w:t>
      </w:r>
      <w:r>
        <w:rPr>
          <w:rFonts w:eastAsia="仿宋_GB2312"/>
          <w:color w:val="auto"/>
          <w:sz w:val="30"/>
          <w:szCs w:val="30"/>
          <w:highlight w:val="none"/>
        </w:rPr>
        <w:t>：</w:t>
      </w:r>
      <w:bookmarkEnd w:id="1165"/>
      <w:bookmarkEnd w:id="1166"/>
      <w:bookmarkEnd w:id="1167"/>
    </w:p>
    <w:bookmarkEnd w:id="1168"/>
    <w:bookmarkEnd w:id="1169"/>
    <w:bookmarkEnd w:id="1170"/>
    <w:bookmarkEnd w:id="1171"/>
    <w:bookmarkEnd w:id="1172"/>
    <w:bookmarkEnd w:id="1173"/>
    <w:bookmarkEnd w:id="1174"/>
    <w:p w14:paraId="5AB0782B">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BEA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74717C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418" w:type="dxa"/>
            <w:tcBorders>
              <w:top w:val="single" w:color="auto" w:sz="12" w:space="0"/>
              <w:bottom w:val="double" w:color="auto" w:sz="6" w:space="0"/>
            </w:tcBorders>
            <w:noWrap w:val="0"/>
            <w:vAlign w:val="center"/>
          </w:tcPr>
          <w:p w14:paraId="4CC8E10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12" w:space="0"/>
              <w:bottom w:val="double" w:color="auto" w:sz="6" w:space="0"/>
            </w:tcBorders>
            <w:noWrap w:val="0"/>
            <w:vAlign w:val="center"/>
          </w:tcPr>
          <w:p w14:paraId="3F2175C0">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noWrap w:val="0"/>
            <w:vAlign w:val="center"/>
          </w:tcPr>
          <w:p w14:paraId="093BCA4A">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noWrap w:val="0"/>
            <w:vAlign w:val="center"/>
          </w:tcPr>
          <w:p w14:paraId="28632AFB">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330ED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B4F2974">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2EE9A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07EBC1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nil"/>
            </w:tcBorders>
            <w:noWrap w:val="0"/>
            <w:vAlign w:val="center"/>
          </w:tcPr>
          <w:p w14:paraId="7944832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top w:val="nil"/>
            </w:tcBorders>
            <w:noWrap w:val="0"/>
            <w:vAlign w:val="center"/>
          </w:tcPr>
          <w:p w14:paraId="4AC4F2A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top w:val="nil"/>
            </w:tcBorders>
            <w:noWrap w:val="0"/>
            <w:vAlign w:val="center"/>
          </w:tcPr>
          <w:p w14:paraId="2161C7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top w:val="nil"/>
            </w:tcBorders>
            <w:noWrap w:val="0"/>
            <w:vAlign w:val="center"/>
          </w:tcPr>
          <w:p w14:paraId="1AFD40D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7424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ECB9F1A">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5CA0FAF3">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47D4BD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016F3C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5ECA4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0EFB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F60A1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786C2DC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A2FC3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D5691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FA52B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7E9F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AED87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2F81364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F4CAA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22DCB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05089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033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D0AC87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2B9F1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7110A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418" w:type="dxa"/>
            <w:noWrap w:val="0"/>
            <w:vAlign w:val="center"/>
          </w:tcPr>
          <w:p w14:paraId="3675309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E1DA3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ED49C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1BB17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B62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1E458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418" w:type="dxa"/>
            <w:noWrap w:val="0"/>
            <w:vAlign w:val="center"/>
          </w:tcPr>
          <w:p w14:paraId="36F2D9CD">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D87B1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9E39E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FBEF8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5155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19242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418" w:type="dxa"/>
            <w:noWrap w:val="0"/>
            <w:vAlign w:val="center"/>
          </w:tcPr>
          <w:p w14:paraId="5199AA67">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9A40F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901A7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C48E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3466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C5FCE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418" w:type="dxa"/>
            <w:noWrap w:val="0"/>
            <w:vAlign w:val="center"/>
          </w:tcPr>
          <w:p w14:paraId="1F6EEAD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03275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3BE28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AD3DD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4321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41E61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418" w:type="dxa"/>
            <w:noWrap w:val="0"/>
            <w:vAlign w:val="center"/>
          </w:tcPr>
          <w:p w14:paraId="64FBBE8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D6E95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1C4282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44B85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4E4C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851B3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418" w:type="dxa"/>
            <w:noWrap w:val="0"/>
            <w:vAlign w:val="center"/>
          </w:tcPr>
          <w:p w14:paraId="37A187D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7B6DA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FCA6D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18EC6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A13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DDC04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418" w:type="dxa"/>
            <w:noWrap w:val="0"/>
            <w:vAlign w:val="center"/>
          </w:tcPr>
          <w:p w14:paraId="7B08D8BA">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C1ADA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0BB51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4DA50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C0C3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D8BE6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418" w:type="dxa"/>
            <w:noWrap w:val="0"/>
            <w:vAlign w:val="center"/>
          </w:tcPr>
          <w:p w14:paraId="78513AD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2B6A2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4F539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581D8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FDDE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36DC1E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3D0772E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DE2B2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DE95F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86945A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FFE6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113201">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nil"/>
            </w:tcBorders>
            <w:noWrap w:val="0"/>
            <w:vAlign w:val="center"/>
          </w:tcPr>
          <w:p w14:paraId="2AA44F1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nil"/>
            </w:tcBorders>
            <w:noWrap w:val="0"/>
            <w:vAlign w:val="center"/>
          </w:tcPr>
          <w:p w14:paraId="7E7C9C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nil"/>
            </w:tcBorders>
            <w:noWrap w:val="0"/>
            <w:vAlign w:val="center"/>
          </w:tcPr>
          <w:p w14:paraId="2192C61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nil"/>
            </w:tcBorders>
            <w:noWrap w:val="0"/>
            <w:vAlign w:val="center"/>
          </w:tcPr>
          <w:p w14:paraId="1D7EFC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B28B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7550D36">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4DFD8B3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07D29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579DF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62977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2E8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C2CBD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3F3FF0D4">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950A5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4D86A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C52B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791B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8AFE1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63585F0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9D955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41F61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59D38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DE40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6BEEF03">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single" w:color="auto" w:sz="12" w:space="0"/>
            </w:tcBorders>
            <w:noWrap w:val="0"/>
            <w:vAlign w:val="center"/>
          </w:tcPr>
          <w:p w14:paraId="1F50C11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single" w:color="auto" w:sz="12" w:space="0"/>
            </w:tcBorders>
            <w:noWrap w:val="0"/>
            <w:vAlign w:val="center"/>
          </w:tcPr>
          <w:p w14:paraId="418432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single" w:color="auto" w:sz="12" w:space="0"/>
            </w:tcBorders>
            <w:noWrap w:val="0"/>
            <w:vAlign w:val="center"/>
          </w:tcPr>
          <w:p w14:paraId="1ADBE3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single" w:color="auto" w:sz="12" w:space="0"/>
            </w:tcBorders>
            <w:noWrap w:val="0"/>
            <w:vAlign w:val="center"/>
          </w:tcPr>
          <w:p w14:paraId="3C58E7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206CB878">
      <w:pPr>
        <w:pStyle w:val="46"/>
        <w:wordWrap w:val="0"/>
        <w:spacing w:line="540" w:lineRule="exact"/>
        <w:ind w:firstLine="0" w:firstLineChars="0"/>
        <w:rPr>
          <w:rStyle w:val="26"/>
          <w:rFonts w:hint="eastAsia" w:ascii="宋体" w:hAnsi="宋体" w:eastAsia="宋体" w:cs="宋体"/>
          <w:b/>
          <w:color w:val="auto"/>
          <w:sz w:val="30"/>
          <w:szCs w:val="30"/>
          <w:highlight w:val="none"/>
        </w:rPr>
      </w:pPr>
    </w:p>
    <w:p w14:paraId="64E57F47">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46638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5" w:type="first"/>
      <w:footerReference r:id="rId14"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8425">
    <w:pPr>
      <w:pStyle w:val="1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BA785">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0BA785">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5104">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213136">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1121313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7"/>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陆川县人民医院大桥镇大垌村原农商行办公楼改造装修为职工宿舍工程</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9"/>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9"/>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陆川县人民医院大桥镇大垌村原农商行办公楼改造装修为职工宿舍工程</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BB8">
    <w:pPr>
      <w:pStyle w:val="19"/>
      <w:jc w:val="both"/>
      <w:rPr>
        <w:rFonts w:hint="eastAsia" w:hAnsi="宋体" w:cs="宋体"/>
        <w:color w:val="000000"/>
        <w:kern w:val="2"/>
        <w:sz w:val="20"/>
        <w:szCs w:val="20"/>
        <w:u w:val="none"/>
        <w:lang w:val="en-US" w:eastAsia="zh-CN" w:bidi="ar-SA"/>
      </w:rPr>
    </w:pPr>
  </w:p>
  <w:p w14:paraId="0978474B">
    <w:pPr>
      <w:pStyle w:val="19"/>
      <w:jc w:val="both"/>
      <w:rPr>
        <w:u w:val="none"/>
      </w:rPr>
    </w:pPr>
    <w:r>
      <w:rPr>
        <w:rFonts w:hint="eastAsia" w:hAnsi="宋体" w:cs="宋体"/>
        <w:color w:val="000000"/>
        <w:kern w:val="2"/>
        <w:sz w:val="20"/>
        <w:szCs w:val="20"/>
        <w:u w:val="none"/>
        <w:lang w:val="en-US" w:eastAsia="zh-CN" w:bidi="ar-SA"/>
      </w:rPr>
      <w:t>陆川县人民医院大桥镇大垌村原农商行办公楼改造装修为职工宿舍工程</w:t>
    </w:r>
    <w:r>
      <w:rPr>
        <w:rFonts w:hint="eastAsia" w:ascii="Times New Roman" w:hAnsi="Times New Roman" w:eastAsia="宋体" w:cs="Times New Roman"/>
        <w:color w:val="000000"/>
        <w:kern w:val="2"/>
        <w:sz w:val="20"/>
        <w:szCs w:val="20"/>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r>
      <w:rPr>
        <w:rFonts w:hint="eastAsia" w:ascii="Times New Roman" w:hAnsi="Times New Roman" w:eastAsia="宋体" w:cs="Times New Roman"/>
        <w:color w:val="000000"/>
        <w:kern w:val="2"/>
        <w:sz w:val="20"/>
        <w:szCs w:val="20"/>
        <w:u w:val="none"/>
        <w:lang w:val="en-US" w:eastAsia="zh-CN" w:bidi="ar-SA"/>
      </w:rPr>
      <w:t>竞争性磋商文件</w:t>
    </w:r>
    <w:r>
      <w:rPr>
        <w:rFonts w:hint="eastAsia" w:ascii="Times New Roman" w:hAnsi="Times New Roman" w:cs="Times New Roman"/>
        <w:color w:val="000000"/>
        <w:kern w:val="2"/>
        <w:sz w:val="20"/>
        <w:szCs w:val="20"/>
        <w:u w:val="non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BBB49D14"/>
    <w:multiLevelType w:val="singleLevel"/>
    <w:tmpl w:val="BBB49D14"/>
    <w:lvl w:ilvl="0" w:tentative="0">
      <w:start w:val="1"/>
      <w:numFmt w:val="decimal"/>
      <w:suff w:val="nothing"/>
      <w:lvlText w:val="（%1）"/>
      <w:lvlJc w:val="left"/>
    </w:lvl>
  </w:abstractNum>
  <w:abstractNum w:abstractNumId="2">
    <w:nsid w:val="C9B98332"/>
    <w:multiLevelType w:val="singleLevel"/>
    <w:tmpl w:val="C9B98332"/>
    <w:lvl w:ilvl="0" w:tentative="0">
      <w:start w:val="1"/>
      <w:numFmt w:val="decimal"/>
      <w:suff w:val="space"/>
      <w:lvlText w:val="%1."/>
      <w:lvlJc w:val="left"/>
    </w:lvl>
  </w:abstractNum>
  <w:abstractNum w:abstractNumId="3">
    <w:nsid w:val="EB5137E8"/>
    <w:multiLevelType w:val="singleLevel"/>
    <w:tmpl w:val="EB5137E8"/>
    <w:lvl w:ilvl="0" w:tentative="0">
      <w:start w:val="2"/>
      <w:numFmt w:val="decimal"/>
      <w:lvlText w:val="%1."/>
      <w:lvlJc w:val="left"/>
      <w:pPr>
        <w:tabs>
          <w:tab w:val="left" w:pos="312"/>
        </w:tabs>
      </w:pPr>
    </w:lvl>
  </w:abstractNum>
  <w:abstractNum w:abstractNumId="4">
    <w:nsid w:val="EEBEA075"/>
    <w:multiLevelType w:val="singleLevel"/>
    <w:tmpl w:val="EEBEA075"/>
    <w:lvl w:ilvl="0" w:tentative="0">
      <w:start w:val="5"/>
      <w:numFmt w:val="chineseCounting"/>
      <w:suff w:val="space"/>
      <w:lvlText w:val="第%1章"/>
      <w:lvlJc w:val="left"/>
      <w:rPr>
        <w:rFonts w:hint="eastAsia"/>
      </w:rPr>
    </w:lvl>
  </w:abstractNum>
  <w:abstractNum w:abstractNumId="5">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430CA5B"/>
    <w:multiLevelType w:val="singleLevel"/>
    <w:tmpl w:val="0430CA5B"/>
    <w:lvl w:ilvl="0" w:tentative="0">
      <w:start w:val="1"/>
      <w:numFmt w:val="decimal"/>
      <w:suff w:val="space"/>
      <w:lvlText w:val="（%1)"/>
      <w:lvlJc w:val="left"/>
    </w:lvl>
  </w:abstractNum>
  <w:abstractNum w:abstractNumId="7">
    <w:nsid w:val="113DBF7C"/>
    <w:multiLevelType w:val="singleLevel"/>
    <w:tmpl w:val="113DBF7C"/>
    <w:lvl w:ilvl="0" w:tentative="0">
      <w:start w:val="4"/>
      <w:numFmt w:val="chineseCounting"/>
      <w:suff w:val="nothing"/>
      <w:lvlText w:val="%1、"/>
      <w:lvlJc w:val="left"/>
      <w:rPr>
        <w:rFonts w:hint="eastAsia"/>
      </w:rPr>
    </w:lvl>
  </w:abstractNum>
  <w:abstractNum w:abstractNumId="8">
    <w:nsid w:val="31AB483B"/>
    <w:multiLevelType w:val="multilevel"/>
    <w:tmpl w:val="31AB483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55344FF"/>
    <w:multiLevelType w:val="singleLevel"/>
    <w:tmpl w:val="355344FF"/>
    <w:lvl w:ilvl="0" w:tentative="0">
      <w:start w:val="1"/>
      <w:numFmt w:val="chineseCounting"/>
      <w:suff w:val="nothing"/>
      <w:lvlText w:val="%1、"/>
      <w:lvlJc w:val="left"/>
      <w:rPr>
        <w:rFonts w:hint="eastAsia"/>
      </w:rPr>
    </w:lvl>
  </w:abstractNum>
  <w:abstractNum w:abstractNumId="11">
    <w:nsid w:val="40E37E55"/>
    <w:multiLevelType w:val="singleLevel"/>
    <w:tmpl w:val="40E37E55"/>
    <w:lvl w:ilvl="0" w:tentative="0">
      <w:start w:val="2"/>
      <w:numFmt w:val="decimal"/>
      <w:suff w:val="nothing"/>
      <w:lvlText w:val="（%1）"/>
      <w:lvlJc w:val="left"/>
    </w:lvl>
  </w:abstractNum>
  <w:abstractNum w:abstractNumId="12">
    <w:nsid w:val="5498E193"/>
    <w:multiLevelType w:val="singleLevel"/>
    <w:tmpl w:val="5498E193"/>
    <w:lvl w:ilvl="0" w:tentative="0">
      <w:start w:val="11"/>
      <w:numFmt w:val="decimal"/>
      <w:suff w:val="space"/>
      <w:lvlText w:val="%1."/>
      <w:lvlJc w:val="left"/>
    </w:lvl>
  </w:abstractNum>
  <w:abstractNum w:abstractNumId="13">
    <w:nsid w:val="599A88AD"/>
    <w:multiLevelType w:val="singleLevel"/>
    <w:tmpl w:val="599A88AD"/>
    <w:lvl w:ilvl="0" w:tentative="0">
      <w:start w:val="5"/>
      <w:numFmt w:val="decimal"/>
      <w:suff w:val="nothing"/>
      <w:lvlText w:val="（%1）"/>
      <w:lvlJc w:val="left"/>
    </w:lvl>
  </w:abstractNum>
  <w:num w:numId="1">
    <w:abstractNumId w:val="5"/>
  </w:num>
  <w:num w:numId="2">
    <w:abstractNumId w:val="9"/>
  </w:num>
  <w:num w:numId="3">
    <w:abstractNumId w:val="0"/>
  </w:num>
  <w:num w:numId="4">
    <w:abstractNumId w:val="7"/>
  </w:num>
  <w:num w:numId="5">
    <w:abstractNumId w:val="3"/>
  </w:num>
  <w:num w:numId="6">
    <w:abstractNumId w:val="10"/>
  </w:num>
  <w:num w:numId="7">
    <w:abstractNumId w:val="11"/>
  </w:num>
  <w:num w:numId="8">
    <w:abstractNumId w:val="4"/>
  </w:num>
  <w:num w:numId="9">
    <w:abstractNumId w:val="13"/>
  </w:num>
  <w:num w:numId="10">
    <w:abstractNumId w:val="2"/>
  </w:num>
  <w:num w:numId="11">
    <w:abstractNumId w:val="8"/>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8MMrVuqeoCOEM59XDHxrQOcxdTw=" w:salt="FbTlbI7sw2X+NPofBr4g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3A6B6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1138F7"/>
    <w:rsid w:val="022C0A8A"/>
    <w:rsid w:val="02351C6D"/>
    <w:rsid w:val="02571C51"/>
    <w:rsid w:val="025A704C"/>
    <w:rsid w:val="02820350"/>
    <w:rsid w:val="02B54D98"/>
    <w:rsid w:val="02CC0F3B"/>
    <w:rsid w:val="02D7012A"/>
    <w:rsid w:val="03166B78"/>
    <w:rsid w:val="03172610"/>
    <w:rsid w:val="034473BB"/>
    <w:rsid w:val="03653EFA"/>
    <w:rsid w:val="036C7261"/>
    <w:rsid w:val="03863E70"/>
    <w:rsid w:val="039D7B38"/>
    <w:rsid w:val="039E11BA"/>
    <w:rsid w:val="03BD3D36"/>
    <w:rsid w:val="0402799B"/>
    <w:rsid w:val="042446F9"/>
    <w:rsid w:val="04425FE9"/>
    <w:rsid w:val="046248DD"/>
    <w:rsid w:val="04762DCC"/>
    <w:rsid w:val="04966335"/>
    <w:rsid w:val="049A7BD3"/>
    <w:rsid w:val="04A71B2E"/>
    <w:rsid w:val="04B07CB0"/>
    <w:rsid w:val="04B8362B"/>
    <w:rsid w:val="04D56E5D"/>
    <w:rsid w:val="052851DF"/>
    <w:rsid w:val="056D353A"/>
    <w:rsid w:val="05883ED0"/>
    <w:rsid w:val="05A63E97"/>
    <w:rsid w:val="05C3315A"/>
    <w:rsid w:val="05FF4CF8"/>
    <w:rsid w:val="0630252B"/>
    <w:rsid w:val="064E5119"/>
    <w:rsid w:val="065C14C2"/>
    <w:rsid w:val="06700957"/>
    <w:rsid w:val="0688128A"/>
    <w:rsid w:val="06897EFF"/>
    <w:rsid w:val="068D6FDD"/>
    <w:rsid w:val="06BA0E7C"/>
    <w:rsid w:val="06C07699"/>
    <w:rsid w:val="06F96EC4"/>
    <w:rsid w:val="077566D6"/>
    <w:rsid w:val="07786736"/>
    <w:rsid w:val="078E51B9"/>
    <w:rsid w:val="07BA73E3"/>
    <w:rsid w:val="07D8668E"/>
    <w:rsid w:val="081C5B30"/>
    <w:rsid w:val="08430582"/>
    <w:rsid w:val="0858227F"/>
    <w:rsid w:val="0865674A"/>
    <w:rsid w:val="086A1FB2"/>
    <w:rsid w:val="08836BD0"/>
    <w:rsid w:val="08892439"/>
    <w:rsid w:val="08D308B5"/>
    <w:rsid w:val="08DE0208"/>
    <w:rsid w:val="091343F8"/>
    <w:rsid w:val="092175CA"/>
    <w:rsid w:val="09420839"/>
    <w:rsid w:val="09463911"/>
    <w:rsid w:val="095742E5"/>
    <w:rsid w:val="097053A7"/>
    <w:rsid w:val="09AB63DF"/>
    <w:rsid w:val="09D73678"/>
    <w:rsid w:val="09ED4C49"/>
    <w:rsid w:val="0A0C0215"/>
    <w:rsid w:val="0A0E1C34"/>
    <w:rsid w:val="0A2F0DBE"/>
    <w:rsid w:val="0A2F2177"/>
    <w:rsid w:val="0A342100"/>
    <w:rsid w:val="0A6E5D8A"/>
    <w:rsid w:val="0A7D7D7B"/>
    <w:rsid w:val="0A892207"/>
    <w:rsid w:val="0A9B6453"/>
    <w:rsid w:val="0AA12CA0"/>
    <w:rsid w:val="0AB15C77"/>
    <w:rsid w:val="0AB94B2B"/>
    <w:rsid w:val="0AC37758"/>
    <w:rsid w:val="0ACC2AB1"/>
    <w:rsid w:val="0AF02C43"/>
    <w:rsid w:val="0AF73FD1"/>
    <w:rsid w:val="0B204BAA"/>
    <w:rsid w:val="0B297F03"/>
    <w:rsid w:val="0B6161A3"/>
    <w:rsid w:val="0B642CE9"/>
    <w:rsid w:val="0B7332FE"/>
    <w:rsid w:val="0BEB340A"/>
    <w:rsid w:val="0C0B7609"/>
    <w:rsid w:val="0C1F4E62"/>
    <w:rsid w:val="0C3152C1"/>
    <w:rsid w:val="0C394176"/>
    <w:rsid w:val="0C547201"/>
    <w:rsid w:val="0C62191E"/>
    <w:rsid w:val="0C696A7E"/>
    <w:rsid w:val="0C811298"/>
    <w:rsid w:val="0CD36378"/>
    <w:rsid w:val="0CD518E9"/>
    <w:rsid w:val="0CD97582"/>
    <w:rsid w:val="0CF67C2C"/>
    <w:rsid w:val="0CFC245B"/>
    <w:rsid w:val="0D156991"/>
    <w:rsid w:val="0D1F67DA"/>
    <w:rsid w:val="0D9A01E0"/>
    <w:rsid w:val="0DD368FF"/>
    <w:rsid w:val="0DD71E98"/>
    <w:rsid w:val="0DE16873"/>
    <w:rsid w:val="0E046358"/>
    <w:rsid w:val="0E2A619D"/>
    <w:rsid w:val="0E35096D"/>
    <w:rsid w:val="0E451A23"/>
    <w:rsid w:val="0E4E34C9"/>
    <w:rsid w:val="0E60079A"/>
    <w:rsid w:val="0E7C7503"/>
    <w:rsid w:val="0EC75A69"/>
    <w:rsid w:val="0ED41F2A"/>
    <w:rsid w:val="0EDF1DC9"/>
    <w:rsid w:val="0EEF4FBF"/>
    <w:rsid w:val="0F152C78"/>
    <w:rsid w:val="0F1B4006"/>
    <w:rsid w:val="0F3F3E2C"/>
    <w:rsid w:val="0F4672D5"/>
    <w:rsid w:val="0F5A68DD"/>
    <w:rsid w:val="0F783207"/>
    <w:rsid w:val="0F890F70"/>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E41C5"/>
    <w:rsid w:val="1186357B"/>
    <w:rsid w:val="1191737B"/>
    <w:rsid w:val="119836EC"/>
    <w:rsid w:val="11D230A2"/>
    <w:rsid w:val="11E64458"/>
    <w:rsid w:val="11EE77B0"/>
    <w:rsid w:val="12241424"/>
    <w:rsid w:val="124762E8"/>
    <w:rsid w:val="12505D75"/>
    <w:rsid w:val="127777A6"/>
    <w:rsid w:val="128679E9"/>
    <w:rsid w:val="12BF58DE"/>
    <w:rsid w:val="12C66037"/>
    <w:rsid w:val="12D70244"/>
    <w:rsid w:val="12E50BB3"/>
    <w:rsid w:val="12F9465F"/>
    <w:rsid w:val="13001549"/>
    <w:rsid w:val="13052701"/>
    <w:rsid w:val="131B2827"/>
    <w:rsid w:val="1340009F"/>
    <w:rsid w:val="13427DB4"/>
    <w:rsid w:val="137B1518"/>
    <w:rsid w:val="13A91BE1"/>
    <w:rsid w:val="13B54A2A"/>
    <w:rsid w:val="13C22CA3"/>
    <w:rsid w:val="13F111A4"/>
    <w:rsid w:val="13F310AE"/>
    <w:rsid w:val="13F60B9E"/>
    <w:rsid w:val="145C4EA5"/>
    <w:rsid w:val="145F6743"/>
    <w:rsid w:val="14787805"/>
    <w:rsid w:val="14916941"/>
    <w:rsid w:val="14991C55"/>
    <w:rsid w:val="14AB3737"/>
    <w:rsid w:val="14E96948"/>
    <w:rsid w:val="14F41A64"/>
    <w:rsid w:val="151B6B0E"/>
    <w:rsid w:val="151C4634"/>
    <w:rsid w:val="15253E18"/>
    <w:rsid w:val="15543DCE"/>
    <w:rsid w:val="15A00DC2"/>
    <w:rsid w:val="15A05265"/>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71556"/>
    <w:rsid w:val="17E70F2A"/>
    <w:rsid w:val="17F618C4"/>
    <w:rsid w:val="180E64B6"/>
    <w:rsid w:val="18147845"/>
    <w:rsid w:val="181A3AAB"/>
    <w:rsid w:val="181B7D6E"/>
    <w:rsid w:val="183C74C7"/>
    <w:rsid w:val="183D061D"/>
    <w:rsid w:val="185B5474"/>
    <w:rsid w:val="186C763D"/>
    <w:rsid w:val="188E5849"/>
    <w:rsid w:val="18AD3F21"/>
    <w:rsid w:val="18ED431E"/>
    <w:rsid w:val="18FE3F4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E06CAF"/>
    <w:rsid w:val="1AEE1F9A"/>
    <w:rsid w:val="1B143444"/>
    <w:rsid w:val="1B1A46CC"/>
    <w:rsid w:val="1B242DC3"/>
    <w:rsid w:val="1B3E70B3"/>
    <w:rsid w:val="1B59213E"/>
    <w:rsid w:val="1B5A3204"/>
    <w:rsid w:val="1B6B3C20"/>
    <w:rsid w:val="1B740D26"/>
    <w:rsid w:val="1BAA299A"/>
    <w:rsid w:val="1C00080C"/>
    <w:rsid w:val="1C0A168B"/>
    <w:rsid w:val="1C490AD1"/>
    <w:rsid w:val="1C6C5EA1"/>
    <w:rsid w:val="1C850D11"/>
    <w:rsid w:val="1CAA0778"/>
    <w:rsid w:val="1CBA393A"/>
    <w:rsid w:val="1CD22153"/>
    <w:rsid w:val="1CD35F20"/>
    <w:rsid w:val="1D464944"/>
    <w:rsid w:val="1D681FD3"/>
    <w:rsid w:val="1D7768AC"/>
    <w:rsid w:val="1D78713B"/>
    <w:rsid w:val="1D9D57AA"/>
    <w:rsid w:val="1DAC03EC"/>
    <w:rsid w:val="1DC075CA"/>
    <w:rsid w:val="1DD91315"/>
    <w:rsid w:val="1DE84488"/>
    <w:rsid w:val="1DF3687A"/>
    <w:rsid w:val="1DFB1E95"/>
    <w:rsid w:val="1E190976"/>
    <w:rsid w:val="1E3E73CA"/>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A45952"/>
    <w:rsid w:val="1FDA349D"/>
    <w:rsid w:val="1FF64F88"/>
    <w:rsid w:val="20052811"/>
    <w:rsid w:val="20160FBA"/>
    <w:rsid w:val="20895274"/>
    <w:rsid w:val="20915ED7"/>
    <w:rsid w:val="209239FD"/>
    <w:rsid w:val="20971013"/>
    <w:rsid w:val="209D487B"/>
    <w:rsid w:val="20A0611A"/>
    <w:rsid w:val="20A3345E"/>
    <w:rsid w:val="20A51982"/>
    <w:rsid w:val="20BB41A0"/>
    <w:rsid w:val="20BB4BF4"/>
    <w:rsid w:val="20D52A5A"/>
    <w:rsid w:val="20FA3A7C"/>
    <w:rsid w:val="211D776A"/>
    <w:rsid w:val="215A451A"/>
    <w:rsid w:val="215E21B4"/>
    <w:rsid w:val="21886A3B"/>
    <w:rsid w:val="21905D83"/>
    <w:rsid w:val="21B1257A"/>
    <w:rsid w:val="21F3097B"/>
    <w:rsid w:val="22066531"/>
    <w:rsid w:val="222526EF"/>
    <w:rsid w:val="2228286B"/>
    <w:rsid w:val="226118D9"/>
    <w:rsid w:val="227419B5"/>
    <w:rsid w:val="22806203"/>
    <w:rsid w:val="22AC349C"/>
    <w:rsid w:val="22B52EE5"/>
    <w:rsid w:val="22BD7457"/>
    <w:rsid w:val="22CD29F8"/>
    <w:rsid w:val="22CF0F38"/>
    <w:rsid w:val="22E22A19"/>
    <w:rsid w:val="230010F2"/>
    <w:rsid w:val="23360FB7"/>
    <w:rsid w:val="237B192E"/>
    <w:rsid w:val="2380427B"/>
    <w:rsid w:val="23AF4BB2"/>
    <w:rsid w:val="23BC547F"/>
    <w:rsid w:val="23E27848"/>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232A65"/>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1F486A"/>
    <w:rsid w:val="2D2C5FB8"/>
    <w:rsid w:val="2D393B7E"/>
    <w:rsid w:val="2D5B7F98"/>
    <w:rsid w:val="2D6230D5"/>
    <w:rsid w:val="2D6B7AAF"/>
    <w:rsid w:val="2D6C3F53"/>
    <w:rsid w:val="2D887326"/>
    <w:rsid w:val="2D9A60D9"/>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10A6DB4"/>
    <w:rsid w:val="310D2353"/>
    <w:rsid w:val="31132938"/>
    <w:rsid w:val="317F1D7B"/>
    <w:rsid w:val="3186135C"/>
    <w:rsid w:val="31C3610C"/>
    <w:rsid w:val="31CF2D03"/>
    <w:rsid w:val="31D10829"/>
    <w:rsid w:val="31EA18EB"/>
    <w:rsid w:val="32103170"/>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538471B"/>
    <w:rsid w:val="35435B71"/>
    <w:rsid w:val="35702107"/>
    <w:rsid w:val="35C661CB"/>
    <w:rsid w:val="35C91817"/>
    <w:rsid w:val="35CF2D60"/>
    <w:rsid w:val="35E86141"/>
    <w:rsid w:val="35F51433"/>
    <w:rsid w:val="36392E40"/>
    <w:rsid w:val="36405F7D"/>
    <w:rsid w:val="36877708"/>
    <w:rsid w:val="36B536E8"/>
    <w:rsid w:val="36E06CFA"/>
    <w:rsid w:val="37037608"/>
    <w:rsid w:val="370E1BD7"/>
    <w:rsid w:val="374324BD"/>
    <w:rsid w:val="374E6478"/>
    <w:rsid w:val="377203B8"/>
    <w:rsid w:val="37734130"/>
    <w:rsid w:val="378F4EB7"/>
    <w:rsid w:val="37980C01"/>
    <w:rsid w:val="37AF4771"/>
    <w:rsid w:val="37CB1876"/>
    <w:rsid w:val="38170F5F"/>
    <w:rsid w:val="382974C8"/>
    <w:rsid w:val="383218F5"/>
    <w:rsid w:val="383B4C4E"/>
    <w:rsid w:val="383C4522"/>
    <w:rsid w:val="3853709A"/>
    <w:rsid w:val="387719FE"/>
    <w:rsid w:val="388C36FB"/>
    <w:rsid w:val="38983E4E"/>
    <w:rsid w:val="38AF2F46"/>
    <w:rsid w:val="38D97FC3"/>
    <w:rsid w:val="390239BE"/>
    <w:rsid w:val="390B742C"/>
    <w:rsid w:val="39522A4F"/>
    <w:rsid w:val="395835DE"/>
    <w:rsid w:val="3960563F"/>
    <w:rsid w:val="39665CFB"/>
    <w:rsid w:val="398E78CA"/>
    <w:rsid w:val="3995213C"/>
    <w:rsid w:val="39CA46E3"/>
    <w:rsid w:val="39D37108"/>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D340EA"/>
    <w:rsid w:val="3BD602EF"/>
    <w:rsid w:val="3BE70C49"/>
    <w:rsid w:val="3C0A04E7"/>
    <w:rsid w:val="3C0A2960"/>
    <w:rsid w:val="3C3C47FA"/>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D6747E"/>
    <w:rsid w:val="3EDF3E59"/>
    <w:rsid w:val="3EFC5866"/>
    <w:rsid w:val="3EFE0783"/>
    <w:rsid w:val="3F361630"/>
    <w:rsid w:val="3F3C12AC"/>
    <w:rsid w:val="3F41262A"/>
    <w:rsid w:val="3F4C7741"/>
    <w:rsid w:val="3F5751EC"/>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384ACC"/>
    <w:rsid w:val="41401283"/>
    <w:rsid w:val="41594397"/>
    <w:rsid w:val="416B7C26"/>
    <w:rsid w:val="416C231C"/>
    <w:rsid w:val="41962EF5"/>
    <w:rsid w:val="422C1AAB"/>
    <w:rsid w:val="42707BEA"/>
    <w:rsid w:val="427F2929"/>
    <w:rsid w:val="42914900"/>
    <w:rsid w:val="429562DA"/>
    <w:rsid w:val="42AB29D0"/>
    <w:rsid w:val="42C26EBB"/>
    <w:rsid w:val="42C447F4"/>
    <w:rsid w:val="42E163F2"/>
    <w:rsid w:val="42F27ED7"/>
    <w:rsid w:val="43052685"/>
    <w:rsid w:val="43140575"/>
    <w:rsid w:val="43562D62"/>
    <w:rsid w:val="437E00E5"/>
    <w:rsid w:val="43B27D8E"/>
    <w:rsid w:val="43B34232"/>
    <w:rsid w:val="43E048FB"/>
    <w:rsid w:val="43FC6264"/>
    <w:rsid w:val="4414507B"/>
    <w:rsid w:val="447C0AC8"/>
    <w:rsid w:val="4493196E"/>
    <w:rsid w:val="449D27EC"/>
    <w:rsid w:val="44C164DB"/>
    <w:rsid w:val="44DE20BF"/>
    <w:rsid w:val="450B3BFA"/>
    <w:rsid w:val="452627E2"/>
    <w:rsid w:val="456A4DC4"/>
    <w:rsid w:val="45C02C36"/>
    <w:rsid w:val="45CB161E"/>
    <w:rsid w:val="45D264C6"/>
    <w:rsid w:val="46255B1F"/>
    <w:rsid w:val="463351B6"/>
    <w:rsid w:val="46445615"/>
    <w:rsid w:val="46A67FEE"/>
    <w:rsid w:val="46E26BDC"/>
    <w:rsid w:val="46F5427E"/>
    <w:rsid w:val="47072195"/>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1355B6"/>
    <w:rsid w:val="4B14769A"/>
    <w:rsid w:val="4B1B446B"/>
    <w:rsid w:val="4B2477C4"/>
    <w:rsid w:val="4B47151E"/>
    <w:rsid w:val="4B5E0F27"/>
    <w:rsid w:val="4B616322"/>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E6DEE"/>
    <w:rsid w:val="4E434405"/>
    <w:rsid w:val="4E526C20"/>
    <w:rsid w:val="4E5352BB"/>
    <w:rsid w:val="4E697925"/>
    <w:rsid w:val="4E6B74B7"/>
    <w:rsid w:val="4E946A0E"/>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F3C4C"/>
    <w:rsid w:val="508567BA"/>
    <w:rsid w:val="508F3931"/>
    <w:rsid w:val="5095081C"/>
    <w:rsid w:val="50B74C36"/>
    <w:rsid w:val="50B97362"/>
    <w:rsid w:val="50BD049E"/>
    <w:rsid w:val="50ED0658"/>
    <w:rsid w:val="51344B3B"/>
    <w:rsid w:val="51360251"/>
    <w:rsid w:val="513F5357"/>
    <w:rsid w:val="51976F41"/>
    <w:rsid w:val="51A11B6E"/>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C03F98"/>
    <w:rsid w:val="55D911AB"/>
    <w:rsid w:val="55EC35D4"/>
    <w:rsid w:val="55F34962"/>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E6891"/>
    <w:rsid w:val="59305585"/>
    <w:rsid w:val="593E5EF4"/>
    <w:rsid w:val="594D6137"/>
    <w:rsid w:val="59725B9E"/>
    <w:rsid w:val="599706DB"/>
    <w:rsid w:val="59AD307A"/>
    <w:rsid w:val="59B52880"/>
    <w:rsid w:val="59D620C4"/>
    <w:rsid w:val="59D86349"/>
    <w:rsid w:val="59E56370"/>
    <w:rsid w:val="5A056BF8"/>
    <w:rsid w:val="5A087973"/>
    <w:rsid w:val="5A0E58C7"/>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963A8"/>
    <w:rsid w:val="5BF73132"/>
    <w:rsid w:val="5C163158"/>
    <w:rsid w:val="5C3435DF"/>
    <w:rsid w:val="5C4F3413"/>
    <w:rsid w:val="5C5E240A"/>
    <w:rsid w:val="5C6271FA"/>
    <w:rsid w:val="5C743E1A"/>
    <w:rsid w:val="5C846314"/>
    <w:rsid w:val="5CAC13C7"/>
    <w:rsid w:val="5CE2303B"/>
    <w:rsid w:val="5CF2304D"/>
    <w:rsid w:val="5D3D7710"/>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D1D0C"/>
    <w:rsid w:val="5EDE3506"/>
    <w:rsid w:val="5EF332DD"/>
    <w:rsid w:val="5EF70334"/>
    <w:rsid w:val="5F0F66F3"/>
    <w:rsid w:val="5F291D7F"/>
    <w:rsid w:val="5F386F2E"/>
    <w:rsid w:val="5F9A19AB"/>
    <w:rsid w:val="5FA97E40"/>
    <w:rsid w:val="5FAD5B82"/>
    <w:rsid w:val="5FD0085A"/>
    <w:rsid w:val="5FE315A4"/>
    <w:rsid w:val="5FFE29C2"/>
    <w:rsid w:val="605F7185"/>
    <w:rsid w:val="60714C07"/>
    <w:rsid w:val="60916776"/>
    <w:rsid w:val="60B51282"/>
    <w:rsid w:val="60DD4CF0"/>
    <w:rsid w:val="610D2300"/>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334436"/>
    <w:rsid w:val="6250365E"/>
    <w:rsid w:val="62582A4B"/>
    <w:rsid w:val="627911C5"/>
    <w:rsid w:val="62942AB2"/>
    <w:rsid w:val="62C70D09"/>
    <w:rsid w:val="62FF575B"/>
    <w:rsid w:val="630A47EF"/>
    <w:rsid w:val="63161C90"/>
    <w:rsid w:val="633A772C"/>
    <w:rsid w:val="63451CD6"/>
    <w:rsid w:val="63554566"/>
    <w:rsid w:val="636341BB"/>
    <w:rsid w:val="63665785"/>
    <w:rsid w:val="63B05C41"/>
    <w:rsid w:val="63E458EA"/>
    <w:rsid w:val="63EC1FE1"/>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B0944"/>
    <w:rsid w:val="6CCF4999"/>
    <w:rsid w:val="6CE81DB6"/>
    <w:rsid w:val="6CF04094"/>
    <w:rsid w:val="6D056FFD"/>
    <w:rsid w:val="6D3D3A1E"/>
    <w:rsid w:val="6D77332B"/>
    <w:rsid w:val="6D837F22"/>
    <w:rsid w:val="6D851EEC"/>
    <w:rsid w:val="6D9D5488"/>
    <w:rsid w:val="6DC24EEE"/>
    <w:rsid w:val="6DDC038C"/>
    <w:rsid w:val="6DE406B7"/>
    <w:rsid w:val="6DE804D2"/>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525E28"/>
    <w:rsid w:val="71776831"/>
    <w:rsid w:val="719464CB"/>
    <w:rsid w:val="71C90A4F"/>
    <w:rsid w:val="72141A90"/>
    <w:rsid w:val="724834E8"/>
    <w:rsid w:val="725D0EDE"/>
    <w:rsid w:val="725E2D0C"/>
    <w:rsid w:val="727D13E4"/>
    <w:rsid w:val="727E771E"/>
    <w:rsid w:val="72B34E05"/>
    <w:rsid w:val="72BD5C84"/>
    <w:rsid w:val="72C05BB6"/>
    <w:rsid w:val="72DC25AE"/>
    <w:rsid w:val="72E52269"/>
    <w:rsid w:val="72E74AAF"/>
    <w:rsid w:val="732301DD"/>
    <w:rsid w:val="73335F46"/>
    <w:rsid w:val="73357F10"/>
    <w:rsid w:val="73430839"/>
    <w:rsid w:val="7355410F"/>
    <w:rsid w:val="738B61C4"/>
    <w:rsid w:val="73D2575F"/>
    <w:rsid w:val="73E44525"/>
    <w:rsid w:val="745D14CD"/>
    <w:rsid w:val="746F2F07"/>
    <w:rsid w:val="74705EA6"/>
    <w:rsid w:val="747131CA"/>
    <w:rsid w:val="74982505"/>
    <w:rsid w:val="74AC4028"/>
    <w:rsid w:val="74AE31FF"/>
    <w:rsid w:val="74DF0134"/>
    <w:rsid w:val="74F355FB"/>
    <w:rsid w:val="751D0C5C"/>
    <w:rsid w:val="753E74AE"/>
    <w:rsid w:val="7548217D"/>
    <w:rsid w:val="7556556B"/>
    <w:rsid w:val="75572211"/>
    <w:rsid w:val="7562169B"/>
    <w:rsid w:val="756744F4"/>
    <w:rsid w:val="756B19C7"/>
    <w:rsid w:val="757E433A"/>
    <w:rsid w:val="75BD53C1"/>
    <w:rsid w:val="75C80BC8"/>
    <w:rsid w:val="75CD3EE2"/>
    <w:rsid w:val="75F776FF"/>
    <w:rsid w:val="75FB4D1F"/>
    <w:rsid w:val="75FE45EA"/>
    <w:rsid w:val="761262E7"/>
    <w:rsid w:val="766D176F"/>
    <w:rsid w:val="76AF247D"/>
    <w:rsid w:val="76AF6792"/>
    <w:rsid w:val="76D31F1A"/>
    <w:rsid w:val="76D355FD"/>
    <w:rsid w:val="76E658AE"/>
    <w:rsid w:val="76F854DD"/>
    <w:rsid w:val="76FA74A7"/>
    <w:rsid w:val="7722255A"/>
    <w:rsid w:val="77444884"/>
    <w:rsid w:val="778E5E41"/>
    <w:rsid w:val="77932854"/>
    <w:rsid w:val="7796475D"/>
    <w:rsid w:val="77BC5BA1"/>
    <w:rsid w:val="77C9763B"/>
    <w:rsid w:val="77EF594B"/>
    <w:rsid w:val="78370287"/>
    <w:rsid w:val="786477EF"/>
    <w:rsid w:val="787212BF"/>
    <w:rsid w:val="787230FD"/>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9F19C6"/>
    <w:rsid w:val="7AAB2866"/>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5461D9"/>
    <w:rsid w:val="7E6E42D6"/>
    <w:rsid w:val="7E6F306E"/>
    <w:rsid w:val="7E9632CE"/>
    <w:rsid w:val="7E97090B"/>
    <w:rsid w:val="7E9C7916"/>
    <w:rsid w:val="7EB75C7D"/>
    <w:rsid w:val="7EF0118F"/>
    <w:rsid w:val="7F010FD9"/>
    <w:rsid w:val="7F374A93"/>
    <w:rsid w:val="7F4A6AF1"/>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style>
  <w:style w:type="paragraph" w:styleId="1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Normal (Web)"/>
    <w:basedOn w:val="1"/>
    <w:qFormat/>
    <w:uiPriority w:val="99"/>
    <w:pPr>
      <w:spacing w:before="75" w:after="75"/>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paragraph" w:customStyle="1" w:styleId="31">
    <w:name w:val="表格文字"/>
    <w:basedOn w:val="1"/>
    <w:next w:val="11"/>
    <w:qFormat/>
    <w:uiPriority w:val="0"/>
    <w:pPr>
      <w:spacing w:before="25" w:after="25"/>
      <w:jc w:val="left"/>
    </w:pPr>
    <w:rPr>
      <w:rFonts w:ascii="Verdana" w:hAnsi="Verdana"/>
      <w:bCs/>
      <w:spacing w:val="10"/>
      <w:kern w:val="0"/>
      <w:sz w:val="24"/>
    </w:rPr>
  </w:style>
  <w:style w:type="paragraph" w:customStyle="1" w:styleId="32">
    <w:name w:val="Default"/>
    <w:next w:val="33"/>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普通文字 Char2"/>
    <w:basedOn w:val="1"/>
    <w:qFormat/>
    <w:uiPriority w:val="0"/>
    <w:pPr>
      <w:widowControl/>
    </w:pPr>
    <w:rPr>
      <w:rFonts w:ascii="宋体" w:hAnsi="宋体" w:cs="宋体"/>
      <w:color w:val="000000"/>
      <w:kern w:val="0"/>
      <w:szCs w:val="21"/>
    </w:rPr>
  </w:style>
  <w:style w:type="character" w:customStyle="1" w:styleId="41">
    <w:name w:val="纯文本 Char1"/>
    <w:qFormat/>
    <w:uiPriority w:val="0"/>
    <w:rPr>
      <w:rFonts w:ascii="宋体" w:hAnsi="Courier New" w:eastAsia="宋体" w:cs="Courier New"/>
      <w:kern w:val="2"/>
      <w:sz w:val="21"/>
      <w:szCs w:val="21"/>
      <w:lang w:val="en-US" w:eastAsia="zh-CN" w:bidi="ar-SA"/>
    </w:rPr>
  </w:style>
  <w:style w:type="paragraph" w:styleId="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纯文本_1"/>
    <w:basedOn w:val="46"/>
    <w:next w:val="46"/>
    <w:qFormat/>
    <w:uiPriority w:val="0"/>
    <w:rPr>
      <w:rFonts w:ascii="宋体" w:hAnsi="Courier New"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e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25486</Words>
  <Characters>27054</Characters>
  <Lines>0</Lines>
  <Paragraphs>0</Paragraphs>
  <TotalTime>2</TotalTime>
  <ScaleCrop>false</ScaleCrop>
  <LinksUpToDate>false</LinksUpToDate>
  <CharactersWithSpaces>27594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2024-08-15T23:47:00Z</cp:lastPrinted>
  <dcterms:modified xsi:type="dcterms:W3CDTF">2025-10-09T03:29:02Z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